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D34A" w14:textId="573D9BC8" w:rsidR="00A314FD" w:rsidRPr="00C77E43" w:rsidRDefault="00C77E43" w:rsidP="00AB22D2">
      <w:pPr>
        <w:outlineLvl w:val="2"/>
        <w:rPr>
          <w:rFonts w:ascii="Barlow" w:hAnsi="Barlow"/>
          <w:color w:val="333333"/>
          <w:sz w:val="36"/>
          <w:szCs w:val="36"/>
          <w:lang w:eastAsia="en-GB"/>
        </w:rPr>
      </w:pPr>
      <w:r w:rsidRPr="00C77E43">
        <w:rPr>
          <w:rFonts w:ascii="Barlow" w:hAnsi="Barlow"/>
          <w:b/>
          <w:bCs/>
          <w:color w:val="333333"/>
          <w:sz w:val="36"/>
          <w:szCs w:val="36"/>
          <w:lang w:eastAsia="en-GB"/>
        </w:rPr>
        <w:t xml:space="preserve">SHELTER’S ADVICE </w:t>
      </w:r>
      <w:r w:rsidR="00A314FD" w:rsidRPr="00C77E43">
        <w:rPr>
          <w:rFonts w:ascii="Barlow" w:hAnsi="Barlow"/>
          <w:b/>
          <w:bCs/>
          <w:color w:val="333333"/>
          <w:sz w:val="36"/>
          <w:szCs w:val="36"/>
          <w:lang w:eastAsia="en-GB"/>
        </w:rPr>
        <w:t>FOR POLICE OFFICERS</w:t>
      </w:r>
      <w:r w:rsidR="00AB22D2">
        <w:rPr>
          <w:rFonts w:ascii="Barlow" w:hAnsi="Barlow"/>
          <w:b/>
          <w:bCs/>
          <w:color w:val="333333"/>
          <w:sz w:val="36"/>
          <w:szCs w:val="36"/>
          <w:lang w:eastAsia="en-GB"/>
        </w:rPr>
        <w:t xml:space="preserve"> ATTENDING AN ILLEGAL EVICTION</w:t>
      </w:r>
      <w:r w:rsidR="00A314FD" w:rsidRPr="00C77E43">
        <w:rPr>
          <w:rFonts w:ascii="Barlow" w:hAnsi="Barlow"/>
          <w:color w:val="333333"/>
          <w:sz w:val="36"/>
          <w:szCs w:val="36"/>
          <w:lang w:eastAsia="en-GB"/>
        </w:rPr>
        <w:t> </w:t>
      </w:r>
    </w:p>
    <w:p w14:paraId="749BFB50" w14:textId="4E6E3587" w:rsidR="00AB22D2" w:rsidRDefault="00AB22D2" w:rsidP="00AB22D2">
      <w:pPr>
        <w:rPr>
          <w:rFonts w:ascii="Barlow" w:hAnsi="Barlow"/>
          <w:color w:val="333333"/>
          <w:sz w:val="27"/>
          <w:szCs w:val="27"/>
          <w:lang w:eastAsia="en-GB"/>
        </w:rPr>
      </w:pPr>
      <w:r>
        <w:rPr>
          <w:rFonts w:ascii="Barlow" w:hAnsi="Barlow"/>
          <w:color w:val="333333"/>
          <w:sz w:val="27"/>
          <w:szCs w:val="27"/>
          <w:lang w:eastAsia="en-GB"/>
        </w:rPr>
        <w:t>Most tenants can only be evicted lawfully by an order to the court.</w:t>
      </w:r>
    </w:p>
    <w:p w14:paraId="68565A6D" w14:textId="77777777" w:rsidR="00AB22D2" w:rsidRDefault="00AB22D2" w:rsidP="00AB22D2">
      <w:pPr>
        <w:rPr>
          <w:rFonts w:ascii="Barlow" w:hAnsi="Barlow"/>
          <w:color w:val="333333"/>
          <w:sz w:val="27"/>
          <w:szCs w:val="27"/>
          <w:lang w:eastAsia="en-GB"/>
        </w:rPr>
      </w:pPr>
      <w:r>
        <w:rPr>
          <w:rFonts w:ascii="Barlow" w:hAnsi="Barlow"/>
          <w:color w:val="333333"/>
          <w:sz w:val="27"/>
          <w:szCs w:val="27"/>
          <w:lang w:eastAsia="en-GB"/>
        </w:rPr>
        <w:t>An eviction must be overseen by a county court bailiff or high court enforcement officer.</w:t>
      </w:r>
    </w:p>
    <w:p w14:paraId="09742258" w14:textId="77777777" w:rsidR="00AB22D2" w:rsidRDefault="00AB22D2" w:rsidP="00AB22D2">
      <w:pPr>
        <w:rPr>
          <w:rFonts w:ascii="Barlow" w:hAnsi="Barlow"/>
          <w:color w:val="333333"/>
          <w:sz w:val="27"/>
          <w:szCs w:val="27"/>
          <w:lang w:eastAsia="en-GB"/>
        </w:rPr>
      </w:pPr>
      <w:r>
        <w:rPr>
          <w:rFonts w:ascii="Barlow" w:hAnsi="Barlow"/>
          <w:color w:val="333333"/>
          <w:sz w:val="27"/>
          <w:szCs w:val="27"/>
          <w:lang w:eastAsia="en-GB"/>
        </w:rPr>
        <w:t>If there is no court officer present, it is most likely an illegal eviction.</w:t>
      </w:r>
    </w:p>
    <w:p w14:paraId="75086AB6" w14:textId="545F8DCE" w:rsidR="00AB22D2" w:rsidRDefault="00AB22D2" w:rsidP="00AB22D2">
      <w:pPr>
        <w:rPr>
          <w:rFonts w:ascii="Barlow" w:hAnsi="Barlow"/>
          <w:b/>
          <w:bCs/>
          <w:color w:val="333333"/>
          <w:sz w:val="27"/>
          <w:szCs w:val="27"/>
          <w:lang w:eastAsia="en-GB"/>
        </w:rPr>
      </w:pPr>
      <w:r w:rsidRPr="00AB22D2">
        <w:rPr>
          <w:rFonts w:ascii="Barlow" w:hAnsi="Barlow"/>
          <w:b/>
          <w:bCs/>
          <w:color w:val="333333"/>
          <w:sz w:val="27"/>
          <w:szCs w:val="27"/>
          <w:lang w:eastAsia="en-GB"/>
        </w:rPr>
        <w:t xml:space="preserve">The landlord must apply to court to evict this tenant lawfully. </w:t>
      </w:r>
    </w:p>
    <w:p w14:paraId="70CFEFF3" w14:textId="20C9E427" w:rsidR="00AB22D2" w:rsidRDefault="00AB22D2" w:rsidP="00AB22D2">
      <w:pPr>
        <w:rPr>
          <w:rFonts w:ascii="Barlow" w:hAnsi="Barlow"/>
          <w:b/>
          <w:bCs/>
          <w:color w:val="333333"/>
          <w:sz w:val="32"/>
          <w:szCs w:val="32"/>
          <w:lang w:eastAsia="en-GB"/>
        </w:rPr>
      </w:pPr>
      <w:r w:rsidRPr="00AB22D2">
        <w:rPr>
          <w:rFonts w:ascii="Barlow" w:hAnsi="Barlow"/>
          <w:b/>
          <w:bCs/>
          <w:color w:val="333333"/>
          <w:sz w:val="32"/>
          <w:szCs w:val="32"/>
          <w:lang w:eastAsia="en-GB"/>
        </w:rPr>
        <w:t>WHAT</w:t>
      </w:r>
      <w:r>
        <w:rPr>
          <w:rFonts w:ascii="Barlow" w:hAnsi="Barlow"/>
          <w:b/>
          <w:bCs/>
          <w:color w:val="333333"/>
          <w:sz w:val="32"/>
          <w:szCs w:val="32"/>
          <w:lang w:eastAsia="en-GB"/>
        </w:rPr>
        <w:t xml:space="preserve"> POLICE OFFICERS CAN DO</w:t>
      </w:r>
    </w:p>
    <w:p w14:paraId="7C427811" w14:textId="629D802B" w:rsidR="00AB22D2" w:rsidRDefault="00AB22D2" w:rsidP="00AB22D2">
      <w:pPr>
        <w:pStyle w:val="ListParagraph"/>
        <w:numPr>
          <w:ilvl w:val="0"/>
          <w:numId w:val="6"/>
        </w:numPr>
        <w:rPr>
          <w:rFonts w:ascii="Barlow" w:hAnsi="Barlow"/>
          <w:color w:val="333333"/>
          <w:sz w:val="27"/>
          <w:szCs w:val="27"/>
          <w:lang w:eastAsia="en-GB"/>
        </w:rPr>
      </w:pPr>
      <w:r>
        <w:rPr>
          <w:rFonts w:ascii="Barlow" w:hAnsi="Barlow"/>
          <w:b/>
          <w:bCs/>
          <w:color w:val="333333"/>
          <w:sz w:val="27"/>
          <w:szCs w:val="27"/>
          <w:lang w:eastAsia="en-GB"/>
        </w:rPr>
        <w:t xml:space="preserve">WARN </w:t>
      </w:r>
      <w:r>
        <w:rPr>
          <w:rFonts w:ascii="Barlow" w:hAnsi="Barlow"/>
          <w:color w:val="333333"/>
          <w:sz w:val="27"/>
          <w:szCs w:val="27"/>
          <w:lang w:eastAsia="en-GB"/>
        </w:rPr>
        <w:t>the landlord or agent that they may well be committing a criminal offence and should leave.</w:t>
      </w:r>
    </w:p>
    <w:p w14:paraId="3777CF56" w14:textId="77777777" w:rsidR="00AB22D2" w:rsidRDefault="00AB22D2" w:rsidP="00AB22D2">
      <w:pPr>
        <w:pStyle w:val="ListParagraph"/>
        <w:numPr>
          <w:ilvl w:val="0"/>
          <w:numId w:val="6"/>
        </w:numPr>
        <w:rPr>
          <w:rFonts w:ascii="Barlow" w:hAnsi="Barlow"/>
          <w:color w:val="333333"/>
          <w:sz w:val="27"/>
          <w:szCs w:val="27"/>
          <w:lang w:eastAsia="en-GB"/>
        </w:rPr>
      </w:pPr>
      <w:r>
        <w:rPr>
          <w:rFonts w:ascii="Barlow" w:hAnsi="Barlow"/>
          <w:b/>
          <w:bCs/>
          <w:color w:val="333333"/>
          <w:sz w:val="27"/>
          <w:szCs w:val="27"/>
          <w:lang w:eastAsia="en-GB"/>
        </w:rPr>
        <w:t xml:space="preserve">PERSUADE </w:t>
      </w:r>
      <w:r>
        <w:rPr>
          <w:rFonts w:ascii="Barlow" w:hAnsi="Barlow"/>
          <w:color w:val="333333"/>
          <w:sz w:val="27"/>
          <w:szCs w:val="27"/>
          <w:lang w:eastAsia="en-GB"/>
        </w:rPr>
        <w:t>the landlord to let the tenant back in, change the locks back or give the tenant a key.</w:t>
      </w:r>
    </w:p>
    <w:p w14:paraId="56761F28" w14:textId="77777777" w:rsidR="00AB22D2" w:rsidRDefault="00AB22D2" w:rsidP="00AB22D2">
      <w:pPr>
        <w:pStyle w:val="ListParagraph"/>
        <w:numPr>
          <w:ilvl w:val="0"/>
          <w:numId w:val="6"/>
        </w:numPr>
        <w:rPr>
          <w:rFonts w:ascii="Barlow" w:hAnsi="Barlow"/>
          <w:color w:val="333333"/>
          <w:sz w:val="27"/>
          <w:szCs w:val="27"/>
          <w:lang w:eastAsia="en-GB"/>
        </w:rPr>
      </w:pPr>
      <w:r>
        <w:rPr>
          <w:rFonts w:ascii="Barlow" w:hAnsi="Barlow"/>
          <w:b/>
          <w:bCs/>
          <w:color w:val="333333"/>
          <w:sz w:val="27"/>
          <w:szCs w:val="27"/>
          <w:lang w:eastAsia="en-GB"/>
        </w:rPr>
        <w:t xml:space="preserve">GATHER EVIDENCE </w:t>
      </w:r>
      <w:r>
        <w:rPr>
          <w:rFonts w:ascii="Barlow" w:hAnsi="Barlow"/>
          <w:color w:val="333333"/>
          <w:sz w:val="27"/>
          <w:szCs w:val="27"/>
          <w:lang w:eastAsia="en-GB"/>
        </w:rPr>
        <w:t>that may be relevant to a criminal offence. This could include assault, breach of the peace or harassment under the Protection from Harassment Act 1997.</w:t>
      </w:r>
    </w:p>
    <w:p w14:paraId="0D3D11D5" w14:textId="77777777" w:rsidR="00AB22D2" w:rsidRDefault="00AB22D2" w:rsidP="00AB22D2">
      <w:pPr>
        <w:pStyle w:val="ListParagraph"/>
        <w:numPr>
          <w:ilvl w:val="0"/>
          <w:numId w:val="6"/>
        </w:numPr>
        <w:rPr>
          <w:rFonts w:ascii="Barlow" w:hAnsi="Barlow"/>
          <w:color w:val="333333"/>
          <w:sz w:val="27"/>
          <w:szCs w:val="27"/>
          <w:lang w:eastAsia="en-GB"/>
        </w:rPr>
      </w:pPr>
      <w:r>
        <w:rPr>
          <w:rFonts w:ascii="Barlow" w:hAnsi="Barlow"/>
          <w:b/>
          <w:bCs/>
          <w:color w:val="333333"/>
          <w:sz w:val="27"/>
          <w:szCs w:val="27"/>
          <w:lang w:eastAsia="en-GB"/>
        </w:rPr>
        <w:t xml:space="preserve">ARREST THE LANDLORD OR AGENT </w:t>
      </w:r>
      <w:r>
        <w:rPr>
          <w:rFonts w:ascii="Barlow" w:hAnsi="Barlow"/>
          <w:color w:val="333333"/>
          <w:sz w:val="27"/>
          <w:szCs w:val="27"/>
          <w:lang w:eastAsia="en-GB"/>
        </w:rPr>
        <w:t>under section 24(1), Police and Criminal Evidence Act 1984 if they are committing or about to commit an offence. This would include trying to get into the property against the wishes of the tenant.</w:t>
      </w:r>
    </w:p>
    <w:p w14:paraId="4F4ACD2F" w14:textId="53AB82EF" w:rsidR="00AB22D2" w:rsidRDefault="00AB22D2" w:rsidP="00AB22D2">
      <w:pPr>
        <w:pStyle w:val="ListParagraph"/>
        <w:numPr>
          <w:ilvl w:val="0"/>
          <w:numId w:val="6"/>
        </w:numPr>
        <w:rPr>
          <w:rFonts w:ascii="Barlow" w:hAnsi="Barlow"/>
          <w:color w:val="333333"/>
          <w:sz w:val="27"/>
          <w:szCs w:val="27"/>
          <w:lang w:eastAsia="en-GB"/>
        </w:rPr>
      </w:pPr>
      <w:r>
        <w:rPr>
          <w:rFonts w:ascii="Barlow" w:hAnsi="Barlow"/>
          <w:b/>
          <w:bCs/>
          <w:color w:val="333333"/>
          <w:sz w:val="27"/>
          <w:szCs w:val="27"/>
          <w:lang w:eastAsia="en-GB"/>
        </w:rPr>
        <w:t xml:space="preserve">REPORT THE LANDORD TO THE COUNCIL </w:t>
      </w:r>
      <w:r>
        <w:rPr>
          <w:rFonts w:ascii="Barlow" w:hAnsi="Barlow"/>
          <w:color w:val="333333"/>
          <w:sz w:val="27"/>
          <w:szCs w:val="27"/>
          <w:lang w:eastAsia="en-GB"/>
        </w:rPr>
        <w:t xml:space="preserve">– Use the </w:t>
      </w:r>
      <w:hyperlink r:id="rId5" w:history="1">
        <w:r w:rsidRPr="00AB22D2">
          <w:rPr>
            <w:rStyle w:val="Hyperlink"/>
            <w:rFonts w:ascii="Barlow" w:hAnsi="Barlow"/>
            <w:sz w:val="27"/>
            <w:szCs w:val="27"/>
            <w:lang w:eastAsia="en-GB"/>
          </w:rPr>
          <w:t>London Assembly website</w:t>
        </w:r>
      </w:hyperlink>
      <w:r w:rsidR="008239C9">
        <w:rPr>
          <w:rFonts w:ascii="Barlow" w:hAnsi="Barlow"/>
          <w:color w:val="333333"/>
          <w:sz w:val="27"/>
          <w:szCs w:val="27"/>
          <w:lang w:eastAsia="en-GB"/>
        </w:rPr>
        <w:t xml:space="preserve"> if in a London borough. Outside of London you should contact a tenancy</w:t>
      </w:r>
      <w:r>
        <w:rPr>
          <w:rFonts w:ascii="Barlow" w:hAnsi="Barlow"/>
          <w:color w:val="333333"/>
          <w:sz w:val="27"/>
          <w:szCs w:val="27"/>
          <w:lang w:eastAsia="en-GB"/>
        </w:rPr>
        <w:t xml:space="preserve"> </w:t>
      </w:r>
      <w:r w:rsidR="008239C9">
        <w:rPr>
          <w:rFonts w:ascii="Barlow" w:hAnsi="Barlow"/>
          <w:color w:val="333333"/>
          <w:sz w:val="27"/>
          <w:szCs w:val="27"/>
          <w:lang w:eastAsia="en-GB"/>
        </w:rPr>
        <w:t>relations officer or the private sector housing team.</w:t>
      </w:r>
    </w:p>
    <w:p w14:paraId="75CAE39C" w14:textId="35EC3E3F" w:rsidR="008239C9" w:rsidRDefault="008239C9" w:rsidP="00AB22D2">
      <w:pPr>
        <w:pStyle w:val="ListParagraph"/>
        <w:numPr>
          <w:ilvl w:val="0"/>
          <w:numId w:val="6"/>
        </w:numPr>
        <w:rPr>
          <w:rFonts w:ascii="Barlow" w:hAnsi="Barlow"/>
          <w:color w:val="333333"/>
          <w:sz w:val="27"/>
          <w:szCs w:val="27"/>
          <w:lang w:eastAsia="en-GB"/>
        </w:rPr>
      </w:pPr>
      <w:r>
        <w:rPr>
          <w:rFonts w:ascii="Barlow" w:hAnsi="Barlow"/>
          <w:b/>
          <w:bCs/>
          <w:color w:val="333333"/>
          <w:sz w:val="27"/>
          <w:szCs w:val="27"/>
          <w:lang w:eastAsia="en-GB"/>
        </w:rPr>
        <w:t xml:space="preserve">CONTACT THE COUNCIL’S HOMELESS TEAM </w:t>
      </w:r>
      <w:r>
        <w:rPr>
          <w:rFonts w:ascii="Barlow" w:hAnsi="Barlow"/>
          <w:color w:val="333333"/>
          <w:sz w:val="27"/>
          <w:szCs w:val="27"/>
          <w:lang w:eastAsia="en-GB"/>
        </w:rPr>
        <w:t>– If you cannot help the tenant to access their home, the homeless team may have a legal duty to provide emergency housing for some tenants. All councils have an out of hours team if it’s after 5pm.</w:t>
      </w:r>
    </w:p>
    <w:p w14:paraId="7417F6FE" w14:textId="77777777" w:rsidR="008239C9" w:rsidRDefault="008239C9" w:rsidP="008239C9">
      <w:pPr>
        <w:rPr>
          <w:rFonts w:ascii="Barlow" w:hAnsi="Barlow"/>
          <w:b/>
          <w:bCs/>
          <w:color w:val="333333"/>
          <w:sz w:val="32"/>
          <w:szCs w:val="32"/>
          <w:lang w:eastAsia="en-GB"/>
        </w:rPr>
      </w:pPr>
    </w:p>
    <w:p w14:paraId="431CBAC6" w14:textId="566B6C4D" w:rsidR="008239C9" w:rsidRDefault="008239C9" w:rsidP="008239C9">
      <w:pPr>
        <w:rPr>
          <w:rFonts w:ascii="Barlow" w:hAnsi="Barlow"/>
          <w:b/>
          <w:bCs/>
          <w:color w:val="333333"/>
          <w:sz w:val="32"/>
          <w:szCs w:val="32"/>
          <w:lang w:eastAsia="en-GB"/>
        </w:rPr>
      </w:pPr>
      <w:r>
        <w:rPr>
          <w:rFonts w:ascii="Barlow" w:hAnsi="Barlow"/>
          <w:b/>
          <w:bCs/>
          <w:color w:val="333333"/>
          <w:sz w:val="32"/>
          <w:szCs w:val="32"/>
          <w:lang w:eastAsia="en-GB"/>
        </w:rPr>
        <w:lastRenderedPageBreak/>
        <w:t>THE LAW</w:t>
      </w:r>
    </w:p>
    <w:p w14:paraId="330B5367" w14:textId="77777777" w:rsidR="008239C9" w:rsidRDefault="008239C9" w:rsidP="00AB22D2">
      <w:pPr>
        <w:rPr>
          <w:rFonts w:ascii="Barlow" w:hAnsi="Barlow"/>
          <w:color w:val="333333"/>
          <w:sz w:val="27"/>
          <w:szCs w:val="27"/>
          <w:lang w:eastAsia="en-GB"/>
        </w:rPr>
      </w:pPr>
      <w:r>
        <w:rPr>
          <w:rFonts w:ascii="Barlow" w:hAnsi="Barlow"/>
          <w:color w:val="333333"/>
          <w:sz w:val="27"/>
          <w:szCs w:val="27"/>
          <w:lang w:eastAsia="en-GB"/>
        </w:rPr>
        <w:t>All residential occupiers are protected from harassment and illegal eviction.</w:t>
      </w:r>
    </w:p>
    <w:p w14:paraId="65BF391D" w14:textId="77777777" w:rsidR="008239C9" w:rsidRDefault="008239C9" w:rsidP="00AB22D2">
      <w:pPr>
        <w:rPr>
          <w:rFonts w:ascii="Barlow" w:hAnsi="Barlow"/>
          <w:color w:val="333333"/>
          <w:sz w:val="27"/>
          <w:szCs w:val="27"/>
          <w:lang w:eastAsia="en-GB"/>
        </w:rPr>
      </w:pPr>
      <w:r>
        <w:rPr>
          <w:rFonts w:ascii="Barlow" w:hAnsi="Barlow"/>
          <w:color w:val="333333"/>
          <w:sz w:val="27"/>
          <w:szCs w:val="27"/>
          <w:lang w:eastAsia="en-GB"/>
        </w:rPr>
        <w:t xml:space="preserve">Under section 1, </w:t>
      </w:r>
      <w:r w:rsidR="00A314FD" w:rsidRPr="00A314FD">
        <w:rPr>
          <w:rFonts w:ascii="Barlow" w:hAnsi="Barlow"/>
          <w:color w:val="333333"/>
          <w:sz w:val="27"/>
          <w:szCs w:val="27"/>
          <w:lang w:eastAsia="en-GB"/>
        </w:rPr>
        <w:t>Protection from Eviction Act 1977</w:t>
      </w:r>
      <w:r>
        <w:rPr>
          <w:rFonts w:ascii="Barlow" w:hAnsi="Barlow"/>
          <w:color w:val="333333"/>
          <w:sz w:val="27"/>
          <w:szCs w:val="27"/>
          <w:lang w:eastAsia="en-GB"/>
        </w:rPr>
        <w:t xml:space="preserve"> it’s a criminal offence to:</w:t>
      </w:r>
    </w:p>
    <w:p w14:paraId="687E9BF0" w14:textId="77777777" w:rsidR="008239C9" w:rsidRDefault="008239C9" w:rsidP="008239C9">
      <w:pPr>
        <w:pStyle w:val="ListParagraph"/>
        <w:numPr>
          <w:ilvl w:val="0"/>
          <w:numId w:val="7"/>
        </w:numPr>
        <w:rPr>
          <w:rFonts w:ascii="Barlow" w:hAnsi="Barlow"/>
          <w:color w:val="333333"/>
          <w:sz w:val="27"/>
          <w:szCs w:val="27"/>
          <w:lang w:eastAsia="en-GB"/>
        </w:rPr>
      </w:pPr>
      <w:r>
        <w:rPr>
          <w:rFonts w:ascii="Barlow" w:hAnsi="Barlow"/>
          <w:color w:val="333333"/>
          <w:sz w:val="27"/>
          <w:szCs w:val="27"/>
          <w:lang w:eastAsia="en-GB"/>
        </w:rPr>
        <w:t>deliberately and unlawfully exclude the occupier from the property</w:t>
      </w:r>
    </w:p>
    <w:p w14:paraId="1A037B40" w14:textId="0F7421D8" w:rsidR="00A314FD" w:rsidRPr="008239C9" w:rsidRDefault="008239C9" w:rsidP="008239C9">
      <w:pPr>
        <w:pStyle w:val="ListParagraph"/>
        <w:numPr>
          <w:ilvl w:val="0"/>
          <w:numId w:val="7"/>
        </w:numPr>
        <w:rPr>
          <w:rFonts w:ascii="Barlow" w:hAnsi="Barlow"/>
          <w:color w:val="333333"/>
          <w:sz w:val="27"/>
          <w:szCs w:val="27"/>
          <w:lang w:eastAsia="en-GB"/>
        </w:rPr>
      </w:pPr>
      <w:r>
        <w:rPr>
          <w:rFonts w:ascii="Barlow" w:hAnsi="Barlow"/>
          <w:color w:val="333333"/>
          <w:sz w:val="27"/>
          <w:szCs w:val="27"/>
          <w:lang w:eastAsia="en-GB"/>
        </w:rPr>
        <w:t xml:space="preserve">carry out acts intended to cause the occupier to give up their home or their rights under the tenancy  </w:t>
      </w:r>
    </w:p>
    <w:p w14:paraId="29DA7D7E" w14:textId="0F810692" w:rsidR="008239C9" w:rsidRDefault="008239C9" w:rsidP="00AB22D2">
      <w:pPr>
        <w:rPr>
          <w:rFonts w:ascii="Barlow" w:hAnsi="Barlow"/>
          <w:color w:val="333333"/>
          <w:sz w:val="27"/>
          <w:szCs w:val="27"/>
          <w:lang w:eastAsia="en-GB"/>
        </w:rPr>
      </w:pPr>
      <w:r>
        <w:rPr>
          <w:rFonts w:ascii="Barlow" w:hAnsi="Barlow"/>
          <w:color w:val="333333"/>
          <w:sz w:val="27"/>
          <w:szCs w:val="27"/>
          <w:lang w:eastAsia="en-GB"/>
        </w:rPr>
        <w:t>The local authority can prosecute these offences.</w:t>
      </w:r>
    </w:p>
    <w:p w14:paraId="63E5DAB7" w14:textId="16471673" w:rsidR="008239C9" w:rsidRDefault="008239C9" w:rsidP="00AB22D2">
      <w:pPr>
        <w:rPr>
          <w:rFonts w:ascii="Barlow" w:hAnsi="Barlow"/>
          <w:color w:val="333333"/>
          <w:sz w:val="27"/>
          <w:szCs w:val="27"/>
          <w:lang w:eastAsia="en-GB"/>
        </w:rPr>
      </w:pPr>
      <w:r>
        <w:rPr>
          <w:rFonts w:ascii="Barlow" w:hAnsi="Barlow"/>
          <w:color w:val="333333"/>
          <w:sz w:val="27"/>
          <w:szCs w:val="27"/>
          <w:lang w:eastAsia="en-GB"/>
        </w:rPr>
        <w:t xml:space="preserve">Lodgers are not entitled to a court order before eviction. </w:t>
      </w:r>
      <w:r w:rsidR="00A97858">
        <w:rPr>
          <w:rFonts w:ascii="Barlow" w:hAnsi="Barlow"/>
          <w:color w:val="333333"/>
          <w:sz w:val="27"/>
          <w:szCs w:val="27"/>
          <w:lang w:eastAsia="en-GB"/>
        </w:rPr>
        <w:t>An</w:t>
      </w:r>
      <w:r>
        <w:rPr>
          <w:rFonts w:ascii="Barlow" w:hAnsi="Barlow"/>
          <w:color w:val="333333"/>
          <w:sz w:val="27"/>
          <w:szCs w:val="27"/>
          <w:lang w:eastAsia="en-GB"/>
        </w:rPr>
        <w:t xml:space="preserve"> occupier is only a lodger if the landlord </w:t>
      </w:r>
      <w:r w:rsidR="00A97858">
        <w:rPr>
          <w:rFonts w:ascii="Barlow" w:hAnsi="Barlow"/>
          <w:color w:val="333333"/>
          <w:sz w:val="27"/>
          <w:szCs w:val="27"/>
          <w:lang w:eastAsia="en-GB"/>
        </w:rPr>
        <w:t>lives</w:t>
      </w:r>
      <w:r>
        <w:rPr>
          <w:rFonts w:ascii="Barlow" w:hAnsi="Barlow"/>
          <w:color w:val="333333"/>
          <w:sz w:val="27"/>
          <w:szCs w:val="27"/>
          <w:lang w:eastAsia="en-GB"/>
        </w:rPr>
        <w:t xml:space="preserve"> there throughout the tenancy and they share living space.</w:t>
      </w:r>
    </w:p>
    <w:p w14:paraId="4059403C" w14:textId="54A1CF5D" w:rsidR="008239C9" w:rsidRDefault="00A97858" w:rsidP="00AB22D2">
      <w:pPr>
        <w:rPr>
          <w:rFonts w:ascii="Barlow" w:hAnsi="Barlow"/>
          <w:color w:val="333333"/>
          <w:sz w:val="27"/>
          <w:szCs w:val="27"/>
          <w:lang w:eastAsia="en-GB"/>
        </w:rPr>
      </w:pPr>
      <w:r>
        <w:rPr>
          <w:rFonts w:ascii="Barlow" w:hAnsi="Barlow"/>
          <w:color w:val="333333"/>
          <w:sz w:val="27"/>
          <w:szCs w:val="27"/>
          <w:lang w:eastAsia="en-GB"/>
        </w:rPr>
        <w:t>Squatters are not entitled to a court order before eviction. But an occupier is only a squatter if they entered the property knowing they were trespassing.</w:t>
      </w:r>
    </w:p>
    <w:p w14:paraId="302EF6B8" w14:textId="1C0C9A3A" w:rsidR="00E55389" w:rsidRPr="00E55389" w:rsidRDefault="00A97858" w:rsidP="00AB22D2">
      <w:r>
        <w:rPr>
          <w:rFonts w:ascii="Barlow" w:hAnsi="Barlow"/>
          <w:color w:val="333333"/>
          <w:sz w:val="27"/>
          <w:szCs w:val="27"/>
          <w:lang w:eastAsia="en-GB"/>
        </w:rPr>
        <w:t>A tenant with no written agreement or whose fixed term agreement has ended is still a tenant and can only be evicted lawfully by court bailiffs.</w:t>
      </w:r>
    </w:p>
    <w:sectPr w:rsidR="00E55389" w:rsidRPr="00E55389"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046953"/>
    <w:multiLevelType w:val="hybridMultilevel"/>
    <w:tmpl w:val="C4BC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E6CEA"/>
    <w:multiLevelType w:val="multilevel"/>
    <w:tmpl w:val="2CB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E1901"/>
    <w:multiLevelType w:val="hybridMultilevel"/>
    <w:tmpl w:val="C53418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A0"/>
    <w:rsid w:val="00037827"/>
    <w:rsid w:val="000A149C"/>
    <w:rsid w:val="000D5530"/>
    <w:rsid w:val="000E4D5B"/>
    <w:rsid w:val="0011366F"/>
    <w:rsid w:val="00190932"/>
    <w:rsid w:val="001B2168"/>
    <w:rsid w:val="00291C1C"/>
    <w:rsid w:val="002A1A10"/>
    <w:rsid w:val="002C0977"/>
    <w:rsid w:val="003C54D3"/>
    <w:rsid w:val="003D0BF6"/>
    <w:rsid w:val="003E0656"/>
    <w:rsid w:val="004A6532"/>
    <w:rsid w:val="00502526"/>
    <w:rsid w:val="005043E5"/>
    <w:rsid w:val="005A77C9"/>
    <w:rsid w:val="005F67E2"/>
    <w:rsid w:val="00612241"/>
    <w:rsid w:val="007433DF"/>
    <w:rsid w:val="00792BB1"/>
    <w:rsid w:val="008239C9"/>
    <w:rsid w:val="00837F64"/>
    <w:rsid w:val="008435A4"/>
    <w:rsid w:val="00920BFB"/>
    <w:rsid w:val="00980BD4"/>
    <w:rsid w:val="009A7573"/>
    <w:rsid w:val="009D5668"/>
    <w:rsid w:val="009F755D"/>
    <w:rsid w:val="00A2123E"/>
    <w:rsid w:val="00A314FD"/>
    <w:rsid w:val="00A65E0A"/>
    <w:rsid w:val="00A768B6"/>
    <w:rsid w:val="00A8399A"/>
    <w:rsid w:val="00A90A35"/>
    <w:rsid w:val="00A97858"/>
    <w:rsid w:val="00AA4230"/>
    <w:rsid w:val="00AB22D2"/>
    <w:rsid w:val="00B32BED"/>
    <w:rsid w:val="00BB00A0"/>
    <w:rsid w:val="00C77E43"/>
    <w:rsid w:val="00CB5DEB"/>
    <w:rsid w:val="00DA4925"/>
    <w:rsid w:val="00DF37FB"/>
    <w:rsid w:val="00E34D7E"/>
    <w:rsid w:val="00E43E54"/>
    <w:rsid w:val="00E55389"/>
    <w:rsid w:val="00F50888"/>
    <w:rsid w:val="00F867DE"/>
    <w:rsid w:val="00FA67EB"/>
    <w:rsid w:val="00FC3271"/>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4CD5D"/>
  <w15:chartTrackingRefBased/>
  <w15:docId w15:val="{C6575E81-F343-456C-9F80-628C77C8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link w:val="Heading3Char"/>
    <w:uiPriority w:val="9"/>
    <w:qFormat/>
    <w:rsid w:val="00CB5DEB"/>
    <w:pPr>
      <w:keepNext/>
      <w:spacing w:before="240" w:after="60"/>
      <w:outlineLvl w:val="2"/>
    </w:pPr>
    <w:rPr>
      <w:rFonts w:cs="Arial"/>
      <w:b/>
      <w:bCs/>
      <w:szCs w:val="26"/>
    </w:rPr>
  </w:style>
  <w:style w:type="paragraph" w:styleId="Heading4">
    <w:name w:val="heading 4"/>
    <w:basedOn w:val="Normal"/>
    <w:link w:val="Heading4Char"/>
    <w:uiPriority w:val="9"/>
    <w:qFormat/>
    <w:rsid w:val="00A314FD"/>
    <w:pPr>
      <w:spacing w:before="100" w:beforeAutospacing="1" w:after="100" w:afterAutospacing="1" w:line="240" w:lineRule="auto"/>
      <w:outlineLvl w:val="3"/>
    </w:pPr>
    <w:rPr>
      <w:rFonts w:ascii="Times New Roman" w:hAnsi="Times New Roman"/>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character" w:customStyle="1" w:styleId="Heading4Char">
    <w:name w:val="Heading 4 Char"/>
    <w:basedOn w:val="DefaultParagraphFont"/>
    <w:link w:val="Heading4"/>
    <w:uiPriority w:val="9"/>
    <w:rsid w:val="00A314FD"/>
    <w:rPr>
      <w:b/>
      <w:bCs/>
      <w:sz w:val="24"/>
      <w:szCs w:val="24"/>
    </w:rPr>
  </w:style>
  <w:style w:type="character" w:customStyle="1" w:styleId="Heading3Char">
    <w:name w:val="Heading 3 Char"/>
    <w:basedOn w:val="DefaultParagraphFont"/>
    <w:link w:val="Heading3"/>
    <w:uiPriority w:val="9"/>
    <w:rsid w:val="00A314FD"/>
    <w:rPr>
      <w:rFonts w:ascii="Arial" w:hAnsi="Arial" w:cs="Arial"/>
      <w:b/>
      <w:bCs/>
      <w:sz w:val="22"/>
      <w:szCs w:val="26"/>
      <w:lang w:eastAsia="en-US"/>
    </w:rPr>
  </w:style>
  <w:style w:type="paragraph" w:customStyle="1" w:styleId="stylesparagraph-sc-b5g0sm-0">
    <w:name w:val="styles__paragraph-sc-b5g0sm-0"/>
    <w:basedOn w:val="Normal"/>
    <w:rsid w:val="00A314FD"/>
    <w:pPr>
      <w:spacing w:before="100" w:beforeAutospacing="1" w:after="100" w:afterAutospacing="1" w:line="240" w:lineRule="auto"/>
    </w:pPr>
    <w:rPr>
      <w:rFonts w:ascii="Times New Roman" w:hAnsi="Times New Roman"/>
      <w:sz w:val="24"/>
      <w:lang w:eastAsia="en-GB"/>
    </w:rPr>
  </w:style>
  <w:style w:type="paragraph" w:styleId="BalloonText">
    <w:name w:val="Balloon Text"/>
    <w:basedOn w:val="Normal"/>
    <w:link w:val="BalloonTextChar"/>
    <w:uiPriority w:val="99"/>
    <w:semiHidden/>
    <w:unhideWhenUsed/>
    <w:rsid w:val="003D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F6"/>
    <w:rPr>
      <w:rFonts w:ascii="Segoe UI" w:hAnsi="Segoe UI" w:cs="Segoe UI"/>
      <w:sz w:val="18"/>
      <w:szCs w:val="18"/>
      <w:lang w:eastAsia="en-US"/>
    </w:rPr>
  </w:style>
  <w:style w:type="paragraph" w:styleId="ListParagraph">
    <w:name w:val="List Paragraph"/>
    <w:basedOn w:val="Normal"/>
    <w:uiPriority w:val="34"/>
    <w:qFormat/>
    <w:rsid w:val="00AB22D2"/>
    <w:pPr>
      <w:ind w:left="720"/>
      <w:contextualSpacing/>
    </w:pPr>
  </w:style>
  <w:style w:type="character" w:styleId="UnresolvedMention">
    <w:name w:val="Unresolved Mention"/>
    <w:basedOn w:val="DefaultParagraphFont"/>
    <w:uiPriority w:val="99"/>
    <w:semiHidden/>
    <w:unhideWhenUsed/>
    <w:rsid w:val="00AB2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4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gov.uk/what-we-do/housing-and-land/improving-private-rented-sector/report-rogue-landlord-or-ag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Illegal eviction information for the police</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eviction information for the police</dc:title>
  <dc:subject/>
  <dc:creator>DigitalAdvice@shelter.org.uk</dc:creator>
  <cp:keywords/>
  <dc:description/>
  <cp:lastModifiedBy>Jayne Atherton</cp:lastModifiedBy>
  <cp:revision>3</cp:revision>
  <dcterms:created xsi:type="dcterms:W3CDTF">2023-07-07T11:56:00Z</dcterms:created>
  <dcterms:modified xsi:type="dcterms:W3CDTF">2023-07-07T11:57:00Z</dcterms:modified>
</cp:coreProperties>
</file>