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7A" w:rsidRPr="00C54D07" w:rsidRDefault="00D6337A" w:rsidP="00D6337A">
      <w:pPr>
        <w:pStyle w:val="Heading2"/>
        <w:numPr>
          <w:ilvl w:val="0"/>
          <w:numId w:val="0"/>
        </w:numPr>
        <w:rPr>
          <w:sz w:val="22"/>
          <w:szCs w:val="22"/>
        </w:rPr>
      </w:pPr>
      <w:r w:rsidRPr="00C54D07">
        <w:rPr>
          <w:color w:val="000080"/>
          <w:sz w:val="22"/>
          <w:szCs w:val="22"/>
        </w:rPr>
        <w:t>COMPLIANCE OFFICER</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740"/>
      </w:tblGrid>
      <w:tr w:rsidR="00D6337A" w:rsidRPr="00C54D07" w:rsidTr="001B53E4">
        <w:trPr>
          <w:trHeight w:val="420"/>
        </w:trPr>
        <w:tc>
          <w:tcPr>
            <w:tcW w:w="1980" w:type="dxa"/>
            <w:shd w:val="clear" w:color="auto" w:fill="C0C0C0"/>
            <w:vAlign w:val="center"/>
          </w:tcPr>
          <w:p w:rsidR="00D6337A" w:rsidRPr="00C54D07" w:rsidRDefault="00D6337A" w:rsidP="001B53E4">
            <w:pPr>
              <w:spacing w:before="40" w:after="40"/>
              <w:rPr>
                <w:rFonts w:ascii="Arial" w:hAnsi="Arial" w:cs="Arial"/>
                <w:b/>
                <w:color w:val="FFFFFF"/>
              </w:rPr>
            </w:pPr>
            <w:r w:rsidRPr="00C54D07">
              <w:rPr>
                <w:rFonts w:ascii="Arial" w:hAnsi="Arial" w:cs="Arial"/>
                <w:sz w:val="22"/>
                <w:szCs w:val="22"/>
              </w:rPr>
              <w:br w:type="page"/>
            </w:r>
            <w:r w:rsidRPr="00C54D07">
              <w:rPr>
                <w:rFonts w:ascii="Arial" w:hAnsi="Arial" w:cs="Arial"/>
                <w:b/>
                <w:color w:val="FFFFFF"/>
                <w:sz w:val="22"/>
                <w:szCs w:val="22"/>
              </w:rPr>
              <w:br w:type="page"/>
              <w:t>Job Title:</w:t>
            </w:r>
          </w:p>
        </w:tc>
        <w:tc>
          <w:tcPr>
            <w:tcW w:w="7740" w:type="dxa"/>
            <w:vAlign w:val="center"/>
          </w:tcPr>
          <w:p w:rsidR="00D6337A" w:rsidRPr="00C54D07" w:rsidRDefault="00D6337A" w:rsidP="001B53E4">
            <w:pPr>
              <w:pStyle w:val="StyleLeft0cm"/>
              <w:spacing w:before="0"/>
              <w:rPr>
                <w:rFonts w:cs="Arial"/>
                <w:szCs w:val="22"/>
              </w:rPr>
            </w:pPr>
            <w:r w:rsidRPr="00C54D07">
              <w:rPr>
                <w:rFonts w:cs="Arial"/>
                <w:szCs w:val="22"/>
              </w:rPr>
              <w:t>Interim Compliance Officer</w:t>
            </w:r>
          </w:p>
        </w:tc>
      </w:tr>
      <w:tr w:rsidR="00D6337A" w:rsidRPr="00C54D07" w:rsidTr="001B53E4">
        <w:tc>
          <w:tcPr>
            <w:tcW w:w="1980" w:type="dxa"/>
            <w:shd w:val="clear" w:color="auto" w:fill="C0C0C0"/>
          </w:tcPr>
          <w:p w:rsidR="00D6337A" w:rsidRPr="00C54D07" w:rsidRDefault="00D6337A" w:rsidP="001B53E4">
            <w:pPr>
              <w:spacing w:before="40" w:after="40"/>
              <w:rPr>
                <w:rFonts w:ascii="Arial" w:hAnsi="Arial" w:cs="Arial"/>
                <w:b/>
                <w:color w:val="FFFFFF"/>
              </w:rPr>
            </w:pPr>
            <w:r w:rsidRPr="00C54D07">
              <w:rPr>
                <w:rFonts w:ascii="Arial" w:hAnsi="Arial" w:cs="Arial"/>
                <w:b/>
                <w:color w:val="FFFFFF"/>
                <w:sz w:val="22"/>
                <w:szCs w:val="22"/>
              </w:rPr>
              <w:t>Salary range</w:t>
            </w:r>
          </w:p>
        </w:tc>
        <w:tc>
          <w:tcPr>
            <w:tcW w:w="7740" w:type="dxa"/>
          </w:tcPr>
          <w:p w:rsidR="00D6337A" w:rsidRPr="00C54D07" w:rsidRDefault="00D6337A" w:rsidP="001B53E4">
            <w:pPr>
              <w:spacing w:before="40" w:after="40"/>
              <w:rPr>
                <w:rFonts w:ascii="Arial" w:hAnsi="Arial" w:cs="Arial"/>
              </w:rPr>
            </w:pPr>
          </w:p>
        </w:tc>
      </w:tr>
      <w:tr w:rsidR="00D6337A" w:rsidRPr="00C54D07" w:rsidTr="001B53E4">
        <w:tc>
          <w:tcPr>
            <w:tcW w:w="1980" w:type="dxa"/>
            <w:shd w:val="clear" w:color="auto" w:fill="C0C0C0"/>
          </w:tcPr>
          <w:p w:rsidR="00D6337A" w:rsidRPr="00C54D07" w:rsidRDefault="00D6337A" w:rsidP="001B53E4">
            <w:pPr>
              <w:spacing w:before="40" w:after="40"/>
              <w:rPr>
                <w:rFonts w:ascii="Arial" w:hAnsi="Arial" w:cs="Arial"/>
                <w:b/>
                <w:color w:val="FFFFFF"/>
              </w:rPr>
            </w:pPr>
            <w:r w:rsidRPr="00C54D07">
              <w:rPr>
                <w:rFonts w:ascii="Arial" w:hAnsi="Arial" w:cs="Arial"/>
                <w:b/>
                <w:color w:val="FFFFFF"/>
                <w:sz w:val="22"/>
                <w:szCs w:val="22"/>
              </w:rPr>
              <w:t>Reports to:</w:t>
            </w:r>
          </w:p>
        </w:tc>
        <w:tc>
          <w:tcPr>
            <w:tcW w:w="7740" w:type="dxa"/>
          </w:tcPr>
          <w:p w:rsidR="00D6337A" w:rsidRPr="00C54D07" w:rsidRDefault="00D6337A" w:rsidP="001B53E4">
            <w:pPr>
              <w:spacing w:before="40" w:after="40"/>
              <w:rPr>
                <w:rFonts w:ascii="Arial" w:hAnsi="Arial" w:cs="Arial"/>
              </w:rPr>
            </w:pPr>
            <w:r w:rsidRPr="00C54D07">
              <w:rPr>
                <w:rFonts w:ascii="Arial" w:hAnsi="Arial" w:cs="Arial"/>
                <w:sz w:val="22"/>
                <w:szCs w:val="22"/>
              </w:rPr>
              <w:t>IPSA Chair and Board Members</w:t>
            </w:r>
          </w:p>
        </w:tc>
      </w:tr>
      <w:tr w:rsidR="00D6337A" w:rsidRPr="00C54D07" w:rsidTr="001B53E4">
        <w:tc>
          <w:tcPr>
            <w:tcW w:w="9720" w:type="dxa"/>
            <w:gridSpan w:val="2"/>
            <w:shd w:val="clear" w:color="auto" w:fill="C0C0C0"/>
          </w:tcPr>
          <w:p w:rsidR="00D6337A" w:rsidRPr="00C54D07" w:rsidRDefault="00D6337A" w:rsidP="001B53E4">
            <w:pPr>
              <w:spacing w:before="40" w:after="40"/>
              <w:jc w:val="center"/>
              <w:rPr>
                <w:rFonts w:ascii="Arial" w:hAnsi="Arial" w:cs="Arial"/>
                <w:b/>
                <w:color w:val="FFFFFF"/>
              </w:rPr>
            </w:pPr>
            <w:r w:rsidRPr="00C54D07">
              <w:rPr>
                <w:rFonts w:ascii="Arial" w:hAnsi="Arial" w:cs="Arial"/>
                <w:b/>
                <w:color w:val="FFFFFF"/>
                <w:sz w:val="22"/>
                <w:szCs w:val="22"/>
              </w:rPr>
              <w:t>Job Role</w:t>
            </w:r>
          </w:p>
        </w:tc>
      </w:tr>
      <w:tr w:rsidR="00D6337A" w:rsidRPr="00C54D07" w:rsidTr="001B53E4">
        <w:tc>
          <w:tcPr>
            <w:tcW w:w="1980" w:type="dxa"/>
            <w:shd w:val="clear" w:color="auto" w:fill="C0C0C0"/>
          </w:tcPr>
          <w:p w:rsidR="00D6337A" w:rsidRPr="00C54D07" w:rsidRDefault="00D6337A" w:rsidP="001B53E4">
            <w:pPr>
              <w:spacing w:before="40" w:after="40"/>
              <w:rPr>
                <w:rFonts w:ascii="Arial" w:hAnsi="Arial" w:cs="Arial"/>
                <w:b/>
                <w:color w:val="FFFFFF"/>
              </w:rPr>
            </w:pPr>
            <w:r w:rsidRPr="00C54D07">
              <w:rPr>
                <w:rFonts w:ascii="Arial" w:hAnsi="Arial" w:cs="Arial"/>
                <w:b/>
                <w:color w:val="FFFFFF"/>
                <w:sz w:val="22"/>
                <w:szCs w:val="22"/>
              </w:rPr>
              <w:t>Role Overview:</w:t>
            </w:r>
          </w:p>
        </w:tc>
        <w:tc>
          <w:tcPr>
            <w:tcW w:w="7740" w:type="dxa"/>
          </w:tcPr>
          <w:p w:rsidR="00D6337A" w:rsidRPr="00C54D07" w:rsidRDefault="00D6337A" w:rsidP="001B53E4">
            <w:pPr>
              <w:spacing w:before="40" w:after="40"/>
              <w:rPr>
                <w:rFonts w:ascii="Arial" w:hAnsi="Arial" w:cs="Arial"/>
              </w:rPr>
            </w:pPr>
            <w:r w:rsidRPr="00C54D07">
              <w:rPr>
                <w:rFonts w:ascii="Arial" w:hAnsi="Arial" w:cs="Arial"/>
                <w:sz w:val="22"/>
                <w:szCs w:val="22"/>
              </w:rPr>
              <w:t xml:space="preserve">The Compliance Officer will be responsible for ensuring that complaints about MPs’ expenses claims are investigated thoroughly and effectively, following a robust, transparent and fair process, and for reviewing IPSA’s determinations where asked to by an MP. In conducting investigations and reviews, the Compliance Officer will be expected to make sound and well-reasoned decisions. The Compliance Officer will be operating at arm’s length from the other functions of the IPSA, and will be required to act assertively and independently in the exercise of his or her functions. </w:t>
            </w:r>
          </w:p>
          <w:p w:rsidR="00D6337A" w:rsidRPr="00C54D07" w:rsidRDefault="00D6337A" w:rsidP="001B53E4">
            <w:pPr>
              <w:spacing w:before="40" w:after="40"/>
              <w:rPr>
                <w:rFonts w:ascii="Arial" w:hAnsi="Arial" w:cs="Arial"/>
              </w:rPr>
            </w:pPr>
          </w:p>
        </w:tc>
      </w:tr>
      <w:tr w:rsidR="00D6337A" w:rsidRPr="00C54D07" w:rsidTr="001B53E4">
        <w:tc>
          <w:tcPr>
            <w:tcW w:w="1980" w:type="dxa"/>
            <w:shd w:val="clear" w:color="auto" w:fill="C0C0C0"/>
          </w:tcPr>
          <w:p w:rsidR="00D6337A" w:rsidRPr="00C54D07" w:rsidRDefault="00D6337A" w:rsidP="001B53E4">
            <w:pPr>
              <w:spacing w:before="40" w:after="40"/>
              <w:rPr>
                <w:rFonts w:ascii="Arial" w:hAnsi="Arial" w:cs="Arial"/>
                <w:b/>
                <w:color w:val="FFFFFF"/>
              </w:rPr>
            </w:pPr>
            <w:r w:rsidRPr="00C54D07">
              <w:rPr>
                <w:rFonts w:ascii="Arial" w:hAnsi="Arial" w:cs="Arial"/>
                <w:b/>
                <w:color w:val="FFFFFF"/>
                <w:sz w:val="22"/>
                <w:szCs w:val="22"/>
              </w:rPr>
              <w:t>Responsibilities:</w:t>
            </w:r>
          </w:p>
        </w:tc>
        <w:tc>
          <w:tcPr>
            <w:tcW w:w="7740" w:type="dxa"/>
          </w:tcPr>
          <w:p w:rsidR="00D6337A" w:rsidRPr="00C54D07" w:rsidRDefault="00D6337A" w:rsidP="001B53E4">
            <w:pPr>
              <w:overflowPunct w:val="0"/>
              <w:autoSpaceDE w:val="0"/>
              <w:autoSpaceDN w:val="0"/>
              <w:adjustRightInd w:val="0"/>
              <w:spacing w:before="40" w:after="40"/>
              <w:textAlignment w:val="baseline"/>
              <w:rPr>
                <w:rFonts w:ascii="Arial" w:hAnsi="Arial" w:cs="Arial"/>
              </w:rPr>
            </w:pPr>
            <w:r w:rsidRPr="00C54D07">
              <w:rPr>
                <w:rFonts w:ascii="Arial" w:hAnsi="Arial" w:cs="Arial"/>
                <w:sz w:val="22"/>
                <w:szCs w:val="22"/>
              </w:rPr>
              <w:t>The specific functions of the compliance officer are:</w:t>
            </w:r>
          </w:p>
          <w:p w:rsidR="00D6337A" w:rsidRPr="00C54D07" w:rsidRDefault="00D6337A" w:rsidP="00D6337A">
            <w:pPr>
              <w:pStyle w:val="ListParagraph"/>
              <w:numPr>
                <w:ilvl w:val="0"/>
                <w:numId w:val="4"/>
              </w:numPr>
              <w:overflowPunct w:val="0"/>
              <w:autoSpaceDE w:val="0"/>
              <w:autoSpaceDN w:val="0"/>
              <w:adjustRightInd w:val="0"/>
              <w:spacing w:before="40" w:after="40"/>
              <w:jc w:val="both"/>
              <w:textAlignment w:val="baseline"/>
              <w:rPr>
                <w:rFonts w:ascii="Arial" w:hAnsi="Arial" w:cs="Arial"/>
              </w:rPr>
            </w:pPr>
            <w:r w:rsidRPr="00C54D07">
              <w:rPr>
                <w:rFonts w:ascii="Arial" w:hAnsi="Arial" w:cs="Arial"/>
                <w:sz w:val="22"/>
                <w:szCs w:val="22"/>
              </w:rPr>
              <w:t>Conducting investigations about an MP’s expenses claim on his or her own initiative, at the request of IPSA or the MP, or in response to a complaint from a member of the public.</w:t>
            </w:r>
          </w:p>
          <w:p w:rsidR="00D6337A" w:rsidRPr="00C54D07" w:rsidRDefault="00D6337A" w:rsidP="00D6337A">
            <w:pPr>
              <w:pStyle w:val="ListParagraph"/>
              <w:numPr>
                <w:ilvl w:val="0"/>
                <w:numId w:val="4"/>
              </w:numPr>
              <w:overflowPunct w:val="0"/>
              <w:autoSpaceDE w:val="0"/>
              <w:autoSpaceDN w:val="0"/>
              <w:adjustRightInd w:val="0"/>
              <w:spacing w:before="40" w:after="40"/>
              <w:jc w:val="both"/>
              <w:textAlignment w:val="baseline"/>
              <w:rPr>
                <w:rFonts w:ascii="Arial" w:hAnsi="Arial" w:cs="Arial"/>
              </w:rPr>
            </w:pPr>
            <w:r w:rsidRPr="00C54D07">
              <w:rPr>
                <w:rFonts w:ascii="Arial" w:hAnsi="Arial" w:cs="Arial"/>
                <w:sz w:val="22"/>
                <w:szCs w:val="22"/>
              </w:rPr>
              <w:t>Ensuring that investigations are fair and thorough by requesting that the MP and IPSA provide relevant information, imposing penalty orders for non-compliance where necessary, and ensuring that the procedural rights of the MP are protected.</w:t>
            </w:r>
          </w:p>
          <w:p w:rsidR="00D6337A" w:rsidRPr="00C54D07" w:rsidRDefault="00D6337A" w:rsidP="00D6337A">
            <w:pPr>
              <w:pStyle w:val="ListParagraph"/>
              <w:numPr>
                <w:ilvl w:val="0"/>
                <w:numId w:val="4"/>
              </w:numPr>
              <w:overflowPunct w:val="0"/>
              <w:autoSpaceDE w:val="0"/>
              <w:autoSpaceDN w:val="0"/>
              <w:adjustRightInd w:val="0"/>
              <w:spacing w:before="40" w:after="40"/>
              <w:jc w:val="both"/>
              <w:textAlignment w:val="baseline"/>
              <w:rPr>
                <w:rFonts w:ascii="Arial" w:hAnsi="Arial" w:cs="Arial"/>
              </w:rPr>
            </w:pPr>
            <w:r w:rsidRPr="00C54D07">
              <w:rPr>
                <w:rFonts w:ascii="Arial" w:hAnsi="Arial" w:cs="Arial"/>
                <w:sz w:val="22"/>
                <w:szCs w:val="22"/>
              </w:rPr>
              <w:t>Making repayment directions requiring the restitution of wrongly paid allowances.</w:t>
            </w:r>
          </w:p>
          <w:p w:rsidR="00D6337A" w:rsidRPr="00C54D07" w:rsidRDefault="00D6337A" w:rsidP="00D6337A">
            <w:pPr>
              <w:pStyle w:val="ListParagraph"/>
              <w:numPr>
                <w:ilvl w:val="0"/>
                <w:numId w:val="4"/>
              </w:numPr>
              <w:overflowPunct w:val="0"/>
              <w:autoSpaceDE w:val="0"/>
              <w:autoSpaceDN w:val="0"/>
              <w:adjustRightInd w:val="0"/>
              <w:spacing w:before="40" w:after="40"/>
              <w:jc w:val="both"/>
              <w:textAlignment w:val="baseline"/>
              <w:rPr>
                <w:rFonts w:ascii="Arial" w:hAnsi="Arial" w:cs="Arial"/>
              </w:rPr>
            </w:pPr>
            <w:r w:rsidRPr="00C54D07">
              <w:rPr>
                <w:rFonts w:ascii="Arial" w:hAnsi="Arial" w:cs="Arial"/>
                <w:sz w:val="22"/>
                <w:szCs w:val="22"/>
              </w:rPr>
              <w:t>Referring cases to other relevant bodies where necessary (including the Parliamentary Commissioner for Standards and the prosecuting authorities).</w:t>
            </w:r>
          </w:p>
          <w:p w:rsidR="00D6337A" w:rsidRPr="00C54D07" w:rsidRDefault="00D6337A" w:rsidP="00D6337A">
            <w:pPr>
              <w:pStyle w:val="ListParagraph"/>
              <w:numPr>
                <w:ilvl w:val="0"/>
                <w:numId w:val="4"/>
              </w:numPr>
              <w:overflowPunct w:val="0"/>
              <w:autoSpaceDE w:val="0"/>
              <w:autoSpaceDN w:val="0"/>
              <w:adjustRightInd w:val="0"/>
              <w:spacing w:before="40" w:after="40"/>
              <w:jc w:val="both"/>
              <w:textAlignment w:val="baseline"/>
              <w:rPr>
                <w:rFonts w:ascii="Arial" w:hAnsi="Arial" w:cs="Arial"/>
              </w:rPr>
            </w:pPr>
            <w:r w:rsidRPr="00C54D07">
              <w:rPr>
                <w:rFonts w:ascii="Arial" w:hAnsi="Arial" w:cs="Arial"/>
                <w:sz w:val="22"/>
                <w:szCs w:val="22"/>
              </w:rPr>
              <w:t xml:space="preserve">Explaining the role of Compliance Officer to a range of </w:t>
            </w:r>
            <w:r w:rsidRPr="00C54D07">
              <w:rPr>
                <w:rFonts w:ascii="Arial" w:hAnsi="Arial" w:cs="Arial"/>
                <w:sz w:val="22"/>
                <w:szCs w:val="22"/>
              </w:rPr>
              <w:lastRenderedPageBreak/>
              <w:t>interested parties and contributing to greater public understanding of the MPs’ expenses scheme, his/her role and the wider work of the IPSA.</w:t>
            </w:r>
          </w:p>
          <w:p w:rsidR="00D6337A" w:rsidRPr="00C54D07" w:rsidRDefault="00D6337A" w:rsidP="00D6337A">
            <w:pPr>
              <w:pStyle w:val="ListParagraph"/>
              <w:numPr>
                <w:ilvl w:val="0"/>
                <w:numId w:val="4"/>
              </w:numPr>
              <w:overflowPunct w:val="0"/>
              <w:autoSpaceDE w:val="0"/>
              <w:autoSpaceDN w:val="0"/>
              <w:adjustRightInd w:val="0"/>
              <w:spacing w:before="40" w:after="40"/>
              <w:jc w:val="both"/>
              <w:textAlignment w:val="baseline"/>
              <w:rPr>
                <w:rFonts w:ascii="Arial" w:hAnsi="Arial" w:cs="Arial"/>
              </w:rPr>
            </w:pPr>
            <w:r w:rsidRPr="00C54D07">
              <w:rPr>
                <w:rFonts w:ascii="Arial" w:hAnsi="Arial" w:cs="Arial"/>
                <w:sz w:val="22"/>
                <w:szCs w:val="22"/>
              </w:rPr>
              <w:t xml:space="preserve">Providing leadership and direction to a small team handling the investigations. </w:t>
            </w:r>
          </w:p>
          <w:p w:rsidR="00D6337A" w:rsidRPr="00C54D07" w:rsidRDefault="00D6337A" w:rsidP="00D6337A">
            <w:pPr>
              <w:pStyle w:val="ListParagraph"/>
              <w:numPr>
                <w:ilvl w:val="0"/>
                <w:numId w:val="4"/>
              </w:numPr>
              <w:overflowPunct w:val="0"/>
              <w:autoSpaceDE w:val="0"/>
              <w:autoSpaceDN w:val="0"/>
              <w:adjustRightInd w:val="0"/>
              <w:spacing w:before="40" w:after="40"/>
              <w:jc w:val="both"/>
              <w:textAlignment w:val="baseline"/>
              <w:rPr>
                <w:rFonts w:ascii="Arial" w:hAnsi="Arial" w:cs="Arial"/>
              </w:rPr>
            </w:pPr>
            <w:r w:rsidRPr="00C54D07">
              <w:rPr>
                <w:rFonts w:ascii="Arial" w:hAnsi="Arial" w:cs="Arial"/>
                <w:sz w:val="22"/>
                <w:szCs w:val="22"/>
              </w:rPr>
              <w:t xml:space="preserve">Publishing findings of investigations and making regular reports to interested parties as to any learning and/or outcomes from investigations. </w:t>
            </w:r>
          </w:p>
          <w:p w:rsidR="00D6337A" w:rsidRPr="00C54D07" w:rsidRDefault="00D6337A" w:rsidP="001B53E4">
            <w:pPr>
              <w:overflowPunct w:val="0"/>
              <w:autoSpaceDE w:val="0"/>
              <w:autoSpaceDN w:val="0"/>
              <w:adjustRightInd w:val="0"/>
              <w:spacing w:before="40" w:after="40"/>
              <w:ind w:left="360"/>
              <w:jc w:val="both"/>
              <w:textAlignment w:val="baseline"/>
              <w:rPr>
                <w:rFonts w:ascii="Arial" w:hAnsi="Arial" w:cs="Arial"/>
              </w:rPr>
            </w:pPr>
          </w:p>
          <w:p w:rsidR="00D6337A" w:rsidRPr="00C54D07" w:rsidRDefault="00D6337A" w:rsidP="001B53E4">
            <w:pPr>
              <w:overflowPunct w:val="0"/>
              <w:autoSpaceDE w:val="0"/>
              <w:autoSpaceDN w:val="0"/>
              <w:adjustRightInd w:val="0"/>
              <w:spacing w:before="40" w:after="40"/>
              <w:ind w:left="360"/>
              <w:jc w:val="both"/>
              <w:textAlignment w:val="baseline"/>
              <w:rPr>
                <w:rFonts w:ascii="Arial" w:hAnsi="Arial" w:cs="Arial"/>
              </w:rPr>
            </w:pPr>
            <w:r w:rsidRPr="00C54D07">
              <w:rPr>
                <w:rFonts w:ascii="Arial" w:hAnsi="Arial" w:cs="Arial"/>
                <w:sz w:val="22"/>
                <w:szCs w:val="22"/>
              </w:rPr>
              <w:t>These functions are discharged by the compliance officer and additional responsibilities may be added.</w:t>
            </w:r>
          </w:p>
        </w:tc>
      </w:tr>
      <w:tr w:rsidR="00D6337A" w:rsidRPr="00C54D07" w:rsidTr="001B53E4">
        <w:tc>
          <w:tcPr>
            <w:tcW w:w="9720" w:type="dxa"/>
            <w:gridSpan w:val="2"/>
            <w:shd w:val="clear" w:color="auto" w:fill="C0C0C0"/>
          </w:tcPr>
          <w:p w:rsidR="00D6337A" w:rsidRPr="00C54D07" w:rsidRDefault="00D6337A" w:rsidP="001B53E4">
            <w:pPr>
              <w:overflowPunct w:val="0"/>
              <w:autoSpaceDE w:val="0"/>
              <w:autoSpaceDN w:val="0"/>
              <w:adjustRightInd w:val="0"/>
              <w:spacing w:before="40" w:after="40"/>
              <w:jc w:val="center"/>
              <w:textAlignment w:val="baseline"/>
              <w:rPr>
                <w:rFonts w:ascii="Arial" w:hAnsi="Arial" w:cs="Arial"/>
                <w:b/>
                <w:color w:val="FFFFFF"/>
              </w:rPr>
            </w:pPr>
            <w:r w:rsidRPr="00C54D07">
              <w:rPr>
                <w:rFonts w:ascii="Arial" w:hAnsi="Arial" w:cs="Arial"/>
                <w:b/>
                <w:color w:val="FFFFFF"/>
                <w:sz w:val="22"/>
                <w:szCs w:val="22"/>
              </w:rPr>
              <w:lastRenderedPageBreak/>
              <w:t>Person Specification</w:t>
            </w:r>
          </w:p>
        </w:tc>
      </w:tr>
      <w:tr w:rsidR="00D6337A" w:rsidRPr="00C54D07" w:rsidTr="001B53E4">
        <w:tc>
          <w:tcPr>
            <w:tcW w:w="1980" w:type="dxa"/>
            <w:shd w:val="clear" w:color="auto" w:fill="C0C0C0"/>
          </w:tcPr>
          <w:p w:rsidR="00D6337A" w:rsidRPr="00C54D07" w:rsidRDefault="00D6337A" w:rsidP="001B53E4">
            <w:pPr>
              <w:spacing w:before="40" w:after="40"/>
              <w:rPr>
                <w:rFonts w:ascii="Arial" w:hAnsi="Arial" w:cs="Arial"/>
                <w:b/>
                <w:color w:val="FFFFFF"/>
              </w:rPr>
            </w:pPr>
            <w:r w:rsidRPr="00C54D07">
              <w:rPr>
                <w:rFonts w:ascii="Arial" w:hAnsi="Arial" w:cs="Arial"/>
                <w:b/>
                <w:color w:val="FFFFFF"/>
                <w:sz w:val="22"/>
                <w:szCs w:val="22"/>
              </w:rPr>
              <w:t>Skills, Knowledge and Experience Required</w:t>
            </w:r>
          </w:p>
        </w:tc>
        <w:tc>
          <w:tcPr>
            <w:tcW w:w="7740" w:type="dxa"/>
          </w:tcPr>
          <w:p w:rsidR="00D6337A" w:rsidRPr="00C54D07" w:rsidRDefault="00D6337A" w:rsidP="001B53E4">
            <w:pPr>
              <w:rPr>
                <w:rFonts w:ascii="Arial" w:hAnsi="Arial" w:cs="Arial"/>
                <w:b/>
              </w:rPr>
            </w:pPr>
            <w:r w:rsidRPr="00C54D07">
              <w:rPr>
                <w:rFonts w:ascii="Arial" w:hAnsi="Arial" w:cs="Arial"/>
                <w:sz w:val="22"/>
                <w:szCs w:val="22"/>
              </w:rPr>
              <w:t>The successful applicant will be able to give evidence of:</w:t>
            </w:r>
            <w:r w:rsidRPr="00C54D07">
              <w:rPr>
                <w:rFonts w:ascii="Arial" w:hAnsi="Arial" w:cs="Arial"/>
                <w:sz w:val="22"/>
                <w:szCs w:val="22"/>
              </w:rPr>
              <w:br/>
            </w:r>
            <w:r w:rsidRPr="00C54D07">
              <w:rPr>
                <w:rFonts w:ascii="Arial" w:hAnsi="Arial" w:cs="Arial"/>
                <w:sz w:val="22"/>
                <w:szCs w:val="22"/>
              </w:rPr>
              <w:br/>
            </w:r>
            <w:r w:rsidRPr="00C54D07">
              <w:rPr>
                <w:rFonts w:ascii="Arial" w:hAnsi="Arial" w:cs="Arial"/>
                <w:b/>
                <w:sz w:val="22"/>
                <w:szCs w:val="22"/>
              </w:rPr>
              <w:t>Part One</w:t>
            </w:r>
          </w:p>
          <w:p w:rsidR="00D6337A" w:rsidRPr="00C54D07" w:rsidRDefault="00D6337A" w:rsidP="001B53E4">
            <w:pPr>
              <w:rPr>
                <w:rFonts w:ascii="Arial" w:hAnsi="Arial" w:cs="Arial"/>
              </w:rPr>
            </w:pPr>
          </w:p>
          <w:p w:rsidR="00D6337A" w:rsidRPr="00C54D07" w:rsidRDefault="00D6337A" w:rsidP="00D6337A">
            <w:pPr>
              <w:numPr>
                <w:ilvl w:val="0"/>
                <w:numId w:val="2"/>
              </w:numPr>
              <w:rPr>
                <w:rFonts w:ascii="Arial" w:hAnsi="Arial" w:cs="Arial"/>
              </w:rPr>
            </w:pPr>
            <w:r w:rsidRPr="00C54D07">
              <w:rPr>
                <w:rFonts w:ascii="Arial" w:hAnsi="Arial" w:cs="Arial"/>
                <w:sz w:val="22"/>
                <w:szCs w:val="22"/>
              </w:rPr>
              <w:t>A proven track record in an investigatory, audit or forensic accounting role at a senior level and within a comparably complex environment</w:t>
            </w:r>
          </w:p>
          <w:p w:rsidR="00D6337A" w:rsidRPr="00C54D07" w:rsidRDefault="00D6337A" w:rsidP="00D6337A">
            <w:pPr>
              <w:numPr>
                <w:ilvl w:val="0"/>
                <w:numId w:val="2"/>
              </w:numPr>
              <w:rPr>
                <w:rFonts w:ascii="Arial" w:hAnsi="Arial" w:cs="Arial"/>
              </w:rPr>
            </w:pPr>
            <w:r w:rsidRPr="00C54D07">
              <w:rPr>
                <w:rFonts w:ascii="Arial" w:hAnsi="Arial" w:cs="Arial"/>
                <w:sz w:val="22"/>
                <w:szCs w:val="22"/>
              </w:rPr>
              <w:t>Demonstrable experience of interpreting and implementing a complex framework of rules and regulations whilst remaining pragmatic and focused on reaching a satisfactory outcome</w:t>
            </w:r>
          </w:p>
          <w:p w:rsidR="00D6337A" w:rsidRPr="00C54D07" w:rsidRDefault="00D6337A" w:rsidP="00D6337A">
            <w:pPr>
              <w:numPr>
                <w:ilvl w:val="0"/>
                <w:numId w:val="2"/>
              </w:numPr>
              <w:rPr>
                <w:rFonts w:ascii="Arial" w:hAnsi="Arial" w:cs="Arial"/>
              </w:rPr>
            </w:pPr>
            <w:r w:rsidRPr="00C54D07">
              <w:rPr>
                <w:rFonts w:ascii="Arial" w:hAnsi="Arial" w:cs="Arial"/>
                <w:sz w:val="22"/>
                <w:szCs w:val="22"/>
              </w:rPr>
              <w:t>Successful track record of operating under significant public scrutiny, handling sensitive and confidential information and delivering credible judgements in the face of media and/or public pressure</w:t>
            </w:r>
          </w:p>
          <w:p w:rsidR="00D6337A" w:rsidRPr="00C54D07" w:rsidRDefault="00D6337A" w:rsidP="00D6337A">
            <w:pPr>
              <w:numPr>
                <w:ilvl w:val="0"/>
                <w:numId w:val="2"/>
              </w:numPr>
              <w:rPr>
                <w:rFonts w:ascii="Arial" w:hAnsi="Arial" w:cs="Arial"/>
              </w:rPr>
            </w:pPr>
            <w:r w:rsidRPr="00C54D07">
              <w:rPr>
                <w:rFonts w:ascii="Arial" w:hAnsi="Arial" w:cs="Arial"/>
                <w:sz w:val="22"/>
                <w:szCs w:val="22"/>
              </w:rPr>
              <w:t>Proven ability to function in a highly politicised environment, remaining neutral and demonstrating genuine independence and impartiality</w:t>
            </w:r>
          </w:p>
          <w:p w:rsidR="00D6337A" w:rsidRPr="00C54D07" w:rsidRDefault="00D6337A" w:rsidP="00D6337A">
            <w:pPr>
              <w:numPr>
                <w:ilvl w:val="0"/>
                <w:numId w:val="2"/>
              </w:numPr>
              <w:rPr>
                <w:rFonts w:ascii="Arial" w:hAnsi="Arial" w:cs="Arial"/>
              </w:rPr>
            </w:pPr>
            <w:r w:rsidRPr="00C54D07">
              <w:rPr>
                <w:rFonts w:ascii="Arial" w:hAnsi="Arial" w:cs="Arial"/>
                <w:sz w:val="22"/>
                <w:szCs w:val="22"/>
              </w:rPr>
              <w:t xml:space="preserve">Demonstrable personal authority and the ability to establish credibility with the public, Members of Parliament and </w:t>
            </w:r>
            <w:r w:rsidR="003E7C30">
              <w:rPr>
                <w:rFonts w:ascii="Arial" w:hAnsi="Arial" w:cs="Arial"/>
                <w:sz w:val="22"/>
                <w:szCs w:val="22"/>
              </w:rPr>
              <w:t>other stakeholders, building rapport</w:t>
            </w:r>
            <w:r w:rsidRPr="00C54D07">
              <w:rPr>
                <w:rFonts w:ascii="Arial" w:hAnsi="Arial" w:cs="Arial"/>
                <w:sz w:val="22"/>
                <w:szCs w:val="22"/>
              </w:rPr>
              <w:t xml:space="preserve"> and establishing trust</w:t>
            </w:r>
          </w:p>
          <w:p w:rsidR="00D6337A" w:rsidRPr="00C54D07" w:rsidRDefault="00D6337A" w:rsidP="00D6337A">
            <w:pPr>
              <w:numPr>
                <w:ilvl w:val="0"/>
                <w:numId w:val="2"/>
              </w:numPr>
              <w:rPr>
                <w:rFonts w:ascii="Arial" w:hAnsi="Arial" w:cs="Arial"/>
              </w:rPr>
            </w:pPr>
            <w:r w:rsidRPr="00C54D07">
              <w:rPr>
                <w:rFonts w:ascii="Arial" w:hAnsi="Arial" w:cs="Arial"/>
                <w:sz w:val="22"/>
                <w:szCs w:val="22"/>
              </w:rPr>
              <w:lastRenderedPageBreak/>
              <w:t>A penetrating and independent mind, excellent judgement and highly developed analytical skills;</w:t>
            </w:r>
          </w:p>
          <w:p w:rsidR="00D6337A" w:rsidRPr="00C54D07" w:rsidRDefault="00D6337A" w:rsidP="001B53E4">
            <w:pPr>
              <w:rPr>
                <w:rFonts w:ascii="Arial" w:hAnsi="Arial" w:cs="Arial"/>
              </w:rPr>
            </w:pPr>
          </w:p>
          <w:p w:rsidR="00D6337A" w:rsidRPr="00C54D07" w:rsidRDefault="00D6337A" w:rsidP="001B53E4">
            <w:pPr>
              <w:rPr>
                <w:rFonts w:ascii="Arial" w:hAnsi="Arial" w:cs="Arial"/>
                <w:b/>
              </w:rPr>
            </w:pPr>
            <w:r w:rsidRPr="00C54D07">
              <w:rPr>
                <w:rFonts w:ascii="Arial" w:hAnsi="Arial" w:cs="Arial"/>
                <w:b/>
                <w:sz w:val="22"/>
                <w:szCs w:val="22"/>
              </w:rPr>
              <w:t xml:space="preserve">Part two </w:t>
            </w:r>
          </w:p>
          <w:p w:rsidR="00D6337A" w:rsidRPr="00C54D07" w:rsidRDefault="00D6337A" w:rsidP="001B53E4">
            <w:pPr>
              <w:rPr>
                <w:rFonts w:ascii="Arial" w:hAnsi="Arial" w:cs="Arial"/>
              </w:rPr>
            </w:pPr>
          </w:p>
          <w:p w:rsidR="00D6337A" w:rsidRPr="00C54D07" w:rsidRDefault="00D6337A" w:rsidP="00D6337A">
            <w:pPr>
              <w:numPr>
                <w:ilvl w:val="0"/>
                <w:numId w:val="3"/>
              </w:numPr>
              <w:rPr>
                <w:rFonts w:ascii="Arial" w:hAnsi="Arial" w:cs="Arial"/>
              </w:rPr>
            </w:pPr>
            <w:r w:rsidRPr="00C54D07">
              <w:rPr>
                <w:rFonts w:ascii="Arial" w:hAnsi="Arial" w:cs="Arial"/>
                <w:sz w:val="22"/>
                <w:szCs w:val="22"/>
              </w:rPr>
              <w:t>demonstrable integrity, independence and impartiality</w:t>
            </w:r>
          </w:p>
          <w:p w:rsidR="00D6337A" w:rsidRPr="00C54D07" w:rsidRDefault="00D6337A" w:rsidP="00D6337A">
            <w:pPr>
              <w:numPr>
                <w:ilvl w:val="0"/>
                <w:numId w:val="3"/>
              </w:numPr>
              <w:rPr>
                <w:rFonts w:ascii="Arial" w:hAnsi="Arial" w:cs="Arial"/>
              </w:rPr>
            </w:pPr>
            <w:r w:rsidRPr="00C54D07">
              <w:rPr>
                <w:rFonts w:ascii="Arial" w:hAnsi="Arial" w:cs="Arial"/>
                <w:sz w:val="22"/>
                <w:szCs w:val="22"/>
              </w:rPr>
              <w:t>ability to scrutinize, challenge and hold to account</w:t>
            </w:r>
          </w:p>
          <w:p w:rsidR="00D6337A" w:rsidRPr="00C54D07" w:rsidRDefault="00D6337A" w:rsidP="00D6337A">
            <w:pPr>
              <w:numPr>
                <w:ilvl w:val="0"/>
                <w:numId w:val="3"/>
              </w:numPr>
              <w:rPr>
                <w:rFonts w:ascii="Arial" w:hAnsi="Arial" w:cs="Arial"/>
              </w:rPr>
            </w:pPr>
            <w:r w:rsidRPr="00C54D07">
              <w:rPr>
                <w:rFonts w:ascii="Arial" w:hAnsi="Arial" w:cs="Arial"/>
                <w:sz w:val="22"/>
                <w:szCs w:val="22"/>
              </w:rPr>
              <w:t>ability to work autonomously and self-sufficiently utilising persuasion and influencing skills effectively in a high profile environment</w:t>
            </w:r>
          </w:p>
          <w:p w:rsidR="00D6337A" w:rsidRPr="00C54D07" w:rsidRDefault="00D6337A" w:rsidP="00D6337A">
            <w:pPr>
              <w:numPr>
                <w:ilvl w:val="0"/>
                <w:numId w:val="3"/>
              </w:numPr>
              <w:rPr>
                <w:rFonts w:ascii="Arial" w:hAnsi="Arial" w:cs="Arial"/>
              </w:rPr>
            </w:pPr>
            <w:r w:rsidRPr="00C54D07">
              <w:rPr>
                <w:rFonts w:ascii="Arial" w:hAnsi="Arial" w:cs="Arial"/>
                <w:sz w:val="22"/>
                <w:szCs w:val="22"/>
              </w:rPr>
              <w:t>ability to project and promote a confident, robust and resilient attitude at all times, providing appropriate challenge where necessary</w:t>
            </w:r>
          </w:p>
          <w:p w:rsidR="00D6337A" w:rsidRPr="00C54D07" w:rsidRDefault="00D6337A" w:rsidP="00D6337A">
            <w:pPr>
              <w:numPr>
                <w:ilvl w:val="0"/>
                <w:numId w:val="3"/>
              </w:numPr>
              <w:rPr>
                <w:rFonts w:ascii="Arial" w:hAnsi="Arial" w:cs="Arial"/>
              </w:rPr>
            </w:pPr>
            <w:r w:rsidRPr="00C54D07">
              <w:rPr>
                <w:rFonts w:ascii="Arial" w:hAnsi="Arial" w:cs="Arial"/>
                <w:sz w:val="22"/>
                <w:szCs w:val="22"/>
              </w:rPr>
              <w:t>highly sophisticated political awareness, subtlety, tact and absolute discretion</w:t>
            </w:r>
          </w:p>
          <w:p w:rsidR="00D6337A" w:rsidRPr="00C54D07" w:rsidRDefault="00D6337A" w:rsidP="00D6337A">
            <w:pPr>
              <w:numPr>
                <w:ilvl w:val="0"/>
                <w:numId w:val="3"/>
              </w:numPr>
              <w:rPr>
                <w:rFonts w:ascii="Arial" w:hAnsi="Arial" w:cs="Arial"/>
              </w:rPr>
            </w:pPr>
            <w:r w:rsidRPr="00C54D07">
              <w:rPr>
                <w:rFonts w:ascii="Arial" w:hAnsi="Arial" w:cs="Arial"/>
                <w:sz w:val="22"/>
                <w:szCs w:val="22"/>
              </w:rPr>
              <w:t>a sophisticated, shrewd understanding of the respective roles and responsibilities of the key bodies involved</w:t>
            </w:r>
          </w:p>
          <w:p w:rsidR="00D6337A" w:rsidRPr="00C54D07" w:rsidRDefault="00D6337A" w:rsidP="00D6337A">
            <w:pPr>
              <w:numPr>
                <w:ilvl w:val="0"/>
                <w:numId w:val="3"/>
              </w:numPr>
              <w:rPr>
                <w:rFonts w:ascii="Arial" w:hAnsi="Arial" w:cs="Arial"/>
              </w:rPr>
            </w:pPr>
            <w:bookmarkStart w:id="0" w:name="OLE_LINK7"/>
            <w:bookmarkStart w:id="1" w:name="OLE_LINK8"/>
            <w:r w:rsidRPr="00C54D07">
              <w:rPr>
                <w:rFonts w:ascii="Arial" w:hAnsi="Arial" w:cs="Arial"/>
                <w:sz w:val="22"/>
                <w:szCs w:val="22"/>
              </w:rPr>
              <w:t>Confident and effective communication skills with an interpersonal influence that will succeed with a range of audiences and under intense media scrutiny</w:t>
            </w:r>
          </w:p>
          <w:p w:rsidR="00D6337A" w:rsidRPr="00C54D07" w:rsidRDefault="00D6337A" w:rsidP="00D6337A">
            <w:pPr>
              <w:numPr>
                <w:ilvl w:val="0"/>
                <w:numId w:val="3"/>
              </w:numPr>
              <w:rPr>
                <w:rFonts w:ascii="Arial" w:hAnsi="Arial" w:cs="Arial"/>
              </w:rPr>
            </w:pPr>
            <w:bookmarkStart w:id="2" w:name="OLE_LINK9"/>
            <w:bookmarkStart w:id="3" w:name="OLE_LINK10"/>
            <w:bookmarkEnd w:id="0"/>
            <w:bookmarkEnd w:id="1"/>
            <w:r w:rsidRPr="00C54D07">
              <w:rPr>
                <w:rFonts w:ascii="Arial" w:hAnsi="Arial" w:cs="Arial"/>
                <w:sz w:val="22"/>
                <w:szCs w:val="22"/>
              </w:rPr>
              <w:t>An understanding and commitment to the values of accountability, probity, openness and independence and to unquestionable standards in public life.</w:t>
            </w:r>
            <w:bookmarkEnd w:id="2"/>
            <w:bookmarkEnd w:id="3"/>
          </w:p>
          <w:p w:rsidR="00D6337A" w:rsidRPr="00C54D07" w:rsidRDefault="00D6337A" w:rsidP="001B53E4">
            <w:pPr>
              <w:tabs>
                <w:tab w:val="num" w:pos="389"/>
              </w:tabs>
              <w:overflowPunct w:val="0"/>
              <w:autoSpaceDE w:val="0"/>
              <w:autoSpaceDN w:val="0"/>
              <w:adjustRightInd w:val="0"/>
              <w:spacing w:before="40" w:after="40"/>
              <w:ind w:left="389"/>
              <w:jc w:val="both"/>
              <w:textAlignment w:val="baseline"/>
              <w:rPr>
                <w:rFonts w:ascii="Arial" w:hAnsi="Arial" w:cs="Arial"/>
              </w:rPr>
            </w:pPr>
          </w:p>
        </w:tc>
      </w:tr>
    </w:tbl>
    <w:p w:rsidR="00D6337A" w:rsidRPr="00C54D07" w:rsidRDefault="00D6337A" w:rsidP="00D6337A">
      <w:pPr>
        <w:rPr>
          <w:rFonts w:ascii="Arial" w:hAnsi="Arial" w:cs="Arial"/>
          <w:sz w:val="22"/>
          <w:szCs w:val="22"/>
        </w:rPr>
      </w:pPr>
    </w:p>
    <w:p w:rsidR="00D6337A" w:rsidRPr="00C54D07" w:rsidRDefault="00D6337A" w:rsidP="00D6337A">
      <w:pPr>
        <w:rPr>
          <w:rFonts w:ascii="Arial" w:hAnsi="Arial" w:cs="Arial"/>
          <w:sz w:val="22"/>
          <w:szCs w:val="22"/>
        </w:rPr>
      </w:pPr>
    </w:p>
    <w:p w:rsidR="00D6337A" w:rsidRPr="00C54D07" w:rsidRDefault="00D6337A" w:rsidP="00D6337A">
      <w:pPr>
        <w:rPr>
          <w:rFonts w:ascii="Arial" w:hAnsi="Arial" w:cs="Arial"/>
          <w:sz w:val="22"/>
          <w:szCs w:val="22"/>
        </w:rPr>
      </w:pPr>
    </w:p>
    <w:p w:rsidR="00D6337A" w:rsidRPr="00C54D07" w:rsidRDefault="00D6337A" w:rsidP="00D6337A">
      <w:pPr>
        <w:rPr>
          <w:rFonts w:ascii="Arial" w:hAnsi="Arial" w:cs="Arial"/>
          <w:sz w:val="22"/>
          <w:szCs w:val="22"/>
        </w:rPr>
      </w:pPr>
    </w:p>
    <w:p w:rsidR="00D6337A" w:rsidRPr="00C54D07" w:rsidRDefault="00D6337A" w:rsidP="00D6337A">
      <w:pPr>
        <w:rPr>
          <w:rFonts w:ascii="Arial" w:hAnsi="Arial" w:cs="Arial"/>
          <w:sz w:val="22"/>
          <w:szCs w:val="22"/>
        </w:rPr>
      </w:pPr>
    </w:p>
    <w:p w:rsidR="00D6337A" w:rsidRPr="00C54D07"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D6337A" w:rsidRDefault="00D6337A" w:rsidP="00D6337A">
      <w:pPr>
        <w:rPr>
          <w:rFonts w:ascii="Arial" w:hAnsi="Arial" w:cs="Arial"/>
          <w:sz w:val="22"/>
          <w:szCs w:val="22"/>
        </w:rPr>
      </w:pPr>
    </w:p>
    <w:p w:rsidR="00B57663" w:rsidRDefault="00123C93"/>
    <w:sectPr w:rsidR="00B57663" w:rsidSect="00273B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7A2"/>
    <w:multiLevelType w:val="hybridMultilevel"/>
    <w:tmpl w:val="E652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9592A"/>
    <w:multiLevelType w:val="multilevel"/>
    <w:tmpl w:val="AD94873C"/>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180"/>
        </w:tabs>
        <w:ind w:left="18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3E09294C"/>
    <w:multiLevelType w:val="hybridMultilevel"/>
    <w:tmpl w:val="F962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948E1"/>
    <w:multiLevelType w:val="hybridMultilevel"/>
    <w:tmpl w:val="3866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37A"/>
    <w:rsid w:val="00005ED3"/>
    <w:rsid w:val="00013E9B"/>
    <w:rsid w:val="00021E89"/>
    <w:rsid w:val="00024C2E"/>
    <w:rsid w:val="00027161"/>
    <w:rsid w:val="00045723"/>
    <w:rsid w:val="00047457"/>
    <w:rsid w:val="000639D1"/>
    <w:rsid w:val="00067918"/>
    <w:rsid w:val="00067CE4"/>
    <w:rsid w:val="000711E0"/>
    <w:rsid w:val="00072C7D"/>
    <w:rsid w:val="00073F78"/>
    <w:rsid w:val="0007598F"/>
    <w:rsid w:val="0008584D"/>
    <w:rsid w:val="00091624"/>
    <w:rsid w:val="0009249D"/>
    <w:rsid w:val="00093413"/>
    <w:rsid w:val="00094341"/>
    <w:rsid w:val="00096048"/>
    <w:rsid w:val="000A2A3F"/>
    <w:rsid w:val="000B1E4F"/>
    <w:rsid w:val="000C703E"/>
    <w:rsid w:val="000E4575"/>
    <w:rsid w:val="000E7BCD"/>
    <w:rsid w:val="000F6385"/>
    <w:rsid w:val="0011285B"/>
    <w:rsid w:val="0011470E"/>
    <w:rsid w:val="00116AC4"/>
    <w:rsid w:val="00121837"/>
    <w:rsid w:val="00123C93"/>
    <w:rsid w:val="00130F7D"/>
    <w:rsid w:val="0014120F"/>
    <w:rsid w:val="001453CF"/>
    <w:rsid w:val="0014590A"/>
    <w:rsid w:val="001476F5"/>
    <w:rsid w:val="001570C8"/>
    <w:rsid w:val="001741AE"/>
    <w:rsid w:val="0017436F"/>
    <w:rsid w:val="00174F43"/>
    <w:rsid w:val="00175C3E"/>
    <w:rsid w:val="00176ACF"/>
    <w:rsid w:val="001935C7"/>
    <w:rsid w:val="001A677A"/>
    <w:rsid w:val="001B079B"/>
    <w:rsid w:val="001B7357"/>
    <w:rsid w:val="001C4A6B"/>
    <w:rsid w:val="001D0973"/>
    <w:rsid w:val="001D7E32"/>
    <w:rsid w:val="001E118F"/>
    <w:rsid w:val="0021040A"/>
    <w:rsid w:val="00213D61"/>
    <w:rsid w:val="0023435B"/>
    <w:rsid w:val="0023436A"/>
    <w:rsid w:val="00236D6D"/>
    <w:rsid w:val="00237423"/>
    <w:rsid w:val="00243833"/>
    <w:rsid w:val="00251225"/>
    <w:rsid w:val="002675DB"/>
    <w:rsid w:val="00273A61"/>
    <w:rsid w:val="00273B86"/>
    <w:rsid w:val="002743F0"/>
    <w:rsid w:val="0027442C"/>
    <w:rsid w:val="002A4B35"/>
    <w:rsid w:val="002A702E"/>
    <w:rsid w:val="002A7E10"/>
    <w:rsid w:val="002B1F10"/>
    <w:rsid w:val="002C363C"/>
    <w:rsid w:val="002D1EF8"/>
    <w:rsid w:val="002D2769"/>
    <w:rsid w:val="00320E37"/>
    <w:rsid w:val="00330017"/>
    <w:rsid w:val="00333598"/>
    <w:rsid w:val="003412C8"/>
    <w:rsid w:val="0034204C"/>
    <w:rsid w:val="00346418"/>
    <w:rsid w:val="003475C2"/>
    <w:rsid w:val="0035374A"/>
    <w:rsid w:val="00360AE3"/>
    <w:rsid w:val="00361B90"/>
    <w:rsid w:val="00363D5C"/>
    <w:rsid w:val="00394122"/>
    <w:rsid w:val="003D6660"/>
    <w:rsid w:val="003E5666"/>
    <w:rsid w:val="003E74FC"/>
    <w:rsid w:val="003E7C30"/>
    <w:rsid w:val="003F04E8"/>
    <w:rsid w:val="003F1023"/>
    <w:rsid w:val="00400AFB"/>
    <w:rsid w:val="004034EC"/>
    <w:rsid w:val="0040468F"/>
    <w:rsid w:val="0043544A"/>
    <w:rsid w:val="00437B7E"/>
    <w:rsid w:val="00442B30"/>
    <w:rsid w:val="00452C55"/>
    <w:rsid w:val="0047057D"/>
    <w:rsid w:val="00474CFE"/>
    <w:rsid w:val="004753DD"/>
    <w:rsid w:val="004760E1"/>
    <w:rsid w:val="00493288"/>
    <w:rsid w:val="00496FEA"/>
    <w:rsid w:val="00497A84"/>
    <w:rsid w:val="004A4289"/>
    <w:rsid w:val="004B5F3E"/>
    <w:rsid w:val="004C4CE9"/>
    <w:rsid w:val="004C6163"/>
    <w:rsid w:val="004C7204"/>
    <w:rsid w:val="004F657A"/>
    <w:rsid w:val="00500146"/>
    <w:rsid w:val="005114E2"/>
    <w:rsid w:val="005124D5"/>
    <w:rsid w:val="00513D4D"/>
    <w:rsid w:val="005178EB"/>
    <w:rsid w:val="0052197F"/>
    <w:rsid w:val="0054338C"/>
    <w:rsid w:val="0055679D"/>
    <w:rsid w:val="00573F8B"/>
    <w:rsid w:val="00595A28"/>
    <w:rsid w:val="005B0C5E"/>
    <w:rsid w:val="005C2E34"/>
    <w:rsid w:val="005E4F75"/>
    <w:rsid w:val="005E532F"/>
    <w:rsid w:val="005E7FFD"/>
    <w:rsid w:val="005F3FCF"/>
    <w:rsid w:val="005F532C"/>
    <w:rsid w:val="006029A9"/>
    <w:rsid w:val="00614B14"/>
    <w:rsid w:val="00632CA8"/>
    <w:rsid w:val="00632E9D"/>
    <w:rsid w:val="00632EB2"/>
    <w:rsid w:val="00674A6E"/>
    <w:rsid w:val="00687C5B"/>
    <w:rsid w:val="006C5362"/>
    <w:rsid w:val="006D1B2D"/>
    <w:rsid w:val="006D1B3A"/>
    <w:rsid w:val="006D4E36"/>
    <w:rsid w:val="006D6ED5"/>
    <w:rsid w:val="006F332B"/>
    <w:rsid w:val="006F3D81"/>
    <w:rsid w:val="00700B46"/>
    <w:rsid w:val="0070646E"/>
    <w:rsid w:val="0070753F"/>
    <w:rsid w:val="00723EFD"/>
    <w:rsid w:val="00724CE3"/>
    <w:rsid w:val="00726C89"/>
    <w:rsid w:val="00744A17"/>
    <w:rsid w:val="007540B9"/>
    <w:rsid w:val="0075612C"/>
    <w:rsid w:val="00756227"/>
    <w:rsid w:val="00760C46"/>
    <w:rsid w:val="007676FA"/>
    <w:rsid w:val="00792357"/>
    <w:rsid w:val="007B2DC2"/>
    <w:rsid w:val="007C7B24"/>
    <w:rsid w:val="007F4BB2"/>
    <w:rsid w:val="00802BD7"/>
    <w:rsid w:val="00802F10"/>
    <w:rsid w:val="00805DED"/>
    <w:rsid w:val="00812746"/>
    <w:rsid w:val="008165DA"/>
    <w:rsid w:val="00821C3C"/>
    <w:rsid w:val="00845261"/>
    <w:rsid w:val="00845B95"/>
    <w:rsid w:val="008468A3"/>
    <w:rsid w:val="00854833"/>
    <w:rsid w:val="00883EEF"/>
    <w:rsid w:val="00895112"/>
    <w:rsid w:val="0089671B"/>
    <w:rsid w:val="008A1B3A"/>
    <w:rsid w:val="008B2C15"/>
    <w:rsid w:val="008B6D23"/>
    <w:rsid w:val="008D3C1E"/>
    <w:rsid w:val="008D6ADE"/>
    <w:rsid w:val="008E5D6F"/>
    <w:rsid w:val="008E7C2D"/>
    <w:rsid w:val="008F3262"/>
    <w:rsid w:val="008F5B67"/>
    <w:rsid w:val="008F795B"/>
    <w:rsid w:val="009017E0"/>
    <w:rsid w:val="00906D01"/>
    <w:rsid w:val="00911A6C"/>
    <w:rsid w:val="00917B6E"/>
    <w:rsid w:val="00923675"/>
    <w:rsid w:val="00936D44"/>
    <w:rsid w:val="009558B6"/>
    <w:rsid w:val="009610EE"/>
    <w:rsid w:val="0096753E"/>
    <w:rsid w:val="00976891"/>
    <w:rsid w:val="009819D7"/>
    <w:rsid w:val="0098266E"/>
    <w:rsid w:val="0098617C"/>
    <w:rsid w:val="0098694C"/>
    <w:rsid w:val="009A0902"/>
    <w:rsid w:val="009A0971"/>
    <w:rsid w:val="009A13E7"/>
    <w:rsid w:val="009A7474"/>
    <w:rsid w:val="009B4EDF"/>
    <w:rsid w:val="009B5189"/>
    <w:rsid w:val="009C52E2"/>
    <w:rsid w:val="009C6F7E"/>
    <w:rsid w:val="009C7F64"/>
    <w:rsid w:val="009D5160"/>
    <w:rsid w:val="009D6DA0"/>
    <w:rsid w:val="009D7E7C"/>
    <w:rsid w:val="009E05DE"/>
    <w:rsid w:val="009F011E"/>
    <w:rsid w:val="00A17918"/>
    <w:rsid w:val="00A22563"/>
    <w:rsid w:val="00A248C8"/>
    <w:rsid w:val="00A36086"/>
    <w:rsid w:val="00A41D3E"/>
    <w:rsid w:val="00A43069"/>
    <w:rsid w:val="00A433AF"/>
    <w:rsid w:val="00A45CEF"/>
    <w:rsid w:val="00A66F7E"/>
    <w:rsid w:val="00A707E4"/>
    <w:rsid w:val="00A85ED3"/>
    <w:rsid w:val="00A947F1"/>
    <w:rsid w:val="00A95B47"/>
    <w:rsid w:val="00AA1EB6"/>
    <w:rsid w:val="00AB0B06"/>
    <w:rsid w:val="00AB493A"/>
    <w:rsid w:val="00AE2407"/>
    <w:rsid w:val="00AF1217"/>
    <w:rsid w:val="00AF22FC"/>
    <w:rsid w:val="00AF35EB"/>
    <w:rsid w:val="00B1789D"/>
    <w:rsid w:val="00B2212B"/>
    <w:rsid w:val="00B25EDD"/>
    <w:rsid w:val="00B37175"/>
    <w:rsid w:val="00B41600"/>
    <w:rsid w:val="00B4309D"/>
    <w:rsid w:val="00B520B1"/>
    <w:rsid w:val="00B52CCB"/>
    <w:rsid w:val="00B536C1"/>
    <w:rsid w:val="00B745B4"/>
    <w:rsid w:val="00B912B8"/>
    <w:rsid w:val="00B966BD"/>
    <w:rsid w:val="00BA2B8C"/>
    <w:rsid w:val="00BA472F"/>
    <w:rsid w:val="00BB2E40"/>
    <w:rsid w:val="00BB3BAB"/>
    <w:rsid w:val="00BB4EFA"/>
    <w:rsid w:val="00BC1AF4"/>
    <w:rsid w:val="00BC24DF"/>
    <w:rsid w:val="00BF742E"/>
    <w:rsid w:val="00C10D49"/>
    <w:rsid w:val="00C15A7E"/>
    <w:rsid w:val="00C25A67"/>
    <w:rsid w:val="00C360E4"/>
    <w:rsid w:val="00C46D61"/>
    <w:rsid w:val="00C5129D"/>
    <w:rsid w:val="00C53ED8"/>
    <w:rsid w:val="00C561E4"/>
    <w:rsid w:val="00C57B08"/>
    <w:rsid w:val="00C80FC9"/>
    <w:rsid w:val="00C85EC2"/>
    <w:rsid w:val="00C9282B"/>
    <w:rsid w:val="00CB22FB"/>
    <w:rsid w:val="00CB4096"/>
    <w:rsid w:val="00CE5164"/>
    <w:rsid w:val="00D056ED"/>
    <w:rsid w:val="00D15221"/>
    <w:rsid w:val="00D24D48"/>
    <w:rsid w:val="00D36F45"/>
    <w:rsid w:val="00D4343B"/>
    <w:rsid w:val="00D51BB7"/>
    <w:rsid w:val="00D6337A"/>
    <w:rsid w:val="00D67FD4"/>
    <w:rsid w:val="00D71246"/>
    <w:rsid w:val="00D738E7"/>
    <w:rsid w:val="00D81FAE"/>
    <w:rsid w:val="00DA7909"/>
    <w:rsid w:val="00DB1B2C"/>
    <w:rsid w:val="00DD440D"/>
    <w:rsid w:val="00DE37F6"/>
    <w:rsid w:val="00DE7A2F"/>
    <w:rsid w:val="00E02830"/>
    <w:rsid w:val="00E152F2"/>
    <w:rsid w:val="00E66A54"/>
    <w:rsid w:val="00E675C8"/>
    <w:rsid w:val="00E7307D"/>
    <w:rsid w:val="00E82848"/>
    <w:rsid w:val="00E86C64"/>
    <w:rsid w:val="00E930AC"/>
    <w:rsid w:val="00EA7582"/>
    <w:rsid w:val="00EB6638"/>
    <w:rsid w:val="00EE3187"/>
    <w:rsid w:val="00EE4E95"/>
    <w:rsid w:val="00EF218E"/>
    <w:rsid w:val="00EF45F4"/>
    <w:rsid w:val="00F06C46"/>
    <w:rsid w:val="00F1264D"/>
    <w:rsid w:val="00F1571F"/>
    <w:rsid w:val="00F17BFF"/>
    <w:rsid w:val="00F226FD"/>
    <w:rsid w:val="00F4410C"/>
    <w:rsid w:val="00F44BD6"/>
    <w:rsid w:val="00F45359"/>
    <w:rsid w:val="00F46B24"/>
    <w:rsid w:val="00F4714E"/>
    <w:rsid w:val="00F57078"/>
    <w:rsid w:val="00F712B0"/>
    <w:rsid w:val="00F73726"/>
    <w:rsid w:val="00F7651C"/>
    <w:rsid w:val="00F82D19"/>
    <w:rsid w:val="00F842F4"/>
    <w:rsid w:val="00F8508B"/>
    <w:rsid w:val="00F95866"/>
    <w:rsid w:val="00FA1B4B"/>
    <w:rsid w:val="00FB40E5"/>
    <w:rsid w:val="00FB510E"/>
    <w:rsid w:val="00FC13F1"/>
    <w:rsid w:val="00FC7B3A"/>
    <w:rsid w:val="00FD10A6"/>
    <w:rsid w:val="00FD20F3"/>
    <w:rsid w:val="00FD2BD2"/>
    <w:rsid w:val="00FE07F9"/>
    <w:rsid w:val="00FE618F"/>
    <w:rsid w:val="00FF001D"/>
    <w:rsid w:val="00FF247A"/>
    <w:rsid w:val="00FF5305"/>
    <w:rsid w:val="00FF6C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D6337A"/>
    <w:pPr>
      <w:keepNext/>
      <w:keepLines/>
      <w:pageBreakBefore/>
      <w:numPr>
        <w:numId w:val="1"/>
      </w:numPr>
      <w:overflowPunct w:val="0"/>
      <w:autoSpaceDE w:val="0"/>
      <w:autoSpaceDN w:val="0"/>
      <w:adjustRightInd w:val="0"/>
      <w:spacing w:before="400" w:after="400"/>
      <w:textAlignment w:val="baseline"/>
      <w:outlineLvl w:val="0"/>
    </w:pPr>
    <w:rPr>
      <w:rFonts w:ascii="Arial" w:hAnsi="Arial" w:cs="Arial"/>
      <w:b/>
      <w:bCs/>
      <w:kern w:val="32"/>
      <w:sz w:val="32"/>
      <w:szCs w:val="32"/>
    </w:rPr>
  </w:style>
  <w:style w:type="paragraph" w:styleId="Heading2">
    <w:name w:val="heading 2"/>
    <w:basedOn w:val="Normal"/>
    <w:next w:val="BodyText"/>
    <w:link w:val="Heading2Char"/>
    <w:qFormat/>
    <w:rsid w:val="00D6337A"/>
    <w:pPr>
      <w:keepNext/>
      <w:keepLines/>
      <w:numPr>
        <w:ilvl w:val="1"/>
        <w:numId w:val="1"/>
      </w:numPr>
      <w:tabs>
        <w:tab w:val="left" w:pos="709"/>
      </w:tabs>
      <w:overflowPunct w:val="0"/>
      <w:autoSpaceDE w:val="0"/>
      <w:autoSpaceDN w:val="0"/>
      <w:adjustRightInd w:val="0"/>
      <w:spacing w:after="200"/>
      <w:textAlignment w:val="baseline"/>
      <w:outlineLvl w:val="1"/>
    </w:pPr>
    <w:rPr>
      <w:rFonts w:ascii="Arial" w:hAnsi="Arial" w:cs="Arial"/>
      <w:b/>
      <w:sz w:val="20"/>
      <w:szCs w:val="28"/>
    </w:rPr>
  </w:style>
  <w:style w:type="paragraph" w:styleId="Heading3">
    <w:name w:val="heading 3"/>
    <w:basedOn w:val="Normal"/>
    <w:next w:val="BodyText"/>
    <w:link w:val="Heading3Char"/>
    <w:qFormat/>
    <w:rsid w:val="00D6337A"/>
    <w:pPr>
      <w:keepNext/>
      <w:keepLines/>
      <w:numPr>
        <w:ilvl w:val="2"/>
        <w:numId w:val="1"/>
      </w:numPr>
      <w:tabs>
        <w:tab w:val="left" w:pos="851"/>
      </w:tabs>
      <w:overflowPunct w:val="0"/>
      <w:autoSpaceDE w:val="0"/>
      <w:autoSpaceDN w:val="0"/>
      <w:adjustRightInd w:val="0"/>
      <w:spacing w:after="200"/>
      <w:textAlignment w:val="baseline"/>
      <w:outlineLvl w:val="2"/>
    </w:pPr>
    <w:rPr>
      <w:rFonts w:ascii="Arial" w:hAnsi="Arial"/>
      <w:b/>
      <w:bCs/>
      <w:iCs/>
      <w:color w:val="7889FB"/>
      <w:kern w:val="20"/>
      <w:sz w:val="28"/>
      <w:szCs w:val="20"/>
      <w:lang w:eastAsia="en-US"/>
    </w:rPr>
  </w:style>
  <w:style w:type="paragraph" w:styleId="Heading4">
    <w:name w:val="heading 4"/>
    <w:basedOn w:val="Normal"/>
    <w:next w:val="BodyText"/>
    <w:link w:val="Heading4Char"/>
    <w:qFormat/>
    <w:rsid w:val="00D6337A"/>
    <w:pPr>
      <w:keepNext/>
      <w:keepLines/>
      <w:numPr>
        <w:ilvl w:val="3"/>
        <w:numId w:val="1"/>
      </w:numPr>
      <w:tabs>
        <w:tab w:val="left" w:pos="993"/>
      </w:tabs>
      <w:overflowPunct w:val="0"/>
      <w:autoSpaceDE w:val="0"/>
      <w:autoSpaceDN w:val="0"/>
      <w:adjustRightInd w:val="0"/>
      <w:spacing w:after="120"/>
      <w:textAlignment w:val="baseline"/>
      <w:outlineLvl w:val="3"/>
    </w:pPr>
    <w:rPr>
      <w:rFonts w:ascii="Arial" w:hAnsi="Arial"/>
      <w:b/>
      <w:bCs/>
      <w:iCs/>
      <w:color w:val="7889FB"/>
      <w:kern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37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6337A"/>
    <w:rPr>
      <w:rFonts w:ascii="Arial" w:eastAsia="Times New Roman" w:hAnsi="Arial" w:cs="Arial"/>
      <w:b/>
      <w:sz w:val="20"/>
      <w:szCs w:val="28"/>
      <w:lang w:eastAsia="en-GB"/>
    </w:rPr>
  </w:style>
  <w:style w:type="character" w:customStyle="1" w:styleId="Heading3Char">
    <w:name w:val="Heading 3 Char"/>
    <w:basedOn w:val="DefaultParagraphFont"/>
    <w:link w:val="Heading3"/>
    <w:rsid w:val="00D6337A"/>
    <w:rPr>
      <w:rFonts w:ascii="Arial" w:eastAsia="Times New Roman" w:hAnsi="Arial" w:cs="Times New Roman"/>
      <w:b/>
      <w:bCs/>
      <w:iCs/>
      <w:color w:val="7889FB"/>
      <w:kern w:val="20"/>
      <w:sz w:val="28"/>
      <w:szCs w:val="20"/>
    </w:rPr>
  </w:style>
  <w:style w:type="character" w:customStyle="1" w:styleId="Heading4Char">
    <w:name w:val="Heading 4 Char"/>
    <w:basedOn w:val="DefaultParagraphFont"/>
    <w:link w:val="Heading4"/>
    <w:rsid w:val="00D6337A"/>
    <w:rPr>
      <w:rFonts w:ascii="Arial" w:eastAsia="Times New Roman" w:hAnsi="Arial" w:cs="Times New Roman"/>
      <w:b/>
      <w:bCs/>
      <w:iCs/>
      <w:color w:val="7889FB"/>
      <w:kern w:val="20"/>
      <w:sz w:val="24"/>
      <w:szCs w:val="20"/>
    </w:rPr>
  </w:style>
  <w:style w:type="paragraph" w:customStyle="1" w:styleId="StyleLeft0cm">
    <w:name w:val="Style Left:  0 cm"/>
    <w:basedOn w:val="Normal"/>
    <w:rsid w:val="00D6337A"/>
    <w:pPr>
      <w:spacing w:before="120"/>
      <w:jc w:val="both"/>
    </w:pPr>
    <w:rPr>
      <w:rFonts w:ascii="Arial" w:hAnsi="Arial"/>
      <w:sz w:val="22"/>
      <w:szCs w:val="20"/>
    </w:rPr>
  </w:style>
  <w:style w:type="paragraph" w:styleId="ListParagraph">
    <w:name w:val="List Paragraph"/>
    <w:basedOn w:val="Normal"/>
    <w:uiPriority w:val="34"/>
    <w:qFormat/>
    <w:rsid w:val="00D6337A"/>
    <w:pPr>
      <w:ind w:left="720"/>
      <w:contextualSpacing/>
    </w:pPr>
  </w:style>
  <w:style w:type="paragraph" w:styleId="BodyText">
    <w:name w:val="Body Text"/>
    <w:basedOn w:val="Normal"/>
    <w:link w:val="BodyTextChar"/>
    <w:uiPriority w:val="99"/>
    <w:semiHidden/>
    <w:unhideWhenUsed/>
    <w:rsid w:val="00D6337A"/>
    <w:pPr>
      <w:spacing w:after="120"/>
    </w:pPr>
  </w:style>
  <w:style w:type="character" w:customStyle="1" w:styleId="BodyTextChar">
    <w:name w:val="Body Text Char"/>
    <w:basedOn w:val="DefaultParagraphFont"/>
    <w:link w:val="BodyText"/>
    <w:uiPriority w:val="99"/>
    <w:semiHidden/>
    <w:rsid w:val="00D6337A"/>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kvirdee</dc:creator>
  <cp:lastModifiedBy>kvirdee</cp:lastModifiedBy>
  <cp:revision>2</cp:revision>
  <dcterms:created xsi:type="dcterms:W3CDTF">2011-01-15T15:15:00Z</dcterms:created>
  <dcterms:modified xsi:type="dcterms:W3CDTF">2011-01-15T15:15:00Z</dcterms:modified>
</cp:coreProperties>
</file>