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26F6B" w14:textId="29F04140" w:rsidR="00E51DDE" w:rsidRDefault="00E51DDE" w:rsidP="001B79FA">
      <w:pPr>
        <w:tabs>
          <w:tab w:val="left" w:pos="9360"/>
        </w:tabs>
        <w:rPr>
          <w:rFonts w:ascii="Century Schoolbook" w:hAnsi="Century Schoolbook"/>
          <w:sz w:val="24"/>
          <w:szCs w:val="24"/>
        </w:rPr>
      </w:pPr>
    </w:p>
    <w:p w14:paraId="37F8C39E" w14:textId="25C47316" w:rsidR="002B5CE1" w:rsidRPr="003C383B" w:rsidRDefault="002B5CE1" w:rsidP="003C383B">
      <w:pPr>
        <w:tabs>
          <w:tab w:val="left" w:pos="9360"/>
        </w:tabs>
        <w:rPr>
          <w:b/>
          <w:sz w:val="24"/>
          <w:szCs w:val="24"/>
        </w:rPr>
      </w:pPr>
      <w:r w:rsidRPr="003C383B">
        <w:rPr>
          <w:b/>
          <w:sz w:val="24"/>
          <w:szCs w:val="24"/>
        </w:rPr>
        <w:t xml:space="preserve">The National Association of Counsel for Children (NACC) </w:t>
      </w:r>
      <w:r w:rsidR="001B06D6">
        <w:rPr>
          <w:b/>
          <w:sz w:val="24"/>
          <w:szCs w:val="24"/>
        </w:rPr>
        <w:t xml:space="preserve">hereby </w:t>
      </w:r>
      <w:r w:rsidR="00AB7C2D">
        <w:rPr>
          <w:b/>
          <w:sz w:val="24"/>
          <w:szCs w:val="24"/>
        </w:rPr>
        <w:t xml:space="preserve">submits the following letter </w:t>
      </w:r>
      <w:r w:rsidRPr="003C383B">
        <w:rPr>
          <w:b/>
          <w:sz w:val="24"/>
          <w:szCs w:val="24"/>
        </w:rPr>
        <w:t>support</w:t>
      </w:r>
      <w:r w:rsidR="00AB7C2D">
        <w:rPr>
          <w:b/>
          <w:sz w:val="24"/>
          <w:szCs w:val="24"/>
        </w:rPr>
        <w:t xml:space="preserve">ing </w:t>
      </w:r>
      <w:r w:rsidRPr="003C383B">
        <w:rPr>
          <w:b/>
          <w:sz w:val="24"/>
          <w:szCs w:val="24"/>
        </w:rPr>
        <w:t>Florida’s Proposal 40</w:t>
      </w:r>
      <w:r w:rsidR="00AB7C2D">
        <w:rPr>
          <w:b/>
          <w:sz w:val="24"/>
          <w:szCs w:val="24"/>
        </w:rPr>
        <w:t>.</w:t>
      </w:r>
      <w:r w:rsidR="003C383B">
        <w:rPr>
          <w:rFonts w:ascii="Century Schoolbook" w:hAnsi="Century Schoolbook"/>
          <w:b/>
          <w:sz w:val="24"/>
          <w:szCs w:val="24"/>
        </w:rPr>
        <w:tab/>
      </w:r>
    </w:p>
    <w:p w14:paraId="5D755C23" w14:textId="0035DC7A" w:rsidR="002B5CE1" w:rsidRDefault="002B5CE1" w:rsidP="001B79FA">
      <w:pPr>
        <w:tabs>
          <w:tab w:val="left" w:pos="9360"/>
        </w:tabs>
        <w:rPr>
          <w:sz w:val="24"/>
          <w:szCs w:val="24"/>
        </w:rPr>
      </w:pPr>
      <w:r w:rsidRPr="003C383B">
        <w:rPr>
          <w:b/>
          <w:sz w:val="24"/>
          <w:szCs w:val="24"/>
        </w:rPr>
        <w:t>Who is the NACC?</w:t>
      </w:r>
      <w:r>
        <w:rPr>
          <w:rFonts w:ascii="Century Schoolbook" w:hAnsi="Century Schoolbook"/>
          <w:b/>
          <w:sz w:val="24"/>
          <w:szCs w:val="24"/>
        </w:rPr>
        <w:t xml:space="preserve"> </w:t>
      </w:r>
      <w:r w:rsidR="003C383B" w:rsidRPr="00DE3491">
        <w:rPr>
          <w:sz w:val="24"/>
          <w:szCs w:val="24"/>
        </w:rPr>
        <w:t>Founded in 1977, the National Association of Couns</w:t>
      </w:r>
      <w:r w:rsidR="003C383B">
        <w:rPr>
          <w:sz w:val="24"/>
          <w:szCs w:val="24"/>
        </w:rPr>
        <w:t>el for Children (NACC) is a 501</w:t>
      </w:r>
      <w:r w:rsidR="003C383B" w:rsidRPr="00DE3491">
        <w:rPr>
          <w:sz w:val="24"/>
          <w:szCs w:val="24"/>
        </w:rPr>
        <w:t xml:space="preserve">(c)(3) non-profit child advocacy and professional membership association dedicated to enhancing the well-being of </w:t>
      </w:r>
      <w:r w:rsidR="003C383B">
        <w:rPr>
          <w:sz w:val="24"/>
          <w:szCs w:val="24"/>
        </w:rPr>
        <w:t xml:space="preserve">America’s </w:t>
      </w:r>
      <w:r w:rsidR="003C383B" w:rsidRPr="00DE3491">
        <w:rPr>
          <w:sz w:val="24"/>
          <w:szCs w:val="24"/>
        </w:rPr>
        <w:t xml:space="preserve">children.  The NACC works to strengthen </w:t>
      </w:r>
      <w:r w:rsidR="003C383B">
        <w:rPr>
          <w:sz w:val="24"/>
          <w:szCs w:val="24"/>
        </w:rPr>
        <w:t>legal advocacy for</w:t>
      </w:r>
      <w:r w:rsidR="003C383B" w:rsidRPr="00DE3491">
        <w:rPr>
          <w:sz w:val="24"/>
          <w:szCs w:val="24"/>
        </w:rPr>
        <w:t xml:space="preserve"> children</w:t>
      </w:r>
      <w:r w:rsidR="003C383B">
        <w:rPr>
          <w:sz w:val="24"/>
          <w:szCs w:val="24"/>
        </w:rPr>
        <w:t xml:space="preserve"> and families by promoting well resourced, high quality legal advocacy; implementing best practices; advancing systemic improvement in child serving agencies, institutions and court systems; and promoting a safe and nurturing childhood through legal and policy advocacy. </w:t>
      </w:r>
      <w:r w:rsidR="00131DDA">
        <w:rPr>
          <w:sz w:val="24"/>
          <w:szCs w:val="24"/>
        </w:rPr>
        <w:t xml:space="preserve"> As a national organization, NACC supports all states in </w:t>
      </w:r>
      <w:r w:rsidR="005A0F1B">
        <w:rPr>
          <w:sz w:val="24"/>
          <w:szCs w:val="24"/>
        </w:rPr>
        <w:t xml:space="preserve">efforts to improve </w:t>
      </w:r>
      <w:r w:rsidR="00131DDA">
        <w:rPr>
          <w:sz w:val="24"/>
          <w:szCs w:val="24"/>
        </w:rPr>
        <w:t xml:space="preserve">local </w:t>
      </w:r>
      <w:r w:rsidR="00B737FC">
        <w:rPr>
          <w:sz w:val="24"/>
          <w:szCs w:val="24"/>
        </w:rPr>
        <w:t xml:space="preserve">state </w:t>
      </w:r>
      <w:r w:rsidR="00131DDA">
        <w:rPr>
          <w:sz w:val="24"/>
          <w:szCs w:val="24"/>
        </w:rPr>
        <w:t>practices through legi</w:t>
      </w:r>
      <w:r w:rsidR="00B737FC">
        <w:rPr>
          <w:sz w:val="24"/>
          <w:szCs w:val="24"/>
        </w:rPr>
        <w:t xml:space="preserve">slative and/or systemic reform </w:t>
      </w:r>
      <w:r w:rsidR="00131DDA">
        <w:rPr>
          <w:sz w:val="24"/>
          <w:szCs w:val="24"/>
        </w:rPr>
        <w:t xml:space="preserve">to ensure the best possible outcomes for children in the dependency system. </w:t>
      </w:r>
    </w:p>
    <w:p w14:paraId="57C6C86A" w14:textId="3AA950DA" w:rsidR="00AB7C2D" w:rsidRPr="00D02D68" w:rsidRDefault="00AB7C2D" w:rsidP="001B79FA">
      <w:pPr>
        <w:tabs>
          <w:tab w:val="left" w:pos="9360"/>
        </w:tabs>
        <w:rPr>
          <w:b/>
          <w:sz w:val="24"/>
          <w:szCs w:val="24"/>
        </w:rPr>
      </w:pPr>
      <w:r>
        <w:rPr>
          <w:sz w:val="24"/>
          <w:szCs w:val="24"/>
        </w:rPr>
        <w:t xml:space="preserve">Accordingly, </w:t>
      </w:r>
      <w:r w:rsidRPr="00D02D68">
        <w:rPr>
          <w:b/>
          <w:sz w:val="24"/>
          <w:szCs w:val="24"/>
        </w:rPr>
        <w:t>NACC supports Florida’s Constitutional Amendment Proposal 40 for the following reasons:</w:t>
      </w:r>
    </w:p>
    <w:p w14:paraId="241412CC" w14:textId="77777777" w:rsidR="008B5E7E" w:rsidRDefault="00AB7C2D" w:rsidP="008B5E7E">
      <w:pPr>
        <w:pStyle w:val="ListParagraph"/>
        <w:numPr>
          <w:ilvl w:val="0"/>
          <w:numId w:val="2"/>
        </w:numPr>
        <w:tabs>
          <w:tab w:val="left" w:pos="9360"/>
        </w:tabs>
        <w:rPr>
          <w:b/>
          <w:sz w:val="24"/>
          <w:szCs w:val="24"/>
        </w:rPr>
      </w:pPr>
      <w:r w:rsidRPr="00AB7C2D">
        <w:rPr>
          <w:b/>
          <w:sz w:val="24"/>
          <w:szCs w:val="24"/>
        </w:rPr>
        <w:t>Providing a lawyer for children subject to dependency proceedings is Best Practice.</w:t>
      </w:r>
    </w:p>
    <w:p w14:paraId="5632B75B" w14:textId="142D65A5" w:rsidR="00282962" w:rsidRPr="001A6CAF" w:rsidRDefault="00BF5EDE" w:rsidP="001A6CAF">
      <w:pPr>
        <w:pStyle w:val="ListParagraph"/>
        <w:widowControl w:val="0"/>
        <w:autoSpaceDE w:val="0"/>
        <w:autoSpaceDN w:val="0"/>
        <w:adjustRightInd w:val="0"/>
        <w:spacing w:after="240" w:line="360" w:lineRule="atLeast"/>
        <w:ind w:left="0" w:firstLine="720"/>
        <w:rPr>
          <w:rFonts w:cs="Times"/>
          <w:color w:val="000000"/>
        </w:rPr>
      </w:pPr>
      <w:r>
        <w:rPr>
          <w:rFonts w:cs="Times"/>
          <w:color w:val="000000"/>
        </w:rPr>
        <w:t>The Quality Improvement</w:t>
      </w:r>
      <w:r w:rsidR="004D4DBF">
        <w:rPr>
          <w:rFonts w:cs="Times"/>
          <w:color w:val="000000"/>
        </w:rPr>
        <w:t xml:space="preserve"> Center</w:t>
      </w:r>
      <w:r>
        <w:rPr>
          <w:rFonts w:cs="Times"/>
          <w:color w:val="000000"/>
        </w:rPr>
        <w:t xml:space="preserve"> Project</w:t>
      </w:r>
      <w:r w:rsidR="004D4DBF">
        <w:rPr>
          <w:rFonts w:cs="Times"/>
          <w:color w:val="000000"/>
        </w:rPr>
        <w:t xml:space="preserve"> (QIC)</w:t>
      </w:r>
      <w:r>
        <w:rPr>
          <w:rFonts w:cs="Times"/>
          <w:color w:val="000000"/>
        </w:rPr>
        <w:t xml:space="preserve">, a federally funded </w:t>
      </w:r>
      <w:r w:rsidR="00CE6B89">
        <w:rPr>
          <w:rFonts w:cs="Times"/>
          <w:color w:val="000000"/>
        </w:rPr>
        <w:t>6</w:t>
      </w:r>
      <w:r w:rsidR="00096A1E">
        <w:rPr>
          <w:rFonts w:cs="Times"/>
          <w:color w:val="000000"/>
        </w:rPr>
        <w:t>-year</w:t>
      </w:r>
      <w:r w:rsidR="00116DF7">
        <w:rPr>
          <w:rFonts w:cs="Times"/>
          <w:color w:val="000000"/>
        </w:rPr>
        <w:t xml:space="preserve"> </w:t>
      </w:r>
      <w:r>
        <w:rPr>
          <w:rFonts w:cs="Times"/>
          <w:color w:val="000000"/>
        </w:rPr>
        <w:t>projec</w:t>
      </w:r>
      <w:r w:rsidR="00472077">
        <w:rPr>
          <w:rFonts w:cs="Times"/>
          <w:color w:val="000000"/>
        </w:rPr>
        <w:t>t which concluded in 2016</w:t>
      </w:r>
      <w:r w:rsidR="00096A1E">
        <w:rPr>
          <w:rFonts w:cs="Times"/>
          <w:color w:val="000000"/>
        </w:rPr>
        <w:t>,</w:t>
      </w:r>
      <w:r w:rsidR="00472077">
        <w:rPr>
          <w:rFonts w:cs="Times"/>
          <w:color w:val="000000"/>
        </w:rPr>
        <w:t xml:space="preserve"> was designed to develop and communicate knowledge on child representation and p</w:t>
      </w:r>
      <w:r w:rsidR="004D4DBF">
        <w:rPr>
          <w:rFonts w:cs="Times"/>
          <w:color w:val="000000"/>
        </w:rPr>
        <w:t>rovide empirically based analyse</w:t>
      </w:r>
      <w:r w:rsidR="00472077">
        <w:rPr>
          <w:rFonts w:cs="Times"/>
          <w:color w:val="000000"/>
        </w:rPr>
        <w:t>s of best practice</w:t>
      </w:r>
      <w:r w:rsidR="004D4DBF">
        <w:rPr>
          <w:rFonts w:cs="Times"/>
          <w:color w:val="000000"/>
        </w:rPr>
        <w:t xml:space="preserve">s for children’s legal representation.  According to the QIC study, </w:t>
      </w:r>
      <w:r w:rsidR="004D4DBF" w:rsidRPr="00581452">
        <w:rPr>
          <w:rFonts w:cs="Times"/>
          <w:color w:val="000000"/>
        </w:rPr>
        <w:t xml:space="preserve">there is </w:t>
      </w:r>
      <w:r w:rsidR="00096A1E">
        <w:rPr>
          <w:rFonts w:cs="Times"/>
          <w:color w:val="000000"/>
        </w:rPr>
        <w:t>an “emerging consensus”</w:t>
      </w:r>
      <w:r w:rsidR="004D4DBF" w:rsidRPr="00581452">
        <w:rPr>
          <w:rFonts w:cs="Times"/>
          <w:color w:val="000000"/>
        </w:rPr>
        <w:t xml:space="preserve"> in the field that children require legal representation in child welfare proceedings.</w:t>
      </w:r>
      <w:r w:rsidR="004D4DBF">
        <w:rPr>
          <w:rStyle w:val="FootnoteReference"/>
          <w:rFonts w:cs="Times"/>
          <w:color w:val="000000"/>
        </w:rPr>
        <w:footnoteReference w:id="1"/>
      </w:r>
      <w:r w:rsidR="004D4DBF" w:rsidRPr="00581452">
        <w:rPr>
          <w:rFonts w:cs="Times"/>
          <w:color w:val="000000"/>
        </w:rPr>
        <w:t xml:space="preserve"> </w:t>
      </w:r>
      <w:r w:rsidR="00900450">
        <w:rPr>
          <w:rFonts w:cs="Times"/>
          <w:color w:val="000000"/>
        </w:rPr>
        <w:t xml:space="preserve">And one of the overall recommendations of the QIC study was that federal leadership </w:t>
      </w:r>
      <w:r w:rsidR="00916541">
        <w:rPr>
          <w:rFonts w:cs="Times"/>
          <w:color w:val="000000"/>
        </w:rPr>
        <w:t xml:space="preserve">should ensure that children involved in child protection court proceedings should have legal </w:t>
      </w:r>
      <w:r w:rsidR="00916541">
        <w:rPr>
          <w:rFonts w:cs="Times"/>
          <w:color w:val="000000"/>
        </w:rPr>
        <w:lastRenderedPageBreak/>
        <w:t>representation.</w:t>
      </w:r>
      <w:r w:rsidR="00916541">
        <w:rPr>
          <w:rStyle w:val="FootnoteReference"/>
          <w:rFonts w:cs="Times"/>
          <w:color w:val="000000"/>
        </w:rPr>
        <w:footnoteReference w:id="2"/>
      </w:r>
    </w:p>
    <w:p w14:paraId="021F9A9D" w14:textId="3FB37523" w:rsidR="004D01BC" w:rsidRPr="00B633FE" w:rsidRDefault="006C7D53" w:rsidP="00B633FE">
      <w:pPr>
        <w:widowControl w:val="0"/>
        <w:autoSpaceDE w:val="0"/>
        <w:autoSpaceDN w:val="0"/>
        <w:adjustRightInd w:val="0"/>
        <w:spacing w:after="240" w:line="360" w:lineRule="atLeast"/>
        <w:ind w:firstLine="720"/>
        <w:rPr>
          <w:rFonts w:eastAsia="MS Mincho" w:cs="MS Mincho"/>
          <w:color w:val="000000"/>
        </w:rPr>
      </w:pPr>
      <w:r w:rsidRPr="00B633FE">
        <w:rPr>
          <w:rFonts w:eastAsia="MS Mincho" w:cs="MS Mincho"/>
          <w:color w:val="000000"/>
        </w:rPr>
        <w:t xml:space="preserve">In a 2017 memorandum, </w:t>
      </w:r>
      <w:r w:rsidR="00B633FE" w:rsidRPr="00B633FE">
        <w:rPr>
          <w:rFonts w:eastAsia="MS Mincho" w:cs="MS Mincho"/>
          <w:color w:val="000000"/>
        </w:rPr>
        <w:t xml:space="preserve">recognizing best practices, </w:t>
      </w:r>
      <w:r w:rsidRPr="00B633FE">
        <w:rPr>
          <w:rFonts w:eastAsia="MS Mincho" w:cs="MS Mincho"/>
          <w:color w:val="000000"/>
        </w:rPr>
        <w:t xml:space="preserve">the </w:t>
      </w:r>
      <w:r w:rsidR="007171A0" w:rsidRPr="00B633FE">
        <w:rPr>
          <w:rFonts w:eastAsia="MS Mincho" w:cs="MS Mincho"/>
          <w:color w:val="000000"/>
        </w:rPr>
        <w:t xml:space="preserve">U.S. </w:t>
      </w:r>
      <w:r w:rsidRPr="00B633FE">
        <w:rPr>
          <w:rFonts w:eastAsia="MS Mincho" w:cs="MS Mincho"/>
          <w:color w:val="000000"/>
        </w:rPr>
        <w:t>Children’s Bureau spe</w:t>
      </w:r>
      <w:r w:rsidR="005411F1">
        <w:rPr>
          <w:rFonts w:eastAsia="MS Mincho" w:cs="MS Mincho"/>
          <w:color w:val="000000"/>
        </w:rPr>
        <w:t>cifically called</w:t>
      </w:r>
      <w:r w:rsidR="00B633FE" w:rsidRPr="00B633FE">
        <w:rPr>
          <w:rFonts w:eastAsia="MS Mincho" w:cs="MS Mincho"/>
          <w:color w:val="000000"/>
        </w:rPr>
        <w:t xml:space="preserve"> on states</w:t>
      </w:r>
      <w:r w:rsidRPr="00B633FE">
        <w:rPr>
          <w:rFonts w:eastAsia="MS Mincho" w:cs="MS Mincho"/>
          <w:color w:val="000000"/>
        </w:rPr>
        <w:t xml:space="preserve"> to provide</w:t>
      </w:r>
      <w:r w:rsidR="00F07983" w:rsidRPr="00B633FE">
        <w:rPr>
          <w:rFonts w:eastAsia="MS Mincho" w:cs="MS Mincho"/>
          <w:color w:val="000000"/>
        </w:rPr>
        <w:t xml:space="preserve"> high quality legal representation to all parties, including children, in all stages of a dependency proceeding.  </w:t>
      </w:r>
    </w:p>
    <w:p w14:paraId="7FEEE451" w14:textId="345E9C04" w:rsidR="00F07983" w:rsidRDefault="00F07983" w:rsidP="0037628E">
      <w:pPr>
        <w:widowControl w:val="0"/>
        <w:autoSpaceDE w:val="0"/>
        <w:autoSpaceDN w:val="0"/>
        <w:adjustRightInd w:val="0"/>
        <w:spacing w:after="240" w:line="360" w:lineRule="atLeast"/>
        <w:ind w:left="1440" w:right="2160"/>
        <w:rPr>
          <w:rFonts w:cs="Times"/>
          <w:color w:val="000000"/>
        </w:rPr>
      </w:pPr>
      <w:r w:rsidRPr="00F07983">
        <w:rPr>
          <w:rFonts w:cs="Times"/>
          <w:color w:val="000000"/>
        </w:rPr>
        <w:t>The Children’s Bureau (CB) strongly encourages all child welfare agencies and jurisdictions (including, state and county courts, administrative offices of the court, and Court Improvement Programs) to work together to ensure that high quality legal representation is provided to all parties in all stage</w:t>
      </w:r>
      <w:r w:rsidR="00E66980">
        <w:rPr>
          <w:rFonts w:cs="Times"/>
          <w:color w:val="000000"/>
        </w:rPr>
        <w:t>s of child welfare proceedings.</w:t>
      </w:r>
      <w:r w:rsidR="00E66980">
        <w:rPr>
          <w:rStyle w:val="FootnoteReference"/>
          <w:rFonts w:cs="Times"/>
          <w:color w:val="000000"/>
        </w:rPr>
        <w:footnoteReference w:id="3"/>
      </w:r>
    </w:p>
    <w:p w14:paraId="70C9B722" w14:textId="49819E70" w:rsidR="00AC6C79" w:rsidRDefault="00B633FE" w:rsidP="00A40E47">
      <w:pPr>
        <w:widowControl w:val="0"/>
        <w:autoSpaceDE w:val="0"/>
        <w:autoSpaceDN w:val="0"/>
        <w:adjustRightInd w:val="0"/>
        <w:spacing w:after="240" w:line="360" w:lineRule="atLeast"/>
        <w:jc w:val="both"/>
        <w:rPr>
          <w:rFonts w:cs="Times"/>
          <w:color w:val="000000"/>
        </w:rPr>
      </w:pPr>
      <w:r>
        <w:rPr>
          <w:rFonts w:cs="Times"/>
          <w:color w:val="000000"/>
        </w:rPr>
        <w:tab/>
      </w:r>
      <w:r w:rsidR="008078A0">
        <w:rPr>
          <w:rFonts w:cs="Times"/>
          <w:color w:val="000000"/>
        </w:rPr>
        <w:t xml:space="preserve">The memo </w:t>
      </w:r>
      <w:r w:rsidR="00770856">
        <w:rPr>
          <w:rFonts w:cs="Times"/>
          <w:color w:val="000000"/>
        </w:rPr>
        <w:t>further</w:t>
      </w:r>
      <w:r w:rsidR="008078A0">
        <w:rPr>
          <w:rFonts w:cs="Times"/>
          <w:color w:val="000000"/>
        </w:rPr>
        <w:t xml:space="preserve"> note</w:t>
      </w:r>
      <w:r w:rsidR="00770856">
        <w:rPr>
          <w:rFonts w:cs="Times"/>
          <w:color w:val="000000"/>
        </w:rPr>
        <w:t>s</w:t>
      </w:r>
      <w:r w:rsidR="008078A0">
        <w:rPr>
          <w:rFonts w:cs="Times"/>
          <w:color w:val="000000"/>
        </w:rPr>
        <w:t xml:space="preserve"> that our child welfare system is structured to require judges to make decisions which largely impact a </w:t>
      </w:r>
      <w:r w:rsidR="00D93B81">
        <w:rPr>
          <w:rFonts w:cs="Times"/>
          <w:color w:val="000000"/>
        </w:rPr>
        <w:t>child’s</w:t>
      </w:r>
      <w:r w:rsidR="008078A0">
        <w:rPr>
          <w:rFonts w:cs="Times"/>
          <w:color w:val="000000"/>
        </w:rPr>
        <w:t xml:space="preserve"> life.  </w:t>
      </w:r>
      <w:r w:rsidR="009E5381">
        <w:rPr>
          <w:rFonts w:cs="Times"/>
          <w:color w:val="000000"/>
        </w:rPr>
        <w:t>The nature of ou</w:t>
      </w:r>
      <w:r w:rsidR="00E1100F">
        <w:rPr>
          <w:rFonts w:cs="Times"/>
          <w:color w:val="000000"/>
        </w:rPr>
        <w:t xml:space="preserve">r child welfare system often requires court action.  </w:t>
      </w:r>
      <w:r w:rsidR="008078A0">
        <w:rPr>
          <w:rFonts w:cs="Times"/>
          <w:color w:val="000000"/>
        </w:rPr>
        <w:t>In order for a child to be removed from her home due to alle</w:t>
      </w:r>
      <w:r w:rsidR="006A685C">
        <w:rPr>
          <w:rFonts w:cs="Times"/>
          <w:color w:val="000000"/>
        </w:rPr>
        <w:t>gations of abuse or neglect, a j</w:t>
      </w:r>
      <w:r w:rsidR="008078A0">
        <w:rPr>
          <w:rFonts w:cs="Times"/>
          <w:color w:val="000000"/>
        </w:rPr>
        <w:t xml:space="preserve">udge must order it after hearing and considering evidence.  </w:t>
      </w:r>
      <w:r w:rsidR="00E1100F">
        <w:rPr>
          <w:rFonts w:cs="Times"/>
          <w:color w:val="000000"/>
        </w:rPr>
        <w:t>This is b</w:t>
      </w:r>
      <w:r w:rsidR="009E5381">
        <w:rPr>
          <w:rFonts w:cs="Times"/>
          <w:color w:val="000000"/>
        </w:rPr>
        <w:t xml:space="preserve">ecause our </w:t>
      </w:r>
      <w:r w:rsidR="00E1100F">
        <w:rPr>
          <w:rFonts w:cs="Times"/>
          <w:color w:val="000000"/>
        </w:rPr>
        <w:t xml:space="preserve">constitution </w:t>
      </w:r>
      <w:r w:rsidR="006A685C">
        <w:rPr>
          <w:rFonts w:cs="Times"/>
          <w:color w:val="000000"/>
        </w:rPr>
        <w:t>requires due process of law when fundamental liberty interests are at stake.</w:t>
      </w:r>
      <w:r w:rsidR="00D93B81">
        <w:rPr>
          <w:rStyle w:val="FootnoteReference"/>
          <w:rFonts w:cs="Times"/>
          <w:color w:val="000000"/>
        </w:rPr>
        <w:footnoteReference w:id="4"/>
      </w:r>
      <w:r w:rsidR="00D93B81">
        <w:rPr>
          <w:rFonts w:cs="Times"/>
          <w:color w:val="000000"/>
        </w:rPr>
        <w:t xml:space="preserve">  </w:t>
      </w:r>
      <w:r w:rsidR="00937E9F">
        <w:rPr>
          <w:rFonts w:cs="Times"/>
          <w:color w:val="000000"/>
        </w:rPr>
        <w:t xml:space="preserve">Due process is the cornerstone of our justice system.  </w:t>
      </w:r>
      <w:r w:rsidR="00D93B81">
        <w:rPr>
          <w:rFonts w:cs="Times"/>
          <w:color w:val="000000"/>
        </w:rPr>
        <w:t>For judges to make the best, most-informed decisions, they depend on competent and reliable evidence.</w:t>
      </w:r>
      <w:r w:rsidR="00997E0A">
        <w:rPr>
          <w:rStyle w:val="FootnoteReference"/>
          <w:rFonts w:cs="Times"/>
          <w:color w:val="000000"/>
        </w:rPr>
        <w:footnoteReference w:id="5"/>
      </w:r>
      <w:r w:rsidR="00D93B81">
        <w:rPr>
          <w:rFonts w:cs="Times"/>
          <w:color w:val="000000"/>
        </w:rPr>
        <w:t xml:space="preserve"> </w:t>
      </w:r>
      <w:r w:rsidR="00E231BE">
        <w:rPr>
          <w:rFonts w:cs="Times"/>
          <w:color w:val="000000"/>
        </w:rPr>
        <w:t xml:space="preserve"> </w:t>
      </w:r>
      <w:r w:rsidR="00025ECD">
        <w:rPr>
          <w:rFonts w:cs="Times"/>
          <w:color w:val="000000"/>
        </w:rPr>
        <w:t>M</w:t>
      </w:r>
      <w:r w:rsidR="0052555A">
        <w:rPr>
          <w:rFonts w:cs="Times"/>
          <w:color w:val="000000"/>
        </w:rPr>
        <w:t xml:space="preserve">uch of the information that judges receive and upon which decisions </w:t>
      </w:r>
      <w:r w:rsidR="00025ECD">
        <w:rPr>
          <w:rFonts w:cs="Times"/>
          <w:color w:val="000000"/>
        </w:rPr>
        <w:t xml:space="preserve">are made, comes </w:t>
      </w:r>
      <w:r w:rsidR="008D4180">
        <w:rPr>
          <w:rFonts w:cs="Times"/>
          <w:color w:val="000000"/>
        </w:rPr>
        <w:t>through</w:t>
      </w:r>
      <w:r w:rsidR="00025ECD">
        <w:rPr>
          <w:rFonts w:cs="Times"/>
          <w:color w:val="000000"/>
        </w:rPr>
        <w:t xml:space="preserve"> presentation of evidence and the filing of l</w:t>
      </w:r>
      <w:r w:rsidR="0052555A">
        <w:rPr>
          <w:rFonts w:cs="Times"/>
          <w:color w:val="000000"/>
        </w:rPr>
        <w:t>egal pleadings</w:t>
      </w:r>
      <w:r w:rsidR="00025ECD">
        <w:rPr>
          <w:rFonts w:cs="Times"/>
          <w:color w:val="000000"/>
        </w:rPr>
        <w:t>.</w:t>
      </w:r>
      <w:r w:rsidR="00025ECD">
        <w:rPr>
          <w:rStyle w:val="FootnoteReference"/>
          <w:rFonts w:cs="Times"/>
          <w:color w:val="000000"/>
        </w:rPr>
        <w:footnoteReference w:id="6"/>
      </w:r>
      <w:r w:rsidR="00025ECD">
        <w:rPr>
          <w:rFonts w:cs="Times"/>
          <w:color w:val="000000"/>
        </w:rPr>
        <w:t xml:space="preserve">  It is hard to imagine even the most </w:t>
      </w:r>
      <w:r w:rsidR="008C68E6">
        <w:rPr>
          <w:rFonts w:cs="Times"/>
          <w:color w:val="000000"/>
        </w:rPr>
        <w:t xml:space="preserve">intelligent and </w:t>
      </w:r>
      <w:r w:rsidR="00025ECD">
        <w:rPr>
          <w:rFonts w:cs="Times"/>
          <w:color w:val="000000"/>
        </w:rPr>
        <w:t>m</w:t>
      </w:r>
      <w:r w:rsidR="008C68E6">
        <w:rPr>
          <w:rFonts w:cs="Times"/>
          <w:color w:val="000000"/>
        </w:rPr>
        <w:t>ature child</w:t>
      </w:r>
      <w:r w:rsidR="00025ECD">
        <w:rPr>
          <w:rFonts w:cs="Times"/>
          <w:color w:val="000000"/>
        </w:rPr>
        <w:t xml:space="preserve"> able to present legally competent evidence in a system that</w:t>
      </w:r>
      <w:r w:rsidR="00CA77A6">
        <w:rPr>
          <w:rFonts w:cs="Times"/>
          <w:color w:val="000000"/>
        </w:rPr>
        <w:t xml:space="preserve"> requires attorneys to successfully complete</w:t>
      </w:r>
      <w:r w:rsidR="00025ECD">
        <w:rPr>
          <w:rFonts w:cs="Times"/>
          <w:color w:val="000000"/>
        </w:rPr>
        <w:t xml:space="preserve"> 3 years of higher education and pass a multi-day national bar examination</w:t>
      </w:r>
      <w:r w:rsidR="008C68E6">
        <w:rPr>
          <w:rFonts w:cs="Times"/>
          <w:color w:val="000000"/>
        </w:rPr>
        <w:t xml:space="preserve"> in order to be able to do so.</w:t>
      </w:r>
    </w:p>
    <w:p w14:paraId="7E75B1F6" w14:textId="7A430D4D" w:rsidR="00B210C3" w:rsidRDefault="00067F95" w:rsidP="00DB7C38">
      <w:pPr>
        <w:widowControl w:val="0"/>
        <w:autoSpaceDE w:val="0"/>
        <w:autoSpaceDN w:val="0"/>
        <w:adjustRightInd w:val="0"/>
        <w:spacing w:after="240" w:line="360" w:lineRule="atLeast"/>
        <w:rPr>
          <w:rFonts w:ascii="MS Mincho" w:eastAsia="MS Mincho" w:hAnsi="MS Mincho" w:cs="MS Mincho"/>
          <w:color w:val="000000"/>
          <w:sz w:val="24"/>
          <w:szCs w:val="24"/>
        </w:rPr>
      </w:pPr>
      <w:r>
        <w:rPr>
          <w:rFonts w:cs="Times"/>
          <w:color w:val="000000"/>
        </w:rPr>
        <w:tab/>
      </w:r>
      <w:r w:rsidR="00E331F2">
        <w:rPr>
          <w:rFonts w:cs="Times"/>
          <w:color w:val="000000"/>
        </w:rPr>
        <w:t xml:space="preserve">The National </w:t>
      </w:r>
      <w:r w:rsidR="00627B83">
        <w:rPr>
          <w:rFonts w:cs="Times"/>
          <w:color w:val="000000"/>
        </w:rPr>
        <w:t>Counsel of Juvenile and Family Court Judges (NCJFCJ) has also taken the position that providing attorneys for children is best practice</w:t>
      </w:r>
      <w:r w:rsidR="00B210C3">
        <w:rPr>
          <w:rFonts w:cs="Times"/>
          <w:color w:val="000000"/>
        </w:rPr>
        <w:t>, stating, “[b]</w:t>
      </w:r>
      <w:r w:rsidR="00B210C3" w:rsidRPr="00B210C3">
        <w:rPr>
          <w:rFonts w:cs="Times"/>
          <w:color w:val="000000"/>
        </w:rPr>
        <w:t>ecause fundamental rights of the child – as well as the parents – are at stake in these proceedings, best practice calls for the appointment of an attorney who will advocate the child’s position from the very beginning of the case</w:t>
      </w:r>
      <w:r w:rsidR="00B210C3">
        <w:rPr>
          <w:rFonts w:cs="Times"/>
          <w:color w:val="000000"/>
        </w:rPr>
        <w:t>.”</w:t>
      </w:r>
      <w:r w:rsidR="00B210C3">
        <w:rPr>
          <w:rStyle w:val="FootnoteReference"/>
          <w:rFonts w:cs="Times"/>
          <w:color w:val="000000"/>
        </w:rPr>
        <w:footnoteReference w:id="7"/>
      </w:r>
      <w:r w:rsidR="00B210C3">
        <w:rPr>
          <w:rFonts w:ascii="Times" w:hAnsi="Times" w:cs="Times"/>
          <w:color w:val="000000"/>
          <w:sz w:val="24"/>
          <w:szCs w:val="24"/>
        </w:rPr>
        <w:t xml:space="preserve"> </w:t>
      </w:r>
      <w:r w:rsidR="00B210C3">
        <w:rPr>
          <w:rFonts w:ascii="MS Mincho" w:eastAsia="MS Mincho" w:hAnsi="MS Mincho" w:cs="MS Mincho"/>
          <w:color w:val="000000"/>
          <w:sz w:val="24"/>
          <w:szCs w:val="24"/>
        </w:rPr>
        <w:t> </w:t>
      </w:r>
    </w:p>
    <w:p w14:paraId="2CA13A38" w14:textId="52C7C723" w:rsidR="001A6CAF" w:rsidRPr="00871E6D" w:rsidRDefault="001A6CAF" w:rsidP="00DB7C38">
      <w:pPr>
        <w:widowControl w:val="0"/>
        <w:autoSpaceDE w:val="0"/>
        <w:autoSpaceDN w:val="0"/>
        <w:adjustRightInd w:val="0"/>
        <w:spacing w:after="240" w:line="360" w:lineRule="atLeast"/>
        <w:rPr>
          <w:rFonts w:eastAsia="MS Mincho" w:cs="MS Mincho"/>
          <w:color w:val="000000"/>
        </w:rPr>
      </w:pPr>
      <w:r>
        <w:rPr>
          <w:rFonts w:ascii="MS Mincho" w:eastAsia="MS Mincho" w:hAnsi="MS Mincho" w:cs="MS Mincho"/>
          <w:color w:val="000000"/>
          <w:sz w:val="24"/>
          <w:szCs w:val="24"/>
        </w:rPr>
        <w:lastRenderedPageBreak/>
        <w:tab/>
      </w:r>
      <w:r w:rsidR="00871E6D">
        <w:rPr>
          <w:rFonts w:eastAsia="MS Mincho" w:cs="MS Mincho"/>
          <w:color w:val="000000"/>
        </w:rPr>
        <w:t>In 1996, the American Bar Association adopted Standards for Lawyers who represent children in Abuse and Neglect Proceedings (1996 ABA Standards).</w:t>
      </w:r>
      <w:r w:rsidR="00871E6D">
        <w:rPr>
          <w:rStyle w:val="FootnoteReference"/>
          <w:rFonts w:eastAsia="MS Mincho" w:cs="MS Mincho"/>
          <w:color w:val="000000"/>
        </w:rPr>
        <w:footnoteReference w:id="8"/>
      </w:r>
      <w:r w:rsidR="00CD47D1">
        <w:rPr>
          <w:rFonts w:eastAsia="MS Mincho" w:cs="MS Mincho"/>
          <w:color w:val="000000"/>
        </w:rPr>
        <w:t xml:space="preserve">  The ABA Standards recommend</w:t>
      </w:r>
    </w:p>
    <w:p w14:paraId="0C8F8920" w14:textId="6B49D4D4" w:rsidR="00AB7C2D" w:rsidRPr="00E55F26" w:rsidRDefault="004A4B55" w:rsidP="00E55F26">
      <w:pPr>
        <w:pStyle w:val="ListParagraph"/>
        <w:widowControl w:val="0"/>
        <w:numPr>
          <w:ilvl w:val="0"/>
          <w:numId w:val="2"/>
        </w:numPr>
        <w:autoSpaceDE w:val="0"/>
        <w:autoSpaceDN w:val="0"/>
        <w:adjustRightInd w:val="0"/>
        <w:spacing w:after="240" w:line="360" w:lineRule="atLeast"/>
        <w:jc w:val="both"/>
        <w:rPr>
          <w:b/>
          <w:sz w:val="24"/>
          <w:szCs w:val="24"/>
        </w:rPr>
      </w:pPr>
      <w:r w:rsidRPr="00E55F26">
        <w:rPr>
          <w:b/>
          <w:sz w:val="24"/>
          <w:szCs w:val="24"/>
        </w:rPr>
        <w:t>A majority of states provide lawyers for children</w:t>
      </w:r>
      <w:r w:rsidR="00FD0506" w:rsidRPr="00E55F26">
        <w:rPr>
          <w:b/>
          <w:sz w:val="24"/>
          <w:szCs w:val="24"/>
        </w:rPr>
        <w:t>.</w:t>
      </w:r>
    </w:p>
    <w:p w14:paraId="7DF96073" w14:textId="77777777" w:rsidR="002270B5" w:rsidRDefault="00E54EDD" w:rsidP="00B633FE">
      <w:pPr>
        <w:pStyle w:val="ListParagraph"/>
        <w:widowControl w:val="0"/>
        <w:autoSpaceDE w:val="0"/>
        <w:autoSpaceDN w:val="0"/>
        <w:adjustRightInd w:val="0"/>
        <w:spacing w:after="240" w:line="360" w:lineRule="atLeast"/>
        <w:ind w:left="0" w:firstLine="720"/>
        <w:rPr>
          <w:rFonts w:eastAsia="PMingLiU"/>
          <w:lang w:eastAsia="zh-TW"/>
        </w:rPr>
      </w:pPr>
      <w:r>
        <w:rPr>
          <w:rFonts w:cs="Times New Roman"/>
          <w:color w:val="000000"/>
        </w:rPr>
        <w:t>Admittedly, the cost of providing high quality legal representation for ch</w:t>
      </w:r>
      <w:r w:rsidR="00305399">
        <w:rPr>
          <w:rFonts w:cs="Times New Roman"/>
          <w:color w:val="000000"/>
        </w:rPr>
        <w:t>ildren is an issue that should</w:t>
      </w:r>
      <w:r>
        <w:rPr>
          <w:rFonts w:cs="Times New Roman"/>
          <w:color w:val="000000"/>
        </w:rPr>
        <w:t xml:space="preserve"> be addressed.  However, </w:t>
      </w:r>
      <w:r w:rsidR="00305399">
        <w:rPr>
          <w:rFonts w:cs="Times New Roman"/>
          <w:color w:val="000000"/>
        </w:rPr>
        <w:t>in assessing the historical landscape of</w:t>
      </w:r>
      <w:r w:rsidR="007301FC">
        <w:rPr>
          <w:rFonts w:cs="Times New Roman"/>
          <w:color w:val="000000"/>
        </w:rPr>
        <w:t xml:space="preserve"> children’s representation</w:t>
      </w:r>
      <w:r w:rsidR="00305399">
        <w:rPr>
          <w:rFonts w:cs="Times New Roman"/>
          <w:color w:val="000000"/>
        </w:rPr>
        <w:t xml:space="preserve"> </w:t>
      </w:r>
      <w:r w:rsidR="007301FC">
        <w:rPr>
          <w:rFonts w:cs="Times New Roman"/>
          <w:color w:val="000000"/>
        </w:rPr>
        <w:t xml:space="preserve">throughout the country, states have been able to design a structure which allows for legal representation in a cost-effective manner.  In fact, </w:t>
      </w:r>
      <w:r>
        <w:rPr>
          <w:rFonts w:cs="Times New Roman"/>
          <w:color w:val="000000"/>
        </w:rPr>
        <w:t>m</w:t>
      </w:r>
      <w:r w:rsidR="00FD0506">
        <w:rPr>
          <w:rFonts w:cs="Times New Roman"/>
          <w:color w:val="000000"/>
        </w:rPr>
        <w:t xml:space="preserve">ost </w:t>
      </w:r>
      <w:r w:rsidR="00E94B02" w:rsidRPr="00E94B02">
        <w:rPr>
          <w:rFonts w:cs="Times New Roman"/>
          <w:color w:val="000000"/>
        </w:rPr>
        <w:t>states recognize a right to legal representation for children in dependency proceedings, and many have done so for decades, demonstrating that counsel is not only necessary but can be provided in a feasible and cost-effective manner.</w:t>
      </w:r>
      <w:r w:rsidR="00E94B02">
        <w:rPr>
          <w:rStyle w:val="FootnoteReference"/>
          <w:rFonts w:cs="Times New Roman"/>
          <w:color w:val="000000"/>
        </w:rPr>
        <w:footnoteReference w:id="9"/>
      </w:r>
      <w:r w:rsidR="00E94B02" w:rsidRPr="00E94B02">
        <w:rPr>
          <w:rFonts w:cs="Times New Roman"/>
          <w:color w:val="000000"/>
        </w:rPr>
        <w:t xml:space="preserve"> </w:t>
      </w:r>
      <w:r w:rsidR="00916D4E">
        <w:rPr>
          <w:rFonts w:cs="Times New Roman"/>
          <w:color w:val="000000"/>
        </w:rPr>
        <w:t xml:space="preserve">More specifically, </w:t>
      </w:r>
      <w:r w:rsidR="00F544F1">
        <w:rPr>
          <w:rFonts w:eastAsia="PMingLiU"/>
          <w:lang w:eastAsia="zh-TW"/>
        </w:rPr>
        <w:t>at least thirty-one states and the District of Columbia provide an automatic right to legal counsel, either by statute, rule, or regulation, and that number is steadily growing.</w:t>
      </w:r>
      <w:r w:rsidR="00916D4E">
        <w:rPr>
          <w:rStyle w:val="FootnoteReference"/>
          <w:rFonts w:eastAsia="PMingLiU"/>
          <w:lang w:eastAsia="zh-TW"/>
        </w:rPr>
        <w:footnoteReference w:id="10"/>
      </w:r>
      <w:r w:rsidR="005B4C20">
        <w:rPr>
          <w:rFonts w:eastAsia="PMingLiU"/>
          <w:lang w:eastAsia="zh-TW"/>
        </w:rPr>
        <w:t xml:space="preserve">  </w:t>
      </w:r>
      <w:r w:rsidR="00317A50">
        <w:rPr>
          <w:rFonts w:eastAsia="PMingLiU"/>
          <w:lang w:eastAsia="zh-TW"/>
        </w:rPr>
        <w:t>These thirty-one states differ in the model of representation the child’s lawyer must operate under, bu</w:t>
      </w:r>
      <w:r w:rsidR="002270B5">
        <w:rPr>
          <w:rFonts w:eastAsia="PMingLiU"/>
          <w:lang w:eastAsia="zh-TW"/>
        </w:rPr>
        <w:t xml:space="preserve">t all provide the child </w:t>
      </w:r>
      <w:r w:rsidR="00317A50">
        <w:rPr>
          <w:rFonts w:eastAsia="PMingLiU"/>
          <w:lang w:eastAsia="zh-TW"/>
        </w:rPr>
        <w:t xml:space="preserve">an independent right to </w:t>
      </w:r>
      <w:r w:rsidR="00317A50" w:rsidRPr="00317A50">
        <w:rPr>
          <w:rFonts w:eastAsia="PMingLiU"/>
          <w:i/>
          <w:lang w:eastAsia="zh-TW"/>
        </w:rPr>
        <w:t>legal counsel</w:t>
      </w:r>
      <w:r w:rsidR="00317A50">
        <w:rPr>
          <w:rFonts w:eastAsia="PMingLiU"/>
          <w:lang w:eastAsia="zh-TW"/>
        </w:rPr>
        <w:t xml:space="preserve">.  </w:t>
      </w:r>
    </w:p>
    <w:p w14:paraId="16D2DB8D" w14:textId="5E529EF2" w:rsidR="002270B5" w:rsidRDefault="002270B5" w:rsidP="00B633FE">
      <w:pPr>
        <w:pStyle w:val="ListParagraph"/>
        <w:widowControl w:val="0"/>
        <w:autoSpaceDE w:val="0"/>
        <w:autoSpaceDN w:val="0"/>
        <w:adjustRightInd w:val="0"/>
        <w:spacing w:after="240" w:line="360" w:lineRule="atLeast"/>
        <w:ind w:left="0" w:firstLine="720"/>
        <w:rPr>
          <w:rFonts w:eastAsia="PMingLiU"/>
          <w:lang w:eastAsia="zh-TW"/>
        </w:rPr>
      </w:pPr>
      <w:r>
        <w:rPr>
          <w:rFonts w:eastAsia="PMingLiU"/>
          <w:lang w:eastAsia="zh-TW"/>
        </w:rPr>
        <w:t>A 1998 survey by the National Counsel for Family and Juvenile Court Judges</w:t>
      </w:r>
      <w:r w:rsidR="00D01556">
        <w:rPr>
          <w:rFonts w:eastAsia="PMingLiU"/>
          <w:lang w:eastAsia="zh-TW"/>
        </w:rPr>
        <w:t xml:space="preserve"> </w:t>
      </w:r>
      <w:r>
        <w:rPr>
          <w:rFonts w:eastAsia="PMingLiU"/>
          <w:lang w:eastAsia="zh-TW"/>
        </w:rPr>
        <w:t xml:space="preserve">indicated that 40 states appoint </w:t>
      </w:r>
      <w:r w:rsidR="00637FB1">
        <w:rPr>
          <w:rFonts w:eastAsia="PMingLiU"/>
          <w:lang w:eastAsia="zh-TW"/>
        </w:rPr>
        <w:t>counsel for children in abuse and neglect cases.</w:t>
      </w:r>
      <w:r w:rsidR="00637FB1">
        <w:rPr>
          <w:rStyle w:val="FootnoteReference"/>
          <w:rFonts w:eastAsia="PMingLiU"/>
          <w:lang w:eastAsia="zh-TW"/>
        </w:rPr>
        <w:footnoteReference w:id="11"/>
      </w:r>
      <w:r w:rsidR="00637FB1">
        <w:rPr>
          <w:rFonts w:eastAsia="PMingLiU"/>
          <w:lang w:eastAsia="zh-TW"/>
        </w:rPr>
        <w:t xml:space="preserve"> </w:t>
      </w:r>
      <w:r w:rsidR="0082512D">
        <w:rPr>
          <w:rFonts w:eastAsia="PMingLiU"/>
          <w:lang w:eastAsia="zh-TW"/>
        </w:rPr>
        <w:t xml:space="preserve"> Of those 40 states, 30 appoint</w:t>
      </w:r>
      <w:r w:rsidR="00637FB1">
        <w:rPr>
          <w:rFonts w:eastAsia="PMingLiU"/>
          <w:lang w:eastAsia="zh-TW"/>
        </w:rPr>
        <w:t xml:space="preserve"> an “attorney ad-litem” who serves in a dual role, representing both the child’s best interests and expressed wishes.</w:t>
      </w:r>
      <w:r w:rsidR="00637FB1">
        <w:rPr>
          <w:rStyle w:val="FootnoteReference"/>
          <w:rFonts w:eastAsia="PMingLiU"/>
          <w:lang w:eastAsia="zh-TW"/>
        </w:rPr>
        <w:footnoteReference w:id="12"/>
      </w:r>
      <w:r w:rsidR="00637FB1">
        <w:rPr>
          <w:rFonts w:eastAsia="PMingLiU"/>
          <w:lang w:eastAsia="zh-TW"/>
        </w:rPr>
        <w:t xml:space="preserve">  </w:t>
      </w:r>
      <w:r w:rsidR="00D01556">
        <w:rPr>
          <w:rFonts w:eastAsia="PMingLiU"/>
          <w:lang w:eastAsia="zh-TW"/>
        </w:rPr>
        <w:t>In the remaining 10 states that appoint counsel for a child, a GAL is appointed in addition to an attorney.</w:t>
      </w:r>
      <w:r w:rsidR="00D01556">
        <w:rPr>
          <w:rStyle w:val="FootnoteReference"/>
          <w:rFonts w:eastAsia="PMingLiU"/>
          <w:lang w:eastAsia="zh-TW"/>
        </w:rPr>
        <w:footnoteReference w:id="13"/>
      </w:r>
      <w:r w:rsidR="00D01556">
        <w:rPr>
          <w:rFonts w:eastAsia="PMingLiU"/>
          <w:lang w:eastAsia="zh-TW"/>
        </w:rPr>
        <w:t xml:space="preserve">  </w:t>
      </w:r>
      <w:r w:rsidR="0082512D">
        <w:rPr>
          <w:rFonts w:eastAsia="PMingLiU"/>
          <w:lang w:eastAsia="zh-TW"/>
        </w:rPr>
        <w:t xml:space="preserve">In </w:t>
      </w:r>
      <w:r w:rsidR="00D01556">
        <w:rPr>
          <w:rFonts w:eastAsia="PMingLiU"/>
          <w:lang w:eastAsia="zh-TW"/>
        </w:rPr>
        <w:t>the 10 states that do not appoint counsel for children, 9 of those states did provide a non-attorney GAL, as is the case in Florida.</w:t>
      </w:r>
    </w:p>
    <w:p w14:paraId="47C30142" w14:textId="62F61D67" w:rsidR="00E94B02" w:rsidRDefault="00317A50" w:rsidP="00B633FE">
      <w:pPr>
        <w:pStyle w:val="ListParagraph"/>
        <w:widowControl w:val="0"/>
        <w:autoSpaceDE w:val="0"/>
        <w:autoSpaceDN w:val="0"/>
        <w:adjustRightInd w:val="0"/>
        <w:spacing w:after="240" w:line="360" w:lineRule="atLeast"/>
        <w:ind w:left="0" w:firstLine="720"/>
        <w:rPr>
          <w:rFonts w:eastAsia="PMingLiU"/>
          <w:lang w:eastAsia="zh-TW"/>
        </w:rPr>
      </w:pPr>
      <w:r>
        <w:rPr>
          <w:rFonts w:eastAsia="PMingLiU"/>
          <w:lang w:eastAsia="zh-TW"/>
        </w:rPr>
        <w:t xml:space="preserve">Therefore, </w:t>
      </w:r>
      <w:r w:rsidR="005B4C20">
        <w:rPr>
          <w:rFonts w:eastAsia="PMingLiU"/>
          <w:lang w:eastAsia="zh-TW"/>
        </w:rPr>
        <w:t>Florida is clearly in the minority by not providing children in dependency proceedings their own lawyer.</w:t>
      </w:r>
    </w:p>
    <w:p w14:paraId="37D4A590" w14:textId="6F6DCEE9" w:rsidR="004A4B55" w:rsidRDefault="002A4908" w:rsidP="00AB7C2D">
      <w:pPr>
        <w:pStyle w:val="ListParagraph"/>
        <w:numPr>
          <w:ilvl w:val="0"/>
          <w:numId w:val="2"/>
        </w:numPr>
        <w:tabs>
          <w:tab w:val="left" w:pos="9360"/>
        </w:tabs>
        <w:rPr>
          <w:b/>
          <w:sz w:val="24"/>
          <w:szCs w:val="24"/>
        </w:rPr>
      </w:pPr>
      <w:r>
        <w:rPr>
          <w:b/>
          <w:sz w:val="24"/>
          <w:szCs w:val="24"/>
        </w:rPr>
        <w:lastRenderedPageBreak/>
        <w:t xml:space="preserve">The </w:t>
      </w:r>
      <w:r w:rsidR="00101A38">
        <w:rPr>
          <w:b/>
          <w:sz w:val="24"/>
          <w:szCs w:val="24"/>
        </w:rPr>
        <w:t xml:space="preserve">U.S. </w:t>
      </w:r>
      <w:r>
        <w:rPr>
          <w:b/>
          <w:sz w:val="24"/>
          <w:szCs w:val="24"/>
        </w:rPr>
        <w:t>Children’</w:t>
      </w:r>
      <w:r w:rsidR="00B72234">
        <w:rPr>
          <w:b/>
          <w:sz w:val="24"/>
          <w:szCs w:val="24"/>
        </w:rPr>
        <w:t>s Bureau</w:t>
      </w:r>
      <w:r w:rsidR="001A5F55">
        <w:rPr>
          <w:b/>
          <w:sz w:val="24"/>
          <w:szCs w:val="24"/>
        </w:rPr>
        <w:t xml:space="preserve">, </w:t>
      </w:r>
      <w:r>
        <w:rPr>
          <w:b/>
          <w:sz w:val="24"/>
          <w:szCs w:val="24"/>
        </w:rPr>
        <w:t>other national organizations,</w:t>
      </w:r>
      <w:r w:rsidR="00A82D68">
        <w:rPr>
          <w:b/>
          <w:sz w:val="24"/>
          <w:szCs w:val="24"/>
        </w:rPr>
        <w:t xml:space="preserve"> and at least one federal d</w:t>
      </w:r>
      <w:r w:rsidR="001A5F55">
        <w:rPr>
          <w:b/>
          <w:sz w:val="24"/>
          <w:szCs w:val="24"/>
        </w:rPr>
        <w:t>istrict court</w:t>
      </w:r>
      <w:r>
        <w:rPr>
          <w:b/>
          <w:sz w:val="24"/>
          <w:szCs w:val="24"/>
        </w:rPr>
        <w:t xml:space="preserve"> have recognized that due process requires </w:t>
      </w:r>
      <w:r w:rsidR="00FD0506">
        <w:rPr>
          <w:b/>
          <w:sz w:val="24"/>
          <w:szCs w:val="24"/>
        </w:rPr>
        <w:t>children’s legal representation.</w:t>
      </w:r>
    </w:p>
    <w:p w14:paraId="66B91522" w14:textId="29FE178B" w:rsidR="001A5F55" w:rsidRDefault="00BB7F83" w:rsidP="00841AB3">
      <w:pPr>
        <w:tabs>
          <w:tab w:val="left" w:pos="9360"/>
        </w:tabs>
        <w:rPr>
          <w:rFonts w:cs="Times New Roman"/>
          <w:color w:val="000000"/>
        </w:rPr>
      </w:pPr>
      <w:r>
        <w:t xml:space="preserve">               </w:t>
      </w:r>
      <w:r w:rsidR="00DC1CDB">
        <w:t xml:space="preserve">According to a federal district court in Georgia, </w:t>
      </w:r>
      <w:r>
        <w:t xml:space="preserve"> </w:t>
      </w:r>
      <w:r w:rsidR="00DC1CDB">
        <w:t>i</w:t>
      </w:r>
      <w:r w:rsidR="00D8563C">
        <w:t>ndependent legal representation for the child—whose future safety and well-being is the very subject of the proceeding—is a necessary component of</w:t>
      </w:r>
      <w:r w:rsidR="00F10F2E">
        <w:t xml:space="preserve"> due process.</w:t>
      </w:r>
      <w:r w:rsidR="00F10F2E">
        <w:rPr>
          <w:rStyle w:val="FootnoteReference"/>
        </w:rPr>
        <w:footnoteReference w:id="14"/>
      </w:r>
      <w:r w:rsidR="00F10F2E">
        <w:t xml:space="preserve">  </w:t>
      </w:r>
      <w:r w:rsidR="00A8457B">
        <w:t>When a child is placed</w:t>
      </w:r>
      <w:r w:rsidR="00A82D68">
        <w:t xml:space="preserve"> </w:t>
      </w:r>
      <w:r w:rsidR="00A8457B">
        <w:t xml:space="preserve">in the State’s custody, she </w:t>
      </w:r>
      <w:r w:rsidR="00A82D68">
        <w:t>is subject to “placement in a wide array of different types of foster care placements, including institutional facilities where their physical liberty is greatly restricted.”</w:t>
      </w:r>
      <w:r w:rsidR="00A82D68">
        <w:rPr>
          <w:rStyle w:val="FootnoteReference"/>
        </w:rPr>
        <w:footnoteReference w:id="15"/>
      </w:r>
      <w:r w:rsidR="00723281">
        <w:t xml:space="preserve">  </w:t>
      </w:r>
      <w:r w:rsidR="00723281" w:rsidRPr="008B5E7E">
        <w:rPr>
          <w:rFonts w:cs="Times New Roman"/>
          <w:color w:val="000000"/>
        </w:rPr>
        <w:t xml:space="preserve">Dependency proceedings directly </w:t>
      </w:r>
      <w:r w:rsidR="00723281">
        <w:rPr>
          <w:rFonts w:cs="Times New Roman"/>
          <w:color w:val="000000"/>
        </w:rPr>
        <w:t xml:space="preserve">and dramatically </w:t>
      </w:r>
      <w:r w:rsidR="00723281" w:rsidRPr="008B5E7E">
        <w:rPr>
          <w:rFonts w:cs="Times New Roman"/>
          <w:color w:val="000000"/>
        </w:rPr>
        <w:t>impact children’s physical liberty</w:t>
      </w:r>
      <w:r w:rsidR="00723281">
        <w:rPr>
          <w:rFonts w:cs="Times New Roman"/>
          <w:color w:val="000000"/>
        </w:rPr>
        <w:t xml:space="preserve"> in many ways.  For example, the court will often determine</w:t>
      </w:r>
      <w:r w:rsidR="00723281" w:rsidRPr="008B5E7E">
        <w:rPr>
          <w:rFonts w:cs="Times New Roman"/>
          <w:color w:val="000000"/>
        </w:rPr>
        <w:t xml:space="preserve"> where a child will sleep</w:t>
      </w:r>
      <w:r w:rsidR="00723281">
        <w:rPr>
          <w:rFonts w:cs="Times New Roman"/>
          <w:color w:val="000000"/>
        </w:rPr>
        <w:t>, with whom the child can associate and for how long,</w:t>
      </w:r>
      <w:r w:rsidR="00723281" w:rsidRPr="008B5E7E">
        <w:rPr>
          <w:rFonts w:cs="Times New Roman"/>
          <w:color w:val="000000"/>
        </w:rPr>
        <w:t xml:space="preserve"> and who w</w:t>
      </w:r>
      <w:r w:rsidR="00723281">
        <w:rPr>
          <w:rFonts w:cs="Times New Roman"/>
          <w:color w:val="000000"/>
        </w:rPr>
        <w:t>ill be present in her daily life to name a few. In addition to these fundamental liberty</w:t>
      </w:r>
      <w:r w:rsidR="00723281" w:rsidRPr="008B5E7E">
        <w:rPr>
          <w:rFonts w:cs="Times New Roman"/>
          <w:color w:val="000000"/>
        </w:rPr>
        <w:t xml:space="preserve"> interests</w:t>
      </w:r>
      <w:r w:rsidR="00723281">
        <w:rPr>
          <w:rFonts w:cs="Times New Roman"/>
          <w:color w:val="000000"/>
        </w:rPr>
        <w:t xml:space="preserve">, </w:t>
      </w:r>
      <w:r w:rsidR="00723281" w:rsidRPr="008B5E7E">
        <w:rPr>
          <w:rFonts w:cs="Times New Roman"/>
          <w:color w:val="000000"/>
        </w:rPr>
        <w:t>the risks to children while in state custody are severe: national data confirms that children removed from the home are at serious risk of further maltreatment, unnecessary placement in restrictive institutions, the administration of psychotropic medications, and a variety of poor long-term outcomes.</w:t>
      </w:r>
      <w:r w:rsidR="00726A0C">
        <w:rPr>
          <w:rStyle w:val="FootnoteReference"/>
          <w:rFonts w:cs="Times New Roman"/>
          <w:color w:val="000000"/>
        </w:rPr>
        <w:footnoteReference w:id="16"/>
      </w:r>
      <w:r w:rsidR="00723281" w:rsidRPr="008B5E7E">
        <w:rPr>
          <w:rFonts w:cs="Times New Roman"/>
          <w:color w:val="000000"/>
        </w:rPr>
        <w:t xml:space="preserve"> </w:t>
      </w:r>
      <w:r w:rsidR="00723281">
        <w:rPr>
          <w:rFonts w:cs="Times New Roman"/>
          <w:color w:val="000000"/>
        </w:rPr>
        <w:t xml:space="preserve">  </w:t>
      </w:r>
    </w:p>
    <w:p w14:paraId="14571CC2" w14:textId="3C21C5E1" w:rsidR="00DC1CDB" w:rsidRDefault="00DC1CDB" w:rsidP="00DC1CDB">
      <w:pPr>
        <w:widowControl w:val="0"/>
        <w:autoSpaceDE w:val="0"/>
        <w:autoSpaceDN w:val="0"/>
        <w:adjustRightInd w:val="0"/>
        <w:spacing w:after="240" w:line="360" w:lineRule="atLeast"/>
        <w:rPr>
          <w:rFonts w:cs="Times"/>
          <w:color w:val="000000"/>
        </w:rPr>
      </w:pPr>
      <w:r>
        <w:rPr>
          <w:rFonts w:cs="Times New Roman"/>
          <w:color w:val="000000"/>
        </w:rPr>
        <w:t xml:space="preserve">              Furthermore, the U.S. Children’s Bureau has recognized that, “[</w:t>
      </w:r>
      <w:r w:rsidR="001B4857">
        <w:rPr>
          <w:rFonts w:cs="Times"/>
          <w:color w:val="000000"/>
        </w:rPr>
        <w:t>t</w:t>
      </w:r>
      <w:r>
        <w:rPr>
          <w:rFonts w:cs="Times"/>
          <w:color w:val="000000"/>
        </w:rPr>
        <w:t>]</w:t>
      </w:r>
      <w:r w:rsidRPr="00DC1CDB">
        <w:rPr>
          <w:rFonts w:cs="Times"/>
          <w:color w:val="000000"/>
        </w:rPr>
        <w:t xml:space="preserve">he U.S. legal system is based on the premise that parties have a due process right to be heard and that </w:t>
      </w:r>
      <w:r w:rsidRPr="00BF0CB2">
        <w:rPr>
          <w:rFonts w:cs="Times"/>
          <w:i/>
          <w:color w:val="000000"/>
        </w:rPr>
        <w:t>competent legal representation</w:t>
      </w:r>
      <w:r w:rsidRPr="00DC1CDB">
        <w:rPr>
          <w:rFonts w:cs="Times"/>
          <w:color w:val="000000"/>
        </w:rPr>
        <w:t xml:space="preserve"> and fair treatment produce just results.</w:t>
      </w:r>
      <w:r w:rsidR="00875616">
        <w:rPr>
          <w:rFonts w:cs="Times"/>
          <w:color w:val="000000"/>
        </w:rPr>
        <w:t>”</w:t>
      </w:r>
      <w:r w:rsidR="00875616">
        <w:rPr>
          <w:rStyle w:val="FootnoteReference"/>
          <w:rFonts w:cs="Times"/>
          <w:color w:val="000000"/>
        </w:rPr>
        <w:footnoteReference w:id="17"/>
      </w:r>
      <w:r>
        <w:rPr>
          <w:rFonts w:ascii="Times" w:hAnsi="Times" w:cs="Times"/>
          <w:color w:val="000000"/>
          <w:sz w:val="32"/>
          <w:szCs w:val="32"/>
        </w:rPr>
        <w:t xml:space="preserve"> </w:t>
      </w:r>
      <w:r w:rsidR="00BF0CB2">
        <w:rPr>
          <w:rFonts w:cs="Times"/>
          <w:color w:val="000000"/>
        </w:rPr>
        <w:t xml:space="preserve">Accordingly, the Children’s Bureau has acknowledged that although CAPTA allows for the appointment of an attorney and/or a court-appointed special advocate (CASA), justice requires that children be afforded </w:t>
      </w:r>
      <w:r w:rsidR="007853C8">
        <w:rPr>
          <w:rFonts w:cs="Times"/>
          <w:color w:val="000000"/>
        </w:rPr>
        <w:t>legal representation in dependency proceedings.</w:t>
      </w:r>
      <w:r w:rsidR="007853C8">
        <w:rPr>
          <w:rStyle w:val="FootnoteReference"/>
          <w:rFonts w:cs="Times"/>
          <w:color w:val="000000"/>
        </w:rPr>
        <w:footnoteReference w:id="18"/>
      </w:r>
    </w:p>
    <w:p w14:paraId="2993B86D" w14:textId="785E538C" w:rsidR="0029762B" w:rsidRPr="0082512D" w:rsidRDefault="00E32136" w:rsidP="0082512D">
      <w:pPr>
        <w:spacing w:line="360" w:lineRule="atLeast"/>
        <w:rPr>
          <w:rFonts w:ascii="Times New Roman" w:eastAsia="Times New Roman" w:hAnsi="Times New Roman" w:cs="Times New Roman"/>
          <w:sz w:val="24"/>
          <w:szCs w:val="24"/>
        </w:rPr>
      </w:pPr>
      <w:r>
        <w:rPr>
          <w:rFonts w:cs="Times"/>
          <w:color w:val="000000"/>
        </w:rPr>
        <w:tab/>
        <w:t>In August 2017, the Conference of State Court Administrators renewed its pol</w:t>
      </w:r>
      <w:r w:rsidR="00245E76">
        <w:rPr>
          <w:rFonts w:cs="Times"/>
          <w:color w:val="000000"/>
        </w:rPr>
        <w:t xml:space="preserve">icy statement on Child Welfare which included a statement that safeguards should be in place to ensure that children have legal representation “in all </w:t>
      </w:r>
      <w:r w:rsidR="00245E76" w:rsidRPr="00245E76">
        <w:rPr>
          <w:rFonts w:eastAsia="Times New Roman" w:cs="Times New Roman"/>
        </w:rPr>
        <w:t>child protection cases and at every stage of the case, and the preservation of the rights of interested parties.</w:t>
      </w:r>
      <w:r w:rsidR="00245E76">
        <w:rPr>
          <w:rFonts w:eastAsia="Times New Roman" w:cs="Times New Roman"/>
        </w:rPr>
        <w:t>”</w:t>
      </w:r>
      <w:r w:rsidR="00245E76">
        <w:rPr>
          <w:rStyle w:val="FootnoteReference"/>
          <w:rFonts w:eastAsia="Times New Roman" w:cs="Times New Roman"/>
        </w:rPr>
        <w:footnoteReference w:id="19"/>
      </w:r>
    </w:p>
    <w:p w14:paraId="4C51D27D" w14:textId="33B8FB36" w:rsidR="00FD0506" w:rsidRDefault="00774113" w:rsidP="00FD0506">
      <w:pPr>
        <w:pStyle w:val="ListParagraph"/>
        <w:numPr>
          <w:ilvl w:val="0"/>
          <w:numId w:val="2"/>
        </w:numPr>
        <w:tabs>
          <w:tab w:val="left" w:pos="9360"/>
        </w:tabs>
        <w:rPr>
          <w:b/>
          <w:sz w:val="24"/>
          <w:szCs w:val="24"/>
        </w:rPr>
      </w:pPr>
      <w:r>
        <w:rPr>
          <w:b/>
          <w:sz w:val="24"/>
          <w:szCs w:val="24"/>
        </w:rPr>
        <w:t>Florida c</w:t>
      </w:r>
      <w:r w:rsidR="00FD0506">
        <w:rPr>
          <w:b/>
          <w:sz w:val="24"/>
          <w:szCs w:val="24"/>
        </w:rPr>
        <w:t xml:space="preserve">hildren are parties to the dependency </w:t>
      </w:r>
      <w:r w:rsidR="00B20B13">
        <w:rPr>
          <w:b/>
          <w:sz w:val="24"/>
          <w:szCs w:val="24"/>
        </w:rPr>
        <w:t xml:space="preserve">case and should be entitled to </w:t>
      </w:r>
      <w:r w:rsidR="00FD0506">
        <w:rPr>
          <w:b/>
          <w:sz w:val="24"/>
          <w:szCs w:val="24"/>
        </w:rPr>
        <w:t>legal counsel</w:t>
      </w:r>
      <w:r w:rsidR="00B20B13">
        <w:rPr>
          <w:b/>
          <w:sz w:val="24"/>
          <w:szCs w:val="24"/>
        </w:rPr>
        <w:t xml:space="preserve"> as are all other parties</w:t>
      </w:r>
      <w:r w:rsidR="00FD0506">
        <w:rPr>
          <w:b/>
          <w:sz w:val="24"/>
          <w:szCs w:val="24"/>
        </w:rPr>
        <w:t>.</w:t>
      </w:r>
    </w:p>
    <w:p w14:paraId="58DACA3F" w14:textId="47DDC4EE" w:rsidR="00663472" w:rsidRPr="00103418" w:rsidRDefault="00BB7F83" w:rsidP="00B02E33">
      <w:pPr>
        <w:widowControl w:val="0"/>
        <w:tabs>
          <w:tab w:val="left" w:pos="220"/>
          <w:tab w:val="left" w:pos="720"/>
        </w:tabs>
        <w:autoSpaceDE w:val="0"/>
        <w:autoSpaceDN w:val="0"/>
        <w:adjustRightInd w:val="0"/>
        <w:spacing w:after="240" w:line="360" w:lineRule="atLeast"/>
        <w:rPr>
          <w:rFonts w:eastAsia="MS Mincho" w:cs="MS Mincho"/>
          <w:color w:val="000000"/>
        </w:rPr>
      </w:pPr>
      <w:r>
        <w:tab/>
      </w:r>
      <w:r>
        <w:tab/>
      </w:r>
      <w:r w:rsidR="0092734D">
        <w:t xml:space="preserve">Despite being the </w:t>
      </w:r>
      <w:r w:rsidR="0092734D" w:rsidRPr="001C2420">
        <w:rPr>
          <w:i/>
        </w:rPr>
        <w:t>subject</w:t>
      </w:r>
      <w:r w:rsidR="001C2420">
        <w:t xml:space="preserve"> of the proceedings, in Florida</w:t>
      </w:r>
      <w:r w:rsidR="0092734D">
        <w:t xml:space="preserve"> the child is the </w:t>
      </w:r>
      <w:r w:rsidR="0092734D">
        <w:rPr>
          <w:i/>
        </w:rPr>
        <w:t>only</w:t>
      </w:r>
      <w:r w:rsidR="0092734D">
        <w:t xml:space="preserve"> party to</w:t>
      </w:r>
      <w:r w:rsidR="00F379FF">
        <w:t xml:space="preserve"> the</w:t>
      </w:r>
      <w:r w:rsidR="0092734D">
        <w:t xml:space="preserve"> dependency proceeding without a complete </w:t>
      </w:r>
      <w:r w:rsidR="00F379FF">
        <w:t>right to counsel, leaving the most vulnerab</w:t>
      </w:r>
      <w:r w:rsidR="004D4A28">
        <w:t>le party without a voice</w:t>
      </w:r>
      <w:r w:rsidR="000D73A5">
        <w:t xml:space="preserve"> or the ability to meaningfully engage in the proceedings</w:t>
      </w:r>
      <w:r w:rsidR="0092734D">
        <w:t>.</w:t>
      </w:r>
      <w:r w:rsidR="00065376">
        <w:t xml:space="preserve">  Furthermore, legal representation of all </w:t>
      </w:r>
      <w:r w:rsidR="00065376">
        <w:lastRenderedPageBreak/>
        <w:t xml:space="preserve">parties is a crucial element of a highly functioning system.  According to the </w:t>
      </w:r>
      <w:r w:rsidR="00101A38">
        <w:t xml:space="preserve">U.S. </w:t>
      </w:r>
      <w:r w:rsidR="00065376">
        <w:t xml:space="preserve">Children’s Bureau, </w:t>
      </w:r>
      <w:r w:rsidR="00065376" w:rsidRPr="00F379FF">
        <w:t>“</w:t>
      </w:r>
      <w:r w:rsidR="00065376" w:rsidRPr="00F379FF">
        <w:rPr>
          <w:rFonts w:cs="Times"/>
          <w:color w:val="000000"/>
        </w:rPr>
        <w:t>The absence of legal representation for any party at any stage of child welfare proceedings is a significant impediment to a well-functioning child welfare system.”</w:t>
      </w:r>
      <w:r w:rsidR="00065376">
        <w:rPr>
          <w:rStyle w:val="FootnoteReference"/>
          <w:rFonts w:cs="Times"/>
          <w:color w:val="000000"/>
          <w:sz w:val="20"/>
          <w:szCs w:val="20"/>
        </w:rPr>
        <w:footnoteReference w:id="20"/>
      </w:r>
      <w:r w:rsidR="00065376" w:rsidRPr="00065376">
        <w:rPr>
          <w:rFonts w:ascii="MS Mincho" w:eastAsia="MS Mincho" w:hAnsi="MS Mincho" w:cs="MS Mincho"/>
          <w:color w:val="000000"/>
          <w:sz w:val="20"/>
          <w:szCs w:val="20"/>
        </w:rPr>
        <w:t> </w:t>
      </w:r>
      <w:r w:rsidR="004D01BC">
        <w:rPr>
          <w:rFonts w:eastAsia="MS Mincho" w:cs="MS Mincho"/>
          <w:color w:val="000000"/>
        </w:rPr>
        <w:t xml:space="preserve"> </w:t>
      </w:r>
    </w:p>
    <w:p w14:paraId="4D3761A9" w14:textId="25013372" w:rsidR="006F2033" w:rsidRDefault="00476CBA" w:rsidP="00AB7C2D">
      <w:pPr>
        <w:pStyle w:val="ListParagraph"/>
        <w:numPr>
          <w:ilvl w:val="0"/>
          <w:numId w:val="2"/>
        </w:numPr>
        <w:tabs>
          <w:tab w:val="left" w:pos="9360"/>
        </w:tabs>
        <w:rPr>
          <w:b/>
          <w:sz w:val="24"/>
          <w:szCs w:val="24"/>
        </w:rPr>
      </w:pPr>
      <w:r>
        <w:rPr>
          <w:b/>
          <w:sz w:val="24"/>
          <w:szCs w:val="24"/>
        </w:rPr>
        <w:t>Juvenile Court dependency proceedings are complex and trained legal counsel is necessary to navigate this complex system</w:t>
      </w:r>
      <w:r w:rsidR="00FD0506">
        <w:rPr>
          <w:b/>
          <w:sz w:val="24"/>
          <w:szCs w:val="24"/>
        </w:rPr>
        <w:t>.</w:t>
      </w:r>
    </w:p>
    <w:p w14:paraId="62EA4B47" w14:textId="42322D37" w:rsidR="00335CC9" w:rsidRDefault="00476CBA" w:rsidP="00BB7F83">
      <w:pPr>
        <w:widowControl w:val="0"/>
        <w:autoSpaceDE w:val="0"/>
        <w:autoSpaceDN w:val="0"/>
        <w:adjustRightInd w:val="0"/>
        <w:spacing w:after="240" w:line="360" w:lineRule="atLeast"/>
        <w:ind w:firstLine="720"/>
        <w:rPr>
          <w:rFonts w:cs="Times New Roman"/>
          <w:color w:val="000000"/>
        </w:rPr>
      </w:pPr>
      <w:r w:rsidRPr="00FD0506">
        <w:rPr>
          <w:rFonts w:cs="Times New Roman"/>
          <w:color w:val="000000"/>
        </w:rPr>
        <w:t>Dependency proceedings are complex legal processes that often involve expert medical testimony, implicate numerous federal and state laws, and require an understanding of multiple service delivery systems.</w:t>
      </w:r>
      <w:r w:rsidRPr="00FD0506">
        <w:rPr>
          <w:rStyle w:val="FootnoteReference"/>
          <w:rFonts w:cs="Times New Roman"/>
          <w:color w:val="000000"/>
        </w:rPr>
        <w:footnoteReference w:id="21"/>
      </w:r>
      <w:r w:rsidR="00DA7A83" w:rsidRPr="00FD0506">
        <w:rPr>
          <w:rFonts w:cs="Times New Roman"/>
          <w:color w:val="000000"/>
        </w:rPr>
        <w:t xml:space="preserve"> </w:t>
      </w:r>
      <w:r w:rsidR="008740B9">
        <w:rPr>
          <w:rFonts w:cs="Times New Roman"/>
          <w:color w:val="000000"/>
        </w:rPr>
        <w:t xml:space="preserve">Furthermore, as parties, children </w:t>
      </w:r>
      <w:r w:rsidR="002C10A9">
        <w:rPr>
          <w:rFonts w:cs="Times New Roman"/>
          <w:color w:val="000000"/>
        </w:rPr>
        <w:t xml:space="preserve">have a significant interest in the court proceedings as they </w:t>
      </w:r>
      <w:r w:rsidR="008740B9">
        <w:rPr>
          <w:rFonts w:cs="Times New Roman"/>
          <w:color w:val="000000"/>
        </w:rPr>
        <w:t>are subject to the court’s orders</w:t>
      </w:r>
      <w:r w:rsidR="002C10A9">
        <w:rPr>
          <w:rFonts w:cs="Times New Roman"/>
          <w:color w:val="000000"/>
        </w:rPr>
        <w:t xml:space="preserve"> and face potential legal consequences for failure to abide by the court’s order.  Additionally, as parties, children may </w:t>
      </w:r>
      <w:r w:rsidR="004B22E8">
        <w:rPr>
          <w:rFonts w:cs="Times New Roman"/>
          <w:color w:val="000000"/>
        </w:rPr>
        <w:t>be subject to cross-examination,</w:t>
      </w:r>
      <w:r w:rsidR="002D2C34">
        <w:rPr>
          <w:rFonts w:cs="Times New Roman"/>
          <w:color w:val="000000"/>
        </w:rPr>
        <w:t xml:space="preserve"> required to provide sworn testimony</w:t>
      </w:r>
      <w:r w:rsidR="004B22E8">
        <w:rPr>
          <w:rFonts w:cs="Times New Roman"/>
          <w:color w:val="000000"/>
        </w:rPr>
        <w:t>, or need to call witnesses to testify on their behalf</w:t>
      </w:r>
      <w:r w:rsidR="002D2C34">
        <w:rPr>
          <w:rFonts w:cs="Times New Roman"/>
          <w:color w:val="000000"/>
        </w:rPr>
        <w:t xml:space="preserve">.  </w:t>
      </w:r>
    </w:p>
    <w:p w14:paraId="0718AE13" w14:textId="1ECF4E8F" w:rsidR="00663472" w:rsidRDefault="00335CC9" w:rsidP="00274BAD">
      <w:pPr>
        <w:widowControl w:val="0"/>
        <w:autoSpaceDE w:val="0"/>
        <w:autoSpaceDN w:val="0"/>
        <w:adjustRightInd w:val="0"/>
        <w:spacing w:after="240" w:line="360" w:lineRule="atLeast"/>
        <w:ind w:firstLine="720"/>
        <w:rPr>
          <w:rFonts w:cs="Times"/>
          <w:color w:val="000000"/>
        </w:rPr>
      </w:pPr>
      <w:r>
        <w:rPr>
          <w:rFonts w:cs="Times New Roman"/>
          <w:color w:val="000000"/>
        </w:rPr>
        <w:t xml:space="preserve">As noted above, due process is the </w:t>
      </w:r>
      <w:r w:rsidR="006926EC">
        <w:rPr>
          <w:rFonts w:cs="Times New Roman"/>
          <w:color w:val="000000"/>
        </w:rPr>
        <w:t xml:space="preserve">cornerstone to providing a just system which considers all parties’ rights and interests.  Accordingly, judges must rely on sound, reliable and competent evidence in making judicial determinations.  </w:t>
      </w:r>
      <w:r w:rsidR="00845D73">
        <w:rPr>
          <w:rFonts w:cs="Times New Roman"/>
          <w:color w:val="000000"/>
        </w:rPr>
        <w:t>According to the Children’s Bureau, “</w:t>
      </w:r>
      <w:r w:rsidR="00845D73">
        <w:rPr>
          <w:rFonts w:cs="Times"/>
          <w:color w:val="000000"/>
        </w:rPr>
        <w:t>[i]</w:t>
      </w:r>
      <w:r w:rsidR="004B680E" w:rsidRPr="00845D73">
        <w:rPr>
          <w:rFonts w:cs="Times"/>
          <w:color w:val="000000"/>
        </w:rPr>
        <w:t>ncomplete or inaccurate information renders judicial decision-making more difficult and may result in delays, increases in the length of time children and youth spend in care, additional costs to state or tribal government,</w:t>
      </w:r>
      <w:r w:rsidR="00845D73">
        <w:rPr>
          <w:rFonts w:cs="Times"/>
          <w:color w:val="000000"/>
        </w:rPr>
        <w:t xml:space="preserve"> and less beneficial decisions….</w:t>
      </w:r>
      <w:r w:rsidR="004B680E" w:rsidRPr="00845D73">
        <w:rPr>
          <w:rFonts w:cs="Times"/>
          <w:color w:val="000000"/>
        </w:rPr>
        <w:t xml:space="preserve">Numerous studies and reports point to the importance of competent legal representation for parents, children, and youth in ensuring that salient information is conveyed to the court, parties’ legal rights are protected and that the wishes of </w:t>
      </w:r>
      <w:r w:rsidR="00845D73">
        <w:rPr>
          <w:rFonts w:cs="Times"/>
          <w:color w:val="000000"/>
        </w:rPr>
        <w:t>parties are effectively voiced.”</w:t>
      </w:r>
      <w:r w:rsidR="00845D73">
        <w:rPr>
          <w:rStyle w:val="FootnoteReference"/>
          <w:rFonts w:cs="Times"/>
          <w:color w:val="000000"/>
        </w:rPr>
        <w:footnoteReference w:id="22"/>
      </w:r>
      <w:r w:rsidR="00434DE1">
        <w:rPr>
          <w:rFonts w:cs="Times"/>
          <w:color w:val="000000"/>
        </w:rPr>
        <w:t xml:space="preserve">  </w:t>
      </w:r>
      <w:r w:rsidR="00961C0F">
        <w:rPr>
          <w:rFonts w:cs="Times"/>
          <w:color w:val="000000"/>
        </w:rPr>
        <w:t>Childre</w:t>
      </w:r>
      <w:r w:rsidR="009C192A">
        <w:rPr>
          <w:rFonts w:cs="Times"/>
          <w:color w:val="000000"/>
        </w:rPr>
        <w:t>n cannot navigate this system</w:t>
      </w:r>
      <w:r w:rsidR="00961C0F">
        <w:rPr>
          <w:rFonts w:cs="Times"/>
          <w:color w:val="000000"/>
        </w:rPr>
        <w:t xml:space="preserve"> on their own</w:t>
      </w:r>
      <w:r w:rsidR="009C192A">
        <w:rPr>
          <w:rFonts w:cs="Times"/>
          <w:color w:val="000000"/>
        </w:rPr>
        <w:t xml:space="preserve"> and</w:t>
      </w:r>
      <w:r w:rsidR="00EA795A">
        <w:rPr>
          <w:rFonts w:cs="Times"/>
          <w:color w:val="000000"/>
        </w:rPr>
        <w:t xml:space="preserve"> as a just society,</w:t>
      </w:r>
      <w:r w:rsidR="009C192A">
        <w:rPr>
          <w:rFonts w:cs="Times"/>
          <w:color w:val="000000"/>
        </w:rPr>
        <w:t xml:space="preserve"> we shouldn’t </w:t>
      </w:r>
      <w:r w:rsidR="00EA795A">
        <w:rPr>
          <w:rFonts w:cs="Times"/>
          <w:color w:val="000000"/>
        </w:rPr>
        <w:t>continue to support a system that requires them to</w:t>
      </w:r>
      <w:r w:rsidR="00961C0F">
        <w:rPr>
          <w:rFonts w:cs="Times"/>
          <w:color w:val="000000"/>
        </w:rPr>
        <w:t xml:space="preserve">.  </w:t>
      </w:r>
      <w:r w:rsidR="002D2C34">
        <w:rPr>
          <w:rFonts w:cs="Times New Roman"/>
          <w:color w:val="000000"/>
        </w:rPr>
        <w:t xml:space="preserve">As such, it is imperative that children have trained </w:t>
      </w:r>
      <w:r w:rsidR="004B22E8">
        <w:rPr>
          <w:rFonts w:cs="Times New Roman"/>
          <w:color w:val="000000"/>
        </w:rPr>
        <w:t xml:space="preserve">legal counsel to assist them in </w:t>
      </w:r>
      <w:r w:rsidR="00556B06">
        <w:rPr>
          <w:rFonts w:cs="Times New Roman"/>
          <w:color w:val="000000"/>
        </w:rPr>
        <w:t>advancing t</w:t>
      </w:r>
      <w:r w:rsidR="00103418">
        <w:rPr>
          <w:rFonts w:cs="Times New Roman"/>
          <w:color w:val="000000"/>
        </w:rPr>
        <w:t>heir rights and interests in dependency</w:t>
      </w:r>
      <w:r w:rsidR="00556B06">
        <w:rPr>
          <w:rFonts w:cs="Times New Roman"/>
          <w:color w:val="000000"/>
        </w:rPr>
        <w:t xml:space="preserve"> court proceeding</w:t>
      </w:r>
      <w:r w:rsidR="00103418">
        <w:rPr>
          <w:rFonts w:cs="Times New Roman"/>
          <w:color w:val="000000"/>
        </w:rPr>
        <w:t>s</w:t>
      </w:r>
      <w:r w:rsidR="00434DE1">
        <w:rPr>
          <w:rFonts w:cs="Times New Roman"/>
          <w:color w:val="000000"/>
        </w:rPr>
        <w:t xml:space="preserve"> and to ensure well-informed and reliable judicial decisions</w:t>
      </w:r>
      <w:r w:rsidR="00556B06">
        <w:rPr>
          <w:rFonts w:cs="Times New Roman"/>
          <w:color w:val="000000"/>
        </w:rPr>
        <w:t xml:space="preserve">.  </w:t>
      </w:r>
    </w:p>
    <w:p w14:paraId="1205934D" w14:textId="77777777" w:rsidR="00274BAD" w:rsidRDefault="00274BAD" w:rsidP="00274BAD">
      <w:pPr>
        <w:widowControl w:val="0"/>
        <w:autoSpaceDE w:val="0"/>
        <w:autoSpaceDN w:val="0"/>
        <w:adjustRightInd w:val="0"/>
        <w:spacing w:after="240" w:line="360" w:lineRule="atLeast"/>
        <w:ind w:firstLine="720"/>
        <w:rPr>
          <w:rFonts w:cs="Times"/>
          <w:color w:val="000000"/>
        </w:rPr>
      </w:pPr>
    </w:p>
    <w:p w14:paraId="7AF0B228" w14:textId="77777777" w:rsidR="00274BAD" w:rsidRPr="00663472" w:rsidRDefault="00274BAD" w:rsidP="00274BAD">
      <w:pPr>
        <w:widowControl w:val="0"/>
        <w:autoSpaceDE w:val="0"/>
        <w:autoSpaceDN w:val="0"/>
        <w:adjustRightInd w:val="0"/>
        <w:spacing w:after="240" w:line="360" w:lineRule="atLeast"/>
        <w:ind w:firstLine="720"/>
        <w:rPr>
          <w:rFonts w:cs="Times"/>
          <w:color w:val="000000"/>
        </w:rPr>
      </w:pPr>
    </w:p>
    <w:p w14:paraId="408266E1" w14:textId="5F2A23D0" w:rsidR="0037447F" w:rsidRPr="00FA1C80" w:rsidRDefault="00594BB8" w:rsidP="00FA1C80">
      <w:pPr>
        <w:pStyle w:val="ListParagraph"/>
        <w:numPr>
          <w:ilvl w:val="0"/>
          <w:numId w:val="2"/>
        </w:numPr>
        <w:tabs>
          <w:tab w:val="left" w:pos="9360"/>
        </w:tabs>
        <w:rPr>
          <w:b/>
          <w:sz w:val="24"/>
          <w:szCs w:val="24"/>
        </w:rPr>
      </w:pPr>
      <w:r>
        <w:rPr>
          <w:b/>
          <w:sz w:val="24"/>
          <w:szCs w:val="24"/>
        </w:rPr>
        <w:lastRenderedPageBreak/>
        <w:t>Early evidence suggests that providing lawyers for children in dependency proceedings expedites permanency.</w:t>
      </w:r>
      <w:r w:rsidR="002D396B" w:rsidRPr="00FA1C80">
        <w:rPr>
          <w:b/>
          <w:sz w:val="24"/>
          <w:szCs w:val="24"/>
        </w:rPr>
        <w:t xml:space="preserve">     </w:t>
      </w:r>
    </w:p>
    <w:p w14:paraId="6B066833" w14:textId="0C1813E0" w:rsidR="002D396B" w:rsidRDefault="002D396B" w:rsidP="0037447F">
      <w:pPr>
        <w:tabs>
          <w:tab w:val="left" w:pos="9360"/>
        </w:tabs>
        <w:ind w:left="360"/>
      </w:pPr>
      <w:r>
        <w:rPr>
          <w:b/>
          <w:sz w:val="24"/>
          <w:szCs w:val="24"/>
        </w:rPr>
        <w:t xml:space="preserve">       </w:t>
      </w:r>
      <w:r>
        <w:t>A rigorous study in Palm Beach County, Florida (Palm Beach Study) based on empirical evidence and conducted by researchers at Chapin Hall, University of Chicago, found that children who had legal aid lawyers achieved</w:t>
      </w:r>
      <w:r w:rsidR="00274BAD">
        <w:t xml:space="preserve"> permanency at </w:t>
      </w:r>
      <w:r>
        <w:t>faster and statistically significant rate</w:t>
      </w:r>
      <w:r w:rsidR="00274BAD">
        <w:t>s</w:t>
      </w:r>
      <w:r>
        <w:t xml:space="preserve"> than children who did not have lawyers.</w:t>
      </w:r>
      <w:r>
        <w:rPr>
          <w:rStyle w:val="FootnoteReference"/>
        </w:rPr>
        <w:footnoteReference w:id="23"/>
      </w:r>
    </w:p>
    <w:p w14:paraId="02A63D12" w14:textId="27DD5206" w:rsidR="00BA27F4" w:rsidRPr="002D396B" w:rsidRDefault="00BA27F4" w:rsidP="0037447F">
      <w:pPr>
        <w:tabs>
          <w:tab w:val="left" w:pos="9360"/>
        </w:tabs>
        <w:ind w:left="360"/>
      </w:pPr>
    </w:p>
    <w:p w14:paraId="4159368E" w14:textId="7647BE75" w:rsidR="00663472" w:rsidRPr="003A3601" w:rsidRDefault="00663472" w:rsidP="0037447F">
      <w:pPr>
        <w:tabs>
          <w:tab w:val="left" w:pos="9360"/>
        </w:tabs>
        <w:rPr>
          <w:sz w:val="24"/>
          <w:szCs w:val="24"/>
        </w:rPr>
      </w:pPr>
      <w:bookmarkStart w:id="1" w:name="_GoBack"/>
      <w:bookmarkEnd w:id="1"/>
    </w:p>
    <w:p w14:paraId="499D8AAE" w14:textId="77777777" w:rsidR="00B737FC" w:rsidRDefault="00B737FC" w:rsidP="001B79FA">
      <w:pPr>
        <w:tabs>
          <w:tab w:val="left" w:pos="9360"/>
        </w:tabs>
        <w:rPr>
          <w:sz w:val="24"/>
          <w:szCs w:val="24"/>
        </w:rPr>
      </w:pPr>
    </w:p>
    <w:p w14:paraId="3BDE21B5" w14:textId="77777777" w:rsidR="00B737FC" w:rsidRDefault="00B737FC" w:rsidP="001B79FA">
      <w:pPr>
        <w:tabs>
          <w:tab w:val="left" w:pos="9360"/>
        </w:tabs>
        <w:rPr>
          <w:sz w:val="24"/>
          <w:szCs w:val="24"/>
        </w:rPr>
      </w:pPr>
    </w:p>
    <w:p w14:paraId="440852A0" w14:textId="77777777" w:rsidR="00EF5BD2" w:rsidRDefault="00EF5BD2" w:rsidP="001B79FA">
      <w:pPr>
        <w:tabs>
          <w:tab w:val="left" w:pos="9360"/>
        </w:tabs>
        <w:rPr>
          <w:sz w:val="24"/>
          <w:szCs w:val="24"/>
        </w:rPr>
      </w:pPr>
    </w:p>
    <w:p w14:paraId="0E5698A6" w14:textId="77777777" w:rsidR="00EF5BD2" w:rsidRPr="002B5CE1" w:rsidRDefault="00EF5BD2" w:rsidP="001B79FA">
      <w:pPr>
        <w:tabs>
          <w:tab w:val="left" w:pos="9360"/>
        </w:tabs>
        <w:rPr>
          <w:rFonts w:ascii="Century Schoolbook" w:hAnsi="Century Schoolbook"/>
          <w:b/>
          <w:sz w:val="24"/>
          <w:szCs w:val="24"/>
        </w:rPr>
      </w:pPr>
    </w:p>
    <w:sectPr w:rsidR="00EF5BD2" w:rsidRPr="002B5CE1" w:rsidSect="00BB7CDF">
      <w:footerReference w:type="default" r:id="rId8"/>
      <w:headerReference w:type="first" r:id="rId9"/>
      <w:footerReference w:type="first" r:id="rId10"/>
      <w:pgSz w:w="12240" w:h="15840"/>
      <w:pgMar w:top="1440" w:right="1440" w:bottom="1440" w:left="1440" w:header="720" w:footer="59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1A85D" w14:textId="77777777" w:rsidR="00F62AD8" w:rsidRDefault="00F62AD8" w:rsidP="005C1754">
      <w:pPr>
        <w:spacing w:after="0" w:line="240" w:lineRule="auto"/>
      </w:pPr>
      <w:r>
        <w:separator/>
      </w:r>
    </w:p>
  </w:endnote>
  <w:endnote w:type="continuationSeparator" w:id="0">
    <w:p w14:paraId="4AB87043" w14:textId="77777777" w:rsidR="00F62AD8" w:rsidRDefault="00F62AD8" w:rsidP="005C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6F75" w14:textId="77777777" w:rsidR="00E602C2" w:rsidRPr="003A5F21" w:rsidRDefault="00E602C2" w:rsidP="00BB7CDF">
    <w:pPr>
      <w:pStyle w:val="Footer"/>
      <w:tabs>
        <w:tab w:val="clear" w:pos="4680"/>
        <w:tab w:val="center" w:pos="4230"/>
      </w:tabs>
      <w:spacing w:line="300" w:lineRule="auto"/>
      <w:jc w:val="center"/>
      <w:rPr>
        <w:color w:val="00126C"/>
      </w:rPr>
    </w:pPr>
    <w:r w:rsidRPr="003A5F21">
      <w:rPr>
        <w:noProof/>
        <w:color w:val="00126C"/>
      </w:rPr>
      <w:drawing>
        <wp:anchor distT="0" distB="0" distL="114300" distR="114300" simplePos="0" relativeHeight="251665408" behindDoc="0" locked="0" layoutInCell="1" allowOverlap="1" wp14:anchorId="56726F7A" wp14:editId="56726F7B">
          <wp:simplePos x="0" y="0"/>
          <wp:positionH relativeFrom="column">
            <wp:posOffset>3886200</wp:posOffset>
          </wp:positionH>
          <wp:positionV relativeFrom="paragraph">
            <wp:posOffset>189230</wp:posOffset>
          </wp:positionV>
          <wp:extent cx="958850" cy="211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Bar.jpg"/>
                  <pic:cNvPicPr/>
                </pic:nvPicPr>
                <pic:blipFill>
                  <a:blip r:embed="rId1">
                    <a:extLst>
                      <a:ext uri="{28A0092B-C50C-407E-A947-70E740481C1C}">
                        <a14:useLocalDpi xmlns:a14="http://schemas.microsoft.com/office/drawing/2010/main" val="0"/>
                      </a:ext>
                    </a:extLst>
                  </a:blip>
                  <a:stretch>
                    <a:fillRect/>
                  </a:stretch>
                </pic:blipFill>
                <pic:spPr>
                  <a:xfrm>
                    <a:off x="0" y="0"/>
                    <a:ext cx="958850" cy="211455"/>
                  </a:xfrm>
                  <a:prstGeom prst="rect">
                    <a:avLst/>
                  </a:prstGeom>
                </pic:spPr>
              </pic:pic>
            </a:graphicData>
          </a:graphic>
          <wp14:sizeRelH relativeFrom="page">
            <wp14:pctWidth>0</wp14:pctWidth>
          </wp14:sizeRelH>
          <wp14:sizeRelV relativeFrom="page">
            <wp14:pctHeight>0</wp14:pctHeight>
          </wp14:sizeRelV>
        </wp:anchor>
      </w:drawing>
    </w:r>
    <w:r w:rsidRPr="003A5F21">
      <w:rPr>
        <w:color w:val="00126C"/>
      </w:rPr>
      <w:t xml:space="preserve">National Association of Counsel for Children  </w:t>
    </w:r>
    <w:r w:rsidRPr="003A5F21">
      <w:rPr>
        <w:color w:val="00126C"/>
      </w:rPr>
      <w:sym w:font="Wingdings 2" w:char="F097"/>
    </w:r>
    <w:r w:rsidRPr="003A5F21">
      <w:rPr>
        <w:color w:val="00126C"/>
      </w:rPr>
      <w:t xml:space="preserve">  13123 E. 16</w:t>
    </w:r>
    <w:r w:rsidRPr="003A5F21">
      <w:rPr>
        <w:color w:val="00126C"/>
        <w:vertAlign w:val="superscript"/>
      </w:rPr>
      <w:t>th</w:t>
    </w:r>
    <w:r w:rsidRPr="003A5F21">
      <w:rPr>
        <w:color w:val="00126C"/>
      </w:rPr>
      <w:t xml:space="preserve"> Avenue, B390  </w:t>
    </w:r>
    <w:r w:rsidRPr="003A5F21">
      <w:rPr>
        <w:color w:val="00126C"/>
      </w:rPr>
      <w:sym w:font="Wingdings 2" w:char="F097"/>
    </w:r>
    <w:r w:rsidRPr="003A5F21">
      <w:rPr>
        <w:color w:val="00126C"/>
      </w:rPr>
      <w:t xml:space="preserve">  Aurora, CO 80045</w:t>
    </w:r>
    <w:r w:rsidRPr="003A5F21">
      <w:rPr>
        <w:color w:val="00126C"/>
      </w:rPr>
      <w:br/>
      <w:t xml:space="preserve">www.NACCchildlaw.org  </w:t>
    </w:r>
    <w:r w:rsidRPr="003A5F21">
      <w:rPr>
        <w:color w:val="00126C"/>
      </w:rPr>
      <w:sym w:font="Wingdings 2" w:char="F097"/>
    </w:r>
    <w:r w:rsidRPr="003A5F21">
      <w:rPr>
        <w:color w:val="00126C"/>
      </w:rPr>
      <w:t xml:space="preserve">  1-888-828-NACC  </w:t>
    </w:r>
    <w:r w:rsidRPr="003A5F21">
      <w:rPr>
        <w:color w:val="00126C"/>
      </w:rPr>
      <w:sym w:font="Wingdings 2" w:char="F097"/>
    </w:r>
    <w:r w:rsidRPr="003A5F21">
      <w:rPr>
        <w:color w:val="00126C"/>
      </w:rPr>
      <w:t xml:space="preserve">                    </w:t>
    </w:r>
    <w:r w:rsidRPr="003A5F21">
      <w:rPr>
        <w:color w:val="FFFFFF" w:themeColor="background1"/>
      </w:rPr>
      <w:t>dasda</w:t>
    </w:r>
  </w:p>
  <w:p w14:paraId="56726F76" w14:textId="77777777" w:rsidR="00E602C2" w:rsidRPr="003A5F21" w:rsidRDefault="00E602C2">
    <w:pPr>
      <w:pStyle w:val="Footer"/>
      <w:rPr>
        <w:color w:val="00126C"/>
      </w:rPr>
    </w:pPr>
    <w:r w:rsidRPr="003A5F21">
      <w:rPr>
        <w:color w:val="00126C"/>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6F79" w14:textId="77777777" w:rsidR="00E602C2" w:rsidRPr="00DB266E" w:rsidRDefault="00E602C2" w:rsidP="00BB7CDF">
    <w:pPr>
      <w:pStyle w:val="Footer"/>
      <w:tabs>
        <w:tab w:val="clear" w:pos="9360"/>
        <w:tab w:val="right" w:pos="8640"/>
      </w:tabs>
      <w:spacing w:line="300" w:lineRule="auto"/>
      <w:jc w:val="center"/>
      <w:rPr>
        <w:color w:val="00126C"/>
      </w:rPr>
    </w:pPr>
    <w:r w:rsidRPr="003A5F21">
      <w:rPr>
        <w:noProof/>
        <w:color w:val="00126C"/>
      </w:rPr>
      <w:drawing>
        <wp:anchor distT="0" distB="0" distL="114300" distR="114300" simplePos="0" relativeHeight="251663360" behindDoc="0" locked="0" layoutInCell="1" allowOverlap="1" wp14:anchorId="56726F80" wp14:editId="56726F81">
          <wp:simplePos x="0" y="0"/>
          <wp:positionH relativeFrom="column">
            <wp:posOffset>3867150</wp:posOffset>
          </wp:positionH>
          <wp:positionV relativeFrom="paragraph">
            <wp:posOffset>189230</wp:posOffset>
          </wp:positionV>
          <wp:extent cx="958850" cy="211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Bar.jpg"/>
                  <pic:cNvPicPr/>
                </pic:nvPicPr>
                <pic:blipFill>
                  <a:blip r:embed="rId1">
                    <a:extLst>
                      <a:ext uri="{28A0092B-C50C-407E-A947-70E740481C1C}">
                        <a14:useLocalDpi xmlns:a14="http://schemas.microsoft.com/office/drawing/2010/main" val="0"/>
                      </a:ext>
                    </a:extLst>
                  </a:blip>
                  <a:stretch>
                    <a:fillRect/>
                  </a:stretch>
                </pic:blipFill>
                <pic:spPr>
                  <a:xfrm>
                    <a:off x="0" y="0"/>
                    <a:ext cx="958850" cy="211455"/>
                  </a:xfrm>
                  <a:prstGeom prst="rect">
                    <a:avLst/>
                  </a:prstGeom>
                </pic:spPr>
              </pic:pic>
            </a:graphicData>
          </a:graphic>
          <wp14:sizeRelH relativeFrom="page">
            <wp14:pctWidth>0</wp14:pctWidth>
          </wp14:sizeRelH>
          <wp14:sizeRelV relativeFrom="page">
            <wp14:pctHeight>0</wp14:pctHeight>
          </wp14:sizeRelV>
        </wp:anchor>
      </w:drawing>
    </w:r>
    <w:r w:rsidRPr="003A5F21">
      <w:rPr>
        <w:color w:val="00126C"/>
      </w:rPr>
      <w:t xml:space="preserve">National Association of Counsel for Children  </w:t>
    </w:r>
    <w:r w:rsidRPr="003A5F21">
      <w:rPr>
        <w:color w:val="00126C"/>
      </w:rPr>
      <w:sym w:font="Wingdings 2" w:char="F097"/>
    </w:r>
    <w:r w:rsidRPr="003A5F21">
      <w:rPr>
        <w:color w:val="00126C"/>
      </w:rPr>
      <w:t xml:space="preserve">  13123 E. 16</w:t>
    </w:r>
    <w:r w:rsidRPr="003A5F21">
      <w:rPr>
        <w:color w:val="00126C"/>
        <w:vertAlign w:val="superscript"/>
      </w:rPr>
      <w:t>th</w:t>
    </w:r>
    <w:r w:rsidRPr="003A5F21">
      <w:rPr>
        <w:color w:val="00126C"/>
      </w:rPr>
      <w:t xml:space="preserve"> Avenue, B390  </w:t>
    </w:r>
    <w:r w:rsidRPr="003A5F21">
      <w:rPr>
        <w:color w:val="00126C"/>
      </w:rPr>
      <w:sym w:font="Wingdings 2" w:char="F097"/>
    </w:r>
    <w:r w:rsidRPr="003A5F21">
      <w:rPr>
        <w:color w:val="00126C"/>
      </w:rPr>
      <w:t xml:space="preserve">  Aurora, CO 80045</w:t>
    </w:r>
    <w:r w:rsidRPr="003A5F21">
      <w:rPr>
        <w:color w:val="00126C"/>
      </w:rPr>
      <w:br/>
      <w:t xml:space="preserve">www.NACCchildlaw.org  </w:t>
    </w:r>
    <w:r w:rsidRPr="003A5F21">
      <w:rPr>
        <w:color w:val="00126C"/>
      </w:rPr>
      <w:sym w:font="Wingdings 2" w:char="F097"/>
    </w:r>
    <w:r w:rsidRPr="003A5F21">
      <w:rPr>
        <w:color w:val="00126C"/>
      </w:rPr>
      <w:t xml:space="preserve">  1-888-828-NACC  </w:t>
    </w:r>
    <w:r w:rsidRPr="003A5F21">
      <w:rPr>
        <w:color w:val="00126C"/>
      </w:rPr>
      <w:sym w:font="Wingdings 2" w:char="F097"/>
    </w:r>
    <w:r w:rsidRPr="003A5F21">
      <w:rPr>
        <w:color w:val="00126C"/>
      </w:rPr>
      <w:t xml:space="preserve"> </w:t>
    </w:r>
    <w:r>
      <w:rPr>
        <w:color w:val="00126C"/>
      </w:rPr>
      <w:t xml:space="preserve">                     </w:t>
    </w:r>
    <w:r w:rsidRPr="005C23E8">
      <w:rPr>
        <w:color w:val="FFFFFF" w:themeColor="background1"/>
      </w:rPr>
      <w:t>dasda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A13D7" w14:textId="77777777" w:rsidR="00F62AD8" w:rsidRDefault="00F62AD8" w:rsidP="005C1754">
      <w:pPr>
        <w:spacing w:after="0" w:line="240" w:lineRule="auto"/>
      </w:pPr>
      <w:r>
        <w:separator/>
      </w:r>
    </w:p>
  </w:footnote>
  <w:footnote w:type="continuationSeparator" w:id="0">
    <w:p w14:paraId="1F3C5928" w14:textId="77777777" w:rsidR="00F62AD8" w:rsidRDefault="00F62AD8" w:rsidP="005C1754">
      <w:pPr>
        <w:spacing w:after="0" w:line="240" w:lineRule="auto"/>
      </w:pPr>
      <w:r>
        <w:continuationSeparator/>
      </w:r>
    </w:p>
  </w:footnote>
  <w:footnote w:id="1">
    <w:p w14:paraId="50BE415F" w14:textId="1BF08DD8" w:rsidR="00361F4F" w:rsidRPr="00361F4F" w:rsidRDefault="004D4DBF" w:rsidP="00361F4F">
      <w:pPr>
        <w:widowControl w:val="0"/>
        <w:autoSpaceDE w:val="0"/>
        <w:autoSpaceDN w:val="0"/>
        <w:adjustRightInd w:val="0"/>
        <w:spacing w:after="240" w:line="300" w:lineRule="atLeast"/>
        <w:rPr>
          <w:rFonts w:cs="Times"/>
          <w:color w:val="000000"/>
          <w:sz w:val="18"/>
          <w:szCs w:val="18"/>
        </w:rPr>
      </w:pPr>
      <w:r>
        <w:rPr>
          <w:rStyle w:val="FootnoteReference"/>
        </w:rPr>
        <w:footnoteRef/>
      </w:r>
      <w:r>
        <w:t xml:space="preserve"> </w:t>
      </w:r>
      <w:r w:rsidR="00361F4F" w:rsidRPr="001C0AD2">
        <w:rPr>
          <w:rFonts w:cs="Times"/>
          <w:color w:val="000000"/>
          <w:sz w:val="18"/>
          <w:szCs w:val="18"/>
        </w:rPr>
        <w:t>Memorandum on High Quality Legal Representation for All Parties in Child Welfare Proceedings issued by the Administration for Children and Fam</w:t>
      </w:r>
      <w:r w:rsidR="00361F4F">
        <w:rPr>
          <w:rFonts w:cs="Times"/>
          <w:color w:val="000000"/>
          <w:sz w:val="18"/>
          <w:szCs w:val="18"/>
        </w:rPr>
        <w:t xml:space="preserve">ilies on January 17, 2017. Pg. </w:t>
      </w:r>
      <w:r w:rsidR="00D72083">
        <w:rPr>
          <w:rFonts w:cs="Times"/>
          <w:color w:val="000000"/>
          <w:sz w:val="18"/>
          <w:szCs w:val="18"/>
        </w:rPr>
        <w:t>3</w:t>
      </w:r>
      <w:r w:rsidR="00361F4F" w:rsidRPr="001C0AD2">
        <w:rPr>
          <w:rFonts w:cs="Times"/>
          <w:color w:val="000000"/>
          <w:sz w:val="18"/>
          <w:szCs w:val="18"/>
        </w:rPr>
        <w:t xml:space="preserve">. </w:t>
      </w:r>
      <w:r w:rsidR="00D72083">
        <w:rPr>
          <w:rFonts w:cs="Times"/>
          <w:color w:val="000000"/>
          <w:sz w:val="18"/>
          <w:szCs w:val="18"/>
        </w:rPr>
        <w:t>(</w:t>
      </w:r>
      <w:r w:rsidR="00361F4F" w:rsidRPr="001C0AD2">
        <w:rPr>
          <w:rFonts w:cs="Times"/>
          <w:color w:val="000000"/>
          <w:sz w:val="18"/>
          <w:szCs w:val="18"/>
        </w:rPr>
        <w:t>Herein “High Quality Representation Memo.”</w:t>
      </w:r>
      <w:r w:rsidR="00D72083">
        <w:rPr>
          <w:rFonts w:cs="Times"/>
          <w:color w:val="000000"/>
          <w:sz w:val="18"/>
          <w:szCs w:val="18"/>
        </w:rPr>
        <w:t xml:space="preserve">) noting, </w:t>
      </w:r>
      <w:r w:rsidR="00361F4F" w:rsidRPr="00361F4F">
        <w:rPr>
          <w:rFonts w:cs="Times"/>
          <w:color w:val="000000"/>
          <w:sz w:val="18"/>
          <w:szCs w:val="18"/>
        </w:rPr>
        <w:t xml:space="preserve">The QIC-ChildRep review of the academic literature, national standards, conference recommendations and stakeholder opinion documents the evolution of lawyer representation of children and reveals an emerging consensus on nearly all aspects of the role and duties of the child’s legal representative. The QIC-ChildRep recommends that states adopt the 2011 ABA Model Act as the statutory structure for legal representation of the child. </w:t>
      </w:r>
    </w:p>
    <w:p w14:paraId="109BEE9D" w14:textId="166D7C35" w:rsidR="004D4DBF" w:rsidRDefault="004D4DBF">
      <w:pPr>
        <w:pStyle w:val="FootnoteText"/>
      </w:pPr>
    </w:p>
  </w:footnote>
  <w:footnote w:id="2">
    <w:p w14:paraId="21303F50" w14:textId="6C7D06F9" w:rsidR="00916541" w:rsidRPr="007147EC" w:rsidRDefault="00916541" w:rsidP="007147EC">
      <w:pPr>
        <w:widowControl w:val="0"/>
        <w:autoSpaceDE w:val="0"/>
        <w:autoSpaceDN w:val="0"/>
        <w:adjustRightInd w:val="0"/>
        <w:spacing w:after="240" w:line="300" w:lineRule="atLeast"/>
        <w:rPr>
          <w:rFonts w:ascii="Times" w:hAnsi="Times" w:cs="Times"/>
          <w:color w:val="000000"/>
          <w:sz w:val="24"/>
          <w:szCs w:val="24"/>
        </w:rPr>
      </w:pPr>
      <w:r>
        <w:rPr>
          <w:rStyle w:val="FootnoteReference"/>
        </w:rPr>
        <w:footnoteRef/>
      </w:r>
      <w:r>
        <w:t xml:space="preserve"> </w:t>
      </w:r>
      <w:r w:rsidR="006006D4" w:rsidRPr="007147EC">
        <w:rPr>
          <w:rFonts w:cs="Times"/>
          <w:color w:val="000000"/>
          <w:sz w:val="18"/>
          <w:szCs w:val="18"/>
        </w:rPr>
        <w:t xml:space="preserve">See Duquette et. al., (2016) </w:t>
      </w:r>
      <w:r w:rsidR="006006D4" w:rsidRPr="00CD47D1">
        <w:rPr>
          <w:rFonts w:cs="Times"/>
          <w:smallCaps/>
          <w:color w:val="000000"/>
          <w:sz w:val="18"/>
          <w:szCs w:val="18"/>
        </w:rPr>
        <w:t>Children’s Justice: How to Improve Legal Representation of Children in the Child Welfare System</w:t>
      </w:r>
      <w:r w:rsidR="006006D4" w:rsidRPr="007147EC">
        <w:rPr>
          <w:rFonts w:cs="Times"/>
          <w:color w:val="000000"/>
          <w:sz w:val="18"/>
          <w:szCs w:val="18"/>
        </w:rPr>
        <w:t>, ABA Publications</w:t>
      </w:r>
      <w:r w:rsidR="006006D4">
        <w:rPr>
          <w:rFonts w:ascii="Times" w:hAnsi="Times" w:cs="Times"/>
          <w:color w:val="000000"/>
          <w:sz w:val="26"/>
          <w:szCs w:val="26"/>
        </w:rPr>
        <w:t xml:space="preserve"> </w:t>
      </w:r>
    </w:p>
  </w:footnote>
  <w:footnote w:id="3">
    <w:p w14:paraId="2C940B96" w14:textId="11B2F323" w:rsidR="00E66980" w:rsidRPr="00E66980" w:rsidRDefault="00E66980">
      <w:pPr>
        <w:pStyle w:val="FootnoteText"/>
        <w:rPr>
          <w:sz w:val="18"/>
          <w:szCs w:val="18"/>
        </w:rPr>
      </w:pPr>
      <w:r>
        <w:rPr>
          <w:rStyle w:val="FootnoteReference"/>
        </w:rPr>
        <w:footnoteRef/>
      </w:r>
      <w:r>
        <w:t xml:space="preserve"> </w:t>
      </w:r>
      <w:r>
        <w:rPr>
          <w:sz w:val="18"/>
          <w:szCs w:val="18"/>
        </w:rPr>
        <w:t>High Quality Representation Memo.</w:t>
      </w:r>
    </w:p>
  </w:footnote>
  <w:footnote w:id="4">
    <w:p w14:paraId="7D9B8532" w14:textId="368205EB" w:rsidR="00D93B81" w:rsidRPr="00800688" w:rsidRDefault="00D93B81" w:rsidP="00800688">
      <w:pPr>
        <w:widowControl w:val="0"/>
        <w:autoSpaceDE w:val="0"/>
        <w:autoSpaceDN w:val="0"/>
        <w:adjustRightInd w:val="0"/>
        <w:spacing w:after="240" w:line="300" w:lineRule="atLeast"/>
        <w:rPr>
          <w:rFonts w:ascii="Times" w:hAnsi="Times" w:cs="Times"/>
          <w:color w:val="000000"/>
          <w:sz w:val="24"/>
          <w:szCs w:val="24"/>
        </w:rPr>
      </w:pPr>
      <w:r>
        <w:rPr>
          <w:rStyle w:val="FootnoteReference"/>
        </w:rPr>
        <w:footnoteRef/>
      </w:r>
      <w:r>
        <w:t xml:space="preserve"> </w:t>
      </w:r>
      <w:r w:rsidRPr="00D93B81">
        <w:rPr>
          <w:rFonts w:cs="Times"/>
          <w:color w:val="000000"/>
          <w:sz w:val="18"/>
          <w:szCs w:val="18"/>
        </w:rPr>
        <w:t>Santosky v. Kramer, 455 U.S. 745 (1982).</w:t>
      </w:r>
    </w:p>
  </w:footnote>
  <w:footnote w:id="5">
    <w:p w14:paraId="4C2EB660" w14:textId="5A8DA750" w:rsidR="00997E0A" w:rsidRDefault="00997E0A">
      <w:pPr>
        <w:pStyle w:val="FootnoteText"/>
      </w:pPr>
      <w:r>
        <w:rPr>
          <w:rStyle w:val="FootnoteReference"/>
        </w:rPr>
        <w:footnoteRef/>
      </w:r>
      <w:r>
        <w:t xml:space="preserve"> </w:t>
      </w:r>
      <w:r w:rsidRPr="00C34CB8">
        <w:rPr>
          <w:sz w:val="18"/>
          <w:szCs w:val="18"/>
        </w:rPr>
        <w:t>NCJFCJ Enhanced Resource Guidelines (Herein NCJFCJ Guidelines), Pg. 43</w:t>
      </w:r>
    </w:p>
  </w:footnote>
  <w:footnote w:id="6">
    <w:p w14:paraId="3A407097" w14:textId="66A9D18E" w:rsidR="00025ECD" w:rsidRPr="00C34CB8" w:rsidRDefault="00025ECD">
      <w:pPr>
        <w:pStyle w:val="FootnoteText"/>
        <w:rPr>
          <w:sz w:val="18"/>
          <w:szCs w:val="18"/>
        </w:rPr>
      </w:pPr>
      <w:r>
        <w:rPr>
          <w:rStyle w:val="FootnoteReference"/>
        </w:rPr>
        <w:footnoteRef/>
      </w:r>
      <w:r>
        <w:t xml:space="preserve"> </w:t>
      </w:r>
      <w:r w:rsidRPr="00C34CB8">
        <w:rPr>
          <w:sz w:val="18"/>
          <w:szCs w:val="18"/>
        </w:rPr>
        <w:t xml:space="preserve">Id. </w:t>
      </w:r>
    </w:p>
  </w:footnote>
  <w:footnote w:id="7">
    <w:p w14:paraId="796233BD" w14:textId="75A32D54" w:rsidR="00B210C3" w:rsidRDefault="00B210C3">
      <w:pPr>
        <w:pStyle w:val="FootnoteText"/>
      </w:pPr>
      <w:r>
        <w:rPr>
          <w:rStyle w:val="FootnoteReference"/>
        </w:rPr>
        <w:footnoteRef/>
      </w:r>
      <w:r>
        <w:t xml:space="preserve"> </w:t>
      </w:r>
      <w:r w:rsidRPr="001B4857">
        <w:rPr>
          <w:sz w:val="18"/>
          <w:szCs w:val="18"/>
        </w:rPr>
        <w:t xml:space="preserve">Id at </w:t>
      </w:r>
      <w:r w:rsidR="00F61792" w:rsidRPr="001B4857">
        <w:rPr>
          <w:sz w:val="18"/>
          <w:szCs w:val="18"/>
        </w:rPr>
        <w:t>43.</w:t>
      </w:r>
    </w:p>
  </w:footnote>
  <w:footnote w:id="8">
    <w:p w14:paraId="3CBA2165" w14:textId="3A5CEC5D" w:rsidR="00871E6D" w:rsidRDefault="00871E6D">
      <w:pPr>
        <w:pStyle w:val="FootnoteText"/>
      </w:pPr>
      <w:r>
        <w:rPr>
          <w:rStyle w:val="FootnoteReference"/>
        </w:rPr>
        <w:footnoteRef/>
      </w:r>
      <w:r>
        <w:t xml:space="preserve"> </w:t>
      </w:r>
      <w:r w:rsidRPr="00466CFF">
        <w:rPr>
          <w:sz w:val="18"/>
          <w:szCs w:val="18"/>
        </w:rPr>
        <w:t xml:space="preserve">A.B.A., </w:t>
      </w:r>
      <w:r w:rsidRPr="00466CFF">
        <w:rPr>
          <w:smallCaps/>
          <w:sz w:val="18"/>
          <w:szCs w:val="18"/>
        </w:rPr>
        <w:t>Standards of Practice for Lawyers Who Represent Children in Abuse and Neglect Cases</w:t>
      </w:r>
      <w:r w:rsidRPr="00466CFF">
        <w:rPr>
          <w:sz w:val="18"/>
          <w:szCs w:val="18"/>
        </w:rPr>
        <w:t xml:space="preserve"> (1996) (Herein 1996 ABA Standards).</w:t>
      </w:r>
    </w:p>
  </w:footnote>
  <w:footnote w:id="9">
    <w:p w14:paraId="049F456B" w14:textId="3E01D56C" w:rsidR="00E94B02" w:rsidRPr="00167A0B" w:rsidRDefault="00167A0B" w:rsidP="00167A0B">
      <w:pPr>
        <w:widowControl w:val="0"/>
        <w:autoSpaceDE w:val="0"/>
        <w:autoSpaceDN w:val="0"/>
        <w:adjustRightInd w:val="0"/>
        <w:spacing w:after="240" w:line="300" w:lineRule="atLeast"/>
        <w:rPr>
          <w:rFonts w:ascii="Times" w:hAnsi="Times" w:cs="Times"/>
          <w:color w:val="000000"/>
          <w:sz w:val="24"/>
          <w:szCs w:val="24"/>
        </w:rPr>
      </w:pPr>
      <w:r>
        <w:rPr>
          <w:rStyle w:val="FootnoteReference"/>
          <w:sz w:val="20"/>
          <w:szCs w:val="20"/>
        </w:rPr>
        <w:footnoteRef/>
      </w:r>
      <w:r>
        <w:t xml:space="preserve"> </w:t>
      </w:r>
      <w:r w:rsidR="00E54EDD" w:rsidRPr="006A5EF9">
        <w:rPr>
          <w:sz w:val="18"/>
          <w:szCs w:val="18"/>
        </w:rPr>
        <w:t xml:space="preserve">Brief of Children’s Rights, Inc. </w:t>
      </w:r>
      <w:r w:rsidR="00E54EDD" w:rsidRPr="006A5EF9">
        <w:rPr>
          <w:i/>
          <w:sz w:val="18"/>
          <w:szCs w:val="18"/>
        </w:rPr>
        <w:t>et. al</w:t>
      </w:r>
      <w:r w:rsidR="00E54EDD" w:rsidRPr="006A5EF9">
        <w:rPr>
          <w:sz w:val="18"/>
          <w:szCs w:val="18"/>
        </w:rPr>
        <w:t xml:space="preserve">., as </w:t>
      </w:r>
      <w:r w:rsidR="00E54EDD" w:rsidRPr="006A5EF9">
        <w:rPr>
          <w:i/>
          <w:sz w:val="18"/>
          <w:szCs w:val="18"/>
        </w:rPr>
        <w:t>Amici Curiae</w:t>
      </w:r>
      <w:r w:rsidR="00E54EDD" w:rsidRPr="006A5EF9">
        <w:rPr>
          <w:sz w:val="18"/>
          <w:szCs w:val="18"/>
        </w:rPr>
        <w:t xml:space="preserve"> supporting Appellant, S-KP, In re: S-KP, (No. 48299-1-II)</w:t>
      </w:r>
      <w:r w:rsidR="00E54EDD">
        <w:rPr>
          <w:sz w:val="18"/>
          <w:szCs w:val="18"/>
        </w:rPr>
        <w:t xml:space="preserve">; </w:t>
      </w:r>
      <w:r w:rsidR="00FA61C5" w:rsidRPr="00B57422">
        <w:rPr>
          <w:rFonts w:cs="Times"/>
          <w:i/>
          <w:iCs/>
          <w:color w:val="000000"/>
          <w:sz w:val="18"/>
          <w:szCs w:val="18"/>
        </w:rPr>
        <w:t>See</w:t>
      </w:r>
      <w:r w:rsidR="00E54EDD">
        <w:rPr>
          <w:rFonts w:cs="Times"/>
          <w:i/>
          <w:iCs/>
          <w:color w:val="000000"/>
          <w:sz w:val="18"/>
          <w:szCs w:val="18"/>
        </w:rPr>
        <w:t xml:space="preserve"> also</w:t>
      </w:r>
      <w:r w:rsidR="00FA61C5" w:rsidRPr="00B57422">
        <w:rPr>
          <w:rFonts w:cs="Times New Roman"/>
          <w:color w:val="000000"/>
          <w:sz w:val="18"/>
          <w:szCs w:val="18"/>
        </w:rPr>
        <w:t xml:space="preserve">, </w:t>
      </w:r>
      <w:r w:rsidR="00FA61C5" w:rsidRPr="00B57422">
        <w:rPr>
          <w:rFonts w:cs="Times"/>
          <w:i/>
          <w:iCs/>
          <w:color w:val="000000"/>
          <w:sz w:val="18"/>
          <w:szCs w:val="18"/>
        </w:rPr>
        <w:t>e.g.</w:t>
      </w:r>
      <w:r w:rsidR="00FA61C5" w:rsidRPr="00B57422">
        <w:rPr>
          <w:rFonts w:cs="Times New Roman"/>
          <w:color w:val="000000"/>
          <w:sz w:val="18"/>
          <w:szCs w:val="18"/>
        </w:rPr>
        <w:t>,</w:t>
      </w:r>
      <w:r w:rsidR="00FA61C5" w:rsidRPr="00FA61C5">
        <w:rPr>
          <w:rFonts w:cs="Times New Roman"/>
          <w:color w:val="000000"/>
          <w:sz w:val="20"/>
          <w:szCs w:val="20"/>
        </w:rPr>
        <w:t xml:space="preserve"> </w:t>
      </w:r>
      <w:r w:rsidR="00B57422" w:rsidRPr="00B57422">
        <w:rPr>
          <w:rFonts w:cs="Arial"/>
          <w:color w:val="000000"/>
          <w:sz w:val="18"/>
          <w:szCs w:val="18"/>
        </w:rPr>
        <w:t>Children’s Advocacy Inst</w:t>
      </w:r>
      <w:r w:rsidR="00B57422">
        <w:rPr>
          <w:rFonts w:cs="Arial"/>
          <w:color w:val="000000"/>
          <w:sz w:val="18"/>
          <w:szCs w:val="18"/>
        </w:rPr>
        <w:t>itute</w:t>
      </w:r>
      <w:r w:rsidR="00B57422" w:rsidRPr="00B57422">
        <w:rPr>
          <w:rFonts w:cs="Arial"/>
          <w:color w:val="000000"/>
          <w:sz w:val="18"/>
          <w:szCs w:val="18"/>
        </w:rPr>
        <w:t xml:space="preserve"> &amp; First Star, A Child’s Right to Counsel: A</w:t>
      </w:r>
      <w:r w:rsidR="00B57422">
        <w:rPr>
          <w:rFonts w:ascii="Arial" w:hAnsi="Arial" w:cs="Arial"/>
          <w:color w:val="000000"/>
          <w:sz w:val="26"/>
          <w:szCs w:val="26"/>
        </w:rPr>
        <w:t xml:space="preserve"> </w:t>
      </w:r>
      <w:r>
        <w:rPr>
          <w:rFonts w:cs="Arial"/>
          <w:color w:val="000000"/>
          <w:sz w:val="18"/>
          <w:szCs w:val="18"/>
        </w:rPr>
        <w:t xml:space="preserve">National Report Card on Legal; </w:t>
      </w:r>
      <w:r w:rsidRPr="00B57422">
        <w:rPr>
          <w:rFonts w:cs="Arial"/>
          <w:color w:val="000000"/>
          <w:sz w:val="18"/>
          <w:szCs w:val="18"/>
        </w:rPr>
        <w:t>Representation for Abused and Neglected Children 10 (3d ed. 2012)</w:t>
      </w:r>
      <w:r>
        <w:rPr>
          <w:rFonts w:cs="Arial"/>
          <w:color w:val="000000"/>
          <w:sz w:val="18"/>
          <w:szCs w:val="18"/>
        </w:rPr>
        <w:t xml:space="preserve">; </w:t>
      </w:r>
      <w:r w:rsidRPr="00B57422">
        <w:rPr>
          <w:rFonts w:cs="Times New Roman"/>
          <w:color w:val="000000"/>
          <w:sz w:val="18"/>
          <w:szCs w:val="18"/>
        </w:rPr>
        <w:t xml:space="preserve">Douglas J. Besharov, </w:t>
      </w:r>
      <w:r w:rsidRPr="00B57422">
        <w:rPr>
          <w:rFonts w:cs="Times"/>
          <w:i/>
          <w:iCs/>
          <w:color w:val="000000"/>
          <w:sz w:val="18"/>
          <w:szCs w:val="18"/>
        </w:rPr>
        <w:t>The Legal Aspects of Reporting Known and Suspected Child Abuse and Neglect</w:t>
      </w:r>
      <w:r w:rsidRPr="00B57422">
        <w:rPr>
          <w:rFonts w:cs="Times New Roman"/>
          <w:color w:val="000000"/>
          <w:sz w:val="18"/>
          <w:szCs w:val="18"/>
        </w:rPr>
        <w:t>, 23 VILL. L. REV. 445, 514 (1978) (stating that two dozen states provided for mandatory appointment of lawyers for children as long ago as 1978).</w:t>
      </w:r>
    </w:p>
  </w:footnote>
  <w:footnote w:id="10">
    <w:p w14:paraId="5648F863" w14:textId="6F25AB9F" w:rsidR="00916D4E" w:rsidRPr="00770A94" w:rsidRDefault="00916D4E" w:rsidP="00770A94">
      <w:pPr>
        <w:rPr>
          <w:sz w:val="20"/>
          <w:szCs w:val="18"/>
        </w:rPr>
      </w:pPr>
      <w:r>
        <w:rPr>
          <w:rStyle w:val="FootnoteReference"/>
        </w:rPr>
        <w:footnoteRef/>
      </w:r>
      <w:r>
        <w:t xml:space="preserve"> </w:t>
      </w:r>
      <w:r w:rsidRPr="00916D4E">
        <w:rPr>
          <w:sz w:val="18"/>
          <w:szCs w:val="18"/>
        </w:rPr>
        <w:t>These include Alabama; Arkansas; Colorado; Connecticut; Georgia; Iowa; Kansas; Kentucky; Louisiana; Maryland; Massachusetts; Michigan; Mississippi; Missouri; Nebraska; New Jersey; New Mexico; New York; North Carolina; Ohio; Oklahoma; Pennsylvania; Rhode Island; South Dakota; Tennessee; Texas; Utah; Vermont; Virginia; West Virginia; and Wyoming.  The District of Columbia also requires representation for children in dependency proceedings.</w:t>
      </w:r>
    </w:p>
  </w:footnote>
  <w:footnote w:id="11">
    <w:p w14:paraId="2B259F48" w14:textId="0A0BB427" w:rsidR="00637FB1" w:rsidRDefault="00637FB1">
      <w:pPr>
        <w:pStyle w:val="FootnoteText"/>
      </w:pPr>
      <w:r>
        <w:rPr>
          <w:rStyle w:val="FootnoteReference"/>
        </w:rPr>
        <w:footnoteRef/>
      </w:r>
      <w:r>
        <w:t xml:space="preserve"> </w:t>
      </w:r>
      <w:r w:rsidRPr="00A15424">
        <w:rPr>
          <w:rFonts w:cs="Times"/>
          <w:i/>
          <w:color w:val="000000"/>
          <w:sz w:val="18"/>
          <w:szCs w:val="18"/>
        </w:rPr>
        <w:t xml:space="preserve">See </w:t>
      </w:r>
      <w:r w:rsidRPr="007147EC">
        <w:rPr>
          <w:rFonts w:cs="Times"/>
          <w:color w:val="000000"/>
          <w:sz w:val="18"/>
          <w:szCs w:val="18"/>
        </w:rPr>
        <w:t xml:space="preserve">Duquette et. al., (2016) </w:t>
      </w:r>
      <w:r w:rsidRPr="00CD47D1">
        <w:rPr>
          <w:rFonts w:cs="Times"/>
          <w:smallCaps/>
          <w:color w:val="000000"/>
          <w:sz w:val="18"/>
          <w:szCs w:val="18"/>
        </w:rPr>
        <w:t>Children’s Justice: How to Improve Legal Representation of Children in the Child Welfare System</w:t>
      </w:r>
      <w:r w:rsidRPr="007147EC">
        <w:rPr>
          <w:rFonts w:cs="Times"/>
          <w:color w:val="000000"/>
          <w:sz w:val="18"/>
          <w:szCs w:val="18"/>
        </w:rPr>
        <w:t>, ABA Publications</w:t>
      </w:r>
    </w:p>
  </w:footnote>
  <w:footnote w:id="12">
    <w:p w14:paraId="03117035" w14:textId="03E7D802" w:rsidR="00637FB1" w:rsidRDefault="00637FB1">
      <w:pPr>
        <w:pStyle w:val="FootnoteText"/>
      </w:pPr>
      <w:r>
        <w:rPr>
          <w:rStyle w:val="FootnoteReference"/>
        </w:rPr>
        <w:footnoteRef/>
      </w:r>
      <w:r>
        <w:t xml:space="preserve"> </w:t>
      </w:r>
      <w:r w:rsidRPr="00A15424">
        <w:rPr>
          <w:i/>
          <w:sz w:val="18"/>
          <w:szCs w:val="18"/>
        </w:rPr>
        <w:t>Id.</w:t>
      </w:r>
      <w:r>
        <w:t xml:space="preserve"> </w:t>
      </w:r>
    </w:p>
  </w:footnote>
  <w:footnote w:id="13">
    <w:p w14:paraId="19C0A3E4" w14:textId="330B3B9C" w:rsidR="00D01556" w:rsidRDefault="00D01556">
      <w:pPr>
        <w:pStyle w:val="FootnoteText"/>
      </w:pPr>
      <w:r>
        <w:rPr>
          <w:rStyle w:val="FootnoteReference"/>
        </w:rPr>
        <w:footnoteRef/>
      </w:r>
      <w:r>
        <w:t xml:space="preserve"> </w:t>
      </w:r>
      <w:r w:rsidR="00A15424" w:rsidRPr="00A15424">
        <w:rPr>
          <w:i/>
          <w:sz w:val="18"/>
          <w:szCs w:val="18"/>
        </w:rPr>
        <w:t>Id.</w:t>
      </w:r>
      <w:r w:rsidR="00A15424">
        <w:t xml:space="preserve"> </w:t>
      </w:r>
    </w:p>
  </w:footnote>
  <w:footnote w:id="14">
    <w:p w14:paraId="353819E5" w14:textId="2B1717E9" w:rsidR="00F10F2E" w:rsidRDefault="00F10F2E">
      <w:pPr>
        <w:pStyle w:val="FootnoteText"/>
      </w:pPr>
      <w:r>
        <w:rPr>
          <w:rStyle w:val="FootnoteReference"/>
        </w:rPr>
        <w:footnoteRef/>
      </w:r>
      <w:r>
        <w:t xml:space="preserve"> </w:t>
      </w:r>
      <w:r w:rsidRPr="00916D4E">
        <w:rPr>
          <w:i/>
          <w:sz w:val="18"/>
          <w:szCs w:val="18"/>
        </w:rPr>
        <w:t>See K</w:t>
      </w:r>
      <w:bookmarkStart w:id="0" w:name="_BA_Cite_4010D7_000193"/>
      <w:bookmarkEnd w:id="0"/>
      <w:r w:rsidRPr="00916D4E">
        <w:rPr>
          <w:i/>
          <w:sz w:val="18"/>
          <w:szCs w:val="18"/>
        </w:rPr>
        <w:t>enny A.</w:t>
      </w:r>
      <w:r w:rsidRPr="00916D4E">
        <w:rPr>
          <w:sz w:val="18"/>
          <w:szCs w:val="18"/>
        </w:rPr>
        <w:t>, 356 F. Supp. 2d 1353 at 1361 (N.D. Ga. 2005) (concluding that, given the liberty interests at stake, “only the appointment of counsel can effectively mitigate the risk of significant errors in deprivation and [termination] proceedings”).</w:t>
      </w:r>
    </w:p>
  </w:footnote>
  <w:footnote w:id="15">
    <w:p w14:paraId="606FF031" w14:textId="1BA255C0" w:rsidR="00A82D68" w:rsidRDefault="00A82D68">
      <w:pPr>
        <w:pStyle w:val="FootnoteText"/>
      </w:pPr>
      <w:r>
        <w:rPr>
          <w:rStyle w:val="FootnoteReference"/>
        </w:rPr>
        <w:footnoteRef/>
      </w:r>
      <w:r>
        <w:t xml:space="preserve"> </w:t>
      </w:r>
      <w:r w:rsidR="00F10F2E">
        <w:rPr>
          <w:i/>
          <w:sz w:val="18"/>
          <w:szCs w:val="18"/>
        </w:rPr>
        <w:t>Id at 1360-61.</w:t>
      </w:r>
    </w:p>
  </w:footnote>
  <w:footnote w:id="16">
    <w:p w14:paraId="13D9F2DC" w14:textId="2652E2C1" w:rsidR="00726A0C" w:rsidRDefault="00726A0C">
      <w:pPr>
        <w:pStyle w:val="FootnoteText"/>
      </w:pPr>
      <w:r>
        <w:rPr>
          <w:rStyle w:val="FootnoteReference"/>
        </w:rPr>
        <w:footnoteRef/>
      </w:r>
      <w:r w:rsidR="006A5EF9">
        <w:t xml:space="preserve"> </w:t>
      </w:r>
      <w:r w:rsidR="006A5EF9" w:rsidRPr="006A5EF9">
        <w:rPr>
          <w:sz w:val="18"/>
          <w:szCs w:val="18"/>
        </w:rPr>
        <w:t xml:space="preserve">Brief of Children’s Rights, Inc. </w:t>
      </w:r>
      <w:r w:rsidR="006A5EF9" w:rsidRPr="006A5EF9">
        <w:rPr>
          <w:i/>
          <w:sz w:val="18"/>
          <w:szCs w:val="18"/>
        </w:rPr>
        <w:t>et. al</w:t>
      </w:r>
      <w:r w:rsidR="006A5EF9" w:rsidRPr="006A5EF9">
        <w:rPr>
          <w:sz w:val="18"/>
          <w:szCs w:val="18"/>
        </w:rPr>
        <w:t xml:space="preserve">., as </w:t>
      </w:r>
      <w:r w:rsidR="006A5EF9" w:rsidRPr="006A5EF9">
        <w:rPr>
          <w:i/>
          <w:sz w:val="18"/>
          <w:szCs w:val="18"/>
        </w:rPr>
        <w:t>Amici Curiae</w:t>
      </w:r>
      <w:r w:rsidR="006A5EF9" w:rsidRPr="006A5EF9">
        <w:rPr>
          <w:sz w:val="18"/>
          <w:szCs w:val="18"/>
        </w:rPr>
        <w:t xml:space="preserve"> supporting Appellant, S-KP, In re: S-KP, (No. 48299-1-II).</w:t>
      </w:r>
    </w:p>
  </w:footnote>
  <w:footnote w:id="17">
    <w:p w14:paraId="7FF2F0E6" w14:textId="3674AC17" w:rsidR="00875616" w:rsidRDefault="00875616">
      <w:pPr>
        <w:pStyle w:val="FootnoteText"/>
      </w:pPr>
      <w:r>
        <w:rPr>
          <w:rStyle w:val="FootnoteReference"/>
        </w:rPr>
        <w:footnoteRef/>
      </w:r>
      <w:r>
        <w:t xml:space="preserve"> </w:t>
      </w:r>
      <w:r w:rsidRPr="00875616">
        <w:rPr>
          <w:sz w:val="18"/>
          <w:szCs w:val="18"/>
        </w:rPr>
        <w:t>High Quality Representation Memo, Pg. 2.</w:t>
      </w:r>
    </w:p>
  </w:footnote>
  <w:footnote w:id="18">
    <w:p w14:paraId="55CE9209" w14:textId="1C51782C" w:rsidR="007853C8" w:rsidRDefault="007853C8">
      <w:pPr>
        <w:pStyle w:val="FootnoteText"/>
      </w:pPr>
      <w:r>
        <w:rPr>
          <w:rStyle w:val="FootnoteReference"/>
        </w:rPr>
        <w:footnoteRef/>
      </w:r>
      <w:r>
        <w:t xml:space="preserve"> </w:t>
      </w:r>
      <w:r w:rsidRPr="001B4857">
        <w:rPr>
          <w:sz w:val="18"/>
          <w:szCs w:val="18"/>
        </w:rPr>
        <w:t>High Qua</w:t>
      </w:r>
      <w:r w:rsidR="001B4857" w:rsidRPr="001B4857">
        <w:rPr>
          <w:sz w:val="18"/>
          <w:szCs w:val="18"/>
        </w:rPr>
        <w:t>lity Representation Memo Pg. 3.</w:t>
      </w:r>
    </w:p>
  </w:footnote>
  <w:footnote w:id="19">
    <w:p w14:paraId="027C1A47" w14:textId="40481DB3" w:rsidR="00245E76" w:rsidRDefault="00245E76">
      <w:pPr>
        <w:pStyle w:val="FootnoteText"/>
      </w:pPr>
      <w:r>
        <w:rPr>
          <w:rStyle w:val="FootnoteReference"/>
        </w:rPr>
        <w:footnoteRef/>
      </w:r>
      <w:r>
        <w:t xml:space="preserve"> </w:t>
      </w:r>
      <w:r w:rsidRPr="00FB1BA9">
        <w:rPr>
          <w:sz w:val="18"/>
          <w:szCs w:val="18"/>
        </w:rPr>
        <w:t>Conference of State Court Administrators, Child Welfare Policy Statement, renewed Aug. 2, 2017</w:t>
      </w:r>
      <w:r w:rsidR="00FB1BA9">
        <w:rPr>
          <w:sz w:val="18"/>
          <w:szCs w:val="18"/>
        </w:rPr>
        <w:t xml:space="preserve">, available at: </w:t>
      </w:r>
      <w:r w:rsidR="00FB1BA9" w:rsidRPr="00FB1BA9">
        <w:rPr>
          <w:sz w:val="18"/>
          <w:szCs w:val="18"/>
        </w:rPr>
        <w:t>http://cosca.ncsc.org/~/media/Microsites/Files/COSCA/Policy%20Statements/Child-Welfare-Final-Aug2-17.ashx</w:t>
      </w:r>
    </w:p>
  </w:footnote>
  <w:footnote w:id="20">
    <w:p w14:paraId="673EB5FC" w14:textId="4902361E" w:rsidR="00065376" w:rsidRPr="00244F68" w:rsidRDefault="00065376" w:rsidP="00244F68">
      <w:pPr>
        <w:widowControl w:val="0"/>
        <w:autoSpaceDE w:val="0"/>
        <w:autoSpaceDN w:val="0"/>
        <w:adjustRightInd w:val="0"/>
        <w:spacing w:after="240" w:line="340" w:lineRule="atLeast"/>
        <w:rPr>
          <w:rFonts w:cs="Times"/>
          <w:color w:val="000000"/>
          <w:sz w:val="18"/>
          <w:szCs w:val="18"/>
        </w:rPr>
      </w:pPr>
      <w:r>
        <w:rPr>
          <w:rStyle w:val="FootnoteReference"/>
        </w:rPr>
        <w:footnoteRef/>
      </w:r>
      <w:r w:rsidR="00244F68">
        <w:rPr>
          <w:rFonts w:cs="Times"/>
          <w:color w:val="000000"/>
          <w:sz w:val="18"/>
          <w:szCs w:val="18"/>
        </w:rPr>
        <w:t xml:space="preserve"> </w:t>
      </w:r>
      <w:r w:rsidR="001C0AD2" w:rsidRPr="001C0AD2">
        <w:rPr>
          <w:rFonts w:cs="Times"/>
          <w:color w:val="000000"/>
          <w:sz w:val="18"/>
          <w:szCs w:val="18"/>
        </w:rPr>
        <w:t>High Quality Representation Memo</w:t>
      </w:r>
      <w:r w:rsidR="00244F68">
        <w:rPr>
          <w:rFonts w:cs="Times"/>
          <w:color w:val="000000"/>
          <w:sz w:val="18"/>
          <w:szCs w:val="18"/>
        </w:rPr>
        <w:t xml:space="preserve"> Pg. 2.</w:t>
      </w:r>
    </w:p>
  </w:footnote>
  <w:footnote w:id="21">
    <w:p w14:paraId="4F0A7663" w14:textId="61E756EF" w:rsidR="00476CBA" w:rsidRPr="002C214E" w:rsidRDefault="00476CBA" w:rsidP="002C214E">
      <w:pPr>
        <w:widowControl w:val="0"/>
        <w:autoSpaceDE w:val="0"/>
        <w:autoSpaceDN w:val="0"/>
        <w:adjustRightInd w:val="0"/>
        <w:spacing w:after="240" w:line="360" w:lineRule="atLeast"/>
        <w:rPr>
          <w:rFonts w:cs="Times"/>
          <w:color w:val="000000"/>
          <w:sz w:val="18"/>
          <w:szCs w:val="18"/>
        </w:rPr>
      </w:pPr>
      <w:r>
        <w:rPr>
          <w:rStyle w:val="FootnoteReference"/>
        </w:rPr>
        <w:footnoteRef/>
      </w:r>
      <w:r>
        <w:t xml:space="preserve"> </w:t>
      </w:r>
      <w:r w:rsidR="00F30E28" w:rsidRPr="00F30E28">
        <w:rPr>
          <w:rFonts w:cs="Times"/>
          <w:i/>
          <w:iCs/>
          <w:color w:val="000000"/>
          <w:sz w:val="18"/>
          <w:szCs w:val="18"/>
        </w:rPr>
        <w:t xml:space="preserve">See </w:t>
      </w:r>
      <w:r w:rsidR="00F30E28" w:rsidRPr="00F30E28">
        <w:rPr>
          <w:rFonts w:cs="Times New Roman"/>
          <w:color w:val="000000"/>
          <w:sz w:val="18"/>
          <w:szCs w:val="18"/>
        </w:rPr>
        <w:t xml:space="preserve">Donald N. Duquette &amp; Ann M. Haralambie, </w:t>
      </w:r>
      <w:r w:rsidR="00F30E28" w:rsidRPr="00F30E28">
        <w:rPr>
          <w:rFonts w:cs="Times"/>
          <w:i/>
          <w:iCs/>
          <w:color w:val="000000"/>
          <w:sz w:val="18"/>
          <w:szCs w:val="18"/>
        </w:rPr>
        <w:t>Child Welfare Law and Practice: Representing Children, Parents, and State Agencies in Abuse, Neglect, and Dependency Cases</w:t>
      </w:r>
      <w:r w:rsidR="00F30E28" w:rsidRPr="00F30E28">
        <w:rPr>
          <w:rFonts w:cs="Times New Roman"/>
          <w:color w:val="000000"/>
          <w:sz w:val="18"/>
          <w:szCs w:val="18"/>
        </w:rPr>
        <w:t xml:space="preserve">, 166-67 (2nd ed. 2010). </w:t>
      </w:r>
    </w:p>
  </w:footnote>
  <w:footnote w:id="22">
    <w:p w14:paraId="6AA4285E" w14:textId="046CD710" w:rsidR="00845D73" w:rsidRDefault="00845D73">
      <w:pPr>
        <w:pStyle w:val="FootnoteText"/>
      </w:pPr>
      <w:r>
        <w:rPr>
          <w:rStyle w:val="FootnoteReference"/>
        </w:rPr>
        <w:footnoteRef/>
      </w:r>
      <w:r>
        <w:t xml:space="preserve"> </w:t>
      </w:r>
      <w:r w:rsidRPr="005C250A">
        <w:rPr>
          <w:sz w:val="18"/>
          <w:szCs w:val="18"/>
        </w:rPr>
        <w:t>High Quality Representation Memo Pg. 2.</w:t>
      </w:r>
    </w:p>
  </w:footnote>
  <w:footnote w:id="23">
    <w:p w14:paraId="1B0DC50B" w14:textId="417CE103" w:rsidR="00BB0BBD" w:rsidRPr="00F64B26" w:rsidRDefault="002D396B" w:rsidP="00F64B26">
      <w:pPr>
        <w:rPr>
          <w:rFonts w:eastAsia="Times New Roman"/>
          <w:sz w:val="24"/>
          <w:szCs w:val="24"/>
        </w:rPr>
      </w:pPr>
      <w:r>
        <w:rPr>
          <w:rStyle w:val="FootnoteReference"/>
        </w:rPr>
        <w:footnoteRef/>
      </w:r>
      <w:r>
        <w:t xml:space="preserve"> </w:t>
      </w:r>
      <w:r w:rsidR="00F64B26" w:rsidRPr="00F64B26">
        <w:rPr>
          <w:rFonts w:eastAsia="Times New Roman"/>
          <w:sz w:val="18"/>
          <w:szCs w:val="18"/>
        </w:rPr>
        <w:t>Zinn, A. E. &amp; Slowriver, J. (2008) Expediting Permanency: Legal Representation for Foster Children in Palm Beach County. Chicago: Chapin Hall Center for Children at the University of Chicago</w:t>
      </w:r>
      <w:r w:rsidR="00F64B26">
        <w:rPr>
          <w:rFonts w:eastAsia="Times New Roman"/>
        </w:rPr>
        <w:t xml:space="preserve"> </w:t>
      </w:r>
      <w:r w:rsidR="00BB0BBD" w:rsidRPr="00BB0BBD">
        <w:rPr>
          <w:sz w:val="18"/>
          <w:szCs w:val="18"/>
        </w:rPr>
        <w:t>(</w:t>
      </w:r>
      <w:r w:rsidR="00F64B26">
        <w:rPr>
          <w:sz w:val="18"/>
          <w:szCs w:val="18"/>
        </w:rPr>
        <w:t xml:space="preserve">stating, </w:t>
      </w:r>
      <w:r w:rsidR="00BB0BBD" w:rsidRPr="00BB0BBD">
        <w:rPr>
          <w:rFonts w:eastAsia="Times New Roman" w:cs="Times New Roman"/>
          <w:sz w:val="18"/>
          <w:szCs w:val="18"/>
        </w:rPr>
        <w:t>FCP children exited to permanency at rates 1.38 and 1.59 times higher than comparison children).</w:t>
      </w:r>
      <w:r w:rsidR="00BB0BBD" w:rsidRPr="00BB0BBD">
        <w:rPr>
          <w:rFonts w:ascii="Times New Roman" w:eastAsia="Times New Roman" w:hAnsi="Times New Roman" w:cs="Times New Roman"/>
          <w:sz w:val="24"/>
          <w:szCs w:val="24"/>
        </w:rPr>
        <w:t xml:space="preserve"> </w:t>
      </w:r>
    </w:p>
    <w:p w14:paraId="5DC567BA" w14:textId="7BB1AF6F" w:rsidR="002D396B" w:rsidRDefault="002D396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6F77" w14:textId="0A9072C1" w:rsidR="00E602C2" w:rsidRPr="005C1754" w:rsidRDefault="00E602C2" w:rsidP="006342F7">
    <w:pPr>
      <w:spacing w:after="240" w:line="288" w:lineRule="auto"/>
      <w:rPr>
        <w:rFonts w:ascii="Trebuchet MS" w:hAnsi="Trebuchet MS"/>
        <w:i/>
        <w:color w:val="00126C"/>
      </w:rPr>
    </w:pPr>
    <w:r>
      <w:rPr>
        <w:noProof/>
      </w:rPr>
      <w:drawing>
        <wp:anchor distT="0" distB="0" distL="114300" distR="114300" simplePos="0" relativeHeight="251659264" behindDoc="0" locked="0" layoutInCell="1" allowOverlap="1" wp14:anchorId="56726F7C" wp14:editId="56726F7D">
          <wp:simplePos x="0" y="0"/>
          <wp:positionH relativeFrom="column">
            <wp:posOffset>0</wp:posOffset>
          </wp:positionH>
          <wp:positionV relativeFrom="paragraph">
            <wp:posOffset>0</wp:posOffset>
          </wp:positionV>
          <wp:extent cx="1598295" cy="10864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Logo-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295" cy="108648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i/>
        <w:color w:val="365F91" w:themeColor="accent1" w:themeShade="BF"/>
      </w:rPr>
      <w:tab/>
    </w:r>
    <w:r>
      <w:rPr>
        <w:rFonts w:ascii="Trebuchet MS" w:hAnsi="Trebuchet MS"/>
        <w:i/>
        <w:color w:val="365F91" w:themeColor="accent1" w:themeShade="BF"/>
      </w:rPr>
      <w:tab/>
    </w:r>
    <w:r>
      <w:rPr>
        <w:rFonts w:ascii="Trebuchet MS" w:hAnsi="Trebuchet MS"/>
        <w:i/>
        <w:color w:val="365F91" w:themeColor="accent1" w:themeShade="BF"/>
      </w:rPr>
      <w:tab/>
    </w:r>
    <w:r>
      <w:rPr>
        <w:rFonts w:ascii="Trebuchet MS" w:hAnsi="Trebuchet MS"/>
        <w:i/>
        <w:color w:val="365F91" w:themeColor="accent1" w:themeShade="BF"/>
      </w:rPr>
      <w:tab/>
    </w:r>
    <w:r w:rsidRPr="005C1754">
      <w:rPr>
        <w:rFonts w:ascii="Trebuchet MS" w:hAnsi="Trebuchet MS"/>
        <w:i/>
        <w:color w:val="00126C"/>
      </w:rPr>
      <w:br/>
    </w:r>
    <w:r w:rsidRPr="005C1754">
      <w:rPr>
        <w:rFonts w:ascii="Trebuchet MS" w:hAnsi="Trebuchet MS"/>
        <w:i/>
        <w:color w:val="00126C"/>
      </w:rPr>
      <w:tab/>
    </w:r>
    <w:r w:rsidRPr="005C1754">
      <w:rPr>
        <w:rFonts w:ascii="Trebuchet MS" w:hAnsi="Trebuchet MS"/>
        <w:i/>
        <w:color w:val="00126C"/>
      </w:rPr>
      <w:tab/>
    </w:r>
    <w:r w:rsidRPr="005C1754">
      <w:rPr>
        <w:rFonts w:ascii="Trebuchet MS" w:hAnsi="Trebuchet MS"/>
        <w:i/>
        <w:color w:val="00126C"/>
      </w:rPr>
      <w:tab/>
    </w:r>
    <w:r w:rsidRPr="005C1754">
      <w:rPr>
        <w:rFonts w:ascii="Trebuchet MS" w:hAnsi="Trebuchet MS"/>
        <w:i/>
        <w:color w:val="00126C"/>
      </w:rPr>
      <w:tab/>
      <w:t xml:space="preserve"> </w:t>
    </w:r>
    <w:r w:rsidRPr="005C1754">
      <w:rPr>
        <w:rFonts w:ascii="Trebuchet MS" w:hAnsi="Trebuchet MS"/>
        <w:i/>
        <w:color w:val="00126C"/>
      </w:rPr>
      <w:br/>
    </w:r>
    <w:r w:rsidRPr="005C1754">
      <w:rPr>
        <w:rFonts w:ascii="Trebuchet MS" w:hAnsi="Trebuchet MS"/>
        <w:i/>
        <w:color w:val="00126C"/>
      </w:rPr>
      <w:tab/>
    </w:r>
    <w:r w:rsidRPr="005C1754">
      <w:rPr>
        <w:rFonts w:ascii="Trebuchet MS" w:hAnsi="Trebuchet MS"/>
        <w:i/>
        <w:color w:val="00126C"/>
      </w:rPr>
      <w:tab/>
    </w:r>
    <w:r w:rsidRPr="005C1754">
      <w:rPr>
        <w:rFonts w:ascii="Trebuchet MS" w:hAnsi="Trebuchet MS"/>
        <w:i/>
        <w:color w:val="00126C"/>
      </w:rPr>
      <w:tab/>
    </w:r>
    <w:r w:rsidRPr="005C1754">
      <w:rPr>
        <w:rFonts w:ascii="Trebuchet MS" w:hAnsi="Trebuchet MS"/>
        <w:i/>
        <w:color w:val="00126C"/>
      </w:rPr>
      <w:tab/>
      <w:t xml:space="preserve"> </w:t>
    </w:r>
    <w:r w:rsidRPr="005C1754">
      <w:rPr>
        <w:rFonts w:ascii="Trebuchet MS" w:hAnsi="Trebuchet MS"/>
        <w:i/>
        <w:color w:val="00126C"/>
      </w:rPr>
      <w:br/>
    </w:r>
    <w:r w:rsidRPr="005C1754">
      <w:rPr>
        <w:rFonts w:ascii="Trebuchet MS" w:hAnsi="Trebuchet MS"/>
        <w:i/>
        <w:color w:val="00126C"/>
      </w:rPr>
      <w:tab/>
    </w:r>
    <w:r w:rsidRPr="005C1754">
      <w:rPr>
        <w:rFonts w:ascii="Trebuchet MS" w:hAnsi="Trebuchet MS"/>
        <w:i/>
        <w:color w:val="00126C"/>
      </w:rPr>
      <w:tab/>
    </w:r>
    <w:r w:rsidRPr="005C1754">
      <w:rPr>
        <w:rFonts w:ascii="Trebuchet MS" w:hAnsi="Trebuchet MS"/>
        <w:i/>
        <w:color w:val="00126C"/>
      </w:rPr>
      <w:tab/>
    </w:r>
    <w:r w:rsidRPr="005C1754">
      <w:rPr>
        <w:rFonts w:ascii="Trebuchet MS" w:hAnsi="Trebuchet MS"/>
        <w:i/>
        <w:color w:val="00126C"/>
      </w:rPr>
      <w:tab/>
    </w:r>
    <w:r w:rsidRPr="005C1754">
      <w:rPr>
        <w:rFonts w:ascii="Trebuchet MS" w:hAnsi="Trebuchet MS"/>
        <w:i/>
        <w:color w:val="00126C"/>
      </w:rPr>
      <w:br/>
    </w:r>
    <w:r w:rsidRPr="005C1754">
      <w:rPr>
        <w:rFonts w:ascii="Trebuchet MS" w:hAnsi="Trebuchet MS"/>
        <w:i/>
        <w:color w:val="00126C"/>
      </w:rPr>
      <w:tab/>
    </w:r>
    <w:r w:rsidRPr="005C1754">
      <w:rPr>
        <w:rFonts w:ascii="Trebuchet MS" w:hAnsi="Trebuchet MS"/>
        <w:i/>
        <w:color w:val="00126C"/>
      </w:rPr>
      <w:tab/>
    </w:r>
    <w:r w:rsidRPr="005C1754">
      <w:rPr>
        <w:rFonts w:ascii="Trebuchet MS" w:hAnsi="Trebuchet MS"/>
        <w:i/>
        <w:color w:val="00126C"/>
      </w:rPr>
      <w:tab/>
    </w:r>
    <w:r w:rsidRPr="005C1754">
      <w:rPr>
        <w:rFonts w:ascii="Trebuchet MS" w:hAnsi="Trebuchet MS"/>
        <w:i/>
        <w:color w:val="00126C"/>
      </w:rPr>
      <w:tab/>
    </w:r>
  </w:p>
  <w:p w14:paraId="56726F78" w14:textId="77777777" w:rsidR="00E602C2" w:rsidRPr="006342F7" w:rsidRDefault="00E602C2" w:rsidP="006342F7">
    <w:pPr>
      <w:spacing w:after="240" w:line="288" w:lineRule="auto"/>
      <w:rPr>
        <w:rFonts w:ascii="Trebuchet MS" w:hAnsi="Trebuchet MS"/>
        <w:i/>
        <w:color w:val="365F91" w:themeColor="accent1" w:themeShade="BF"/>
      </w:rPr>
    </w:pPr>
    <w:r>
      <w:rPr>
        <w:rFonts w:ascii="Trebuchet MS" w:hAnsi="Trebuchet MS"/>
        <w:i/>
        <w:noProof/>
        <w:color w:val="365F91" w:themeColor="accent1" w:themeShade="BF"/>
      </w:rPr>
      <w:drawing>
        <wp:inline distT="0" distB="0" distL="0" distR="0" wp14:anchorId="56726F7E" wp14:editId="56726F7F">
          <wp:extent cx="1556453" cy="569704"/>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tag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4982" cy="56916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CE014A"/>
    <w:multiLevelType w:val="hybridMultilevel"/>
    <w:tmpl w:val="AFACCCE8"/>
    <w:lvl w:ilvl="0" w:tplc="B38C8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837F2"/>
    <w:multiLevelType w:val="multilevel"/>
    <w:tmpl w:val="A7A276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54"/>
    <w:rsid w:val="00000AB7"/>
    <w:rsid w:val="00025ECD"/>
    <w:rsid w:val="00047DF8"/>
    <w:rsid w:val="000509D3"/>
    <w:rsid w:val="000573C1"/>
    <w:rsid w:val="00065376"/>
    <w:rsid w:val="00067F95"/>
    <w:rsid w:val="00083D6C"/>
    <w:rsid w:val="000900AA"/>
    <w:rsid w:val="000925E7"/>
    <w:rsid w:val="00093E9F"/>
    <w:rsid w:val="00094517"/>
    <w:rsid w:val="00095DBB"/>
    <w:rsid w:val="00096A1E"/>
    <w:rsid w:val="000A6307"/>
    <w:rsid w:val="000B1DBE"/>
    <w:rsid w:val="000C1F7E"/>
    <w:rsid w:val="000C2028"/>
    <w:rsid w:val="000D73A5"/>
    <w:rsid w:val="000F0FDC"/>
    <w:rsid w:val="00101A38"/>
    <w:rsid w:val="00103418"/>
    <w:rsid w:val="00116DF7"/>
    <w:rsid w:val="00117053"/>
    <w:rsid w:val="00131CCD"/>
    <w:rsid w:val="00131DDA"/>
    <w:rsid w:val="0014448E"/>
    <w:rsid w:val="00146828"/>
    <w:rsid w:val="00147471"/>
    <w:rsid w:val="00153E05"/>
    <w:rsid w:val="00156525"/>
    <w:rsid w:val="00160D43"/>
    <w:rsid w:val="0016670F"/>
    <w:rsid w:val="00167A0B"/>
    <w:rsid w:val="00180233"/>
    <w:rsid w:val="00186082"/>
    <w:rsid w:val="00190826"/>
    <w:rsid w:val="001A5F3E"/>
    <w:rsid w:val="001A5F55"/>
    <w:rsid w:val="001A6CAF"/>
    <w:rsid w:val="001B06D6"/>
    <w:rsid w:val="001B4857"/>
    <w:rsid w:val="001B79FA"/>
    <w:rsid w:val="001C0AD2"/>
    <w:rsid w:val="001C2420"/>
    <w:rsid w:val="001F11EB"/>
    <w:rsid w:val="002042F9"/>
    <w:rsid w:val="00204A6B"/>
    <w:rsid w:val="002226AF"/>
    <w:rsid w:val="002270B5"/>
    <w:rsid w:val="00244F68"/>
    <w:rsid w:val="00245E76"/>
    <w:rsid w:val="00266720"/>
    <w:rsid w:val="00273244"/>
    <w:rsid w:val="00274BAD"/>
    <w:rsid w:val="00282962"/>
    <w:rsid w:val="00293066"/>
    <w:rsid w:val="0029762B"/>
    <w:rsid w:val="002A4908"/>
    <w:rsid w:val="002B5CE1"/>
    <w:rsid w:val="002C10A9"/>
    <w:rsid w:val="002C15C3"/>
    <w:rsid w:val="002C214E"/>
    <w:rsid w:val="002C792C"/>
    <w:rsid w:val="002D1605"/>
    <w:rsid w:val="002D2C34"/>
    <w:rsid w:val="002D396B"/>
    <w:rsid w:val="002E60CA"/>
    <w:rsid w:val="003022BC"/>
    <w:rsid w:val="00305399"/>
    <w:rsid w:val="00317A50"/>
    <w:rsid w:val="00325168"/>
    <w:rsid w:val="00325720"/>
    <w:rsid w:val="00335CC9"/>
    <w:rsid w:val="00361F4F"/>
    <w:rsid w:val="0037447F"/>
    <w:rsid w:val="0037628E"/>
    <w:rsid w:val="00385E2E"/>
    <w:rsid w:val="003A3601"/>
    <w:rsid w:val="003A5F21"/>
    <w:rsid w:val="003C383B"/>
    <w:rsid w:val="003E1BE7"/>
    <w:rsid w:val="003F47CB"/>
    <w:rsid w:val="0040073E"/>
    <w:rsid w:val="004208D6"/>
    <w:rsid w:val="00433254"/>
    <w:rsid w:val="00434DE1"/>
    <w:rsid w:val="00445C4E"/>
    <w:rsid w:val="00456716"/>
    <w:rsid w:val="00463DB9"/>
    <w:rsid w:val="00466CFF"/>
    <w:rsid w:val="00472077"/>
    <w:rsid w:val="00476CBA"/>
    <w:rsid w:val="004A1E18"/>
    <w:rsid w:val="004A4B55"/>
    <w:rsid w:val="004B050D"/>
    <w:rsid w:val="004B22E8"/>
    <w:rsid w:val="004B3E67"/>
    <w:rsid w:val="004B680E"/>
    <w:rsid w:val="004C059C"/>
    <w:rsid w:val="004C4511"/>
    <w:rsid w:val="004D01BC"/>
    <w:rsid w:val="004D17E1"/>
    <w:rsid w:val="004D4A28"/>
    <w:rsid w:val="004D4DBF"/>
    <w:rsid w:val="004D551F"/>
    <w:rsid w:val="004E3297"/>
    <w:rsid w:val="0052555A"/>
    <w:rsid w:val="005411F1"/>
    <w:rsid w:val="005542A3"/>
    <w:rsid w:val="00556B06"/>
    <w:rsid w:val="00557925"/>
    <w:rsid w:val="005752DF"/>
    <w:rsid w:val="00581452"/>
    <w:rsid w:val="00594BB8"/>
    <w:rsid w:val="0059524C"/>
    <w:rsid w:val="00596681"/>
    <w:rsid w:val="005A0F1B"/>
    <w:rsid w:val="005A3513"/>
    <w:rsid w:val="005A365F"/>
    <w:rsid w:val="005A6805"/>
    <w:rsid w:val="005B4C20"/>
    <w:rsid w:val="005B5751"/>
    <w:rsid w:val="005C1754"/>
    <w:rsid w:val="005C23E8"/>
    <w:rsid w:val="005C250A"/>
    <w:rsid w:val="005F0001"/>
    <w:rsid w:val="005F0071"/>
    <w:rsid w:val="005F728E"/>
    <w:rsid w:val="006006D4"/>
    <w:rsid w:val="00602301"/>
    <w:rsid w:val="00627B83"/>
    <w:rsid w:val="006342F7"/>
    <w:rsid w:val="00637FB1"/>
    <w:rsid w:val="00640487"/>
    <w:rsid w:val="00643056"/>
    <w:rsid w:val="006566C7"/>
    <w:rsid w:val="00663472"/>
    <w:rsid w:val="006926EC"/>
    <w:rsid w:val="006A5EF9"/>
    <w:rsid w:val="006A685C"/>
    <w:rsid w:val="006B1F5A"/>
    <w:rsid w:val="006C0A25"/>
    <w:rsid w:val="006C0BF9"/>
    <w:rsid w:val="006C7D53"/>
    <w:rsid w:val="006C7DAE"/>
    <w:rsid w:val="006F2033"/>
    <w:rsid w:val="007147EC"/>
    <w:rsid w:val="007171A0"/>
    <w:rsid w:val="007230E0"/>
    <w:rsid w:val="00723281"/>
    <w:rsid w:val="00726A0C"/>
    <w:rsid w:val="007301FC"/>
    <w:rsid w:val="00734EA0"/>
    <w:rsid w:val="007447C0"/>
    <w:rsid w:val="00755AF5"/>
    <w:rsid w:val="00770856"/>
    <w:rsid w:val="00770A94"/>
    <w:rsid w:val="00771EE3"/>
    <w:rsid w:val="00774113"/>
    <w:rsid w:val="00780BA9"/>
    <w:rsid w:val="007853C8"/>
    <w:rsid w:val="007B3385"/>
    <w:rsid w:val="007C6057"/>
    <w:rsid w:val="007C6F63"/>
    <w:rsid w:val="007F0FDF"/>
    <w:rsid w:val="00800688"/>
    <w:rsid w:val="008078A0"/>
    <w:rsid w:val="00823C1E"/>
    <w:rsid w:val="0082512D"/>
    <w:rsid w:val="00833C1D"/>
    <w:rsid w:val="00834083"/>
    <w:rsid w:val="00834F8D"/>
    <w:rsid w:val="00841AB3"/>
    <w:rsid w:val="00845D73"/>
    <w:rsid w:val="00871E6A"/>
    <w:rsid w:val="00871E6D"/>
    <w:rsid w:val="008740B9"/>
    <w:rsid w:val="008751F1"/>
    <w:rsid w:val="00875616"/>
    <w:rsid w:val="008762F9"/>
    <w:rsid w:val="008B5E7E"/>
    <w:rsid w:val="008C68E6"/>
    <w:rsid w:val="008C6F92"/>
    <w:rsid w:val="008D4180"/>
    <w:rsid w:val="008D7FF8"/>
    <w:rsid w:val="008F1E26"/>
    <w:rsid w:val="00900450"/>
    <w:rsid w:val="00905CEC"/>
    <w:rsid w:val="009123C8"/>
    <w:rsid w:val="00916541"/>
    <w:rsid w:val="00916D4E"/>
    <w:rsid w:val="00923AB5"/>
    <w:rsid w:val="0092734D"/>
    <w:rsid w:val="00937E9F"/>
    <w:rsid w:val="00941761"/>
    <w:rsid w:val="00960090"/>
    <w:rsid w:val="00961C0F"/>
    <w:rsid w:val="00997E0A"/>
    <w:rsid w:val="009C192A"/>
    <w:rsid w:val="009D3673"/>
    <w:rsid w:val="009E5381"/>
    <w:rsid w:val="00A13162"/>
    <w:rsid w:val="00A15424"/>
    <w:rsid w:val="00A155A6"/>
    <w:rsid w:val="00A31A77"/>
    <w:rsid w:val="00A40E47"/>
    <w:rsid w:val="00A4502A"/>
    <w:rsid w:val="00A8102E"/>
    <w:rsid w:val="00A82D68"/>
    <w:rsid w:val="00A82F8E"/>
    <w:rsid w:val="00A837FF"/>
    <w:rsid w:val="00A8457B"/>
    <w:rsid w:val="00A931E5"/>
    <w:rsid w:val="00AA5F01"/>
    <w:rsid w:val="00AB14C6"/>
    <w:rsid w:val="00AB169A"/>
    <w:rsid w:val="00AB7C2D"/>
    <w:rsid w:val="00AC6C79"/>
    <w:rsid w:val="00AF076F"/>
    <w:rsid w:val="00AF0DDB"/>
    <w:rsid w:val="00AF4E2D"/>
    <w:rsid w:val="00B00C8D"/>
    <w:rsid w:val="00B0208E"/>
    <w:rsid w:val="00B02438"/>
    <w:rsid w:val="00B02E33"/>
    <w:rsid w:val="00B20B13"/>
    <w:rsid w:val="00B210C3"/>
    <w:rsid w:val="00B2185E"/>
    <w:rsid w:val="00B2361F"/>
    <w:rsid w:val="00B43E9A"/>
    <w:rsid w:val="00B5130A"/>
    <w:rsid w:val="00B5176C"/>
    <w:rsid w:val="00B57422"/>
    <w:rsid w:val="00B633FE"/>
    <w:rsid w:val="00B667F7"/>
    <w:rsid w:val="00B67631"/>
    <w:rsid w:val="00B71328"/>
    <w:rsid w:val="00B72234"/>
    <w:rsid w:val="00B737FC"/>
    <w:rsid w:val="00BA27F4"/>
    <w:rsid w:val="00BB0BBD"/>
    <w:rsid w:val="00BB3323"/>
    <w:rsid w:val="00BB6A3C"/>
    <w:rsid w:val="00BB7CDF"/>
    <w:rsid w:val="00BB7F83"/>
    <w:rsid w:val="00BD0566"/>
    <w:rsid w:val="00BE18F0"/>
    <w:rsid w:val="00BF0CB2"/>
    <w:rsid w:val="00BF1B59"/>
    <w:rsid w:val="00BF5C8A"/>
    <w:rsid w:val="00BF5EDE"/>
    <w:rsid w:val="00C2632C"/>
    <w:rsid w:val="00C26FEC"/>
    <w:rsid w:val="00C27AE8"/>
    <w:rsid w:val="00C34CB8"/>
    <w:rsid w:val="00C410E5"/>
    <w:rsid w:val="00C654F8"/>
    <w:rsid w:val="00C6557F"/>
    <w:rsid w:val="00C6578D"/>
    <w:rsid w:val="00C65C3E"/>
    <w:rsid w:val="00C71463"/>
    <w:rsid w:val="00C72DCE"/>
    <w:rsid w:val="00C80689"/>
    <w:rsid w:val="00C82BE1"/>
    <w:rsid w:val="00CA77A6"/>
    <w:rsid w:val="00CB085E"/>
    <w:rsid w:val="00CB2C31"/>
    <w:rsid w:val="00CB78BA"/>
    <w:rsid w:val="00CC464C"/>
    <w:rsid w:val="00CD47D1"/>
    <w:rsid w:val="00CD7CC6"/>
    <w:rsid w:val="00CE6B89"/>
    <w:rsid w:val="00D0148C"/>
    <w:rsid w:val="00D01556"/>
    <w:rsid w:val="00D02D68"/>
    <w:rsid w:val="00D17190"/>
    <w:rsid w:val="00D20F1A"/>
    <w:rsid w:val="00D21284"/>
    <w:rsid w:val="00D51E27"/>
    <w:rsid w:val="00D71AC8"/>
    <w:rsid w:val="00D72083"/>
    <w:rsid w:val="00D73973"/>
    <w:rsid w:val="00D8563C"/>
    <w:rsid w:val="00D93B81"/>
    <w:rsid w:val="00D94A37"/>
    <w:rsid w:val="00DA5DBE"/>
    <w:rsid w:val="00DA7A83"/>
    <w:rsid w:val="00DB266E"/>
    <w:rsid w:val="00DB312E"/>
    <w:rsid w:val="00DB7C38"/>
    <w:rsid w:val="00DC1CDB"/>
    <w:rsid w:val="00DF45A3"/>
    <w:rsid w:val="00E06811"/>
    <w:rsid w:val="00E1100F"/>
    <w:rsid w:val="00E231BE"/>
    <w:rsid w:val="00E277DB"/>
    <w:rsid w:val="00E27927"/>
    <w:rsid w:val="00E32136"/>
    <w:rsid w:val="00E331F2"/>
    <w:rsid w:val="00E34CE5"/>
    <w:rsid w:val="00E51DDE"/>
    <w:rsid w:val="00E54EDD"/>
    <w:rsid w:val="00E55F26"/>
    <w:rsid w:val="00E602C2"/>
    <w:rsid w:val="00E66980"/>
    <w:rsid w:val="00E70C1D"/>
    <w:rsid w:val="00E94B02"/>
    <w:rsid w:val="00E9670E"/>
    <w:rsid w:val="00EA0650"/>
    <w:rsid w:val="00EA795A"/>
    <w:rsid w:val="00EC6345"/>
    <w:rsid w:val="00ED36F1"/>
    <w:rsid w:val="00EF28A4"/>
    <w:rsid w:val="00EF59FA"/>
    <w:rsid w:val="00EF5BD2"/>
    <w:rsid w:val="00EF683B"/>
    <w:rsid w:val="00F07983"/>
    <w:rsid w:val="00F10F2E"/>
    <w:rsid w:val="00F234DC"/>
    <w:rsid w:val="00F30E28"/>
    <w:rsid w:val="00F357E2"/>
    <w:rsid w:val="00F379FF"/>
    <w:rsid w:val="00F46439"/>
    <w:rsid w:val="00F544F1"/>
    <w:rsid w:val="00F56104"/>
    <w:rsid w:val="00F61792"/>
    <w:rsid w:val="00F62AD8"/>
    <w:rsid w:val="00F64B26"/>
    <w:rsid w:val="00F84F5C"/>
    <w:rsid w:val="00F90203"/>
    <w:rsid w:val="00F94DD6"/>
    <w:rsid w:val="00F954C3"/>
    <w:rsid w:val="00FA1C80"/>
    <w:rsid w:val="00FA289D"/>
    <w:rsid w:val="00FA6106"/>
    <w:rsid w:val="00FA61C5"/>
    <w:rsid w:val="00FA7C38"/>
    <w:rsid w:val="00FB1BA9"/>
    <w:rsid w:val="00FC34B2"/>
    <w:rsid w:val="00FC3ECB"/>
    <w:rsid w:val="00FC4822"/>
    <w:rsid w:val="00FD0506"/>
    <w:rsid w:val="00FD19B9"/>
    <w:rsid w:val="00FD2E56"/>
    <w:rsid w:val="00FE6DD1"/>
    <w:rsid w:val="00FF5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26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08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1D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754"/>
  </w:style>
  <w:style w:type="paragraph" w:styleId="Footer">
    <w:name w:val="footer"/>
    <w:basedOn w:val="Normal"/>
    <w:link w:val="FooterChar"/>
    <w:uiPriority w:val="99"/>
    <w:unhideWhenUsed/>
    <w:rsid w:val="005C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754"/>
  </w:style>
  <w:style w:type="paragraph" w:styleId="BalloonText">
    <w:name w:val="Balloon Text"/>
    <w:basedOn w:val="Normal"/>
    <w:link w:val="BalloonTextChar"/>
    <w:uiPriority w:val="99"/>
    <w:semiHidden/>
    <w:unhideWhenUsed/>
    <w:rsid w:val="005C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54"/>
    <w:rPr>
      <w:rFonts w:ascii="Tahoma" w:hAnsi="Tahoma" w:cs="Tahoma"/>
      <w:sz w:val="16"/>
      <w:szCs w:val="16"/>
    </w:rPr>
  </w:style>
  <w:style w:type="paragraph" w:customStyle="1" w:styleId="LetterText">
    <w:name w:val="Letter Text"/>
    <w:qFormat/>
    <w:rsid w:val="005C1754"/>
    <w:pPr>
      <w:spacing w:after="0" w:line="240" w:lineRule="auto"/>
    </w:pPr>
    <w:rPr>
      <w:rFonts w:ascii="Times New Roman" w:eastAsia="Cambria" w:hAnsi="Times New Roman" w:cs="Times New Roman"/>
      <w:sz w:val="20"/>
      <w:szCs w:val="24"/>
    </w:rPr>
  </w:style>
  <w:style w:type="character" w:styleId="Hyperlink">
    <w:name w:val="Hyperlink"/>
    <w:basedOn w:val="DefaultParagraphFont"/>
    <w:uiPriority w:val="99"/>
    <w:unhideWhenUsed/>
    <w:rsid w:val="00B71328"/>
    <w:rPr>
      <w:color w:val="0000FF" w:themeColor="hyperlink"/>
      <w:u w:val="single"/>
    </w:rPr>
  </w:style>
  <w:style w:type="character" w:customStyle="1" w:styleId="Heading1Char">
    <w:name w:val="Heading 1 Char"/>
    <w:basedOn w:val="DefaultParagraphFont"/>
    <w:link w:val="Heading1"/>
    <w:uiPriority w:val="9"/>
    <w:rsid w:val="004D55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551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D5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551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55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551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19082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266720"/>
    <w:pPr>
      <w:spacing w:after="0" w:line="240" w:lineRule="auto"/>
    </w:pPr>
    <w:rPr>
      <w:sz w:val="20"/>
      <w:szCs w:val="20"/>
    </w:rPr>
  </w:style>
  <w:style w:type="character" w:customStyle="1" w:styleId="FootnoteTextChar">
    <w:name w:val="Footnote Text Char"/>
    <w:basedOn w:val="DefaultParagraphFont"/>
    <w:link w:val="FootnoteText"/>
    <w:uiPriority w:val="99"/>
    <w:rsid w:val="00266720"/>
    <w:rPr>
      <w:sz w:val="20"/>
      <w:szCs w:val="20"/>
    </w:rPr>
  </w:style>
  <w:style w:type="character" w:styleId="FootnoteReference">
    <w:name w:val="footnote reference"/>
    <w:basedOn w:val="DefaultParagraphFont"/>
    <w:uiPriority w:val="99"/>
    <w:unhideWhenUsed/>
    <w:rsid w:val="00266720"/>
    <w:rPr>
      <w:vertAlign w:val="superscript"/>
    </w:rPr>
  </w:style>
  <w:style w:type="character" w:customStyle="1" w:styleId="Heading4Char">
    <w:name w:val="Heading 4 Char"/>
    <w:basedOn w:val="DefaultParagraphFont"/>
    <w:link w:val="Heading4"/>
    <w:uiPriority w:val="9"/>
    <w:rsid w:val="00E51DDE"/>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C6578D"/>
    <w:rPr>
      <w:sz w:val="16"/>
      <w:szCs w:val="16"/>
    </w:rPr>
  </w:style>
  <w:style w:type="paragraph" w:styleId="CommentText">
    <w:name w:val="annotation text"/>
    <w:basedOn w:val="Normal"/>
    <w:link w:val="CommentTextChar"/>
    <w:uiPriority w:val="99"/>
    <w:semiHidden/>
    <w:unhideWhenUsed/>
    <w:rsid w:val="00C6578D"/>
    <w:pPr>
      <w:spacing w:line="240" w:lineRule="auto"/>
    </w:pPr>
    <w:rPr>
      <w:sz w:val="20"/>
      <w:szCs w:val="20"/>
    </w:rPr>
  </w:style>
  <w:style w:type="character" w:customStyle="1" w:styleId="CommentTextChar">
    <w:name w:val="Comment Text Char"/>
    <w:basedOn w:val="DefaultParagraphFont"/>
    <w:link w:val="CommentText"/>
    <w:uiPriority w:val="99"/>
    <w:semiHidden/>
    <w:rsid w:val="00C6578D"/>
    <w:rPr>
      <w:sz w:val="20"/>
      <w:szCs w:val="20"/>
    </w:rPr>
  </w:style>
  <w:style w:type="paragraph" w:styleId="CommentSubject">
    <w:name w:val="annotation subject"/>
    <w:basedOn w:val="CommentText"/>
    <w:next w:val="CommentText"/>
    <w:link w:val="CommentSubjectChar"/>
    <w:uiPriority w:val="99"/>
    <w:semiHidden/>
    <w:unhideWhenUsed/>
    <w:rsid w:val="00C6578D"/>
    <w:rPr>
      <w:b/>
      <w:bCs/>
    </w:rPr>
  </w:style>
  <w:style w:type="character" w:customStyle="1" w:styleId="CommentSubjectChar">
    <w:name w:val="Comment Subject Char"/>
    <w:basedOn w:val="CommentTextChar"/>
    <w:link w:val="CommentSubject"/>
    <w:uiPriority w:val="99"/>
    <w:semiHidden/>
    <w:rsid w:val="00C6578D"/>
    <w:rPr>
      <w:b/>
      <w:bCs/>
      <w:sz w:val="20"/>
      <w:szCs w:val="20"/>
    </w:rPr>
  </w:style>
  <w:style w:type="paragraph" w:styleId="Revision">
    <w:name w:val="Revision"/>
    <w:hidden/>
    <w:uiPriority w:val="99"/>
    <w:semiHidden/>
    <w:rsid w:val="000573C1"/>
    <w:pPr>
      <w:spacing w:after="0" w:line="240" w:lineRule="auto"/>
    </w:pPr>
  </w:style>
  <w:style w:type="paragraph" w:styleId="ListParagraph">
    <w:name w:val="List Paragraph"/>
    <w:basedOn w:val="Normal"/>
    <w:uiPriority w:val="34"/>
    <w:qFormat/>
    <w:rsid w:val="00AB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7833">
      <w:bodyDiv w:val="1"/>
      <w:marLeft w:val="0"/>
      <w:marRight w:val="0"/>
      <w:marTop w:val="0"/>
      <w:marBottom w:val="0"/>
      <w:divBdr>
        <w:top w:val="none" w:sz="0" w:space="0" w:color="auto"/>
        <w:left w:val="none" w:sz="0" w:space="0" w:color="auto"/>
        <w:bottom w:val="none" w:sz="0" w:space="0" w:color="auto"/>
        <w:right w:val="none" w:sz="0" w:space="0" w:color="auto"/>
      </w:divBdr>
    </w:div>
    <w:div w:id="348871672">
      <w:bodyDiv w:val="1"/>
      <w:marLeft w:val="0"/>
      <w:marRight w:val="0"/>
      <w:marTop w:val="0"/>
      <w:marBottom w:val="0"/>
      <w:divBdr>
        <w:top w:val="none" w:sz="0" w:space="0" w:color="auto"/>
        <w:left w:val="none" w:sz="0" w:space="0" w:color="auto"/>
        <w:bottom w:val="none" w:sz="0" w:space="0" w:color="auto"/>
        <w:right w:val="none" w:sz="0" w:space="0" w:color="auto"/>
      </w:divBdr>
    </w:div>
    <w:div w:id="1041855750">
      <w:bodyDiv w:val="1"/>
      <w:marLeft w:val="0"/>
      <w:marRight w:val="0"/>
      <w:marTop w:val="0"/>
      <w:marBottom w:val="0"/>
      <w:divBdr>
        <w:top w:val="none" w:sz="0" w:space="0" w:color="auto"/>
        <w:left w:val="none" w:sz="0" w:space="0" w:color="auto"/>
        <w:bottom w:val="none" w:sz="0" w:space="0" w:color="auto"/>
        <w:right w:val="none" w:sz="0" w:space="0" w:color="auto"/>
      </w:divBdr>
    </w:div>
    <w:div w:id="18218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5674-DAF7-F548-87E5-2846CFCE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1598</Words>
  <Characters>9110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Amanda</dc:creator>
  <cp:lastModifiedBy>bROOKE Silverthorn</cp:lastModifiedBy>
  <cp:revision>78</cp:revision>
  <cp:lastPrinted>2016-09-20T20:24:00Z</cp:lastPrinted>
  <dcterms:created xsi:type="dcterms:W3CDTF">2018-01-12T18:31:00Z</dcterms:created>
  <dcterms:modified xsi:type="dcterms:W3CDTF">2018-01-22T19:58:00Z</dcterms:modified>
</cp:coreProperties>
</file>