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word/footer.xml" ContentType="application/vnd.openxmlformats-officedocument.wordprocessingml.footer+xml"/>
  <Override PartName="/word/footer2.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E4F0D" w:rsidRDefault="00FE4F0D" w14:paraId="11489179" w14:textId="77777777">
      <w:pPr>
        <w:spacing w:line="240" w:lineRule="auto"/>
        <w:rPr>
          <w:sz w:val="21"/>
          <w:szCs w:val="21"/>
        </w:rPr>
      </w:pPr>
    </w:p>
    <w:p w:rsidR="00FE4F0D" w:rsidP="733BF18A" w:rsidRDefault="004D28EB" w14:paraId="280177CB" w14:textId="77777777">
      <w:pPr>
        <w:spacing w:line="240" w:lineRule="auto"/>
        <w:rPr>
          <w:sz w:val="21"/>
          <w:szCs w:val="21"/>
          <w:lang w:val="en-US"/>
        </w:rPr>
      </w:pPr>
      <w:r w:rsidRPr="733BF18A" w:rsidR="004D28EB">
        <w:rPr>
          <w:sz w:val="21"/>
          <w:szCs w:val="21"/>
          <w:lang w:val="en-US"/>
        </w:rPr>
        <w:t>«</w:t>
      </w:r>
      <w:r w:rsidRPr="733BF18A" w:rsidR="004D28EB">
        <w:rPr>
          <w:sz w:val="21"/>
          <w:szCs w:val="21"/>
          <w:lang w:val="en-US"/>
        </w:rPr>
        <w:t>First_Name</w:t>
      </w:r>
      <w:r w:rsidRPr="733BF18A" w:rsidR="004D28EB">
        <w:rPr>
          <w:sz w:val="21"/>
          <w:szCs w:val="21"/>
          <w:lang w:val="en-US"/>
        </w:rPr>
        <w:t>» «</w:t>
      </w:r>
      <w:r w:rsidRPr="733BF18A" w:rsidR="004D28EB">
        <w:rPr>
          <w:sz w:val="21"/>
          <w:szCs w:val="21"/>
          <w:lang w:val="en-US"/>
        </w:rPr>
        <w:t>Last_Name</w:t>
      </w:r>
      <w:r w:rsidRPr="733BF18A" w:rsidR="004D28EB">
        <w:rPr>
          <w:sz w:val="21"/>
          <w:szCs w:val="21"/>
          <w:lang w:val="en-US"/>
        </w:rPr>
        <w:t>»</w:t>
      </w:r>
    </w:p>
    <w:p w:rsidR="00FE4F0D" w:rsidRDefault="004D28EB" w14:paraId="5B5D805C" w14:textId="77777777">
      <w:pPr>
        <w:spacing w:line="240" w:lineRule="auto"/>
        <w:rPr>
          <w:sz w:val="21"/>
          <w:szCs w:val="21"/>
        </w:rPr>
      </w:pPr>
      <w:r>
        <w:rPr>
          <w:sz w:val="21"/>
          <w:szCs w:val="21"/>
        </w:rPr>
        <w:t>«Street1»</w:t>
      </w:r>
    </w:p>
    <w:p w:rsidR="00FE4F0D" w:rsidRDefault="004D28EB" w14:paraId="2D122C8E" w14:textId="77777777">
      <w:pPr>
        <w:spacing w:line="240" w:lineRule="auto"/>
        <w:rPr>
          <w:sz w:val="21"/>
          <w:szCs w:val="21"/>
        </w:rPr>
      </w:pPr>
      <w:r>
        <w:rPr>
          <w:sz w:val="21"/>
          <w:szCs w:val="21"/>
        </w:rPr>
        <w:t>«Street2»</w:t>
      </w:r>
    </w:p>
    <w:p w:rsidR="00FE4F0D" w:rsidRDefault="004D28EB" w14:paraId="2D4402FA" w14:textId="77777777">
      <w:pPr>
        <w:spacing w:line="240" w:lineRule="auto"/>
        <w:rPr>
          <w:sz w:val="21"/>
          <w:szCs w:val="21"/>
        </w:rPr>
      </w:pPr>
      <w:r>
        <w:rPr>
          <w:sz w:val="21"/>
          <w:szCs w:val="21"/>
        </w:rPr>
        <w:t>«City», «State» «Zip»</w:t>
      </w:r>
    </w:p>
    <w:p w:rsidR="00FE4F0D" w:rsidRDefault="00FE4F0D" w14:paraId="2532FDEC" w14:textId="77777777">
      <w:pPr>
        <w:spacing w:line="240" w:lineRule="auto"/>
        <w:rPr>
          <w:sz w:val="21"/>
          <w:szCs w:val="21"/>
        </w:rPr>
      </w:pPr>
    </w:p>
    <w:p w:rsidR="00FE4F0D" w:rsidRDefault="00A63CC4" w14:paraId="401B5F27" w14:textId="703B7946">
      <w:pPr>
        <w:rPr>
          <w:sz w:val="21"/>
          <w:szCs w:val="21"/>
        </w:rPr>
      </w:pPr>
      <w:r>
        <w:rPr>
          <w:sz w:val="21"/>
          <w:szCs w:val="21"/>
        </w:rPr>
        <w:t>«Date»</w:t>
      </w:r>
    </w:p>
    <w:p w:rsidR="00A63CC4" w:rsidRDefault="00A63CC4" w14:paraId="7D6AB265" w14:textId="77777777">
      <w:pPr>
        <w:rPr>
          <w:b/>
        </w:rPr>
      </w:pPr>
    </w:p>
    <w:p w:rsidRPr="008D397F" w:rsidR="00FE4F0D" w:rsidRDefault="004D28EB" w14:paraId="751E366D" w14:textId="7A9F44AE">
      <w:r w:rsidRPr="733BF18A" w:rsidR="004D28EB">
        <w:rPr>
          <w:lang w:val="en-US"/>
        </w:rPr>
        <w:t xml:space="preserve">Dear </w:t>
      </w:r>
      <w:r w:rsidRPr="733BF18A" w:rsidR="00E348A2">
        <w:rPr>
          <w:color w:val="000000" w:themeColor="text1" w:themeTint="FF" w:themeShade="FF"/>
          <w:lang w:val="en-US"/>
        </w:rPr>
        <w:t>«</w:t>
      </w:r>
      <w:r w:rsidRPr="733BF18A" w:rsidR="00E348A2">
        <w:rPr>
          <w:color w:val="000000" w:themeColor="text1" w:themeTint="FF" w:themeShade="FF"/>
          <w:lang w:val="en-US"/>
        </w:rPr>
        <w:t>First_Name</w:t>
      </w:r>
      <w:r w:rsidRPr="733BF18A" w:rsidR="00E348A2">
        <w:rPr>
          <w:color w:val="000000" w:themeColor="text1" w:themeTint="FF" w:themeShade="FF"/>
          <w:lang w:val="en-US"/>
        </w:rPr>
        <w:t>»,</w:t>
      </w:r>
    </w:p>
    <w:p w:rsidR="00FE4F0D" w:rsidRDefault="00FE4F0D" w14:paraId="231AFCF1" w14:textId="77777777"/>
    <w:p w:rsidRPr="008D397F" w:rsidR="00FE4F0D" w:rsidRDefault="00355AB0" w14:paraId="5D668171" w14:textId="1632BF89">
      <w:r w:rsidR="58D05629">
        <w:rPr/>
        <w:t>As a result of HealthEquity’s acquisition of Further, your CareFirst Blue Cross® and Blue Shield® Health Savings Accounts (HSA), Flexible Spending Accounts (FSA), and/or Health Reimbursement Arrangements (HRA) benefits will transition to the HealthEquity portal on</w:t>
      </w:r>
      <w:r w:rsidR="00355AB0">
        <w:rPr/>
        <w:t xml:space="preserve"> </w:t>
      </w:r>
      <w:r w:rsidRPr="6CB66D62" w:rsidR="00355AB0">
        <w:rPr>
          <w:b w:val="1"/>
          <w:bCs w:val="1"/>
        </w:rPr>
        <w:t>September 1, 2026</w:t>
      </w:r>
      <w:r w:rsidR="004D28EB">
        <w:rPr/>
        <w:t>.</w:t>
      </w:r>
    </w:p>
    <w:p w:rsidRPr="008D397F" w:rsidR="00FE4F0D" w:rsidRDefault="00FE4F0D" w14:paraId="4080A85D" w14:textId="77777777"/>
    <w:p w:rsidR="009241BB" w:rsidP="6CB66D62" w:rsidRDefault="009241BB" w14:paraId="71E215B9" w14:textId="3251073A">
      <w:pPr>
        <w:pStyle w:val="Normal"/>
      </w:pPr>
      <w:r w:rsidRPr="6CB66D62" w:rsidR="123B90BB">
        <w:rPr>
          <w:rFonts w:ascii="Arial" w:hAnsi="Arial" w:eastAsia="Arial" w:cs="Arial"/>
          <w:noProof w:val="0"/>
          <w:sz w:val="22"/>
          <w:szCs w:val="22"/>
          <w:lang w:val="en"/>
        </w:rPr>
        <w:t>If you have a Health Incentive Account (HIA), your account will transition on</w:t>
      </w:r>
      <w:r w:rsidR="009241BB">
        <w:rPr/>
        <w:t xml:space="preserve"> </w:t>
      </w:r>
      <w:r w:rsidRPr="6CB66D62" w:rsidR="009241BB">
        <w:rPr>
          <w:b w:val="1"/>
          <w:bCs w:val="1"/>
        </w:rPr>
        <w:t>July 1, 2026</w:t>
      </w:r>
      <w:r w:rsidR="009241BB">
        <w:rPr/>
        <w:t xml:space="preserve">. More details on the HIA transition will be shared on the </w:t>
      </w:r>
      <w:r w:rsidR="337B226C">
        <w:rPr/>
        <w:t>w</w:t>
      </w:r>
      <w:r w:rsidRPr="6CB66D62" w:rsidR="009241BB">
        <w:rPr>
          <w:b w:val="1"/>
          <w:bCs w:val="1"/>
        </w:rPr>
        <w:t xml:space="preserve">eek of </w:t>
      </w:r>
      <w:r w:rsidRPr="6CB66D62" w:rsidR="24511B7A">
        <w:rPr>
          <w:b w:val="1"/>
          <w:bCs w:val="1"/>
        </w:rPr>
        <w:t>May</w:t>
      </w:r>
      <w:r w:rsidRPr="6CB66D62" w:rsidR="009241BB">
        <w:rPr>
          <w:b w:val="1"/>
          <w:bCs w:val="1"/>
        </w:rPr>
        <w:t xml:space="preserve"> </w:t>
      </w:r>
      <w:r w:rsidRPr="6CB66D62" w:rsidR="654ADEA2">
        <w:rPr>
          <w:b w:val="1"/>
          <w:bCs w:val="1"/>
        </w:rPr>
        <w:t>4</w:t>
      </w:r>
      <w:r w:rsidRPr="6CB66D62" w:rsidR="009241BB">
        <w:rPr>
          <w:b w:val="1"/>
          <w:bCs w:val="1"/>
        </w:rPr>
        <w:t>, 2026</w:t>
      </w:r>
      <w:r w:rsidR="009241BB">
        <w:rPr/>
        <w:t>.</w:t>
      </w:r>
    </w:p>
    <w:p w:rsidRPr="008D397F" w:rsidR="006F6C04" w:rsidP="009241BB" w:rsidRDefault="006F6C04" w14:paraId="603F2D54" w14:textId="77777777"/>
    <w:p w:rsidRPr="008D397F" w:rsidR="00FE4F0D" w:rsidP="6CB66D62" w:rsidRDefault="009241BB" w14:paraId="22C7C93C" w14:textId="294838B4">
      <w:pPr>
        <w:rPr>
          <w:rFonts w:ascii="Arial" w:hAnsi="Arial" w:eastAsia="Arial" w:cs="Arial"/>
          <w:noProof w:val="0"/>
          <w:sz w:val="22"/>
          <w:szCs w:val="22"/>
          <w:lang w:val="en-US"/>
        </w:rPr>
      </w:pPr>
      <w:r w:rsidRPr="6CB66D62" w:rsidR="18533C1B">
        <w:rPr>
          <w:rFonts w:ascii="Arial" w:hAnsi="Arial" w:eastAsia="Arial" w:cs="Arial"/>
          <w:noProof w:val="0"/>
          <w:sz w:val="22"/>
          <w:szCs w:val="22"/>
          <w:lang w:val="en-US"/>
        </w:rPr>
        <w:t xml:space="preserve">We are committed to making this </w:t>
      </w:r>
      <w:r w:rsidRPr="6CB66D62" w:rsidR="18533C1B">
        <w:rPr>
          <w:rFonts w:ascii="Arial" w:hAnsi="Arial" w:eastAsia="Arial" w:cs="Arial"/>
          <w:noProof w:val="0"/>
          <w:sz w:val="22"/>
          <w:szCs w:val="22"/>
          <w:lang w:val="en-US"/>
        </w:rPr>
        <w:t>transition as</w:t>
      </w:r>
      <w:r w:rsidRPr="6CB66D62" w:rsidR="18533C1B">
        <w:rPr>
          <w:rFonts w:ascii="Arial" w:hAnsi="Arial" w:eastAsia="Arial" w:cs="Arial"/>
          <w:noProof w:val="0"/>
          <w:sz w:val="22"/>
          <w:szCs w:val="22"/>
          <w:lang w:val="en-US"/>
        </w:rPr>
        <w:t xml:space="preserve"> seamless as possible and ensuring you have the support, tools, and resources to manage your benefits confidently.</w:t>
      </w:r>
    </w:p>
    <w:p w:rsidRPr="008D397F" w:rsidR="00384988" w:rsidP="009241BB" w:rsidRDefault="00384988" w14:paraId="6912BBD9" w14:textId="77777777"/>
    <w:p w:rsidRPr="008D397F" w:rsidR="00384988" w:rsidP="009241BB" w:rsidRDefault="003155BE" w14:paraId="12814CD2" w14:textId="3EEC4F09">
      <w:pPr>
        <w:rPr>
          <w:b w:val="1"/>
          <w:bCs w:val="1"/>
        </w:rPr>
      </w:pPr>
      <w:r w:rsidRPr="6CB66D62" w:rsidR="003155BE">
        <w:rPr>
          <w:b w:val="1"/>
          <w:bCs w:val="1"/>
        </w:rPr>
        <w:t>Transition Expectations</w:t>
      </w:r>
    </w:p>
    <w:p w:rsidRPr="00467820" w:rsidR="00467820" w:rsidP="00467820" w:rsidRDefault="00467820" w14:paraId="1A55A8F1" w14:textId="55C63F7F">
      <w:pPr>
        <w:pStyle w:val="ListParagraph"/>
        <w:numPr>
          <w:ilvl w:val="0"/>
          <w:numId w:val="2"/>
        </w:numPr>
      </w:pPr>
      <w:r w:rsidRPr="00467820">
        <w:rPr>
          <w:b/>
          <w:bCs/>
        </w:rPr>
        <w:t>Transition Date:</w:t>
      </w:r>
      <w:r w:rsidRPr="00467820">
        <w:t xml:space="preserve"> On September 1, 2026, accounts and available balances transition to HealthEquity.</w:t>
      </w:r>
    </w:p>
    <w:p w:rsidRPr="008D397F" w:rsidR="00052BA4" w:rsidP="6CB66D62" w:rsidRDefault="00052BA4" w14:paraId="34D2D008" w14:textId="3F8E637D">
      <w:pPr>
        <w:pStyle w:val="ListParagraph"/>
        <w:numPr>
          <w:ilvl w:val="0"/>
          <w:numId w:val="2"/>
        </w:numPr>
        <w:rPr>
          <w:lang w:val="en-US"/>
        </w:rPr>
      </w:pPr>
      <w:r w:rsidRPr="6CB66D62" w:rsidR="00052BA4">
        <w:rPr>
          <w:b w:val="1"/>
          <w:bCs w:val="1"/>
          <w:lang w:val="en-US"/>
        </w:rPr>
        <w:t>Fees:</w:t>
      </w:r>
      <w:r w:rsidRPr="6CB66D62" w:rsidR="00052BA4">
        <w:rPr>
          <w:b w:val="0"/>
          <w:bCs w:val="0"/>
          <w:lang w:val="en-US"/>
        </w:rPr>
        <w:t xml:space="preserve"> </w:t>
      </w:r>
      <w:r w:rsidRPr="6CB66D62" w:rsidR="3FC6D304">
        <w:rPr>
          <w:rFonts w:ascii="Arial" w:hAnsi="Arial" w:eastAsia="Arial" w:cs="Arial"/>
          <w:b w:val="0"/>
          <w:bCs w:val="0"/>
          <w:noProof w:val="0"/>
          <w:sz w:val="22"/>
          <w:szCs w:val="22"/>
          <w:lang w:val="en-US"/>
        </w:rPr>
        <w:t xml:space="preserve">Administration fees </w:t>
      </w:r>
      <w:r w:rsidRPr="6CB66D62" w:rsidR="3FC6D304">
        <w:rPr>
          <w:rFonts w:ascii="Arial" w:hAnsi="Arial" w:eastAsia="Arial" w:cs="Arial"/>
          <w:b w:val="0"/>
          <w:bCs w:val="0"/>
          <w:noProof w:val="0"/>
          <w:sz w:val="22"/>
          <w:szCs w:val="22"/>
          <w:lang w:val="en-US"/>
        </w:rPr>
        <w:t>remain</w:t>
      </w:r>
      <w:r w:rsidRPr="6CB66D62" w:rsidR="3FC6D304">
        <w:rPr>
          <w:rFonts w:ascii="Arial" w:hAnsi="Arial" w:eastAsia="Arial" w:cs="Arial"/>
          <w:b w:val="0"/>
          <w:bCs w:val="0"/>
          <w:noProof w:val="0"/>
          <w:sz w:val="22"/>
          <w:szCs w:val="22"/>
          <w:lang w:val="en-US"/>
        </w:rPr>
        <w:t xml:space="preserve"> unchanged (unless otherwise notified)</w:t>
      </w:r>
      <w:r w:rsidRPr="6CB66D62" w:rsidR="00052BA4">
        <w:rPr>
          <w:b w:val="0"/>
          <w:bCs w:val="0"/>
          <w:lang w:val="en-US"/>
        </w:rPr>
        <w:t>.</w:t>
      </w:r>
    </w:p>
    <w:p w:rsidRPr="008D397F" w:rsidR="00052BA4" w:rsidP="6CB66D62" w:rsidRDefault="00052BA4" w14:paraId="168386F2" w14:textId="14FAAF3A">
      <w:pPr>
        <w:pStyle w:val="ListParagraph"/>
        <w:numPr>
          <w:ilvl w:val="0"/>
          <w:numId w:val="2"/>
        </w:numPr>
        <w:rPr>
          <w:lang w:val="en-US"/>
        </w:rPr>
      </w:pPr>
      <w:r w:rsidRPr="6CB66D62" w:rsidR="00052BA4">
        <w:rPr>
          <w:b w:val="1"/>
          <w:bCs w:val="1"/>
          <w:lang w:val="en-US"/>
        </w:rPr>
        <w:t>Login:</w:t>
      </w:r>
      <w:r w:rsidRPr="6CB66D62" w:rsidR="00052BA4">
        <w:rPr>
          <w:b w:val="0"/>
          <w:bCs w:val="0"/>
          <w:lang w:val="en-US"/>
        </w:rPr>
        <w:t xml:space="preserve"> </w:t>
      </w:r>
      <w:r w:rsidRPr="6CB66D62" w:rsidR="7181CD86">
        <w:rPr>
          <w:rFonts w:ascii="Arial" w:hAnsi="Arial" w:eastAsia="Arial" w:cs="Arial"/>
          <w:b w:val="0"/>
          <w:bCs w:val="0"/>
          <w:noProof w:val="0"/>
          <w:sz w:val="22"/>
          <w:szCs w:val="22"/>
          <w:lang w:val="en-US"/>
        </w:rPr>
        <w:t xml:space="preserve">In the coming months, you </w:t>
      </w:r>
      <w:r w:rsidRPr="6CB66D62" w:rsidR="7181CD86">
        <w:rPr>
          <w:rFonts w:ascii="Arial" w:hAnsi="Arial" w:eastAsia="Arial" w:cs="Arial"/>
          <w:b w:val="0"/>
          <w:bCs w:val="0"/>
          <w:noProof w:val="0"/>
          <w:sz w:val="22"/>
          <w:szCs w:val="22"/>
          <w:lang w:val="en-US"/>
        </w:rPr>
        <w:t>are</w:t>
      </w:r>
      <w:r w:rsidRPr="6CB66D62" w:rsidR="7181CD86">
        <w:rPr>
          <w:rFonts w:ascii="Arial" w:hAnsi="Arial" w:eastAsia="Arial" w:cs="Arial"/>
          <w:b w:val="0"/>
          <w:bCs w:val="0"/>
          <w:noProof w:val="0"/>
          <w:sz w:val="22"/>
          <w:szCs w:val="22"/>
          <w:lang w:val="en-US"/>
        </w:rPr>
        <w:t xml:space="preserve"> require</w:t>
      </w:r>
      <w:r w:rsidRPr="6CB66D62" w:rsidR="7181CD86">
        <w:rPr>
          <w:rFonts w:ascii="Arial" w:hAnsi="Arial" w:eastAsia="Arial" w:cs="Arial"/>
          <w:b w:val="0"/>
          <w:bCs w:val="0"/>
          <w:noProof w:val="0"/>
          <w:sz w:val="22"/>
          <w:szCs w:val="22"/>
          <w:lang w:val="en-US"/>
        </w:rPr>
        <w:t>d to</w:t>
      </w:r>
      <w:r w:rsidRPr="6CB66D62" w:rsidR="7181CD86">
        <w:rPr>
          <w:rFonts w:ascii="Arial" w:hAnsi="Arial" w:eastAsia="Arial" w:cs="Arial"/>
          <w:b w:val="0"/>
          <w:bCs w:val="0"/>
          <w:noProof w:val="0"/>
          <w:sz w:val="22"/>
          <w:szCs w:val="22"/>
          <w:lang w:val="en-US"/>
        </w:rPr>
        <w:t xml:space="preserve"> complete the first-time login on the HealthEquity portal</w:t>
      </w:r>
      <w:r w:rsidRPr="6CB66D62" w:rsidR="00052BA4">
        <w:rPr>
          <w:b w:val="0"/>
          <w:bCs w:val="0"/>
          <w:lang w:val="en-US"/>
        </w:rPr>
        <w:t>.</w:t>
      </w:r>
    </w:p>
    <w:p w:rsidRPr="008D397F" w:rsidR="00052BA4" w:rsidP="6CB66D62" w:rsidRDefault="00052BA4" w14:paraId="4EDCA2B1" w14:textId="263CE481">
      <w:pPr>
        <w:pStyle w:val="ListParagraph"/>
        <w:numPr>
          <w:ilvl w:val="0"/>
          <w:numId w:val="2"/>
        </w:numPr>
        <w:rPr>
          <w:b w:val="0"/>
          <w:bCs w:val="0"/>
          <w:lang w:val="en-US"/>
        </w:rPr>
      </w:pPr>
      <w:r w:rsidRPr="6CB66D62" w:rsidR="00052BA4">
        <w:rPr>
          <w:b w:val="1"/>
          <w:bCs w:val="1"/>
          <w:lang w:val="en-US"/>
        </w:rPr>
        <w:t xml:space="preserve">Single Sign-On (SSO): </w:t>
      </w:r>
      <w:r w:rsidRPr="6CB66D62" w:rsidR="59966F88">
        <w:rPr>
          <w:rFonts w:ascii="Arial" w:hAnsi="Arial" w:eastAsia="Arial" w:cs="Arial"/>
          <w:b w:val="0"/>
          <w:bCs w:val="0"/>
          <w:noProof w:val="0"/>
          <w:sz w:val="22"/>
          <w:szCs w:val="22"/>
          <w:lang w:val="en-US"/>
        </w:rPr>
        <w:t>You’ll</w:t>
      </w:r>
      <w:r w:rsidRPr="6CB66D62" w:rsidR="59966F88">
        <w:rPr>
          <w:rFonts w:ascii="Arial" w:hAnsi="Arial" w:eastAsia="Arial" w:cs="Arial"/>
          <w:b w:val="0"/>
          <w:bCs w:val="0"/>
          <w:noProof w:val="0"/>
          <w:sz w:val="22"/>
          <w:szCs w:val="22"/>
          <w:lang w:val="en-US"/>
        </w:rPr>
        <w:t xml:space="preserve"> continue to access your account through the CareFirst portal, but first-time login to the HealthEquity portal is required</w:t>
      </w:r>
      <w:r w:rsidRPr="6CB66D62" w:rsidR="00052BA4">
        <w:rPr>
          <w:b w:val="0"/>
          <w:bCs w:val="0"/>
          <w:lang w:val="en-US"/>
        </w:rPr>
        <w:t xml:space="preserve">. </w:t>
      </w:r>
    </w:p>
    <w:p w:rsidRPr="008D397F" w:rsidR="00052BA4" w:rsidP="733BF18A" w:rsidRDefault="00052BA4" w14:paraId="015A43A9" w14:textId="3591E995">
      <w:pPr>
        <w:pStyle w:val="ListParagraph"/>
        <w:numPr>
          <w:ilvl w:val="0"/>
          <w:numId w:val="2"/>
        </w:numPr>
        <w:rPr>
          <w:b w:val="1"/>
          <w:bCs w:val="1"/>
          <w:lang w:val="en-US"/>
        </w:rPr>
      </w:pPr>
      <w:r w:rsidRPr="6CB66D62" w:rsidR="00052BA4">
        <w:rPr>
          <w:b w:val="1"/>
          <w:bCs w:val="1"/>
          <w:lang w:val="en-US"/>
        </w:rPr>
        <w:t xml:space="preserve">Debit Card: </w:t>
      </w:r>
      <w:r w:rsidRPr="6CB66D62" w:rsidR="58A4AE0B">
        <w:rPr>
          <w:lang w:val="en-US"/>
        </w:rPr>
        <w:t xml:space="preserve">Eligible </w:t>
      </w:r>
      <w:r w:rsidRPr="6CB66D62" w:rsidR="00052BA4">
        <w:rPr>
          <w:lang w:val="en-US"/>
        </w:rPr>
        <w:t>members will receive a new HealthEquity Visa® Card</w:t>
      </w:r>
      <w:r w:rsidRPr="6CB66D62" w:rsidR="00052BA4">
        <w:rPr>
          <w:vertAlign w:val="superscript"/>
          <w:lang w:val="en-US"/>
        </w:rPr>
        <w:t>1</w:t>
      </w:r>
      <w:r w:rsidRPr="6CB66D62" w:rsidR="00052BA4">
        <w:rPr>
          <w:lang w:val="en-US"/>
        </w:rPr>
        <w:t>.</w:t>
      </w:r>
    </w:p>
    <w:p w:rsidRPr="008D397F" w:rsidR="00052BA4" w:rsidP="00052BA4" w:rsidRDefault="00052BA4" w14:paraId="7EE25852" w14:textId="77777777">
      <w:pPr>
        <w:pStyle w:val="ListParagraph"/>
        <w:numPr>
          <w:ilvl w:val="0"/>
          <w:numId w:val="2"/>
        </w:numPr>
        <w:rPr/>
      </w:pPr>
      <w:r w:rsidRPr="6CB66D62" w:rsidR="00052BA4">
        <w:rPr>
          <w:b w:val="1"/>
          <w:bCs w:val="1"/>
        </w:rPr>
        <w:t xml:space="preserve">Investments: </w:t>
      </w:r>
      <w:r w:rsidR="00052BA4">
        <w:rPr/>
        <w:t>All HSA investments</w:t>
      </w:r>
      <w:r w:rsidRPr="6CB66D62" w:rsidR="00052BA4">
        <w:rPr>
          <w:vertAlign w:val="superscript"/>
        </w:rPr>
        <w:t>2</w:t>
      </w:r>
      <w:r w:rsidR="00052BA4">
        <w:rPr/>
        <w:t xml:space="preserve"> will transfer in-kind.</w:t>
      </w:r>
    </w:p>
    <w:p w:rsidRPr="008D397F" w:rsidR="002F6C2C" w:rsidP="002F6C2C" w:rsidRDefault="002F6C2C" w14:paraId="720CEFBE" w14:textId="7933CE6D"/>
    <w:p w:rsidRPr="008D397F" w:rsidR="00052BA4" w:rsidRDefault="009A6C5F" w14:paraId="540D2A2F" w14:textId="1C4DD38C">
      <w:pPr>
        <w:rPr>
          <w:b/>
          <w:bCs/>
        </w:rPr>
      </w:pPr>
      <w:r w:rsidRPr="008D397F">
        <w:rPr>
          <w:b/>
          <w:bCs/>
        </w:rPr>
        <w:t>Branding Changes</w:t>
      </w:r>
    </w:p>
    <w:p w:rsidRPr="008D397F" w:rsidR="009A6C5F" w:rsidRDefault="006F2D6C" w14:paraId="128FA475" w14:textId="280F97B4">
      <w:r w:rsidR="006F2D6C">
        <w:rPr/>
        <w:t xml:space="preserve">In partnership with CareFirst, </w:t>
      </w:r>
      <w:r w:rsidR="752E69C4">
        <w:rPr/>
        <w:t>you</w:t>
      </w:r>
      <w:r w:rsidR="006F2D6C">
        <w:rPr/>
        <w:t xml:space="preserve"> will transition to a co-branded HealthEquity/CareFirst experience on welcome letters, debit cards, and the portal.</w:t>
      </w:r>
    </w:p>
    <w:p w:rsidRPr="008D397F" w:rsidR="00052BA4" w:rsidRDefault="00052BA4" w14:paraId="752BC78D" w14:textId="77777777"/>
    <w:p w:rsidRPr="008D397F" w:rsidR="00FE4F0D" w:rsidRDefault="00FE4F0D" w14:paraId="3C4D40AF" w14:textId="77777777"/>
    <w:p w:rsidR="19735F96" w:rsidP="6CB66D62" w:rsidRDefault="19735F96" w14:paraId="7A33D693" w14:textId="53AF2736">
      <w:pPr>
        <w:rPr>
          <w:rFonts w:ascii="Arial" w:hAnsi="Arial" w:eastAsia="Arial" w:cs="Arial"/>
          <w:b w:val="1"/>
          <w:bCs w:val="1"/>
          <w:noProof w:val="0"/>
          <w:sz w:val="22"/>
          <w:szCs w:val="22"/>
          <w:lang w:val="en"/>
        </w:rPr>
      </w:pPr>
      <w:r w:rsidRPr="6CB66D62" w:rsidR="19735F96">
        <w:rPr>
          <w:rFonts w:ascii="Arial" w:hAnsi="Arial" w:eastAsia="Arial" w:cs="Arial"/>
          <w:b w:val="1"/>
          <w:bCs w:val="1"/>
          <w:noProof w:val="0"/>
          <w:sz w:val="22"/>
          <w:szCs w:val="22"/>
          <w:lang w:val="en"/>
        </w:rPr>
        <w:t>Member Transition Timeline</w:t>
      </w:r>
    </w:p>
    <w:p w:rsidRPr="008D397F" w:rsidR="006116EB" w:rsidP="6CB66D62" w:rsidRDefault="006116EB" w14:paraId="771E9F23" w14:textId="4F70CA46">
      <w:pPr/>
      <w:r w:rsidR="006116EB">
        <w:rPr/>
        <w:t xml:space="preserve">The following is the client transition timeline for your </w:t>
      </w:r>
      <w:r w:rsidRPr="6CB66D62" w:rsidR="006116EB">
        <w:rPr>
          <w:b w:val="1"/>
          <w:bCs w:val="1"/>
        </w:rPr>
        <w:t>HSA</w:t>
      </w:r>
      <w:r w:rsidRPr="6CB66D62" w:rsidR="3B223439">
        <w:rPr>
          <w:b w:val="1"/>
          <w:bCs w:val="1"/>
        </w:rPr>
        <w:t>, FSA, and HRA</w:t>
      </w:r>
      <w:r w:rsidR="006116EB">
        <w:rPr/>
        <w:t xml:space="preserve"> benefits.</w:t>
      </w:r>
    </w:p>
    <w:p w:rsidRPr="008D397F" w:rsidR="004D7CEB" w:rsidP="6CB66D62" w:rsidRDefault="004D7CEB" w14:paraId="75B09591" w14:textId="6624CB48">
      <w:pPr/>
    </w:p>
    <w:tbl>
      <w:tblPr>
        <w:tblStyle w:val="TableNormal"/>
        <w:bidiVisual w:val="0"/>
        <w:tblW w:w="0" w:type="auto"/>
        <w:tblLook w:val="04A0" w:firstRow="1" w:lastRow="0" w:firstColumn="1" w:lastColumn="0" w:noHBand="0" w:noVBand="1"/>
      </w:tblPr>
      <w:tblGrid>
        <w:gridCol w:w="2130"/>
        <w:gridCol w:w="1935"/>
        <w:gridCol w:w="5535"/>
      </w:tblGrid>
      <w:tr w:rsidR="6CB66D62" w:rsidTr="6CB66D62" w14:paraId="3E104107">
        <w:trPr>
          <w:trHeight w:val="420"/>
        </w:trPr>
        <w:tc>
          <w:tcPr>
            <w:tcW w:w="2130" w:type="dxa"/>
            <w:tcBorders>
              <w:top w:val="single" w:color="000000" w:themeColor="text1" w:sz="8"/>
              <w:left w:val="single" w:color="000000" w:themeColor="text1" w:sz="8"/>
              <w:bottom w:val="single" w:color="000000" w:themeColor="text1" w:sz="8"/>
              <w:right w:val="nil"/>
            </w:tcBorders>
            <w:tcMar>
              <w:top w:w="15" w:type="dxa"/>
              <w:left w:w="108" w:type="dxa"/>
              <w:bottom w:w="15" w:type="dxa"/>
              <w:right w:w="108" w:type="dxa"/>
            </w:tcMar>
            <w:vAlign w:val="top"/>
          </w:tcPr>
          <w:p w:rsidR="6CB66D62" w:rsidP="6CB66D62" w:rsidRDefault="6CB66D62" w14:paraId="75662216" w14:textId="048EDA36">
            <w:pPr>
              <w:spacing w:before="0" w:beforeAutospacing="off" w:after="0" w:afterAutospacing="off"/>
            </w:pPr>
            <w:r w:rsidRPr="6CB66D62" w:rsidR="6CB66D62">
              <w:rPr>
                <w:rFonts w:ascii="Aptos Narrow" w:hAnsi="Aptos Narrow" w:eastAsia="Aptos Narrow" w:cs="Aptos Narrow"/>
                <w:b w:val="1"/>
                <w:bCs w:val="1"/>
                <w:sz w:val="24"/>
                <w:szCs w:val="24"/>
              </w:rPr>
              <w:t>Date</w:t>
            </w:r>
          </w:p>
        </w:tc>
        <w:tc>
          <w:tcPr>
            <w:tcW w:w="1935" w:type="dxa"/>
            <w:tcBorders>
              <w:top w:val="single" w:color="000000" w:themeColor="text1" w:sz="8"/>
              <w:left w:val="single" w:color="000000" w:themeColor="text1" w:sz="8"/>
              <w:bottom w:val="single" w:color="000000" w:themeColor="text1" w:sz="8"/>
              <w:right w:val="nil"/>
            </w:tcBorders>
            <w:tcMar>
              <w:top w:w="15" w:type="dxa"/>
              <w:left w:w="108" w:type="dxa"/>
              <w:bottom w:w="15" w:type="dxa"/>
              <w:right w:w="108" w:type="dxa"/>
            </w:tcMar>
            <w:vAlign w:val="top"/>
          </w:tcPr>
          <w:p w:rsidR="6CB66D62" w:rsidP="6CB66D62" w:rsidRDefault="6CB66D62" w14:paraId="5A534725" w14:textId="7F16AF7B">
            <w:pPr>
              <w:spacing w:before="0" w:beforeAutospacing="off" w:after="0" w:afterAutospacing="off"/>
            </w:pPr>
            <w:r w:rsidRPr="6CB66D62" w:rsidR="6CB66D62">
              <w:rPr>
                <w:rFonts w:ascii="Aptos Narrow" w:hAnsi="Aptos Narrow" w:eastAsia="Aptos Narrow" w:cs="Aptos Narrow"/>
                <w:b w:val="1"/>
                <w:bCs w:val="1"/>
                <w:color w:val="000000" w:themeColor="text1" w:themeTint="FF" w:themeShade="FF"/>
                <w:sz w:val="24"/>
                <w:szCs w:val="24"/>
              </w:rPr>
              <w:t>Benefits</w:t>
            </w:r>
          </w:p>
        </w:tc>
        <w:tc>
          <w:tcPr>
            <w:tcW w:w="5535" w:type="dxa"/>
            <w:tcBorders>
              <w:top w:val="single" w:color="000000" w:themeColor="text1" w:sz="8"/>
              <w:left w:val="single" w:color="000000" w:themeColor="text1" w:sz="8"/>
              <w:bottom w:val="single" w:color="000000" w:themeColor="text1" w:sz="8"/>
              <w:right w:val="single" w:color="000000" w:themeColor="text1" w:sz="8"/>
            </w:tcBorders>
            <w:tcMar>
              <w:top w:w="15" w:type="dxa"/>
              <w:left w:w="108" w:type="dxa"/>
              <w:bottom w:w="15" w:type="dxa"/>
              <w:right w:w="108" w:type="dxa"/>
            </w:tcMar>
            <w:vAlign w:val="top"/>
          </w:tcPr>
          <w:p w:rsidR="6CB66D62" w:rsidP="6CB66D62" w:rsidRDefault="6CB66D62" w14:paraId="61A72A80" w14:textId="3A088686">
            <w:pPr>
              <w:spacing w:before="0" w:beforeAutospacing="off" w:after="0" w:afterAutospacing="off"/>
            </w:pPr>
            <w:r w:rsidRPr="6CB66D62" w:rsidR="6CB66D62">
              <w:rPr>
                <w:rFonts w:ascii="Aptos Narrow" w:hAnsi="Aptos Narrow" w:eastAsia="Aptos Narrow" w:cs="Aptos Narrow"/>
                <w:b w:val="1"/>
                <w:bCs w:val="1"/>
                <w:color w:val="000000" w:themeColor="text1" w:themeTint="FF" w:themeShade="FF"/>
                <w:sz w:val="24"/>
                <w:szCs w:val="24"/>
              </w:rPr>
              <w:t>Milestone</w:t>
            </w:r>
          </w:p>
        </w:tc>
      </w:tr>
      <w:tr w:rsidR="6CB66D62" w:rsidTr="6CB66D62" w14:paraId="787A7205">
        <w:trPr>
          <w:trHeight w:val="420"/>
        </w:trPr>
        <w:tc>
          <w:tcPr>
            <w:tcW w:w="2130" w:type="dxa"/>
            <w:tcBorders>
              <w:top w:val="single" w:color="000000" w:themeColor="text1" w:sz="8"/>
              <w:left w:val="single" w:color="000000" w:themeColor="text1" w:sz="8"/>
              <w:bottom w:val="single" w:color="000000" w:themeColor="text1" w:sz="8"/>
              <w:right w:val="single" w:color="000000" w:themeColor="text1" w:sz="8"/>
            </w:tcBorders>
            <w:tcMar>
              <w:top w:w="15" w:type="dxa"/>
              <w:left w:w="108" w:type="dxa"/>
              <w:bottom w:w="15" w:type="dxa"/>
              <w:right w:w="108" w:type="dxa"/>
            </w:tcMar>
            <w:vAlign w:val="top"/>
          </w:tcPr>
          <w:p w:rsidR="6CB66D62" w:rsidP="6CB66D62" w:rsidRDefault="6CB66D62" w14:paraId="56260AB8" w14:textId="5333C6D3">
            <w:pPr>
              <w:spacing w:before="0" w:beforeAutospacing="off" w:after="0" w:afterAutospacing="off"/>
              <w:rPr>
                <w:rFonts w:ascii="Aptos Narrow" w:hAnsi="Aptos Narrow" w:eastAsia="Aptos Narrow" w:cs="Aptos Narrow"/>
                <w:b w:val="1"/>
                <w:bCs w:val="1"/>
                <w:color w:val="auto"/>
                <w:sz w:val="22"/>
                <w:szCs w:val="22"/>
              </w:rPr>
            </w:pPr>
            <w:r w:rsidRPr="6CB66D62" w:rsidR="6CB66D62">
              <w:rPr>
                <w:rFonts w:ascii="Aptos Narrow" w:hAnsi="Aptos Narrow" w:eastAsia="Aptos Narrow" w:cs="Aptos Narrow"/>
                <w:b w:val="1"/>
                <w:bCs w:val="1"/>
                <w:color w:val="auto"/>
                <w:sz w:val="22"/>
                <w:szCs w:val="22"/>
              </w:rPr>
              <w:t>Week of June 1, 2026</w:t>
            </w:r>
          </w:p>
        </w:tc>
        <w:tc>
          <w:tcPr>
            <w:tcW w:w="1935" w:type="dxa"/>
            <w:tcBorders>
              <w:top w:val="single" w:color="000000" w:themeColor="text1" w:sz="8"/>
              <w:left w:val="single" w:color="000000" w:themeColor="text1" w:sz="8"/>
              <w:bottom w:val="single" w:color="000000" w:themeColor="text1" w:sz="8"/>
              <w:right w:val="single" w:color="000000" w:themeColor="text1" w:sz="8"/>
            </w:tcBorders>
            <w:tcMar>
              <w:top w:w="15" w:type="dxa"/>
              <w:left w:w="108" w:type="dxa"/>
              <w:bottom w:w="15" w:type="dxa"/>
              <w:right w:w="108" w:type="dxa"/>
            </w:tcMar>
            <w:vAlign w:val="top"/>
          </w:tcPr>
          <w:p w:rsidR="6CB66D62" w:rsidP="6CB66D62" w:rsidRDefault="6CB66D62" w14:paraId="7F110FD1" w14:textId="009B61EE">
            <w:pPr>
              <w:spacing w:before="0" w:beforeAutospacing="off" w:after="0" w:afterAutospacing="off"/>
            </w:pPr>
            <w:r w:rsidRPr="6CB66D62" w:rsidR="6CB66D62">
              <w:rPr>
                <w:rFonts w:ascii="Aptos Narrow" w:hAnsi="Aptos Narrow" w:eastAsia="Aptos Narrow" w:cs="Aptos Narrow"/>
                <w:color w:val="000000" w:themeColor="text1" w:themeTint="FF" w:themeShade="FF"/>
                <w:sz w:val="22"/>
                <w:szCs w:val="22"/>
              </w:rPr>
              <w:t>All</w:t>
            </w:r>
          </w:p>
        </w:tc>
        <w:tc>
          <w:tcPr>
            <w:tcW w:w="5535" w:type="dxa"/>
            <w:tcBorders>
              <w:top w:val="single" w:color="000000" w:themeColor="text1" w:sz="8"/>
              <w:left w:val="single" w:color="000000" w:themeColor="text1" w:sz="8"/>
              <w:bottom w:val="single" w:color="000000" w:themeColor="text1" w:sz="8"/>
              <w:right w:val="single" w:color="000000" w:themeColor="text1" w:sz="8"/>
            </w:tcBorders>
            <w:tcMar>
              <w:top w:w="15" w:type="dxa"/>
              <w:left w:w="108" w:type="dxa"/>
              <w:bottom w:w="15" w:type="dxa"/>
              <w:right w:w="108" w:type="dxa"/>
            </w:tcMar>
            <w:vAlign w:val="top"/>
          </w:tcPr>
          <w:p w:rsidR="6CB66D62" w:rsidP="6CB66D62" w:rsidRDefault="6CB66D62" w14:paraId="02D6E8C8" w14:textId="6F4D3B7B">
            <w:pPr>
              <w:spacing w:before="0" w:beforeAutospacing="off" w:after="0" w:afterAutospacing="off"/>
            </w:pPr>
            <w:r w:rsidRPr="6CB66D62" w:rsidR="6CB66D62">
              <w:rPr>
                <w:rFonts w:ascii="Aptos Narrow" w:hAnsi="Aptos Narrow" w:eastAsia="Aptos Narrow" w:cs="Aptos Narrow"/>
                <w:color w:val="000000" w:themeColor="text1" w:themeTint="FF" w:themeShade="FF"/>
                <w:sz w:val="22"/>
                <w:szCs w:val="22"/>
                <w:lang w:val="en-US"/>
              </w:rPr>
              <w:t xml:space="preserve">Members </w:t>
            </w:r>
            <w:r w:rsidRPr="6CB66D62" w:rsidR="6CB66D62">
              <w:rPr>
                <w:rFonts w:ascii="Aptos Narrow" w:hAnsi="Aptos Narrow" w:eastAsia="Aptos Narrow" w:cs="Aptos Narrow"/>
                <w:color w:val="000000" w:themeColor="text1" w:themeTint="FF" w:themeShade="FF"/>
                <w:sz w:val="22"/>
                <w:szCs w:val="22"/>
                <w:lang w:val="en-US"/>
              </w:rPr>
              <w:t>notified</w:t>
            </w:r>
            <w:r w:rsidRPr="6CB66D62" w:rsidR="6CB66D62">
              <w:rPr>
                <w:rFonts w:ascii="Aptos Narrow" w:hAnsi="Aptos Narrow" w:eastAsia="Aptos Narrow" w:cs="Aptos Narrow"/>
                <w:color w:val="000000" w:themeColor="text1" w:themeTint="FF" w:themeShade="FF"/>
                <w:sz w:val="22"/>
                <w:szCs w:val="22"/>
                <w:lang w:val="en-US"/>
              </w:rPr>
              <w:t xml:space="preserve"> of the transition.</w:t>
            </w:r>
          </w:p>
        </w:tc>
      </w:tr>
      <w:tr w:rsidR="6CB66D62" w:rsidTr="6CB66D62" w14:paraId="064F6C69">
        <w:trPr>
          <w:trHeight w:val="960"/>
        </w:trPr>
        <w:tc>
          <w:tcPr>
            <w:tcW w:w="2130" w:type="dxa"/>
            <w:tcBorders>
              <w:top w:val="single" w:color="000000" w:themeColor="text1" w:sz="8"/>
              <w:left w:val="single" w:color="000000" w:themeColor="text1" w:sz="8"/>
              <w:bottom w:val="nil"/>
              <w:right w:val="single" w:color="000000" w:themeColor="text1" w:sz="8"/>
            </w:tcBorders>
            <w:tcMar>
              <w:top w:w="15" w:type="dxa"/>
              <w:left w:w="108" w:type="dxa"/>
              <w:bottom w:w="15" w:type="dxa"/>
              <w:right w:w="108" w:type="dxa"/>
            </w:tcMar>
            <w:vAlign w:val="top"/>
          </w:tcPr>
          <w:p w:rsidR="6CB66D62" w:rsidP="6CB66D62" w:rsidRDefault="6CB66D62" w14:paraId="7BAE15C9" w14:textId="0AF85341">
            <w:pPr>
              <w:spacing w:before="0" w:beforeAutospacing="off" w:after="0" w:afterAutospacing="off"/>
              <w:rPr>
                <w:rFonts w:ascii="Aptos Narrow" w:hAnsi="Aptos Narrow" w:eastAsia="Aptos Narrow" w:cs="Aptos Narrow"/>
                <w:b w:val="1"/>
                <w:bCs w:val="1"/>
                <w:color w:val="auto"/>
                <w:sz w:val="22"/>
                <w:szCs w:val="22"/>
              </w:rPr>
            </w:pPr>
            <w:r w:rsidRPr="6CB66D62" w:rsidR="6CB66D62">
              <w:rPr>
                <w:rFonts w:ascii="Aptos Narrow" w:hAnsi="Aptos Narrow" w:eastAsia="Aptos Narrow" w:cs="Aptos Narrow"/>
                <w:b w:val="1"/>
                <w:bCs w:val="1"/>
                <w:color w:val="auto"/>
                <w:sz w:val="22"/>
                <w:szCs w:val="22"/>
              </w:rPr>
              <w:t>Week of August 10, 2026</w:t>
            </w:r>
          </w:p>
        </w:tc>
        <w:tc>
          <w:tcPr>
            <w:tcW w:w="1935" w:type="dxa"/>
            <w:tcBorders>
              <w:top w:val="single" w:color="000000" w:themeColor="text1" w:sz="8"/>
              <w:left w:val="single" w:color="000000" w:themeColor="text1" w:sz="8"/>
              <w:bottom w:val="single" w:color="000000" w:themeColor="text1" w:sz="8"/>
              <w:right w:val="single" w:color="000000" w:themeColor="text1" w:sz="8"/>
            </w:tcBorders>
            <w:tcMar>
              <w:top w:w="15" w:type="dxa"/>
              <w:left w:w="108" w:type="dxa"/>
              <w:bottom w:w="15" w:type="dxa"/>
              <w:right w:w="108" w:type="dxa"/>
            </w:tcMar>
            <w:vAlign w:val="top"/>
          </w:tcPr>
          <w:p w:rsidR="6CB66D62" w:rsidP="6CB66D62" w:rsidRDefault="6CB66D62" w14:paraId="30E54DE7" w14:textId="7017EA4C">
            <w:pPr>
              <w:spacing w:before="0" w:beforeAutospacing="off" w:after="0" w:afterAutospacing="off"/>
            </w:pPr>
            <w:r w:rsidRPr="6CB66D62" w:rsidR="6CB66D62">
              <w:rPr>
                <w:rFonts w:ascii="Aptos Narrow" w:hAnsi="Aptos Narrow" w:eastAsia="Aptos Narrow" w:cs="Aptos Narrow"/>
                <w:color w:val="000000" w:themeColor="text1" w:themeTint="FF" w:themeShade="FF"/>
                <w:sz w:val="22"/>
                <w:szCs w:val="22"/>
              </w:rPr>
              <w:t>All</w:t>
            </w:r>
          </w:p>
        </w:tc>
        <w:tc>
          <w:tcPr>
            <w:tcW w:w="5535" w:type="dxa"/>
            <w:tcBorders>
              <w:top w:val="single" w:color="000000" w:themeColor="text1" w:sz="8"/>
              <w:left w:val="single" w:color="000000" w:themeColor="text1" w:sz="8"/>
              <w:bottom w:val="nil"/>
              <w:right w:val="single" w:color="000000" w:themeColor="text1" w:sz="8"/>
            </w:tcBorders>
            <w:tcMar>
              <w:top w:w="15" w:type="dxa"/>
              <w:left w:w="108" w:type="dxa"/>
              <w:bottom w:w="15" w:type="dxa"/>
              <w:right w:w="108" w:type="dxa"/>
            </w:tcMar>
            <w:vAlign w:val="top"/>
          </w:tcPr>
          <w:p w:rsidR="6CB66D62" w:rsidP="6CB66D62" w:rsidRDefault="6CB66D62" w14:paraId="0868EAF8" w14:textId="1BBB5F19">
            <w:pPr>
              <w:spacing w:before="0" w:beforeAutospacing="off" w:after="0" w:afterAutospacing="off"/>
            </w:pPr>
            <w:r w:rsidRPr="6CB66D62" w:rsidR="6CB66D62">
              <w:rPr>
                <w:rFonts w:ascii="Aptos Narrow" w:hAnsi="Aptos Narrow" w:eastAsia="Aptos Narrow" w:cs="Aptos Narrow"/>
                <w:color w:val="000000" w:themeColor="text1" w:themeTint="FF" w:themeShade="FF"/>
                <w:sz w:val="22"/>
                <w:szCs w:val="22"/>
              </w:rPr>
              <w:t>HealthEquity begins mailing Welcome Letters, which include first-time login instructions to the HealthEquity portal. Eligible members will also receive a Card Package with a HealthEquity Visa® Card</w:t>
            </w:r>
            <w:r w:rsidRPr="6CB66D62" w:rsidR="6CB66D62">
              <w:rPr>
                <w:rFonts w:ascii="Aptos" w:hAnsi="Aptos" w:eastAsia="Aptos" w:cs="Aptos"/>
                <w:sz w:val="24"/>
                <w:szCs w:val="24"/>
                <w:vertAlign w:val="superscript"/>
              </w:rPr>
              <w:t xml:space="preserve"> 1</w:t>
            </w:r>
            <w:r w:rsidRPr="6CB66D62" w:rsidR="6CB66D62">
              <w:rPr>
                <w:rFonts w:ascii="Aptos Narrow" w:hAnsi="Aptos Narrow" w:eastAsia="Aptos Narrow" w:cs="Aptos Narrow"/>
                <w:color w:val="000000" w:themeColor="text1" w:themeTint="FF" w:themeShade="FF"/>
                <w:sz w:val="22"/>
                <w:szCs w:val="22"/>
              </w:rPr>
              <w:t xml:space="preserve">. </w:t>
            </w:r>
          </w:p>
        </w:tc>
      </w:tr>
      <w:tr w:rsidR="6CB66D62" w:rsidTr="6CB66D62" w14:paraId="620C1D36">
        <w:trPr>
          <w:trHeight w:val="1110"/>
        </w:trPr>
        <w:tc>
          <w:tcPr>
            <w:tcW w:w="2130" w:type="dxa"/>
            <w:tcBorders>
              <w:top w:val="single" w:color="000000" w:themeColor="text1" w:sz="8"/>
              <w:left w:val="single" w:color="000000" w:themeColor="text1" w:sz="8"/>
              <w:bottom w:val="nil"/>
              <w:right w:val="nil"/>
            </w:tcBorders>
            <w:tcMar>
              <w:top w:w="15" w:type="dxa"/>
              <w:left w:w="108" w:type="dxa"/>
              <w:bottom w:w="15" w:type="dxa"/>
              <w:right w:w="108" w:type="dxa"/>
            </w:tcMar>
            <w:vAlign w:val="top"/>
          </w:tcPr>
          <w:p w:rsidR="6CB66D62" w:rsidP="6CB66D62" w:rsidRDefault="6CB66D62" w14:paraId="6AEE6392" w14:textId="4DCE2891">
            <w:pPr>
              <w:spacing w:before="0" w:beforeAutospacing="off" w:after="0" w:afterAutospacing="off"/>
              <w:rPr>
                <w:rFonts w:ascii="Aptos Narrow" w:hAnsi="Aptos Narrow" w:eastAsia="Aptos Narrow" w:cs="Aptos Narrow"/>
                <w:b w:val="1"/>
                <w:bCs w:val="1"/>
                <w:color w:val="auto"/>
                <w:sz w:val="22"/>
                <w:szCs w:val="22"/>
              </w:rPr>
            </w:pPr>
            <w:r w:rsidRPr="6CB66D62" w:rsidR="6CB66D62">
              <w:rPr>
                <w:rFonts w:ascii="Aptos Narrow" w:hAnsi="Aptos Narrow" w:eastAsia="Aptos Narrow" w:cs="Aptos Narrow"/>
                <w:b w:val="1"/>
                <w:bCs w:val="1"/>
                <w:color w:val="auto"/>
                <w:sz w:val="22"/>
                <w:szCs w:val="22"/>
              </w:rPr>
              <w:t>Beginning August 10, 2026</w:t>
            </w:r>
          </w:p>
        </w:tc>
        <w:tc>
          <w:tcPr>
            <w:tcW w:w="1935" w:type="dxa"/>
            <w:tcBorders>
              <w:top w:val="single" w:color="000000" w:themeColor="text1" w:sz="8"/>
              <w:left w:val="single" w:color="000000" w:themeColor="text1" w:sz="8"/>
              <w:bottom w:val="single" w:color="000000" w:themeColor="text1" w:sz="8"/>
              <w:right w:val="single" w:color="000000" w:themeColor="text1" w:sz="8"/>
            </w:tcBorders>
            <w:tcMar>
              <w:top w:w="15" w:type="dxa"/>
              <w:left w:w="108" w:type="dxa"/>
              <w:bottom w:w="15" w:type="dxa"/>
              <w:right w:w="108" w:type="dxa"/>
            </w:tcMar>
            <w:vAlign w:val="top"/>
          </w:tcPr>
          <w:p w:rsidR="6CB66D62" w:rsidP="6CB66D62" w:rsidRDefault="6CB66D62" w14:paraId="17DA43AF" w14:textId="2CE656E2">
            <w:pPr>
              <w:spacing w:before="0" w:beforeAutospacing="off" w:after="0" w:afterAutospacing="off"/>
            </w:pPr>
            <w:r w:rsidRPr="6CB66D62" w:rsidR="6CB66D62">
              <w:rPr>
                <w:rFonts w:ascii="Aptos Narrow" w:hAnsi="Aptos Narrow" w:eastAsia="Aptos Narrow" w:cs="Aptos Narrow"/>
                <w:color w:val="000000" w:themeColor="text1" w:themeTint="FF" w:themeShade="FF"/>
                <w:sz w:val="22"/>
                <w:szCs w:val="22"/>
              </w:rPr>
              <w:t xml:space="preserve">HSA only </w:t>
            </w:r>
          </w:p>
        </w:tc>
        <w:tc>
          <w:tcPr>
            <w:tcW w:w="5535" w:type="dxa"/>
            <w:tcBorders>
              <w:top w:val="single" w:color="000000" w:themeColor="text1" w:sz="8"/>
              <w:left w:val="single" w:color="000000" w:themeColor="text1" w:sz="8"/>
              <w:bottom w:val="single" w:color="000000" w:themeColor="text1" w:sz="8"/>
              <w:right w:val="single" w:color="000000" w:themeColor="text1" w:sz="8"/>
            </w:tcBorders>
            <w:tcMar>
              <w:top w:w="15" w:type="dxa"/>
              <w:left w:w="108" w:type="dxa"/>
              <w:bottom w:w="15" w:type="dxa"/>
              <w:right w:w="108" w:type="dxa"/>
            </w:tcMar>
            <w:vAlign w:val="top"/>
          </w:tcPr>
          <w:p w:rsidR="6CB66D62" w:rsidP="6CB66D62" w:rsidRDefault="6CB66D62" w14:paraId="7C2DA6D9" w14:textId="37626E8D">
            <w:pPr>
              <w:spacing w:before="0" w:beforeAutospacing="off" w:after="0" w:afterAutospacing="off"/>
            </w:pPr>
            <w:r w:rsidRPr="6CB66D62" w:rsidR="6CB66D62">
              <w:rPr>
                <w:rFonts w:ascii="Aptos Narrow" w:hAnsi="Aptos Narrow" w:eastAsia="Aptos Narrow" w:cs="Aptos Narrow"/>
                <w:color w:val="000000" w:themeColor="text1" w:themeTint="FF" w:themeShade="FF"/>
                <w:sz w:val="22"/>
                <w:szCs w:val="22"/>
              </w:rPr>
              <w:t>HSA Members can make post-tax contributions on the HealthEquity portal. Members should consider contributing to their HealthEquity HSA prior to the blackout period if they need access to funds during the blackout period.</w:t>
            </w:r>
          </w:p>
        </w:tc>
      </w:tr>
      <w:tr w:rsidR="6CB66D62" w:rsidTr="6CB66D62" w14:paraId="0F12FE62">
        <w:trPr>
          <w:trHeight w:val="645"/>
        </w:trPr>
        <w:tc>
          <w:tcPr>
            <w:tcW w:w="2130" w:type="dxa"/>
            <w:tcBorders>
              <w:top w:val="single" w:color="000000" w:themeColor="text1" w:sz="8"/>
              <w:left w:val="single" w:color="000000" w:themeColor="text1" w:sz="8"/>
              <w:bottom w:val="nil"/>
              <w:right w:val="nil"/>
            </w:tcBorders>
            <w:tcMar>
              <w:top w:w="15" w:type="dxa"/>
              <w:left w:w="108" w:type="dxa"/>
              <w:bottom w:w="15" w:type="dxa"/>
              <w:right w:w="108" w:type="dxa"/>
            </w:tcMar>
            <w:vAlign w:val="top"/>
          </w:tcPr>
          <w:p w:rsidR="6CB66D62" w:rsidP="6CB66D62" w:rsidRDefault="6CB66D62" w14:paraId="540DCD21" w14:textId="0C32D556">
            <w:pPr>
              <w:spacing w:before="0" w:beforeAutospacing="off" w:after="0" w:afterAutospacing="off"/>
              <w:rPr>
                <w:rFonts w:ascii="Aptos Narrow" w:hAnsi="Aptos Narrow" w:eastAsia="Aptos Narrow" w:cs="Aptos Narrow"/>
                <w:b w:val="1"/>
                <w:bCs w:val="1"/>
                <w:color w:val="auto"/>
                <w:sz w:val="22"/>
                <w:szCs w:val="22"/>
              </w:rPr>
            </w:pPr>
            <w:r w:rsidRPr="6CB66D62" w:rsidR="6CB66D62">
              <w:rPr>
                <w:rFonts w:ascii="Aptos Narrow" w:hAnsi="Aptos Narrow" w:eastAsia="Aptos Narrow" w:cs="Aptos Narrow"/>
                <w:b w:val="1"/>
                <w:bCs w:val="1"/>
                <w:color w:val="auto"/>
                <w:sz w:val="22"/>
                <w:szCs w:val="22"/>
              </w:rPr>
              <w:t>August 21, 2026</w:t>
            </w:r>
          </w:p>
        </w:tc>
        <w:tc>
          <w:tcPr>
            <w:tcW w:w="1935" w:type="dxa"/>
            <w:tcBorders>
              <w:top w:val="single" w:color="000000" w:themeColor="text1" w:sz="8"/>
              <w:left w:val="single" w:color="000000" w:themeColor="text1" w:sz="8"/>
              <w:bottom w:val="single" w:color="000000" w:themeColor="text1" w:sz="8"/>
              <w:right w:val="single" w:color="000000" w:themeColor="text1" w:sz="8"/>
            </w:tcBorders>
            <w:tcMar>
              <w:top w:w="15" w:type="dxa"/>
              <w:left w:w="108" w:type="dxa"/>
              <w:bottom w:w="15" w:type="dxa"/>
              <w:right w:w="108" w:type="dxa"/>
            </w:tcMar>
            <w:vAlign w:val="top"/>
          </w:tcPr>
          <w:p w:rsidR="6CB66D62" w:rsidP="6CB66D62" w:rsidRDefault="6CB66D62" w14:paraId="215E3AF4" w14:textId="03E9772E">
            <w:pPr>
              <w:spacing w:before="0" w:beforeAutospacing="off" w:after="0" w:afterAutospacing="off"/>
            </w:pPr>
            <w:r w:rsidRPr="6CB66D62" w:rsidR="6CB66D62">
              <w:rPr>
                <w:rFonts w:ascii="Aptos Narrow" w:hAnsi="Aptos Narrow" w:eastAsia="Aptos Narrow" w:cs="Aptos Narrow"/>
                <w:color w:val="000000" w:themeColor="text1" w:themeTint="FF" w:themeShade="FF"/>
                <w:sz w:val="22"/>
                <w:szCs w:val="22"/>
              </w:rPr>
              <w:t>All</w:t>
            </w:r>
          </w:p>
        </w:tc>
        <w:tc>
          <w:tcPr>
            <w:tcW w:w="5535" w:type="dxa"/>
            <w:tcBorders>
              <w:top w:val="single" w:color="000000" w:themeColor="text1" w:sz="8"/>
              <w:left w:val="single" w:color="000000" w:themeColor="text1" w:sz="8"/>
              <w:bottom w:val="single" w:color="000000" w:themeColor="text1" w:sz="8"/>
              <w:right w:val="single" w:color="000000" w:themeColor="text1" w:sz="8"/>
            </w:tcBorders>
            <w:tcMar>
              <w:top w:w="15" w:type="dxa"/>
              <w:left w:w="108" w:type="dxa"/>
              <w:bottom w:w="15" w:type="dxa"/>
              <w:right w:w="108" w:type="dxa"/>
            </w:tcMar>
            <w:vAlign w:val="top"/>
          </w:tcPr>
          <w:p w:rsidR="6CB66D62" w:rsidP="6CB66D62" w:rsidRDefault="6CB66D62" w14:paraId="107D1242" w14:textId="74E3DD1F">
            <w:pPr>
              <w:spacing w:before="0" w:beforeAutospacing="off" w:after="0" w:afterAutospacing="off"/>
            </w:pPr>
            <w:r w:rsidRPr="6CB66D62" w:rsidR="6CB66D62">
              <w:rPr>
                <w:rFonts w:ascii="Aptos Narrow" w:hAnsi="Aptos Narrow" w:eastAsia="Aptos Narrow" w:cs="Aptos Narrow"/>
                <w:color w:val="000000" w:themeColor="text1" w:themeTint="FF" w:themeShade="FF"/>
                <w:sz w:val="22"/>
                <w:szCs w:val="22"/>
                <w:lang w:val="en-US"/>
              </w:rPr>
              <w:t>Final day to make Further account transactions, investment</w:t>
            </w:r>
            <w:r w:rsidRPr="6CB66D62" w:rsidR="6CB66D62">
              <w:rPr>
                <w:rFonts w:ascii="Aptos Narrow" w:hAnsi="Aptos Narrow" w:eastAsia="Aptos Narrow" w:cs="Aptos Narrow"/>
                <w:color w:val="000000" w:themeColor="text1" w:themeTint="FF" w:themeShade="FF"/>
                <w:sz w:val="22"/>
                <w:szCs w:val="22"/>
                <w:vertAlign w:val="superscript"/>
                <w:lang w:val="en-US"/>
              </w:rPr>
              <w:t>2</w:t>
            </w:r>
            <w:r w:rsidRPr="6CB66D62" w:rsidR="6CB66D62">
              <w:rPr>
                <w:rFonts w:ascii="Aptos Narrow" w:hAnsi="Aptos Narrow" w:eastAsia="Aptos Narrow" w:cs="Aptos Narrow"/>
                <w:color w:val="000000" w:themeColor="text1" w:themeTint="FF" w:themeShade="FF"/>
                <w:sz w:val="22"/>
                <w:szCs w:val="22"/>
                <w:lang w:val="en-US"/>
              </w:rPr>
              <w:t xml:space="preserve"> changes (HSA only), use CareFirst</w:t>
            </w:r>
            <w:r w:rsidRPr="6CB66D62" w:rsidR="4C9A42C2">
              <w:rPr>
                <w:rFonts w:ascii="Aptos Narrow" w:hAnsi="Aptos Narrow" w:eastAsia="Aptos Narrow" w:cs="Aptos Narrow"/>
                <w:color w:val="000000" w:themeColor="text1" w:themeTint="FF" w:themeShade="FF"/>
                <w:sz w:val="22"/>
                <w:szCs w:val="22"/>
                <w:lang w:val="en-US"/>
              </w:rPr>
              <w:t>-</w:t>
            </w:r>
            <w:r w:rsidRPr="6CB66D62" w:rsidR="6CB66D62">
              <w:rPr>
                <w:rFonts w:ascii="Aptos Narrow" w:hAnsi="Aptos Narrow" w:eastAsia="Aptos Narrow" w:cs="Aptos Narrow"/>
                <w:color w:val="000000" w:themeColor="text1" w:themeTint="FF" w:themeShade="FF"/>
                <w:sz w:val="22"/>
                <w:szCs w:val="22"/>
                <w:lang w:val="en-US"/>
              </w:rPr>
              <w:t>branded</w:t>
            </w:r>
            <w:r w:rsidRPr="6CB66D62" w:rsidR="6CB66D62">
              <w:rPr>
                <w:rFonts w:ascii="Aptos Narrow" w:hAnsi="Aptos Narrow" w:eastAsia="Aptos Narrow" w:cs="Aptos Narrow"/>
                <w:color w:val="000000" w:themeColor="text1" w:themeTint="FF" w:themeShade="FF"/>
                <w:sz w:val="22"/>
                <w:szCs w:val="22"/>
                <w:lang w:val="en-US"/>
              </w:rPr>
              <w:t xml:space="preserve"> debit cards, or </w:t>
            </w:r>
            <w:r w:rsidRPr="6CB66D62" w:rsidR="6CB66D62">
              <w:rPr>
                <w:rFonts w:ascii="Aptos Narrow" w:hAnsi="Aptos Narrow" w:eastAsia="Aptos Narrow" w:cs="Aptos Narrow"/>
                <w:color w:val="000000" w:themeColor="text1" w:themeTint="FF" w:themeShade="FF"/>
                <w:sz w:val="22"/>
                <w:szCs w:val="22"/>
                <w:lang w:val="en-US"/>
              </w:rPr>
              <w:t>submit</w:t>
            </w:r>
            <w:r w:rsidRPr="6CB66D62" w:rsidR="6CB66D62">
              <w:rPr>
                <w:rFonts w:ascii="Aptos Narrow" w:hAnsi="Aptos Narrow" w:eastAsia="Aptos Narrow" w:cs="Aptos Narrow"/>
                <w:color w:val="000000" w:themeColor="text1" w:themeTint="FF" w:themeShade="FF"/>
                <w:sz w:val="22"/>
                <w:szCs w:val="22"/>
                <w:lang w:val="en-US"/>
              </w:rPr>
              <w:t xml:space="preserve"> a claim for reimbursement. </w:t>
            </w:r>
          </w:p>
        </w:tc>
      </w:tr>
      <w:tr w:rsidR="6CB66D62" w:rsidTr="6CB66D62" w14:paraId="1FA30F17">
        <w:trPr>
          <w:trHeight w:val="330"/>
        </w:trPr>
        <w:tc>
          <w:tcPr>
            <w:tcW w:w="2130" w:type="dxa"/>
            <w:tcBorders>
              <w:top w:val="single" w:color="000000" w:themeColor="text1" w:sz="8"/>
              <w:left w:val="single" w:color="000000" w:themeColor="text1" w:sz="8"/>
              <w:bottom w:val="single" w:color="000000" w:themeColor="text1" w:sz="8"/>
              <w:right w:val="single" w:color="000000" w:themeColor="text1" w:sz="8"/>
            </w:tcBorders>
            <w:tcMar>
              <w:top w:w="15" w:type="dxa"/>
              <w:left w:w="108" w:type="dxa"/>
              <w:bottom w:w="15" w:type="dxa"/>
              <w:right w:w="108" w:type="dxa"/>
            </w:tcMar>
            <w:vAlign w:val="top"/>
          </w:tcPr>
          <w:p w:rsidR="6CB66D62" w:rsidP="6CB66D62" w:rsidRDefault="6CB66D62" w14:paraId="13EBEAF0" w14:textId="1D0CF370">
            <w:pPr>
              <w:spacing w:before="0" w:beforeAutospacing="off" w:after="0" w:afterAutospacing="off"/>
              <w:rPr>
                <w:rFonts w:ascii="Aptos Narrow" w:hAnsi="Aptos Narrow" w:eastAsia="Aptos Narrow" w:cs="Aptos Narrow"/>
                <w:b w:val="1"/>
                <w:bCs w:val="1"/>
                <w:color w:val="auto"/>
                <w:sz w:val="22"/>
                <w:szCs w:val="22"/>
              </w:rPr>
            </w:pPr>
            <w:r w:rsidRPr="6CB66D62" w:rsidR="6CB66D62">
              <w:rPr>
                <w:rFonts w:ascii="Aptos Narrow" w:hAnsi="Aptos Narrow" w:eastAsia="Aptos Narrow" w:cs="Aptos Narrow"/>
                <w:b w:val="1"/>
                <w:bCs w:val="1"/>
                <w:color w:val="auto"/>
                <w:sz w:val="22"/>
                <w:szCs w:val="22"/>
              </w:rPr>
              <w:t>August 22, 2026</w:t>
            </w:r>
          </w:p>
        </w:tc>
        <w:tc>
          <w:tcPr>
            <w:tcW w:w="1935" w:type="dxa"/>
            <w:tcBorders>
              <w:top w:val="single" w:color="000000" w:themeColor="text1" w:sz="8"/>
              <w:left w:val="single" w:color="000000" w:themeColor="text1" w:sz="8"/>
              <w:bottom w:val="single" w:color="000000" w:themeColor="text1" w:sz="8"/>
              <w:right w:val="single" w:color="000000" w:themeColor="text1" w:sz="8"/>
            </w:tcBorders>
            <w:tcMar>
              <w:top w:w="15" w:type="dxa"/>
              <w:left w:w="108" w:type="dxa"/>
              <w:bottom w:w="15" w:type="dxa"/>
              <w:right w:w="108" w:type="dxa"/>
            </w:tcMar>
            <w:vAlign w:val="top"/>
          </w:tcPr>
          <w:p w:rsidR="6CB66D62" w:rsidP="6CB66D62" w:rsidRDefault="6CB66D62" w14:paraId="1DA2CA95" w14:textId="2DC2EBFD">
            <w:pPr>
              <w:spacing w:before="0" w:beforeAutospacing="off" w:after="0" w:afterAutospacing="off"/>
            </w:pPr>
            <w:r w:rsidRPr="6CB66D62" w:rsidR="6CB66D62">
              <w:rPr>
                <w:rFonts w:ascii="Aptos Narrow" w:hAnsi="Aptos Narrow" w:eastAsia="Aptos Narrow" w:cs="Aptos Narrow"/>
                <w:color w:val="000000" w:themeColor="text1" w:themeTint="FF" w:themeShade="FF"/>
                <w:sz w:val="22"/>
                <w:szCs w:val="22"/>
              </w:rPr>
              <w:t>All</w:t>
            </w:r>
          </w:p>
        </w:tc>
        <w:tc>
          <w:tcPr>
            <w:tcW w:w="5535" w:type="dxa"/>
            <w:tcBorders>
              <w:top w:val="single" w:color="000000" w:themeColor="text1" w:sz="8"/>
              <w:left w:val="single" w:color="000000" w:themeColor="text1" w:sz="8"/>
              <w:bottom w:val="single" w:color="000000" w:themeColor="text1" w:sz="8"/>
              <w:right w:val="single" w:color="000000" w:themeColor="text1" w:sz="8"/>
            </w:tcBorders>
            <w:tcMar>
              <w:top w:w="15" w:type="dxa"/>
              <w:left w:w="108" w:type="dxa"/>
              <w:bottom w:w="15" w:type="dxa"/>
              <w:right w:w="108" w:type="dxa"/>
            </w:tcMar>
            <w:vAlign w:val="top"/>
          </w:tcPr>
          <w:p w:rsidR="6CB66D62" w:rsidP="6CB66D62" w:rsidRDefault="6CB66D62" w14:paraId="019291FB" w14:textId="3BAEF9EC">
            <w:pPr>
              <w:spacing w:before="0" w:beforeAutospacing="off" w:after="0" w:afterAutospacing="off"/>
            </w:pPr>
            <w:r w:rsidRPr="6CB66D62" w:rsidR="6CB66D62">
              <w:rPr>
                <w:rFonts w:ascii="Aptos Narrow" w:hAnsi="Aptos Narrow" w:eastAsia="Aptos Narrow" w:cs="Aptos Narrow"/>
                <w:color w:val="000000" w:themeColor="text1" w:themeTint="FF" w:themeShade="FF"/>
                <w:sz w:val="22"/>
                <w:szCs w:val="22"/>
              </w:rPr>
              <w:t>Blackout period starts on the CareFirst portal by Further.</w:t>
            </w:r>
          </w:p>
        </w:tc>
      </w:tr>
      <w:tr w:rsidR="6CB66D62" w:rsidTr="6CB66D62" w14:paraId="6CEA17C8">
        <w:trPr>
          <w:trHeight w:val="330"/>
        </w:trPr>
        <w:tc>
          <w:tcPr>
            <w:tcW w:w="2130" w:type="dxa"/>
            <w:tcBorders>
              <w:top w:val="single" w:color="000000" w:themeColor="text1" w:sz="8"/>
              <w:left w:val="single" w:color="000000" w:themeColor="text1" w:sz="8"/>
              <w:bottom w:val="nil"/>
              <w:right w:val="single" w:color="000000" w:themeColor="text1" w:sz="8"/>
            </w:tcBorders>
            <w:tcMar>
              <w:top w:w="15" w:type="dxa"/>
              <w:left w:w="108" w:type="dxa"/>
              <w:bottom w:w="15" w:type="dxa"/>
              <w:right w:w="108" w:type="dxa"/>
            </w:tcMar>
            <w:vAlign w:val="top"/>
          </w:tcPr>
          <w:p w:rsidR="6CB66D62" w:rsidP="6CB66D62" w:rsidRDefault="6CB66D62" w14:paraId="06A9080F" w14:textId="76B7D874">
            <w:pPr>
              <w:spacing w:before="0" w:beforeAutospacing="off" w:after="0" w:afterAutospacing="off"/>
              <w:rPr>
                <w:rFonts w:ascii="Aptos Narrow" w:hAnsi="Aptos Narrow" w:eastAsia="Aptos Narrow" w:cs="Aptos Narrow"/>
                <w:b w:val="1"/>
                <w:bCs w:val="1"/>
                <w:color w:val="auto"/>
                <w:sz w:val="22"/>
                <w:szCs w:val="22"/>
              </w:rPr>
            </w:pPr>
            <w:r w:rsidRPr="6CB66D62" w:rsidR="6CB66D62">
              <w:rPr>
                <w:rFonts w:ascii="Aptos Narrow" w:hAnsi="Aptos Narrow" w:eastAsia="Aptos Narrow" w:cs="Aptos Narrow"/>
                <w:b w:val="1"/>
                <w:bCs w:val="1"/>
                <w:color w:val="auto"/>
                <w:sz w:val="22"/>
                <w:szCs w:val="22"/>
              </w:rPr>
              <w:t>September 1, 2026</w:t>
            </w:r>
          </w:p>
        </w:tc>
        <w:tc>
          <w:tcPr>
            <w:tcW w:w="1935" w:type="dxa"/>
            <w:tcBorders>
              <w:top w:val="single" w:color="000000" w:themeColor="text1" w:sz="8"/>
              <w:left w:val="single" w:color="000000" w:themeColor="text1" w:sz="8"/>
              <w:bottom w:val="single" w:color="000000" w:themeColor="text1" w:sz="8"/>
              <w:right w:val="single" w:color="000000" w:themeColor="text1" w:sz="8"/>
            </w:tcBorders>
            <w:tcMar>
              <w:top w:w="15" w:type="dxa"/>
              <w:left w:w="108" w:type="dxa"/>
              <w:bottom w:w="15" w:type="dxa"/>
              <w:right w:w="108" w:type="dxa"/>
            </w:tcMar>
            <w:vAlign w:val="top"/>
          </w:tcPr>
          <w:p w:rsidR="6CB66D62" w:rsidP="6CB66D62" w:rsidRDefault="6CB66D62" w14:paraId="5F3360E6" w14:textId="6CAC9178">
            <w:pPr>
              <w:spacing w:before="0" w:beforeAutospacing="off" w:after="0" w:afterAutospacing="off"/>
            </w:pPr>
            <w:r w:rsidRPr="6CB66D62" w:rsidR="6CB66D62">
              <w:rPr>
                <w:rFonts w:ascii="Aptos Narrow" w:hAnsi="Aptos Narrow" w:eastAsia="Aptos Narrow" w:cs="Aptos Narrow"/>
                <w:color w:val="000000" w:themeColor="text1" w:themeTint="FF" w:themeShade="FF"/>
                <w:sz w:val="22"/>
                <w:szCs w:val="22"/>
              </w:rPr>
              <w:t>All</w:t>
            </w:r>
          </w:p>
        </w:tc>
        <w:tc>
          <w:tcPr>
            <w:tcW w:w="5535" w:type="dxa"/>
            <w:tcBorders>
              <w:top w:val="single" w:color="000000" w:themeColor="text1" w:sz="8"/>
              <w:left w:val="single" w:color="000000" w:themeColor="text1" w:sz="8"/>
              <w:bottom w:val="single" w:color="000000" w:themeColor="text1" w:sz="8"/>
              <w:right w:val="single" w:color="000000" w:themeColor="text1" w:sz="8"/>
            </w:tcBorders>
            <w:tcMar>
              <w:top w:w="15" w:type="dxa"/>
              <w:left w:w="108" w:type="dxa"/>
              <w:bottom w:w="15" w:type="dxa"/>
              <w:right w:w="108" w:type="dxa"/>
            </w:tcMar>
            <w:vAlign w:val="top"/>
          </w:tcPr>
          <w:p w:rsidR="6CB66D62" w:rsidP="6CB66D62" w:rsidRDefault="6CB66D62" w14:paraId="13E87E04" w14:textId="3BAA5C14">
            <w:pPr>
              <w:spacing w:before="0" w:beforeAutospacing="off" w:after="0" w:afterAutospacing="off"/>
            </w:pPr>
            <w:r w:rsidRPr="6CB66D62" w:rsidR="6CB66D62">
              <w:rPr>
                <w:rFonts w:ascii="Aptos Narrow" w:hAnsi="Aptos Narrow" w:eastAsia="Aptos Narrow" w:cs="Aptos Narrow"/>
                <w:color w:val="000000" w:themeColor="text1" w:themeTint="FF" w:themeShade="FF"/>
                <w:sz w:val="22"/>
                <w:szCs w:val="22"/>
                <w:lang w:val="en-US"/>
              </w:rPr>
              <w:t xml:space="preserve">Transition </w:t>
            </w:r>
            <w:r w:rsidRPr="6CB66D62" w:rsidR="6CB66D62">
              <w:rPr>
                <w:rFonts w:ascii="Aptos Narrow" w:hAnsi="Aptos Narrow" w:eastAsia="Aptos Narrow" w:cs="Aptos Narrow"/>
                <w:color w:val="000000" w:themeColor="text1" w:themeTint="FF" w:themeShade="FF"/>
                <w:sz w:val="22"/>
                <w:szCs w:val="22"/>
                <w:lang w:val="en-US"/>
              </w:rPr>
              <w:t>complete</w:t>
            </w:r>
            <w:r w:rsidRPr="6CB66D62" w:rsidR="6CB66D62">
              <w:rPr>
                <w:rFonts w:ascii="Aptos Narrow" w:hAnsi="Aptos Narrow" w:eastAsia="Aptos Narrow" w:cs="Aptos Narrow"/>
                <w:color w:val="000000" w:themeColor="text1" w:themeTint="FF" w:themeShade="FF"/>
                <w:sz w:val="22"/>
                <w:szCs w:val="22"/>
                <w:lang w:val="en-US"/>
              </w:rPr>
              <w:t>. Account balances are available on the HealthEquity portal.</w:t>
            </w:r>
          </w:p>
        </w:tc>
      </w:tr>
      <w:tr w:rsidR="6CB66D62" w:rsidTr="6CB66D62" w14:paraId="3006EB47">
        <w:trPr>
          <w:trHeight w:val="330"/>
        </w:trPr>
        <w:tc>
          <w:tcPr>
            <w:tcW w:w="2130" w:type="dxa"/>
            <w:tcBorders>
              <w:top w:val="single" w:color="000000" w:themeColor="text1" w:sz="8"/>
              <w:left w:val="single" w:color="000000" w:themeColor="text1" w:sz="8"/>
              <w:bottom w:val="nil"/>
              <w:right w:val="single" w:color="000000" w:themeColor="text1" w:sz="8"/>
            </w:tcBorders>
            <w:tcMar>
              <w:top w:w="15" w:type="dxa"/>
              <w:left w:w="108" w:type="dxa"/>
              <w:bottom w:w="15" w:type="dxa"/>
              <w:right w:w="108" w:type="dxa"/>
            </w:tcMar>
            <w:vAlign w:val="top"/>
          </w:tcPr>
          <w:p w:rsidR="6CB66D62" w:rsidP="6CB66D62" w:rsidRDefault="6CB66D62" w14:paraId="4F355974" w14:textId="3D5382C1">
            <w:pPr>
              <w:spacing w:before="0" w:beforeAutospacing="off" w:after="0" w:afterAutospacing="off"/>
              <w:rPr>
                <w:rFonts w:ascii="Aptos Narrow" w:hAnsi="Aptos Narrow" w:eastAsia="Aptos Narrow" w:cs="Aptos Narrow"/>
                <w:b w:val="1"/>
                <w:bCs w:val="1"/>
                <w:color w:val="auto"/>
                <w:sz w:val="22"/>
                <w:szCs w:val="22"/>
              </w:rPr>
            </w:pPr>
            <w:r w:rsidRPr="6CB66D62" w:rsidR="6CB66D62">
              <w:rPr>
                <w:rFonts w:ascii="Aptos Narrow" w:hAnsi="Aptos Narrow" w:eastAsia="Aptos Narrow" w:cs="Aptos Narrow"/>
                <w:b w:val="1"/>
                <w:bCs w:val="1"/>
                <w:color w:val="auto"/>
                <w:sz w:val="22"/>
                <w:szCs w:val="22"/>
              </w:rPr>
              <w:t>September 1, 2026</w:t>
            </w:r>
          </w:p>
        </w:tc>
        <w:tc>
          <w:tcPr>
            <w:tcW w:w="1935" w:type="dxa"/>
            <w:tcBorders>
              <w:top w:val="single" w:color="000000" w:themeColor="text1" w:sz="8"/>
              <w:left w:val="single" w:color="000000" w:themeColor="text1" w:sz="8"/>
              <w:bottom w:val="single" w:color="000000" w:themeColor="text1" w:sz="8"/>
              <w:right w:val="nil"/>
            </w:tcBorders>
            <w:tcMar>
              <w:top w:w="15" w:type="dxa"/>
              <w:left w:w="108" w:type="dxa"/>
              <w:bottom w:w="15" w:type="dxa"/>
              <w:right w:w="108" w:type="dxa"/>
            </w:tcMar>
            <w:vAlign w:val="top"/>
          </w:tcPr>
          <w:p w:rsidR="6CB66D62" w:rsidP="6CB66D62" w:rsidRDefault="6CB66D62" w14:paraId="41D08427" w14:textId="0185403D">
            <w:pPr>
              <w:spacing w:before="0" w:beforeAutospacing="off" w:after="0" w:afterAutospacing="off"/>
            </w:pPr>
            <w:r w:rsidRPr="6CB66D62" w:rsidR="6CB66D62">
              <w:rPr>
                <w:rFonts w:ascii="Aptos Narrow" w:hAnsi="Aptos Narrow" w:eastAsia="Aptos Narrow" w:cs="Aptos Narrow"/>
                <w:color w:val="000000" w:themeColor="text1" w:themeTint="FF" w:themeShade="FF"/>
                <w:sz w:val="22"/>
                <w:szCs w:val="22"/>
              </w:rPr>
              <w:t xml:space="preserve">HSA only </w:t>
            </w:r>
          </w:p>
        </w:tc>
        <w:tc>
          <w:tcPr>
            <w:tcW w:w="5535" w:type="dxa"/>
            <w:tcBorders>
              <w:top w:val="single" w:color="000000" w:themeColor="text1" w:sz="8"/>
              <w:left w:val="single" w:color="000000" w:themeColor="text1" w:sz="8"/>
              <w:bottom w:val="single" w:color="000000" w:themeColor="text1" w:sz="8"/>
              <w:right w:val="single" w:color="000000" w:themeColor="text1" w:sz="8"/>
            </w:tcBorders>
            <w:tcMar>
              <w:top w:w="15" w:type="dxa"/>
              <w:left w:w="108" w:type="dxa"/>
              <w:bottom w:w="15" w:type="dxa"/>
              <w:right w:w="108" w:type="dxa"/>
            </w:tcMar>
            <w:vAlign w:val="top"/>
          </w:tcPr>
          <w:p w:rsidR="6CB66D62" w:rsidP="6CB66D62" w:rsidRDefault="6CB66D62" w14:paraId="269248E0" w14:textId="0CC6617D">
            <w:pPr>
              <w:spacing w:before="0" w:beforeAutospacing="off" w:after="0" w:afterAutospacing="off"/>
            </w:pPr>
            <w:r w:rsidRPr="6CB66D62" w:rsidR="6CB66D62">
              <w:rPr>
                <w:rFonts w:ascii="Aptos Narrow" w:hAnsi="Aptos Narrow" w:eastAsia="Aptos Narrow" w:cs="Aptos Narrow"/>
                <w:color w:val="000000" w:themeColor="text1" w:themeTint="FF" w:themeShade="FF"/>
                <w:sz w:val="22"/>
                <w:szCs w:val="22"/>
              </w:rPr>
              <w:t xml:space="preserve">For members with investments, investment holdings are available on the HealthEquity portal. </w:t>
            </w:r>
          </w:p>
        </w:tc>
      </w:tr>
      <w:tr w:rsidR="6CB66D62" w:rsidTr="6CB66D62" w14:paraId="19210854">
        <w:trPr>
          <w:trHeight w:val="330"/>
        </w:trPr>
        <w:tc>
          <w:tcPr>
            <w:tcW w:w="2130" w:type="dxa"/>
            <w:tcBorders>
              <w:top w:val="single" w:color="000000" w:themeColor="text1" w:sz="8"/>
              <w:left w:val="single" w:color="000000" w:themeColor="text1" w:sz="8"/>
              <w:bottom w:val="single" w:color="000000" w:themeColor="text1" w:sz="8"/>
              <w:right w:val="single" w:color="000000" w:themeColor="text1" w:sz="8"/>
            </w:tcBorders>
            <w:tcMar>
              <w:top w:w="15" w:type="dxa"/>
              <w:left w:w="108" w:type="dxa"/>
              <w:bottom w:w="15" w:type="dxa"/>
              <w:right w:w="108" w:type="dxa"/>
            </w:tcMar>
            <w:vAlign w:val="top"/>
          </w:tcPr>
          <w:p w:rsidR="6CB66D62" w:rsidP="6CB66D62" w:rsidRDefault="6CB66D62" w14:paraId="64FE261F" w14:textId="4A47AEDC">
            <w:pPr>
              <w:spacing w:before="0" w:beforeAutospacing="off" w:after="0" w:afterAutospacing="off"/>
              <w:rPr>
                <w:rFonts w:ascii="Aptos Narrow" w:hAnsi="Aptos Narrow" w:eastAsia="Aptos Narrow" w:cs="Aptos Narrow"/>
                <w:b w:val="1"/>
                <w:bCs w:val="1"/>
                <w:color w:val="auto"/>
                <w:sz w:val="22"/>
                <w:szCs w:val="22"/>
              </w:rPr>
            </w:pPr>
            <w:r w:rsidRPr="6CB66D62" w:rsidR="6CB66D62">
              <w:rPr>
                <w:rFonts w:ascii="Aptos Narrow" w:hAnsi="Aptos Narrow" w:eastAsia="Aptos Narrow" w:cs="Aptos Narrow"/>
                <w:b w:val="1"/>
                <w:bCs w:val="1"/>
                <w:color w:val="auto"/>
                <w:sz w:val="22"/>
                <w:szCs w:val="22"/>
              </w:rPr>
              <w:t>September 4, 2026</w:t>
            </w:r>
          </w:p>
        </w:tc>
        <w:tc>
          <w:tcPr>
            <w:tcW w:w="1935" w:type="dxa"/>
            <w:tcBorders>
              <w:top w:val="single" w:color="000000" w:themeColor="text1" w:sz="8"/>
              <w:left w:val="single" w:color="000000" w:themeColor="text1" w:sz="8"/>
              <w:bottom w:val="single" w:color="000000" w:themeColor="text1" w:sz="8"/>
              <w:right w:val="nil"/>
            </w:tcBorders>
            <w:tcMar>
              <w:top w:w="15" w:type="dxa"/>
              <w:left w:w="108" w:type="dxa"/>
              <w:bottom w:w="15" w:type="dxa"/>
              <w:right w:w="108" w:type="dxa"/>
            </w:tcMar>
            <w:vAlign w:val="top"/>
          </w:tcPr>
          <w:p w:rsidR="6CB66D62" w:rsidP="6CB66D62" w:rsidRDefault="6CB66D62" w14:paraId="08D36117" w14:textId="51009E54">
            <w:pPr>
              <w:spacing w:before="0" w:beforeAutospacing="off" w:after="0" w:afterAutospacing="off"/>
            </w:pPr>
            <w:r w:rsidRPr="6CB66D62" w:rsidR="6CB66D62">
              <w:rPr>
                <w:rFonts w:ascii="Aptos Narrow" w:hAnsi="Aptos Narrow" w:eastAsia="Aptos Narrow" w:cs="Aptos Narrow"/>
                <w:color w:val="000000" w:themeColor="text1" w:themeTint="FF" w:themeShade="FF"/>
                <w:sz w:val="22"/>
                <w:szCs w:val="22"/>
              </w:rPr>
              <w:t xml:space="preserve">HSA only </w:t>
            </w:r>
          </w:p>
        </w:tc>
        <w:tc>
          <w:tcPr>
            <w:tcW w:w="5535" w:type="dxa"/>
            <w:tcBorders>
              <w:top w:val="single" w:color="000000" w:themeColor="text1" w:sz="8"/>
              <w:left w:val="single" w:color="000000" w:themeColor="text1" w:sz="8"/>
              <w:bottom w:val="single" w:color="000000" w:themeColor="text1" w:sz="8"/>
              <w:right w:val="single" w:color="000000" w:themeColor="text1" w:sz="8"/>
            </w:tcBorders>
            <w:tcMar>
              <w:top w:w="15" w:type="dxa"/>
              <w:left w:w="108" w:type="dxa"/>
              <w:bottom w:w="15" w:type="dxa"/>
              <w:right w:w="108" w:type="dxa"/>
            </w:tcMar>
            <w:vAlign w:val="top"/>
          </w:tcPr>
          <w:p w:rsidR="6CB66D62" w:rsidP="6CB66D62" w:rsidRDefault="6CB66D62" w14:paraId="42E2F196" w14:textId="19288541">
            <w:pPr>
              <w:spacing w:before="0" w:beforeAutospacing="off" w:after="0" w:afterAutospacing="off"/>
            </w:pPr>
            <w:r w:rsidRPr="6CB66D62" w:rsidR="6CB66D62">
              <w:rPr>
                <w:rFonts w:ascii="Aptos Narrow" w:hAnsi="Aptos Narrow" w:eastAsia="Aptos Narrow" w:cs="Aptos Narrow"/>
                <w:color w:val="000000" w:themeColor="text1" w:themeTint="FF" w:themeShade="FF"/>
                <w:sz w:val="22"/>
                <w:szCs w:val="22"/>
              </w:rPr>
              <w:t>Transaction history loaded on the HealthEquity portal.</w:t>
            </w:r>
          </w:p>
        </w:tc>
      </w:tr>
    </w:tbl>
    <w:p w:rsidRPr="008D397F" w:rsidR="004D7CEB" w:rsidP="6CB66D62" w:rsidRDefault="004D7CEB" w14:paraId="4C1341E4" w14:textId="26BC678C">
      <w:pPr>
        <w:ind w:left="0"/>
      </w:pPr>
    </w:p>
    <w:p w:rsidRPr="008D397F" w:rsidR="00FE4F0D" w:rsidRDefault="00FE4F0D" w14:paraId="24D395F4" w14:textId="77777777">
      <w:pPr>
        <w:spacing w:line="240" w:lineRule="auto"/>
        <w:ind w:left="720"/>
      </w:pPr>
    </w:p>
    <w:p w:rsidRPr="008D397F" w:rsidR="00FE4F0D" w:rsidRDefault="00951C03" w14:paraId="642C8316" w14:textId="5F7E77D3">
      <w:pPr>
        <w:widowControl w:val="0"/>
        <w:spacing w:line="240" w:lineRule="auto"/>
        <w:rPr>
          <w:b/>
          <w:bCs/>
        </w:rPr>
      </w:pPr>
      <w:r w:rsidRPr="6CB66D62" w:rsidR="00951C03">
        <w:rPr>
          <w:b w:val="1"/>
          <w:bCs w:val="1"/>
        </w:rPr>
        <w:t>Blackout Period</w:t>
      </w:r>
    </w:p>
    <w:p w:rsidRPr="008D397F" w:rsidR="00BD7F65" w:rsidP="6CB66D62" w:rsidRDefault="00BD7F65" w14:paraId="1571DBD3" w14:textId="40FDBB57">
      <w:pPr>
        <w:pStyle w:val="Normal"/>
        <w:rPr>
          <w:rFonts w:ascii="Arial" w:hAnsi="Arial" w:eastAsia="Arial" w:cs="Arial"/>
          <w:noProof w:val="0"/>
          <w:sz w:val="22"/>
          <w:szCs w:val="22"/>
          <w:lang w:val="en-US"/>
        </w:rPr>
      </w:pPr>
      <w:r w:rsidRPr="6CB66D62" w:rsidR="562352E9">
        <w:rPr>
          <w:rFonts w:ascii="Arial" w:hAnsi="Arial" w:eastAsia="Arial" w:cs="Arial"/>
          <w:noProof w:val="0"/>
          <w:sz w:val="22"/>
          <w:szCs w:val="22"/>
          <w:lang w:val="en-US"/>
        </w:rPr>
        <w:t xml:space="preserve">From </w:t>
      </w:r>
      <w:r w:rsidRPr="6CB66D62" w:rsidR="562352E9">
        <w:rPr>
          <w:rFonts w:ascii="Arial" w:hAnsi="Arial" w:eastAsia="Arial" w:cs="Arial"/>
          <w:b w:val="1"/>
          <w:bCs w:val="1"/>
          <w:noProof w:val="0"/>
          <w:sz w:val="22"/>
          <w:szCs w:val="22"/>
          <w:lang w:val="en-US"/>
        </w:rPr>
        <w:t>August 22, 2026 – September 1, 2026</w:t>
      </w:r>
      <w:r w:rsidRPr="6CB66D62" w:rsidR="562352E9">
        <w:rPr>
          <w:rFonts w:ascii="Arial" w:hAnsi="Arial" w:eastAsia="Arial" w:cs="Arial"/>
          <w:noProof w:val="0"/>
          <w:sz w:val="22"/>
          <w:szCs w:val="22"/>
          <w:lang w:val="en-US"/>
        </w:rPr>
        <w:t>, you will experience a short “blackout period.”</w:t>
      </w:r>
    </w:p>
    <w:p w:rsidRPr="008D397F" w:rsidR="00BD7F65" w:rsidP="6CB66D62" w:rsidRDefault="00BD7F65" w14:paraId="04E53FD0" w14:textId="5F226433">
      <w:pPr>
        <w:pStyle w:val="Normal"/>
        <w:numPr>
          <w:ilvl w:val="0"/>
          <w:numId w:val="4"/>
        </w:numPr>
        <w:rPr>
          <w:rFonts w:ascii="Arial" w:hAnsi="Arial" w:eastAsia="Arial" w:cs="Arial"/>
          <w:noProof w:val="0"/>
          <w:sz w:val="22"/>
          <w:szCs w:val="22"/>
          <w:lang w:val="en-US"/>
        </w:rPr>
      </w:pPr>
      <w:r w:rsidRPr="6CB66D62" w:rsidR="562352E9">
        <w:rPr>
          <w:rFonts w:ascii="Arial" w:hAnsi="Arial" w:eastAsia="Arial" w:cs="Arial"/>
          <w:noProof w:val="0"/>
          <w:sz w:val="22"/>
          <w:szCs w:val="22"/>
          <w:lang w:val="en-US"/>
        </w:rPr>
        <w:t xml:space="preserve">You will not be able to use your CareFirst-branded debit card, </w:t>
      </w:r>
      <w:r w:rsidRPr="6CB66D62" w:rsidR="562352E9">
        <w:rPr>
          <w:rFonts w:ascii="Arial" w:hAnsi="Arial" w:eastAsia="Arial" w:cs="Arial"/>
          <w:noProof w:val="0"/>
          <w:sz w:val="22"/>
          <w:szCs w:val="22"/>
          <w:lang w:val="en-US"/>
        </w:rPr>
        <w:t>submit</w:t>
      </w:r>
      <w:r w:rsidRPr="6CB66D62" w:rsidR="562352E9">
        <w:rPr>
          <w:rFonts w:ascii="Arial" w:hAnsi="Arial" w:eastAsia="Arial" w:cs="Arial"/>
          <w:noProof w:val="0"/>
          <w:sz w:val="22"/>
          <w:szCs w:val="22"/>
          <w:lang w:val="en-US"/>
        </w:rPr>
        <w:t xml:space="preserve"> claims, or access funds.</w:t>
      </w:r>
    </w:p>
    <w:p w:rsidRPr="008D397F" w:rsidR="00BD7F65" w:rsidP="6CB66D62" w:rsidRDefault="00BD7F65" w14:paraId="3B76D789" w14:textId="02C96BED">
      <w:pPr>
        <w:pStyle w:val="Normal"/>
        <w:numPr>
          <w:ilvl w:val="0"/>
          <w:numId w:val="4"/>
        </w:numPr>
        <w:rPr>
          <w:rFonts w:ascii="Arial" w:hAnsi="Arial" w:eastAsia="Arial" w:cs="Arial"/>
          <w:noProof w:val="0"/>
          <w:sz w:val="22"/>
          <w:szCs w:val="22"/>
          <w:lang w:val="en-US"/>
        </w:rPr>
      </w:pPr>
      <w:r w:rsidRPr="6CB66D62" w:rsidR="562352E9">
        <w:rPr>
          <w:rFonts w:ascii="Arial" w:hAnsi="Arial" w:eastAsia="Arial" w:cs="Arial"/>
          <w:noProof w:val="0"/>
          <w:sz w:val="22"/>
          <w:szCs w:val="22"/>
          <w:lang w:val="en-US"/>
        </w:rPr>
        <w:t>If you have an HSA, you won’t be able to make investment changes.</w:t>
      </w:r>
    </w:p>
    <w:p w:rsidRPr="008D397F" w:rsidR="00BD7F65" w:rsidP="6CB66D62" w:rsidRDefault="00BD7F65" w14:paraId="00E0EFCD" w14:textId="2239E52F">
      <w:pPr>
        <w:pStyle w:val="Normal"/>
        <w:numPr>
          <w:ilvl w:val="0"/>
          <w:numId w:val="4"/>
        </w:numPr>
        <w:rPr>
          <w:rFonts w:ascii="Arial" w:hAnsi="Arial" w:eastAsia="Arial" w:cs="Arial"/>
          <w:noProof w:val="0"/>
          <w:sz w:val="22"/>
          <w:szCs w:val="22"/>
          <w:lang w:val="en-US"/>
        </w:rPr>
      </w:pPr>
      <w:r w:rsidRPr="6CB66D62" w:rsidR="562352E9">
        <w:rPr>
          <w:rFonts w:ascii="Arial" w:hAnsi="Arial" w:eastAsia="Arial" w:cs="Arial"/>
          <w:noProof w:val="0"/>
          <w:sz w:val="22"/>
          <w:szCs w:val="22"/>
          <w:lang w:val="en-US"/>
        </w:rPr>
        <w:t xml:space="preserve">Claims and expenses incurred during this period can be submitted once your HealthEquity account is live on </w:t>
      </w:r>
      <w:r w:rsidRPr="6CB66D62" w:rsidR="562352E9">
        <w:rPr>
          <w:rFonts w:ascii="Arial" w:hAnsi="Arial" w:eastAsia="Arial" w:cs="Arial"/>
          <w:b w:val="1"/>
          <w:bCs w:val="1"/>
          <w:noProof w:val="0"/>
          <w:sz w:val="22"/>
          <w:szCs w:val="22"/>
          <w:lang w:val="en-US"/>
        </w:rPr>
        <w:t>September 1, 2026</w:t>
      </w:r>
      <w:r w:rsidRPr="6CB66D62" w:rsidR="562352E9">
        <w:rPr>
          <w:rFonts w:ascii="Arial" w:hAnsi="Arial" w:eastAsia="Arial" w:cs="Arial"/>
          <w:noProof w:val="0"/>
          <w:sz w:val="22"/>
          <w:szCs w:val="22"/>
          <w:lang w:val="en-US"/>
        </w:rPr>
        <w:t>.</w:t>
      </w:r>
    </w:p>
    <w:p w:rsidRPr="008D397F" w:rsidR="00BD7F65" w:rsidP="6CB66D62" w:rsidRDefault="00BD7F65" w14:paraId="769DD444" w14:textId="01D92EE4">
      <w:pPr>
        <w:pStyle w:val="Normal"/>
        <w:numPr>
          <w:ilvl w:val="0"/>
          <w:numId w:val="4"/>
        </w:numPr>
        <w:rPr>
          <w:rFonts w:ascii="Arial" w:hAnsi="Arial" w:eastAsia="Arial" w:cs="Arial"/>
          <w:noProof w:val="0"/>
          <w:sz w:val="22"/>
          <w:szCs w:val="22"/>
          <w:lang w:val="en-US"/>
        </w:rPr>
      </w:pPr>
      <w:r w:rsidRPr="6CB66D62" w:rsidR="562352E9">
        <w:rPr>
          <w:rFonts w:ascii="Arial" w:hAnsi="Arial" w:eastAsia="Arial" w:cs="Arial"/>
          <w:noProof w:val="0"/>
          <w:sz w:val="22"/>
          <w:szCs w:val="22"/>
          <w:lang w:val="en-US"/>
        </w:rPr>
        <w:t>HSA members may make post-tax contributions on the HealthEquity portal if they need access to funds during this period.</w:t>
      </w:r>
    </w:p>
    <w:p w:rsidRPr="008D397F" w:rsidR="00BD7F65" w:rsidP="6CB66D62" w:rsidRDefault="00BD7F65" w14:paraId="144100F9" w14:textId="435AF654">
      <w:pPr>
        <w:pStyle w:val="Normal"/>
        <w:rPr>
          <w:lang w:val="en-US"/>
        </w:rPr>
      </w:pPr>
    </w:p>
    <w:p w:rsidRPr="008D397F" w:rsidR="00BD7F65" w:rsidP="00BD7F65" w:rsidRDefault="00C67F91" w14:paraId="1BA20E8D" w14:textId="680F8249">
      <w:pPr>
        <w:rPr>
          <w:b/>
          <w:bCs/>
        </w:rPr>
      </w:pPr>
      <w:r w:rsidRPr="008D397F">
        <w:rPr>
          <w:b/>
          <w:bCs/>
        </w:rPr>
        <w:t>Support</w:t>
      </w:r>
    </w:p>
    <w:p w:rsidRPr="008D397F" w:rsidR="00FE4F0D" w:rsidRDefault="00FE4F0D" w14:paraId="3393E502" w14:textId="1AF2DEFE">
      <w:r w:rsidRPr="6CB66D62" w:rsidR="004D28EB">
        <w:rPr>
          <w:lang w:val="en-US"/>
        </w:rPr>
        <w:t xml:space="preserve">In the meantime, you can learn more about the transition using the tools and resources available to you at </w:t>
      </w:r>
      <w:r w:rsidRPr="6CB66D62" w:rsidR="00A65305">
        <w:rPr>
          <w:i w:val="1"/>
          <w:iCs w:val="1"/>
          <w:lang w:val="en-US"/>
        </w:rPr>
        <w:t>transition.healthequity.com/further/member_092026/</w:t>
      </w:r>
      <w:r w:rsidRPr="6CB66D62" w:rsidR="00A65305">
        <w:rPr>
          <w:i w:val="1"/>
          <w:iCs w:val="1"/>
          <w:lang w:val="en-US"/>
        </w:rPr>
        <w:t>carefirst</w:t>
      </w:r>
      <w:r w:rsidRPr="6CB66D62" w:rsidR="7954A357">
        <w:rPr>
          <w:i w:val="1"/>
          <w:iCs w:val="1"/>
          <w:lang w:val="en-US"/>
        </w:rPr>
        <w:t xml:space="preserve">. </w:t>
      </w:r>
    </w:p>
    <w:p w:rsidRPr="008D397F" w:rsidR="00FE4F0D" w:rsidP="6CB66D62" w:rsidRDefault="00FE4F0D" w14:paraId="5AE0A0EA" w14:textId="0B0E46DD">
      <w:pPr>
        <w:rPr>
          <w:lang w:val="en-US"/>
        </w:rPr>
      </w:pPr>
    </w:p>
    <w:p w:rsidRPr="008D397F" w:rsidR="00FE4F0D" w:rsidP="6CB66D62" w:rsidRDefault="00FE4F0D" w14:paraId="792C819E" w14:textId="1805C9AE">
      <w:pPr>
        <w:rPr>
          <w:rFonts w:ascii="Arial" w:hAnsi="Arial" w:eastAsia="Arial" w:cs="Arial"/>
          <w:noProof w:val="0"/>
          <w:sz w:val="22"/>
          <w:szCs w:val="22"/>
          <w:lang w:val="en-US"/>
        </w:rPr>
      </w:pPr>
      <w:r w:rsidRPr="6CB66D62" w:rsidR="7954A357">
        <w:rPr>
          <w:rFonts w:ascii="Arial" w:hAnsi="Arial" w:eastAsia="Arial" w:cs="Arial"/>
          <w:noProof w:val="0"/>
          <w:sz w:val="22"/>
          <w:szCs w:val="22"/>
          <w:lang w:val="en-US"/>
        </w:rPr>
        <w:t xml:space="preserve">We’re here to help. If you have any questions, contact </w:t>
      </w:r>
      <w:r w:rsidRPr="6CB66D62" w:rsidR="7954A357">
        <w:rPr>
          <w:rFonts w:ascii="Arial" w:hAnsi="Arial" w:eastAsia="Arial" w:cs="Arial"/>
          <w:b w:val="1"/>
          <w:bCs w:val="1"/>
          <w:noProof w:val="0"/>
          <w:sz w:val="22"/>
          <w:szCs w:val="22"/>
          <w:lang w:val="en-US"/>
        </w:rPr>
        <w:t>Member Services</w:t>
      </w:r>
      <w:r w:rsidRPr="6CB66D62" w:rsidR="7954A357">
        <w:rPr>
          <w:rFonts w:ascii="Arial" w:hAnsi="Arial" w:eastAsia="Arial" w:cs="Arial"/>
          <w:noProof w:val="0"/>
          <w:sz w:val="22"/>
          <w:szCs w:val="22"/>
          <w:lang w:val="en-US"/>
        </w:rPr>
        <w:t xml:space="preserve"> anytime at </w:t>
      </w:r>
      <w:r w:rsidRPr="6CB66D62" w:rsidR="7954A357">
        <w:rPr>
          <w:rFonts w:ascii="Arial" w:hAnsi="Arial" w:eastAsia="Arial" w:cs="Arial"/>
          <w:b w:val="1"/>
          <w:bCs w:val="1"/>
          <w:noProof w:val="0"/>
          <w:sz w:val="22"/>
          <w:szCs w:val="22"/>
          <w:lang w:val="en-US"/>
        </w:rPr>
        <w:t>844.351.6856</w:t>
      </w:r>
      <w:r w:rsidRPr="6CB66D62" w:rsidR="7954A357">
        <w:rPr>
          <w:rFonts w:ascii="Arial" w:hAnsi="Arial" w:eastAsia="Arial" w:cs="Arial"/>
          <w:noProof w:val="0"/>
          <w:sz w:val="22"/>
          <w:szCs w:val="22"/>
          <w:lang w:val="en-US"/>
        </w:rPr>
        <w:t>. We are available 24/7.</w:t>
      </w:r>
    </w:p>
    <w:p w:rsidRPr="008D397F" w:rsidR="00FE4F0D" w:rsidP="6CB66D62" w:rsidRDefault="00FE4F0D" w14:paraId="235271CA" w14:textId="01BE7F1F">
      <w:pPr>
        <w:pStyle w:val="Normal"/>
        <w:rPr>
          <w:lang w:val="en-US"/>
        </w:rPr>
      </w:pPr>
    </w:p>
    <w:p w:rsidRPr="008D397F" w:rsidR="00FE4F0D" w:rsidP="6CB66D62" w:rsidRDefault="00FE4F0D" w14:paraId="475385F5" w14:textId="71AEAD87">
      <w:pPr>
        <w:rPr>
          <w:rFonts w:ascii="Arial" w:hAnsi="Arial" w:eastAsia="Arial" w:cs="Arial"/>
          <w:noProof w:val="0"/>
          <w:sz w:val="22"/>
          <w:szCs w:val="22"/>
          <w:lang w:val="en"/>
        </w:rPr>
      </w:pPr>
      <w:r w:rsidRPr="6CB66D62" w:rsidR="7954A357">
        <w:rPr>
          <w:rFonts w:ascii="Arial" w:hAnsi="Arial" w:eastAsia="Arial" w:cs="Arial"/>
          <w:noProof w:val="0"/>
          <w:sz w:val="22"/>
          <w:szCs w:val="22"/>
          <w:lang w:val="en"/>
        </w:rPr>
        <w:t>Thank you for your partnership during this transition—we look forward to serving you at HealthEquity.</w:t>
      </w:r>
    </w:p>
    <w:p w:rsidRPr="008D397F" w:rsidR="00FE4F0D" w:rsidRDefault="00FE4F0D" w14:paraId="6A46EC1B" w14:textId="77777777"/>
    <w:p w:rsidRPr="008D397F" w:rsidR="00FE4F0D" w:rsidRDefault="004D28EB" w14:paraId="5C23D998" w14:textId="2E6DD0D8">
      <w:r w:rsidRPr="008D397F">
        <w:t>Sincerely,</w:t>
      </w:r>
    </w:p>
    <w:p w:rsidRPr="008D397F" w:rsidR="00FE4F0D" w:rsidRDefault="004D28EB" w14:paraId="665F7827" w14:textId="3E0F0E41">
      <w:r w:rsidR="004D28EB">
        <w:rPr/>
        <w:t xml:space="preserve">The HealthEquity </w:t>
      </w:r>
      <w:r w:rsidR="6E41071C">
        <w:rPr/>
        <w:t xml:space="preserve">Member </w:t>
      </w:r>
      <w:r w:rsidR="00C72772">
        <w:rPr/>
        <w:t xml:space="preserve">Services </w:t>
      </w:r>
      <w:r w:rsidR="004D28EB">
        <w:rPr/>
        <w:t>Team</w:t>
      </w:r>
    </w:p>
    <w:p w:rsidR="00FE4F0D" w:rsidRDefault="00FE4F0D" w14:paraId="77916B7F" w14:textId="77777777"/>
    <w:p w:rsidR="00DF49F9" w:rsidP="033D3631" w:rsidRDefault="00DF49F9" w14:paraId="1DC2027F" w14:textId="5C3CFB88">
      <w:pPr>
        <w:rPr>
          <w:sz w:val="20"/>
          <w:szCs w:val="20"/>
          <w:lang w:val="en-US"/>
        </w:rPr>
      </w:pPr>
      <w:r w:rsidRPr="033D3631" w:rsidR="00DF49F9">
        <w:rPr>
          <w:sz w:val="20"/>
          <w:szCs w:val="20"/>
          <w:vertAlign w:val="superscript"/>
          <w:lang w:val="en-US"/>
        </w:rPr>
        <w:t>1</w:t>
      </w:r>
      <w:r w:rsidRPr="033D3631" w:rsidR="00DF49F9">
        <w:rPr>
          <w:sz w:val="20"/>
          <w:szCs w:val="20"/>
          <w:lang w:val="en-US"/>
        </w:rPr>
        <w:t xml:space="preserve">This card is issued by The Bancorp Bank, N.A., Member FDIC, </w:t>
      </w:r>
      <w:r w:rsidRPr="033D3631" w:rsidR="00DF49F9">
        <w:rPr>
          <w:sz w:val="20"/>
          <w:szCs w:val="20"/>
          <w:lang w:val="en-US"/>
        </w:rPr>
        <w:t>pursuant to</w:t>
      </w:r>
      <w:r w:rsidRPr="033D3631" w:rsidR="00DF49F9">
        <w:rPr>
          <w:sz w:val="20"/>
          <w:szCs w:val="20"/>
          <w:lang w:val="en-US"/>
        </w:rPr>
        <w:t xml:space="preserve"> a license from Visa U.S.A. Inc. Your card can be used everywhere Visa debit cards are accepted for qualified expenses. This card cannot be used at </w:t>
      </w:r>
      <w:r w:rsidRPr="033D3631" w:rsidR="00DF49F9">
        <w:rPr>
          <w:sz w:val="20"/>
          <w:szCs w:val="20"/>
          <w:lang w:val="en-US"/>
        </w:rPr>
        <w:t>ATMs</w:t>
      </w:r>
      <w:r w:rsidRPr="033D3631" w:rsidR="00DF49F9">
        <w:rPr>
          <w:sz w:val="20"/>
          <w:szCs w:val="20"/>
          <w:lang w:val="en-US"/>
        </w:rPr>
        <w:t xml:space="preserve"> and you cannot get cash back, and cannot be used at gas stations, restaurants, or other </w:t>
      </w:r>
      <w:r w:rsidRPr="033D3631" w:rsidR="00DF49F9">
        <w:rPr>
          <w:sz w:val="20"/>
          <w:szCs w:val="20"/>
          <w:lang w:val="en-US"/>
        </w:rPr>
        <w:t>establishments</w:t>
      </w:r>
      <w:r w:rsidRPr="033D3631" w:rsidR="00DF49F9">
        <w:rPr>
          <w:sz w:val="20"/>
          <w:szCs w:val="20"/>
          <w:lang w:val="en-US"/>
        </w:rPr>
        <w:t xml:space="preserve"> not health related. See Cardholder Agreement for complete usage restrictions.</w:t>
      </w:r>
      <w:r w:rsidRPr="033D3631" w:rsidR="00DF49F9">
        <w:rPr>
          <w:sz w:val="20"/>
          <w:szCs w:val="20"/>
          <w:lang w:val="en-US"/>
        </w:rPr>
        <w:t xml:space="preserve"> </w:t>
      </w:r>
    </w:p>
    <w:p w:rsidR="00607B69" w:rsidRDefault="00607B69" w14:paraId="59F87A50" w14:textId="77777777">
      <w:pPr>
        <w:rPr>
          <w:sz w:val="20"/>
          <w:szCs w:val="20"/>
          <w:vertAlign w:val="superscript"/>
        </w:rPr>
      </w:pPr>
    </w:p>
    <w:p w:rsidR="00FE4F0D" w:rsidP="033D3631" w:rsidRDefault="00FB45FA" w14:paraId="20D5E698" w14:textId="56537184">
      <w:pPr>
        <w:rPr>
          <w:sz w:val="20"/>
          <w:szCs w:val="20"/>
          <w:lang w:val="en-US"/>
        </w:rPr>
      </w:pPr>
      <w:r w:rsidRPr="033D3631" w:rsidR="00FB45FA">
        <w:rPr>
          <w:sz w:val="20"/>
          <w:szCs w:val="20"/>
          <w:vertAlign w:val="superscript"/>
          <w:lang w:val="en-US"/>
        </w:rPr>
        <w:t>2</w:t>
      </w:r>
      <w:r w:rsidRPr="033D3631" w:rsidR="004D28EB">
        <w:rPr>
          <w:sz w:val="20"/>
          <w:szCs w:val="20"/>
          <w:lang w:val="en-US"/>
        </w:rPr>
        <w:t xml:space="preserve">Investments are subject to risk, including the possible loss of the principal invested, and are not FDIC or NCUA insured, or guaranteed by HealthEquity, Inc. Investing through the HealthEquity investment platform is subject to the terms and conditions of the Health Savings Account Custodial Agreement and any applicable investment supplement. Investing may not be suitable for everyone and before making any investments, review the </w:t>
      </w:r>
      <w:r w:rsidRPr="033D3631" w:rsidR="004D28EB">
        <w:rPr>
          <w:sz w:val="20"/>
          <w:szCs w:val="20"/>
          <w:lang w:val="en-US"/>
        </w:rPr>
        <w:t>fund’s</w:t>
      </w:r>
      <w:r w:rsidRPr="033D3631" w:rsidR="004D28EB">
        <w:rPr>
          <w:sz w:val="20"/>
          <w:szCs w:val="20"/>
          <w:lang w:val="en-US"/>
        </w:rPr>
        <w:t xml:space="preserve"> prospectus.</w:t>
      </w:r>
    </w:p>
    <w:p w:rsidR="00953F2C" w:rsidRDefault="00953F2C" w14:paraId="2209E8C8" w14:textId="77777777">
      <w:pPr>
        <w:rPr>
          <w:sz w:val="20"/>
          <w:szCs w:val="20"/>
        </w:rPr>
      </w:pPr>
    </w:p>
    <w:p w:rsidR="00FE4F0D" w:rsidRDefault="004D28EB" w14:paraId="7E6E143C" w14:textId="38474AB6">
      <w:pPr>
        <w:rPr>
          <w:sz w:val="20"/>
          <w:szCs w:val="20"/>
        </w:rPr>
      </w:pPr>
      <w:r>
        <w:rPr>
          <w:sz w:val="20"/>
          <w:szCs w:val="20"/>
        </w:rPr>
        <w:t>HealthEquity does not provide legal, tax or financial advice.</w:t>
      </w:r>
    </w:p>
    <w:p w:rsidR="00FB45FA" w:rsidRDefault="00FB45FA" w14:paraId="5DD432B7" w14:textId="77777777">
      <w:pPr>
        <w:rPr>
          <w:sz w:val="20"/>
          <w:szCs w:val="20"/>
        </w:rPr>
      </w:pPr>
    </w:p>
    <w:p w:rsidR="00FB45FA" w:rsidP="033D3631" w:rsidRDefault="00FB45FA" w14:paraId="5DDBB3D3" w14:textId="2D2B3551">
      <w:pPr>
        <w:rPr>
          <w:sz w:val="20"/>
          <w:szCs w:val="20"/>
          <w:lang w:val="en-US"/>
        </w:rPr>
      </w:pPr>
      <w:r w:rsidRPr="033D3631" w:rsidR="00FB45FA">
        <w:rPr>
          <w:sz w:val="20"/>
          <w:szCs w:val="20"/>
          <w:lang w:val="en-US"/>
        </w:rPr>
        <w:t xml:space="preserve">CareFirst BlueCross BlueShield is the shared business name of CareFirst of Maryland, Inc. and Group Hospitalization and Medical Services, Inc. CareFirst of Maryland, Inc., Group Hospitalization and Medical Services, Inc., CareFirst </w:t>
      </w:r>
      <w:r w:rsidRPr="033D3631" w:rsidR="00FB45FA">
        <w:rPr>
          <w:sz w:val="20"/>
          <w:szCs w:val="20"/>
          <w:lang w:val="en-US"/>
        </w:rPr>
        <w:t>BlueChoice</w:t>
      </w:r>
      <w:r w:rsidRPr="033D3631" w:rsidR="00FB45FA">
        <w:rPr>
          <w:sz w:val="20"/>
          <w:szCs w:val="20"/>
          <w:lang w:val="en-US"/>
        </w:rPr>
        <w:t xml:space="preserve">, Inc., and The Dental Network, Inc. are independent </w:t>
      </w:r>
      <w:r w:rsidRPr="033D3631" w:rsidR="00FB45FA">
        <w:rPr>
          <w:sz w:val="20"/>
          <w:szCs w:val="20"/>
          <w:lang w:val="en-US"/>
        </w:rPr>
        <w:t>licensees</w:t>
      </w:r>
      <w:r w:rsidRPr="033D3631" w:rsidR="00FB45FA">
        <w:rPr>
          <w:sz w:val="20"/>
          <w:szCs w:val="20"/>
          <w:lang w:val="en-US"/>
        </w:rPr>
        <w:t xml:space="preserve"> of the Blue Cross and Blue Shield Association. BLUE CROSS®, BLUE SHIELD® and the Cross and Shield Symbols are registered service marks of the Blue Cross and Blue Shield Association, an association of independent Blue Cross and Blue Shield Plans. </w:t>
      </w:r>
    </w:p>
    <w:p w:rsidRPr="00FB45FA" w:rsidR="00FB45FA" w:rsidP="00FB45FA" w:rsidRDefault="00FB45FA" w14:paraId="0C069F15" w14:textId="77777777">
      <w:pPr>
        <w:rPr>
          <w:sz w:val="20"/>
          <w:szCs w:val="20"/>
        </w:rPr>
      </w:pPr>
    </w:p>
    <w:p w:rsidR="00FB45FA" w:rsidP="033D3631" w:rsidRDefault="00FB45FA" w14:paraId="1827AE7F" w14:textId="4216ED07">
      <w:pPr>
        <w:rPr>
          <w:sz w:val="20"/>
          <w:szCs w:val="20"/>
          <w:lang w:val="en-US"/>
        </w:rPr>
      </w:pPr>
      <w:r w:rsidRPr="033D3631" w:rsidR="00FB45FA">
        <w:rPr>
          <w:sz w:val="20"/>
          <w:szCs w:val="20"/>
          <w:lang w:val="en-US"/>
        </w:rPr>
        <w:t xml:space="preserve">HealthEquity, Inc. is an independent IRS approved non-bank trustee providing HSA custodial services for CareFirst BlueCross BlueShield and CareFirst </w:t>
      </w:r>
      <w:r w:rsidRPr="033D3631" w:rsidR="00FB45FA">
        <w:rPr>
          <w:sz w:val="20"/>
          <w:szCs w:val="20"/>
          <w:lang w:val="en-US"/>
        </w:rPr>
        <w:t>BlueChoice</w:t>
      </w:r>
      <w:r w:rsidRPr="033D3631" w:rsidR="00FB45FA">
        <w:rPr>
          <w:sz w:val="20"/>
          <w:szCs w:val="20"/>
          <w:lang w:val="en-US"/>
        </w:rPr>
        <w:t xml:space="preserve"> consumer directed health care plans</w:t>
      </w:r>
      <w:r w:rsidRPr="033D3631" w:rsidR="00FB45FA">
        <w:rPr>
          <w:sz w:val="20"/>
          <w:szCs w:val="20"/>
          <w:lang w:val="en-US"/>
        </w:rPr>
        <w:t>.</w:t>
      </w:r>
    </w:p>
    <w:p w:rsidR="00FE4F0D" w:rsidRDefault="00FE4F0D" w14:paraId="600B3EDA" w14:textId="77777777">
      <w:pPr>
        <w:spacing w:line="240" w:lineRule="auto"/>
      </w:pPr>
    </w:p>
    <w:sectPr w:rsidR="00FE4F0D">
      <w:headerReference w:type="default" r:id="rId8"/>
      <w:headerReference w:type="first" r:id="rId9"/>
      <w:pgSz w:w="12240" w:h="15840" w:orient="portrait"/>
      <w:pgMar w:top="1440" w:right="1440" w:bottom="1440" w:left="1440" w:header="720" w:footer="720" w:gutter="0"/>
      <w:pgNumType w:start="1"/>
      <w:cols w:space="720"/>
      <w:titlePg/>
      <w:footerReference w:type="default" r:id="R1ce5f8a75ab1434d"/>
      <w:footerReference w:type="first" r:id="Rf5f64ee2145247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26B95" w:rsidRDefault="00926B95" w14:paraId="7EF0F2EA" w14:textId="77777777">
      <w:pPr>
        <w:spacing w:line="240" w:lineRule="auto"/>
      </w:pPr>
      <w:r>
        <w:separator/>
      </w:r>
    </w:p>
  </w:endnote>
  <w:endnote w:type="continuationSeparator" w:id="0">
    <w:p w:rsidR="00926B95" w:rsidRDefault="00926B95" w14:paraId="36FDB9FD"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120"/>
      <w:gridCol w:w="3120"/>
      <w:gridCol w:w="3120"/>
    </w:tblGrid>
    <w:tr w:rsidR="033D3631" w:rsidTr="033D3631" w14:paraId="611EA947">
      <w:trPr>
        <w:trHeight w:val="300"/>
      </w:trPr>
      <w:tc>
        <w:tcPr>
          <w:tcW w:w="3120" w:type="dxa"/>
          <w:tcMar/>
        </w:tcPr>
        <w:p w:rsidR="033D3631" w:rsidP="033D3631" w:rsidRDefault="033D3631" w14:paraId="0826F1C4" w14:textId="694D2C7C">
          <w:pPr>
            <w:pStyle w:val="Header"/>
            <w:bidi w:val="0"/>
            <w:ind w:left="-115"/>
            <w:jc w:val="left"/>
          </w:pPr>
        </w:p>
      </w:tc>
      <w:tc>
        <w:tcPr>
          <w:tcW w:w="3120" w:type="dxa"/>
          <w:tcMar/>
        </w:tcPr>
        <w:p w:rsidR="033D3631" w:rsidP="033D3631" w:rsidRDefault="033D3631" w14:paraId="2E850885" w14:textId="6751F109">
          <w:pPr>
            <w:pStyle w:val="Header"/>
            <w:bidi w:val="0"/>
            <w:jc w:val="center"/>
          </w:pPr>
        </w:p>
      </w:tc>
      <w:tc>
        <w:tcPr>
          <w:tcW w:w="3120" w:type="dxa"/>
          <w:tcMar/>
        </w:tcPr>
        <w:p w:rsidR="033D3631" w:rsidP="033D3631" w:rsidRDefault="033D3631" w14:paraId="031E440A" w14:textId="705DF5B3">
          <w:pPr>
            <w:pStyle w:val="Header"/>
            <w:bidi w:val="0"/>
            <w:ind w:right="-115"/>
            <w:jc w:val="right"/>
          </w:pPr>
        </w:p>
      </w:tc>
    </w:tr>
  </w:tbl>
  <w:p w:rsidR="033D3631" w:rsidP="033D3631" w:rsidRDefault="033D3631" w14:paraId="5F7D607D" w14:textId="69507DCB">
    <w:pPr>
      <w:pStyle w:val="Footer"/>
      <w:bidi w:val="0"/>
    </w:pPr>
  </w:p>
</w:ftr>
</file>

<file path=word/footer2.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120"/>
      <w:gridCol w:w="3120"/>
      <w:gridCol w:w="3120"/>
    </w:tblGrid>
    <w:tr w:rsidR="033D3631" w:rsidTr="033D3631" w14:paraId="0A71749A">
      <w:trPr>
        <w:trHeight w:val="300"/>
      </w:trPr>
      <w:tc>
        <w:tcPr>
          <w:tcW w:w="3120" w:type="dxa"/>
          <w:tcMar/>
        </w:tcPr>
        <w:p w:rsidR="033D3631" w:rsidP="033D3631" w:rsidRDefault="033D3631" w14:paraId="4A5D69FB" w14:textId="5236B525">
          <w:pPr>
            <w:pStyle w:val="Header"/>
            <w:bidi w:val="0"/>
            <w:ind w:left="-115"/>
            <w:jc w:val="left"/>
          </w:pPr>
        </w:p>
      </w:tc>
      <w:tc>
        <w:tcPr>
          <w:tcW w:w="3120" w:type="dxa"/>
          <w:tcMar/>
        </w:tcPr>
        <w:p w:rsidR="033D3631" w:rsidP="033D3631" w:rsidRDefault="033D3631" w14:paraId="0D3F7B51" w14:textId="6EB028B2">
          <w:pPr>
            <w:pStyle w:val="Header"/>
            <w:bidi w:val="0"/>
            <w:jc w:val="center"/>
          </w:pPr>
        </w:p>
      </w:tc>
      <w:tc>
        <w:tcPr>
          <w:tcW w:w="3120" w:type="dxa"/>
          <w:tcMar/>
        </w:tcPr>
        <w:p w:rsidR="033D3631" w:rsidP="033D3631" w:rsidRDefault="033D3631" w14:paraId="4092C05C" w14:textId="69D789F2">
          <w:pPr>
            <w:pStyle w:val="Header"/>
            <w:bidi w:val="0"/>
            <w:ind w:right="-115"/>
            <w:jc w:val="right"/>
          </w:pPr>
        </w:p>
      </w:tc>
    </w:tr>
  </w:tbl>
  <w:p w:rsidR="033D3631" w:rsidP="033D3631" w:rsidRDefault="033D3631" w14:paraId="68ED0F4A" w14:textId="5DC03039">
    <w:pPr>
      <w:pStyle w:val="Footer"/>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26B95" w:rsidRDefault="00926B95" w14:paraId="06F32A54" w14:textId="77777777">
      <w:pPr>
        <w:spacing w:line="240" w:lineRule="auto"/>
      </w:pPr>
      <w:bookmarkStart w:name="_Hlk220350529" w:id="0"/>
      <w:bookmarkEnd w:id="0"/>
      <w:r>
        <w:separator/>
      </w:r>
    </w:p>
  </w:footnote>
  <w:footnote w:type="continuationSeparator" w:id="0">
    <w:p w:rsidR="00926B95" w:rsidRDefault="00926B95" w14:paraId="05C759B5"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4F0D" w:rsidRDefault="00FE4F0D" w14:paraId="4F1AE881" w14:textId="77777777">
    <w:pPr>
      <w:spacing w:line="24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E761D4" w:rsidP="033D3631" w:rsidRDefault="00E761D4" w14:paraId="2164D3A9" w14:textId="6AC561B2">
    <w:pPr>
      <w:spacing w:line="240" w:lineRule="auto"/>
      <w:rPr>
        <w:rFonts w:ascii="Calibri" w:hAnsi="Calibri" w:eastAsia="Calibri" w:cs="Calibri"/>
        <w:noProof/>
      </w:rPr>
    </w:pPr>
    <w:r w:rsidR="033D3631">
      <w:drawing>
        <wp:inline wp14:editId="5FE53BCA" wp14:anchorId="4549265B">
          <wp:extent cx="932688" cy="274320"/>
          <wp:effectExtent l="0" t="0" r="1270" b="0"/>
          <wp:docPr id="1233771521" name="Picture 1"/>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932688" cy="274320"/>
                  </a:xfrm>
                  <a:prstGeom prst="rect">
                    <a:avLst/>
                  </a:prstGeom>
                  <a:noFill/>
                  <a:ln>
                    <a:noFill/>
                  </a:ln>
                </pic:spPr>
              </pic:pic>
            </a:graphicData>
          </a:graphic>
        </wp:inline>
      </w:drawing>
    </w:r>
    <w:r w:rsidRPr="033D3631" w:rsidR="033D3631">
      <w:rPr>
        <w:rFonts w:ascii="Calibri" w:hAnsi="Calibri" w:eastAsia="Calibri" w:cs="Calibri"/>
        <w:noProof/>
      </w:rPr>
      <w:t xml:space="preserve"> </w:t>
    </w:r>
    <w:r w:rsidRPr="033D3631" w:rsidR="033D3631">
      <w:rPr>
        <w:rFonts w:ascii="Calibri" w:hAnsi="Calibri" w:eastAsia="Calibri" w:cs="Calibri"/>
        <w:noProof/>
      </w:rPr>
      <w:t xml:space="preserve"> </w:t>
    </w:r>
    <w:r w:rsidRPr="033D3631" w:rsidR="033D3631">
      <w:rPr>
        <w:rFonts w:ascii="Calibri" w:hAnsi="Calibri" w:eastAsia="Calibri" w:cs="Calibri"/>
        <w:noProof/>
      </w:rPr>
      <w:t xml:space="preserve">  </w:t>
    </w:r>
    <w:r w:rsidR="033D3631">
      <w:drawing>
        <wp:inline wp14:editId="57D3B810" wp14:anchorId="2041F249">
          <wp:extent cx="1206019" cy="195205"/>
          <wp:effectExtent l="0" t="0" r="0" b="0"/>
          <wp:docPr id="1401421723"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401421723" name="Picture 1401421723"/>
                  <pic:cNvPicPr/>
                </pic:nvPicPr>
                <pic:blipFill>
                  <a:blip xmlns:r="http://schemas.openxmlformats.org/officeDocument/2006/relationships" r:embed="rId1974629033">
                    <a:extLst>
                      <a:ext uri="{28A0092B-C50C-407E-A947-70E740481C1C}">
                        <a14:useLocalDpi xmlns:a14="http://schemas.microsoft.com/office/drawing/2010/main"/>
                      </a:ext>
                    </a:extLst>
                  </a:blip>
                  <a:stretch>
                    <a:fillRect/>
                  </a:stretch>
                </pic:blipFill>
                <pic:spPr>
                  <a:xfrm rot="0">
                    <a:off x="0" y="0"/>
                    <a:ext cx="1206019" cy="195205"/>
                  </a:xfrm>
                  <a:prstGeom prst="rect">
                    <a:avLst/>
                  </a:prstGeom>
                </pic:spPr>
              </pic:pic>
            </a:graphicData>
          </a:graphic>
        </wp:inline>
      </w:drawing>
    </w:r>
  </w:p>
  <w:p w:rsidR="00FE4F0D" w:rsidRDefault="004D28EB" w14:paraId="51BADF08" w14:textId="1CF941FA">
    <w:pPr>
      <w:spacing w:line="240" w:lineRule="auto"/>
      <w:rPr>
        <w:sz w:val="24"/>
        <w:szCs w:val="24"/>
      </w:rPr>
    </w:pPr>
    <w:r>
      <w:rPr>
        <w:noProof/>
        <w:sz w:val="24"/>
        <w:szCs w:val="24"/>
      </w:rPr>
      <mc:AlternateContent>
        <mc:Choice Requires="wps">
          <w:drawing>
            <wp:anchor distT="0" distB="0" distL="0" distR="0" simplePos="0" relativeHeight="251658240" behindDoc="1" locked="0" layoutInCell="1" hidden="0" allowOverlap="1" wp14:anchorId="6D599C6A" wp14:editId="21D27A55">
              <wp:simplePos x="0" y="0"/>
              <wp:positionH relativeFrom="page">
                <wp:posOffset>681038</wp:posOffset>
              </wp:positionH>
              <wp:positionV relativeFrom="page">
                <wp:posOffset>699453</wp:posOffset>
              </wp:positionV>
              <wp:extent cx="1850390" cy="370205"/>
              <wp:effectExtent l="0" t="0" r="0" b="0"/>
              <wp:wrapNone/>
              <wp:docPr id="1" name="Rectangle 1"/>
              <wp:cNvGraphicFramePr/>
              <a:graphic xmlns:a="http://schemas.openxmlformats.org/drawingml/2006/main">
                <a:graphicData uri="http://schemas.microsoft.com/office/word/2010/wordprocessingShape">
                  <wps:wsp>
                    <wps:cNvSpPr/>
                    <wps:spPr>
                      <a:xfrm>
                        <a:off x="4425568" y="3599660"/>
                        <a:ext cx="1840865" cy="360680"/>
                      </a:xfrm>
                      <a:prstGeom prst="rect">
                        <a:avLst/>
                      </a:prstGeom>
                      <a:solidFill>
                        <a:srgbClr val="FFFFFF"/>
                      </a:solidFill>
                      <a:ln>
                        <a:noFill/>
                      </a:ln>
                    </wps:spPr>
                    <wps:txbx>
                      <w:txbxContent>
                        <w:p w:rsidR="00FE4F0D" w:rsidRDefault="00FE4F0D" w14:paraId="22ABD10B" w14:textId="77777777">
                          <w:pPr>
                            <w:spacing w:line="240" w:lineRule="auto"/>
                            <w:textDirection w:val="btLr"/>
                          </w:pPr>
                        </w:p>
                      </w:txbxContent>
                    </wps:txbx>
                    <wps:bodyPr spcFirstLastPara="1" wrap="square" lIns="0" tIns="9125" rIns="182875" bIns="9125" anchor="t" anchorCtr="0">
                      <a:noAutofit/>
                    </wps:bodyPr>
                  </wps:wsp>
                </a:graphicData>
              </a:graphic>
            </wp:anchor>
          </w:drawing>
        </mc:Choice>
        <mc:Fallback>
          <w:pict>
            <v:rect id="Rectangle 1" style="position:absolute;margin-left:53.65pt;margin-top:55.1pt;width:145.7pt;height:29.15pt;z-index:-251658240;visibility:visible;mso-wrap-style:square;mso-wrap-distance-left:0;mso-wrap-distance-top:0;mso-wrap-distance-right:0;mso-wrap-distance-bottom:0;mso-position-horizontal:absolute;mso-position-horizontal-relative:page;mso-position-vertical:absolute;mso-position-vertical-relative:page;v-text-anchor:top" o:spid="_x0000_s1026" stroked="f" w14:anchorId="6D599C6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">
              <v:textbox inset="0,.25347mm,5.07986mm,.25347mm">
                <w:txbxContent>
                  <w:p w:rsidR="00FE4F0D" w:rsidRDefault="00FE4F0D" w14:paraId="22ABD10B" w14:textId="77777777">
                    <w:pPr>
                      <w:spacing w:line="240" w:lineRule="auto"/>
                      <w:textDirection w:val="btLr"/>
                    </w:pPr>
                  </w:p>
                </w:txbxContent>
              </v:textbox>
              <w10:wrap anchorx="page" anchory="page"/>
            </v:rect>
          </w:pict>
        </mc:Fallback>
      </mc:AlternateContent>
    </w:r>
  </w:p>
  <w:p w:rsidR="00FE4F0D" w:rsidRDefault="004D28EB" w14:paraId="090B12AC" w14:textId="77777777">
    <w:pPr>
      <w:spacing w:line="240" w:lineRule="auto"/>
      <w:rPr>
        <w:sz w:val="20"/>
        <w:szCs w:val="20"/>
      </w:rPr>
    </w:pPr>
    <w:r>
      <w:rPr>
        <w:sz w:val="20"/>
        <w:szCs w:val="20"/>
      </w:rPr>
      <w:t xml:space="preserve">15 West Scenic Pointe Drive, Suite 100 </w:t>
    </w:r>
  </w:p>
  <w:p w:rsidR="00FE4F0D" w:rsidRDefault="004D28EB" w14:paraId="08D7FF05" w14:textId="77777777">
    <w:pPr>
      <w:spacing w:line="240" w:lineRule="auto"/>
    </w:pPr>
    <w:r>
      <w:rPr>
        <w:sz w:val="20"/>
        <w:szCs w:val="20"/>
      </w:rPr>
      <w:t xml:space="preserve">Draper, UT 84020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3">
    <w:nsid w:val="23c7904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32B396C"/>
    <w:multiLevelType w:val="multilevel"/>
    <w:tmpl w:val="354AD4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3855F90"/>
    <w:multiLevelType w:val="hybridMultilevel"/>
    <w:tmpl w:val="E3A01CD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56AA7847"/>
    <w:multiLevelType w:val="hybridMultilevel"/>
    <w:tmpl w:val="F66A04E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4">
    <w:abstractNumId w:val="3"/>
  </w:num>
  <w:num w:numId="1" w16cid:durableId="1095517511">
    <w:abstractNumId w:val="0"/>
  </w:num>
  <w:num w:numId="2" w16cid:durableId="1686903664">
    <w:abstractNumId w:val="2"/>
  </w:num>
  <w:num w:numId="3" w16cid:durableId="13989394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F0D"/>
    <w:rsid w:val="00052BA4"/>
    <w:rsid w:val="00097C17"/>
    <w:rsid w:val="00161868"/>
    <w:rsid w:val="001819FE"/>
    <w:rsid w:val="001D09DA"/>
    <w:rsid w:val="001F4423"/>
    <w:rsid w:val="002228FD"/>
    <w:rsid w:val="002D1E75"/>
    <w:rsid w:val="002F6C2C"/>
    <w:rsid w:val="003041CE"/>
    <w:rsid w:val="003155BE"/>
    <w:rsid w:val="00355AB0"/>
    <w:rsid w:val="00384988"/>
    <w:rsid w:val="0039448B"/>
    <w:rsid w:val="003F5988"/>
    <w:rsid w:val="00467820"/>
    <w:rsid w:val="00472AEE"/>
    <w:rsid w:val="004D28EB"/>
    <w:rsid w:val="004D7CEB"/>
    <w:rsid w:val="00545C8C"/>
    <w:rsid w:val="00607B69"/>
    <w:rsid w:val="006116EB"/>
    <w:rsid w:val="006872A7"/>
    <w:rsid w:val="006C5B48"/>
    <w:rsid w:val="006F2D6C"/>
    <w:rsid w:val="006F6C04"/>
    <w:rsid w:val="007619D1"/>
    <w:rsid w:val="007D61B6"/>
    <w:rsid w:val="007E3A53"/>
    <w:rsid w:val="00821959"/>
    <w:rsid w:val="00825547"/>
    <w:rsid w:val="00883D6C"/>
    <w:rsid w:val="008D397F"/>
    <w:rsid w:val="009241BB"/>
    <w:rsid w:val="00926B95"/>
    <w:rsid w:val="00951C03"/>
    <w:rsid w:val="00953F2C"/>
    <w:rsid w:val="009A63B8"/>
    <w:rsid w:val="009A6C5F"/>
    <w:rsid w:val="009E6992"/>
    <w:rsid w:val="00A234BB"/>
    <w:rsid w:val="00A63CC4"/>
    <w:rsid w:val="00A65305"/>
    <w:rsid w:val="00AC5516"/>
    <w:rsid w:val="00AF07CD"/>
    <w:rsid w:val="00BD7F65"/>
    <w:rsid w:val="00C67F91"/>
    <w:rsid w:val="00C72772"/>
    <w:rsid w:val="00C90F15"/>
    <w:rsid w:val="00D006E2"/>
    <w:rsid w:val="00D37F23"/>
    <w:rsid w:val="00D66B47"/>
    <w:rsid w:val="00D735F1"/>
    <w:rsid w:val="00DA15BB"/>
    <w:rsid w:val="00DA6815"/>
    <w:rsid w:val="00DF49F9"/>
    <w:rsid w:val="00E32CD3"/>
    <w:rsid w:val="00E348A2"/>
    <w:rsid w:val="00E60FC1"/>
    <w:rsid w:val="00E761D4"/>
    <w:rsid w:val="00F05505"/>
    <w:rsid w:val="00FB45FA"/>
    <w:rsid w:val="00FE4F0D"/>
    <w:rsid w:val="013768EA"/>
    <w:rsid w:val="033D3631"/>
    <w:rsid w:val="04BF6EF6"/>
    <w:rsid w:val="07B06DED"/>
    <w:rsid w:val="0DA7FE6C"/>
    <w:rsid w:val="1119A59F"/>
    <w:rsid w:val="123B90BB"/>
    <w:rsid w:val="134CB11F"/>
    <w:rsid w:val="18533C1B"/>
    <w:rsid w:val="19735F96"/>
    <w:rsid w:val="1B3D52CA"/>
    <w:rsid w:val="1CE5DE8E"/>
    <w:rsid w:val="1EC823F5"/>
    <w:rsid w:val="1EC823F5"/>
    <w:rsid w:val="24511B7A"/>
    <w:rsid w:val="285806C2"/>
    <w:rsid w:val="2BAD64D7"/>
    <w:rsid w:val="337B226C"/>
    <w:rsid w:val="3625933D"/>
    <w:rsid w:val="3B223439"/>
    <w:rsid w:val="3E04D804"/>
    <w:rsid w:val="3E04D804"/>
    <w:rsid w:val="3FC6D304"/>
    <w:rsid w:val="48086F48"/>
    <w:rsid w:val="4B1FAB6C"/>
    <w:rsid w:val="4B8216A0"/>
    <w:rsid w:val="4C9A42C2"/>
    <w:rsid w:val="4DF50B2C"/>
    <w:rsid w:val="562352E9"/>
    <w:rsid w:val="58A4AE0B"/>
    <w:rsid w:val="58D05629"/>
    <w:rsid w:val="59966F88"/>
    <w:rsid w:val="5A260228"/>
    <w:rsid w:val="650519B8"/>
    <w:rsid w:val="654ADEA2"/>
    <w:rsid w:val="6CB66D62"/>
    <w:rsid w:val="6E41071C"/>
    <w:rsid w:val="7181CD86"/>
    <w:rsid w:val="733BF18A"/>
    <w:rsid w:val="752E69C4"/>
    <w:rsid w:val="7954A357"/>
    <w:rsid w:val="7D3A60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C57C51"/>
  <w15:docId w15:val="{6CAE6051-3319-4513-A5F1-988B0E090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052BA4"/>
    <w:pPr>
      <w:ind w:left="720"/>
      <w:contextualSpacing/>
    </w:pPr>
  </w:style>
  <w:style w:type="paragraph" w:styleId="Header">
    <w:name w:val="header"/>
    <w:basedOn w:val="Normal"/>
    <w:link w:val="HeaderChar"/>
    <w:uiPriority w:val="99"/>
    <w:unhideWhenUsed/>
    <w:rsid w:val="00AC5516"/>
    <w:pPr>
      <w:tabs>
        <w:tab w:val="center" w:pos="4680"/>
        <w:tab w:val="right" w:pos="9360"/>
      </w:tabs>
      <w:spacing w:line="240" w:lineRule="auto"/>
    </w:pPr>
  </w:style>
  <w:style w:type="character" w:styleId="HeaderChar" w:customStyle="1">
    <w:name w:val="Header Char"/>
    <w:basedOn w:val="DefaultParagraphFont"/>
    <w:link w:val="Header"/>
    <w:uiPriority w:val="99"/>
    <w:rsid w:val="00AC5516"/>
  </w:style>
  <w:style w:type="paragraph" w:styleId="Footer">
    <w:name w:val="footer"/>
    <w:basedOn w:val="Normal"/>
    <w:link w:val="FooterChar"/>
    <w:uiPriority w:val="99"/>
    <w:unhideWhenUsed/>
    <w:rsid w:val="00AC5516"/>
    <w:pPr>
      <w:tabs>
        <w:tab w:val="center" w:pos="4680"/>
        <w:tab w:val="right" w:pos="9360"/>
      </w:tabs>
      <w:spacing w:line="240" w:lineRule="auto"/>
    </w:pPr>
  </w:style>
  <w:style w:type="character" w:styleId="FooterChar" w:customStyle="1">
    <w:name w:val="Footer Char"/>
    <w:basedOn w:val="DefaultParagraphFont"/>
    <w:link w:val="Footer"/>
    <w:uiPriority w:val="99"/>
    <w:rsid w:val="00AC5516"/>
  </w:style>
  <w:style w:type="character" w:styleId="Hyperlink">
    <w:name w:val="Hyperlink"/>
    <w:basedOn w:val="DefaultParagraphFont"/>
    <w:uiPriority w:val="99"/>
    <w:unhideWhenUsed/>
    <w:rsid w:val="009A63B8"/>
    <w:rPr>
      <w:color w:val="0000FF" w:themeColor="hyperlink"/>
      <w:u w:val="single"/>
    </w:rPr>
  </w:style>
  <w:style w:type="character" w:styleId="UnresolvedMention">
    <w:name w:val="Unresolved Mention"/>
    <w:basedOn w:val="DefaultParagraphFont"/>
    <w:uiPriority w:val="99"/>
    <w:semiHidden/>
    <w:unhideWhenUsed/>
    <w:rsid w:val="009A63B8"/>
    <w:rPr>
      <w:color w:val="605E5C"/>
      <w:shd w:val="clear" w:color="auto" w:fill="E1DFDD"/>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customXml" Target="../customXml/item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customXml" Target="../customXml/item2.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customXml" Target="../customXml/item4.xml" Id="rId14" /><Relationship Type="http://schemas.openxmlformats.org/officeDocument/2006/relationships/footer" Target="footer.xml" Id="R1ce5f8a75ab1434d" /><Relationship Type="http://schemas.openxmlformats.org/officeDocument/2006/relationships/footer" Target="footer2.xml" Id="Rf5f64ee214524728" /></Relationships>
</file>

<file path=word/_rels/header2.xml.rels>&#65279;<?xml version="1.0" encoding="utf-8"?><Relationships xmlns="http://schemas.openxmlformats.org/package/2006/relationships"><Relationship Type="http://schemas.openxmlformats.org/officeDocument/2006/relationships/image" Target="media/image1.png" Id="rId1" /><Relationship Type="http://schemas.openxmlformats.org/officeDocument/2006/relationships/image" Target="/media/image2.png" Id="rId1974629033"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D3E4BEA2C60644FBAC907BCF3EBF5FD" ma:contentTypeVersion="8" ma:contentTypeDescription="Create a new document." ma:contentTypeScope="" ma:versionID="d00eb46a462a32d660a80016193fe803">
  <xsd:schema xmlns:xsd="http://www.w3.org/2001/XMLSchema" xmlns:xs="http://www.w3.org/2001/XMLSchema" xmlns:p="http://schemas.microsoft.com/office/2006/metadata/properties" xmlns:ns2="96e5947b-0260-42d4-bb73-a94616dac8bb" targetNamespace="http://schemas.microsoft.com/office/2006/metadata/properties" ma:root="true" ma:fieldsID="aed92a5a4f8ba62252d99b1b84b67029" ns2:_="">
    <xsd:import namespace="96e5947b-0260-42d4-bb73-a94616dac8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e5947b-0260-42d4-bb73-a94616dac8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6C8E2B-01DC-4B6C-8838-FC3B44529123}">
  <ds:schemaRefs>
    <ds:schemaRef ds:uri="http://schemas.openxmlformats.org/officeDocument/2006/bibliography"/>
  </ds:schemaRefs>
</ds:datastoreItem>
</file>

<file path=customXml/itemProps2.xml><?xml version="1.0" encoding="utf-8"?>
<ds:datastoreItem xmlns:ds="http://schemas.openxmlformats.org/officeDocument/2006/customXml" ds:itemID="{DDAAF73B-20E0-4106-B8FF-6DE0EE66C5D7}"/>
</file>

<file path=customXml/itemProps3.xml><?xml version="1.0" encoding="utf-8"?>
<ds:datastoreItem xmlns:ds="http://schemas.openxmlformats.org/officeDocument/2006/customXml" ds:itemID="{D7DEAA9B-5795-412E-B575-B23888A1B649}"/>
</file>

<file path=customXml/itemProps4.xml><?xml version="1.0" encoding="utf-8"?>
<ds:datastoreItem xmlns:ds="http://schemas.openxmlformats.org/officeDocument/2006/customXml" ds:itemID="{FFFF0BDE-B7C1-46F0-B7A6-E6E8BE2693B8}"/>
</file>

<file path=docMetadata/LabelInfo.xml><?xml version="1.0" encoding="utf-8"?>
<clbl:labelList xmlns:clbl="http://schemas.microsoft.com/office/2020/mipLabelMetadata">
  <clbl:label id="{3b23c674-de8a-426d-bc8b-74ad6594a910}" enabled="1" method="Standard" siteId="{c5d0ad88-8f93-43b8-9b7c-c8a3bb8e410a}"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Robbie Barker</dc:creator>
  <lastModifiedBy>Robbie Barker</lastModifiedBy>
  <revision>63</revision>
  <dcterms:created xsi:type="dcterms:W3CDTF">2026-01-27T00:38:00.0000000Z</dcterms:created>
  <dcterms:modified xsi:type="dcterms:W3CDTF">2026-04-09T18:50:24.3882206Z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0x0101004D3E4BEA2C60644FBAC907BCF3EBF5FD</vt:lpwstr>
  </property>
  <property fmtid="{D5CDD505-2E9C-101B-9397-08002B2CF9AE}" pid="4" name="docLang">
    <vt:lpwstr>en</vt:lpwstr>
  </property>
</Properties>
</file>