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313C9A" w:rsidRDefault="0012682F" w14:paraId="1F366DFA" w14:textId="67171A78">
      <w:pPr>
        <w:spacing w:line="240" w:lineRule="auto"/>
      </w:pPr>
      <w:r>
        <w:rPr>
          <w:noProof/>
        </w:rPr>
        <w:drawing>
          <wp:anchor distT="0" distB="0" distL="114300" distR="114300" simplePos="0" relativeHeight="251658240" behindDoc="0" locked="0" layoutInCell="1" hidden="0" allowOverlap="1" wp14:anchorId="370D96FA" wp14:editId="0353E275">
            <wp:simplePos x="0" y="0"/>
            <wp:positionH relativeFrom="column">
              <wp:posOffset>4105552</wp:posOffset>
            </wp:positionH>
            <wp:positionV relativeFrom="paragraph">
              <wp:posOffset>-570230</wp:posOffset>
            </wp:positionV>
            <wp:extent cx="2371725" cy="657225"/>
            <wp:effectExtent l="0" t="0" r="0" b="0"/>
            <wp:wrapNone/>
            <wp:docPr id="1070830026" name="image4.png" descr="Text Box"/>
            <wp:cNvGraphicFramePr/>
            <a:graphic xmlns:a="http://schemas.openxmlformats.org/drawingml/2006/main">
              <a:graphicData uri="http://schemas.openxmlformats.org/drawingml/2006/picture">
                <pic:pic xmlns:pic="http://schemas.openxmlformats.org/drawingml/2006/picture">
                  <pic:nvPicPr>
                    <pic:cNvPr id="0" name="image4.png" descr="Text Box"/>
                    <pic:cNvPicPr preferRelativeResize="0"/>
                  </pic:nvPicPr>
                  <pic:blipFill>
                    <a:blip r:embed="rId11"/>
                    <a:srcRect/>
                    <a:stretch>
                      <a:fillRect/>
                    </a:stretch>
                  </pic:blipFill>
                  <pic:spPr>
                    <a:xfrm>
                      <a:off x="0" y="0"/>
                      <a:ext cx="2371725" cy="657225"/>
                    </a:xfrm>
                    <a:prstGeom prst="rect">
                      <a:avLst/>
                    </a:prstGeom>
                    <a:ln/>
                  </pic:spPr>
                </pic:pic>
              </a:graphicData>
            </a:graphic>
          </wp:anchor>
        </w:drawing>
      </w:r>
      <w:r w:rsidR="009E4170">
        <w:rPr>
          <w:noProof/>
        </w:rPr>
        <w:drawing>
          <wp:inline distT="0" distB="0" distL="114300" distR="114300" wp14:anchorId="78DBF49D" wp14:editId="20A52C18">
            <wp:extent cx="1895475" cy="409575"/>
            <wp:effectExtent l="0" t="0" r="0" b="0"/>
            <wp:docPr id="1070830028" name="image3.png" descr="Text Box"/>
            <wp:cNvGraphicFramePr/>
            <a:graphic xmlns:a="http://schemas.openxmlformats.org/drawingml/2006/main">
              <a:graphicData uri="http://schemas.openxmlformats.org/drawingml/2006/picture">
                <pic:pic xmlns:pic="http://schemas.openxmlformats.org/drawingml/2006/picture">
                  <pic:nvPicPr>
                    <pic:cNvPr id="0" name="image3.png" descr="Text Box"/>
                    <pic:cNvPicPr preferRelativeResize="0"/>
                  </pic:nvPicPr>
                  <pic:blipFill>
                    <a:blip r:embed="rId12"/>
                    <a:srcRect/>
                    <a:stretch>
                      <a:fillRect/>
                    </a:stretch>
                  </pic:blipFill>
                  <pic:spPr>
                    <a:xfrm>
                      <a:off x="0" y="0"/>
                      <a:ext cx="1895475" cy="409575"/>
                    </a:xfrm>
                    <a:prstGeom prst="rect">
                      <a:avLst/>
                    </a:prstGeom>
                    <a:ln/>
                  </pic:spPr>
                </pic:pic>
              </a:graphicData>
            </a:graphic>
          </wp:inline>
        </w:drawing>
      </w:r>
    </w:p>
    <w:p w:rsidR="00FA17FB" w:rsidP="00FA17FB" w:rsidRDefault="00FA17FB" w14:paraId="22DE617E" w14:textId="77777777">
      <w:pPr>
        <w:pBdr>
          <w:top w:val="nil"/>
          <w:left w:val="nil"/>
          <w:bottom w:val="nil"/>
          <w:right w:val="nil"/>
          <w:between w:val="nil"/>
        </w:pBdr>
        <w:spacing w:line="240" w:lineRule="auto"/>
        <w:rPr>
          <w:color w:val="000000"/>
          <w:sz w:val="21"/>
          <w:szCs w:val="21"/>
        </w:rPr>
      </w:pPr>
      <w:r>
        <w:rPr>
          <w:color w:val="000000"/>
          <w:sz w:val="21"/>
          <w:szCs w:val="21"/>
        </w:rPr>
        <w:t>«</w:t>
      </w:r>
      <w:proofErr w:type="spellStart"/>
      <w:r>
        <w:rPr>
          <w:color w:val="000000"/>
          <w:sz w:val="21"/>
          <w:szCs w:val="21"/>
        </w:rPr>
        <w:t>First_Name</w:t>
      </w:r>
      <w:proofErr w:type="spellEnd"/>
      <w:r>
        <w:rPr>
          <w:color w:val="000000"/>
          <w:sz w:val="21"/>
          <w:szCs w:val="21"/>
        </w:rPr>
        <w:t>» «</w:t>
      </w:r>
      <w:proofErr w:type="spellStart"/>
      <w:r>
        <w:rPr>
          <w:color w:val="000000"/>
          <w:sz w:val="21"/>
          <w:szCs w:val="21"/>
        </w:rPr>
        <w:t>Last_Name</w:t>
      </w:r>
      <w:proofErr w:type="spellEnd"/>
      <w:r>
        <w:rPr>
          <w:color w:val="000000"/>
          <w:sz w:val="21"/>
          <w:szCs w:val="21"/>
        </w:rPr>
        <w:t>»</w:t>
      </w:r>
    </w:p>
    <w:p w:rsidR="00FA17FB" w:rsidP="00FA17FB" w:rsidRDefault="00FA17FB" w14:paraId="484EE5BB" w14:textId="77777777">
      <w:pPr>
        <w:pBdr>
          <w:top w:val="nil"/>
          <w:left w:val="nil"/>
          <w:bottom w:val="nil"/>
          <w:right w:val="nil"/>
          <w:between w:val="nil"/>
        </w:pBdr>
        <w:spacing w:line="240" w:lineRule="auto"/>
        <w:rPr>
          <w:color w:val="000000"/>
          <w:sz w:val="21"/>
          <w:szCs w:val="21"/>
        </w:rPr>
      </w:pPr>
      <w:r>
        <w:rPr>
          <w:color w:val="000000"/>
          <w:sz w:val="21"/>
          <w:szCs w:val="21"/>
        </w:rPr>
        <w:t>«Street1»</w:t>
      </w:r>
    </w:p>
    <w:p w:rsidR="00FA17FB" w:rsidP="00FA17FB" w:rsidRDefault="00FA17FB" w14:paraId="15D0114D" w14:textId="77777777">
      <w:pPr>
        <w:pBdr>
          <w:top w:val="nil"/>
          <w:left w:val="nil"/>
          <w:bottom w:val="nil"/>
          <w:right w:val="nil"/>
          <w:between w:val="nil"/>
        </w:pBdr>
        <w:spacing w:line="240" w:lineRule="auto"/>
        <w:rPr>
          <w:color w:val="000000"/>
          <w:sz w:val="21"/>
          <w:szCs w:val="21"/>
        </w:rPr>
      </w:pPr>
      <w:r>
        <w:rPr>
          <w:color w:val="000000"/>
          <w:sz w:val="21"/>
          <w:szCs w:val="21"/>
        </w:rPr>
        <w:t>«Street2»</w:t>
      </w:r>
    </w:p>
    <w:p w:rsidR="00FA17FB" w:rsidP="00FA17FB" w:rsidRDefault="00FA17FB" w14:paraId="6A346CB2" w14:textId="77777777">
      <w:pPr>
        <w:pBdr>
          <w:top w:val="nil"/>
          <w:left w:val="nil"/>
          <w:bottom w:val="nil"/>
          <w:right w:val="nil"/>
          <w:between w:val="nil"/>
        </w:pBdr>
        <w:spacing w:line="240" w:lineRule="auto"/>
        <w:rPr>
          <w:color w:val="000000"/>
          <w:sz w:val="21"/>
          <w:szCs w:val="21"/>
        </w:rPr>
      </w:pPr>
      <w:r>
        <w:rPr>
          <w:color w:val="000000"/>
          <w:sz w:val="21"/>
          <w:szCs w:val="21"/>
        </w:rPr>
        <w:t>«City», «State» «Zip»</w:t>
      </w:r>
    </w:p>
    <w:p w:rsidR="00FA17FB" w:rsidP="00FA17FB" w:rsidRDefault="00FA17FB" w14:paraId="783ACB91" w14:textId="77777777">
      <w:pPr>
        <w:pBdr>
          <w:top w:val="nil"/>
          <w:left w:val="nil"/>
          <w:bottom w:val="nil"/>
          <w:right w:val="nil"/>
          <w:between w:val="nil"/>
        </w:pBdr>
        <w:spacing w:line="240" w:lineRule="auto"/>
        <w:rPr>
          <w:color w:val="000000"/>
          <w:sz w:val="21"/>
          <w:szCs w:val="21"/>
        </w:rPr>
      </w:pPr>
    </w:p>
    <w:p w:rsidR="00FA17FB" w:rsidP="00FA17FB" w:rsidRDefault="00FA17FB" w14:paraId="02A070E4" w14:textId="77777777">
      <w:pPr>
        <w:spacing w:line="252" w:lineRule="auto"/>
        <w:rPr>
          <w:color w:val="0D0D0D"/>
          <w:sz w:val="21"/>
          <w:szCs w:val="21"/>
        </w:rPr>
      </w:pPr>
      <w:r>
        <w:rPr>
          <w:color w:val="0D0D0D"/>
          <w:sz w:val="21"/>
          <w:szCs w:val="21"/>
        </w:rPr>
        <w:t>Month X, 2024</w:t>
      </w:r>
    </w:p>
    <w:p w:rsidR="00FA17FB" w:rsidP="00FA17FB" w:rsidRDefault="00FA17FB" w14:paraId="60178E01" w14:textId="77777777">
      <w:pPr>
        <w:pBdr>
          <w:top w:val="nil"/>
          <w:left w:val="nil"/>
          <w:bottom w:val="nil"/>
          <w:right w:val="nil"/>
          <w:between w:val="nil"/>
        </w:pBdr>
        <w:spacing w:line="252" w:lineRule="auto"/>
        <w:rPr>
          <w:color w:val="0D0D0D"/>
          <w:sz w:val="21"/>
          <w:szCs w:val="21"/>
        </w:rPr>
      </w:pPr>
    </w:p>
    <w:p w:rsidR="00FA17FB" w:rsidP="00FA17FB" w:rsidRDefault="00FA17FB" w14:paraId="02AF9888" w14:textId="77777777">
      <w:pPr>
        <w:pBdr>
          <w:top w:val="nil"/>
          <w:left w:val="nil"/>
          <w:bottom w:val="nil"/>
          <w:right w:val="nil"/>
          <w:between w:val="nil"/>
        </w:pBdr>
        <w:spacing w:line="252" w:lineRule="auto"/>
        <w:rPr>
          <w:color w:val="0D0D0D"/>
          <w:sz w:val="21"/>
          <w:szCs w:val="21"/>
        </w:rPr>
      </w:pPr>
      <w:r>
        <w:rPr>
          <w:color w:val="0D0D0D"/>
          <w:sz w:val="21"/>
          <w:szCs w:val="21"/>
        </w:rPr>
        <w:t>Dear «</w:t>
      </w:r>
      <w:proofErr w:type="spellStart"/>
      <w:r>
        <w:rPr>
          <w:color w:val="0D0D0D"/>
          <w:sz w:val="21"/>
          <w:szCs w:val="21"/>
        </w:rPr>
        <w:t>First_Name</w:t>
      </w:r>
      <w:proofErr w:type="spellEnd"/>
      <w:r>
        <w:rPr>
          <w:color w:val="0D0D0D"/>
          <w:sz w:val="21"/>
          <w:szCs w:val="21"/>
        </w:rPr>
        <w:t>»,</w:t>
      </w:r>
    </w:p>
    <w:p w:rsidR="00FA17FB" w:rsidP="00FA17FB" w:rsidRDefault="00FA17FB" w14:paraId="257B4D8F" w14:textId="77777777">
      <w:pPr>
        <w:pBdr>
          <w:top w:val="nil"/>
          <w:left w:val="nil"/>
          <w:bottom w:val="nil"/>
          <w:right w:val="nil"/>
          <w:between w:val="nil"/>
        </w:pBdr>
        <w:spacing w:line="252" w:lineRule="auto"/>
        <w:rPr>
          <w:color w:val="0D0D0D"/>
          <w:sz w:val="21"/>
          <w:szCs w:val="21"/>
        </w:rPr>
      </w:pPr>
    </w:p>
    <w:p w:rsidR="00FA17FB" w:rsidP="00FA17FB" w:rsidRDefault="00FA17FB" w14:paraId="065B2A9E" w14:textId="77777777">
      <w:pPr>
        <w:spacing w:line="252" w:lineRule="auto"/>
        <w:rPr>
          <w:b/>
          <w:color w:val="0D0D0D"/>
          <w:sz w:val="21"/>
          <w:szCs w:val="21"/>
        </w:rPr>
      </w:pPr>
      <w:r>
        <w:rPr>
          <w:color w:val="0D0D0D"/>
          <w:sz w:val="21"/>
          <w:szCs w:val="21"/>
        </w:rPr>
        <w:t>We are contacting you regarding an upcoming change in the administration of your</w:t>
      </w:r>
      <w:r>
        <w:rPr>
          <w:b/>
          <w:color w:val="0D0D0D"/>
          <w:sz w:val="21"/>
          <w:szCs w:val="21"/>
        </w:rPr>
        <w:t xml:space="preserve"> Health Savings Account (HSA).</w:t>
      </w:r>
      <w:r>
        <w:rPr>
          <w:color w:val="0D0D0D"/>
          <w:sz w:val="21"/>
          <w:szCs w:val="21"/>
        </w:rPr>
        <w:t xml:space="preserve"> On November 1, 2021, </w:t>
      </w:r>
      <w:proofErr w:type="gramStart"/>
      <w:r>
        <w:rPr>
          <w:color w:val="0D0D0D"/>
          <w:sz w:val="21"/>
          <w:szCs w:val="21"/>
        </w:rPr>
        <w:t>Further</w:t>
      </w:r>
      <w:proofErr w:type="gramEnd"/>
      <w:r>
        <w:rPr>
          <w:color w:val="0D0D0D"/>
          <w:sz w:val="21"/>
          <w:szCs w:val="21"/>
        </w:rPr>
        <w:t xml:space="preserve"> was acquired by HealthEquity as part of our commitment to continue to provide remarkable products backed by service, education, and member engagement. Below is information on HealthEquity, more details about the transition, and a timeline of key events. </w:t>
      </w:r>
      <w:r>
        <w:rPr>
          <w:color w:val="0D0D0D"/>
          <w:sz w:val="21"/>
          <w:szCs w:val="21"/>
          <w:highlight w:val="white"/>
        </w:rPr>
        <w:t>We kindly ask that you update your email address in the Further portal as we do not have a valid email address on file for you.</w:t>
      </w:r>
    </w:p>
    <w:p w:rsidR="00FA17FB" w:rsidP="00FA17FB" w:rsidRDefault="00FA17FB" w14:paraId="727E9456" w14:textId="77777777">
      <w:pPr>
        <w:spacing w:line="252" w:lineRule="auto"/>
        <w:rPr>
          <w:color w:val="0D0D0D"/>
          <w:sz w:val="21"/>
          <w:szCs w:val="21"/>
        </w:rPr>
      </w:pPr>
    </w:p>
    <w:p w:rsidR="00FA17FB" w:rsidP="00FA17FB" w:rsidRDefault="00FA17FB" w14:paraId="7D0D9622" w14:textId="77777777">
      <w:pPr>
        <w:spacing w:line="252" w:lineRule="auto"/>
        <w:rPr>
          <w:color w:val="0D0D0D"/>
          <w:sz w:val="21"/>
          <w:szCs w:val="21"/>
        </w:rPr>
      </w:pPr>
      <w:r>
        <w:rPr>
          <w:color w:val="0D0D0D"/>
          <w:sz w:val="21"/>
          <w:szCs w:val="21"/>
        </w:rPr>
        <w:t xml:space="preserve">HealthEquity was established in 2002 and administers Health Savings Accounts (HSAs), Flexible Spending Accounts (FSAs), Health Reimbursement Arrangements (HRAs), and other consumer-directed benefits for our more than 14 million accounts in partnership with health and retirement plan providers, benefits advisors, and members.  </w:t>
      </w:r>
    </w:p>
    <w:p w:rsidR="00FA17FB" w:rsidP="00FA17FB" w:rsidRDefault="00FA17FB" w14:paraId="0D458FF7" w14:textId="77777777">
      <w:pPr>
        <w:spacing w:line="252" w:lineRule="auto"/>
        <w:rPr>
          <w:b/>
          <w:color w:val="0D0D0D"/>
          <w:sz w:val="21"/>
          <w:szCs w:val="21"/>
        </w:rPr>
      </w:pPr>
    </w:p>
    <w:p w:rsidR="00FA17FB" w:rsidP="00FA17FB" w:rsidRDefault="00FA17FB" w14:paraId="40B0A2B7" w14:textId="77777777">
      <w:pPr>
        <w:spacing w:line="252" w:lineRule="auto"/>
        <w:rPr>
          <w:color w:val="0D0D0D"/>
          <w:sz w:val="21"/>
          <w:szCs w:val="21"/>
        </w:rPr>
      </w:pPr>
      <w:r>
        <w:rPr>
          <w:b/>
          <w:color w:val="0D0D0D"/>
          <w:sz w:val="21"/>
          <w:szCs w:val="21"/>
        </w:rPr>
        <w:t xml:space="preserve">No action will be required of you for the transition to take effect. </w:t>
      </w:r>
      <w:r>
        <w:rPr>
          <w:color w:val="0D0D0D"/>
          <w:sz w:val="21"/>
          <w:szCs w:val="21"/>
        </w:rPr>
        <w:t xml:space="preserve">For more information about the transition, please visit your transition website. There, you’ll find answers to frequently asked questions, informational webinars, transition guides, and additional resources to help you through the transition. Below is a timeline of important dates to keep in mind throughout the transition to HealthEquity:  </w:t>
      </w:r>
    </w:p>
    <w:p w:rsidR="00FA17FB" w:rsidP="00FA17FB" w:rsidRDefault="00FA17FB" w14:paraId="535F11DC" w14:textId="77777777">
      <w:pPr>
        <w:spacing w:line="252" w:lineRule="auto"/>
        <w:rPr>
          <w:b/>
          <w:color w:val="0D0D0D"/>
          <w:sz w:val="21"/>
          <w:szCs w:val="21"/>
        </w:rPr>
      </w:pPr>
    </w:p>
    <w:p w:rsidR="00FA17FB" w:rsidP="00FA17FB" w:rsidRDefault="00FA17FB" w14:paraId="013CF46D" w14:textId="77777777">
      <w:pPr>
        <w:spacing w:line="252" w:lineRule="auto"/>
        <w:rPr>
          <w:b/>
          <w:color w:val="0D0D0D"/>
          <w:sz w:val="21"/>
          <w:szCs w:val="21"/>
        </w:rPr>
      </w:pPr>
      <w:r>
        <w:rPr>
          <w:b/>
          <w:color w:val="0D0D0D"/>
          <w:sz w:val="21"/>
          <w:szCs w:val="21"/>
        </w:rPr>
        <w:t>Please review this information carefully. You may also access this information at your transition website.</w:t>
      </w:r>
      <w:r>
        <w:rPr>
          <w:b/>
          <w:i/>
          <w:color w:val="0D0D0D"/>
          <w:sz w:val="21"/>
          <w:szCs w:val="21"/>
        </w:rPr>
        <w:t xml:space="preserve"> </w:t>
      </w:r>
    </w:p>
    <w:p w:rsidR="00FA17FB" w:rsidP="00FA17FB" w:rsidRDefault="00FA17FB" w14:paraId="1A79A25C" w14:textId="77777777">
      <w:pPr>
        <w:spacing w:line="252" w:lineRule="auto"/>
        <w:rPr>
          <w:b/>
          <w:color w:val="0D0D0D"/>
          <w:sz w:val="21"/>
          <w:szCs w:val="21"/>
        </w:rPr>
      </w:pPr>
    </w:p>
    <w:p w:rsidR="00FA17FB" w:rsidP="00FA17FB" w:rsidRDefault="00FA17FB" w14:paraId="47567612" w14:textId="77777777">
      <w:pPr>
        <w:spacing w:line="252" w:lineRule="auto"/>
        <w:rPr>
          <w:color w:val="0D0D0D"/>
          <w:sz w:val="21"/>
          <w:szCs w:val="21"/>
        </w:rPr>
      </w:pPr>
      <w:r>
        <w:rPr>
          <w:color w:val="0D0D0D"/>
          <w:sz w:val="21"/>
          <w:szCs w:val="21"/>
        </w:rPr>
        <w:t>The following items will remain the same after the transition to the HealthEquity HSA portal:</w:t>
      </w:r>
    </w:p>
    <w:p w:rsidR="00FA17FB" w:rsidP="00FA17FB" w:rsidRDefault="00FA17FB" w14:paraId="5AFC5CED" w14:textId="77777777">
      <w:pPr>
        <w:numPr>
          <w:ilvl w:val="0"/>
          <w:numId w:val="6"/>
        </w:numPr>
        <w:spacing w:line="252" w:lineRule="auto"/>
        <w:rPr>
          <w:color w:val="0D0D0D"/>
          <w:sz w:val="21"/>
          <w:szCs w:val="21"/>
        </w:rPr>
      </w:pPr>
      <w:r>
        <w:rPr>
          <w:color w:val="0D0D0D"/>
          <w:sz w:val="21"/>
          <w:szCs w:val="21"/>
        </w:rPr>
        <w:t>Monthly administration fees will remain the same.</w:t>
      </w:r>
    </w:p>
    <w:p w:rsidR="00FA17FB" w:rsidP="00FA17FB" w:rsidRDefault="00FA17FB" w14:paraId="1E85E417" w14:textId="77777777">
      <w:pPr>
        <w:numPr>
          <w:ilvl w:val="0"/>
          <w:numId w:val="6"/>
        </w:numPr>
        <w:spacing w:line="252" w:lineRule="auto"/>
        <w:rPr>
          <w:color w:val="0D0D0D"/>
          <w:sz w:val="21"/>
          <w:szCs w:val="21"/>
        </w:rPr>
      </w:pPr>
      <w:r>
        <w:rPr>
          <w:color w:val="0D0D0D"/>
          <w:sz w:val="21"/>
          <w:szCs w:val="21"/>
        </w:rPr>
        <w:t>Interest on cash balances will be credited to HSAs at the same rate.</w:t>
      </w:r>
    </w:p>
    <w:p w:rsidR="00FA17FB" w:rsidP="00FA17FB" w:rsidRDefault="00FA17FB" w14:paraId="118C00BA" w14:textId="77777777">
      <w:pPr>
        <w:numPr>
          <w:ilvl w:val="0"/>
          <w:numId w:val="6"/>
        </w:numPr>
        <w:spacing w:line="252" w:lineRule="auto"/>
        <w:rPr>
          <w:color w:val="0D0D0D"/>
          <w:sz w:val="21"/>
          <w:szCs w:val="21"/>
        </w:rPr>
      </w:pPr>
      <w:r>
        <w:rPr>
          <w:color w:val="0D0D0D"/>
          <w:sz w:val="21"/>
          <w:szCs w:val="21"/>
        </w:rPr>
        <w:t>For investment accounts:</w:t>
      </w:r>
    </w:p>
    <w:p w:rsidR="00FA17FB" w:rsidP="00FA17FB" w:rsidRDefault="00FA17FB" w14:paraId="4304A627" w14:textId="77777777">
      <w:pPr>
        <w:keepNext/>
        <w:widowControl w:val="0"/>
        <w:numPr>
          <w:ilvl w:val="1"/>
          <w:numId w:val="6"/>
        </w:numPr>
        <w:spacing w:line="252" w:lineRule="auto"/>
        <w:rPr>
          <w:color w:val="0D0D0D"/>
          <w:sz w:val="21"/>
          <w:szCs w:val="21"/>
        </w:rPr>
      </w:pPr>
      <w:r>
        <w:rPr>
          <w:color w:val="0D0D0D"/>
          <w:sz w:val="21"/>
          <w:szCs w:val="21"/>
        </w:rPr>
        <w:t xml:space="preserve">The minimum base balance of $1,000 before additional funds may be invested will remain </w:t>
      </w:r>
      <w:r>
        <w:rPr>
          <w:color w:val="0D0D0D"/>
          <w:sz w:val="21"/>
          <w:szCs w:val="21"/>
        </w:rPr>
        <w:br/>
      </w:r>
      <w:r>
        <w:rPr>
          <w:color w:val="0D0D0D"/>
          <w:sz w:val="21"/>
          <w:szCs w:val="21"/>
        </w:rPr>
        <w:t>the same.</w:t>
      </w:r>
      <w:r>
        <w:rPr>
          <w:color w:val="0D0D0D"/>
          <w:sz w:val="21"/>
          <w:szCs w:val="21"/>
          <w:vertAlign w:val="superscript"/>
        </w:rPr>
        <w:t>1</w:t>
      </w:r>
    </w:p>
    <w:p w:rsidR="00FA17FB" w:rsidP="00FA17FB" w:rsidRDefault="00FA17FB" w14:paraId="2467040E" w14:textId="77777777">
      <w:pPr>
        <w:keepNext/>
        <w:widowControl w:val="0"/>
        <w:numPr>
          <w:ilvl w:val="1"/>
          <w:numId w:val="6"/>
        </w:numPr>
        <w:spacing w:line="252" w:lineRule="auto"/>
        <w:rPr>
          <w:color w:val="0D0D0D"/>
          <w:sz w:val="21"/>
          <w:szCs w:val="21"/>
        </w:rPr>
      </w:pPr>
      <w:r>
        <w:rPr>
          <w:color w:val="0D0D0D"/>
          <w:sz w:val="21"/>
          <w:szCs w:val="21"/>
        </w:rPr>
        <w:t>The HSA assets that are invested in funds on the Further portal will continue to be invested in the same funds except as noted below in the “Transferring HSA Investments” section below.</w:t>
      </w:r>
      <w:r>
        <w:rPr>
          <w:color w:val="0D0D0D"/>
          <w:sz w:val="21"/>
          <w:szCs w:val="21"/>
          <w:vertAlign w:val="superscript"/>
        </w:rPr>
        <w:t>1</w:t>
      </w:r>
    </w:p>
    <w:p w:rsidR="00FA17FB" w:rsidP="00FA17FB" w:rsidRDefault="00FA17FB" w14:paraId="1F13576B" w14:textId="77777777">
      <w:pPr>
        <w:keepNext/>
        <w:widowControl w:val="0"/>
        <w:pBdr>
          <w:top w:val="nil"/>
          <w:left w:val="nil"/>
          <w:bottom w:val="nil"/>
          <w:right w:val="nil"/>
          <w:between w:val="nil"/>
        </w:pBdr>
        <w:tabs>
          <w:tab w:val="left" w:pos="9360"/>
        </w:tabs>
        <w:spacing w:line="252" w:lineRule="auto"/>
        <w:ind w:right="288"/>
        <w:rPr>
          <w:color w:val="0D0D0D"/>
          <w:sz w:val="21"/>
          <w:szCs w:val="21"/>
        </w:rPr>
      </w:pPr>
    </w:p>
    <w:p w:rsidR="00FA17FB" w:rsidP="00FA17FB" w:rsidRDefault="00FA17FB" w14:paraId="440D5E8A" w14:textId="77777777">
      <w:pPr>
        <w:spacing w:line="252" w:lineRule="auto"/>
        <w:rPr>
          <w:b/>
          <w:color w:val="0D0D0D"/>
          <w:sz w:val="21"/>
          <w:szCs w:val="21"/>
        </w:rPr>
      </w:pPr>
      <w:r>
        <w:rPr>
          <w:b/>
          <w:color w:val="0D0D0D"/>
          <w:sz w:val="21"/>
          <w:szCs w:val="21"/>
        </w:rPr>
        <w:t>HSA transition timeline</w:t>
      </w:r>
    </w:p>
    <w:p w:rsidR="00FA17FB" w:rsidP="00FA17FB" w:rsidRDefault="00FA17FB" w14:paraId="4FF0B697" w14:textId="77777777">
      <w:pPr>
        <w:spacing w:line="252" w:lineRule="auto"/>
        <w:rPr>
          <w:color w:val="0D0D0D"/>
          <w:sz w:val="21"/>
          <w:szCs w:val="21"/>
        </w:rPr>
      </w:pPr>
      <w:r>
        <w:rPr>
          <w:color w:val="0D0D0D"/>
          <w:sz w:val="21"/>
          <w:szCs w:val="21"/>
        </w:rPr>
        <w:t>Below are important dates you need to know regarding the transition to the HealthEquity portal. Please review this information carefully. You may also access this information at your transition website.</w:t>
      </w:r>
      <w:r>
        <w:rPr>
          <w:i/>
          <w:color w:val="0D0D0D"/>
          <w:sz w:val="21"/>
          <w:szCs w:val="21"/>
        </w:rPr>
        <w:t xml:space="preserve"> </w:t>
      </w:r>
    </w:p>
    <w:p w:rsidR="00FA17FB" w:rsidP="00FA17FB" w:rsidRDefault="00FA17FB" w14:paraId="60998C41" w14:textId="77777777">
      <w:pPr>
        <w:numPr>
          <w:ilvl w:val="0"/>
          <w:numId w:val="7"/>
        </w:numPr>
        <w:spacing w:line="252" w:lineRule="auto"/>
        <w:rPr>
          <w:color w:val="0D0D0D"/>
          <w:sz w:val="21"/>
          <w:szCs w:val="21"/>
        </w:rPr>
      </w:pPr>
      <w:r>
        <w:rPr>
          <w:b/>
          <w:color w:val="0D0D0D"/>
          <w:sz w:val="21"/>
          <w:szCs w:val="21"/>
        </w:rPr>
        <w:t xml:space="preserve">3 months before Transition Date: </w:t>
      </w:r>
      <w:r>
        <w:rPr>
          <w:color w:val="0D0D0D"/>
          <w:sz w:val="21"/>
          <w:szCs w:val="21"/>
        </w:rPr>
        <w:t>Members are notified of the transition.</w:t>
      </w:r>
    </w:p>
    <w:p w:rsidR="00FA17FB" w:rsidP="00FA17FB" w:rsidRDefault="00FA17FB" w14:paraId="7DA68BCD" w14:textId="44236198">
      <w:pPr>
        <w:numPr>
          <w:ilvl w:val="0"/>
          <w:numId w:val="7"/>
        </w:numPr>
        <w:spacing w:line="252" w:lineRule="auto"/>
        <w:rPr>
          <w:color w:val="0D0D0D"/>
          <w:sz w:val="21"/>
          <w:szCs w:val="21"/>
        </w:rPr>
      </w:pPr>
      <w:r>
        <w:rPr>
          <w:b/>
          <w:color w:val="0D0D0D"/>
          <w:sz w:val="21"/>
          <w:szCs w:val="21"/>
        </w:rPr>
        <w:t>1 month before Transition Date:</w:t>
      </w:r>
      <w:r>
        <w:rPr>
          <w:color w:val="0D0D0D"/>
          <w:sz w:val="21"/>
          <w:szCs w:val="21"/>
        </w:rPr>
        <w:t xml:space="preserve"> HealthEquity begins mailing Card Packages. Packages include first time login instructions to the HealthEquity portal. For eligible members, packages also include a new HealthEquity Visa</w:t>
      </w:r>
      <w:r>
        <w:rPr>
          <w:color w:val="0D0D0D"/>
          <w:sz w:val="21"/>
          <w:szCs w:val="21"/>
          <w:vertAlign w:val="superscript"/>
        </w:rPr>
        <w:t>®</w:t>
      </w:r>
      <w:r>
        <w:rPr>
          <w:color w:val="0D0D0D"/>
          <w:sz w:val="21"/>
          <w:szCs w:val="21"/>
        </w:rPr>
        <w:t xml:space="preserve"> Card</w:t>
      </w:r>
      <w:r>
        <w:rPr>
          <w:color w:val="0D0D0D"/>
          <w:sz w:val="21"/>
          <w:szCs w:val="21"/>
          <w:vertAlign w:val="superscript"/>
        </w:rPr>
        <w:t>2</w:t>
      </w:r>
      <w:r>
        <w:rPr>
          <w:color w:val="0D0D0D"/>
          <w:sz w:val="21"/>
          <w:szCs w:val="21"/>
        </w:rPr>
        <w:t xml:space="preserve"> for the new plan year.</w:t>
      </w:r>
      <w:r>
        <w:rPr>
          <w:color w:val="0D0D0D"/>
          <w:sz w:val="21"/>
          <w:szCs w:val="21"/>
        </w:rPr>
        <w:br/>
      </w:r>
      <w:r>
        <w:rPr>
          <w:color w:val="0D0D0D"/>
          <w:sz w:val="21"/>
          <w:szCs w:val="21"/>
        </w:rPr>
        <w:t xml:space="preserve">Members can make post-tax contributions on the HealthEquity portal. Members should consider contributing to their HealthEquity HSA prior to the blackout date if they need access to funds during the transitioning blackout period described below. </w:t>
      </w:r>
      <w:r>
        <w:rPr>
          <w:color w:val="0D0D0D"/>
          <w:sz w:val="21"/>
          <w:szCs w:val="21"/>
        </w:rPr>
        <w:br/>
      </w:r>
    </w:p>
    <w:p w:rsidR="00FA17FB" w:rsidP="00FA17FB" w:rsidRDefault="00FA17FB" w14:paraId="794E30C7" w14:textId="77777777">
      <w:pPr>
        <w:numPr>
          <w:ilvl w:val="0"/>
          <w:numId w:val="7"/>
        </w:numPr>
        <w:spacing w:line="252" w:lineRule="auto"/>
        <w:rPr>
          <w:color w:val="0D0D0D"/>
          <w:sz w:val="21"/>
          <w:szCs w:val="21"/>
        </w:rPr>
      </w:pPr>
      <w:r>
        <w:rPr>
          <w:b/>
          <w:color w:val="0D0D0D"/>
          <w:sz w:val="21"/>
          <w:szCs w:val="21"/>
        </w:rPr>
        <w:t>10 calendar days before Transition Date:</w:t>
      </w:r>
      <w:r>
        <w:rPr>
          <w:color w:val="0D0D0D"/>
          <w:sz w:val="21"/>
          <w:szCs w:val="21"/>
        </w:rPr>
        <w:t xml:space="preserve"> </w:t>
      </w:r>
    </w:p>
    <w:p w:rsidR="00FA17FB" w:rsidP="00FA17FB" w:rsidRDefault="00FA17FB" w14:paraId="47B2457E" w14:textId="77777777">
      <w:pPr>
        <w:numPr>
          <w:ilvl w:val="1"/>
          <w:numId w:val="7"/>
        </w:numPr>
        <w:spacing w:line="252" w:lineRule="auto"/>
        <w:rPr>
          <w:color w:val="0D0D0D"/>
          <w:sz w:val="21"/>
          <w:szCs w:val="21"/>
        </w:rPr>
      </w:pPr>
      <w:r>
        <w:rPr>
          <w:color w:val="0D0D0D"/>
          <w:sz w:val="21"/>
          <w:szCs w:val="21"/>
        </w:rPr>
        <w:t>Final day to make contributions via any method to Further HSA.</w:t>
      </w:r>
    </w:p>
    <w:p w:rsidR="00FA17FB" w:rsidP="00FA17FB" w:rsidRDefault="00FA17FB" w14:paraId="1D20CEB7" w14:textId="77777777">
      <w:pPr>
        <w:numPr>
          <w:ilvl w:val="1"/>
          <w:numId w:val="7"/>
        </w:numPr>
        <w:spacing w:line="252" w:lineRule="auto"/>
        <w:rPr>
          <w:color w:val="0D0D0D"/>
          <w:sz w:val="21"/>
          <w:szCs w:val="21"/>
        </w:rPr>
      </w:pPr>
      <w:r>
        <w:rPr>
          <w:color w:val="0D0D0D"/>
          <w:sz w:val="21"/>
          <w:szCs w:val="21"/>
        </w:rPr>
        <w:t>Final day to make investment trades from HSA investment account through the Further Investment portal.</w:t>
      </w:r>
    </w:p>
    <w:p w:rsidR="00FA17FB" w:rsidP="00FA17FB" w:rsidRDefault="00FA17FB" w14:paraId="0EA6F117" w14:textId="77777777">
      <w:pPr>
        <w:numPr>
          <w:ilvl w:val="1"/>
          <w:numId w:val="7"/>
        </w:numPr>
        <w:spacing w:line="252" w:lineRule="auto"/>
        <w:rPr>
          <w:color w:val="0D0D0D"/>
          <w:sz w:val="21"/>
          <w:szCs w:val="21"/>
        </w:rPr>
      </w:pPr>
      <w:r>
        <w:rPr>
          <w:color w:val="0D0D0D"/>
          <w:sz w:val="21"/>
          <w:szCs w:val="21"/>
        </w:rPr>
        <w:t>Final day to use Further debit cards or request distributions from HSAs through the Further portal.</w:t>
      </w:r>
    </w:p>
    <w:p w:rsidR="00FA17FB" w:rsidP="00FA17FB" w:rsidRDefault="00FA17FB" w14:paraId="357BB215" w14:textId="77777777">
      <w:pPr>
        <w:numPr>
          <w:ilvl w:val="0"/>
          <w:numId w:val="7"/>
        </w:numPr>
        <w:spacing w:line="252" w:lineRule="auto"/>
        <w:rPr>
          <w:color w:val="0D0D0D"/>
          <w:sz w:val="21"/>
          <w:szCs w:val="21"/>
        </w:rPr>
      </w:pPr>
      <w:r>
        <w:rPr>
          <w:b/>
          <w:color w:val="0D0D0D"/>
          <w:sz w:val="21"/>
          <w:szCs w:val="21"/>
        </w:rPr>
        <w:t>9 calendar days before Transition Date:</w:t>
      </w:r>
      <w:r>
        <w:rPr>
          <w:color w:val="0D0D0D"/>
          <w:sz w:val="21"/>
          <w:szCs w:val="21"/>
        </w:rPr>
        <w:t xml:space="preserve"> HSA blackout period starts.</w:t>
      </w:r>
    </w:p>
    <w:p w:rsidR="00FA17FB" w:rsidP="00FA17FB" w:rsidRDefault="00FA17FB" w14:paraId="656BA858" w14:textId="77777777">
      <w:pPr>
        <w:numPr>
          <w:ilvl w:val="0"/>
          <w:numId w:val="7"/>
        </w:numPr>
        <w:spacing w:line="252" w:lineRule="auto"/>
        <w:rPr>
          <w:color w:val="0D0D0D"/>
          <w:sz w:val="21"/>
          <w:szCs w:val="21"/>
        </w:rPr>
      </w:pPr>
      <w:r>
        <w:rPr>
          <w:b/>
          <w:color w:val="0D0D0D"/>
          <w:sz w:val="21"/>
          <w:szCs w:val="21"/>
        </w:rPr>
        <w:t>As of Transition Date:</w:t>
      </w:r>
      <w:r>
        <w:rPr>
          <w:color w:val="0D0D0D"/>
          <w:sz w:val="21"/>
          <w:szCs w:val="21"/>
        </w:rPr>
        <w:t xml:space="preserve"> Account balances are transferred to the HealthEquity portal. For members with investments, investment holdings are transferred to the HealthEquity portal. HSA blackout period ends. Funds and investments are available through the HealthEquity portal. </w:t>
      </w:r>
    </w:p>
    <w:p w:rsidR="00FA17FB" w:rsidP="00FA17FB" w:rsidRDefault="00FA17FB" w14:paraId="6E261434" w14:textId="77777777">
      <w:pPr>
        <w:numPr>
          <w:ilvl w:val="0"/>
          <w:numId w:val="7"/>
        </w:numPr>
        <w:spacing w:line="252" w:lineRule="auto"/>
        <w:rPr>
          <w:b/>
          <w:color w:val="0D0D0D"/>
          <w:sz w:val="21"/>
          <w:szCs w:val="21"/>
        </w:rPr>
      </w:pPr>
      <w:r>
        <w:rPr>
          <w:b/>
          <w:color w:val="0D0D0D"/>
          <w:sz w:val="21"/>
          <w:szCs w:val="21"/>
        </w:rPr>
        <w:t xml:space="preserve">1 week after Transition Date: </w:t>
      </w:r>
      <w:r>
        <w:rPr>
          <w:color w:val="0D0D0D"/>
          <w:sz w:val="21"/>
          <w:szCs w:val="21"/>
        </w:rPr>
        <w:t>Transaction history loaded in HealthEquity portal.</w:t>
      </w:r>
    </w:p>
    <w:p w:rsidR="00FA17FB" w:rsidP="00FA17FB" w:rsidRDefault="00FA17FB" w14:paraId="45E1FFBC" w14:textId="77777777">
      <w:pPr>
        <w:spacing w:line="252" w:lineRule="auto"/>
        <w:rPr>
          <w:color w:val="0D0D0D"/>
          <w:sz w:val="21"/>
          <w:szCs w:val="21"/>
        </w:rPr>
      </w:pPr>
    </w:p>
    <w:p w:rsidR="00FA17FB" w:rsidP="00FA17FB" w:rsidRDefault="00FA17FB" w14:paraId="0A1C980E" w14:textId="77777777">
      <w:pPr>
        <w:spacing w:line="252" w:lineRule="auto"/>
        <w:rPr>
          <w:b/>
          <w:color w:val="0D0D0D"/>
          <w:sz w:val="21"/>
          <w:szCs w:val="21"/>
        </w:rPr>
      </w:pPr>
      <w:r>
        <w:rPr>
          <w:b/>
          <w:color w:val="0D0D0D"/>
          <w:sz w:val="21"/>
          <w:szCs w:val="21"/>
        </w:rPr>
        <w:t>Blackout period</w:t>
      </w:r>
    </w:p>
    <w:p w:rsidR="00FA17FB" w:rsidP="00FA17FB" w:rsidRDefault="00FA17FB" w14:paraId="060212E0" w14:textId="77777777">
      <w:pPr>
        <w:spacing w:line="252" w:lineRule="auto"/>
        <w:rPr>
          <w:color w:val="0D0D0D"/>
          <w:sz w:val="21"/>
          <w:szCs w:val="21"/>
        </w:rPr>
      </w:pPr>
      <w:r>
        <w:rPr>
          <w:color w:val="0D0D0D"/>
          <w:sz w:val="21"/>
          <w:szCs w:val="21"/>
        </w:rPr>
        <w:t xml:space="preserve">To facilitate the transition of your HSA to the HealthEquity member portal, there will be a period during which you will not be able to access your HSA cash funds, use your Further debit card, or make any changes to your HSA investments. This period is called a “blackout period” and will begin nine calendar days before the Transition </w:t>
      </w:r>
      <w:proofErr w:type="gramStart"/>
      <w:r>
        <w:rPr>
          <w:color w:val="0D0D0D"/>
          <w:sz w:val="21"/>
          <w:szCs w:val="21"/>
        </w:rPr>
        <w:t>Date, and</w:t>
      </w:r>
      <w:proofErr w:type="gramEnd"/>
      <w:r>
        <w:rPr>
          <w:color w:val="0D0D0D"/>
          <w:sz w:val="21"/>
          <w:szCs w:val="21"/>
        </w:rPr>
        <w:t xml:space="preserve"> continue until the Transition Date. Whether or not you are planning to use your HSA balance soon, we encourage you to carefully consider how this blackout period may affect your financial plan.</w:t>
      </w:r>
    </w:p>
    <w:p w:rsidR="00FA17FB" w:rsidP="00FA17FB" w:rsidRDefault="00FA17FB" w14:paraId="189AE149" w14:textId="77777777">
      <w:pPr>
        <w:spacing w:line="252" w:lineRule="auto"/>
        <w:rPr>
          <w:color w:val="0D0D0D"/>
          <w:sz w:val="21"/>
          <w:szCs w:val="21"/>
        </w:rPr>
      </w:pPr>
    </w:p>
    <w:p w:rsidR="00FA17FB" w:rsidP="00FA17FB" w:rsidRDefault="00FA17FB" w14:paraId="08C1730F" w14:textId="77777777">
      <w:pPr>
        <w:spacing w:line="252" w:lineRule="auto"/>
        <w:rPr>
          <w:color w:val="0D0D0D"/>
          <w:sz w:val="21"/>
          <w:szCs w:val="21"/>
        </w:rPr>
      </w:pPr>
      <w:r>
        <w:rPr>
          <w:color w:val="0D0D0D"/>
          <w:sz w:val="21"/>
          <w:szCs w:val="21"/>
        </w:rPr>
        <w:t>If you have investments held in your HSA during the blackout period, you will be unable to direct or diversify those investments on the Further portal. Investments are also subject to market fluctuations during the investment transfer process which may result in a decrease or increase in investment values. It is very important that you review and consider the appropriateness of your current investments (as well as the funds that are being liquidated, as described below) considering your inability to direct or diversify those investments during the blackout period. You should consider the importance of a well-balanced and diversified investment portfolio, considering all your assets, income, and investments.</w:t>
      </w:r>
    </w:p>
    <w:p w:rsidR="00FA17FB" w:rsidP="00FA17FB" w:rsidRDefault="00FA17FB" w14:paraId="0067A925" w14:textId="77777777">
      <w:pPr>
        <w:spacing w:line="252" w:lineRule="auto"/>
        <w:rPr>
          <w:color w:val="0D0D0D"/>
          <w:sz w:val="21"/>
          <w:szCs w:val="21"/>
        </w:rPr>
      </w:pPr>
    </w:p>
    <w:p w:rsidR="00FA17FB" w:rsidP="00FA17FB" w:rsidRDefault="00FA17FB" w14:paraId="23D0A7BE" w14:textId="77777777">
      <w:pPr>
        <w:widowControl w:val="0"/>
        <w:tabs>
          <w:tab w:val="left" w:pos="9360"/>
        </w:tabs>
        <w:spacing w:line="252" w:lineRule="auto"/>
        <w:ind w:right="288"/>
        <w:rPr>
          <w:color w:val="0D0D0D"/>
          <w:sz w:val="21"/>
          <w:szCs w:val="21"/>
        </w:rPr>
      </w:pPr>
      <w:r>
        <w:rPr>
          <w:color w:val="0D0D0D"/>
          <w:sz w:val="21"/>
          <w:szCs w:val="21"/>
        </w:rPr>
        <w:t>If you have a Schwab Health Savings Brokerage Account</w:t>
      </w:r>
      <w:r>
        <w:rPr>
          <w:color w:val="0D0D0D"/>
          <w:sz w:val="21"/>
          <w:szCs w:val="21"/>
          <w:vertAlign w:val="superscript"/>
        </w:rPr>
        <w:t>3</w:t>
      </w:r>
      <w:r>
        <w:rPr>
          <w:color w:val="0D0D0D"/>
          <w:sz w:val="21"/>
          <w:szCs w:val="21"/>
        </w:rPr>
        <w:t xml:space="preserve">, access to your Schwab brokerage account will be uninterrupted during the blackout period. Following the blackout, integrated access to your brokerage account will become available directly from the HealthEquity member portal. Your Schwab brokerage account will now be restricted from new investments in limited partnerships, foreign stocks, debt securities, options, and select mutual funds. If you are currently invested in a restricted offering, you may continue to hold these assets. However, you will not be able to make additional buys after the transition to the HealthEquity program.  </w:t>
      </w:r>
    </w:p>
    <w:p w:rsidR="00FA17FB" w:rsidP="00FA17FB" w:rsidRDefault="00FA17FB" w14:paraId="16BFD974" w14:textId="77777777">
      <w:pPr>
        <w:widowControl w:val="0"/>
        <w:tabs>
          <w:tab w:val="left" w:pos="9360"/>
        </w:tabs>
        <w:spacing w:line="252" w:lineRule="auto"/>
        <w:ind w:right="288"/>
        <w:rPr>
          <w:color w:val="0D0D0D"/>
          <w:sz w:val="21"/>
          <w:szCs w:val="21"/>
        </w:rPr>
      </w:pPr>
    </w:p>
    <w:p w:rsidR="00FA17FB" w:rsidP="00FA17FB" w:rsidRDefault="00FA17FB" w14:paraId="5905E632" w14:textId="77777777">
      <w:pPr>
        <w:widowControl w:val="0"/>
        <w:tabs>
          <w:tab w:val="left" w:pos="9360"/>
        </w:tabs>
        <w:spacing w:line="252" w:lineRule="auto"/>
        <w:ind w:right="288"/>
        <w:rPr>
          <w:color w:val="0D0D0D"/>
          <w:sz w:val="21"/>
          <w:szCs w:val="21"/>
        </w:rPr>
      </w:pPr>
      <w:r>
        <w:rPr>
          <w:color w:val="0D0D0D"/>
          <w:sz w:val="21"/>
          <w:szCs w:val="21"/>
        </w:rPr>
        <w:t xml:space="preserve">To make investment changes before the blackout period starts, you should log on to the Further portal at </w:t>
      </w:r>
      <w:r>
        <w:rPr>
          <w:i/>
          <w:color w:val="0D0D0D"/>
          <w:sz w:val="21"/>
          <w:szCs w:val="21"/>
        </w:rPr>
        <w:t>member.hellofurther.com/portal/login</w:t>
      </w:r>
      <w:r>
        <w:rPr>
          <w:color w:val="0D0D0D"/>
          <w:sz w:val="21"/>
          <w:szCs w:val="21"/>
        </w:rPr>
        <w:t>, select your account and then ‘</w:t>
      </w:r>
      <w:r>
        <w:rPr>
          <w:i/>
          <w:color w:val="0D0D0D"/>
          <w:sz w:val="21"/>
          <w:szCs w:val="21"/>
        </w:rPr>
        <w:t>Visit Investment Site</w:t>
      </w:r>
      <w:r>
        <w:rPr>
          <w:color w:val="0D0D0D"/>
          <w:sz w:val="21"/>
          <w:szCs w:val="21"/>
        </w:rPr>
        <w:t xml:space="preserve">’ to access your investment account. </w:t>
      </w:r>
    </w:p>
    <w:p w:rsidR="00FA17FB" w:rsidP="00FA17FB" w:rsidRDefault="00FA17FB" w14:paraId="525CE8B3" w14:textId="77777777">
      <w:pPr>
        <w:widowControl w:val="0"/>
        <w:tabs>
          <w:tab w:val="left" w:pos="9360"/>
        </w:tabs>
        <w:spacing w:line="252" w:lineRule="auto"/>
        <w:ind w:right="288"/>
        <w:rPr>
          <w:color w:val="0D0D0D"/>
          <w:sz w:val="21"/>
          <w:szCs w:val="21"/>
        </w:rPr>
      </w:pPr>
    </w:p>
    <w:p w:rsidR="00FA17FB" w:rsidP="00FA17FB" w:rsidRDefault="00FA17FB" w14:paraId="51580161" w14:textId="77777777">
      <w:pPr>
        <w:widowControl w:val="0"/>
        <w:tabs>
          <w:tab w:val="left" w:pos="9360"/>
        </w:tabs>
        <w:spacing w:line="252" w:lineRule="auto"/>
        <w:ind w:right="288"/>
        <w:rPr>
          <w:color w:val="0D0D0D"/>
          <w:sz w:val="21"/>
          <w:szCs w:val="21"/>
        </w:rPr>
      </w:pPr>
      <w:r>
        <w:rPr>
          <w:color w:val="0D0D0D"/>
          <w:sz w:val="21"/>
          <w:szCs w:val="21"/>
        </w:rPr>
        <w:t xml:space="preserve">To make changes after the blackout period ends, you should log on to the HealthEquity portal at </w:t>
      </w:r>
      <w:r>
        <w:rPr>
          <w:i/>
          <w:color w:val="0D0D0D"/>
          <w:sz w:val="21"/>
          <w:szCs w:val="21"/>
        </w:rPr>
        <w:t>my.HealthEquity.com</w:t>
      </w:r>
      <w:r>
        <w:rPr>
          <w:color w:val="0D0D0D"/>
          <w:sz w:val="21"/>
          <w:szCs w:val="21"/>
        </w:rPr>
        <w:t xml:space="preserve">. You will need to log into your HealthEquity account and agree to HealthEquity’s investment terms and choose an investment allocation. You may also configure settings for automatic investing and auto rebalancing. </w:t>
      </w:r>
    </w:p>
    <w:p w:rsidR="00FA17FB" w:rsidP="00FA17FB" w:rsidRDefault="00FA17FB" w14:paraId="3839C4B9" w14:textId="77777777">
      <w:pPr>
        <w:spacing w:line="252" w:lineRule="auto"/>
        <w:rPr>
          <w:color w:val="0D0D0D"/>
          <w:sz w:val="21"/>
          <w:szCs w:val="21"/>
        </w:rPr>
      </w:pPr>
    </w:p>
    <w:p w:rsidR="00FA17FB" w:rsidP="00FA17FB" w:rsidRDefault="00FA17FB" w14:paraId="1B3CC8EC" w14:textId="77777777">
      <w:pPr>
        <w:spacing w:line="252" w:lineRule="auto"/>
        <w:rPr>
          <w:b/>
          <w:color w:val="0D0D0D"/>
          <w:sz w:val="21"/>
          <w:szCs w:val="21"/>
        </w:rPr>
      </w:pPr>
      <w:r>
        <w:rPr>
          <w:b/>
          <w:color w:val="0D0D0D"/>
          <w:sz w:val="21"/>
          <w:szCs w:val="21"/>
        </w:rPr>
        <w:t xml:space="preserve">Impact on your HSA investment funds </w:t>
      </w:r>
    </w:p>
    <w:p w:rsidR="00FA17FB" w:rsidP="00FA17FB" w:rsidRDefault="00FA17FB" w14:paraId="05F4C5CD" w14:textId="77777777">
      <w:pPr>
        <w:spacing w:line="252" w:lineRule="auto"/>
        <w:rPr>
          <w:color w:val="0D0D0D"/>
          <w:sz w:val="21"/>
          <w:szCs w:val="21"/>
        </w:rPr>
      </w:pPr>
      <w:r>
        <w:rPr>
          <w:color w:val="0D0D0D"/>
          <w:sz w:val="21"/>
          <w:szCs w:val="21"/>
        </w:rPr>
        <w:t>It is important to note that new contributions to your account will not be invested until you have set up your target allocations and indicated your investment preferences. If you have an investment account, your HSA assets that are invested in funds on the Further portal will be transferred to the HealthEquity portal as noted below:</w:t>
      </w:r>
    </w:p>
    <w:p w:rsidR="00FA17FB" w:rsidP="00FA17FB" w:rsidRDefault="00FA17FB" w14:paraId="1A550891" w14:textId="77777777">
      <w:pPr>
        <w:numPr>
          <w:ilvl w:val="0"/>
          <w:numId w:val="8"/>
        </w:numPr>
        <w:spacing w:line="252" w:lineRule="auto"/>
        <w:rPr>
          <w:color w:val="0D0D0D"/>
          <w:sz w:val="21"/>
          <w:szCs w:val="21"/>
        </w:rPr>
      </w:pPr>
      <w:r>
        <w:rPr>
          <w:b/>
          <w:color w:val="0D0D0D"/>
          <w:sz w:val="21"/>
          <w:szCs w:val="21"/>
        </w:rPr>
        <w:t>Continuing Funds:</w:t>
      </w:r>
      <w:r>
        <w:rPr>
          <w:color w:val="0D0D0D"/>
          <w:sz w:val="21"/>
          <w:szCs w:val="21"/>
        </w:rPr>
        <w:t xml:space="preserve"> All funds available through the Further investment portal will continue to be available through the HealthEquity HSA portal, other than the funds noted below under the headings “Freezing Funds” and “Closed to New Investment Funds”. Amounts invested in the Continuing Funds will transfer in-kind to the HealthEquity portal.</w:t>
      </w:r>
      <w:r>
        <w:rPr>
          <w:rFonts w:ascii="Inter" w:hAnsi="Inter" w:eastAsia="Inter" w:cs="Inter"/>
          <w:color w:val="0D0D0D"/>
          <w:sz w:val="21"/>
          <w:szCs w:val="21"/>
        </w:rPr>
        <w:t xml:space="preserve"> </w:t>
      </w:r>
    </w:p>
    <w:p w:rsidR="00FA17FB" w:rsidP="00FA17FB" w:rsidRDefault="00FA17FB" w14:paraId="4B3653E7" w14:textId="77777777">
      <w:pPr>
        <w:numPr>
          <w:ilvl w:val="0"/>
          <w:numId w:val="8"/>
        </w:numPr>
        <w:spacing w:line="252" w:lineRule="auto"/>
        <w:rPr>
          <w:color w:val="0D0D0D"/>
          <w:sz w:val="21"/>
          <w:szCs w:val="21"/>
        </w:rPr>
      </w:pPr>
      <w:r>
        <w:rPr>
          <w:b/>
          <w:color w:val="0D0D0D"/>
          <w:sz w:val="21"/>
          <w:szCs w:val="21"/>
        </w:rPr>
        <w:t>Freezing Funds:</w:t>
      </w:r>
      <w:r>
        <w:rPr>
          <w:color w:val="0D0D0D"/>
          <w:sz w:val="21"/>
          <w:szCs w:val="21"/>
        </w:rPr>
        <w:t xml:space="preserve"> The Schwab Government Money Investor Shares (SNVXX) fund on the Further investment portal will be transferred in-kind to the HealthEquity HSA portal; however, SNVXX will be closed to new investment beyond the amounts invested in this fund before the blackout period (described above). This means that you will not be able to invest new amounts in this fund after the blackout period starts. You will not be able to invest new amounts in this fund after the transition and may sell your investment in SNVXX at any time following the transition to the HealthEquity HSA portal. </w:t>
      </w:r>
    </w:p>
    <w:p w:rsidR="00FA17FB" w:rsidP="00FA17FB" w:rsidRDefault="00FA17FB" w14:paraId="7E3DABB7" w14:textId="77777777">
      <w:pPr>
        <w:spacing w:line="252" w:lineRule="auto"/>
        <w:ind w:left="720"/>
        <w:rPr>
          <w:color w:val="0D0D0D"/>
          <w:sz w:val="21"/>
          <w:szCs w:val="21"/>
        </w:rPr>
      </w:pPr>
      <w:r>
        <w:rPr>
          <w:color w:val="0D0D0D"/>
          <w:sz w:val="21"/>
          <w:szCs w:val="21"/>
        </w:rPr>
        <w:t>Please note: SNVXX is not intended for use as a long-term investment option. As such, SNVXX will no longer be available on the HealthEquity HSA portal 60 days after your Transition Date. Any remaining SNVXX shares in your investment account at that time will be liquidated, with the resulting proceeds placed into a default HSA cash option.</w:t>
      </w:r>
    </w:p>
    <w:p w:rsidR="00FA17FB" w:rsidP="00FA17FB" w:rsidRDefault="00FA17FB" w14:paraId="1EF193C7" w14:textId="77777777">
      <w:pPr>
        <w:numPr>
          <w:ilvl w:val="0"/>
          <w:numId w:val="8"/>
        </w:numPr>
        <w:spacing w:line="252" w:lineRule="auto"/>
        <w:rPr>
          <w:color w:val="0D0D0D"/>
          <w:sz w:val="21"/>
          <w:szCs w:val="21"/>
        </w:rPr>
      </w:pPr>
      <w:r>
        <w:rPr>
          <w:b/>
          <w:color w:val="0D0D0D"/>
          <w:sz w:val="21"/>
          <w:szCs w:val="21"/>
        </w:rPr>
        <w:t>Closed to New Investment Funds:</w:t>
      </w:r>
      <w:r>
        <w:rPr>
          <w:color w:val="0D0D0D"/>
          <w:sz w:val="21"/>
          <w:szCs w:val="21"/>
        </w:rPr>
        <w:t xml:space="preserve"> These funds were previously frozen for any new investment on the Further investment portal. Amounts invested in Closed to New Investment funds will be transferred in-kind to the HealthEquity portal. This means that you will not be able to invest new amounts in these funds. You will not be able to invest new amounts in these funds after the transfer and may liquidate these funds at any time following the transition to the HealthEquity HSA portal.</w:t>
      </w:r>
    </w:p>
    <w:p w:rsidR="00FA17FB" w:rsidP="00FA17FB" w:rsidRDefault="00FA17FB" w14:paraId="34BEFC5B" w14:textId="77777777">
      <w:pPr>
        <w:spacing w:line="252" w:lineRule="auto"/>
        <w:rPr>
          <w:color w:val="0D0D0D"/>
          <w:sz w:val="21"/>
          <w:szCs w:val="21"/>
        </w:rPr>
      </w:pPr>
    </w:p>
    <w:p w:rsidR="00FA17FB" w:rsidP="00FA17FB" w:rsidRDefault="00FA17FB" w14:paraId="1DE3F857" w14:textId="77777777">
      <w:pPr>
        <w:spacing w:line="252" w:lineRule="auto"/>
        <w:rPr>
          <w:i/>
          <w:color w:val="0D0D0D"/>
          <w:sz w:val="21"/>
          <w:szCs w:val="21"/>
        </w:rPr>
      </w:pPr>
      <w:r>
        <w:rPr>
          <w:color w:val="0D0D0D"/>
          <w:sz w:val="21"/>
          <w:szCs w:val="21"/>
        </w:rPr>
        <w:t>For a complete listing of the Continuing Funds, Freezing Funds, and Closed to New Investment Funds, please visit your transition website.</w:t>
      </w:r>
    </w:p>
    <w:p w:rsidR="00FA17FB" w:rsidP="00FA17FB" w:rsidRDefault="00FA17FB" w14:paraId="4DBAEDCF" w14:textId="77777777">
      <w:pPr>
        <w:spacing w:line="252" w:lineRule="auto"/>
        <w:rPr>
          <w:i/>
          <w:color w:val="0D0D0D"/>
          <w:sz w:val="21"/>
          <w:szCs w:val="21"/>
        </w:rPr>
      </w:pPr>
    </w:p>
    <w:p w:rsidR="00FA17FB" w:rsidP="00FA17FB" w:rsidRDefault="00FA17FB" w14:paraId="1741EDA0" w14:textId="77777777">
      <w:pPr>
        <w:spacing w:line="252" w:lineRule="auto"/>
        <w:rPr>
          <w:color w:val="0D0D0D"/>
          <w:sz w:val="21"/>
          <w:szCs w:val="21"/>
        </w:rPr>
      </w:pPr>
      <w:bookmarkStart w:name="_heading=h.30j0zll" w:colFirst="0" w:colLast="0" w:id="0"/>
      <w:bookmarkEnd w:id="0"/>
      <w:r>
        <w:rPr>
          <w:color w:val="0D0D0D"/>
          <w:sz w:val="21"/>
          <w:szCs w:val="21"/>
        </w:rPr>
        <w:t>Investments on the HealthEquity portal are subject to HealthEquity’s investment terms, which are contained in the Investment Supplement enclosed with this letter. By participating in the transfer of your HSA to HealthEquity, you are consenting to the terms in this Investment Supplement. In addition, if you decide to either change investments or invest the cash portion of your HSA, you will also be asked at that time to agree to the HealthEquity investment terms.</w:t>
      </w:r>
    </w:p>
    <w:p w:rsidR="00FA17FB" w:rsidP="00FA17FB" w:rsidRDefault="00FA17FB" w14:paraId="5745DB48" w14:textId="77777777">
      <w:pPr>
        <w:spacing w:line="252" w:lineRule="auto"/>
        <w:rPr>
          <w:b/>
          <w:color w:val="0D0D0D"/>
          <w:sz w:val="21"/>
          <w:szCs w:val="21"/>
        </w:rPr>
      </w:pPr>
    </w:p>
    <w:p w:rsidR="00FA17FB" w:rsidP="00FA17FB" w:rsidRDefault="00FA17FB" w14:paraId="2DFA2FED" w14:textId="77777777">
      <w:pPr>
        <w:widowControl w:val="0"/>
        <w:tabs>
          <w:tab w:val="left" w:pos="9360"/>
        </w:tabs>
        <w:spacing w:line="252" w:lineRule="auto"/>
        <w:ind w:right="288"/>
        <w:rPr>
          <w:b/>
          <w:color w:val="0D0D0D"/>
          <w:sz w:val="21"/>
          <w:szCs w:val="21"/>
        </w:rPr>
      </w:pPr>
      <w:r>
        <w:rPr>
          <w:b/>
          <w:color w:val="0D0D0D"/>
          <w:sz w:val="21"/>
          <w:szCs w:val="21"/>
        </w:rPr>
        <w:t>Investment fees</w:t>
      </w:r>
    </w:p>
    <w:p w:rsidR="00FA17FB" w:rsidP="00FA17FB" w:rsidRDefault="00FA17FB" w14:paraId="720D579C" w14:textId="77777777">
      <w:pPr>
        <w:widowControl w:val="0"/>
        <w:tabs>
          <w:tab w:val="left" w:pos="9360"/>
        </w:tabs>
        <w:spacing w:line="252" w:lineRule="auto"/>
        <w:ind w:right="288"/>
        <w:rPr>
          <w:color w:val="0D0D0D"/>
          <w:sz w:val="21"/>
          <w:szCs w:val="21"/>
        </w:rPr>
      </w:pPr>
      <w:r>
        <w:rPr>
          <w:color w:val="0D0D0D"/>
          <w:sz w:val="21"/>
          <w:szCs w:val="21"/>
        </w:rPr>
        <w:t xml:space="preserve">Investments on the HealthEquity portal will be subject to investment fees (expense ratios) charged by the mutual funds, plus a monthly investment administration fee equal to 0.03% of your average daily investment balance (capped at $10.00 per month). In addition, if you subscribe to use Advisor, a web-based </w:t>
      </w:r>
      <w:proofErr w:type="spellStart"/>
      <w:r>
        <w:rPr>
          <w:color w:val="0D0D0D"/>
          <w:sz w:val="21"/>
          <w:szCs w:val="21"/>
        </w:rPr>
        <w:t>robo</w:t>
      </w:r>
      <w:proofErr w:type="spellEnd"/>
      <w:r>
        <w:rPr>
          <w:color w:val="0D0D0D"/>
          <w:sz w:val="21"/>
          <w:szCs w:val="21"/>
        </w:rPr>
        <w:t xml:space="preserve">-advisory service powered by HealthEquity Advisors, LLC, you will be charged a separate monthly fee of 0.05% of your average daily advised balance (capped at $15.00 per month). If you were previously billed in advance for certain investment fees, following the transition to the HealthEquity portal, your HealthEquity HSA default cash option will be credited with the pro rata portion of any excess fees previously billed.  </w:t>
      </w:r>
    </w:p>
    <w:p w:rsidR="00FA17FB" w:rsidP="00FA17FB" w:rsidRDefault="00FA17FB" w14:paraId="04E6E493" w14:textId="77777777">
      <w:pPr>
        <w:widowControl w:val="0"/>
        <w:tabs>
          <w:tab w:val="left" w:pos="9360"/>
        </w:tabs>
        <w:spacing w:line="252" w:lineRule="auto"/>
        <w:ind w:right="288"/>
        <w:rPr>
          <w:color w:val="0D0D0D"/>
          <w:sz w:val="21"/>
          <w:szCs w:val="21"/>
        </w:rPr>
      </w:pPr>
    </w:p>
    <w:p w:rsidR="00FA17FB" w:rsidP="00FA17FB" w:rsidRDefault="00FA17FB" w14:paraId="28DB9A45" w14:textId="77777777">
      <w:pPr>
        <w:widowControl w:val="0"/>
        <w:tabs>
          <w:tab w:val="left" w:pos="9360"/>
        </w:tabs>
        <w:spacing w:line="252" w:lineRule="auto"/>
        <w:ind w:right="288"/>
        <w:rPr>
          <w:b/>
          <w:color w:val="0D0D0D"/>
          <w:sz w:val="21"/>
          <w:szCs w:val="21"/>
        </w:rPr>
      </w:pPr>
      <w:r w:rsidRPr="418329FD" w:rsidR="00FA17FB">
        <w:rPr>
          <w:b w:val="1"/>
          <w:bCs w:val="1"/>
          <w:color w:val="0D0D0D" w:themeColor="text1" w:themeTint="F2" w:themeShade="FF"/>
          <w:sz w:val="21"/>
          <w:szCs w:val="21"/>
        </w:rPr>
        <w:t>What if I do not want my HSA to transition to the HealthEquity portal?</w:t>
      </w:r>
    </w:p>
    <w:p w:rsidR="39C1465C" w:rsidP="418329FD" w:rsidRDefault="39C1465C" w14:paraId="59B4EB9E" w14:textId="78B97C9B">
      <w:pPr>
        <w:widowControl w:val="0"/>
        <w:tabs>
          <w:tab w:val="left" w:leader="none" w:pos="9360"/>
        </w:tabs>
        <w:spacing w:line="252" w:lineRule="auto"/>
        <w:ind w:right="288"/>
        <w:rPr>
          <w:color w:val="0D0D0D" w:themeColor="text1" w:themeTint="F2" w:themeShade="FF"/>
          <w:sz w:val="21"/>
          <w:szCs w:val="21"/>
        </w:rPr>
      </w:pPr>
      <w:r w:rsidRPr="418329FD" w:rsidR="39C1465C">
        <w:rPr>
          <w:color w:val="0D0D0D" w:themeColor="text1" w:themeTint="F2" w:themeShade="FF"/>
          <w:sz w:val="21"/>
          <w:szCs w:val="21"/>
        </w:rPr>
        <w:t xml:space="preserve">If you would like to </w:t>
      </w:r>
      <w:r w:rsidRPr="418329FD" w:rsidR="39C1465C">
        <w:rPr>
          <w:color w:val="0D0D0D" w:themeColor="text1" w:themeTint="F2" w:themeShade="FF"/>
          <w:sz w:val="21"/>
          <w:szCs w:val="21"/>
        </w:rPr>
        <w:t>discontinue</w:t>
      </w:r>
      <w:r w:rsidRPr="418329FD" w:rsidR="39C1465C">
        <w:rPr>
          <w:color w:val="0D0D0D" w:themeColor="text1" w:themeTint="F2" w:themeShade="FF"/>
          <w:sz w:val="21"/>
          <w:szCs w:val="21"/>
        </w:rPr>
        <w:t xml:space="preserve"> your HealthEquity services, you can do so by using one of the following options prior to the blackout period start date:</w:t>
      </w:r>
    </w:p>
    <w:p w:rsidR="39C1465C" w:rsidP="418329FD" w:rsidRDefault="39C1465C" w14:paraId="0CA74DB6" w14:textId="333B0D03">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tabs>
          <w:tab w:val="left" w:leader="none" w:pos="9360"/>
        </w:tabs>
        <w:spacing w:line="252" w:lineRule="auto"/>
        <w:ind w:right="288"/>
        <w:rPr>
          <w:color w:val="0D0D0D" w:themeColor="text1" w:themeTint="F2" w:themeShade="FF"/>
          <w:sz w:val="21"/>
          <w:szCs w:val="21"/>
        </w:rPr>
      </w:pPr>
      <w:r w:rsidRPr="418329FD" w:rsidR="39C1465C">
        <w:rPr>
          <w:color w:val="0D0D0D" w:themeColor="text1" w:themeTint="F2" w:themeShade="FF"/>
          <w:sz w:val="21"/>
          <w:szCs w:val="21"/>
        </w:rPr>
        <w:t xml:space="preserve">To close your account, call Further Member Services at 800.859.2144, OR  </w:t>
      </w:r>
    </w:p>
    <w:p w:rsidR="39C1465C" w:rsidP="418329FD" w:rsidRDefault="39C1465C" w14:paraId="5D00623F" w14:textId="2E89A89D">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tabs>
          <w:tab w:val="left" w:leader="none" w:pos="9360"/>
        </w:tabs>
        <w:spacing w:line="252" w:lineRule="auto"/>
        <w:ind w:right="288"/>
        <w:rPr>
          <w:color w:val="0D0D0D" w:themeColor="text1" w:themeTint="F2" w:themeShade="FF"/>
          <w:sz w:val="21"/>
          <w:szCs w:val="21"/>
        </w:rPr>
      </w:pPr>
      <w:r w:rsidRPr="418329FD" w:rsidR="39C1465C">
        <w:rPr>
          <w:color w:val="0D0D0D" w:themeColor="text1" w:themeTint="F2" w:themeShade="FF"/>
          <w:sz w:val="21"/>
          <w:szCs w:val="21"/>
        </w:rPr>
        <w:t>To transfer your account, provide us with a written transfer request from a new custodian or trustee.</w:t>
      </w:r>
    </w:p>
    <w:p w:rsidR="39C1465C" w:rsidP="418329FD" w:rsidRDefault="39C1465C" w14:paraId="1262DE78" w14:textId="450C65D2">
      <w:pPr>
        <w:widowControl w:val="0"/>
        <w:numPr>
          <w:ilvl w:val="1"/>
          <w:numId w:val="9"/>
        </w:numPr>
        <w:pBdr>
          <w:top w:val="nil" w:color="000000" w:sz="0" w:space="0"/>
          <w:left w:val="nil" w:color="000000" w:sz="0" w:space="0"/>
          <w:bottom w:val="nil" w:color="000000" w:sz="0" w:space="0"/>
          <w:right w:val="nil" w:color="000000" w:sz="0" w:space="0"/>
          <w:between w:val="nil" w:color="000000" w:sz="0" w:space="0"/>
        </w:pBdr>
        <w:tabs>
          <w:tab w:val="left" w:leader="none" w:pos="9360"/>
        </w:tabs>
        <w:spacing w:line="252" w:lineRule="auto"/>
        <w:ind w:right="288"/>
        <w:rPr>
          <w:color w:val="0D0D0D" w:themeColor="text1" w:themeTint="F2" w:themeShade="FF"/>
          <w:sz w:val="21"/>
          <w:szCs w:val="21"/>
        </w:rPr>
      </w:pPr>
      <w:r w:rsidRPr="418329FD" w:rsidR="39C1465C">
        <w:rPr>
          <w:color w:val="0D0D0D" w:themeColor="text1" w:themeTint="F2" w:themeShade="FF"/>
          <w:sz w:val="21"/>
          <w:szCs w:val="21"/>
        </w:rPr>
        <w:t>The request must be submitted on the new custodian’s HSA transfer form.</w:t>
      </w:r>
    </w:p>
    <w:p w:rsidR="00FA17FB" w:rsidP="00FA17FB" w:rsidRDefault="00FA17FB" w14:paraId="28323129" w14:textId="77777777">
      <w:pPr>
        <w:widowControl w:val="0"/>
        <w:numPr>
          <w:ilvl w:val="1"/>
          <w:numId w:val="9"/>
        </w:numPr>
        <w:pBdr>
          <w:top w:val="nil"/>
          <w:left w:val="nil"/>
          <w:bottom w:val="nil"/>
          <w:right w:val="nil"/>
          <w:between w:val="nil"/>
        </w:pBdr>
        <w:tabs>
          <w:tab w:val="left" w:pos="9360"/>
        </w:tabs>
        <w:spacing w:line="252" w:lineRule="auto"/>
        <w:ind w:right="288"/>
        <w:rPr>
          <w:color w:val="0D0D0D"/>
          <w:sz w:val="21"/>
          <w:szCs w:val="21"/>
        </w:rPr>
      </w:pPr>
      <w:r>
        <w:rPr>
          <w:color w:val="0D0D0D"/>
          <w:sz w:val="21"/>
          <w:szCs w:val="21"/>
        </w:rPr>
        <w:t xml:space="preserve">Please send the transfer request to: </w:t>
      </w:r>
    </w:p>
    <w:p w:rsidR="00FA17FB" w:rsidP="00FA17FB" w:rsidRDefault="00FA17FB" w14:paraId="2894C391" w14:textId="77777777">
      <w:pPr>
        <w:widowControl w:val="0"/>
        <w:tabs>
          <w:tab w:val="left" w:pos="9360"/>
        </w:tabs>
        <w:spacing w:line="252" w:lineRule="auto"/>
        <w:ind w:left="2160" w:right="288"/>
        <w:rPr>
          <w:color w:val="0D0D0D"/>
          <w:sz w:val="21"/>
          <w:szCs w:val="21"/>
        </w:rPr>
      </w:pPr>
      <w:r>
        <w:rPr>
          <w:color w:val="0D0D0D"/>
          <w:sz w:val="21"/>
          <w:szCs w:val="21"/>
        </w:rPr>
        <w:t>Further</w:t>
      </w:r>
    </w:p>
    <w:p w:rsidR="00FA17FB" w:rsidP="00FA17FB" w:rsidRDefault="00FA17FB" w14:paraId="6E1F6B10" w14:textId="77777777">
      <w:pPr>
        <w:pBdr>
          <w:top w:val="nil"/>
          <w:left w:val="nil"/>
          <w:bottom w:val="nil"/>
          <w:right w:val="nil"/>
          <w:between w:val="nil"/>
        </w:pBdr>
        <w:spacing w:line="252" w:lineRule="auto"/>
        <w:ind w:left="2160" w:right="285"/>
        <w:rPr>
          <w:rFonts w:ascii="Quattrocento Sans" w:hAnsi="Quattrocento Sans" w:eastAsia="Quattrocento Sans" w:cs="Quattrocento Sans"/>
          <w:color w:val="0D0D0D"/>
          <w:sz w:val="21"/>
          <w:szCs w:val="21"/>
        </w:rPr>
      </w:pPr>
      <w:r>
        <w:rPr>
          <w:color w:val="0D0D0D"/>
          <w:sz w:val="21"/>
          <w:szCs w:val="21"/>
        </w:rPr>
        <w:t>PO Box 14836 </w:t>
      </w:r>
    </w:p>
    <w:p w:rsidR="00FA17FB" w:rsidP="00FA17FB" w:rsidRDefault="00FA17FB" w14:paraId="465B3967" w14:textId="77777777">
      <w:pPr>
        <w:pBdr>
          <w:top w:val="nil"/>
          <w:left w:val="nil"/>
          <w:bottom w:val="nil"/>
          <w:right w:val="nil"/>
          <w:between w:val="nil"/>
        </w:pBdr>
        <w:spacing w:line="252" w:lineRule="auto"/>
        <w:ind w:left="2160" w:right="285"/>
        <w:rPr>
          <w:rFonts w:ascii="Quattrocento Sans" w:hAnsi="Quattrocento Sans" w:eastAsia="Quattrocento Sans" w:cs="Quattrocento Sans"/>
          <w:color w:val="0D0D0D"/>
          <w:sz w:val="21"/>
          <w:szCs w:val="21"/>
        </w:rPr>
      </w:pPr>
      <w:r>
        <w:rPr>
          <w:color w:val="0D0D0D"/>
          <w:sz w:val="21"/>
          <w:szCs w:val="21"/>
        </w:rPr>
        <w:t>Lexington, KY 40511  </w:t>
      </w:r>
    </w:p>
    <w:p w:rsidR="00FA17FB" w:rsidP="00FA17FB" w:rsidRDefault="00FA17FB" w14:paraId="34B5F02C" w14:textId="77777777">
      <w:pPr>
        <w:widowControl w:val="0"/>
        <w:tabs>
          <w:tab w:val="left" w:pos="9360"/>
        </w:tabs>
        <w:spacing w:line="252" w:lineRule="auto"/>
        <w:ind w:right="288"/>
        <w:rPr>
          <w:color w:val="0D0D0D"/>
          <w:sz w:val="21"/>
          <w:szCs w:val="21"/>
        </w:rPr>
      </w:pPr>
    </w:p>
    <w:p w:rsidR="48331B24" w:rsidP="418329FD" w:rsidRDefault="48331B24" w14:paraId="7F1D4CBA" w14:textId="438A1F5B">
      <w:pPr>
        <w:widowControl w:val="0"/>
        <w:tabs>
          <w:tab w:val="left" w:leader="none" w:pos="9360"/>
        </w:tabs>
        <w:spacing w:line="252" w:lineRule="auto"/>
        <w:ind w:right="288"/>
        <w:rPr>
          <w:color w:val="0D0D0D" w:themeColor="text1" w:themeTint="F2" w:themeShade="FF"/>
          <w:sz w:val="21"/>
          <w:szCs w:val="21"/>
        </w:rPr>
      </w:pPr>
      <w:r w:rsidRPr="418329FD" w:rsidR="48331B24">
        <w:rPr>
          <w:color w:val="0D0D0D" w:themeColor="text1" w:themeTint="F2" w:themeShade="FF"/>
          <w:sz w:val="21"/>
          <w:szCs w:val="21"/>
        </w:rPr>
        <w:t xml:space="preserve">In the event you have an investment account associated with your HSA, you must liquidate your investments and return all funds to your HSA base balance/cash account prior to </w:t>
      </w:r>
      <w:r w:rsidRPr="418329FD" w:rsidR="48331B24">
        <w:rPr>
          <w:color w:val="0D0D0D" w:themeColor="text1" w:themeTint="F2" w:themeShade="FF"/>
          <w:sz w:val="21"/>
          <w:szCs w:val="21"/>
        </w:rPr>
        <w:t>submitting</w:t>
      </w:r>
      <w:r w:rsidRPr="418329FD" w:rsidR="48331B24">
        <w:rPr>
          <w:color w:val="0D0D0D" w:themeColor="text1" w:themeTint="F2" w:themeShade="FF"/>
          <w:sz w:val="21"/>
          <w:szCs w:val="21"/>
        </w:rPr>
        <w:t xml:space="preserve"> your request.    </w:t>
      </w:r>
    </w:p>
    <w:p w:rsidR="418329FD" w:rsidP="418329FD" w:rsidRDefault="418329FD" w14:paraId="3ED56AFB" w14:textId="6B7407C5">
      <w:pPr>
        <w:widowControl w:val="0"/>
        <w:tabs>
          <w:tab w:val="left" w:leader="none" w:pos="9360"/>
        </w:tabs>
        <w:spacing w:line="252" w:lineRule="auto"/>
        <w:ind w:right="288"/>
        <w:rPr>
          <w:color w:val="0D0D0D" w:themeColor="text1" w:themeTint="F2" w:themeShade="FF"/>
          <w:sz w:val="21"/>
          <w:szCs w:val="21"/>
        </w:rPr>
      </w:pPr>
    </w:p>
    <w:p w:rsidR="48331B24" w:rsidP="418329FD" w:rsidRDefault="48331B24" w14:paraId="21158C09" w14:textId="10777ACD">
      <w:pPr>
        <w:widowControl w:val="0"/>
        <w:tabs>
          <w:tab w:val="left" w:leader="none" w:pos="9360"/>
        </w:tabs>
        <w:spacing w:line="252" w:lineRule="auto"/>
        <w:ind w:right="288"/>
        <w:rPr>
          <w:color w:val="0D0D0D" w:themeColor="text1" w:themeTint="F2" w:themeShade="FF"/>
          <w:sz w:val="21"/>
          <w:szCs w:val="21"/>
        </w:rPr>
      </w:pPr>
      <w:r w:rsidRPr="418329FD" w:rsidR="48331B24">
        <w:rPr>
          <w:color w:val="0D0D0D" w:themeColor="text1" w:themeTint="F2" w:themeShade="FF"/>
          <w:sz w:val="21"/>
          <w:szCs w:val="21"/>
        </w:rPr>
        <w:t xml:space="preserve">Please note, </w:t>
      </w:r>
      <w:r w:rsidRPr="418329FD" w:rsidR="48331B24">
        <w:rPr>
          <w:color w:val="0D0D0D" w:themeColor="text1" w:themeTint="F2" w:themeShade="FF"/>
          <w:sz w:val="21"/>
          <w:szCs w:val="21"/>
        </w:rPr>
        <w:t>close</w:t>
      </w:r>
      <w:r w:rsidRPr="418329FD" w:rsidR="48331B24">
        <w:rPr>
          <w:color w:val="0D0D0D" w:themeColor="text1" w:themeTint="F2" w:themeShade="FF"/>
          <w:sz w:val="21"/>
          <w:szCs w:val="21"/>
        </w:rPr>
        <w:t xml:space="preserve"> requests take an average of 10 business days and transfer requests take an average of </w:t>
      </w:r>
      <w:r w:rsidRPr="418329FD" w:rsidR="48331B24">
        <w:rPr>
          <w:color w:val="0D0D0D" w:themeColor="text1" w:themeTint="F2" w:themeShade="FF"/>
          <w:sz w:val="21"/>
          <w:szCs w:val="21"/>
        </w:rPr>
        <w:t>45 days</w:t>
      </w:r>
      <w:r w:rsidRPr="418329FD" w:rsidR="48331B24">
        <w:rPr>
          <w:color w:val="0D0D0D" w:themeColor="text1" w:themeTint="F2" w:themeShade="FF"/>
          <w:sz w:val="21"/>
          <w:szCs w:val="21"/>
        </w:rPr>
        <w:t xml:space="preserve"> to complete the process. If your request </w:t>
      </w:r>
      <w:r w:rsidRPr="418329FD" w:rsidR="48331B24">
        <w:rPr>
          <w:color w:val="0D0D0D" w:themeColor="text1" w:themeTint="F2" w:themeShade="FF"/>
          <w:sz w:val="21"/>
          <w:szCs w:val="21"/>
        </w:rPr>
        <w:t>isn’t</w:t>
      </w:r>
      <w:r w:rsidRPr="418329FD" w:rsidR="48331B24">
        <w:rPr>
          <w:color w:val="0D0D0D" w:themeColor="text1" w:themeTint="F2" w:themeShade="FF"/>
          <w:sz w:val="21"/>
          <w:szCs w:val="21"/>
        </w:rPr>
        <w:t xml:space="preserve"> processed prior to the blackout period start date of your transition date, it will be processed on the HealthEquity portal after the transition is complete.   </w:t>
      </w:r>
    </w:p>
    <w:p w:rsidR="418329FD" w:rsidP="418329FD" w:rsidRDefault="418329FD" w14:paraId="33A694CD" w14:textId="300136EA">
      <w:pPr>
        <w:widowControl w:val="0"/>
        <w:tabs>
          <w:tab w:val="left" w:leader="none" w:pos="9360"/>
        </w:tabs>
        <w:spacing w:line="252" w:lineRule="auto"/>
        <w:ind w:right="288"/>
        <w:rPr>
          <w:color w:val="0D0D0D" w:themeColor="text1" w:themeTint="F2" w:themeShade="FF"/>
          <w:sz w:val="21"/>
          <w:szCs w:val="21"/>
        </w:rPr>
      </w:pPr>
    </w:p>
    <w:p w:rsidR="48331B24" w:rsidP="418329FD" w:rsidRDefault="48331B24" w14:paraId="7C8E5030" w14:textId="4D8D8B7F">
      <w:pPr>
        <w:widowControl w:val="0"/>
        <w:tabs>
          <w:tab w:val="left" w:leader="none" w:pos="9360"/>
        </w:tabs>
        <w:spacing w:line="252" w:lineRule="auto"/>
        <w:ind w:right="288"/>
        <w:rPr>
          <w:color w:val="0D0D0D" w:themeColor="text1" w:themeTint="F2" w:themeShade="FF"/>
          <w:sz w:val="21"/>
          <w:szCs w:val="21"/>
        </w:rPr>
      </w:pPr>
      <w:r w:rsidRPr="418329FD" w:rsidR="48331B24">
        <w:rPr>
          <w:color w:val="0D0D0D" w:themeColor="text1" w:themeTint="F2" w:themeShade="FF"/>
          <w:sz w:val="21"/>
          <w:szCs w:val="21"/>
        </w:rPr>
        <w:t xml:space="preserve">If you want your HSA to be automatically </w:t>
      </w:r>
      <w:r w:rsidRPr="418329FD" w:rsidR="48331B24">
        <w:rPr>
          <w:color w:val="0D0D0D" w:themeColor="text1" w:themeTint="F2" w:themeShade="FF"/>
          <w:sz w:val="21"/>
          <w:szCs w:val="21"/>
        </w:rPr>
        <w:t>transitioned</w:t>
      </w:r>
      <w:r w:rsidRPr="418329FD" w:rsidR="48331B24">
        <w:rPr>
          <w:color w:val="0D0D0D" w:themeColor="text1" w:themeTint="F2" w:themeShade="FF"/>
          <w:sz w:val="21"/>
          <w:szCs w:val="21"/>
        </w:rPr>
        <w:t xml:space="preserve"> to the HealthEquity portal, </w:t>
      </w:r>
      <w:r w:rsidRPr="418329FD" w:rsidR="48331B24">
        <w:rPr>
          <w:b w:val="1"/>
          <w:bCs w:val="1"/>
          <w:color w:val="0D0D0D" w:themeColor="text1" w:themeTint="F2" w:themeShade="FF"/>
          <w:sz w:val="21"/>
          <w:szCs w:val="21"/>
        </w:rPr>
        <w:t>no action is required</w:t>
      </w:r>
      <w:r w:rsidRPr="418329FD" w:rsidR="48331B24">
        <w:rPr>
          <w:color w:val="0D0D0D" w:themeColor="text1" w:themeTint="F2" w:themeShade="FF"/>
          <w:sz w:val="21"/>
          <w:szCs w:val="21"/>
        </w:rPr>
        <w:t xml:space="preserve">.  </w:t>
      </w:r>
    </w:p>
    <w:p w:rsidR="418329FD" w:rsidP="418329FD" w:rsidRDefault="418329FD" w14:paraId="24084891" w14:textId="3A8E0EB6">
      <w:pPr>
        <w:widowControl w:val="0"/>
        <w:tabs>
          <w:tab w:val="left" w:leader="none" w:pos="9360"/>
        </w:tabs>
        <w:spacing w:line="252" w:lineRule="auto"/>
        <w:ind w:right="288"/>
        <w:rPr>
          <w:color w:val="0D0D0D" w:themeColor="text1" w:themeTint="F2" w:themeShade="FF"/>
          <w:sz w:val="21"/>
          <w:szCs w:val="21"/>
        </w:rPr>
      </w:pPr>
    </w:p>
    <w:p w:rsidR="6B804580" w:rsidP="418329FD" w:rsidRDefault="6B804580" w14:paraId="7D63C207" w14:textId="7189FDF3">
      <w:pPr>
        <w:widowControl w:val="0"/>
        <w:tabs>
          <w:tab w:val="left" w:leader="none" w:pos="9360"/>
        </w:tabs>
        <w:spacing w:line="247" w:lineRule="auto"/>
        <w:ind w:right="288"/>
        <w:rPr>
          <w:rFonts w:ascii="Arial" w:hAnsi="Arial" w:eastAsia="Arial" w:cs="Arial"/>
          <w:noProof w:val="0"/>
          <w:sz w:val="21"/>
          <w:szCs w:val="21"/>
          <w:lang w:val="en-US"/>
        </w:rPr>
      </w:pPr>
      <w:r w:rsidRPr="418329FD" w:rsidR="6B804580">
        <w:rPr>
          <w:rFonts w:ascii="Arial" w:hAnsi="Arial" w:eastAsia="Arial" w:cs="Arial"/>
          <w:b w:val="0"/>
          <w:bCs w:val="0"/>
          <w:i w:val="0"/>
          <w:iCs w:val="0"/>
          <w:caps w:val="0"/>
          <w:smallCaps w:val="0"/>
          <w:noProof w:val="0"/>
          <w:color w:val="000000" w:themeColor="text1" w:themeTint="FF" w:themeShade="FF"/>
          <w:sz w:val="21"/>
          <w:szCs w:val="21"/>
          <w:lang w:val="en-US"/>
        </w:rPr>
        <w:t>For members with multiple Health Savings Accounts on Further, your account will be merged as part of the transition. You will have one account login to view all your accounts on the HealthEquity portal.</w:t>
      </w:r>
    </w:p>
    <w:p w:rsidR="00FA17FB" w:rsidP="00FA17FB" w:rsidRDefault="00FA17FB" w14:paraId="16F82541" w14:textId="77777777">
      <w:pPr>
        <w:widowControl w:val="0"/>
        <w:tabs>
          <w:tab w:val="left" w:pos="9360"/>
        </w:tabs>
        <w:spacing w:line="252" w:lineRule="auto"/>
        <w:ind w:right="288"/>
        <w:rPr>
          <w:b/>
          <w:color w:val="0D0D0D"/>
          <w:sz w:val="21"/>
          <w:szCs w:val="21"/>
        </w:rPr>
      </w:pPr>
    </w:p>
    <w:p w:rsidR="00FA17FB" w:rsidP="00FA17FB" w:rsidRDefault="00FA17FB" w14:paraId="48B9DCC5" w14:textId="77777777">
      <w:pPr>
        <w:widowControl w:val="0"/>
        <w:tabs>
          <w:tab w:val="left" w:pos="9360"/>
        </w:tabs>
        <w:spacing w:line="252" w:lineRule="auto"/>
        <w:ind w:right="288"/>
        <w:rPr>
          <w:b/>
          <w:color w:val="0D0D0D"/>
          <w:sz w:val="21"/>
          <w:szCs w:val="21"/>
        </w:rPr>
      </w:pPr>
      <w:r>
        <w:rPr>
          <w:b/>
          <w:color w:val="0D0D0D"/>
          <w:sz w:val="21"/>
          <w:szCs w:val="21"/>
        </w:rPr>
        <w:t>Where can I find additional information?</w:t>
      </w:r>
    </w:p>
    <w:p w:rsidR="00FA17FB" w:rsidP="00FA17FB" w:rsidRDefault="00FA17FB" w14:paraId="1D574736" w14:textId="77777777">
      <w:pPr>
        <w:spacing w:line="252" w:lineRule="auto"/>
        <w:rPr>
          <w:color w:val="0D0D0D"/>
          <w:sz w:val="21"/>
          <w:szCs w:val="21"/>
        </w:rPr>
      </w:pPr>
      <w:r>
        <w:rPr>
          <w:color w:val="0D0D0D"/>
          <w:sz w:val="21"/>
          <w:szCs w:val="21"/>
        </w:rPr>
        <w:t xml:space="preserve">We look forward to continuing to build health savings with you! Additional information regarding the transition can be found at your transition website. </w:t>
      </w:r>
    </w:p>
    <w:p w:rsidR="00FA17FB" w:rsidP="00FA17FB" w:rsidRDefault="00FA17FB" w14:paraId="3853ADB2" w14:textId="77777777">
      <w:pPr>
        <w:spacing w:line="252" w:lineRule="auto"/>
        <w:rPr>
          <w:color w:val="0D0D0D"/>
          <w:sz w:val="21"/>
          <w:szCs w:val="21"/>
        </w:rPr>
      </w:pPr>
    </w:p>
    <w:p w:rsidR="00FA17FB" w:rsidP="00FA17FB" w:rsidRDefault="00FA17FB" w14:paraId="7D3B5FA6" w14:textId="77777777">
      <w:pPr>
        <w:spacing w:line="252" w:lineRule="auto"/>
        <w:rPr>
          <w:color w:val="0D0D0D"/>
          <w:sz w:val="21"/>
          <w:szCs w:val="21"/>
        </w:rPr>
      </w:pPr>
      <w:r>
        <w:rPr>
          <w:color w:val="0D0D0D"/>
          <w:sz w:val="21"/>
          <w:szCs w:val="21"/>
        </w:rPr>
        <w:t xml:space="preserve">If you have any questions, please contact HealthEquity Member Services at 844.351.6856. We are available 24/7. </w:t>
      </w:r>
    </w:p>
    <w:p w:rsidR="00FA17FB" w:rsidP="00FA17FB" w:rsidRDefault="00FA17FB" w14:paraId="69D16946" w14:textId="77777777">
      <w:pPr>
        <w:spacing w:line="252" w:lineRule="auto"/>
        <w:rPr>
          <w:color w:val="0D0D0D"/>
          <w:sz w:val="21"/>
          <w:szCs w:val="21"/>
        </w:rPr>
      </w:pPr>
    </w:p>
    <w:p w:rsidR="00FA17FB" w:rsidP="00FA17FB" w:rsidRDefault="00FA17FB" w14:paraId="21C099F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2" w:lineRule="auto"/>
        <w:rPr>
          <w:color w:val="000000"/>
          <w:sz w:val="21"/>
          <w:szCs w:val="21"/>
        </w:rPr>
      </w:pPr>
      <w:r>
        <w:rPr>
          <w:color w:val="000000"/>
          <w:sz w:val="21"/>
          <w:szCs w:val="21"/>
        </w:rPr>
        <w:t xml:space="preserve">Thank you,  </w:t>
      </w:r>
    </w:p>
    <w:p w:rsidR="00FA17FB" w:rsidP="00FA17FB" w:rsidRDefault="00FA17FB" w14:paraId="74DE818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2" w:lineRule="auto"/>
        <w:rPr>
          <w:color w:val="000000"/>
          <w:sz w:val="21"/>
          <w:szCs w:val="21"/>
        </w:rPr>
      </w:pPr>
    </w:p>
    <w:p w:rsidR="00FA17FB" w:rsidP="00FA17FB" w:rsidRDefault="00FA17FB" w14:paraId="171BDCC1" w14:textId="77777777">
      <w:pPr>
        <w:spacing w:line="252" w:lineRule="auto"/>
        <w:rPr>
          <w:color w:val="0D0D0D"/>
          <w:sz w:val="21"/>
          <w:szCs w:val="21"/>
        </w:rPr>
      </w:pPr>
      <w:r>
        <w:rPr>
          <w:color w:val="000000"/>
          <w:sz w:val="21"/>
          <w:szCs w:val="21"/>
        </w:rPr>
        <w:t>HealthEquity Member Services</w:t>
      </w:r>
    </w:p>
    <w:p w:rsidR="00FA17FB" w:rsidP="00FA17FB" w:rsidRDefault="00FA17FB" w14:paraId="22F0A152" w14:textId="77777777">
      <w:pPr>
        <w:keepNext/>
        <w:widowControl w:val="0"/>
        <w:pBdr>
          <w:bottom w:val="single" w:color="000000" w:sz="12" w:space="1"/>
        </w:pBdr>
        <w:tabs>
          <w:tab w:val="left" w:pos="9360"/>
        </w:tabs>
        <w:spacing w:line="252" w:lineRule="auto"/>
        <w:ind w:right="288"/>
        <w:rPr>
          <w:color w:val="0D0D0D"/>
          <w:sz w:val="21"/>
          <w:szCs w:val="21"/>
        </w:rPr>
      </w:pPr>
    </w:p>
    <w:p w:rsidR="00FA17FB" w:rsidP="00FA17FB" w:rsidRDefault="00FA17FB" w14:paraId="04698C07" w14:textId="77777777">
      <w:pPr>
        <w:keepNext/>
        <w:widowControl w:val="0"/>
        <w:tabs>
          <w:tab w:val="left" w:pos="9360"/>
        </w:tabs>
        <w:spacing w:line="252" w:lineRule="auto"/>
        <w:ind w:right="288"/>
        <w:rPr>
          <w:color w:val="0D0D0D"/>
          <w:sz w:val="21"/>
          <w:szCs w:val="21"/>
        </w:rPr>
      </w:pPr>
    </w:p>
    <w:p w:rsidR="00FA17FB" w:rsidP="00FA17FB" w:rsidRDefault="00FA17FB" w14:paraId="602D95B9" w14:textId="77777777">
      <w:pPr>
        <w:keepNext/>
        <w:widowControl w:val="0"/>
        <w:tabs>
          <w:tab w:val="left" w:pos="9360"/>
        </w:tabs>
        <w:spacing w:line="252" w:lineRule="auto"/>
        <w:ind w:right="288"/>
        <w:rPr>
          <w:b/>
          <w:color w:val="0D0D0D"/>
          <w:sz w:val="21"/>
          <w:szCs w:val="21"/>
        </w:rPr>
      </w:pPr>
      <w:r>
        <w:rPr>
          <w:b/>
          <w:color w:val="0D0D0D"/>
          <w:sz w:val="21"/>
          <w:szCs w:val="21"/>
        </w:rPr>
        <w:t>Schedule of Fees</w:t>
      </w:r>
    </w:p>
    <w:p w:rsidR="00FA17FB" w:rsidP="00FA17FB" w:rsidRDefault="00FA17FB" w14:paraId="4FD5C85A" w14:textId="79E85A7E">
      <w:pPr>
        <w:keepNext/>
        <w:widowControl w:val="0"/>
        <w:tabs>
          <w:tab w:val="left" w:pos="9360"/>
        </w:tabs>
        <w:spacing w:line="252" w:lineRule="auto"/>
        <w:ind w:right="288"/>
        <w:rPr>
          <w:color w:val="0D0D0D"/>
          <w:sz w:val="21"/>
          <w:szCs w:val="21"/>
        </w:rPr>
      </w:pPr>
      <w:r>
        <w:rPr>
          <w:color w:val="0D0D0D"/>
          <w:sz w:val="21"/>
          <w:szCs w:val="21"/>
        </w:rPr>
        <w:t xml:space="preserve">The following is a list of fees that can apply to your HSA. See section 7.01 of the HSA Custodial Agreement for more information. If your employer, health plan, or other company has arranged to pay certain fees for you or for discounts, then adjustments will be noted on the HealthEquity member portal in the “Member Profile” section and reflected on your monthly statements. </w:t>
      </w:r>
      <w:proofErr w:type="spellStart"/>
      <w:r w:rsidR="002462E9">
        <w:rPr>
          <w:color w:val="0D0D0D"/>
          <w:sz w:val="21"/>
          <w:szCs w:val="21"/>
        </w:rPr>
        <w:t>Further’s</w:t>
      </w:r>
      <w:proofErr w:type="spellEnd"/>
      <w:r w:rsidR="002462E9">
        <w:rPr>
          <w:color w:val="0D0D0D"/>
          <w:sz w:val="21"/>
          <w:szCs w:val="21"/>
        </w:rPr>
        <w:t xml:space="preserve"> Plan Change program will not be available at transition and program participants will receive a separate communication.</w:t>
      </w:r>
    </w:p>
    <w:p w:rsidR="00FA17FB" w:rsidP="00FA17FB" w:rsidRDefault="00FA17FB" w14:paraId="5773FEFC" w14:textId="77777777">
      <w:pPr>
        <w:keepNext/>
        <w:widowControl w:val="0"/>
        <w:spacing w:line="252" w:lineRule="auto"/>
        <w:ind w:right="4320"/>
        <w:rPr>
          <w:color w:val="0D0D0D"/>
          <w:sz w:val="21"/>
          <w:szCs w:val="21"/>
        </w:rPr>
      </w:pPr>
    </w:p>
    <w:tbl>
      <w:tblPr>
        <w:tblW w:w="10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441"/>
        <w:gridCol w:w="6783"/>
      </w:tblGrid>
      <w:tr w:rsidR="00FA17FB" w:rsidTr="002E5029" w14:paraId="75011D7D" w14:textId="77777777">
        <w:trPr>
          <w:trHeight w:val="20"/>
        </w:trPr>
        <w:tc>
          <w:tcPr>
            <w:tcW w:w="3441" w:type="dxa"/>
            <w:tcBorders>
              <w:top w:val="nil"/>
              <w:left w:val="nil"/>
              <w:right w:val="nil"/>
            </w:tcBorders>
            <w:shd w:val="clear" w:color="auto" w:fill="auto"/>
            <w:vAlign w:val="center"/>
          </w:tcPr>
          <w:p w:rsidR="00FA17FB" w:rsidP="002E5029" w:rsidRDefault="00FA17FB" w14:paraId="1809DEAB" w14:textId="77777777">
            <w:pPr>
              <w:spacing w:line="240" w:lineRule="auto"/>
              <w:rPr>
                <w:b/>
                <w:color w:val="0D0D0D"/>
                <w:sz w:val="21"/>
                <w:szCs w:val="21"/>
                <w:u w:val="single"/>
              </w:rPr>
            </w:pPr>
            <w:r>
              <w:rPr>
                <w:b/>
                <w:color w:val="0D0D0D"/>
                <w:sz w:val="21"/>
                <w:szCs w:val="21"/>
                <w:u w:val="single"/>
              </w:rPr>
              <w:t>Service</w:t>
            </w:r>
          </w:p>
        </w:tc>
        <w:tc>
          <w:tcPr>
            <w:tcW w:w="6783" w:type="dxa"/>
            <w:tcBorders>
              <w:top w:val="nil"/>
              <w:left w:val="nil"/>
              <w:right w:val="nil"/>
            </w:tcBorders>
            <w:shd w:val="clear" w:color="auto" w:fill="auto"/>
            <w:vAlign w:val="center"/>
          </w:tcPr>
          <w:p w:rsidR="00FA17FB" w:rsidP="002E5029" w:rsidRDefault="00FA17FB" w14:paraId="4DB006C9" w14:textId="77777777">
            <w:pPr>
              <w:spacing w:line="240" w:lineRule="auto"/>
              <w:rPr>
                <w:b/>
                <w:color w:val="0D0D0D"/>
                <w:sz w:val="21"/>
                <w:szCs w:val="21"/>
                <w:u w:val="single"/>
              </w:rPr>
            </w:pPr>
            <w:r>
              <w:rPr>
                <w:b/>
                <w:color w:val="0D0D0D"/>
                <w:sz w:val="21"/>
                <w:szCs w:val="21"/>
                <w:u w:val="single"/>
              </w:rPr>
              <w:t>Fee</w:t>
            </w:r>
          </w:p>
        </w:tc>
      </w:tr>
      <w:tr w:rsidR="00FA17FB" w:rsidTr="002E5029" w14:paraId="40A2946C" w14:textId="77777777">
        <w:trPr>
          <w:trHeight w:val="20"/>
        </w:trPr>
        <w:tc>
          <w:tcPr>
            <w:tcW w:w="3441" w:type="dxa"/>
            <w:shd w:val="clear" w:color="auto" w:fill="auto"/>
            <w:vAlign w:val="center"/>
          </w:tcPr>
          <w:p w:rsidR="00FA17FB" w:rsidP="002E5029" w:rsidRDefault="00FA17FB" w14:paraId="46D547C2" w14:textId="77777777">
            <w:pPr>
              <w:spacing w:line="240" w:lineRule="auto"/>
              <w:rPr>
                <w:color w:val="0D0D0D"/>
                <w:sz w:val="21"/>
                <w:szCs w:val="21"/>
              </w:rPr>
            </w:pPr>
            <w:r>
              <w:rPr>
                <w:color w:val="0D0D0D"/>
                <w:sz w:val="21"/>
                <w:szCs w:val="21"/>
              </w:rPr>
              <w:t>Monthly HSA admin fee</w:t>
            </w:r>
          </w:p>
        </w:tc>
        <w:tc>
          <w:tcPr>
            <w:tcW w:w="6783" w:type="dxa"/>
            <w:shd w:val="clear" w:color="auto" w:fill="auto"/>
            <w:vAlign w:val="center"/>
          </w:tcPr>
          <w:p w:rsidR="00FA17FB" w:rsidP="002E5029" w:rsidRDefault="00FA17FB" w14:paraId="7F2EC759" w14:textId="77777777">
            <w:pPr>
              <w:spacing w:line="240" w:lineRule="auto"/>
            </w:pPr>
            <w:r>
              <w:rPr>
                <w:sz w:val="21"/>
                <w:szCs w:val="21"/>
              </w:rPr>
              <w:t>Same as current HSA admin fee</w:t>
            </w:r>
            <w:r>
              <w:rPr>
                <w:sz w:val="21"/>
                <w:szCs w:val="21"/>
                <w:vertAlign w:val="superscript"/>
              </w:rPr>
              <w:t>4</w:t>
            </w:r>
          </w:p>
        </w:tc>
      </w:tr>
      <w:tr w:rsidR="00FA17FB" w:rsidTr="002E5029" w14:paraId="19C5150C" w14:textId="77777777">
        <w:trPr>
          <w:trHeight w:val="20"/>
        </w:trPr>
        <w:tc>
          <w:tcPr>
            <w:tcW w:w="3441" w:type="dxa"/>
            <w:shd w:val="clear" w:color="auto" w:fill="auto"/>
            <w:vAlign w:val="center"/>
          </w:tcPr>
          <w:p w:rsidR="00FA17FB" w:rsidP="002E5029" w:rsidRDefault="00FA17FB" w14:paraId="3824CD13" w14:textId="77777777">
            <w:pPr>
              <w:spacing w:line="240" w:lineRule="auto"/>
              <w:rPr>
                <w:color w:val="0D0D0D"/>
                <w:sz w:val="21"/>
                <w:szCs w:val="21"/>
              </w:rPr>
            </w:pPr>
            <w:r>
              <w:rPr>
                <w:color w:val="0D0D0D"/>
                <w:sz w:val="21"/>
                <w:szCs w:val="21"/>
              </w:rPr>
              <w:t xml:space="preserve">Reimbursement check </w:t>
            </w:r>
          </w:p>
        </w:tc>
        <w:tc>
          <w:tcPr>
            <w:tcW w:w="6783" w:type="dxa"/>
            <w:shd w:val="clear" w:color="auto" w:fill="auto"/>
            <w:vAlign w:val="center"/>
          </w:tcPr>
          <w:p w:rsidR="00FA17FB" w:rsidP="002E5029" w:rsidRDefault="00FA17FB" w14:paraId="76DC2392" w14:textId="77777777">
            <w:pPr>
              <w:spacing w:line="240" w:lineRule="auto"/>
              <w:rPr>
                <w:color w:val="0D0D0D"/>
                <w:sz w:val="21"/>
                <w:szCs w:val="21"/>
              </w:rPr>
            </w:pPr>
            <w:r>
              <w:rPr>
                <w:color w:val="0D0D0D"/>
                <w:sz w:val="21"/>
                <w:szCs w:val="21"/>
              </w:rPr>
              <w:t xml:space="preserve">$2.00 for paper check </w:t>
            </w:r>
          </w:p>
          <w:p w:rsidR="00FA17FB" w:rsidP="002E5029" w:rsidRDefault="00FA17FB" w14:paraId="764D97CA" w14:textId="77777777">
            <w:pPr>
              <w:spacing w:line="240" w:lineRule="auto"/>
              <w:rPr>
                <w:color w:val="0D0D0D"/>
                <w:sz w:val="21"/>
                <w:szCs w:val="21"/>
              </w:rPr>
            </w:pPr>
            <w:r>
              <w:rPr>
                <w:color w:val="0D0D0D"/>
                <w:sz w:val="21"/>
                <w:szCs w:val="21"/>
              </w:rPr>
              <w:t>No fee for electronic funds transfer</w:t>
            </w:r>
          </w:p>
        </w:tc>
      </w:tr>
      <w:tr w:rsidR="00FA17FB" w:rsidTr="002E5029" w14:paraId="2E7C3932" w14:textId="77777777">
        <w:trPr>
          <w:trHeight w:val="20"/>
        </w:trPr>
        <w:tc>
          <w:tcPr>
            <w:tcW w:w="3441" w:type="dxa"/>
            <w:shd w:val="clear" w:color="auto" w:fill="auto"/>
            <w:vAlign w:val="center"/>
          </w:tcPr>
          <w:p w:rsidR="00FA17FB" w:rsidP="002E5029" w:rsidRDefault="00FA17FB" w14:paraId="38C54028" w14:textId="77777777">
            <w:pPr>
              <w:spacing w:line="240" w:lineRule="auto"/>
              <w:rPr>
                <w:color w:val="0D0D0D"/>
                <w:sz w:val="21"/>
                <w:szCs w:val="21"/>
              </w:rPr>
            </w:pPr>
            <w:r>
              <w:rPr>
                <w:color w:val="0D0D0D"/>
                <w:sz w:val="21"/>
                <w:szCs w:val="21"/>
              </w:rPr>
              <w:t xml:space="preserve">Payment to provider </w:t>
            </w:r>
          </w:p>
        </w:tc>
        <w:tc>
          <w:tcPr>
            <w:tcW w:w="6783" w:type="dxa"/>
            <w:shd w:val="clear" w:color="auto" w:fill="auto"/>
            <w:vAlign w:val="center"/>
          </w:tcPr>
          <w:p w:rsidR="00FA17FB" w:rsidP="002E5029" w:rsidRDefault="00FA17FB" w14:paraId="023B0D5C" w14:textId="77777777">
            <w:pPr>
              <w:spacing w:line="240" w:lineRule="auto"/>
              <w:rPr>
                <w:color w:val="0D0D0D"/>
                <w:sz w:val="21"/>
                <w:szCs w:val="21"/>
              </w:rPr>
            </w:pPr>
            <w:r>
              <w:rPr>
                <w:color w:val="0D0D0D"/>
                <w:sz w:val="21"/>
                <w:szCs w:val="21"/>
              </w:rPr>
              <w:t xml:space="preserve">No fee </w:t>
            </w:r>
          </w:p>
        </w:tc>
      </w:tr>
      <w:tr w:rsidR="00FA17FB" w:rsidTr="002E5029" w14:paraId="11D83A50" w14:textId="77777777">
        <w:trPr>
          <w:trHeight w:val="20"/>
        </w:trPr>
        <w:tc>
          <w:tcPr>
            <w:tcW w:w="3441" w:type="dxa"/>
            <w:shd w:val="clear" w:color="auto" w:fill="auto"/>
            <w:vAlign w:val="center"/>
          </w:tcPr>
          <w:p w:rsidR="00FA17FB" w:rsidP="002E5029" w:rsidRDefault="00FA17FB" w14:paraId="6EAB0489" w14:textId="77777777">
            <w:pPr>
              <w:spacing w:line="240" w:lineRule="auto"/>
              <w:rPr>
                <w:color w:val="0D0D0D"/>
                <w:sz w:val="21"/>
                <w:szCs w:val="21"/>
              </w:rPr>
            </w:pPr>
            <w:r>
              <w:rPr>
                <w:color w:val="0D0D0D"/>
                <w:sz w:val="21"/>
                <w:szCs w:val="21"/>
              </w:rPr>
              <w:t xml:space="preserve">Electronic payment to self </w:t>
            </w:r>
          </w:p>
        </w:tc>
        <w:tc>
          <w:tcPr>
            <w:tcW w:w="6783" w:type="dxa"/>
            <w:shd w:val="clear" w:color="auto" w:fill="auto"/>
            <w:vAlign w:val="center"/>
          </w:tcPr>
          <w:p w:rsidR="00FA17FB" w:rsidP="002E5029" w:rsidRDefault="00FA17FB" w14:paraId="31D9F6A7" w14:textId="77777777">
            <w:pPr>
              <w:spacing w:line="240" w:lineRule="auto"/>
              <w:rPr>
                <w:color w:val="0D0D0D"/>
                <w:sz w:val="21"/>
                <w:szCs w:val="21"/>
              </w:rPr>
            </w:pPr>
            <w:r>
              <w:rPr>
                <w:color w:val="0D0D0D"/>
                <w:sz w:val="21"/>
                <w:szCs w:val="21"/>
              </w:rPr>
              <w:t xml:space="preserve">No fee </w:t>
            </w:r>
          </w:p>
        </w:tc>
      </w:tr>
      <w:tr w:rsidR="00FA17FB" w:rsidTr="002E5029" w14:paraId="04B078CA" w14:textId="77777777">
        <w:trPr>
          <w:trHeight w:val="20"/>
        </w:trPr>
        <w:tc>
          <w:tcPr>
            <w:tcW w:w="3441" w:type="dxa"/>
            <w:shd w:val="clear" w:color="auto" w:fill="auto"/>
            <w:vAlign w:val="center"/>
          </w:tcPr>
          <w:p w:rsidR="00FA17FB" w:rsidP="002E5029" w:rsidRDefault="00FA17FB" w14:paraId="2F41DA24" w14:textId="77777777">
            <w:pPr>
              <w:spacing w:line="240" w:lineRule="auto"/>
              <w:rPr>
                <w:color w:val="0D0D0D"/>
                <w:sz w:val="21"/>
                <w:szCs w:val="21"/>
                <w:vertAlign w:val="superscript"/>
              </w:rPr>
            </w:pPr>
            <w:r>
              <w:rPr>
                <w:color w:val="0D0D0D"/>
                <w:sz w:val="21"/>
                <w:szCs w:val="21"/>
              </w:rPr>
              <w:t>HealthEquity Visa</w:t>
            </w:r>
            <w:r>
              <w:rPr>
                <w:color w:val="0D0D0D"/>
                <w:sz w:val="21"/>
                <w:szCs w:val="21"/>
                <w:vertAlign w:val="superscript"/>
              </w:rPr>
              <w:t>®</w:t>
            </w:r>
            <w:r>
              <w:rPr>
                <w:color w:val="0D0D0D"/>
                <w:sz w:val="21"/>
                <w:szCs w:val="21"/>
              </w:rPr>
              <w:t xml:space="preserve"> Card</w:t>
            </w:r>
            <w:r>
              <w:rPr>
                <w:color w:val="0D0D0D"/>
                <w:sz w:val="21"/>
                <w:szCs w:val="21"/>
                <w:vertAlign w:val="superscript"/>
              </w:rPr>
              <w:t>2</w:t>
            </w:r>
          </w:p>
        </w:tc>
        <w:tc>
          <w:tcPr>
            <w:tcW w:w="6783" w:type="dxa"/>
            <w:shd w:val="clear" w:color="auto" w:fill="auto"/>
            <w:vAlign w:val="center"/>
          </w:tcPr>
          <w:p w:rsidR="00FA17FB" w:rsidP="002E5029" w:rsidRDefault="00FA17FB" w14:paraId="0C5A7112" w14:textId="77777777">
            <w:pPr>
              <w:spacing w:line="240" w:lineRule="auto"/>
              <w:rPr>
                <w:color w:val="0D0D0D"/>
                <w:sz w:val="21"/>
                <w:szCs w:val="21"/>
              </w:rPr>
            </w:pPr>
            <w:r>
              <w:rPr>
                <w:color w:val="0D0D0D"/>
                <w:sz w:val="21"/>
                <w:szCs w:val="21"/>
              </w:rPr>
              <w:t>First 3 free</w:t>
            </w:r>
            <w:r>
              <w:rPr>
                <w:color w:val="0D0D0D"/>
                <w:sz w:val="21"/>
                <w:szCs w:val="21"/>
              </w:rPr>
              <w:br/>
            </w:r>
            <w:r>
              <w:rPr>
                <w:color w:val="0D0D0D"/>
                <w:sz w:val="21"/>
                <w:szCs w:val="21"/>
              </w:rPr>
              <w:t>$5 fee per card after</w:t>
            </w:r>
          </w:p>
        </w:tc>
      </w:tr>
      <w:tr w:rsidR="00FA17FB" w:rsidTr="002E5029" w14:paraId="41BABA4B" w14:textId="77777777">
        <w:trPr>
          <w:trHeight w:val="20"/>
        </w:trPr>
        <w:tc>
          <w:tcPr>
            <w:tcW w:w="3441" w:type="dxa"/>
            <w:shd w:val="clear" w:color="auto" w:fill="auto"/>
            <w:vAlign w:val="center"/>
          </w:tcPr>
          <w:p w:rsidR="00FA17FB" w:rsidP="002E5029" w:rsidRDefault="00FA17FB" w14:paraId="0116882C" w14:textId="77777777">
            <w:pPr>
              <w:spacing w:line="240" w:lineRule="auto"/>
              <w:rPr>
                <w:color w:val="0D0D0D"/>
                <w:sz w:val="21"/>
                <w:szCs w:val="21"/>
              </w:rPr>
            </w:pPr>
            <w:r>
              <w:rPr>
                <w:color w:val="0D0D0D"/>
                <w:sz w:val="21"/>
                <w:szCs w:val="21"/>
              </w:rPr>
              <w:t>Card transaction</w:t>
            </w:r>
          </w:p>
        </w:tc>
        <w:tc>
          <w:tcPr>
            <w:tcW w:w="6783" w:type="dxa"/>
            <w:shd w:val="clear" w:color="auto" w:fill="auto"/>
            <w:vAlign w:val="center"/>
          </w:tcPr>
          <w:p w:rsidR="00FA17FB" w:rsidP="002E5029" w:rsidRDefault="00FA17FB" w14:paraId="5872A898" w14:textId="77777777">
            <w:pPr>
              <w:spacing w:line="240" w:lineRule="auto"/>
              <w:ind w:right="2838"/>
              <w:rPr>
                <w:color w:val="0D0D0D"/>
                <w:sz w:val="21"/>
                <w:szCs w:val="21"/>
              </w:rPr>
            </w:pPr>
            <w:r>
              <w:rPr>
                <w:color w:val="0D0D0D"/>
                <w:sz w:val="21"/>
                <w:szCs w:val="21"/>
              </w:rPr>
              <w:t xml:space="preserve">No fee </w:t>
            </w:r>
          </w:p>
        </w:tc>
      </w:tr>
      <w:tr w:rsidR="00FA17FB" w:rsidTr="002E5029" w14:paraId="5CE898CD" w14:textId="77777777">
        <w:trPr>
          <w:trHeight w:val="20"/>
        </w:trPr>
        <w:tc>
          <w:tcPr>
            <w:tcW w:w="3441" w:type="dxa"/>
            <w:shd w:val="clear" w:color="auto" w:fill="auto"/>
            <w:vAlign w:val="center"/>
          </w:tcPr>
          <w:p w:rsidR="00FA17FB" w:rsidP="002E5029" w:rsidRDefault="00FA17FB" w14:paraId="3389A3D7" w14:textId="77777777">
            <w:pPr>
              <w:spacing w:line="240" w:lineRule="auto"/>
              <w:rPr>
                <w:color w:val="0D0D0D"/>
                <w:sz w:val="21"/>
                <w:szCs w:val="21"/>
              </w:rPr>
            </w:pPr>
            <w:r>
              <w:rPr>
                <w:color w:val="0D0D0D"/>
                <w:sz w:val="21"/>
                <w:szCs w:val="21"/>
              </w:rPr>
              <w:t xml:space="preserve">Return deposited item </w:t>
            </w:r>
          </w:p>
        </w:tc>
        <w:tc>
          <w:tcPr>
            <w:tcW w:w="6783" w:type="dxa"/>
            <w:shd w:val="clear" w:color="auto" w:fill="auto"/>
            <w:vAlign w:val="center"/>
          </w:tcPr>
          <w:p w:rsidR="00FA17FB" w:rsidP="002E5029" w:rsidRDefault="00FA17FB" w14:paraId="425F4BB8" w14:textId="77777777">
            <w:pPr>
              <w:spacing w:line="240" w:lineRule="auto"/>
              <w:rPr>
                <w:color w:val="0D0D0D"/>
                <w:sz w:val="21"/>
                <w:szCs w:val="21"/>
              </w:rPr>
            </w:pPr>
            <w:r>
              <w:rPr>
                <w:color w:val="0D0D0D"/>
                <w:sz w:val="21"/>
                <w:szCs w:val="21"/>
              </w:rPr>
              <w:t xml:space="preserve">$20.00 per item </w:t>
            </w:r>
          </w:p>
        </w:tc>
      </w:tr>
      <w:tr w:rsidR="00FA17FB" w:rsidTr="002E5029" w14:paraId="62F75AEB" w14:textId="77777777">
        <w:trPr>
          <w:trHeight w:val="20"/>
        </w:trPr>
        <w:tc>
          <w:tcPr>
            <w:tcW w:w="3441" w:type="dxa"/>
            <w:shd w:val="clear" w:color="auto" w:fill="auto"/>
            <w:vAlign w:val="center"/>
          </w:tcPr>
          <w:p w:rsidR="00FA17FB" w:rsidP="002E5029" w:rsidRDefault="00FA17FB" w14:paraId="623ACAD6" w14:textId="77777777">
            <w:pPr>
              <w:spacing w:line="240" w:lineRule="auto"/>
              <w:rPr>
                <w:color w:val="0D0D0D"/>
                <w:sz w:val="21"/>
                <w:szCs w:val="21"/>
              </w:rPr>
            </w:pPr>
            <w:r>
              <w:rPr>
                <w:color w:val="0D0D0D"/>
                <w:sz w:val="21"/>
                <w:szCs w:val="21"/>
              </w:rPr>
              <w:t>Stop payment request</w:t>
            </w:r>
          </w:p>
        </w:tc>
        <w:tc>
          <w:tcPr>
            <w:tcW w:w="6783" w:type="dxa"/>
            <w:shd w:val="clear" w:color="auto" w:fill="auto"/>
            <w:vAlign w:val="center"/>
          </w:tcPr>
          <w:p w:rsidR="00FA17FB" w:rsidP="002E5029" w:rsidRDefault="00FA17FB" w14:paraId="04844FD5" w14:textId="77777777">
            <w:pPr>
              <w:spacing w:line="240" w:lineRule="auto"/>
              <w:rPr>
                <w:color w:val="0D0D0D"/>
                <w:sz w:val="21"/>
                <w:szCs w:val="21"/>
              </w:rPr>
            </w:pPr>
            <w:r>
              <w:rPr>
                <w:color w:val="0D0D0D"/>
                <w:sz w:val="21"/>
                <w:szCs w:val="21"/>
              </w:rPr>
              <w:t xml:space="preserve">$20.00 per item </w:t>
            </w:r>
          </w:p>
        </w:tc>
      </w:tr>
      <w:tr w:rsidR="00FA17FB" w:rsidTr="002E5029" w14:paraId="4787D569" w14:textId="77777777">
        <w:trPr>
          <w:trHeight w:val="20"/>
        </w:trPr>
        <w:tc>
          <w:tcPr>
            <w:tcW w:w="3441" w:type="dxa"/>
            <w:shd w:val="clear" w:color="auto" w:fill="auto"/>
            <w:vAlign w:val="center"/>
          </w:tcPr>
          <w:p w:rsidR="00FA17FB" w:rsidP="002E5029" w:rsidRDefault="00FA17FB" w14:paraId="4667E095" w14:textId="77777777">
            <w:pPr>
              <w:spacing w:line="240" w:lineRule="auto"/>
              <w:rPr>
                <w:color w:val="0D0D0D"/>
                <w:sz w:val="21"/>
                <w:szCs w:val="21"/>
              </w:rPr>
            </w:pPr>
            <w:r>
              <w:rPr>
                <w:color w:val="0D0D0D"/>
                <w:sz w:val="21"/>
                <w:szCs w:val="21"/>
              </w:rPr>
              <w:t xml:space="preserve">Excess contribution correction </w:t>
            </w:r>
          </w:p>
        </w:tc>
        <w:tc>
          <w:tcPr>
            <w:tcW w:w="6783" w:type="dxa"/>
            <w:shd w:val="clear" w:color="auto" w:fill="auto"/>
            <w:vAlign w:val="center"/>
          </w:tcPr>
          <w:p w:rsidR="00FA17FB" w:rsidP="002E5029" w:rsidRDefault="00FA17FB" w14:paraId="1A1F8D99" w14:textId="77777777">
            <w:pPr>
              <w:spacing w:line="240" w:lineRule="auto"/>
              <w:rPr>
                <w:color w:val="0D0D0D"/>
                <w:sz w:val="21"/>
                <w:szCs w:val="21"/>
              </w:rPr>
            </w:pPr>
            <w:r>
              <w:rPr>
                <w:color w:val="0D0D0D"/>
                <w:sz w:val="21"/>
                <w:szCs w:val="21"/>
              </w:rPr>
              <w:t xml:space="preserve">$20.00 per request </w:t>
            </w:r>
          </w:p>
        </w:tc>
      </w:tr>
      <w:tr w:rsidR="00FA17FB" w:rsidTr="002E5029" w14:paraId="0011C953" w14:textId="77777777">
        <w:trPr>
          <w:trHeight w:val="20"/>
        </w:trPr>
        <w:tc>
          <w:tcPr>
            <w:tcW w:w="3441" w:type="dxa"/>
            <w:shd w:val="clear" w:color="auto" w:fill="auto"/>
            <w:vAlign w:val="center"/>
          </w:tcPr>
          <w:p w:rsidR="00FA17FB" w:rsidP="002E5029" w:rsidRDefault="00FA17FB" w14:paraId="41130B24" w14:textId="77777777">
            <w:pPr>
              <w:spacing w:line="240" w:lineRule="auto"/>
              <w:rPr>
                <w:color w:val="0D0D0D"/>
                <w:sz w:val="21"/>
                <w:szCs w:val="21"/>
              </w:rPr>
            </w:pPr>
            <w:r>
              <w:rPr>
                <w:color w:val="0D0D0D"/>
                <w:sz w:val="21"/>
                <w:szCs w:val="21"/>
              </w:rPr>
              <w:t>Account closure</w:t>
            </w:r>
          </w:p>
        </w:tc>
        <w:tc>
          <w:tcPr>
            <w:tcW w:w="6783" w:type="dxa"/>
            <w:shd w:val="clear" w:color="auto" w:fill="auto"/>
            <w:vAlign w:val="center"/>
          </w:tcPr>
          <w:p w:rsidR="00FA17FB" w:rsidP="002E5029" w:rsidRDefault="00FA17FB" w14:paraId="129F306F" w14:textId="77777777">
            <w:pPr>
              <w:spacing w:line="240" w:lineRule="auto"/>
              <w:rPr>
                <w:color w:val="0D0D0D"/>
                <w:sz w:val="21"/>
                <w:szCs w:val="21"/>
              </w:rPr>
            </w:pPr>
            <w:r>
              <w:rPr>
                <w:color w:val="0D0D0D"/>
                <w:sz w:val="21"/>
                <w:szCs w:val="21"/>
              </w:rPr>
              <w:t>$25.00 (waived for 60-days following your Transition Date)</w:t>
            </w:r>
          </w:p>
        </w:tc>
      </w:tr>
      <w:tr w:rsidR="00FA17FB" w:rsidTr="002E5029" w14:paraId="780807C5" w14:textId="77777777">
        <w:trPr>
          <w:trHeight w:val="20"/>
        </w:trPr>
        <w:tc>
          <w:tcPr>
            <w:tcW w:w="3441" w:type="dxa"/>
            <w:shd w:val="clear" w:color="auto" w:fill="auto"/>
            <w:vAlign w:val="center"/>
          </w:tcPr>
          <w:p w:rsidR="00FA17FB" w:rsidP="002E5029" w:rsidRDefault="00FA17FB" w14:paraId="45653511" w14:textId="77777777">
            <w:pPr>
              <w:spacing w:line="240" w:lineRule="auto"/>
              <w:rPr>
                <w:color w:val="0D0D0D"/>
                <w:sz w:val="21"/>
                <w:szCs w:val="21"/>
              </w:rPr>
            </w:pPr>
            <w:r>
              <w:rPr>
                <w:color w:val="0D0D0D"/>
                <w:sz w:val="21"/>
                <w:szCs w:val="21"/>
              </w:rPr>
              <w:t xml:space="preserve">Electronic statement </w:t>
            </w:r>
          </w:p>
        </w:tc>
        <w:tc>
          <w:tcPr>
            <w:tcW w:w="6783" w:type="dxa"/>
            <w:shd w:val="clear" w:color="auto" w:fill="auto"/>
            <w:vAlign w:val="center"/>
          </w:tcPr>
          <w:p w:rsidR="00FA17FB" w:rsidP="002E5029" w:rsidRDefault="00FA17FB" w14:paraId="56B1A4B1" w14:textId="77777777">
            <w:pPr>
              <w:spacing w:line="240" w:lineRule="auto"/>
              <w:rPr>
                <w:color w:val="0D0D0D"/>
                <w:sz w:val="21"/>
                <w:szCs w:val="21"/>
              </w:rPr>
            </w:pPr>
            <w:r>
              <w:rPr>
                <w:color w:val="0D0D0D"/>
                <w:sz w:val="21"/>
                <w:szCs w:val="21"/>
              </w:rPr>
              <w:t>No fee</w:t>
            </w:r>
          </w:p>
        </w:tc>
      </w:tr>
      <w:tr w:rsidR="00FA17FB" w:rsidTr="002E5029" w14:paraId="2ED7356E" w14:textId="77777777">
        <w:trPr>
          <w:trHeight w:val="20"/>
        </w:trPr>
        <w:tc>
          <w:tcPr>
            <w:tcW w:w="3441" w:type="dxa"/>
            <w:shd w:val="clear" w:color="auto" w:fill="auto"/>
            <w:vAlign w:val="center"/>
          </w:tcPr>
          <w:p w:rsidR="00FA17FB" w:rsidP="002E5029" w:rsidRDefault="00FA17FB" w14:paraId="671EF8DD" w14:textId="77777777">
            <w:pPr>
              <w:spacing w:line="240" w:lineRule="auto"/>
              <w:rPr>
                <w:color w:val="0D0D0D"/>
                <w:sz w:val="21"/>
                <w:szCs w:val="21"/>
                <w:vertAlign w:val="superscript"/>
              </w:rPr>
            </w:pPr>
            <w:r>
              <w:rPr>
                <w:color w:val="0D0D0D"/>
                <w:sz w:val="21"/>
                <w:szCs w:val="21"/>
              </w:rPr>
              <w:t>Paper statement</w:t>
            </w:r>
            <w:r>
              <w:rPr>
                <w:color w:val="0D0D0D"/>
                <w:sz w:val="21"/>
                <w:szCs w:val="21"/>
                <w:vertAlign w:val="superscript"/>
              </w:rPr>
              <w:t>5</w:t>
            </w:r>
          </w:p>
        </w:tc>
        <w:tc>
          <w:tcPr>
            <w:tcW w:w="6783" w:type="dxa"/>
            <w:shd w:val="clear" w:color="auto" w:fill="auto"/>
            <w:vAlign w:val="center"/>
          </w:tcPr>
          <w:p w:rsidR="00FA17FB" w:rsidP="002E5029" w:rsidRDefault="00FA17FB" w14:paraId="2A3E307F" w14:textId="77777777">
            <w:pPr>
              <w:spacing w:line="240" w:lineRule="auto"/>
              <w:rPr>
                <w:color w:val="0D0D0D"/>
                <w:sz w:val="21"/>
                <w:szCs w:val="21"/>
              </w:rPr>
            </w:pPr>
            <w:r>
              <w:rPr>
                <w:color w:val="0D0D0D"/>
                <w:sz w:val="21"/>
                <w:szCs w:val="21"/>
              </w:rPr>
              <w:t>$2.00 per monthly statement — avoided with electronic statements (waived for first 60 days after Transition Date)</w:t>
            </w:r>
          </w:p>
        </w:tc>
      </w:tr>
    </w:tbl>
    <w:p w:rsidR="00FA17FB" w:rsidP="00FA17FB" w:rsidRDefault="00FA17FB" w14:paraId="112986C5" w14:textId="77777777">
      <w:pPr>
        <w:keepNext/>
        <w:widowControl w:val="0"/>
        <w:pBdr>
          <w:bottom w:val="single" w:color="000000" w:sz="12" w:space="1"/>
        </w:pBdr>
        <w:spacing w:line="240" w:lineRule="auto"/>
        <w:ind w:right="4320"/>
        <w:rPr>
          <w:color w:val="0D0D0D"/>
        </w:rPr>
      </w:pPr>
    </w:p>
    <w:p w:rsidR="00FA17FB" w:rsidP="00FA17FB" w:rsidRDefault="00FA17FB" w14:paraId="0123E3D3" w14:textId="77777777">
      <w:pPr>
        <w:keepNext/>
        <w:widowControl w:val="0"/>
        <w:spacing w:line="240" w:lineRule="auto"/>
        <w:rPr>
          <w:color w:val="0D0D0D"/>
          <w:sz w:val="16"/>
          <w:szCs w:val="16"/>
        </w:rPr>
      </w:pPr>
    </w:p>
    <w:p w:rsidR="00FA17FB" w:rsidP="00FA17FB" w:rsidRDefault="00FA17FB" w14:paraId="58E7C83A" w14:textId="77777777">
      <w:pPr>
        <w:spacing w:after="120" w:line="240" w:lineRule="auto"/>
        <w:rPr>
          <w:color w:val="0D0D0D"/>
          <w:sz w:val="18"/>
          <w:szCs w:val="18"/>
        </w:rPr>
      </w:pPr>
      <w:r>
        <w:rPr>
          <w:color w:val="0D0D0D"/>
          <w:sz w:val="18"/>
          <w:szCs w:val="18"/>
          <w:vertAlign w:val="superscript"/>
        </w:rPr>
        <w:t xml:space="preserve">1 </w:t>
      </w:r>
      <w:r>
        <w:rPr>
          <w:color w:val="0D0D0D"/>
          <w:sz w:val="18"/>
          <w:szCs w:val="18"/>
        </w:rPr>
        <w:t xml:space="preserve">Investments are subject to risk, including the possible loss of the principal invested and are not FDIC or NCUA insured, or guaranteed by HealthEquity, Inc. HSA holders may select mutual funds for investment through the HealthEquity investment platform but HealthEquity, Inc. does not provide investment advice. HealthEquity Advisors, LLC, a wholly owned subsidiary of HealthEquity, Inc. and an SEC-registered investment adviser, provides web-based investment advice to HSA holders that subscribe for its services (minimum thresholds and additional fees apply). Registration does not imply endorsement by any state or agency and does not imply a level of skill, education, or training. Investing may not be suitable for everyone. You should carefully consider the investment objectives, risks, charges and expenses of any mutual fund before investing. A prospectus and, if available, a summary prospectus containing </w:t>
      </w:r>
      <w:proofErr w:type="gramStart"/>
      <w:r>
        <w:rPr>
          <w:color w:val="0D0D0D"/>
          <w:sz w:val="18"/>
          <w:szCs w:val="18"/>
        </w:rPr>
        <w:t>this</w:t>
      </w:r>
      <w:proofErr w:type="gramEnd"/>
      <w:r>
        <w:rPr>
          <w:color w:val="0D0D0D"/>
          <w:sz w:val="18"/>
          <w:szCs w:val="18"/>
        </w:rPr>
        <w:t xml:space="preserve"> and other important information can be obtained by visiting the fund sponsor’s website. Please read the prospectus carefully before investing.</w:t>
      </w:r>
    </w:p>
    <w:p w:rsidR="00FA17FB" w:rsidP="00FA17FB" w:rsidRDefault="00FA17FB" w14:paraId="4EF94A36" w14:textId="77777777">
      <w:pPr>
        <w:spacing w:after="120" w:line="240" w:lineRule="auto"/>
        <w:rPr>
          <w:color w:val="0D0D0D"/>
          <w:sz w:val="18"/>
          <w:szCs w:val="18"/>
        </w:rPr>
      </w:pPr>
      <w:r>
        <w:rPr>
          <w:color w:val="0D0D0D"/>
          <w:sz w:val="18"/>
          <w:szCs w:val="18"/>
          <w:vertAlign w:val="superscript"/>
        </w:rPr>
        <w:t xml:space="preserve">2 </w:t>
      </w:r>
      <w:r>
        <w:rPr>
          <w:color w:val="0D0D0D"/>
          <w:sz w:val="18"/>
          <w:szCs w:val="18"/>
        </w:rPr>
        <w:t>This card is issued by The Bancorp Bank, N.A., pursuant to a license from Visa U.S.A. Inc. Your card can be used everywhere Visa</w:t>
      </w:r>
      <w:r w:rsidRPr="004873A0">
        <w:rPr>
          <w:color w:val="0D0D0D"/>
          <w:sz w:val="18"/>
          <w:szCs w:val="18"/>
          <w:vertAlign w:val="superscript"/>
        </w:rPr>
        <w:t>®</w:t>
      </w:r>
      <w:r>
        <w:rPr>
          <w:color w:val="0D0D0D"/>
          <w:sz w:val="18"/>
          <w:szCs w:val="18"/>
        </w:rPr>
        <w:t xml:space="preserve"> debit cards are accepted for qualified expenses. This card cannot be used at </w:t>
      </w:r>
      <w:proofErr w:type="gramStart"/>
      <w:r>
        <w:rPr>
          <w:color w:val="0D0D0D"/>
          <w:sz w:val="18"/>
          <w:szCs w:val="18"/>
        </w:rPr>
        <w:t>ATMs</w:t>
      </w:r>
      <w:proofErr w:type="gramEnd"/>
      <w:r>
        <w:rPr>
          <w:color w:val="0D0D0D"/>
          <w:sz w:val="18"/>
          <w:szCs w:val="18"/>
        </w:rPr>
        <w:t xml:space="preserve"> and you cannot get cash back, and cannot be used at gas stations, restaurants, or other establishments not health related. See Cardholder Agreement for complete usage restrictions.</w:t>
      </w:r>
    </w:p>
    <w:p w:rsidR="00FA17FB" w:rsidP="00FA17FB" w:rsidRDefault="00FA17FB" w14:paraId="4CA0E98F" w14:textId="77777777">
      <w:pPr>
        <w:spacing w:after="120" w:line="240" w:lineRule="auto"/>
        <w:rPr>
          <w:color w:val="0D0D0D"/>
          <w:sz w:val="18"/>
          <w:szCs w:val="18"/>
        </w:rPr>
      </w:pPr>
      <w:r>
        <w:rPr>
          <w:color w:val="0D0D0D"/>
          <w:sz w:val="18"/>
          <w:szCs w:val="18"/>
          <w:vertAlign w:val="superscript"/>
        </w:rPr>
        <w:t xml:space="preserve">3 </w:t>
      </w:r>
      <w:r>
        <w:rPr>
          <w:color w:val="0D0D0D"/>
          <w:sz w:val="18"/>
          <w:szCs w:val="18"/>
        </w:rPr>
        <w:t xml:space="preserve">Schwab Health Savings Brokerage Accounts are offered through Charles Schwab &amp; Co., Inc. (Member SIPC), the registered broker/dealer, which also provides other brokerage and custody services to its customers. Health Equity and Charles Schwab &amp; Co., Inc. are not affiliated and are not responsible for the products and services provided by the other. </w:t>
      </w:r>
    </w:p>
    <w:p w:rsidR="00FA17FB" w:rsidP="00FA17FB" w:rsidRDefault="00FA17FB" w14:paraId="542CFB06" w14:textId="77777777">
      <w:pPr>
        <w:spacing w:after="120" w:line="240" w:lineRule="auto"/>
        <w:rPr>
          <w:color w:val="0D0D0D"/>
          <w:sz w:val="18"/>
          <w:szCs w:val="18"/>
        </w:rPr>
      </w:pPr>
      <w:r>
        <w:rPr>
          <w:color w:val="0D0D0D"/>
          <w:sz w:val="18"/>
          <w:szCs w:val="18"/>
          <w:vertAlign w:val="superscript"/>
        </w:rPr>
        <w:t xml:space="preserve">4 </w:t>
      </w:r>
      <w:r>
        <w:rPr>
          <w:sz w:val="18"/>
          <w:szCs w:val="18"/>
        </w:rPr>
        <w:t>Your HealthEquity transition notification letter will outline your specific Monthly HSA admin Fee</w:t>
      </w:r>
      <w:r>
        <w:rPr>
          <w:color w:val="0D0D0D"/>
          <w:sz w:val="18"/>
          <w:szCs w:val="18"/>
        </w:rPr>
        <w:t>.</w:t>
      </w:r>
    </w:p>
    <w:p w:rsidR="00FA17FB" w:rsidP="00FA17FB" w:rsidRDefault="00FA17FB" w14:paraId="5CA6FA7B" w14:textId="77777777">
      <w:pPr>
        <w:spacing w:after="120" w:line="240" w:lineRule="auto"/>
        <w:rPr>
          <w:sz w:val="18"/>
          <w:szCs w:val="18"/>
        </w:rPr>
      </w:pPr>
      <w:r>
        <w:rPr>
          <w:color w:val="0D0D0D"/>
          <w:sz w:val="18"/>
          <w:szCs w:val="18"/>
          <w:vertAlign w:val="superscript"/>
        </w:rPr>
        <w:t xml:space="preserve">5 </w:t>
      </w:r>
      <w:r>
        <w:rPr>
          <w:color w:val="0D0D0D"/>
          <w:sz w:val="18"/>
          <w:szCs w:val="18"/>
        </w:rPr>
        <w:t>If you have an email address associated with your HSA, you will be defaulted to electronic statements when your account is transitioned. If no email address is associated with your HSA, you will have 60 days after your Transition Date to elect electronic statements before you begin to incur the monthly paper statement fee. You can avoid this fee if you change your account preference settings to electronic statements. To do this, log in to your member portal and update your profile or call Member Services.</w:t>
      </w:r>
    </w:p>
    <w:p w:rsidRPr="00832DB7" w:rsidR="00313C9A" w:rsidP="00832DB7" w:rsidRDefault="00FA17FB" w14:paraId="6575F244" w14:textId="7CE14741">
      <w:pPr>
        <w:spacing w:after="120" w:line="240" w:lineRule="auto"/>
        <w:rPr>
          <w:sz w:val="18"/>
          <w:szCs w:val="18"/>
        </w:rPr>
      </w:pPr>
      <w:r>
        <w:rPr>
          <w:color w:val="0D0D0D"/>
          <w:sz w:val="18"/>
          <w:szCs w:val="18"/>
        </w:rPr>
        <w:t>HealthEquity does not provide legal, tax or financial advice.</w:t>
      </w:r>
    </w:p>
    <w:sectPr w:rsidRPr="00832DB7" w:rsidR="00313C9A" w:rsidSect="00FA17FB">
      <w:headerReference w:type="default" r:id="rId13"/>
      <w:headerReference w:type="first" r:id="rId14"/>
      <w:pgSz w:w="12240" w:h="15840" w:orient="portrait"/>
      <w:pgMar w:top="1008" w:right="864" w:bottom="1008"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0D0F" w:rsidRDefault="00540D0F" w14:paraId="0EB82082" w14:textId="77777777">
      <w:pPr>
        <w:spacing w:line="240" w:lineRule="auto"/>
      </w:pPr>
      <w:r>
        <w:separator/>
      </w:r>
    </w:p>
  </w:endnote>
  <w:endnote w:type="continuationSeparator" w:id="0">
    <w:p w:rsidR="00540D0F" w:rsidRDefault="00540D0F" w14:paraId="1E5E78B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w:fontKey="{7FF97864-0E3D-6C43-B158-039503A7536F}" r:id="rId2"/>
  </w:font>
  <w:font w:name="Times New Roman">
    <w:panose1 w:val="02020603050405020304"/>
    <w:charset w:val="00"/>
    <w:family w:val="roman"/>
    <w:pitch w:val="variable"/>
    <w:sig w:usb0="E0002EFF" w:usb1="C000785B" w:usb2="00000009" w:usb3="00000000" w:csb0="000001FF" w:csb1="00000000"/>
    <w:embedRegular w:fontKey="{983FB80E-B069-E44F-94AC-C430724E40D6}" r:id="rId3"/>
  </w:font>
  <w:font w:name="Arial">
    <w:panose1 w:val="020B0604020202020204"/>
    <w:charset w:val="00"/>
    <w:family w:val="swiss"/>
    <w:pitch w:val="variable"/>
    <w:sig w:usb0="E0002EFF" w:usb1="C000785B" w:usb2="00000009" w:usb3="00000000" w:csb0="000001FF" w:csb1="00000000"/>
    <w:embedRegular w:fontKey="{E9035030-CC3C-0B43-A88F-5AE9AC3E6DC6}" r:id="rId4"/>
    <w:embedBold w:fontKey="{A21A68B3-BFB6-EC4B-9059-87E6E957241F}" r:id="rId5"/>
    <w:embedItalic w:fontKey="{285CCAF8-9D17-C94E-94EA-43EE962D22D9}" r:id="rId6"/>
    <w:embedBoldItalic w:fontKey="{E0B759BB-72BA-8E42-BD94-07D39650C904}" r:id="rId7"/>
  </w:font>
  <w:font w:name="Inter">
    <w:altName w:val="Calibri"/>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w:fontKey="{C7EC08F3-63DD-6E43-9C2D-D5C1B2676F76}" r:id="rId9"/>
  </w:font>
  <w:font w:name="Calibri">
    <w:panose1 w:val="020F0502020204030204"/>
    <w:charset w:val="00"/>
    <w:family w:val="swiss"/>
    <w:pitch w:val="variable"/>
    <w:sig w:usb0="E4002EFF" w:usb1="C000247B" w:usb2="00000009" w:usb3="00000000" w:csb0="000001FF" w:csb1="00000000"/>
    <w:embedRegular w:fontKey="{F61086E6-328C-C14F-914E-C17422888EA5}"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491197E-4735-4445-9CCE-B1F080F8CFA5}" r:id="rId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0D0F" w:rsidRDefault="00540D0F" w14:paraId="37064B51" w14:textId="77777777">
      <w:pPr>
        <w:spacing w:line="240" w:lineRule="auto"/>
      </w:pPr>
      <w:r>
        <w:separator/>
      </w:r>
    </w:p>
  </w:footnote>
  <w:footnote w:type="continuationSeparator" w:id="0">
    <w:p w:rsidR="00540D0F" w:rsidRDefault="00540D0F" w14:paraId="73E6D27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C9A" w:rsidRDefault="00313C9A" w14:paraId="1FA73E4A" w14:textId="77777777">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13C9A" w:rsidRDefault="009E4170" w14:paraId="12F586E3" w14:textId="77777777">
    <w:pPr>
      <w:spacing w:line="240" w:lineRule="auto"/>
      <w:rPr>
        <w:sz w:val="24"/>
        <w:szCs w:val="24"/>
      </w:rPr>
    </w:pPr>
    <w:bookmarkStart w:name="_heading=h.gjdgxs" w:colFirst="0" w:colLast="0" w:id="1"/>
    <w:bookmarkEnd w:id="1"/>
    <w:r>
      <w:rPr>
        <w:rFonts w:ascii="Calibri" w:hAnsi="Calibri" w:eastAsia="Calibri" w:cs="Calibri"/>
        <w:noProof/>
      </w:rPr>
      <w:drawing>
        <wp:inline distT="0" distB="0" distL="0" distR="0" wp14:anchorId="54B74EFF" wp14:editId="175E71A5">
          <wp:extent cx="1436228" cy="461477"/>
          <wp:effectExtent l="0" t="0" r="0" b="0"/>
          <wp:docPr id="1070830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28725"/>
                  <a:stretch>
                    <a:fillRect/>
                  </a:stretch>
                </pic:blipFill>
                <pic:spPr>
                  <a:xfrm>
                    <a:off x="0" y="0"/>
                    <a:ext cx="1436228" cy="461477"/>
                  </a:xfrm>
                  <a:prstGeom prst="rect">
                    <a:avLst/>
                  </a:prstGeom>
                  <a:ln/>
                </pic:spPr>
              </pic:pic>
            </a:graphicData>
          </a:graphic>
        </wp:inline>
      </w:drawing>
    </w:r>
    <w:r>
      <w:rPr>
        <w:rFonts w:ascii="Calibri" w:hAnsi="Calibri" w:eastAsia="Calibri" w:cs="Calibri"/>
        <w:noProof/>
      </w:rPr>
      <w:drawing>
        <wp:inline distT="0" distB="0" distL="0" distR="0" wp14:anchorId="1D3A74BA" wp14:editId="669CB65F">
          <wp:extent cx="1325880" cy="273496"/>
          <wp:effectExtent l="0" t="0" r="0" b="0"/>
          <wp:docPr id="1070830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325880" cy="273496"/>
                  </a:xfrm>
                  <a:prstGeom prst="rect">
                    <a:avLst/>
                  </a:prstGeom>
                  <a:ln/>
                </pic:spPr>
              </pic:pic>
            </a:graphicData>
          </a:graphic>
        </wp:inline>
      </w:drawing>
    </w:r>
    <w:r>
      <w:rPr>
        <w:noProof/>
        <w:sz w:val="24"/>
        <w:szCs w:val="24"/>
      </w:rPr>
      <mc:AlternateContent>
        <mc:Choice Requires="wps">
          <w:drawing>
            <wp:anchor distT="0" distB="0" distL="0" distR="0" simplePos="0" relativeHeight="251658240" behindDoc="1" locked="0" layoutInCell="1" hidden="0" allowOverlap="1" wp14:anchorId="250D3A32" wp14:editId="077E6849">
              <wp:simplePos x="0" y="0"/>
              <wp:positionH relativeFrom="page">
                <wp:posOffset>676276</wp:posOffset>
              </wp:positionH>
              <wp:positionV relativeFrom="page">
                <wp:posOffset>694691</wp:posOffset>
              </wp:positionV>
              <wp:extent cx="1859915" cy="379730"/>
              <wp:effectExtent l="0" t="0" r="0" b="0"/>
              <wp:wrapNone/>
              <wp:docPr id="1070830025" name="Rectangle 1070830025"/>
              <wp:cNvGraphicFramePr/>
              <a:graphic xmlns:a="http://schemas.openxmlformats.org/drawingml/2006/main">
                <a:graphicData uri="http://schemas.microsoft.com/office/word/2010/wordprocessingShape">
                  <wps:wsp>
                    <wps:cNvSpPr/>
                    <wps:spPr>
                      <a:xfrm>
                        <a:off x="4425568" y="3599660"/>
                        <a:ext cx="1840865" cy="360680"/>
                      </a:xfrm>
                      <a:prstGeom prst="rect">
                        <a:avLst/>
                      </a:prstGeom>
                      <a:solidFill>
                        <a:srgbClr val="FFFFFF"/>
                      </a:solidFill>
                      <a:ln>
                        <a:noFill/>
                      </a:ln>
                    </wps:spPr>
                    <wps:txbx>
                      <w:txbxContent>
                        <w:p w:rsidR="00313C9A" w:rsidRDefault="00313C9A" w14:paraId="17735D03" w14:textId="77777777">
                          <w:pPr>
                            <w:spacing w:line="240" w:lineRule="auto"/>
                            <w:textDirection w:val="btLr"/>
                          </w:pPr>
                        </w:p>
                      </w:txbxContent>
                    </wps:txbx>
                    <wps:bodyPr spcFirstLastPara="1" wrap="square" lIns="0" tIns="9125" rIns="182875" bIns="9125" anchor="t" anchorCtr="0">
                      <a:noAutofit/>
                    </wps:bodyPr>
                  </wps:wsp>
                </a:graphicData>
              </a:graphic>
            </wp:anchor>
          </w:drawing>
        </mc:Choice>
        <mc:Fallback>
          <w:pict w14:anchorId="00BA8429">
            <v:rect id="Rectangle 1070830025" style="position:absolute;margin-left:53.25pt;margin-top:54.7pt;width:146.45pt;height:29.9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26" stroked="f" w14:anchorId="250D3A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">
              <v:textbox inset="0,.25347mm,5.07986mm,.25347mm">
                <w:txbxContent>
                  <w:p w:rsidR="00313C9A" w:rsidRDefault="00313C9A" w14:paraId="672A6659" w14:textId="77777777">
                    <w:pPr>
                      <w:spacing w:line="240" w:lineRule="auto"/>
                      <w:textDirection w:val="btLr"/>
                    </w:pPr>
                  </w:p>
                </w:txbxContent>
              </v:textbox>
              <w10:wrap anchorx="page" anchory="page"/>
            </v:rect>
          </w:pict>
        </mc:Fallback>
      </mc:AlternateContent>
    </w:r>
  </w:p>
  <w:p w:rsidR="00313C9A" w:rsidRDefault="009E4170" w14:paraId="704462A4" w14:textId="77777777">
    <w:pPr>
      <w:spacing w:line="240" w:lineRule="auto"/>
      <w:rPr>
        <w:sz w:val="20"/>
        <w:szCs w:val="20"/>
      </w:rPr>
    </w:pPr>
    <w:r>
      <w:rPr>
        <w:sz w:val="20"/>
        <w:szCs w:val="20"/>
      </w:rPr>
      <w:t xml:space="preserve">15 West Scenic Pointe Drive, Suite 100 </w:t>
    </w:r>
  </w:p>
  <w:p w:rsidR="00313C9A" w:rsidRDefault="009E4170" w14:paraId="0A8925EB" w14:textId="77777777">
    <w:pPr>
      <w:spacing w:line="240" w:lineRule="auto"/>
    </w:pPr>
    <w:r>
      <w:rPr>
        <w:sz w:val="20"/>
        <w:szCs w:val="20"/>
      </w:rPr>
      <w:t xml:space="preserve">Draper, UT 84020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F40"/>
    <w:multiLevelType w:val="multilevel"/>
    <w:tmpl w:val="E2EE42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E74208A"/>
    <w:multiLevelType w:val="multilevel"/>
    <w:tmpl w:val="2206A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9D52A7"/>
    <w:multiLevelType w:val="multilevel"/>
    <w:tmpl w:val="3758A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EF08D4"/>
    <w:multiLevelType w:val="multilevel"/>
    <w:tmpl w:val="A47800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3120678E"/>
    <w:multiLevelType w:val="multilevel"/>
    <w:tmpl w:val="238066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30A331E"/>
    <w:multiLevelType w:val="multilevel"/>
    <w:tmpl w:val="8356087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5B952F34"/>
    <w:multiLevelType w:val="multilevel"/>
    <w:tmpl w:val="58226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512032"/>
    <w:multiLevelType w:val="multilevel"/>
    <w:tmpl w:val="A38830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E8C0868"/>
    <w:multiLevelType w:val="multilevel"/>
    <w:tmpl w:val="4CF25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8539641">
    <w:abstractNumId w:val="1"/>
  </w:num>
  <w:num w:numId="2" w16cid:durableId="645740381">
    <w:abstractNumId w:val="3"/>
  </w:num>
  <w:num w:numId="3" w16cid:durableId="1454053950">
    <w:abstractNumId w:val="4"/>
  </w:num>
  <w:num w:numId="4" w16cid:durableId="1177420819">
    <w:abstractNumId w:val="0"/>
  </w:num>
  <w:num w:numId="5" w16cid:durableId="1958562428">
    <w:abstractNumId w:val="2"/>
  </w:num>
  <w:num w:numId="6" w16cid:durableId="1092822776">
    <w:abstractNumId w:val="7"/>
  </w:num>
  <w:num w:numId="7" w16cid:durableId="1638803931">
    <w:abstractNumId w:val="5"/>
  </w:num>
  <w:num w:numId="8" w16cid:durableId="1498156381">
    <w:abstractNumId w:val="6"/>
  </w:num>
  <w:num w:numId="9" w16cid:durableId="1758624701">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C9A"/>
    <w:rsid w:val="0012682F"/>
    <w:rsid w:val="002462E9"/>
    <w:rsid w:val="00313C9A"/>
    <w:rsid w:val="00315B0B"/>
    <w:rsid w:val="003274A7"/>
    <w:rsid w:val="00540D0F"/>
    <w:rsid w:val="00575FF4"/>
    <w:rsid w:val="00576DB8"/>
    <w:rsid w:val="007D2808"/>
    <w:rsid w:val="00832DB7"/>
    <w:rsid w:val="00911C96"/>
    <w:rsid w:val="009C0736"/>
    <w:rsid w:val="009E4170"/>
    <w:rsid w:val="009E6EF4"/>
    <w:rsid w:val="00C17B8C"/>
    <w:rsid w:val="00FA17FB"/>
    <w:rsid w:val="39C1465C"/>
    <w:rsid w:val="418329FD"/>
    <w:rsid w:val="48331B24"/>
    <w:rsid w:val="48CF841C"/>
    <w:rsid w:val="4C5D3977"/>
    <w:rsid w:val="62C01940"/>
    <w:rsid w:val="6B804580"/>
    <w:rsid w:val="72AC46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BAD114"/>
  <w15:docId w15:val="{F94136A9-A645-D44C-9670-EFB7EEB6FE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5160B"/>
    <w:pPr>
      <w:tabs>
        <w:tab w:val="center" w:pos="4680"/>
        <w:tab w:val="right" w:pos="9360"/>
      </w:tabs>
      <w:spacing w:line="240" w:lineRule="auto"/>
    </w:pPr>
  </w:style>
  <w:style w:type="character" w:styleId="HeaderChar" w:customStyle="1">
    <w:name w:val="Header Char"/>
    <w:basedOn w:val="DefaultParagraphFont"/>
    <w:link w:val="Header"/>
    <w:uiPriority w:val="99"/>
    <w:rsid w:val="0075160B"/>
  </w:style>
  <w:style w:type="paragraph" w:styleId="Footer">
    <w:name w:val="footer"/>
    <w:basedOn w:val="Normal"/>
    <w:link w:val="FooterChar"/>
    <w:uiPriority w:val="99"/>
    <w:unhideWhenUsed/>
    <w:rsid w:val="0075160B"/>
    <w:pPr>
      <w:tabs>
        <w:tab w:val="center" w:pos="4680"/>
        <w:tab w:val="right" w:pos="9360"/>
      </w:tabs>
      <w:spacing w:line="240" w:lineRule="auto"/>
    </w:pPr>
  </w:style>
  <w:style w:type="character" w:styleId="FooterChar" w:customStyle="1">
    <w:name w:val="Footer Char"/>
    <w:basedOn w:val="DefaultParagraphFont"/>
    <w:link w:val="Footer"/>
    <w:uiPriority w:val="99"/>
    <w:rsid w:val="00751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dience xmlns="3efce6d0-4f2a-44bf-ac67-ebc8ca3527ef" xsi:nil="true"/>
    <lcf76f155ced4ddcb4097134ff3c332f xmlns="3efce6d0-4f2a-44bf-ac67-ebc8ca3527ef">
      <Terms xmlns="http://schemas.microsoft.com/office/infopath/2007/PartnerControls"/>
    </lcf76f155ced4ddcb4097134ff3c332f>
    <TaxCatchAll xmlns="43d950be-afae-43fc-9767-1dc9c4ebcd85" xsi:nil="true"/>
    <Product xmlns="3efce6d0-4f2a-44bf-ac67-ebc8ca3527ef" xsi:nil="true"/>
    <Approved xmlns="3efce6d0-4f2a-44bf-ac67-ebc8ca3527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8FC2602EB2B4499DBDD2BA6BBE56D9" ma:contentTypeVersion="17" ma:contentTypeDescription="Create a new document." ma:contentTypeScope="" ma:versionID="e14dae1d8aaf4c41e474577e9b0b523b">
  <xsd:schema xmlns:xsd="http://www.w3.org/2001/XMLSchema" xmlns:xs="http://www.w3.org/2001/XMLSchema" xmlns:p="http://schemas.microsoft.com/office/2006/metadata/properties" xmlns:ns2="3efce6d0-4f2a-44bf-ac67-ebc8ca3527ef" xmlns:ns3="43d950be-afae-43fc-9767-1dc9c4ebcd85" targetNamespace="http://schemas.microsoft.com/office/2006/metadata/properties" ma:root="true" ma:fieldsID="3ee91c9bf072b80d4d0427f5948e8f94" ns2:_="" ns3:_="">
    <xsd:import namespace="3efce6d0-4f2a-44bf-ac67-ebc8ca3527ef"/>
    <xsd:import namespace="43d950be-afae-43fc-9767-1dc9c4ebcd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Audience" minOccurs="0"/>
                <xsd:element ref="ns2:Approved"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ce6d0-4f2a-44bf-ac67-ebc8ca3527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b63519-2865-40f6-b4ff-6a0af005ef4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Audience" ma:index="22" nillable="true" ma:displayName="Audience" ma:format="Dropdown" ma:internalName="Audience">
      <xsd:simpleType>
        <xsd:restriction base="dms:Text">
          <xsd:maxLength value="255"/>
        </xsd:restriction>
      </xsd:simpleType>
    </xsd:element>
    <xsd:element name="Approved" ma:index="23" nillable="true" ma:displayName="Approved" ma:format="Dropdown" ma:internalName="Approved">
      <xsd:simpleType>
        <xsd:restriction base="dms:Text">
          <xsd:maxLength value="255"/>
        </xsd:restriction>
      </xsd:simpleType>
    </xsd:element>
    <xsd:element name="Product" ma:index="24" nillable="true" ma:displayName="Product" ma:format="Dropdown" ma:internalName="Product">
      <xsd:simpleType>
        <xsd:restriction base="dms:Choice">
          <xsd:enumeration value="Member RA"/>
          <xsd:enumeration value="Client RA"/>
          <xsd:enumeration value="Client HSA"/>
          <xsd:enumeration value="Member HSA"/>
          <xsd:enumeration value="Choice 5"/>
        </xsd:restriction>
      </xsd:simpleType>
    </xsd:element>
  </xsd:schema>
  <xsd:schema xmlns:xsd="http://www.w3.org/2001/XMLSchema" xmlns:xs="http://www.w3.org/2001/XMLSchema" xmlns:dms="http://schemas.microsoft.com/office/2006/documentManagement/types" xmlns:pc="http://schemas.microsoft.com/office/infopath/2007/PartnerControls" targetNamespace="43d950be-afae-43fc-9767-1dc9c4ebcd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4386a8d-6284-406f-9bf6-e0612bdf56e7}" ma:internalName="TaxCatchAll" ma:showField="CatchAllData" ma:web="43d950be-afae-43fc-9767-1dc9c4ebc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Q6+cpV7b6le0E2crxaJjJdPB7w==">CgMxLjAyCGguZ2pkZ3hzOAByITE0MnZjbHZpSFJvZjVmNE05QWl5d3VRWDB5M2xmZWxqVg==</go:docsCustomData>
</go:gDocsCustomXmlDataStorage>
</file>

<file path=customXml/itemProps1.xml><?xml version="1.0" encoding="utf-8"?>
<ds:datastoreItem xmlns:ds="http://schemas.openxmlformats.org/officeDocument/2006/customXml" ds:itemID="{33709542-BE29-4107-9DEC-62930970C309}">
  <ds:schemaRefs>
    <ds:schemaRef ds:uri="http://schemas.microsoft.com/office/2006/metadata/properties"/>
    <ds:schemaRef ds:uri="http://schemas.microsoft.com/office/infopath/2007/PartnerControls"/>
    <ds:schemaRef ds:uri="3efce6d0-4f2a-44bf-ac67-ebc8ca3527ef"/>
    <ds:schemaRef ds:uri="43d950be-afae-43fc-9767-1dc9c4ebcd85"/>
  </ds:schemaRefs>
</ds:datastoreItem>
</file>

<file path=customXml/itemProps2.xml><?xml version="1.0" encoding="utf-8"?>
<ds:datastoreItem xmlns:ds="http://schemas.openxmlformats.org/officeDocument/2006/customXml" ds:itemID="{71409F97-64C0-444E-9168-6EACB34C0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ce6d0-4f2a-44bf-ac67-ebc8ca3527ef"/>
    <ds:schemaRef ds:uri="43d950be-afae-43fc-9767-1dc9c4ebc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F11B-E1AD-4238-8D61-D513BB457C3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b23c674-de8a-426d-bc8b-74ad6594a910}" enabled="1" method="Standard" siteId="{c5d0ad88-8f93-43b8-9b7c-c8a3bb8e410a}"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Robbie Barker</lastModifiedBy>
  <revision>5</revision>
  <dcterms:created xsi:type="dcterms:W3CDTF">2024-06-21T15:29:00.0000000Z</dcterms:created>
  <dcterms:modified xsi:type="dcterms:W3CDTF">2025-02-10T22:20:17.3939350Z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0x0101004C8FC2602EB2B4499DBDD2BA6BBE56D9</vt:lpwstr>
  </property>
  <property fmtid="{D5CDD505-2E9C-101B-9397-08002B2CF9AE}" pid="3" name="MediaServiceImageTags">
    <vt:lpwstr>MediaServiceImageTags</vt:lpwstr>
  </property>
</Properties>
</file>