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0F8E" w14:textId="77777777" w:rsidR="0023595C" w:rsidRDefault="0023595C"/>
    <w:p w14:paraId="2598A1FD" w14:textId="77777777" w:rsidR="0099485B" w:rsidRDefault="001F504A" w:rsidP="001F504A">
      <w:pPr>
        <w:jc w:val="center"/>
      </w:pPr>
      <w:r>
        <w:rPr>
          <w:noProof/>
          <w:lang w:val="en-IN"/>
        </w:rPr>
        <w:drawing>
          <wp:inline distT="0" distB="0" distL="0" distR="0" wp14:anchorId="79687B8B" wp14:editId="38588E6A">
            <wp:extent cx="1510682" cy="619760"/>
            <wp:effectExtent l="0" t="0" r="0" b="889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srcRect/>
                    <a:stretch>
                      <a:fillRect/>
                    </a:stretch>
                  </pic:blipFill>
                  <pic:spPr>
                    <a:xfrm>
                      <a:off x="0" y="0"/>
                      <a:ext cx="1515715" cy="621825"/>
                    </a:xfrm>
                    <a:prstGeom prst="rect">
                      <a:avLst/>
                    </a:prstGeom>
                  </pic:spPr>
                </pic:pic>
              </a:graphicData>
            </a:graphic>
          </wp:inline>
        </w:drawing>
      </w:r>
    </w:p>
    <w:p w14:paraId="6B8B33DC" w14:textId="77777777" w:rsidR="001F504A" w:rsidRPr="001F504A" w:rsidRDefault="001F504A" w:rsidP="00017EC2">
      <w:pPr>
        <w:spacing w:line="240" w:lineRule="auto"/>
        <w:jc w:val="center"/>
      </w:pPr>
    </w:p>
    <w:p w14:paraId="0131BD44" w14:textId="77777777" w:rsidR="00FA6A89" w:rsidRDefault="00076FBD" w:rsidP="00017EC2">
      <w:pPr>
        <w:spacing w:line="240" w:lineRule="auto"/>
        <w:jc w:val="center"/>
        <w:rPr>
          <w:rFonts w:ascii="Arial" w:eastAsia="Arial" w:hAnsi="Arial" w:cs="Arial"/>
          <w:b/>
          <w:i/>
          <w:color w:val="4472C4"/>
          <w:sz w:val="32"/>
          <w:szCs w:val="24"/>
        </w:rPr>
      </w:pPr>
      <w:r w:rsidRPr="00076FBD">
        <w:rPr>
          <w:rFonts w:ascii="Arial" w:eastAsia="Arial" w:hAnsi="Arial" w:cs="Arial"/>
          <w:b/>
          <w:color w:val="4472C4"/>
          <w:sz w:val="32"/>
          <w:szCs w:val="24"/>
        </w:rPr>
        <w:t>P&amp;G Health unveils</w:t>
      </w:r>
      <w:r w:rsidR="0009145A" w:rsidRPr="0009145A">
        <w:rPr>
          <w:rFonts w:ascii="Arial" w:eastAsia="Arial" w:hAnsi="Arial" w:cs="Arial"/>
          <w:b/>
          <w:color w:val="4472C4"/>
          <w:sz w:val="32"/>
          <w:szCs w:val="24"/>
        </w:rPr>
        <w:t xml:space="preserve"> </w:t>
      </w:r>
      <w:r w:rsidR="0009145A" w:rsidRPr="0009145A">
        <w:rPr>
          <w:rFonts w:ascii="Arial" w:eastAsia="Arial" w:hAnsi="Arial" w:cs="Arial"/>
          <w:b/>
          <w:i/>
          <w:color w:val="4472C4"/>
          <w:sz w:val="32"/>
          <w:szCs w:val="24"/>
        </w:rPr>
        <w:t>New Livogen Multivitamin Tonic</w:t>
      </w:r>
    </w:p>
    <w:p w14:paraId="56516DAA" w14:textId="67C81099" w:rsidR="00076FBD" w:rsidRDefault="0009145A" w:rsidP="00017EC2">
      <w:pPr>
        <w:spacing w:line="240" w:lineRule="auto"/>
        <w:jc w:val="center"/>
        <w:rPr>
          <w:rFonts w:ascii="Arial" w:eastAsia="Arial" w:hAnsi="Arial" w:cs="Arial"/>
          <w:b/>
          <w:color w:val="4472C4"/>
          <w:sz w:val="32"/>
          <w:szCs w:val="24"/>
        </w:rPr>
      </w:pPr>
      <w:r w:rsidRPr="0009145A">
        <w:rPr>
          <w:rFonts w:ascii="Arial" w:hAnsi="Arial" w:cs="Arial"/>
          <w:sz w:val="20"/>
        </w:rPr>
        <w:t xml:space="preserve"> </w:t>
      </w:r>
      <w:r w:rsidR="00076FBD" w:rsidRPr="00076FBD">
        <w:rPr>
          <w:rFonts w:ascii="Arial" w:eastAsia="Arial" w:hAnsi="Arial" w:cs="Arial"/>
          <w:b/>
          <w:color w:val="4472C4"/>
          <w:sz w:val="32"/>
          <w:szCs w:val="24"/>
        </w:rPr>
        <w:t>– a new age comprehensive multivitamin</w:t>
      </w:r>
    </w:p>
    <w:p w14:paraId="0CE8FE95" w14:textId="77777777" w:rsidR="00076FBD" w:rsidRPr="00076FBD" w:rsidRDefault="00076FBD" w:rsidP="00FA6A89">
      <w:pPr>
        <w:pStyle w:val="ListParagraph"/>
        <w:ind w:left="1080"/>
        <w:rPr>
          <w:rFonts w:ascii="Arial" w:eastAsia="Arial" w:hAnsi="Arial" w:cs="Arial"/>
          <w:i/>
          <w:color w:val="4472C4"/>
        </w:rPr>
      </w:pPr>
      <w:r w:rsidRPr="00076FBD">
        <w:rPr>
          <w:rFonts w:ascii="Arial" w:eastAsia="Arial" w:hAnsi="Arial" w:cs="Arial"/>
          <w:i/>
          <w:color w:val="4472C4"/>
        </w:rPr>
        <w:t>Scientifically-proven, the product comes packed with goodness of nine essential nutrients</w:t>
      </w:r>
    </w:p>
    <w:p w14:paraId="7B935D6D" w14:textId="77777777" w:rsidR="00017EC2" w:rsidRDefault="00017EC2" w:rsidP="0009145A">
      <w:pPr>
        <w:pBdr>
          <w:top w:val="nil"/>
          <w:left w:val="nil"/>
          <w:bottom w:val="nil"/>
          <w:right w:val="nil"/>
          <w:between w:val="nil"/>
        </w:pBdr>
        <w:spacing w:after="0" w:line="276" w:lineRule="auto"/>
        <w:ind w:right="695"/>
        <w:jc w:val="both"/>
        <w:rPr>
          <w:rFonts w:ascii="Arial" w:eastAsia="Arial" w:hAnsi="Arial" w:cs="Arial"/>
          <w:b/>
          <w:color w:val="4472C4"/>
          <w:sz w:val="24"/>
          <w:szCs w:val="24"/>
        </w:rPr>
      </w:pPr>
    </w:p>
    <w:p w14:paraId="5018EF2B" w14:textId="3EAC85BC" w:rsidR="0009145A" w:rsidRDefault="00076FBD" w:rsidP="0009145A">
      <w:pPr>
        <w:pBdr>
          <w:top w:val="nil"/>
          <w:left w:val="nil"/>
          <w:bottom w:val="nil"/>
          <w:right w:val="nil"/>
          <w:between w:val="nil"/>
        </w:pBdr>
        <w:spacing w:after="0" w:line="276" w:lineRule="auto"/>
        <w:ind w:right="695"/>
        <w:jc w:val="both"/>
        <w:rPr>
          <w:rFonts w:ascii="Arial" w:hAnsi="Arial" w:cs="Arial"/>
          <w:sz w:val="20"/>
        </w:rPr>
      </w:pPr>
      <w:r w:rsidRPr="00546402">
        <w:rPr>
          <w:rFonts w:ascii="Arial" w:eastAsia="Arial" w:hAnsi="Arial" w:cs="Arial"/>
          <w:b/>
          <w:color w:val="000000"/>
          <w:sz w:val="20"/>
        </w:rPr>
        <w:t>Lucknow</w:t>
      </w:r>
      <w:r w:rsidR="004D4144" w:rsidRPr="00546402">
        <w:rPr>
          <w:rFonts w:ascii="Arial" w:eastAsia="Arial" w:hAnsi="Arial" w:cs="Arial"/>
          <w:b/>
          <w:color w:val="000000"/>
          <w:sz w:val="20"/>
        </w:rPr>
        <w:t xml:space="preserve">, </w:t>
      </w:r>
      <w:r w:rsidRPr="00546402">
        <w:rPr>
          <w:rFonts w:ascii="Arial" w:eastAsia="Arial" w:hAnsi="Arial" w:cs="Arial"/>
          <w:b/>
          <w:color w:val="000000"/>
          <w:sz w:val="20"/>
        </w:rPr>
        <w:t>September</w:t>
      </w:r>
      <w:r w:rsidR="004D4144" w:rsidRPr="00546402">
        <w:rPr>
          <w:rFonts w:ascii="Arial" w:eastAsia="Arial" w:hAnsi="Arial" w:cs="Arial"/>
          <w:b/>
          <w:color w:val="000000"/>
          <w:sz w:val="20"/>
        </w:rPr>
        <w:t xml:space="preserve"> </w:t>
      </w:r>
      <w:r w:rsidRPr="00546402">
        <w:rPr>
          <w:rFonts w:ascii="Arial" w:eastAsia="Arial" w:hAnsi="Arial" w:cs="Arial"/>
          <w:b/>
          <w:color w:val="000000"/>
          <w:sz w:val="20"/>
        </w:rPr>
        <w:t>4</w:t>
      </w:r>
      <w:r w:rsidR="004D4144" w:rsidRPr="00546402">
        <w:rPr>
          <w:rFonts w:ascii="Arial" w:eastAsia="Arial" w:hAnsi="Arial" w:cs="Arial"/>
          <w:b/>
          <w:color w:val="000000"/>
          <w:sz w:val="20"/>
        </w:rPr>
        <w:t>, 2019:</w:t>
      </w:r>
      <w:r w:rsidR="004D4144" w:rsidRPr="00546402">
        <w:rPr>
          <w:rFonts w:ascii="Arial" w:eastAsia="Arial" w:hAnsi="Arial" w:cs="Arial"/>
          <w:color w:val="000000"/>
          <w:sz w:val="20"/>
        </w:rPr>
        <w:t xml:space="preserve"> </w:t>
      </w:r>
      <w:r w:rsidRPr="00546402">
        <w:rPr>
          <w:rFonts w:ascii="Arial" w:hAnsi="Arial" w:cs="Arial"/>
          <w:sz w:val="20"/>
        </w:rPr>
        <w:t xml:space="preserve">Procter &amp; Gamble Health </w:t>
      </w:r>
      <w:r w:rsidR="00AC1134" w:rsidRPr="00546402">
        <w:rPr>
          <w:rFonts w:ascii="Arial" w:hAnsi="Arial" w:cs="Arial"/>
          <w:sz w:val="20"/>
        </w:rPr>
        <w:t>Limited</w:t>
      </w:r>
      <w:r w:rsidR="00AC1134">
        <w:rPr>
          <w:rFonts w:ascii="Arial" w:hAnsi="Arial" w:cs="Arial"/>
          <w:sz w:val="20"/>
        </w:rPr>
        <w:t xml:space="preserve"> (</w:t>
      </w:r>
      <w:r w:rsidR="001A0CD4">
        <w:rPr>
          <w:rFonts w:ascii="Arial" w:hAnsi="Arial" w:cs="Arial"/>
          <w:sz w:val="20"/>
        </w:rPr>
        <w:t xml:space="preserve">formerly known as Merck Limited) </w:t>
      </w:r>
      <w:r w:rsidRPr="00546402">
        <w:rPr>
          <w:rFonts w:ascii="Arial" w:hAnsi="Arial" w:cs="Arial"/>
          <w:sz w:val="20"/>
        </w:rPr>
        <w:t>today announced the launch of its</w:t>
      </w:r>
      <w:r w:rsidR="0099485B" w:rsidRPr="00546402">
        <w:rPr>
          <w:rFonts w:ascii="Arial" w:hAnsi="Arial" w:cs="Arial"/>
          <w:sz w:val="20"/>
        </w:rPr>
        <w:t xml:space="preserve"> </w:t>
      </w:r>
      <w:r w:rsidR="0009145A" w:rsidRPr="0009145A">
        <w:rPr>
          <w:rFonts w:ascii="Arial" w:hAnsi="Arial" w:cs="Arial"/>
          <w:sz w:val="20"/>
        </w:rPr>
        <w:t xml:space="preserve">the </w:t>
      </w:r>
      <w:r w:rsidR="0009145A" w:rsidRPr="0009145A">
        <w:rPr>
          <w:rFonts w:ascii="Arial" w:hAnsi="Arial" w:cs="Arial"/>
          <w:b/>
          <w:i/>
          <w:sz w:val="20"/>
        </w:rPr>
        <w:t>New Livogen Multivitamin Tonic</w:t>
      </w:r>
      <w:r w:rsidR="005D187B">
        <w:rPr>
          <w:rFonts w:ascii="Arial" w:hAnsi="Arial" w:cs="Arial"/>
          <w:sz w:val="20"/>
        </w:rPr>
        <w:t xml:space="preserve"> </w:t>
      </w:r>
      <w:r w:rsidR="0099485B" w:rsidRPr="00546402">
        <w:rPr>
          <w:rFonts w:ascii="Arial" w:hAnsi="Arial" w:cs="Arial"/>
          <w:sz w:val="20"/>
        </w:rPr>
        <w:t xml:space="preserve">at Hotel </w:t>
      </w:r>
      <w:r w:rsidR="00B34D5E">
        <w:rPr>
          <w:rFonts w:ascii="Arial" w:hAnsi="Arial" w:cs="Arial"/>
          <w:sz w:val="20"/>
        </w:rPr>
        <w:t>Hyatt Regency</w:t>
      </w:r>
      <w:r w:rsidR="0099485B" w:rsidRPr="00546402">
        <w:rPr>
          <w:rFonts w:ascii="Arial" w:hAnsi="Arial" w:cs="Arial"/>
          <w:sz w:val="20"/>
        </w:rPr>
        <w:t xml:space="preserve">, Lucknow. </w:t>
      </w:r>
    </w:p>
    <w:p w14:paraId="679C1431" w14:textId="77777777" w:rsidR="001A0CD4" w:rsidRPr="00546402" w:rsidRDefault="001A0CD4" w:rsidP="0099485B">
      <w:pPr>
        <w:pBdr>
          <w:top w:val="nil"/>
          <w:left w:val="nil"/>
          <w:bottom w:val="nil"/>
          <w:right w:val="nil"/>
          <w:between w:val="nil"/>
        </w:pBdr>
        <w:spacing w:after="0" w:line="276" w:lineRule="auto"/>
        <w:ind w:right="695"/>
        <w:jc w:val="both"/>
        <w:rPr>
          <w:rFonts w:ascii="Arial" w:hAnsi="Arial" w:cs="Arial"/>
          <w:sz w:val="20"/>
        </w:rPr>
      </w:pPr>
    </w:p>
    <w:p w14:paraId="69BF9841" w14:textId="6042DC7A" w:rsidR="001F504A" w:rsidRDefault="000D1270" w:rsidP="001F504A">
      <w:pPr>
        <w:pBdr>
          <w:top w:val="nil"/>
          <w:left w:val="nil"/>
          <w:bottom w:val="nil"/>
          <w:right w:val="nil"/>
          <w:between w:val="nil"/>
        </w:pBdr>
        <w:spacing w:after="0" w:line="276" w:lineRule="auto"/>
        <w:ind w:right="695"/>
        <w:jc w:val="both"/>
        <w:rPr>
          <w:rFonts w:ascii="Arial" w:hAnsi="Arial" w:cs="Arial"/>
          <w:i/>
          <w:sz w:val="20"/>
        </w:rPr>
      </w:pPr>
      <w:r>
        <w:rPr>
          <w:rFonts w:ascii="Arial" w:hAnsi="Arial" w:cs="Arial"/>
          <w:sz w:val="20"/>
        </w:rPr>
        <w:t xml:space="preserve">Speaking at the launch event, Milind Thatte - </w:t>
      </w:r>
      <w:r w:rsidR="001F504A" w:rsidRPr="0009145A">
        <w:rPr>
          <w:rFonts w:ascii="Arial" w:hAnsi="Arial" w:cs="Arial"/>
          <w:sz w:val="20"/>
        </w:rPr>
        <w:t>Managing Director</w:t>
      </w:r>
      <w:r>
        <w:rPr>
          <w:rFonts w:ascii="Arial" w:hAnsi="Arial" w:cs="Arial"/>
          <w:sz w:val="20"/>
        </w:rPr>
        <w:t xml:space="preserve">, </w:t>
      </w:r>
      <w:r w:rsidR="001F504A" w:rsidRPr="0009145A">
        <w:rPr>
          <w:rFonts w:ascii="Arial" w:hAnsi="Arial" w:cs="Arial"/>
          <w:sz w:val="20"/>
        </w:rPr>
        <w:t xml:space="preserve">Procter &amp; Gamble Health Limited stated, </w:t>
      </w:r>
      <w:r w:rsidR="001F504A" w:rsidRPr="0009145A">
        <w:rPr>
          <w:rFonts w:ascii="Arial" w:hAnsi="Arial" w:cs="Arial"/>
          <w:i/>
          <w:sz w:val="20"/>
        </w:rPr>
        <w:t xml:space="preserve">“Meeting the wellness needs of consumers for over 50 years, Livogen is </w:t>
      </w:r>
      <w:r w:rsidR="00F57617">
        <w:rPr>
          <w:rFonts w:ascii="Arial" w:hAnsi="Arial" w:cs="Arial"/>
          <w:i/>
          <w:sz w:val="20"/>
        </w:rPr>
        <w:t>one of India’s</w:t>
      </w:r>
      <w:r w:rsidR="006C6209">
        <w:rPr>
          <w:rFonts w:ascii="Arial" w:hAnsi="Arial" w:cs="Arial"/>
          <w:i/>
          <w:sz w:val="20"/>
        </w:rPr>
        <w:t xml:space="preserve"> leading</w:t>
      </w:r>
      <w:r w:rsidR="001F504A" w:rsidRPr="0009145A">
        <w:rPr>
          <w:rFonts w:ascii="Arial" w:hAnsi="Arial" w:cs="Arial"/>
          <w:i/>
          <w:sz w:val="20"/>
        </w:rPr>
        <w:t xml:space="preserve"> Iron Supplement</w:t>
      </w:r>
      <w:r w:rsidR="00F57617">
        <w:rPr>
          <w:rFonts w:ascii="Arial" w:hAnsi="Arial" w:cs="Arial"/>
          <w:i/>
          <w:sz w:val="20"/>
        </w:rPr>
        <w:t>s</w:t>
      </w:r>
      <w:r w:rsidR="001F504A" w:rsidRPr="0009145A">
        <w:rPr>
          <w:rFonts w:ascii="Arial" w:hAnsi="Arial" w:cs="Arial"/>
          <w:i/>
          <w:sz w:val="20"/>
        </w:rPr>
        <w:t xml:space="preserve">. We are delighted to introduce the </w:t>
      </w:r>
      <w:r w:rsidR="001F504A" w:rsidRPr="0009145A">
        <w:rPr>
          <w:rFonts w:ascii="Arial" w:hAnsi="Arial" w:cs="Arial"/>
          <w:b/>
          <w:i/>
          <w:sz w:val="20"/>
        </w:rPr>
        <w:t>New Livogen Multivitamin Tonic</w:t>
      </w:r>
      <w:r w:rsidR="001F504A" w:rsidRPr="0009145A">
        <w:rPr>
          <w:rFonts w:ascii="Arial" w:hAnsi="Arial" w:cs="Arial"/>
          <w:i/>
          <w:sz w:val="20"/>
        </w:rPr>
        <w:t xml:space="preserve"> which is formulated to aid people combat fatigue, weakness while giving them the strength to be active &amp; productive. With the </w:t>
      </w:r>
      <w:r w:rsidR="001F504A" w:rsidRPr="0009145A">
        <w:rPr>
          <w:rFonts w:ascii="Arial" w:hAnsi="Arial" w:cs="Arial"/>
          <w:b/>
          <w:i/>
          <w:sz w:val="20"/>
        </w:rPr>
        <w:t>New Livogen Multivitamin Tonic</w:t>
      </w:r>
      <w:r w:rsidR="001F504A" w:rsidRPr="0009145A">
        <w:rPr>
          <w:rFonts w:ascii="Arial" w:hAnsi="Arial" w:cs="Arial"/>
          <w:i/>
          <w:sz w:val="20"/>
        </w:rPr>
        <w:t xml:space="preserve">, we are very pleased to offer a comprehensive health syrup that will ensure patients and consumers are protected from the most common concerns that we face today. We will also be continuing our efforts to increase awareness on nutritional deficiencies with our Brand Ambassador </w:t>
      </w:r>
      <w:proofErr w:type="spellStart"/>
      <w:r w:rsidR="001F504A" w:rsidRPr="0009145A">
        <w:rPr>
          <w:rFonts w:ascii="Arial" w:hAnsi="Arial" w:cs="Arial"/>
          <w:i/>
          <w:sz w:val="20"/>
        </w:rPr>
        <w:t>Shubhangi</w:t>
      </w:r>
      <w:proofErr w:type="spellEnd"/>
      <w:r w:rsidR="001F504A" w:rsidRPr="0009145A">
        <w:rPr>
          <w:rFonts w:ascii="Arial" w:hAnsi="Arial" w:cs="Arial"/>
          <w:i/>
          <w:sz w:val="20"/>
        </w:rPr>
        <w:t xml:space="preserve"> </w:t>
      </w:r>
      <w:proofErr w:type="spellStart"/>
      <w:r w:rsidR="001F504A" w:rsidRPr="0009145A">
        <w:rPr>
          <w:rFonts w:ascii="Arial" w:hAnsi="Arial" w:cs="Arial"/>
          <w:i/>
          <w:sz w:val="20"/>
        </w:rPr>
        <w:t>Atre</w:t>
      </w:r>
      <w:proofErr w:type="spellEnd"/>
      <w:r w:rsidR="001F504A" w:rsidRPr="0009145A">
        <w:rPr>
          <w:rFonts w:ascii="Arial" w:hAnsi="Arial" w:cs="Arial"/>
          <w:i/>
          <w:sz w:val="20"/>
        </w:rPr>
        <w:t xml:space="preserve"> &amp; our digital mascot </w:t>
      </w:r>
      <w:proofErr w:type="spellStart"/>
      <w:r w:rsidR="001F504A" w:rsidRPr="0009145A">
        <w:rPr>
          <w:rFonts w:ascii="Arial" w:hAnsi="Arial" w:cs="Arial"/>
          <w:i/>
          <w:sz w:val="20"/>
        </w:rPr>
        <w:t>Shuklaji</w:t>
      </w:r>
      <w:proofErr w:type="spellEnd"/>
      <w:r w:rsidR="001F504A" w:rsidRPr="0009145A">
        <w:rPr>
          <w:rFonts w:ascii="Arial" w:hAnsi="Arial" w:cs="Arial"/>
          <w:i/>
          <w:sz w:val="20"/>
        </w:rPr>
        <w:t>”</w:t>
      </w:r>
    </w:p>
    <w:p w14:paraId="7640EA80" w14:textId="77777777" w:rsidR="001F504A" w:rsidRDefault="001F504A" w:rsidP="0099485B">
      <w:pPr>
        <w:pBdr>
          <w:top w:val="nil"/>
          <w:left w:val="nil"/>
          <w:bottom w:val="nil"/>
          <w:right w:val="nil"/>
          <w:between w:val="nil"/>
        </w:pBdr>
        <w:spacing w:after="0" w:line="276" w:lineRule="auto"/>
        <w:ind w:right="695"/>
        <w:jc w:val="both"/>
        <w:rPr>
          <w:rFonts w:ascii="Arial" w:hAnsi="Arial" w:cs="Arial"/>
          <w:sz w:val="20"/>
        </w:rPr>
      </w:pPr>
    </w:p>
    <w:p w14:paraId="33711820" w14:textId="6414BB57" w:rsidR="001F504A" w:rsidRDefault="001F504A" w:rsidP="001F504A">
      <w:pPr>
        <w:pBdr>
          <w:top w:val="nil"/>
          <w:left w:val="nil"/>
          <w:bottom w:val="nil"/>
          <w:right w:val="nil"/>
          <w:between w:val="nil"/>
        </w:pBdr>
        <w:spacing w:after="0" w:line="276" w:lineRule="auto"/>
        <w:ind w:right="695"/>
        <w:jc w:val="both"/>
        <w:rPr>
          <w:rFonts w:ascii="Arial" w:hAnsi="Arial" w:cs="Arial"/>
          <w:sz w:val="20"/>
        </w:rPr>
      </w:pPr>
      <w:proofErr w:type="spellStart"/>
      <w:r>
        <w:rPr>
          <w:rFonts w:ascii="Arial" w:hAnsi="Arial" w:cs="Arial"/>
          <w:sz w:val="20"/>
        </w:rPr>
        <w:t>Shuklaji</w:t>
      </w:r>
      <w:proofErr w:type="spellEnd"/>
      <w:r>
        <w:rPr>
          <w:rFonts w:ascii="Arial" w:hAnsi="Arial" w:cs="Arial"/>
          <w:sz w:val="20"/>
        </w:rPr>
        <w:t xml:space="preserve"> – </w:t>
      </w:r>
      <w:proofErr w:type="spellStart"/>
      <w:r w:rsidRPr="00546402">
        <w:rPr>
          <w:rFonts w:ascii="Arial" w:hAnsi="Arial" w:cs="Arial"/>
          <w:sz w:val="20"/>
        </w:rPr>
        <w:t>Livogen</w:t>
      </w:r>
      <w:r>
        <w:rPr>
          <w:rFonts w:ascii="Arial" w:hAnsi="Arial" w:cs="Arial"/>
          <w:sz w:val="20"/>
        </w:rPr>
        <w:t>’s</w:t>
      </w:r>
      <w:proofErr w:type="spellEnd"/>
      <w:r w:rsidRPr="00546402">
        <w:rPr>
          <w:rFonts w:ascii="Arial" w:hAnsi="Arial" w:cs="Arial"/>
          <w:sz w:val="20"/>
        </w:rPr>
        <w:t xml:space="preserve"> digital mascot </w:t>
      </w:r>
      <w:r>
        <w:rPr>
          <w:rFonts w:ascii="Arial" w:hAnsi="Arial" w:cs="Arial"/>
          <w:sz w:val="20"/>
        </w:rPr>
        <w:t xml:space="preserve">- is </w:t>
      </w:r>
      <w:r w:rsidRPr="00546402">
        <w:rPr>
          <w:rFonts w:ascii="Arial" w:hAnsi="Arial" w:cs="Arial"/>
          <w:sz w:val="20"/>
        </w:rPr>
        <w:t>an endearing elderly woman who shares her wisdom on correct diet and holistic living with families</w:t>
      </w:r>
      <w:r>
        <w:rPr>
          <w:rFonts w:ascii="Arial" w:hAnsi="Arial" w:cs="Arial"/>
          <w:sz w:val="20"/>
        </w:rPr>
        <w:t xml:space="preserve"> and will be joining </w:t>
      </w:r>
      <w:proofErr w:type="spellStart"/>
      <w:r>
        <w:rPr>
          <w:rFonts w:ascii="Arial" w:hAnsi="Arial" w:cs="Arial"/>
          <w:sz w:val="20"/>
        </w:rPr>
        <w:t>Shubhangi</w:t>
      </w:r>
      <w:proofErr w:type="spellEnd"/>
      <w:r>
        <w:rPr>
          <w:rFonts w:ascii="Arial" w:hAnsi="Arial" w:cs="Arial"/>
          <w:sz w:val="20"/>
        </w:rPr>
        <w:t xml:space="preserve"> – popularly known as </w:t>
      </w:r>
      <w:proofErr w:type="spellStart"/>
      <w:r>
        <w:rPr>
          <w:rFonts w:ascii="Arial" w:hAnsi="Arial" w:cs="Arial"/>
          <w:sz w:val="20"/>
        </w:rPr>
        <w:t>Bhabhiji</w:t>
      </w:r>
      <w:proofErr w:type="spellEnd"/>
      <w:r>
        <w:rPr>
          <w:rFonts w:ascii="Arial" w:hAnsi="Arial" w:cs="Arial"/>
          <w:sz w:val="20"/>
        </w:rPr>
        <w:t xml:space="preserve">- </w:t>
      </w:r>
      <w:r w:rsidR="00AC1134">
        <w:rPr>
          <w:rFonts w:ascii="Arial" w:hAnsi="Arial" w:cs="Arial"/>
          <w:sz w:val="20"/>
        </w:rPr>
        <w:t>in spreading</w:t>
      </w:r>
      <w:r>
        <w:rPr>
          <w:rFonts w:ascii="Arial" w:hAnsi="Arial" w:cs="Arial"/>
          <w:sz w:val="20"/>
        </w:rPr>
        <w:t xml:space="preserve"> awareness among consumers and patients.</w:t>
      </w:r>
    </w:p>
    <w:p w14:paraId="14B7658F" w14:textId="77777777" w:rsidR="001F504A" w:rsidRDefault="001F504A" w:rsidP="0099485B">
      <w:pPr>
        <w:pBdr>
          <w:top w:val="nil"/>
          <w:left w:val="nil"/>
          <w:bottom w:val="nil"/>
          <w:right w:val="nil"/>
          <w:between w:val="nil"/>
        </w:pBdr>
        <w:spacing w:after="0" w:line="276" w:lineRule="auto"/>
        <w:ind w:right="695"/>
        <w:jc w:val="both"/>
        <w:rPr>
          <w:rFonts w:ascii="Arial" w:hAnsi="Arial" w:cs="Arial"/>
          <w:sz w:val="20"/>
        </w:rPr>
      </w:pPr>
    </w:p>
    <w:p w14:paraId="5ABFE1EF" w14:textId="10231D3E" w:rsidR="0099485B" w:rsidRPr="0009145A" w:rsidRDefault="0099485B" w:rsidP="0099485B">
      <w:pPr>
        <w:pBdr>
          <w:top w:val="nil"/>
          <w:left w:val="nil"/>
          <w:bottom w:val="nil"/>
          <w:right w:val="nil"/>
          <w:between w:val="nil"/>
        </w:pBdr>
        <w:spacing w:after="0" w:line="276" w:lineRule="auto"/>
        <w:ind w:right="695"/>
        <w:jc w:val="both"/>
        <w:rPr>
          <w:rFonts w:ascii="Arial" w:hAnsi="Arial" w:cs="Arial"/>
          <w:i/>
          <w:sz w:val="20"/>
        </w:rPr>
      </w:pPr>
      <w:r w:rsidRPr="00546402">
        <w:rPr>
          <w:rFonts w:ascii="Arial" w:hAnsi="Arial" w:cs="Arial"/>
          <w:sz w:val="20"/>
        </w:rPr>
        <w:t xml:space="preserve">According to noted city physician Dr. </w:t>
      </w:r>
      <w:r w:rsidR="005A2FBD">
        <w:rPr>
          <w:rFonts w:ascii="Arial" w:hAnsi="Arial" w:cs="Arial"/>
          <w:sz w:val="20"/>
        </w:rPr>
        <w:t>Dinesh</w:t>
      </w:r>
      <w:r w:rsidRPr="00546402">
        <w:rPr>
          <w:rFonts w:ascii="Arial" w:hAnsi="Arial" w:cs="Arial"/>
          <w:sz w:val="20"/>
        </w:rPr>
        <w:t xml:space="preserve"> </w:t>
      </w:r>
      <w:proofErr w:type="spellStart"/>
      <w:r w:rsidRPr="00546402">
        <w:rPr>
          <w:rFonts w:ascii="Arial" w:hAnsi="Arial" w:cs="Arial"/>
          <w:sz w:val="20"/>
        </w:rPr>
        <w:t>Lalwani</w:t>
      </w:r>
      <w:proofErr w:type="spellEnd"/>
      <w:r w:rsidRPr="00546402">
        <w:rPr>
          <w:rFonts w:ascii="Arial" w:hAnsi="Arial" w:cs="Arial"/>
          <w:sz w:val="20"/>
        </w:rPr>
        <w:t xml:space="preserve">, </w:t>
      </w:r>
      <w:r w:rsidRPr="0009145A">
        <w:rPr>
          <w:rFonts w:ascii="Arial" w:hAnsi="Arial" w:cs="Arial"/>
          <w:i/>
          <w:sz w:val="20"/>
        </w:rPr>
        <w:t xml:space="preserve">“India is endemic for nutritional </w:t>
      </w:r>
      <w:bookmarkStart w:id="0" w:name="_GoBack"/>
      <w:bookmarkEnd w:id="0"/>
      <w:r w:rsidRPr="0009145A">
        <w:rPr>
          <w:rFonts w:ascii="Arial" w:hAnsi="Arial" w:cs="Arial"/>
          <w:i/>
          <w:sz w:val="20"/>
        </w:rPr>
        <w:t xml:space="preserve">deficiencies, and has one of the highest rates of Iron deficiency and anemia cases. Fatigue, lethargy, weakness and </w:t>
      </w:r>
      <w:r w:rsidR="005D3BC1">
        <w:rPr>
          <w:rFonts w:ascii="Arial" w:hAnsi="Arial" w:cs="Arial"/>
          <w:i/>
          <w:sz w:val="20"/>
        </w:rPr>
        <w:t>diminished</w:t>
      </w:r>
      <w:r w:rsidRPr="0009145A">
        <w:rPr>
          <w:rFonts w:ascii="Arial" w:hAnsi="Arial" w:cs="Arial"/>
          <w:i/>
          <w:sz w:val="20"/>
        </w:rPr>
        <w:t xml:space="preserve"> immunity are rising concerns across all ages. The lack of essential vitamins and other nutrients also contribute to loss of appetite, hair fall, skin</w:t>
      </w:r>
      <w:r w:rsidR="005D3BC1">
        <w:rPr>
          <w:rFonts w:ascii="Arial" w:hAnsi="Arial" w:cs="Arial"/>
          <w:i/>
          <w:sz w:val="20"/>
        </w:rPr>
        <w:t xml:space="preserve"> </w:t>
      </w:r>
      <w:r w:rsidR="00E020FB">
        <w:rPr>
          <w:rFonts w:ascii="Arial" w:hAnsi="Arial" w:cs="Arial"/>
          <w:i/>
          <w:sz w:val="20"/>
        </w:rPr>
        <w:t>pal</w:t>
      </w:r>
      <w:r w:rsidR="00F74480">
        <w:rPr>
          <w:rFonts w:ascii="Arial" w:hAnsi="Arial" w:cs="Arial"/>
          <w:i/>
          <w:sz w:val="20"/>
        </w:rPr>
        <w:t>lo</w:t>
      </w:r>
      <w:r w:rsidR="00E020FB">
        <w:rPr>
          <w:rFonts w:ascii="Arial" w:hAnsi="Arial" w:cs="Arial"/>
          <w:i/>
          <w:sz w:val="20"/>
        </w:rPr>
        <w:t>r</w:t>
      </w:r>
      <w:r w:rsidRPr="0009145A">
        <w:rPr>
          <w:rFonts w:ascii="Arial" w:hAnsi="Arial" w:cs="Arial"/>
          <w:i/>
          <w:sz w:val="20"/>
        </w:rPr>
        <w:t xml:space="preserve"> and lack of strength adding on to the daily stressors. There is an increasing need for a comprehensive composition that is trusted and can address common concerns with proven results. While there is no substitute for a healt</w:t>
      </w:r>
      <w:r w:rsidR="0009145A">
        <w:rPr>
          <w:rFonts w:ascii="Arial" w:hAnsi="Arial" w:cs="Arial"/>
          <w:i/>
          <w:sz w:val="20"/>
        </w:rPr>
        <w:t>hy diet</w:t>
      </w:r>
      <w:r w:rsidRPr="0009145A">
        <w:rPr>
          <w:rFonts w:ascii="Arial" w:hAnsi="Arial" w:cs="Arial"/>
          <w:i/>
          <w:sz w:val="20"/>
        </w:rPr>
        <w:t>, a multivitamin tonic enriched with essential nutrients could be the answer to address this situation</w:t>
      </w:r>
      <w:r w:rsidR="005D3BC1">
        <w:rPr>
          <w:rFonts w:ascii="Arial" w:hAnsi="Arial" w:cs="Arial"/>
          <w:i/>
          <w:sz w:val="20"/>
        </w:rPr>
        <w:t>, besides educating the masses</w:t>
      </w:r>
      <w:r w:rsidR="00794CCD" w:rsidRPr="0009145A">
        <w:rPr>
          <w:rFonts w:ascii="Arial" w:hAnsi="Arial" w:cs="Arial"/>
          <w:i/>
          <w:sz w:val="20"/>
        </w:rPr>
        <w:t>”</w:t>
      </w:r>
    </w:p>
    <w:p w14:paraId="0E4B7681" w14:textId="77777777" w:rsidR="00546402" w:rsidRPr="001F504A" w:rsidRDefault="00546402" w:rsidP="0099485B">
      <w:pPr>
        <w:pBdr>
          <w:top w:val="nil"/>
          <w:left w:val="nil"/>
          <w:bottom w:val="nil"/>
          <w:right w:val="nil"/>
          <w:between w:val="nil"/>
        </w:pBdr>
        <w:spacing w:after="0" w:line="276" w:lineRule="auto"/>
        <w:ind w:right="695"/>
        <w:jc w:val="both"/>
        <w:rPr>
          <w:rFonts w:ascii="Arial" w:hAnsi="Arial" w:cs="Arial"/>
          <w:sz w:val="20"/>
          <w:szCs w:val="20"/>
        </w:rPr>
      </w:pPr>
    </w:p>
    <w:p w14:paraId="7CC71A11" w14:textId="7ADE4121" w:rsidR="009A67A5" w:rsidRDefault="00F57617" w:rsidP="009A67A5">
      <w:pPr>
        <w:pBdr>
          <w:top w:val="nil"/>
          <w:left w:val="nil"/>
          <w:bottom w:val="nil"/>
          <w:right w:val="nil"/>
          <w:between w:val="nil"/>
        </w:pBdr>
        <w:spacing w:after="0" w:line="276" w:lineRule="auto"/>
        <w:ind w:right="695"/>
        <w:jc w:val="both"/>
        <w:rPr>
          <w:rFonts w:ascii="Arial" w:hAnsi="Arial" w:cs="Arial"/>
          <w:sz w:val="20"/>
          <w:szCs w:val="20"/>
        </w:rPr>
      </w:pPr>
      <w:r>
        <w:rPr>
          <w:rFonts w:ascii="Arial" w:hAnsi="Arial" w:cs="Arial"/>
          <w:sz w:val="20"/>
          <w:szCs w:val="20"/>
        </w:rPr>
        <w:t>F</w:t>
      </w:r>
      <w:r w:rsidR="009A67A5" w:rsidRPr="001F504A">
        <w:rPr>
          <w:rFonts w:ascii="Arial" w:hAnsi="Arial" w:cs="Arial"/>
          <w:sz w:val="20"/>
          <w:szCs w:val="20"/>
        </w:rPr>
        <w:t xml:space="preserve">ormulated as a one stop care for the entire family, the </w:t>
      </w:r>
      <w:r w:rsidR="009A67A5" w:rsidRPr="001F504A">
        <w:rPr>
          <w:rFonts w:ascii="Arial" w:hAnsi="Arial" w:cs="Arial"/>
          <w:b/>
          <w:i/>
          <w:sz w:val="20"/>
          <w:szCs w:val="20"/>
        </w:rPr>
        <w:t>New Livogen Multivitamin Tonic</w:t>
      </w:r>
      <w:r w:rsidR="009A67A5" w:rsidRPr="001F504A">
        <w:rPr>
          <w:rFonts w:ascii="Arial" w:hAnsi="Arial" w:cs="Arial"/>
          <w:sz w:val="20"/>
          <w:szCs w:val="20"/>
        </w:rPr>
        <w:t xml:space="preserve"> </w:t>
      </w:r>
      <w:r w:rsidR="006C6209">
        <w:rPr>
          <w:rFonts w:ascii="Arial" w:hAnsi="Arial" w:cs="Arial"/>
          <w:sz w:val="20"/>
          <w:szCs w:val="20"/>
        </w:rPr>
        <w:t xml:space="preserve">- </w:t>
      </w:r>
      <w:r w:rsidR="009A67A5" w:rsidRPr="001F504A">
        <w:rPr>
          <w:rFonts w:ascii="Arial" w:hAnsi="Arial" w:cs="Arial"/>
          <w:sz w:val="20"/>
          <w:szCs w:val="20"/>
        </w:rPr>
        <w:t xml:space="preserve">available as an </w:t>
      </w:r>
      <w:r w:rsidR="009A67A5" w:rsidRPr="009A67A5">
        <w:rPr>
          <w:rFonts w:ascii="Arial" w:hAnsi="Arial" w:cs="Arial"/>
          <w:b/>
          <w:sz w:val="20"/>
          <w:szCs w:val="20"/>
        </w:rPr>
        <w:t>Adult tonic</w:t>
      </w:r>
      <w:r w:rsidR="009A67A5">
        <w:rPr>
          <w:rFonts w:ascii="Arial" w:hAnsi="Arial" w:cs="Arial"/>
          <w:sz w:val="20"/>
          <w:szCs w:val="20"/>
        </w:rPr>
        <w:t xml:space="preserve"> and</w:t>
      </w:r>
      <w:r w:rsidR="009A67A5" w:rsidRPr="001F504A">
        <w:rPr>
          <w:rFonts w:ascii="Arial" w:hAnsi="Arial" w:cs="Arial"/>
          <w:sz w:val="20"/>
          <w:szCs w:val="20"/>
        </w:rPr>
        <w:t xml:space="preserve"> </w:t>
      </w:r>
      <w:r w:rsidR="009A67A5" w:rsidRPr="009A67A5">
        <w:rPr>
          <w:rFonts w:ascii="Arial" w:hAnsi="Arial" w:cs="Arial"/>
          <w:b/>
          <w:sz w:val="20"/>
          <w:szCs w:val="20"/>
        </w:rPr>
        <w:t>Kid’s syrup</w:t>
      </w:r>
      <w:r w:rsidR="009A67A5">
        <w:rPr>
          <w:rFonts w:ascii="Arial" w:hAnsi="Arial" w:cs="Arial"/>
          <w:sz w:val="20"/>
          <w:szCs w:val="20"/>
        </w:rPr>
        <w:t xml:space="preserve"> </w:t>
      </w:r>
      <w:r w:rsidR="006C6209">
        <w:rPr>
          <w:rFonts w:ascii="Arial" w:hAnsi="Arial" w:cs="Arial"/>
          <w:sz w:val="20"/>
          <w:szCs w:val="20"/>
        </w:rPr>
        <w:t xml:space="preserve">- </w:t>
      </w:r>
      <w:r w:rsidR="009A67A5">
        <w:rPr>
          <w:rFonts w:ascii="Arial" w:hAnsi="Arial" w:cs="Arial"/>
          <w:sz w:val="20"/>
          <w:szCs w:val="20"/>
        </w:rPr>
        <w:t>is</w:t>
      </w:r>
      <w:r w:rsidR="009A67A5" w:rsidRPr="001F504A">
        <w:rPr>
          <w:rFonts w:ascii="Arial" w:hAnsi="Arial" w:cs="Arial"/>
          <w:sz w:val="20"/>
          <w:szCs w:val="20"/>
        </w:rPr>
        <w:t xml:space="preserve"> enabled with nine essential nutrients viz. Iron, Vitamin B12, Vitamin B6, Vitamin B3, Vitamin B5, Folic acid, Protein hydrolysate, Zinc, and L-Lysine that play a pivotal role in nurturing the body.</w:t>
      </w:r>
      <w:r w:rsidR="009A67A5">
        <w:rPr>
          <w:rFonts w:ascii="Arial" w:hAnsi="Arial" w:cs="Arial"/>
          <w:sz w:val="20"/>
          <w:szCs w:val="20"/>
        </w:rPr>
        <w:t xml:space="preserve"> It is also available as </w:t>
      </w:r>
      <w:r w:rsidR="009A67A5" w:rsidRPr="009A67A5">
        <w:rPr>
          <w:rFonts w:ascii="Arial" w:hAnsi="Arial" w:cs="Arial"/>
          <w:b/>
          <w:sz w:val="20"/>
          <w:szCs w:val="20"/>
        </w:rPr>
        <w:t>Baby Drops</w:t>
      </w:r>
      <w:r w:rsidR="009A67A5">
        <w:rPr>
          <w:rFonts w:ascii="Arial" w:hAnsi="Arial" w:cs="Arial"/>
          <w:sz w:val="20"/>
          <w:szCs w:val="20"/>
        </w:rPr>
        <w:t xml:space="preserve"> which contains Iron and Folic Acid.</w:t>
      </w:r>
    </w:p>
    <w:p w14:paraId="7D3FF72E" w14:textId="77777777" w:rsidR="009A67A5" w:rsidRDefault="009A67A5" w:rsidP="001A0CD4">
      <w:pPr>
        <w:pBdr>
          <w:top w:val="nil"/>
          <w:left w:val="nil"/>
          <w:bottom w:val="nil"/>
          <w:right w:val="nil"/>
          <w:between w:val="nil"/>
        </w:pBdr>
        <w:spacing w:after="0" w:line="276" w:lineRule="auto"/>
        <w:ind w:right="695"/>
        <w:jc w:val="both"/>
        <w:rPr>
          <w:rFonts w:ascii="Arial" w:hAnsi="Arial" w:cs="Arial"/>
          <w:sz w:val="20"/>
          <w:szCs w:val="20"/>
        </w:rPr>
      </w:pPr>
    </w:p>
    <w:p w14:paraId="19FAAD67" w14:textId="1B8A54E1" w:rsidR="0009145A" w:rsidRDefault="005D187B" w:rsidP="004E6A75">
      <w:pPr>
        <w:pBdr>
          <w:top w:val="nil"/>
          <w:left w:val="nil"/>
          <w:bottom w:val="nil"/>
          <w:right w:val="nil"/>
          <w:between w:val="nil"/>
        </w:pBdr>
        <w:spacing w:after="0" w:line="276" w:lineRule="auto"/>
        <w:ind w:right="695"/>
        <w:jc w:val="both"/>
        <w:rPr>
          <w:rFonts w:ascii="Arial" w:hAnsi="Arial" w:cs="Arial"/>
          <w:sz w:val="20"/>
          <w:szCs w:val="20"/>
        </w:rPr>
      </w:pPr>
      <w:r>
        <w:rPr>
          <w:rFonts w:ascii="Arial" w:hAnsi="Arial" w:cs="Arial"/>
          <w:sz w:val="20"/>
          <w:szCs w:val="20"/>
        </w:rPr>
        <w:t xml:space="preserve">The </w:t>
      </w:r>
      <w:r>
        <w:rPr>
          <w:rFonts w:ascii="Arial" w:hAnsi="Arial" w:cs="Arial"/>
          <w:b/>
          <w:i/>
          <w:sz w:val="20"/>
          <w:szCs w:val="20"/>
        </w:rPr>
        <w:t xml:space="preserve">New Livogen Multivitamin Tonic brand ambassador, </w:t>
      </w:r>
      <w:proofErr w:type="spellStart"/>
      <w:r>
        <w:rPr>
          <w:rFonts w:ascii="Arial" w:hAnsi="Arial" w:cs="Arial"/>
          <w:b/>
          <w:i/>
          <w:sz w:val="20"/>
          <w:szCs w:val="20"/>
        </w:rPr>
        <w:t>Shubhangi</w:t>
      </w:r>
      <w:proofErr w:type="spellEnd"/>
      <w:r>
        <w:rPr>
          <w:rFonts w:ascii="Arial" w:hAnsi="Arial" w:cs="Arial"/>
          <w:b/>
          <w:i/>
          <w:sz w:val="20"/>
          <w:szCs w:val="20"/>
        </w:rPr>
        <w:t xml:space="preserve"> </w:t>
      </w:r>
      <w:proofErr w:type="spellStart"/>
      <w:r>
        <w:rPr>
          <w:rFonts w:ascii="Arial" w:hAnsi="Arial" w:cs="Arial"/>
          <w:b/>
          <w:i/>
          <w:sz w:val="20"/>
          <w:szCs w:val="20"/>
        </w:rPr>
        <w:t>Atre</w:t>
      </w:r>
      <w:proofErr w:type="spellEnd"/>
      <w:r w:rsidR="004E6A75" w:rsidRPr="001F504A">
        <w:rPr>
          <w:rFonts w:ascii="Arial" w:hAnsi="Arial" w:cs="Arial"/>
          <w:b/>
          <w:i/>
          <w:sz w:val="20"/>
          <w:szCs w:val="20"/>
        </w:rPr>
        <w:t xml:space="preserve">, “I am delighted to be the face of the New Livogen Multivitamin Tonic, and help spread the benefits of ‘Real Strength, Real Tonic’ among the people of India.  </w:t>
      </w:r>
      <w:r w:rsidR="0009145A" w:rsidRPr="001F504A">
        <w:rPr>
          <w:rFonts w:ascii="Arial" w:hAnsi="Arial" w:cs="Arial"/>
          <w:sz w:val="20"/>
          <w:szCs w:val="20"/>
        </w:rPr>
        <w:t xml:space="preserve">Today, most of us are hustling and juggling between multiple responsibilities. We </w:t>
      </w:r>
      <w:proofErr w:type="gramStart"/>
      <w:r w:rsidR="0009145A" w:rsidRPr="001F504A">
        <w:rPr>
          <w:rFonts w:ascii="Arial" w:hAnsi="Arial" w:cs="Arial"/>
          <w:sz w:val="20"/>
          <w:szCs w:val="20"/>
        </w:rPr>
        <w:t>have to</w:t>
      </w:r>
      <w:proofErr w:type="gramEnd"/>
      <w:r w:rsidR="0009145A" w:rsidRPr="001F504A">
        <w:rPr>
          <w:rFonts w:ascii="Arial" w:hAnsi="Arial" w:cs="Arial"/>
          <w:sz w:val="20"/>
          <w:szCs w:val="20"/>
        </w:rPr>
        <w:t xml:space="preserve"> cope with stress, infections, and excessive fatigue </w:t>
      </w:r>
      <w:r w:rsidR="00AC1134" w:rsidRPr="001F504A">
        <w:rPr>
          <w:rFonts w:ascii="Arial" w:hAnsi="Arial" w:cs="Arial"/>
          <w:sz w:val="20"/>
          <w:szCs w:val="20"/>
        </w:rPr>
        <w:t>daily</w:t>
      </w:r>
      <w:r w:rsidR="0009145A" w:rsidRPr="001F504A">
        <w:rPr>
          <w:rFonts w:ascii="Arial" w:hAnsi="Arial" w:cs="Arial"/>
          <w:sz w:val="20"/>
          <w:szCs w:val="20"/>
        </w:rPr>
        <w:t xml:space="preserve">. There is little or no time for self-care. </w:t>
      </w:r>
      <w:r w:rsidR="004E6A75" w:rsidRPr="001F504A">
        <w:rPr>
          <w:rFonts w:ascii="Arial" w:hAnsi="Arial" w:cs="Arial"/>
          <w:sz w:val="20"/>
          <w:szCs w:val="20"/>
        </w:rPr>
        <w:t xml:space="preserve"> This leads to us</w:t>
      </w:r>
      <w:r w:rsidR="0009145A" w:rsidRPr="001F504A">
        <w:rPr>
          <w:rFonts w:ascii="Arial" w:hAnsi="Arial" w:cs="Arial"/>
          <w:sz w:val="20"/>
          <w:szCs w:val="20"/>
        </w:rPr>
        <w:t xml:space="preserve"> unknowingly compromis</w:t>
      </w:r>
      <w:r w:rsidR="004E6A75" w:rsidRPr="001F504A">
        <w:rPr>
          <w:rFonts w:ascii="Arial" w:hAnsi="Arial" w:cs="Arial"/>
          <w:sz w:val="20"/>
          <w:szCs w:val="20"/>
        </w:rPr>
        <w:t>ing</w:t>
      </w:r>
      <w:r w:rsidR="0009145A" w:rsidRPr="001F504A">
        <w:rPr>
          <w:rFonts w:ascii="Arial" w:hAnsi="Arial" w:cs="Arial"/>
          <w:sz w:val="20"/>
          <w:szCs w:val="20"/>
        </w:rPr>
        <w:t xml:space="preserve"> on our daily nutritional intake. </w:t>
      </w:r>
      <w:r w:rsidR="004E6A75" w:rsidRPr="001F504A">
        <w:rPr>
          <w:rFonts w:ascii="Arial" w:hAnsi="Arial" w:cs="Arial"/>
          <w:sz w:val="20"/>
          <w:szCs w:val="20"/>
        </w:rPr>
        <w:t xml:space="preserve">This wholesome tonic from India’s leading Vitamins Company, Procter &amp; Gamble Health Limited will help enable families to </w:t>
      </w:r>
      <w:r w:rsidR="0009145A" w:rsidRPr="001F504A">
        <w:rPr>
          <w:rFonts w:ascii="Arial" w:hAnsi="Arial" w:cs="Arial"/>
          <w:sz w:val="20"/>
          <w:szCs w:val="20"/>
        </w:rPr>
        <w:t xml:space="preserve">take a step towards healthier self </w:t>
      </w:r>
      <w:r w:rsidR="004E6A75" w:rsidRPr="001F504A">
        <w:rPr>
          <w:rFonts w:ascii="Arial" w:hAnsi="Arial" w:cs="Arial"/>
          <w:sz w:val="20"/>
          <w:szCs w:val="20"/>
        </w:rPr>
        <w:t>and</w:t>
      </w:r>
      <w:r w:rsidR="0009145A" w:rsidRPr="001F504A">
        <w:rPr>
          <w:rFonts w:ascii="Arial" w:hAnsi="Arial" w:cs="Arial"/>
          <w:sz w:val="20"/>
          <w:szCs w:val="20"/>
        </w:rPr>
        <w:t xml:space="preserve"> cope with the demands of </w:t>
      </w:r>
      <w:r w:rsidR="004E6A75" w:rsidRPr="001F504A">
        <w:rPr>
          <w:rFonts w:ascii="Arial" w:hAnsi="Arial" w:cs="Arial"/>
          <w:sz w:val="20"/>
          <w:szCs w:val="20"/>
        </w:rPr>
        <w:t xml:space="preserve">our </w:t>
      </w:r>
      <w:r w:rsidR="0009145A" w:rsidRPr="001F504A">
        <w:rPr>
          <w:rFonts w:ascii="Arial" w:hAnsi="Arial" w:cs="Arial"/>
          <w:sz w:val="20"/>
          <w:szCs w:val="20"/>
        </w:rPr>
        <w:t>daily schedule</w:t>
      </w:r>
      <w:r w:rsidR="004E6A75" w:rsidRPr="001F504A">
        <w:rPr>
          <w:rFonts w:ascii="Arial" w:hAnsi="Arial" w:cs="Arial"/>
          <w:sz w:val="20"/>
          <w:szCs w:val="20"/>
        </w:rPr>
        <w:t>s.”</w:t>
      </w:r>
    </w:p>
    <w:p w14:paraId="3CE99EF0" w14:textId="6C367A98" w:rsidR="005D187B" w:rsidRDefault="005D187B" w:rsidP="0099485B">
      <w:pPr>
        <w:pBdr>
          <w:top w:val="nil"/>
          <w:left w:val="nil"/>
          <w:bottom w:val="nil"/>
          <w:right w:val="nil"/>
          <w:between w:val="nil"/>
        </w:pBdr>
        <w:spacing w:after="0" w:line="276" w:lineRule="auto"/>
        <w:ind w:right="695"/>
        <w:jc w:val="both"/>
        <w:rPr>
          <w:rFonts w:ascii="Arial" w:hAnsi="Arial" w:cs="Arial"/>
          <w:sz w:val="20"/>
          <w:szCs w:val="20"/>
        </w:rPr>
      </w:pPr>
    </w:p>
    <w:p w14:paraId="010A0F76" w14:textId="79FFD2A4" w:rsidR="00FA6A89" w:rsidRDefault="00FA6A89" w:rsidP="0099485B">
      <w:pPr>
        <w:pBdr>
          <w:top w:val="nil"/>
          <w:left w:val="nil"/>
          <w:bottom w:val="nil"/>
          <w:right w:val="nil"/>
          <w:between w:val="nil"/>
        </w:pBdr>
        <w:spacing w:after="0" w:line="276" w:lineRule="auto"/>
        <w:ind w:right="695"/>
        <w:jc w:val="both"/>
        <w:rPr>
          <w:rFonts w:ascii="Arial" w:hAnsi="Arial" w:cs="Arial"/>
          <w:sz w:val="20"/>
          <w:szCs w:val="20"/>
        </w:rPr>
      </w:pPr>
    </w:p>
    <w:p w14:paraId="6640E74C" w14:textId="62F62E71" w:rsidR="00FA6A89" w:rsidRDefault="00FA6A89" w:rsidP="0099485B">
      <w:pPr>
        <w:pBdr>
          <w:top w:val="nil"/>
          <w:left w:val="nil"/>
          <w:bottom w:val="nil"/>
          <w:right w:val="nil"/>
          <w:between w:val="nil"/>
        </w:pBdr>
        <w:spacing w:after="0" w:line="276" w:lineRule="auto"/>
        <w:ind w:right="695"/>
        <w:jc w:val="both"/>
        <w:rPr>
          <w:rFonts w:ascii="Arial" w:hAnsi="Arial" w:cs="Arial"/>
          <w:sz w:val="20"/>
          <w:szCs w:val="20"/>
        </w:rPr>
      </w:pPr>
    </w:p>
    <w:p w14:paraId="19608B1B" w14:textId="27C54D6C" w:rsidR="00FA6A89" w:rsidRDefault="00FA6A89" w:rsidP="0099485B">
      <w:pPr>
        <w:pBdr>
          <w:top w:val="nil"/>
          <w:left w:val="nil"/>
          <w:bottom w:val="nil"/>
          <w:right w:val="nil"/>
          <w:between w:val="nil"/>
        </w:pBdr>
        <w:spacing w:after="0" w:line="276" w:lineRule="auto"/>
        <w:ind w:right="695"/>
        <w:jc w:val="both"/>
        <w:rPr>
          <w:rFonts w:ascii="Arial" w:hAnsi="Arial" w:cs="Arial"/>
          <w:sz w:val="20"/>
          <w:szCs w:val="20"/>
        </w:rPr>
      </w:pPr>
    </w:p>
    <w:p w14:paraId="5737EE11" w14:textId="77777777" w:rsidR="00FA6A89" w:rsidRDefault="00FA6A89" w:rsidP="0099485B">
      <w:pPr>
        <w:pBdr>
          <w:top w:val="nil"/>
          <w:left w:val="nil"/>
          <w:bottom w:val="nil"/>
          <w:right w:val="nil"/>
          <w:between w:val="nil"/>
        </w:pBdr>
        <w:spacing w:after="0" w:line="276" w:lineRule="auto"/>
        <w:ind w:right="695"/>
        <w:jc w:val="both"/>
        <w:rPr>
          <w:rFonts w:ascii="Arial" w:hAnsi="Arial" w:cs="Arial"/>
          <w:sz w:val="20"/>
          <w:szCs w:val="20"/>
        </w:rPr>
      </w:pPr>
    </w:p>
    <w:p w14:paraId="69D759BB" w14:textId="77777777" w:rsidR="005D187B" w:rsidRDefault="005D187B" w:rsidP="0099485B">
      <w:pPr>
        <w:pBdr>
          <w:top w:val="nil"/>
          <w:left w:val="nil"/>
          <w:bottom w:val="nil"/>
          <w:right w:val="nil"/>
          <w:between w:val="nil"/>
        </w:pBdr>
        <w:spacing w:after="0" w:line="276" w:lineRule="auto"/>
        <w:ind w:right="695"/>
        <w:jc w:val="both"/>
        <w:rPr>
          <w:rFonts w:ascii="Arial" w:hAnsi="Arial" w:cs="Arial"/>
          <w:sz w:val="20"/>
          <w:szCs w:val="20"/>
        </w:rPr>
      </w:pPr>
    </w:p>
    <w:tbl>
      <w:tblPr>
        <w:tblStyle w:val="TableGrid"/>
        <w:tblW w:w="10456" w:type="dxa"/>
        <w:tblLook w:val="04A0" w:firstRow="1" w:lastRow="0" w:firstColumn="1" w:lastColumn="0" w:noHBand="0" w:noVBand="1"/>
      </w:tblPr>
      <w:tblGrid>
        <w:gridCol w:w="5524"/>
        <w:gridCol w:w="4932"/>
      </w:tblGrid>
      <w:tr w:rsidR="006C6209" w:rsidRPr="007A2668" w14:paraId="0165BB2B" w14:textId="458D51D3" w:rsidTr="006C6209">
        <w:tc>
          <w:tcPr>
            <w:tcW w:w="5524" w:type="dxa"/>
            <w:shd w:val="clear" w:color="auto" w:fill="auto"/>
          </w:tcPr>
          <w:p w14:paraId="7AF80518" w14:textId="43D9B0D8" w:rsidR="006C6209" w:rsidRPr="006C6209" w:rsidRDefault="006C6209" w:rsidP="006C6209">
            <w:pPr>
              <w:pBdr>
                <w:top w:val="nil"/>
                <w:left w:val="nil"/>
                <w:bottom w:val="nil"/>
                <w:right w:val="nil"/>
                <w:between w:val="nil"/>
              </w:pBdr>
              <w:spacing w:line="276" w:lineRule="auto"/>
              <w:ind w:right="695"/>
              <w:rPr>
                <w:rFonts w:ascii="Arial" w:hAnsi="Arial" w:cs="Arial"/>
                <w:b/>
                <w:i/>
                <w:color w:val="4472C4" w:themeColor="accent1"/>
                <w:sz w:val="20"/>
                <w:szCs w:val="20"/>
              </w:rPr>
            </w:pPr>
            <w:r w:rsidRPr="006C6209">
              <w:rPr>
                <w:rFonts w:ascii="Arial" w:hAnsi="Arial" w:cs="Arial"/>
                <w:b/>
                <w:i/>
                <w:color w:val="4472C4" w:themeColor="accent1"/>
                <w:sz w:val="20"/>
                <w:szCs w:val="20"/>
              </w:rPr>
              <w:lastRenderedPageBreak/>
              <w:t>New Livogen Multivitamin Tonic (</w:t>
            </w:r>
            <w:r w:rsidRPr="006C6209">
              <w:rPr>
                <w:rFonts w:ascii="Arial" w:hAnsi="Arial" w:cs="Arial"/>
                <w:b/>
                <w:color w:val="4472C4" w:themeColor="accent1"/>
                <w:sz w:val="20"/>
                <w:szCs w:val="20"/>
              </w:rPr>
              <w:t>Adult tonic</w:t>
            </w:r>
            <w:r w:rsidRPr="006C6209">
              <w:rPr>
                <w:rFonts w:ascii="Arial" w:hAnsi="Arial" w:cs="Arial"/>
                <w:color w:val="4472C4" w:themeColor="accent1"/>
                <w:sz w:val="20"/>
                <w:szCs w:val="20"/>
              </w:rPr>
              <w:t xml:space="preserve"> and </w:t>
            </w:r>
            <w:r w:rsidRPr="006C6209">
              <w:rPr>
                <w:rFonts w:ascii="Arial" w:hAnsi="Arial" w:cs="Arial"/>
                <w:b/>
                <w:color w:val="4472C4" w:themeColor="accent1"/>
                <w:sz w:val="20"/>
                <w:szCs w:val="20"/>
              </w:rPr>
              <w:t>Kid’s syrup</w:t>
            </w:r>
            <w:r w:rsidRPr="006C6209">
              <w:rPr>
                <w:rFonts w:ascii="Arial" w:hAnsi="Arial" w:cs="Arial"/>
                <w:b/>
                <w:i/>
                <w:color w:val="4472C4" w:themeColor="accent1"/>
                <w:sz w:val="20"/>
                <w:szCs w:val="20"/>
              </w:rPr>
              <w:t>)</w:t>
            </w:r>
            <w:r>
              <w:rPr>
                <w:rFonts w:ascii="Arial" w:hAnsi="Arial" w:cs="Arial"/>
                <w:b/>
                <w:i/>
                <w:color w:val="4472C4" w:themeColor="accent1"/>
                <w:sz w:val="20"/>
                <w:szCs w:val="20"/>
              </w:rPr>
              <w:t xml:space="preserve"> </w:t>
            </w:r>
            <w:r w:rsidRPr="006C6209">
              <w:rPr>
                <w:rFonts w:ascii="Arial" w:hAnsi="Arial" w:cs="Arial"/>
                <w:i/>
                <w:color w:val="4472C4" w:themeColor="accent1"/>
                <w:sz w:val="20"/>
                <w:szCs w:val="20"/>
              </w:rPr>
              <w:t>contains the following nine essential nutrients:</w:t>
            </w:r>
          </w:p>
          <w:p w14:paraId="4BBE22B0" w14:textId="77777777" w:rsidR="006C6209" w:rsidRDefault="006C6209" w:rsidP="006C6209">
            <w:pPr>
              <w:pBdr>
                <w:top w:val="nil"/>
                <w:left w:val="nil"/>
                <w:bottom w:val="nil"/>
                <w:right w:val="nil"/>
                <w:between w:val="nil"/>
              </w:pBdr>
              <w:spacing w:line="276" w:lineRule="auto"/>
              <w:ind w:right="695"/>
              <w:rPr>
                <w:rFonts w:ascii="Arial" w:hAnsi="Arial" w:cs="Arial"/>
                <w:i/>
                <w:color w:val="4472C4" w:themeColor="accent1"/>
                <w:sz w:val="20"/>
                <w:szCs w:val="20"/>
              </w:rPr>
            </w:pPr>
          </w:p>
          <w:p w14:paraId="17FA12DA" w14:textId="209A7238"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color w:val="4472C4" w:themeColor="accent1"/>
                <w:sz w:val="20"/>
                <w:szCs w:val="20"/>
              </w:rPr>
              <w:t>I</w:t>
            </w:r>
            <w:r w:rsidRPr="007A2668">
              <w:rPr>
                <w:rFonts w:ascii="Arial" w:hAnsi="Arial" w:cs="Arial"/>
                <w:b/>
                <w:color w:val="4472C4" w:themeColor="accent1"/>
                <w:sz w:val="20"/>
                <w:szCs w:val="20"/>
              </w:rPr>
              <w:t>ron</w:t>
            </w:r>
            <w:r w:rsidRPr="007A2668">
              <w:rPr>
                <w:rFonts w:ascii="Arial" w:hAnsi="Arial" w:cs="Arial"/>
                <w:color w:val="4472C4" w:themeColor="accent1"/>
                <w:sz w:val="20"/>
                <w:szCs w:val="20"/>
              </w:rPr>
              <w:t xml:space="preserve"> – improves strength and agility</w:t>
            </w:r>
            <w:r w:rsidR="00870D85">
              <w:rPr>
                <w:rFonts w:ascii="Arial" w:hAnsi="Arial" w:cs="Arial"/>
                <w:color w:val="4472C4" w:themeColor="accent1"/>
                <w:sz w:val="20"/>
                <w:szCs w:val="20"/>
                <w:vertAlign w:val="superscript"/>
              </w:rPr>
              <w:t>1</w:t>
            </w:r>
          </w:p>
          <w:p w14:paraId="6FB1F76E" w14:textId="601C7F45"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b/>
                <w:color w:val="4472C4" w:themeColor="accent1"/>
                <w:sz w:val="20"/>
                <w:szCs w:val="20"/>
              </w:rPr>
              <w:t>Vitamin B12</w:t>
            </w:r>
            <w:r w:rsidRPr="007A2668">
              <w:rPr>
                <w:rFonts w:ascii="Arial" w:hAnsi="Arial" w:cs="Arial"/>
                <w:color w:val="4472C4" w:themeColor="accent1"/>
                <w:sz w:val="20"/>
                <w:szCs w:val="20"/>
              </w:rPr>
              <w:t xml:space="preserve"> – fights fatigue and weakness</w:t>
            </w:r>
            <w:r w:rsidR="00870D85">
              <w:rPr>
                <w:rFonts w:ascii="Arial" w:hAnsi="Arial" w:cs="Arial"/>
                <w:color w:val="4472C4" w:themeColor="accent1"/>
                <w:sz w:val="20"/>
                <w:szCs w:val="20"/>
                <w:vertAlign w:val="superscript"/>
              </w:rPr>
              <w:t>2</w:t>
            </w:r>
          </w:p>
          <w:p w14:paraId="196E26AF" w14:textId="2862747A"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b/>
                <w:color w:val="4472C4" w:themeColor="accent1"/>
                <w:sz w:val="20"/>
                <w:szCs w:val="20"/>
              </w:rPr>
              <w:t>Vitamin B6</w:t>
            </w:r>
            <w:r w:rsidRPr="007A2668">
              <w:rPr>
                <w:rFonts w:ascii="Arial" w:hAnsi="Arial" w:cs="Arial"/>
                <w:color w:val="4472C4" w:themeColor="accent1"/>
                <w:sz w:val="20"/>
                <w:szCs w:val="20"/>
              </w:rPr>
              <w:t xml:space="preserve"> – helps in brain function</w:t>
            </w:r>
            <w:r w:rsidR="00870D85">
              <w:rPr>
                <w:rFonts w:ascii="Arial" w:hAnsi="Arial" w:cs="Arial"/>
                <w:color w:val="4472C4" w:themeColor="accent1"/>
                <w:sz w:val="20"/>
                <w:szCs w:val="20"/>
                <w:vertAlign w:val="superscript"/>
              </w:rPr>
              <w:t>2</w:t>
            </w:r>
          </w:p>
          <w:p w14:paraId="31CEB475" w14:textId="641B2DCE"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b/>
                <w:color w:val="4472C4" w:themeColor="accent1"/>
                <w:sz w:val="20"/>
                <w:szCs w:val="20"/>
              </w:rPr>
              <w:t>Vitamin B3</w:t>
            </w:r>
            <w:r w:rsidRPr="007A2668">
              <w:rPr>
                <w:rFonts w:ascii="Arial" w:hAnsi="Arial" w:cs="Arial"/>
                <w:color w:val="4472C4" w:themeColor="accent1"/>
                <w:sz w:val="20"/>
                <w:szCs w:val="20"/>
              </w:rPr>
              <w:t xml:space="preserve"> – helps in metabolism</w:t>
            </w:r>
            <w:r w:rsidR="00870D85">
              <w:rPr>
                <w:rFonts w:ascii="Arial" w:hAnsi="Arial" w:cs="Arial"/>
                <w:color w:val="4472C4" w:themeColor="accent1"/>
                <w:sz w:val="20"/>
                <w:szCs w:val="20"/>
                <w:vertAlign w:val="superscript"/>
              </w:rPr>
              <w:t>2</w:t>
            </w:r>
          </w:p>
          <w:p w14:paraId="61EDBEC6" w14:textId="01B92E9A" w:rsidR="006C6209" w:rsidRPr="006C6209" w:rsidRDefault="006C6209" w:rsidP="006C6209">
            <w:pPr>
              <w:pStyle w:val="ListParagraph"/>
              <w:numPr>
                <w:ilvl w:val="0"/>
                <w:numId w:val="5"/>
              </w:numPr>
              <w:pBdr>
                <w:top w:val="nil"/>
                <w:left w:val="nil"/>
                <w:bottom w:val="nil"/>
                <w:right w:val="nil"/>
                <w:between w:val="nil"/>
              </w:pBdr>
              <w:spacing w:line="276" w:lineRule="auto"/>
              <w:ind w:right="695"/>
              <w:rPr>
                <w:rFonts w:ascii="Arial" w:eastAsia="Arial" w:hAnsi="Arial" w:cs="Arial"/>
                <w:color w:val="4472C4" w:themeColor="accent1"/>
                <w:sz w:val="20"/>
                <w:szCs w:val="20"/>
              </w:rPr>
            </w:pPr>
            <w:r w:rsidRPr="007A2668">
              <w:rPr>
                <w:rFonts w:ascii="Arial" w:hAnsi="Arial" w:cs="Arial"/>
                <w:b/>
                <w:color w:val="4472C4" w:themeColor="accent1"/>
                <w:sz w:val="20"/>
                <w:szCs w:val="20"/>
              </w:rPr>
              <w:t>Vitamin B5</w:t>
            </w:r>
            <w:r w:rsidRPr="007A2668">
              <w:rPr>
                <w:rFonts w:ascii="Arial" w:hAnsi="Arial" w:cs="Arial"/>
                <w:color w:val="4472C4" w:themeColor="accent1"/>
                <w:sz w:val="20"/>
                <w:szCs w:val="20"/>
              </w:rPr>
              <w:t xml:space="preserve"> – helps in energy production</w:t>
            </w:r>
            <w:r w:rsidR="00870D85">
              <w:rPr>
                <w:rFonts w:ascii="Arial" w:hAnsi="Arial" w:cs="Arial"/>
                <w:color w:val="4472C4" w:themeColor="accent1"/>
                <w:sz w:val="20"/>
                <w:szCs w:val="20"/>
                <w:vertAlign w:val="superscript"/>
              </w:rPr>
              <w:t>2</w:t>
            </w:r>
          </w:p>
          <w:p w14:paraId="78BC9CB3" w14:textId="37E43C7C"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b/>
                <w:color w:val="4472C4" w:themeColor="accent1"/>
                <w:sz w:val="20"/>
                <w:szCs w:val="20"/>
              </w:rPr>
              <w:t>Folic Acid</w:t>
            </w:r>
            <w:r w:rsidRPr="007A2668">
              <w:rPr>
                <w:rFonts w:ascii="Arial" w:hAnsi="Arial" w:cs="Arial"/>
                <w:color w:val="4472C4" w:themeColor="accent1"/>
                <w:sz w:val="20"/>
                <w:szCs w:val="20"/>
              </w:rPr>
              <w:t xml:space="preserve"> – helps in new cell formation</w:t>
            </w:r>
            <w:r w:rsidR="00870D85">
              <w:rPr>
                <w:rFonts w:ascii="Arial" w:hAnsi="Arial" w:cs="Arial"/>
                <w:color w:val="4472C4" w:themeColor="accent1"/>
                <w:sz w:val="20"/>
                <w:szCs w:val="20"/>
                <w:vertAlign w:val="superscript"/>
              </w:rPr>
              <w:t>3</w:t>
            </w:r>
          </w:p>
          <w:p w14:paraId="76D47902" w14:textId="49F13C02"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b/>
                <w:color w:val="4472C4" w:themeColor="accent1"/>
                <w:sz w:val="20"/>
                <w:szCs w:val="20"/>
              </w:rPr>
              <w:t>Protein hydrolysate</w:t>
            </w:r>
            <w:r w:rsidRPr="007A2668">
              <w:rPr>
                <w:rFonts w:ascii="Arial" w:hAnsi="Arial" w:cs="Arial"/>
                <w:color w:val="4472C4" w:themeColor="accent1"/>
                <w:sz w:val="20"/>
                <w:szCs w:val="20"/>
              </w:rPr>
              <w:t xml:space="preserve"> – enhances tissue repair</w:t>
            </w:r>
            <w:r w:rsidR="00870D85">
              <w:rPr>
                <w:rFonts w:ascii="Arial" w:hAnsi="Arial" w:cs="Arial"/>
                <w:color w:val="4472C4" w:themeColor="accent1"/>
                <w:sz w:val="20"/>
                <w:szCs w:val="20"/>
                <w:vertAlign w:val="superscript"/>
              </w:rPr>
              <w:t>4</w:t>
            </w:r>
          </w:p>
          <w:p w14:paraId="503336D7" w14:textId="034B741B"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b/>
                <w:color w:val="4472C4" w:themeColor="accent1"/>
                <w:sz w:val="20"/>
                <w:szCs w:val="20"/>
              </w:rPr>
              <w:t>Zinc</w:t>
            </w:r>
            <w:r w:rsidRPr="007A2668">
              <w:rPr>
                <w:rFonts w:ascii="Arial" w:hAnsi="Arial" w:cs="Arial"/>
                <w:color w:val="4472C4" w:themeColor="accent1"/>
                <w:sz w:val="20"/>
                <w:szCs w:val="20"/>
              </w:rPr>
              <w:t xml:space="preserve"> – </w:t>
            </w:r>
            <w:r w:rsidR="00B34D5E" w:rsidRPr="00B34D5E">
              <w:rPr>
                <w:rFonts w:ascii="Arial" w:hAnsi="Arial" w:cs="Arial"/>
                <w:color w:val="4472C4" w:themeColor="accent1"/>
                <w:sz w:val="20"/>
                <w:szCs w:val="20"/>
              </w:rPr>
              <w:t>supports healthy immunity</w:t>
            </w:r>
            <w:r w:rsidR="00870D85">
              <w:rPr>
                <w:rFonts w:ascii="Arial" w:hAnsi="Arial" w:cs="Arial"/>
                <w:color w:val="4472C4" w:themeColor="accent1"/>
                <w:sz w:val="20"/>
                <w:szCs w:val="20"/>
                <w:vertAlign w:val="superscript"/>
              </w:rPr>
              <w:t>5</w:t>
            </w:r>
          </w:p>
          <w:p w14:paraId="57CBAC59" w14:textId="08BEDFB9" w:rsidR="006C6209" w:rsidRPr="007A2668" w:rsidRDefault="006C6209" w:rsidP="006C6209">
            <w:pPr>
              <w:pStyle w:val="ListParagraph"/>
              <w:numPr>
                <w:ilvl w:val="0"/>
                <w:numId w:val="5"/>
              </w:numPr>
              <w:pBdr>
                <w:top w:val="nil"/>
                <w:left w:val="nil"/>
                <w:bottom w:val="nil"/>
                <w:right w:val="nil"/>
                <w:between w:val="nil"/>
              </w:pBdr>
              <w:spacing w:line="276" w:lineRule="auto"/>
              <w:ind w:right="695"/>
              <w:rPr>
                <w:rFonts w:ascii="Arial" w:hAnsi="Arial" w:cs="Arial"/>
                <w:color w:val="4472C4" w:themeColor="accent1"/>
                <w:sz w:val="20"/>
                <w:szCs w:val="20"/>
              </w:rPr>
            </w:pPr>
            <w:r w:rsidRPr="007A2668">
              <w:rPr>
                <w:rFonts w:ascii="Arial" w:hAnsi="Arial" w:cs="Arial"/>
                <w:b/>
                <w:color w:val="4472C4" w:themeColor="accent1"/>
                <w:sz w:val="20"/>
                <w:szCs w:val="20"/>
              </w:rPr>
              <w:t>L-Lysine</w:t>
            </w:r>
            <w:r w:rsidRPr="007A2668">
              <w:rPr>
                <w:rFonts w:ascii="Arial" w:hAnsi="Arial" w:cs="Arial"/>
                <w:color w:val="4472C4" w:themeColor="accent1"/>
                <w:sz w:val="20"/>
                <w:szCs w:val="20"/>
              </w:rPr>
              <w:t xml:space="preserve"> – </w:t>
            </w:r>
            <w:r w:rsidR="00B34D5E" w:rsidRPr="00B34D5E">
              <w:rPr>
                <w:rFonts w:ascii="Arial" w:hAnsi="Arial" w:cs="Arial"/>
                <w:color w:val="4472C4" w:themeColor="accent1"/>
                <w:sz w:val="20"/>
                <w:szCs w:val="20"/>
              </w:rPr>
              <w:t xml:space="preserve">stimulates </w:t>
            </w:r>
            <w:r w:rsidRPr="007A2668">
              <w:rPr>
                <w:rFonts w:ascii="Arial" w:hAnsi="Arial" w:cs="Arial"/>
                <w:color w:val="4472C4" w:themeColor="accent1"/>
                <w:sz w:val="20"/>
                <w:szCs w:val="20"/>
              </w:rPr>
              <w:t>appetite</w:t>
            </w:r>
            <w:r w:rsidR="00870D85">
              <w:rPr>
                <w:rFonts w:ascii="Arial" w:hAnsi="Arial" w:cs="Arial"/>
                <w:color w:val="4472C4" w:themeColor="accent1"/>
                <w:sz w:val="20"/>
                <w:szCs w:val="20"/>
                <w:vertAlign w:val="superscript"/>
              </w:rPr>
              <w:t>6</w:t>
            </w:r>
            <w:r w:rsidRPr="007A2668">
              <w:rPr>
                <w:rFonts w:ascii="Arial" w:hAnsi="Arial" w:cs="Arial"/>
                <w:color w:val="4472C4" w:themeColor="accent1"/>
                <w:sz w:val="20"/>
                <w:szCs w:val="20"/>
              </w:rPr>
              <w:t>.</w:t>
            </w:r>
          </w:p>
          <w:p w14:paraId="3AEBC15C" w14:textId="31FE9765" w:rsidR="006C6209" w:rsidRPr="006C6209" w:rsidRDefault="006C6209" w:rsidP="006C6209">
            <w:pPr>
              <w:pBdr>
                <w:top w:val="nil"/>
                <w:left w:val="nil"/>
                <w:bottom w:val="nil"/>
                <w:right w:val="nil"/>
                <w:between w:val="nil"/>
              </w:pBdr>
              <w:spacing w:line="276" w:lineRule="auto"/>
              <w:ind w:right="695"/>
              <w:rPr>
                <w:rFonts w:ascii="Arial" w:hAnsi="Arial" w:cs="Arial"/>
                <w:i/>
                <w:color w:val="4472C4" w:themeColor="accent1"/>
                <w:sz w:val="20"/>
                <w:szCs w:val="20"/>
              </w:rPr>
            </w:pPr>
          </w:p>
        </w:tc>
        <w:tc>
          <w:tcPr>
            <w:tcW w:w="4932" w:type="dxa"/>
          </w:tcPr>
          <w:p w14:paraId="3AFA63BB" w14:textId="77777777" w:rsidR="006C6209" w:rsidRDefault="006C6209" w:rsidP="006C6209">
            <w:pPr>
              <w:pBdr>
                <w:top w:val="nil"/>
                <w:left w:val="nil"/>
                <w:bottom w:val="nil"/>
                <w:right w:val="nil"/>
                <w:between w:val="nil"/>
              </w:pBdr>
              <w:spacing w:line="276" w:lineRule="auto"/>
              <w:ind w:right="695"/>
              <w:rPr>
                <w:rFonts w:ascii="Arial" w:hAnsi="Arial" w:cs="Arial"/>
                <w:i/>
                <w:color w:val="4472C4" w:themeColor="accent1"/>
                <w:sz w:val="20"/>
                <w:szCs w:val="20"/>
              </w:rPr>
            </w:pPr>
            <w:r w:rsidRPr="006C6209">
              <w:rPr>
                <w:rFonts w:ascii="Arial" w:hAnsi="Arial" w:cs="Arial"/>
                <w:b/>
                <w:i/>
                <w:color w:val="4472C4" w:themeColor="accent1"/>
                <w:sz w:val="20"/>
                <w:szCs w:val="20"/>
              </w:rPr>
              <w:t>New Livogen Multivitamin Tonic (</w:t>
            </w:r>
            <w:r w:rsidRPr="006C6209">
              <w:rPr>
                <w:rFonts w:ascii="Arial" w:hAnsi="Arial" w:cs="Arial"/>
                <w:b/>
                <w:color w:val="4472C4" w:themeColor="accent1"/>
                <w:sz w:val="20"/>
                <w:szCs w:val="20"/>
              </w:rPr>
              <w:t>Baby Drops</w:t>
            </w:r>
            <w:r w:rsidRPr="006C6209">
              <w:rPr>
                <w:rFonts w:ascii="Arial" w:hAnsi="Arial" w:cs="Arial"/>
                <w:b/>
                <w:i/>
                <w:color w:val="4472C4" w:themeColor="accent1"/>
                <w:sz w:val="20"/>
                <w:szCs w:val="20"/>
              </w:rPr>
              <w:t xml:space="preserve">) </w:t>
            </w:r>
            <w:r w:rsidRPr="006C6209">
              <w:rPr>
                <w:rFonts w:ascii="Arial" w:hAnsi="Arial" w:cs="Arial"/>
                <w:i/>
                <w:color w:val="4472C4" w:themeColor="accent1"/>
                <w:sz w:val="20"/>
                <w:szCs w:val="20"/>
              </w:rPr>
              <w:t>contains:</w:t>
            </w:r>
          </w:p>
          <w:p w14:paraId="06163800" w14:textId="2465FF76" w:rsidR="006C6209" w:rsidRDefault="006C6209" w:rsidP="006C6209">
            <w:pPr>
              <w:pBdr>
                <w:top w:val="nil"/>
                <w:left w:val="nil"/>
                <w:bottom w:val="nil"/>
                <w:right w:val="nil"/>
                <w:between w:val="nil"/>
              </w:pBdr>
              <w:spacing w:line="276" w:lineRule="auto"/>
              <w:ind w:right="695"/>
              <w:rPr>
                <w:rFonts w:ascii="Arial" w:hAnsi="Arial" w:cs="Arial"/>
                <w:i/>
                <w:color w:val="4472C4" w:themeColor="accent1"/>
                <w:sz w:val="20"/>
                <w:szCs w:val="20"/>
              </w:rPr>
            </w:pPr>
            <w:r>
              <w:rPr>
                <w:rFonts w:ascii="Arial" w:hAnsi="Arial" w:cs="Arial"/>
                <w:i/>
                <w:color w:val="4472C4" w:themeColor="accent1"/>
                <w:sz w:val="20"/>
                <w:szCs w:val="20"/>
              </w:rPr>
              <w:t xml:space="preserve"> </w:t>
            </w:r>
          </w:p>
          <w:p w14:paraId="780604BE" w14:textId="77777777" w:rsidR="00AC1134" w:rsidRDefault="00AC1134" w:rsidP="006C6209">
            <w:pPr>
              <w:pBdr>
                <w:top w:val="nil"/>
                <w:left w:val="nil"/>
                <w:bottom w:val="nil"/>
                <w:right w:val="nil"/>
                <w:between w:val="nil"/>
              </w:pBdr>
              <w:spacing w:line="276" w:lineRule="auto"/>
              <w:ind w:right="695"/>
              <w:rPr>
                <w:rFonts w:ascii="Arial" w:hAnsi="Arial" w:cs="Arial"/>
                <w:i/>
                <w:color w:val="4472C4" w:themeColor="accent1"/>
                <w:sz w:val="20"/>
                <w:szCs w:val="20"/>
              </w:rPr>
            </w:pPr>
          </w:p>
          <w:p w14:paraId="1D6EFF31" w14:textId="4493124D" w:rsidR="006C6209" w:rsidRDefault="006C6209" w:rsidP="006C6209">
            <w:pPr>
              <w:pStyle w:val="ListParagraph"/>
              <w:numPr>
                <w:ilvl w:val="0"/>
                <w:numId w:val="10"/>
              </w:numPr>
              <w:pBdr>
                <w:top w:val="nil"/>
                <w:left w:val="nil"/>
                <w:bottom w:val="nil"/>
                <w:right w:val="nil"/>
                <w:between w:val="nil"/>
              </w:pBdr>
              <w:spacing w:line="276" w:lineRule="auto"/>
              <w:ind w:right="695"/>
              <w:rPr>
                <w:rFonts w:ascii="Arial" w:hAnsi="Arial" w:cs="Arial"/>
                <w:i/>
                <w:color w:val="4472C4" w:themeColor="accent1"/>
                <w:sz w:val="20"/>
                <w:szCs w:val="20"/>
              </w:rPr>
            </w:pPr>
            <w:r>
              <w:rPr>
                <w:rFonts w:ascii="Arial" w:hAnsi="Arial" w:cs="Arial"/>
                <w:i/>
                <w:color w:val="4472C4" w:themeColor="accent1"/>
                <w:sz w:val="20"/>
                <w:szCs w:val="20"/>
              </w:rPr>
              <w:t>Iron</w:t>
            </w:r>
            <w:r w:rsidRPr="007A2668">
              <w:rPr>
                <w:rFonts w:ascii="Arial" w:hAnsi="Arial" w:cs="Arial"/>
                <w:color w:val="4472C4" w:themeColor="accent1"/>
                <w:sz w:val="20"/>
                <w:szCs w:val="20"/>
              </w:rPr>
              <w:t>– improves strength and agility</w:t>
            </w:r>
            <w:r w:rsidR="000B7423">
              <w:rPr>
                <w:rFonts w:ascii="Arial" w:hAnsi="Arial" w:cs="Arial"/>
                <w:color w:val="4472C4" w:themeColor="accent1"/>
                <w:sz w:val="20"/>
                <w:szCs w:val="20"/>
                <w:vertAlign w:val="superscript"/>
              </w:rPr>
              <w:t>1</w:t>
            </w:r>
          </w:p>
          <w:p w14:paraId="4640AE34" w14:textId="32249EAA" w:rsidR="006C6209" w:rsidRPr="00890667" w:rsidRDefault="006C6209" w:rsidP="006C6209">
            <w:pPr>
              <w:pStyle w:val="ListParagraph"/>
              <w:numPr>
                <w:ilvl w:val="0"/>
                <w:numId w:val="10"/>
              </w:numPr>
              <w:pBdr>
                <w:top w:val="nil"/>
                <w:left w:val="nil"/>
                <w:bottom w:val="nil"/>
                <w:right w:val="nil"/>
                <w:between w:val="nil"/>
              </w:pBdr>
              <w:spacing w:line="276" w:lineRule="auto"/>
              <w:ind w:right="695"/>
              <w:rPr>
                <w:rFonts w:ascii="Arial" w:hAnsi="Arial" w:cs="Arial"/>
                <w:i/>
                <w:color w:val="4472C4" w:themeColor="accent1"/>
                <w:sz w:val="20"/>
                <w:szCs w:val="20"/>
              </w:rPr>
            </w:pPr>
            <w:r>
              <w:rPr>
                <w:rFonts w:ascii="Arial" w:hAnsi="Arial" w:cs="Arial"/>
                <w:i/>
                <w:color w:val="4472C4" w:themeColor="accent1"/>
                <w:sz w:val="20"/>
                <w:szCs w:val="20"/>
              </w:rPr>
              <w:t>Folic Acid</w:t>
            </w:r>
            <w:r w:rsidRPr="007A2668">
              <w:rPr>
                <w:rFonts w:ascii="Arial" w:hAnsi="Arial" w:cs="Arial"/>
                <w:color w:val="4472C4" w:themeColor="accent1"/>
                <w:sz w:val="20"/>
                <w:szCs w:val="20"/>
              </w:rPr>
              <w:t xml:space="preserve"> – helps in new cell formation</w:t>
            </w:r>
            <w:r w:rsidR="000B7423">
              <w:rPr>
                <w:rFonts w:ascii="Arial" w:hAnsi="Arial" w:cs="Arial"/>
                <w:color w:val="4472C4" w:themeColor="accent1"/>
                <w:sz w:val="20"/>
                <w:szCs w:val="20"/>
                <w:vertAlign w:val="superscript"/>
              </w:rPr>
              <w:t>2</w:t>
            </w:r>
          </w:p>
          <w:p w14:paraId="5988F048" w14:textId="77777777" w:rsidR="006C6209" w:rsidRPr="006C6209" w:rsidRDefault="006C6209" w:rsidP="006C6209">
            <w:pPr>
              <w:pBdr>
                <w:top w:val="nil"/>
                <w:left w:val="nil"/>
                <w:bottom w:val="nil"/>
                <w:right w:val="nil"/>
                <w:between w:val="nil"/>
              </w:pBdr>
              <w:spacing w:line="276" w:lineRule="auto"/>
              <w:ind w:right="695"/>
              <w:jc w:val="center"/>
              <w:rPr>
                <w:rFonts w:ascii="Arial" w:hAnsi="Arial" w:cs="Arial"/>
                <w:b/>
                <w:i/>
                <w:color w:val="4472C4" w:themeColor="accent1"/>
                <w:sz w:val="20"/>
                <w:szCs w:val="20"/>
              </w:rPr>
            </w:pPr>
          </w:p>
        </w:tc>
      </w:tr>
    </w:tbl>
    <w:p w14:paraId="616BB6A6" w14:textId="77777777" w:rsidR="007A2668" w:rsidRDefault="007A2668">
      <w:pPr>
        <w:pBdr>
          <w:top w:val="nil"/>
          <w:left w:val="nil"/>
          <w:bottom w:val="nil"/>
          <w:right w:val="nil"/>
          <w:between w:val="nil"/>
        </w:pBdr>
        <w:spacing w:after="0" w:line="240" w:lineRule="auto"/>
        <w:ind w:right="695"/>
        <w:jc w:val="both"/>
        <w:rPr>
          <w:rFonts w:ascii="Arial" w:eastAsia="Arial" w:hAnsi="Arial" w:cs="Arial"/>
          <w:b/>
          <w:color w:val="000000"/>
          <w:sz w:val="18"/>
          <w:szCs w:val="18"/>
        </w:rPr>
      </w:pPr>
    </w:p>
    <w:p w14:paraId="11925BC7" w14:textId="77777777" w:rsidR="007A2668" w:rsidRDefault="007A2668">
      <w:pPr>
        <w:pBdr>
          <w:top w:val="nil"/>
          <w:left w:val="nil"/>
          <w:bottom w:val="nil"/>
          <w:right w:val="nil"/>
          <w:between w:val="nil"/>
        </w:pBdr>
        <w:spacing w:after="0" w:line="240" w:lineRule="auto"/>
        <w:ind w:right="695"/>
        <w:jc w:val="both"/>
        <w:rPr>
          <w:rFonts w:ascii="Arial" w:eastAsia="Arial" w:hAnsi="Arial" w:cs="Arial"/>
          <w:b/>
          <w:color w:val="000000"/>
          <w:sz w:val="18"/>
          <w:szCs w:val="18"/>
        </w:rPr>
      </w:pPr>
    </w:p>
    <w:p w14:paraId="36D79572" w14:textId="77777777" w:rsidR="0023595C" w:rsidRDefault="004D4144">
      <w:pPr>
        <w:pBdr>
          <w:top w:val="nil"/>
          <w:left w:val="nil"/>
          <w:bottom w:val="nil"/>
          <w:right w:val="nil"/>
          <w:between w:val="nil"/>
        </w:pBdr>
        <w:spacing w:after="0" w:line="240" w:lineRule="auto"/>
        <w:ind w:right="695"/>
        <w:jc w:val="both"/>
        <w:rPr>
          <w:rFonts w:ascii="Arial" w:eastAsia="Arial" w:hAnsi="Arial" w:cs="Arial"/>
          <w:b/>
          <w:color w:val="000000"/>
          <w:sz w:val="18"/>
          <w:szCs w:val="18"/>
        </w:rPr>
      </w:pPr>
      <w:r>
        <w:rPr>
          <w:rFonts w:ascii="Arial" w:eastAsia="Arial" w:hAnsi="Arial" w:cs="Arial"/>
          <w:b/>
          <w:color w:val="000000"/>
          <w:sz w:val="18"/>
          <w:szCs w:val="18"/>
        </w:rPr>
        <w:t>About Procter &amp; Gamble Health Limited:</w:t>
      </w:r>
    </w:p>
    <w:p w14:paraId="078CFA14" w14:textId="77777777" w:rsidR="0023595C" w:rsidRDefault="0023595C">
      <w:pPr>
        <w:pBdr>
          <w:top w:val="nil"/>
          <w:left w:val="nil"/>
          <w:bottom w:val="nil"/>
          <w:right w:val="nil"/>
          <w:between w:val="nil"/>
        </w:pBdr>
        <w:spacing w:after="0" w:line="240" w:lineRule="auto"/>
        <w:ind w:right="695"/>
        <w:jc w:val="both"/>
        <w:rPr>
          <w:rFonts w:ascii="Arial" w:eastAsia="Arial" w:hAnsi="Arial" w:cs="Arial"/>
          <w:b/>
          <w:color w:val="000000"/>
          <w:sz w:val="18"/>
          <w:szCs w:val="18"/>
        </w:rPr>
      </w:pPr>
    </w:p>
    <w:p w14:paraId="46628591" w14:textId="4984D3AA" w:rsidR="0023595C" w:rsidRDefault="004D4144">
      <w:pPr>
        <w:pBdr>
          <w:top w:val="nil"/>
          <w:left w:val="nil"/>
          <w:bottom w:val="nil"/>
          <w:right w:val="nil"/>
          <w:between w:val="nil"/>
        </w:pBdr>
        <w:spacing w:after="0" w:line="240" w:lineRule="auto"/>
        <w:ind w:right="695"/>
        <w:jc w:val="both"/>
        <w:rPr>
          <w:rFonts w:ascii="Arial" w:eastAsia="Arial" w:hAnsi="Arial" w:cs="Arial"/>
          <w:color w:val="000000"/>
          <w:sz w:val="18"/>
          <w:szCs w:val="18"/>
        </w:rPr>
      </w:pPr>
      <w:r>
        <w:rPr>
          <w:rFonts w:ascii="Arial" w:eastAsia="Arial" w:hAnsi="Arial" w:cs="Arial"/>
          <w:color w:val="000000"/>
          <w:sz w:val="18"/>
          <w:szCs w:val="18"/>
        </w:rPr>
        <w:t>Procter &amp; Gamble Health Limited (formerly Merck Limited) is one of India’s largest VMS Companies manufacturing and marketing over-the-counter products, vitamins, minerals, and supplements products for a healthy lifestyle and improved quality of life</w:t>
      </w:r>
      <w:r w:rsidR="00F57617">
        <w:rPr>
          <w:rFonts w:ascii="Arial" w:eastAsia="Arial" w:hAnsi="Arial" w:cs="Arial"/>
          <w:color w:val="000000"/>
          <w:sz w:val="18"/>
          <w:szCs w:val="18"/>
        </w:rPr>
        <w:t xml:space="preserve">. </w:t>
      </w:r>
      <w:r>
        <w:rPr>
          <w:rFonts w:ascii="Arial" w:eastAsia="Arial" w:hAnsi="Arial" w:cs="Arial"/>
          <w:color w:val="000000"/>
          <w:sz w:val="18"/>
          <w:szCs w:val="18"/>
        </w:rPr>
        <w:t xml:space="preserve">Please visit </w:t>
      </w:r>
      <w:hyperlink r:id="rId8" w:history="1">
        <w:r>
          <w:rPr>
            <w:rFonts w:ascii="Arial" w:eastAsia="Arial" w:hAnsi="Arial" w:cs="Arial"/>
            <w:color w:val="0563C1"/>
            <w:sz w:val="18"/>
            <w:szCs w:val="18"/>
            <w:u w:val="single"/>
          </w:rPr>
          <w:t>www.pghealthindia.com</w:t>
        </w:r>
      </w:hyperlink>
      <w:r>
        <w:rPr>
          <w:rFonts w:ascii="Arial" w:eastAsia="Arial" w:hAnsi="Arial" w:cs="Arial"/>
          <w:color w:val="000000"/>
          <w:sz w:val="18"/>
          <w:szCs w:val="18"/>
        </w:rPr>
        <w:t xml:space="preserve"> for the latest news and information about Procter &amp; Gamble Health Limited and its brands.</w:t>
      </w:r>
    </w:p>
    <w:p w14:paraId="4CAADD46" w14:textId="77777777" w:rsidR="0023595C" w:rsidRDefault="0023595C">
      <w:pPr>
        <w:pBdr>
          <w:top w:val="nil"/>
          <w:left w:val="nil"/>
          <w:bottom w:val="nil"/>
          <w:right w:val="nil"/>
          <w:between w:val="nil"/>
        </w:pBdr>
        <w:spacing w:after="0" w:line="240" w:lineRule="auto"/>
        <w:ind w:right="695"/>
        <w:jc w:val="both"/>
        <w:rPr>
          <w:rFonts w:ascii="Arial" w:eastAsia="Arial" w:hAnsi="Arial" w:cs="Arial"/>
          <w:color w:val="000000"/>
          <w:sz w:val="18"/>
          <w:szCs w:val="18"/>
        </w:rPr>
      </w:pPr>
    </w:p>
    <w:p w14:paraId="51F798DA" w14:textId="77777777" w:rsidR="0023595C" w:rsidRDefault="0023595C">
      <w:pPr>
        <w:pBdr>
          <w:top w:val="nil"/>
          <w:left w:val="nil"/>
          <w:bottom w:val="nil"/>
          <w:right w:val="nil"/>
          <w:between w:val="nil"/>
        </w:pBdr>
        <w:spacing w:after="0" w:line="240" w:lineRule="auto"/>
        <w:ind w:right="695"/>
        <w:jc w:val="both"/>
        <w:rPr>
          <w:rFonts w:ascii="Arial" w:eastAsia="Arial" w:hAnsi="Arial" w:cs="Arial"/>
          <w:b/>
          <w:color w:val="000000"/>
          <w:sz w:val="18"/>
          <w:szCs w:val="18"/>
        </w:rPr>
      </w:pPr>
    </w:p>
    <w:p w14:paraId="22AFB58B" w14:textId="77777777" w:rsidR="0023595C" w:rsidRDefault="004D4144">
      <w:pPr>
        <w:pBdr>
          <w:top w:val="nil"/>
          <w:left w:val="nil"/>
          <w:bottom w:val="nil"/>
          <w:right w:val="nil"/>
          <w:between w:val="nil"/>
        </w:pBdr>
        <w:spacing w:after="0" w:line="240" w:lineRule="auto"/>
        <w:ind w:right="695"/>
        <w:jc w:val="both"/>
        <w:rPr>
          <w:rFonts w:ascii="Arial" w:eastAsia="Arial" w:hAnsi="Arial" w:cs="Arial"/>
          <w:b/>
          <w:color w:val="000000"/>
          <w:sz w:val="18"/>
          <w:szCs w:val="18"/>
        </w:rPr>
      </w:pPr>
      <w:r>
        <w:rPr>
          <w:rFonts w:ascii="Arial" w:eastAsia="Arial" w:hAnsi="Arial" w:cs="Arial"/>
          <w:b/>
          <w:color w:val="000000"/>
          <w:sz w:val="18"/>
          <w:szCs w:val="18"/>
        </w:rPr>
        <w:t>About Procter &amp; Gamble:</w:t>
      </w:r>
    </w:p>
    <w:p w14:paraId="49D460E0" w14:textId="77777777" w:rsidR="0023595C" w:rsidRDefault="004D4144">
      <w:pPr>
        <w:pBdr>
          <w:top w:val="nil"/>
          <w:left w:val="nil"/>
          <w:bottom w:val="nil"/>
          <w:right w:val="nil"/>
          <w:between w:val="nil"/>
        </w:pBdr>
        <w:spacing w:after="0" w:line="240" w:lineRule="auto"/>
        <w:ind w:right="695"/>
        <w:jc w:val="both"/>
        <w:rPr>
          <w:rFonts w:ascii="Arial" w:eastAsia="Arial" w:hAnsi="Arial" w:cs="Arial"/>
          <w:color w:val="000000"/>
          <w:sz w:val="18"/>
          <w:szCs w:val="18"/>
        </w:rPr>
      </w:pPr>
      <w:r>
        <w:rPr>
          <w:rFonts w:ascii="Arial" w:eastAsia="Arial" w:hAnsi="Arial" w:cs="Arial"/>
          <w:color w:val="000000"/>
          <w:sz w:val="18"/>
          <w:szCs w:val="18"/>
        </w:rPr>
        <w:t xml:space="preserve">P&amp;G serves consumers around the world with one of the strongest portfolios of trusted, quality, leadership brands, including Always®, </w:t>
      </w:r>
      <w:proofErr w:type="spellStart"/>
      <w:r>
        <w:rPr>
          <w:rFonts w:ascii="Arial" w:eastAsia="Arial" w:hAnsi="Arial" w:cs="Arial"/>
          <w:color w:val="000000"/>
          <w:sz w:val="18"/>
          <w:szCs w:val="18"/>
        </w:rPr>
        <w:t>Ambi</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Pur</w:t>
      </w:r>
      <w:proofErr w:type="spellEnd"/>
      <w:r>
        <w:rPr>
          <w:rFonts w:ascii="Arial" w:eastAsia="Arial" w:hAnsi="Arial" w:cs="Arial"/>
          <w:color w:val="000000"/>
          <w:sz w:val="18"/>
          <w:szCs w:val="18"/>
        </w:rPr>
        <w:t xml:space="preserve">®, Ariel®, Bounty®, Charmin®, Crest®, Dawn®, Downy®, Fairy®, Febreze®, Gain®, Gillette®, Head &amp; Shoulders®, </w:t>
      </w:r>
      <w:proofErr w:type="spellStart"/>
      <w:r>
        <w:rPr>
          <w:rFonts w:ascii="Arial" w:eastAsia="Arial" w:hAnsi="Arial" w:cs="Arial"/>
          <w:color w:val="000000"/>
          <w:sz w:val="18"/>
          <w:szCs w:val="18"/>
        </w:rPr>
        <w:t>Lenor</w:t>
      </w:r>
      <w:proofErr w:type="spellEnd"/>
      <w:r>
        <w:rPr>
          <w:rFonts w:ascii="Arial" w:eastAsia="Arial" w:hAnsi="Arial" w:cs="Arial"/>
          <w:color w:val="000000"/>
          <w:sz w:val="18"/>
          <w:szCs w:val="18"/>
        </w:rPr>
        <w:t xml:space="preserve">®, Olay®, Oral-B®, Pampers®, Pantene®, SK-II®, Tide®, Vicks®, and Whisper®. The P&amp;G community includes operations in approximately 70 countries worldwide. </w:t>
      </w:r>
    </w:p>
    <w:p w14:paraId="739540DF" w14:textId="77777777" w:rsidR="0023595C" w:rsidRDefault="0023595C">
      <w:pPr>
        <w:pBdr>
          <w:top w:val="nil"/>
          <w:left w:val="nil"/>
          <w:bottom w:val="nil"/>
          <w:right w:val="nil"/>
          <w:between w:val="nil"/>
        </w:pBdr>
        <w:spacing w:after="0" w:line="240" w:lineRule="auto"/>
        <w:ind w:right="695"/>
        <w:jc w:val="both"/>
        <w:rPr>
          <w:rFonts w:ascii="Arial" w:eastAsia="Arial" w:hAnsi="Arial" w:cs="Arial"/>
          <w:color w:val="000000"/>
          <w:sz w:val="18"/>
          <w:szCs w:val="18"/>
        </w:rPr>
      </w:pPr>
    </w:p>
    <w:p w14:paraId="3FE6A080" w14:textId="77777777" w:rsidR="0023595C" w:rsidRDefault="007A2668">
      <w:pPr>
        <w:pBdr>
          <w:top w:val="nil"/>
          <w:left w:val="nil"/>
          <w:bottom w:val="nil"/>
          <w:right w:val="nil"/>
          <w:between w:val="nil"/>
        </w:pBdr>
        <w:spacing w:after="0" w:line="240" w:lineRule="auto"/>
        <w:ind w:right="695"/>
        <w:jc w:val="both"/>
        <w:rPr>
          <w:rFonts w:ascii="Arial" w:eastAsia="Arial" w:hAnsi="Arial" w:cs="Arial"/>
          <w:b/>
          <w:color w:val="92D050"/>
          <w:sz w:val="18"/>
          <w:szCs w:val="18"/>
        </w:rPr>
      </w:pPr>
      <w:r>
        <w:rPr>
          <w:rFonts w:ascii="Arial" w:eastAsia="Arial" w:hAnsi="Arial" w:cs="Arial"/>
          <w:b/>
          <w:color w:val="92D050"/>
          <w:sz w:val="18"/>
          <w:szCs w:val="18"/>
        </w:rPr>
        <w:t xml:space="preserve">MEDIA </w:t>
      </w:r>
      <w:r w:rsidR="004D4144">
        <w:rPr>
          <w:rFonts w:ascii="Arial" w:eastAsia="Arial" w:hAnsi="Arial" w:cs="Arial"/>
          <w:b/>
          <w:color w:val="92D050"/>
          <w:sz w:val="18"/>
          <w:szCs w:val="18"/>
        </w:rPr>
        <w:t>CONTACTS</w:t>
      </w:r>
    </w:p>
    <w:p w14:paraId="0DA82126" w14:textId="77777777" w:rsidR="007A2668" w:rsidRDefault="007A2668">
      <w:pPr>
        <w:pBdr>
          <w:top w:val="nil"/>
          <w:left w:val="nil"/>
          <w:bottom w:val="nil"/>
          <w:right w:val="nil"/>
          <w:between w:val="nil"/>
        </w:pBdr>
        <w:spacing w:after="0" w:line="240" w:lineRule="auto"/>
        <w:ind w:right="695"/>
        <w:jc w:val="both"/>
        <w:rPr>
          <w:rFonts w:ascii="Arial" w:eastAsia="Arial" w:hAnsi="Arial" w:cs="Arial"/>
          <w:b/>
          <w:color w:val="4472C4"/>
          <w:sz w:val="18"/>
          <w:szCs w:val="18"/>
        </w:rPr>
      </w:pPr>
    </w:p>
    <w:p w14:paraId="060C6FB2" w14:textId="77777777" w:rsidR="007A2668" w:rsidRDefault="007A2668">
      <w:pPr>
        <w:pBdr>
          <w:top w:val="nil"/>
          <w:left w:val="nil"/>
          <w:bottom w:val="nil"/>
          <w:right w:val="nil"/>
          <w:between w:val="nil"/>
        </w:pBdr>
        <w:spacing w:after="0" w:line="240" w:lineRule="auto"/>
        <w:ind w:right="695"/>
        <w:jc w:val="both"/>
        <w:rPr>
          <w:rFonts w:ascii="Arial" w:eastAsia="Arial" w:hAnsi="Arial" w:cs="Arial"/>
          <w:b/>
          <w:color w:val="4472C4"/>
          <w:sz w:val="18"/>
          <w:szCs w:val="18"/>
        </w:rPr>
      </w:pPr>
      <w:r>
        <w:rPr>
          <w:rFonts w:ascii="Arial" w:eastAsia="Arial" w:hAnsi="Arial" w:cs="Arial"/>
          <w:b/>
          <w:color w:val="4472C4"/>
          <w:sz w:val="18"/>
          <w:szCs w:val="18"/>
        </w:rPr>
        <w:t xml:space="preserve">AGENCY - Current Global: </w:t>
      </w:r>
    </w:p>
    <w:p w14:paraId="2625BEAE" w14:textId="77777777" w:rsidR="007A2668" w:rsidRPr="001F504A" w:rsidRDefault="007A2668" w:rsidP="007A2668">
      <w:pPr>
        <w:numPr>
          <w:ilvl w:val="0"/>
          <w:numId w:val="1"/>
        </w:numPr>
        <w:pBdr>
          <w:top w:val="nil"/>
          <w:left w:val="nil"/>
          <w:bottom w:val="nil"/>
          <w:right w:val="nil"/>
          <w:between w:val="nil"/>
        </w:pBdr>
        <w:spacing w:after="0" w:line="240" w:lineRule="auto"/>
        <w:ind w:right="695"/>
        <w:jc w:val="both"/>
        <w:rPr>
          <w:rFonts w:ascii="Arial" w:eastAsia="Arial" w:hAnsi="Arial" w:cs="Arial"/>
          <w:sz w:val="16"/>
          <w:szCs w:val="18"/>
        </w:rPr>
      </w:pPr>
      <w:r w:rsidRPr="001F504A">
        <w:rPr>
          <w:rFonts w:ascii="Arial" w:eastAsia="Arial" w:hAnsi="Arial" w:cs="Arial"/>
          <w:sz w:val="16"/>
          <w:szCs w:val="18"/>
        </w:rPr>
        <w:t xml:space="preserve">Sarah Rajan | </w:t>
      </w:r>
      <w:hyperlink r:id="rId9" w:history="1">
        <w:r w:rsidRPr="001F504A">
          <w:rPr>
            <w:rFonts w:ascii="Arial" w:hAnsi="Arial" w:cs="Arial"/>
            <w:sz w:val="20"/>
          </w:rPr>
          <w:t>srajan@currentglobal.com</w:t>
        </w:r>
      </w:hyperlink>
    </w:p>
    <w:p w14:paraId="1110E9D6" w14:textId="77777777" w:rsidR="007A2668" w:rsidRDefault="007A2668">
      <w:pPr>
        <w:pBdr>
          <w:top w:val="nil"/>
          <w:left w:val="nil"/>
          <w:bottom w:val="nil"/>
          <w:right w:val="nil"/>
          <w:between w:val="nil"/>
        </w:pBdr>
        <w:spacing w:after="0" w:line="240" w:lineRule="auto"/>
        <w:ind w:right="695"/>
        <w:jc w:val="both"/>
        <w:rPr>
          <w:rFonts w:ascii="Arial" w:eastAsia="Arial" w:hAnsi="Arial" w:cs="Arial"/>
          <w:b/>
          <w:color w:val="4472C4"/>
          <w:sz w:val="18"/>
          <w:szCs w:val="18"/>
        </w:rPr>
      </w:pPr>
    </w:p>
    <w:p w14:paraId="50E77B4D" w14:textId="77777777" w:rsidR="0023595C" w:rsidRDefault="004D4144">
      <w:pPr>
        <w:pBdr>
          <w:top w:val="nil"/>
          <w:left w:val="nil"/>
          <w:bottom w:val="nil"/>
          <w:right w:val="nil"/>
          <w:between w:val="nil"/>
        </w:pBdr>
        <w:spacing w:after="0" w:line="240" w:lineRule="auto"/>
        <w:ind w:right="695"/>
        <w:jc w:val="both"/>
        <w:rPr>
          <w:rFonts w:ascii="Arial" w:eastAsia="Arial" w:hAnsi="Arial" w:cs="Arial"/>
          <w:b/>
          <w:color w:val="4472C4"/>
          <w:sz w:val="18"/>
          <w:szCs w:val="18"/>
        </w:rPr>
      </w:pPr>
      <w:r>
        <w:rPr>
          <w:rFonts w:ascii="Arial" w:eastAsia="Arial" w:hAnsi="Arial" w:cs="Arial"/>
          <w:b/>
          <w:color w:val="4472C4"/>
          <w:sz w:val="18"/>
          <w:szCs w:val="18"/>
        </w:rPr>
        <w:t>Procter &amp; Gamble Health Limited:</w:t>
      </w:r>
    </w:p>
    <w:p w14:paraId="5B721A87" w14:textId="77777777" w:rsidR="007A2668" w:rsidRPr="007A2668" w:rsidRDefault="004D4144" w:rsidP="007A2668">
      <w:pPr>
        <w:numPr>
          <w:ilvl w:val="0"/>
          <w:numId w:val="1"/>
        </w:numPr>
        <w:pBdr>
          <w:top w:val="nil"/>
          <w:left w:val="nil"/>
          <w:bottom w:val="nil"/>
          <w:right w:val="nil"/>
          <w:between w:val="nil"/>
        </w:pBdr>
        <w:spacing w:after="0" w:line="240" w:lineRule="auto"/>
        <w:ind w:right="695"/>
        <w:jc w:val="both"/>
        <w:rPr>
          <w:sz w:val="18"/>
          <w:szCs w:val="18"/>
        </w:rPr>
      </w:pPr>
      <w:r w:rsidRPr="007A2668">
        <w:rPr>
          <w:rFonts w:ascii="Arial" w:eastAsia="Arial" w:hAnsi="Arial" w:cs="Arial"/>
          <w:sz w:val="18"/>
          <w:szCs w:val="18"/>
        </w:rPr>
        <w:t xml:space="preserve">Ruchita Mehra | </w:t>
      </w:r>
      <w:hyperlink r:id="rId10" w:history="1">
        <w:r w:rsidR="007A2668" w:rsidRPr="007A2668">
          <w:rPr>
            <w:rStyle w:val="Hyperlink"/>
            <w:rFonts w:ascii="Arial" w:eastAsia="Arial" w:hAnsi="Arial" w:cs="Arial"/>
            <w:color w:val="auto"/>
            <w:sz w:val="18"/>
            <w:szCs w:val="18"/>
            <w:u w:val="none"/>
          </w:rPr>
          <w:t>mehra.r@pg.com</w:t>
        </w:r>
      </w:hyperlink>
    </w:p>
    <w:p w14:paraId="437099EA" w14:textId="38362995" w:rsidR="007A2668" w:rsidRPr="007A2668" w:rsidRDefault="007A2668" w:rsidP="007A2668">
      <w:pPr>
        <w:numPr>
          <w:ilvl w:val="0"/>
          <w:numId w:val="1"/>
        </w:numPr>
        <w:pBdr>
          <w:top w:val="nil"/>
          <w:left w:val="nil"/>
          <w:bottom w:val="nil"/>
          <w:right w:val="nil"/>
          <w:between w:val="nil"/>
        </w:pBdr>
        <w:spacing w:after="0" w:line="240" w:lineRule="auto"/>
        <w:ind w:right="695"/>
        <w:jc w:val="both"/>
        <w:rPr>
          <w:sz w:val="18"/>
          <w:szCs w:val="18"/>
        </w:rPr>
      </w:pPr>
      <w:proofErr w:type="spellStart"/>
      <w:r w:rsidRPr="007A2668">
        <w:rPr>
          <w:rFonts w:ascii="Arial" w:eastAsia="Arial" w:hAnsi="Arial" w:cs="Arial"/>
          <w:sz w:val="18"/>
          <w:szCs w:val="18"/>
        </w:rPr>
        <w:t>Paromita</w:t>
      </w:r>
      <w:proofErr w:type="spellEnd"/>
      <w:r w:rsidRPr="007A2668">
        <w:rPr>
          <w:rFonts w:ascii="Arial" w:eastAsia="Arial" w:hAnsi="Arial" w:cs="Arial"/>
          <w:sz w:val="18"/>
          <w:szCs w:val="18"/>
        </w:rPr>
        <w:t xml:space="preserve"> Kundu| kundu.p.1@pg.com</w:t>
      </w:r>
    </w:p>
    <w:p w14:paraId="51CD7CED" w14:textId="6FE8FF04" w:rsidR="007A2668" w:rsidRDefault="004079FB" w:rsidP="007A2668">
      <w:pPr>
        <w:pBdr>
          <w:top w:val="nil"/>
          <w:left w:val="nil"/>
          <w:bottom w:val="nil"/>
          <w:right w:val="nil"/>
          <w:between w:val="nil"/>
        </w:pBdr>
        <w:spacing w:after="0" w:line="240" w:lineRule="auto"/>
        <w:ind w:right="695"/>
        <w:jc w:val="both"/>
        <w:rPr>
          <w:rFonts w:ascii="Arial" w:eastAsia="Arial" w:hAnsi="Arial" w:cs="Arial"/>
          <w:sz w:val="18"/>
          <w:szCs w:val="18"/>
        </w:rPr>
      </w:pPr>
      <w:r w:rsidRPr="004079FB">
        <w:rPr>
          <w:rFonts w:ascii="Arial" w:eastAsia="Arial" w:hAnsi="Arial" w:cs="Arial"/>
          <w:noProof/>
          <w:sz w:val="18"/>
          <w:szCs w:val="18"/>
        </w:rPr>
        <mc:AlternateContent>
          <mc:Choice Requires="wps">
            <w:drawing>
              <wp:anchor distT="45720" distB="45720" distL="114300" distR="114300" simplePos="0" relativeHeight="251659264" behindDoc="0" locked="0" layoutInCell="1" allowOverlap="1" wp14:anchorId="4BADCFB1" wp14:editId="006B268F">
                <wp:simplePos x="0" y="0"/>
                <wp:positionH relativeFrom="column">
                  <wp:posOffset>152400</wp:posOffset>
                </wp:positionH>
                <wp:positionV relativeFrom="paragraph">
                  <wp:posOffset>240665</wp:posOffset>
                </wp:positionV>
                <wp:extent cx="59626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214263A5" w14:textId="77777777" w:rsidR="004079FB" w:rsidRDefault="004079FB" w:rsidP="004079FB">
                            <w:pPr>
                              <w:pBdr>
                                <w:top w:val="nil"/>
                                <w:left w:val="nil"/>
                                <w:bottom w:val="nil"/>
                                <w:right w:val="nil"/>
                                <w:between w:val="nil"/>
                              </w:pBdr>
                              <w:spacing w:after="0" w:line="240" w:lineRule="auto"/>
                              <w:ind w:right="695"/>
                              <w:jc w:val="both"/>
                              <w:rPr>
                                <w:rFonts w:ascii="Arial" w:eastAsia="Arial" w:hAnsi="Arial" w:cs="Arial"/>
                                <w:sz w:val="18"/>
                                <w:szCs w:val="18"/>
                              </w:rPr>
                            </w:pPr>
                            <w:r>
                              <w:rPr>
                                <w:rFonts w:ascii="Arial" w:eastAsia="Arial" w:hAnsi="Arial" w:cs="Arial"/>
                                <w:sz w:val="18"/>
                                <w:szCs w:val="18"/>
                              </w:rPr>
                              <w:t>References</w:t>
                            </w:r>
                          </w:p>
                          <w:p w14:paraId="0AF56459" w14:textId="77777777" w:rsidR="004079FB" w:rsidRPr="004079FB" w:rsidRDefault="004079FB" w:rsidP="004079FB">
                            <w:pPr>
                              <w:pStyle w:val="ListParagraph"/>
                              <w:numPr>
                                <w:ilvl w:val="0"/>
                                <w:numId w:val="11"/>
                              </w:numPr>
                              <w:rPr>
                                <w:rStyle w:val="description"/>
                                <w:rFonts w:ascii="Arial" w:hAnsi="Arial" w:cs="Arial"/>
                                <w:sz w:val="16"/>
                                <w:szCs w:val="16"/>
                              </w:rPr>
                            </w:pPr>
                            <w:proofErr w:type="spellStart"/>
                            <w:r w:rsidRPr="004079FB">
                              <w:rPr>
                                <w:rStyle w:val="author"/>
                                <w:rFonts w:ascii="Arial" w:hAnsi="Arial" w:cs="Arial"/>
                                <w:color w:val="000000"/>
                                <w:sz w:val="16"/>
                                <w:szCs w:val="16"/>
                              </w:rPr>
                              <w:t>Panicker</w:t>
                            </w:r>
                            <w:proofErr w:type="spellEnd"/>
                            <w:r w:rsidRPr="004079FB">
                              <w:rPr>
                                <w:rStyle w:val="author"/>
                                <w:rFonts w:ascii="Arial" w:hAnsi="Arial" w:cs="Arial"/>
                                <w:color w:val="000000"/>
                                <w:sz w:val="16"/>
                                <w:szCs w:val="16"/>
                              </w:rPr>
                              <w:t xml:space="preserve"> NK et al. </w:t>
                            </w:r>
                            <w:r w:rsidRPr="004079FB">
                              <w:rPr>
                                <w:rStyle w:val="Title1"/>
                                <w:rFonts w:ascii="Arial" w:hAnsi="Arial" w:cs="Arial"/>
                                <w:color w:val="000000"/>
                                <w:sz w:val="16"/>
                                <w:szCs w:val="16"/>
                              </w:rPr>
                              <w:t xml:space="preserve">Comparison of Efficacy and Safety Profile of Oral Iron Formulations in Patients with Iron Deficiency </w:t>
                            </w:r>
                            <w:proofErr w:type="spellStart"/>
                            <w:r w:rsidRPr="004079FB">
                              <w:rPr>
                                <w:rStyle w:val="Title1"/>
                                <w:rFonts w:ascii="Arial" w:hAnsi="Arial" w:cs="Arial"/>
                                <w:color w:val="000000"/>
                                <w:sz w:val="16"/>
                                <w:szCs w:val="16"/>
                              </w:rPr>
                              <w:t>Anemia</w:t>
                            </w:r>
                            <w:r w:rsidRPr="004079FB">
                              <w:rPr>
                                <w:rStyle w:val="journal"/>
                                <w:rFonts w:ascii="Arial" w:hAnsi="Arial" w:cs="Arial"/>
                                <w:i/>
                                <w:iCs/>
                                <w:color w:val="000000"/>
                                <w:sz w:val="16"/>
                                <w:szCs w:val="16"/>
                              </w:rPr>
                              <w:t>Int</w:t>
                            </w:r>
                            <w:proofErr w:type="spellEnd"/>
                            <w:r w:rsidRPr="004079FB">
                              <w:rPr>
                                <w:rStyle w:val="journal"/>
                                <w:rFonts w:ascii="Arial" w:hAnsi="Arial" w:cs="Arial"/>
                                <w:i/>
                                <w:iCs/>
                                <w:color w:val="000000"/>
                                <w:sz w:val="16"/>
                                <w:szCs w:val="16"/>
                              </w:rPr>
                              <w:t>. J. Pharm. Sci. Rev. Res</w:t>
                            </w:r>
                            <w:r w:rsidRPr="004079FB">
                              <w:rPr>
                                <w:rStyle w:val="product"/>
                                <w:rFonts w:ascii="Arial" w:hAnsi="Arial" w:cs="Arial"/>
                                <w:color w:val="000000"/>
                                <w:sz w:val="16"/>
                                <w:szCs w:val="16"/>
                              </w:rPr>
                              <w:t>Others</w:t>
                            </w:r>
                            <w:r w:rsidRPr="004079FB">
                              <w:rPr>
                                <w:rStyle w:val="year"/>
                                <w:rFonts w:ascii="Arial" w:hAnsi="Arial" w:cs="Arial"/>
                                <w:color w:val="000000"/>
                                <w:sz w:val="16"/>
                                <w:szCs w:val="16"/>
                              </w:rPr>
                              <w:t>2016; </w:t>
                            </w:r>
                          </w:p>
                          <w:p w14:paraId="03174EAD" w14:textId="77777777" w:rsidR="004079FB" w:rsidRPr="004079FB" w:rsidRDefault="004079FB" w:rsidP="004079FB">
                            <w:pPr>
                              <w:pStyle w:val="ListParagraph"/>
                              <w:numPr>
                                <w:ilvl w:val="0"/>
                                <w:numId w:val="11"/>
                              </w:numPr>
                              <w:rPr>
                                <w:rStyle w:val="description"/>
                                <w:rFonts w:ascii="Arial" w:hAnsi="Arial" w:cs="Arial"/>
                                <w:sz w:val="16"/>
                                <w:szCs w:val="16"/>
                              </w:rPr>
                            </w:pPr>
                            <w:proofErr w:type="spellStart"/>
                            <w:r w:rsidRPr="004079FB">
                              <w:rPr>
                                <w:rStyle w:val="author"/>
                                <w:rFonts w:ascii="Arial" w:hAnsi="Arial" w:cs="Arial"/>
                                <w:color w:val="000000"/>
                                <w:sz w:val="16"/>
                                <w:szCs w:val="16"/>
                              </w:rPr>
                              <w:t>Schellack</w:t>
                            </w:r>
                            <w:proofErr w:type="spellEnd"/>
                            <w:r w:rsidRPr="004079FB">
                              <w:rPr>
                                <w:rStyle w:val="author"/>
                                <w:rFonts w:ascii="Arial" w:hAnsi="Arial" w:cs="Arial"/>
                                <w:color w:val="000000"/>
                                <w:sz w:val="16"/>
                                <w:szCs w:val="16"/>
                              </w:rPr>
                              <w:t xml:space="preserve"> G, et al. </w:t>
                            </w:r>
                            <w:r w:rsidRPr="004079FB">
                              <w:rPr>
                                <w:rStyle w:val="Title1"/>
                                <w:rFonts w:ascii="Arial" w:hAnsi="Arial" w:cs="Arial"/>
                                <w:color w:val="000000"/>
                                <w:sz w:val="16"/>
                                <w:szCs w:val="16"/>
                              </w:rPr>
                              <w:t xml:space="preserve">B-complex vitamin deficiency and supplementation </w:t>
                            </w:r>
                            <w:r w:rsidRPr="004079FB">
                              <w:rPr>
                                <w:rStyle w:val="journal"/>
                                <w:rFonts w:ascii="Arial" w:hAnsi="Arial" w:cs="Arial"/>
                                <w:i/>
                                <w:iCs/>
                                <w:color w:val="000000"/>
                                <w:sz w:val="16"/>
                                <w:szCs w:val="16"/>
                              </w:rPr>
                              <w:t xml:space="preserve">S </w:t>
                            </w:r>
                            <w:proofErr w:type="spellStart"/>
                            <w:r w:rsidRPr="004079FB">
                              <w:rPr>
                                <w:rStyle w:val="journal"/>
                                <w:rFonts w:ascii="Arial" w:hAnsi="Arial" w:cs="Arial"/>
                                <w:i/>
                                <w:iCs/>
                                <w:color w:val="000000"/>
                                <w:sz w:val="16"/>
                                <w:szCs w:val="16"/>
                              </w:rPr>
                              <w:t>Afr</w:t>
                            </w:r>
                            <w:proofErr w:type="spellEnd"/>
                            <w:r w:rsidRPr="004079FB">
                              <w:rPr>
                                <w:rStyle w:val="journal"/>
                                <w:rFonts w:ascii="Arial" w:hAnsi="Arial" w:cs="Arial"/>
                                <w:i/>
                                <w:iCs/>
                                <w:color w:val="000000"/>
                                <w:sz w:val="16"/>
                                <w:szCs w:val="16"/>
                              </w:rPr>
                              <w:t xml:space="preserve"> Pharm J</w:t>
                            </w:r>
                            <w:r w:rsidRPr="004079FB">
                              <w:rPr>
                                <w:rStyle w:val="product"/>
                                <w:rFonts w:ascii="Arial" w:hAnsi="Arial" w:cs="Arial"/>
                                <w:color w:val="000000"/>
                                <w:sz w:val="16"/>
                                <w:szCs w:val="16"/>
                              </w:rPr>
                              <w:t>Others</w:t>
                            </w:r>
                            <w:r w:rsidRPr="004079FB">
                              <w:rPr>
                                <w:rStyle w:val="year"/>
                                <w:rFonts w:ascii="Arial" w:hAnsi="Arial" w:cs="Arial"/>
                                <w:color w:val="000000"/>
                                <w:sz w:val="16"/>
                                <w:szCs w:val="16"/>
                              </w:rPr>
                              <w:t>2015; </w:t>
                            </w:r>
                            <w:r w:rsidRPr="004079FB">
                              <w:rPr>
                                <w:rStyle w:val="page-range"/>
                                <w:rFonts w:ascii="Arial" w:hAnsi="Arial" w:cs="Arial"/>
                                <w:color w:val="000000"/>
                                <w:sz w:val="16"/>
                                <w:szCs w:val="16"/>
                              </w:rPr>
                              <w:t>4</w:t>
                            </w:r>
                            <w:r w:rsidRPr="004079FB">
                              <w:rPr>
                                <w:rStyle w:val="description"/>
                                <w:rFonts w:ascii="Arial" w:hAnsi="Arial" w:cs="Arial"/>
                                <w:color w:val="000000"/>
                                <w:sz w:val="16"/>
                                <w:szCs w:val="16"/>
                              </w:rPr>
                              <w:t>B-complex vitamin deficiency and supplementation</w:t>
                            </w:r>
                          </w:p>
                          <w:p w14:paraId="3031F9FF" w14:textId="77777777" w:rsidR="004079FB" w:rsidRPr="004079FB" w:rsidRDefault="004079FB" w:rsidP="004079FB">
                            <w:pPr>
                              <w:pStyle w:val="ListParagraph"/>
                              <w:numPr>
                                <w:ilvl w:val="0"/>
                                <w:numId w:val="11"/>
                              </w:numPr>
                              <w:rPr>
                                <w:rStyle w:val="description"/>
                                <w:rFonts w:ascii="Arial" w:hAnsi="Arial" w:cs="Arial"/>
                                <w:sz w:val="16"/>
                                <w:szCs w:val="16"/>
                              </w:rPr>
                            </w:pPr>
                            <w:proofErr w:type="spellStart"/>
                            <w:r w:rsidRPr="004079FB">
                              <w:rPr>
                                <w:rStyle w:val="description"/>
                                <w:rFonts w:ascii="Arial" w:hAnsi="Arial" w:cs="Arial"/>
                                <w:sz w:val="16"/>
                                <w:szCs w:val="16"/>
                              </w:rPr>
                              <w:t>Milman</w:t>
                            </w:r>
                            <w:proofErr w:type="spellEnd"/>
                            <w:r w:rsidRPr="004079FB">
                              <w:rPr>
                                <w:rStyle w:val="description"/>
                                <w:rFonts w:ascii="Arial" w:hAnsi="Arial" w:cs="Arial"/>
                                <w:sz w:val="16"/>
                                <w:szCs w:val="16"/>
                              </w:rPr>
                              <w:t xml:space="preserve"> N, Intestinal absorption of folic acid - new physiologic &amp; molecular aspects, Indian J Med Res. 2012 Nov; 136(5): 725–728</w:t>
                            </w:r>
                          </w:p>
                          <w:p w14:paraId="0850797E" w14:textId="77777777" w:rsidR="004079FB" w:rsidRPr="004079FB" w:rsidRDefault="004079FB" w:rsidP="004079FB">
                            <w:pPr>
                              <w:pStyle w:val="ListParagraph"/>
                              <w:numPr>
                                <w:ilvl w:val="0"/>
                                <w:numId w:val="11"/>
                              </w:numPr>
                              <w:rPr>
                                <w:rStyle w:val="description"/>
                                <w:rFonts w:ascii="Arial" w:hAnsi="Arial" w:cs="Arial"/>
                                <w:sz w:val="16"/>
                                <w:szCs w:val="16"/>
                              </w:rPr>
                            </w:pPr>
                            <w:r w:rsidRPr="004079FB">
                              <w:rPr>
                                <w:rStyle w:val="description"/>
                                <w:rFonts w:ascii="Arial" w:hAnsi="Arial" w:cs="Arial"/>
                                <w:sz w:val="16"/>
                                <w:szCs w:val="16"/>
                              </w:rPr>
                              <w:t xml:space="preserve">Thomson RL, Buckley JD Protein hydrolysates and tissue repair </w:t>
                            </w:r>
                            <w:proofErr w:type="spellStart"/>
                            <w:r w:rsidRPr="004079FB">
                              <w:rPr>
                                <w:rStyle w:val="description"/>
                                <w:rFonts w:ascii="Arial" w:hAnsi="Arial" w:cs="Arial"/>
                                <w:sz w:val="16"/>
                                <w:szCs w:val="16"/>
                              </w:rPr>
                              <w:t>Nutr</w:t>
                            </w:r>
                            <w:proofErr w:type="spellEnd"/>
                            <w:r w:rsidRPr="004079FB">
                              <w:rPr>
                                <w:rStyle w:val="description"/>
                                <w:rFonts w:ascii="Arial" w:hAnsi="Arial" w:cs="Arial"/>
                                <w:sz w:val="16"/>
                                <w:szCs w:val="16"/>
                              </w:rPr>
                              <w:t xml:space="preserve"> Res Rev. 2011 Dec;24(2):191-7</w:t>
                            </w:r>
                          </w:p>
                          <w:p w14:paraId="125196B1" w14:textId="77777777" w:rsidR="004079FB" w:rsidRPr="004079FB" w:rsidRDefault="004079FB" w:rsidP="004079FB">
                            <w:pPr>
                              <w:pStyle w:val="ListParagraph"/>
                              <w:numPr>
                                <w:ilvl w:val="0"/>
                                <w:numId w:val="11"/>
                              </w:numPr>
                              <w:rPr>
                                <w:rStyle w:val="description"/>
                                <w:rFonts w:ascii="Arial" w:hAnsi="Arial" w:cs="Arial"/>
                                <w:sz w:val="16"/>
                                <w:szCs w:val="16"/>
                              </w:rPr>
                            </w:pPr>
                            <w:r w:rsidRPr="004079FB">
                              <w:rPr>
                                <w:rStyle w:val="description"/>
                                <w:rFonts w:ascii="Arial" w:hAnsi="Arial" w:cs="Arial"/>
                                <w:sz w:val="16"/>
                                <w:szCs w:val="16"/>
                              </w:rPr>
                              <w:t>Prasad AS, Zinc in Human Health: Effect of Zinc on Immune Cells, Mol Med. 2008 May-Jun; 14(5-6): 353–357</w:t>
                            </w:r>
                          </w:p>
                          <w:p w14:paraId="090EDEB6" w14:textId="65A271DF" w:rsidR="004079FB" w:rsidRPr="004079FB" w:rsidRDefault="004079FB" w:rsidP="004079FB">
                            <w:pPr>
                              <w:pStyle w:val="ListParagraph"/>
                              <w:numPr>
                                <w:ilvl w:val="0"/>
                                <w:numId w:val="11"/>
                              </w:numPr>
                              <w:rPr>
                                <w:rFonts w:ascii="Arial" w:hAnsi="Arial" w:cs="Arial"/>
                                <w:sz w:val="16"/>
                                <w:szCs w:val="16"/>
                              </w:rPr>
                            </w:pPr>
                            <w:proofErr w:type="spellStart"/>
                            <w:r w:rsidRPr="004079FB">
                              <w:rPr>
                                <w:rStyle w:val="author"/>
                                <w:rFonts w:ascii="Arial" w:hAnsi="Arial" w:cs="Arial"/>
                                <w:color w:val="000000"/>
                                <w:sz w:val="16"/>
                                <w:szCs w:val="16"/>
                              </w:rPr>
                              <w:t>Krasniqi</w:t>
                            </w:r>
                            <w:proofErr w:type="spellEnd"/>
                            <w:r w:rsidRPr="004079FB">
                              <w:rPr>
                                <w:rStyle w:val="author"/>
                                <w:rFonts w:ascii="Arial" w:hAnsi="Arial" w:cs="Arial"/>
                                <w:color w:val="000000"/>
                                <w:sz w:val="16"/>
                                <w:szCs w:val="16"/>
                              </w:rPr>
                              <w:t xml:space="preserve"> E et al. </w:t>
                            </w:r>
                            <w:r w:rsidRPr="004079FB">
                              <w:rPr>
                                <w:rStyle w:val="Title1"/>
                                <w:rFonts w:ascii="Arial" w:hAnsi="Arial" w:cs="Arial"/>
                                <w:color w:val="000000"/>
                                <w:sz w:val="16"/>
                                <w:szCs w:val="16"/>
                              </w:rPr>
                              <w:t xml:space="preserve">Approved health claims for amino acids in/as food supplements </w:t>
                            </w:r>
                            <w:r w:rsidRPr="004079FB">
                              <w:rPr>
                                <w:rStyle w:val="journal"/>
                                <w:rFonts w:ascii="Arial" w:hAnsi="Arial" w:cs="Arial"/>
                                <w:i/>
                                <w:iCs/>
                                <w:color w:val="000000"/>
                                <w:sz w:val="16"/>
                                <w:szCs w:val="16"/>
                              </w:rPr>
                              <w:t>Maced. pharm. bull</w:t>
                            </w:r>
                            <w:proofErr w:type="gramStart"/>
                            <w:r w:rsidRPr="004079FB">
                              <w:rPr>
                                <w:rStyle w:val="journal"/>
                                <w:rFonts w:ascii="Arial" w:hAnsi="Arial" w:cs="Arial"/>
                                <w:i/>
                                <w:iCs/>
                                <w:color w:val="000000"/>
                                <w:sz w:val="16"/>
                                <w:szCs w:val="16"/>
                              </w:rPr>
                              <w:t>.,</w:t>
                            </w:r>
                            <w:r w:rsidRPr="004079FB">
                              <w:rPr>
                                <w:rStyle w:val="product"/>
                                <w:rFonts w:ascii="Arial" w:hAnsi="Arial" w:cs="Arial"/>
                                <w:color w:val="000000"/>
                                <w:sz w:val="16"/>
                                <w:szCs w:val="16"/>
                              </w:rPr>
                              <w:t>Others</w:t>
                            </w:r>
                            <w:proofErr w:type="gramEnd"/>
                            <w:r w:rsidRPr="004079FB">
                              <w:rPr>
                                <w:rStyle w:val="year"/>
                                <w:rFonts w:ascii="Arial" w:hAnsi="Arial" w:cs="Arial"/>
                                <w:color w:val="000000"/>
                                <w:sz w:val="16"/>
                                <w:szCs w:val="16"/>
                              </w:rPr>
                              <w:t>2016; </w:t>
                            </w:r>
                            <w:r w:rsidRPr="004079FB">
                              <w:rPr>
                                <w:rStyle w:val="page-range"/>
                                <w:rFonts w:ascii="Arial" w:hAnsi="Arial" w:cs="Arial"/>
                                <w:color w:val="000000"/>
                                <w:sz w:val="16"/>
                                <w:szCs w:val="16"/>
                              </w:rPr>
                              <w:t>4</w:t>
                            </w:r>
                            <w:r w:rsidRPr="004079FB">
                              <w:rPr>
                                <w:rStyle w:val="description"/>
                                <w:rFonts w:ascii="Arial" w:hAnsi="Arial" w:cs="Arial"/>
                                <w:color w:val="000000"/>
                                <w:sz w:val="16"/>
                                <w:szCs w:val="16"/>
                              </w:rPr>
                              <w:t>Approved health claims for amino acids in/as food supplements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DCFB1" id="_x0000_t202" coordsize="21600,21600" o:spt="202" path="m,l,21600r21600,l21600,xe">
                <v:stroke joinstyle="miter"/>
                <v:path gradientshapeok="t" o:connecttype="rect"/>
              </v:shapetype>
              <v:shape id="Text Box 2" o:spid="_x0000_s1026" type="#_x0000_t202" style="position:absolute;left:0;text-align:left;margin-left:12pt;margin-top:18.95pt;width:4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yW5XKB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">
                <v:textbox style="mso-fit-shape-to-text:t">
                  <w:txbxContent>
                    <w:p w14:paraId="214263A5" w14:textId="77777777" w:rsidR="004079FB" w:rsidRDefault="004079FB" w:rsidP="004079FB">
                      <w:pPr>
                        <w:pBdr>
                          <w:top w:val="nil"/>
                          <w:left w:val="nil"/>
                          <w:bottom w:val="nil"/>
                          <w:right w:val="nil"/>
                          <w:between w:val="nil"/>
                        </w:pBdr>
                        <w:spacing w:after="0" w:line="240" w:lineRule="auto"/>
                        <w:ind w:right="695"/>
                        <w:jc w:val="both"/>
                        <w:rPr>
                          <w:rFonts w:ascii="Arial" w:eastAsia="Arial" w:hAnsi="Arial" w:cs="Arial"/>
                          <w:sz w:val="18"/>
                          <w:szCs w:val="18"/>
                        </w:rPr>
                      </w:pPr>
                      <w:r>
                        <w:rPr>
                          <w:rFonts w:ascii="Arial" w:eastAsia="Arial" w:hAnsi="Arial" w:cs="Arial"/>
                          <w:sz w:val="18"/>
                          <w:szCs w:val="18"/>
                        </w:rPr>
                        <w:t>References</w:t>
                      </w:r>
                    </w:p>
                    <w:p w14:paraId="0AF56459" w14:textId="77777777" w:rsidR="004079FB" w:rsidRPr="004079FB" w:rsidRDefault="004079FB" w:rsidP="004079FB">
                      <w:pPr>
                        <w:pStyle w:val="ListParagraph"/>
                        <w:numPr>
                          <w:ilvl w:val="0"/>
                          <w:numId w:val="11"/>
                        </w:numPr>
                        <w:rPr>
                          <w:rStyle w:val="description"/>
                          <w:rFonts w:ascii="Arial" w:hAnsi="Arial" w:cs="Arial"/>
                          <w:sz w:val="16"/>
                          <w:szCs w:val="16"/>
                        </w:rPr>
                      </w:pPr>
                      <w:proofErr w:type="spellStart"/>
                      <w:r w:rsidRPr="004079FB">
                        <w:rPr>
                          <w:rStyle w:val="author"/>
                          <w:rFonts w:ascii="Arial" w:hAnsi="Arial" w:cs="Arial"/>
                          <w:color w:val="000000"/>
                          <w:sz w:val="16"/>
                          <w:szCs w:val="16"/>
                        </w:rPr>
                        <w:t>Panicker</w:t>
                      </w:r>
                      <w:proofErr w:type="spellEnd"/>
                      <w:r w:rsidRPr="004079FB">
                        <w:rPr>
                          <w:rStyle w:val="author"/>
                          <w:rFonts w:ascii="Arial" w:hAnsi="Arial" w:cs="Arial"/>
                          <w:color w:val="000000"/>
                          <w:sz w:val="16"/>
                          <w:szCs w:val="16"/>
                        </w:rPr>
                        <w:t xml:space="preserve"> NK et al. </w:t>
                      </w:r>
                      <w:r w:rsidRPr="004079FB">
                        <w:rPr>
                          <w:rStyle w:val="Title1"/>
                          <w:rFonts w:ascii="Arial" w:hAnsi="Arial" w:cs="Arial"/>
                          <w:color w:val="000000"/>
                          <w:sz w:val="16"/>
                          <w:szCs w:val="16"/>
                        </w:rPr>
                        <w:t xml:space="preserve">Comparison of Efficacy and Safety Profile of Oral Iron Formulations in Patients with Iron Deficiency </w:t>
                      </w:r>
                      <w:proofErr w:type="spellStart"/>
                      <w:r w:rsidRPr="004079FB">
                        <w:rPr>
                          <w:rStyle w:val="Title1"/>
                          <w:rFonts w:ascii="Arial" w:hAnsi="Arial" w:cs="Arial"/>
                          <w:color w:val="000000"/>
                          <w:sz w:val="16"/>
                          <w:szCs w:val="16"/>
                        </w:rPr>
                        <w:t>Anemia</w:t>
                      </w:r>
                      <w:r w:rsidRPr="004079FB">
                        <w:rPr>
                          <w:rStyle w:val="journal"/>
                          <w:rFonts w:ascii="Arial" w:hAnsi="Arial" w:cs="Arial"/>
                          <w:i/>
                          <w:iCs/>
                          <w:color w:val="000000"/>
                          <w:sz w:val="16"/>
                          <w:szCs w:val="16"/>
                        </w:rPr>
                        <w:t>Int</w:t>
                      </w:r>
                      <w:proofErr w:type="spellEnd"/>
                      <w:r w:rsidRPr="004079FB">
                        <w:rPr>
                          <w:rStyle w:val="journal"/>
                          <w:rFonts w:ascii="Arial" w:hAnsi="Arial" w:cs="Arial"/>
                          <w:i/>
                          <w:iCs/>
                          <w:color w:val="000000"/>
                          <w:sz w:val="16"/>
                          <w:szCs w:val="16"/>
                        </w:rPr>
                        <w:t>. J. Pharm. Sci. Rev. Res</w:t>
                      </w:r>
                      <w:r w:rsidRPr="004079FB">
                        <w:rPr>
                          <w:rStyle w:val="product"/>
                          <w:rFonts w:ascii="Arial" w:hAnsi="Arial" w:cs="Arial"/>
                          <w:color w:val="000000"/>
                          <w:sz w:val="16"/>
                          <w:szCs w:val="16"/>
                        </w:rPr>
                        <w:t>Others</w:t>
                      </w:r>
                      <w:r w:rsidRPr="004079FB">
                        <w:rPr>
                          <w:rStyle w:val="year"/>
                          <w:rFonts w:ascii="Arial" w:hAnsi="Arial" w:cs="Arial"/>
                          <w:color w:val="000000"/>
                          <w:sz w:val="16"/>
                          <w:szCs w:val="16"/>
                        </w:rPr>
                        <w:t>2016; </w:t>
                      </w:r>
                    </w:p>
                    <w:p w14:paraId="03174EAD" w14:textId="77777777" w:rsidR="004079FB" w:rsidRPr="004079FB" w:rsidRDefault="004079FB" w:rsidP="004079FB">
                      <w:pPr>
                        <w:pStyle w:val="ListParagraph"/>
                        <w:numPr>
                          <w:ilvl w:val="0"/>
                          <w:numId w:val="11"/>
                        </w:numPr>
                        <w:rPr>
                          <w:rStyle w:val="description"/>
                          <w:rFonts w:ascii="Arial" w:hAnsi="Arial" w:cs="Arial"/>
                          <w:sz w:val="16"/>
                          <w:szCs w:val="16"/>
                        </w:rPr>
                      </w:pPr>
                      <w:proofErr w:type="spellStart"/>
                      <w:r w:rsidRPr="004079FB">
                        <w:rPr>
                          <w:rStyle w:val="author"/>
                          <w:rFonts w:ascii="Arial" w:hAnsi="Arial" w:cs="Arial"/>
                          <w:color w:val="000000"/>
                          <w:sz w:val="16"/>
                          <w:szCs w:val="16"/>
                        </w:rPr>
                        <w:t>Schellack</w:t>
                      </w:r>
                      <w:proofErr w:type="spellEnd"/>
                      <w:r w:rsidRPr="004079FB">
                        <w:rPr>
                          <w:rStyle w:val="author"/>
                          <w:rFonts w:ascii="Arial" w:hAnsi="Arial" w:cs="Arial"/>
                          <w:color w:val="000000"/>
                          <w:sz w:val="16"/>
                          <w:szCs w:val="16"/>
                        </w:rPr>
                        <w:t xml:space="preserve"> G, et al. </w:t>
                      </w:r>
                      <w:r w:rsidRPr="004079FB">
                        <w:rPr>
                          <w:rStyle w:val="Title1"/>
                          <w:rFonts w:ascii="Arial" w:hAnsi="Arial" w:cs="Arial"/>
                          <w:color w:val="000000"/>
                          <w:sz w:val="16"/>
                          <w:szCs w:val="16"/>
                        </w:rPr>
                        <w:t xml:space="preserve">B-complex vitamin deficiency and supplementation </w:t>
                      </w:r>
                      <w:r w:rsidRPr="004079FB">
                        <w:rPr>
                          <w:rStyle w:val="journal"/>
                          <w:rFonts w:ascii="Arial" w:hAnsi="Arial" w:cs="Arial"/>
                          <w:i/>
                          <w:iCs/>
                          <w:color w:val="000000"/>
                          <w:sz w:val="16"/>
                          <w:szCs w:val="16"/>
                        </w:rPr>
                        <w:t xml:space="preserve">S </w:t>
                      </w:r>
                      <w:proofErr w:type="spellStart"/>
                      <w:r w:rsidRPr="004079FB">
                        <w:rPr>
                          <w:rStyle w:val="journal"/>
                          <w:rFonts w:ascii="Arial" w:hAnsi="Arial" w:cs="Arial"/>
                          <w:i/>
                          <w:iCs/>
                          <w:color w:val="000000"/>
                          <w:sz w:val="16"/>
                          <w:szCs w:val="16"/>
                        </w:rPr>
                        <w:t>Afr</w:t>
                      </w:r>
                      <w:proofErr w:type="spellEnd"/>
                      <w:r w:rsidRPr="004079FB">
                        <w:rPr>
                          <w:rStyle w:val="journal"/>
                          <w:rFonts w:ascii="Arial" w:hAnsi="Arial" w:cs="Arial"/>
                          <w:i/>
                          <w:iCs/>
                          <w:color w:val="000000"/>
                          <w:sz w:val="16"/>
                          <w:szCs w:val="16"/>
                        </w:rPr>
                        <w:t xml:space="preserve"> Pharm J</w:t>
                      </w:r>
                      <w:r w:rsidRPr="004079FB">
                        <w:rPr>
                          <w:rStyle w:val="product"/>
                          <w:rFonts w:ascii="Arial" w:hAnsi="Arial" w:cs="Arial"/>
                          <w:color w:val="000000"/>
                          <w:sz w:val="16"/>
                          <w:szCs w:val="16"/>
                        </w:rPr>
                        <w:t>Others</w:t>
                      </w:r>
                      <w:r w:rsidRPr="004079FB">
                        <w:rPr>
                          <w:rStyle w:val="year"/>
                          <w:rFonts w:ascii="Arial" w:hAnsi="Arial" w:cs="Arial"/>
                          <w:color w:val="000000"/>
                          <w:sz w:val="16"/>
                          <w:szCs w:val="16"/>
                        </w:rPr>
                        <w:t>2015; </w:t>
                      </w:r>
                      <w:r w:rsidRPr="004079FB">
                        <w:rPr>
                          <w:rStyle w:val="page-range"/>
                          <w:rFonts w:ascii="Arial" w:hAnsi="Arial" w:cs="Arial"/>
                          <w:color w:val="000000"/>
                          <w:sz w:val="16"/>
                          <w:szCs w:val="16"/>
                        </w:rPr>
                        <w:t>4</w:t>
                      </w:r>
                      <w:r w:rsidRPr="004079FB">
                        <w:rPr>
                          <w:rStyle w:val="description"/>
                          <w:rFonts w:ascii="Arial" w:hAnsi="Arial" w:cs="Arial"/>
                          <w:color w:val="000000"/>
                          <w:sz w:val="16"/>
                          <w:szCs w:val="16"/>
                        </w:rPr>
                        <w:t>B-complex vitamin deficiency and supplementation</w:t>
                      </w:r>
                    </w:p>
                    <w:p w14:paraId="3031F9FF" w14:textId="77777777" w:rsidR="004079FB" w:rsidRPr="004079FB" w:rsidRDefault="004079FB" w:rsidP="004079FB">
                      <w:pPr>
                        <w:pStyle w:val="ListParagraph"/>
                        <w:numPr>
                          <w:ilvl w:val="0"/>
                          <w:numId w:val="11"/>
                        </w:numPr>
                        <w:rPr>
                          <w:rStyle w:val="description"/>
                          <w:rFonts w:ascii="Arial" w:hAnsi="Arial" w:cs="Arial"/>
                          <w:sz w:val="16"/>
                          <w:szCs w:val="16"/>
                        </w:rPr>
                      </w:pPr>
                      <w:proofErr w:type="spellStart"/>
                      <w:r w:rsidRPr="004079FB">
                        <w:rPr>
                          <w:rStyle w:val="description"/>
                          <w:rFonts w:ascii="Arial" w:hAnsi="Arial" w:cs="Arial"/>
                          <w:sz w:val="16"/>
                          <w:szCs w:val="16"/>
                        </w:rPr>
                        <w:t>Milman</w:t>
                      </w:r>
                      <w:proofErr w:type="spellEnd"/>
                      <w:r w:rsidRPr="004079FB">
                        <w:rPr>
                          <w:rStyle w:val="description"/>
                          <w:rFonts w:ascii="Arial" w:hAnsi="Arial" w:cs="Arial"/>
                          <w:sz w:val="16"/>
                          <w:szCs w:val="16"/>
                        </w:rPr>
                        <w:t xml:space="preserve"> N, Intestinal absorption of folic acid - new physiologic &amp; molecular aspects, Indian J Med Res. 2012 Nov; 136(5): 725–728</w:t>
                      </w:r>
                    </w:p>
                    <w:p w14:paraId="0850797E" w14:textId="77777777" w:rsidR="004079FB" w:rsidRPr="004079FB" w:rsidRDefault="004079FB" w:rsidP="004079FB">
                      <w:pPr>
                        <w:pStyle w:val="ListParagraph"/>
                        <w:numPr>
                          <w:ilvl w:val="0"/>
                          <w:numId w:val="11"/>
                        </w:numPr>
                        <w:rPr>
                          <w:rStyle w:val="description"/>
                          <w:rFonts w:ascii="Arial" w:hAnsi="Arial" w:cs="Arial"/>
                          <w:sz w:val="16"/>
                          <w:szCs w:val="16"/>
                        </w:rPr>
                      </w:pPr>
                      <w:r w:rsidRPr="004079FB">
                        <w:rPr>
                          <w:rStyle w:val="description"/>
                          <w:rFonts w:ascii="Arial" w:hAnsi="Arial" w:cs="Arial"/>
                          <w:sz w:val="16"/>
                          <w:szCs w:val="16"/>
                        </w:rPr>
                        <w:t xml:space="preserve">Thomson RL, Buckley JD Protein hydrolysates and tissue repair </w:t>
                      </w:r>
                      <w:proofErr w:type="spellStart"/>
                      <w:r w:rsidRPr="004079FB">
                        <w:rPr>
                          <w:rStyle w:val="description"/>
                          <w:rFonts w:ascii="Arial" w:hAnsi="Arial" w:cs="Arial"/>
                          <w:sz w:val="16"/>
                          <w:szCs w:val="16"/>
                        </w:rPr>
                        <w:t>Nutr</w:t>
                      </w:r>
                      <w:proofErr w:type="spellEnd"/>
                      <w:r w:rsidRPr="004079FB">
                        <w:rPr>
                          <w:rStyle w:val="description"/>
                          <w:rFonts w:ascii="Arial" w:hAnsi="Arial" w:cs="Arial"/>
                          <w:sz w:val="16"/>
                          <w:szCs w:val="16"/>
                        </w:rPr>
                        <w:t xml:space="preserve"> Res Rev. 2011 Dec;24(2):191-7</w:t>
                      </w:r>
                    </w:p>
                    <w:p w14:paraId="125196B1" w14:textId="77777777" w:rsidR="004079FB" w:rsidRPr="004079FB" w:rsidRDefault="004079FB" w:rsidP="004079FB">
                      <w:pPr>
                        <w:pStyle w:val="ListParagraph"/>
                        <w:numPr>
                          <w:ilvl w:val="0"/>
                          <w:numId w:val="11"/>
                        </w:numPr>
                        <w:rPr>
                          <w:rStyle w:val="description"/>
                          <w:rFonts w:ascii="Arial" w:hAnsi="Arial" w:cs="Arial"/>
                          <w:sz w:val="16"/>
                          <w:szCs w:val="16"/>
                        </w:rPr>
                      </w:pPr>
                      <w:r w:rsidRPr="004079FB">
                        <w:rPr>
                          <w:rStyle w:val="description"/>
                          <w:rFonts w:ascii="Arial" w:hAnsi="Arial" w:cs="Arial"/>
                          <w:sz w:val="16"/>
                          <w:szCs w:val="16"/>
                        </w:rPr>
                        <w:t>Prasad AS, Zinc in Human Health: Effect of Zinc on Immune Cells, Mol Med. 2008 May-Jun; 14(5-6): 353–357</w:t>
                      </w:r>
                    </w:p>
                    <w:p w14:paraId="090EDEB6" w14:textId="65A271DF" w:rsidR="004079FB" w:rsidRPr="004079FB" w:rsidRDefault="004079FB" w:rsidP="004079FB">
                      <w:pPr>
                        <w:pStyle w:val="ListParagraph"/>
                        <w:numPr>
                          <w:ilvl w:val="0"/>
                          <w:numId w:val="11"/>
                        </w:numPr>
                        <w:rPr>
                          <w:rFonts w:ascii="Arial" w:hAnsi="Arial" w:cs="Arial"/>
                          <w:sz w:val="16"/>
                          <w:szCs w:val="16"/>
                        </w:rPr>
                      </w:pPr>
                      <w:proofErr w:type="spellStart"/>
                      <w:r w:rsidRPr="004079FB">
                        <w:rPr>
                          <w:rStyle w:val="author"/>
                          <w:rFonts w:ascii="Arial" w:hAnsi="Arial" w:cs="Arial"/>
                          <w:color w:val="000000"/>
                          <w:sz w:val="16"/>
                          <w:szCs w:val="16"/>
                        </w:rPr>
                        <w:t>Krasniqi</w:t>
                      </w:r>
                      <w:proofErr w:type="spellEnd"/>
                      <w:r w:rsidRPr="004079FB">
                        <w:rPr>
                          <w:rStyle w:val="author"/>
                          <w:rFonts w:ascii="Arial" w:hAnsi="Arial" w:cs="Arial"/>
                          <w:color w:val="000000"/>
                          <w:sz w:val="16"/>
                          <w:szCs w:val="16"/>
                        </w:rPr>
                        <w:t xml:space="preserve"> E et al. </w:t>
                      </w:r>
                      <w:r w:rsidRPr="004079FB">
                        <w:rPr>
                          <w:rStyle w:val="Title1"/>
                          <w:rFonts w:ascii="Arial" w:hAnsi="Arial" w:cs="Arial"/>
                          <w:color w:val="000000"/>
                          <w:sz w:val="16"/>
                          <w:szCs w:val="16"/>
                        </w:rPr>
                        <w:t xml:space="preserve">Approved health claims for amino acids in/as food supplements </w:t>
                      </w:r>
                      <w:r w:rsidRPr="004079FB">
                        <w:rPr>
                          <w:rStyle w:val="journal"/>
                          <w:rFonts w:ascii="Arial" w:hAnsi="Arial" w:cs="Arial"/>
                          <w:i/>
                          <w:iCs/>
                          <w:color w:val="000000"/>
                          <w:sz w:val="16"/>
                          <w:szCs w:val="16"/>
                        </w:rPr>
                        <w:t>Maced. pharm. bull</w:t>
                      </w:r>
                      <w:proofErr w:type="gramStart"/>
                      <w:r w:rsidRPr="004079FB">
                        <w:rPr>
                          <w:rStyle w:val="journal"/>
                          <w:rFonts w:ascii="Arial" w:hAnsi="Arial" w:cs="Arial"/>
                          <w:i/>
                          <w:iCs/>
                          <w:color w:val="000000"/>
                          <w:sz w:val="16"/>
                          <w:szCs w:val="16"/>
                        </w:rPr>
                        <w:t>.,</w:t>
                      </w:r>
                      <w:r w:rsidRPr="004079FB">
                        <w:rPr>
                          <w:rStyle w:val="product"/>
                          <w:rFonts w:ascii="Arial" w:hAnsi="Arial" w:cs="Arial"/>
                          <w:color w:val="000000"/>
                          <w:sz w:val="16"/>
                          <w:szCs w:val="16"/>
                        </w:rPr>
                        <w:t>Others</w:t>
                      </w:r>
                      <w:proofErr w:type="gramEnd"/>
                      <w:r w:rsidRPr="004079FB">
                        <w:rPr>
                          <w:rStyle w:val="year"/>
                          <w:rFonts w:ascii="Arial" w:hAnsi="Arial" w:cs="Arial"/>
                          <w:color w:val="000000"/>
                          <w:sz w:val="16"/>
                          <w:szCs w:val="16"/>
                        </w:rPr>
                        <w:t>2016; </w:t>
                      </w:r>
                      <w:r w:rsidRPr="004079FB">
                        <w:rPr>
                          <w:rStyle w:val="page-range"/>
                          <w:rFonts w:ascii="Arial" w:hAnsi="Arial" w:cs="Arial"/>
                          <w:color w:val="000000"/>
                          <w:sz w:val="16"/>
                          <w:szCs w:val="16"/>
                        </w:rPr>
                        <w:t>4</w:t>
                      </w:r>
                      <w:r w:rsidRPr="004079FB">
                        <w:rPr>
                          <w:rStyle w:val="description"/>
                          <w:rFonts w:ascii="Arial" w:hAnsi="Arial" w:cs="Arial"/>
                          <w:color w:val="000000"/>
                          <w:sz w:val="16"/>
                          <w:szCs w:val="16"/>
                        </w:rPr>
                        <w:t>Approved health claims for amino acids in/as food supplements</w:t>
                      </w:r>
                    </w:p>
                  </w:txbxContent>
                </v:textbox>
                <w10:wrap type="square"/>
              </v:shape>
            </w:pict>
          </mc:Fallback>
        </mc:AlternateContent>
      </w:r>
    </w:p>
    <w:p w14:paraId="459318D2" w14:textId="53F4ADB6" w:rsidR="004079FB" w:rsidRDefault="004079FB" w:rsidP="007A2668">
      <w:pPr>
        <w:pBdr>
          <w:top w:val="nil"/>
          <w:left w:val="nil"/>
          <w:bottom w:val="nil"/>
          <w:right w:val="nil"/>
          <w:between w:val="nil"/>
        </w:pBdr>
        <w:spacing w:after="0" w:line="240" w:lineRule="auto"/>
        <w:ind w:right="695"/>
        <w:jc w:val="both"/>
        <w:rPr>
          <w:rFonts w:ascii="Arial" w:eastAsia="Arial" w:hAnsi="Arial" w:cs="Arial"/>
          <w:sz w:val="18"/>
          <w:szCs w:val="18"/>
        </w:rPr>
      </w:pPr>
    </w:p>
    <w:p w14:paraId="2EFACC42" w14:textId="5B2A6721" w:rsidR="004079FB" w:rsidRDefault="004079FB" w:rsidP="007A2668">
      <w:pPr>
        <w:pBdr>
          <w:top w:val="nil"/>
          <w:left w:val="nil"/>
          <w:bottom w:val="nil"/>
          <w:right w:val="nil"/>
          <w:between w:val="nil"/>
        </w:pBdr>
        <w:spacing w:after="0" w:line="240" w:lineRule="auto"/>
        <w:ind w:right="695"/>
        <w:jc w:val="both"/>
        <w:rPr>
          <w:rFonts w:ascii="Arial" w:eastAsia="Arial" w:hAnsi="Arial" w:cs="Arial"/>
          <w:sz w:val="18"/>
          <w:szCs w:val="18"/>
        </w:rPr>
      </w:pPr>
    </w:p>
    <w:p w14:paraId="0EF23BE8" w14:textId="77777777" w:rsidR="004079FB" w:rsidRDefault="004079FB" w:rsidP="007A2668">
      <w:pPr>
        <w:pBdr>
          <w:top w:val="nil"/>
          <w:left w:val="nil"/>
          <w:bottom w:val="nil"/>
          <w:right w:val="nil"/>
          <w:between w:val="nil"/>
        </w:pBdr>
        <w:spacing w:after="0" w:line="240" w:lineRule="auto"/>
        <w:ind w:right="695"/>
        <w:jc w:val="both"/>
        <w:rPr>
          <w:rFonts w:ascii="Arial" w:eastAsia="Arial" w:hAnsi="Arial" w:cs="Arial"/>
          <w:sz w:val="18"/>
          <w:szCs w:val="18"/>
        </w:rPr>
      </w:pPr>
    </w:p>
    <w:p w14:paraId="54A92E77" w14:textId="77777777" w:rsidR="0023595C" w:rsidRDefault="004D4144" w:rsidP="004079FB">
      <w:pPr>
        <w:pBdr>
          <w:top w:val="nil"/>
          <w:left w:val="nil"/>
          <w:bottom w:val="nil"/>
          <w:right w:val="nil"/>
          <w:between w:val="nil"/>
        </w:pBdr>
        <w:spacing w:after="0" w:line="240" w:lineRule="auto"/>
        <w:ind w:right="695"/>
        <w:jc w:val="center"/>
        <w:rPr>
          <w:rFonts w:ascii="Arial" w:eastAsia="Arial" w:hAnsi="Arial" w:cs="Arial"/>
          <w:color w:val="000000"/>
          <w:sz w:val="18"/>
          <w:szCs w:val="18"/>
        </w:rPr>
      </w:pPr>
      <w:r>
        <w:rPr>
          <w:rFonts w:ascii="Arial" w:eastAsia="Arial" w:hAnsi="Arial" w:cs="Arial"/>
          <w:color w:val="000000"/>
          <w:sz w:val="18"/>
          <w:szCs w:val="18"/>
        </w:rPr>
        <w:t>#   #    #</w:t>
      </w:r>
    </w:p>
    <w:sectPr w:rsidR="0023595C" w:rsidSect="007A266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8FED" w14:textId="77777777" w:rsidR="00F47490" w:rsidRDefault="00F47490" w:rsidP="007A2668">
      <w:pPr>
        <w:spacing w:after="0" w:line="240" w:lineRule="auto"/>
      </w:pPr>
      <w:r>
        <w:separator/>
      </w:r>
    </w:p>
  </w:endnote>
  <w:endnote w:type="continuationSeparator" w:id="0">
    <w:p w14:paraId="7136BAE9" w14:textId="77777777" w:rsidR="00F47490" w:rsidRDefault="00F47490" w:rsidP="007A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23276" w14:textId="77777777" w:rsidR="00F47490" w:rsidRDefault="00F47490" w:rsidP="007A2668">
      <w:pPr>
        <w:spacing w:after="0" w:line="240" w:lineRule="auto"/>
      </w:pPr>
      <w:r>
        <w:separator/>
      </w:r>
    </w:p>
  </w:footnote>
  <w:footnote w:type="continuationSeparator" w:id="0">
    <w:p w14:paraId="381DC3F7" w14:textId="77777777" w:rsidR="00F47490" w:rsidRDefault="00F47490" w:rsidP="007A2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D9"/>
    <w:multiLevelType w:val="hybridMultilevel"/>
    <w:tmpl w:val="3CA035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240627"/>
    <w:multiLevelType w:val="hybridMultilevel"/>
    <w:tmpl w:val="19AAD522"/>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81C2F16"/>
    <w:multiLevelType w:val="hybridMultilevel"/>
    <w:tmpl w:val="AC4C8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DB11A9"/>
    <w:multiLevelType w:val="hybridMultilevel"/>
    <w:tmpl w:val="980EC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C645BC"/>
    <w:multiLevelType w:val="hybridMultilevel"/>
    <w:tmpl w:val="980EC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5EE4AAF"/>
    <w:multiLevelType w:val="multilevel"/>
    <w:tmpl w:val="9BEA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C0741"/>
    <w:multiLevelType w:val="hybridMultilevel"/>
    <w:tmpl w:val="31005CD8"/>
    <w:lvl w:ilvl="0" w:tplc="9B685F80">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B5324EE"/>
    <w:multiLevelType w:val="hybridMultilevel"/>
    <w:tmpl w:val="A3E2A1EE"/>
    <w:lvl w:ilvl="0" w:tplc="61C0789E">
      <w:start w:val="9"/>
      <w:numFmt w:val="decimal"/>
      <w:lvlText w:val="%1."/>
      <w:lvlJc w:val="left"/>
      <w:pPr>
        <w:ind w:left="1080" w:hanging="360"/>
      </w:pPr>
      <w:rPr>
        <w:rFonts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D00713F"/>
    <w:multiLevelType w:val="hybridMultilevel"/>
    <w:tmpl w:val="7F2E7FA2"/>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7D570D3"/>
    <w:multiLevelType w:val="multilevel"/>
    <w:tmpl w:val="5F8611CA"/>
    <w:lvl w:ilvl="0">
      <w:start w:val="4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182FD4"/>
    <w:multiLevelType w:val="hybridMultilevel"/>
    <w:tmpl w:val="2B3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84514"/>
    <w:multiLevelType w:val="hybridMultilevel"/>
    <w:tmpl w:val="AC4C8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8"/>
  </w:num>
  <w:num w:numId="5">
    <w:abstractNumId w:val="11"/>
  </w:num>
  <w:num w:numId="6">
    <w:abstractNumId w:val="6"/>
  </w:num>
  <w:num w:numId="7">
    <w:abstractNumId w:val="5"/>
  </w:num>
  <w:num w:numId="8">
    <w:abstractNumId w:val="2"/>
  </w:num>
  <w:num w:numId="9">
    <w:abstractNumId w:val="3"/>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91"/>
    <w:rsid w:val="00014517"/>
    <w:rsid w:val="00017EC2"/>
    <w:rsid w:val="00076FBD"/>
    <w:rsid w:val="0009145A"/>
    <w:rsid w:val="000B7423"/>
    <w:rsid w:val="000D1270"/>
    <w:rsid w:val="001A0CD4"/>
    <w:rsid w:val="001E5DCA"/>
    <w:rsid w:val="001F504A"/>
    <w:rsid w:val="0023595C"/>
    <w:rsid w:val="002771E3"/>
    <w:rsid w:val="002A6A0F"/>
    <w:rsid w:val="003D7BF9"/>
    <w:rsid w:val="003F348A"/>
    <w:rsid w:val="004079FB"/>
    <w:rsid w:val="004D4144"/>
    <w:rsid w:val="004E6A75"/>
    <w:rsid w:val="00523C91"/>
    <w:rsid w:val="00543BB8"/>
    <w:rsid w:val="00546402"/>
    <w:rsid w:val="005A2FBD"/>
    <w:rsid w:val="005D187B"/>
    <w:rsid w:val="005D3BC1"/>
    <w:rsid w:val="005F32FF"/>
    <w:rsid w:val="006C6209"/>
    <w:rsid w:val="00745DBC"/>
    <w:rsid w:val="00794CCD"/>
    <w:rsid w:val="007A2668"/>
    <w:rsid w:val="00870D85"/>
    <w:rsid w:val="00890667"/>
    <w:rsid w:val="00986CE4"/>
    <w:rsid w:val="0099485B"/>
    <w:rsid w:val="009A67A5"/>
    <w:rsid w:val="00AC1134"/>
    <w:rsid w:val="00AE50A4"/>
    <w:rsid w:val="00B34D5E"/>
    <w:rsid w:val="00B41102"/>
    <w:rsid w:val="00B66B4F"/>
    <w:rsid w:val="00C2228B"/>
    <w:rsid w:val="00C853D9"/>
    <w:rsid w:val="00CC35FC"/>
    <w:rsid w:val="00DB6DEF"/>
    <w:rsid w:val="00E020FB"/>
    <w:rsid w:val="00E4133D"/>
    <w:rsid w:val="00F47490"/>
    <w:rsid w:val="00F57617"/>
    <w:rsid w:val="00F74480"/>
    <w:rsid w:val="00FA6A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2B6FA"/>
  <w15:docId w15:val="{F33F2C7B-530D-497E-ADE9-D4F4FC93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tyle>
  <w:style w:type="paragraph" w:styleId="Heading1">
    <w:name w:val="heading 1"/>
    <w:basedOn w:val="Normal"/>
    <w:next w:val="Normal"/>
    <w:link w:val="Heading1Char"/>
    <w:uiPriority w:val="99"/>
    <w:pPr>
      <w:keepNext/>
      <w:keepLines/>
      <w:spacing w:before="480" w:after="120"/>
      <w:outlineLvl w:val="0"/>
    </w:pPr>
    <w:rPr>
      <w:b/>
      <w:sz w:val="48"/>
      <w:szCs w:val="48"/>
    </w:rPr>
  </w:style>
  <w:style w:type="paragraph" w:styleId="Heading2">
    <w:name w:val="heading 2"/>
    <w:basedOn w:val="Normal"/>
    <w:next w:val="Normal"/>
    <w:link w:val="Heading2Char"/>
    <w:uiPriority w:val="99"/>
    <w:pPr>
      <w:keepNext/>
      <w:keepLines/>
      <w:spacing w:before="360" w:after="80"/>
      <w:outlineLvl w:val="1"/>
    </w:pPr>
    <w:rPr>
      <w:b/>
      <w:sz w:val="36"/>
      <w:szCs w:val="36"/>
    </w:rPr>
  </w:style>
  <w:style w:type="paragraph" w:styleId="Heading3">
    <w:name w:val="heading 3"/>
    <w:basedOn w:val="Normal"/>
    <w:next w:val="Normal"/>
    <w:link w:val="Heading3Char"/>
    <w:uiPriority w:val="99"/>
    <w:pPr>
      <w:keepNext/>
      <w:keepLines/>
      <w:spacing w:before="280" w:after="80"/>
      <w:outlineLvl w:val="2"/>
    </w:pPr>
    <w:rPr>
      <w:b/>
      <w:sz w:val="28"/>
      <w:szCs w:val="28"/>
    </w:rPr>
  </w:style>
  <w:style w:type="paragraph" w:styleId="Heading4">
    <w:name w:val="heading 4"/>
    <w:basedOn w:val="Normal"/>
    <w:next w:val="Normal"/>
    <w:link w:val="Heading4Char"/>
    <w:uiPriority w:val="99"/>
    <w:pPr>
      <w:keepNext/>
      <w:keepLines/>
      <w:spacing w:before="240" w:after="40"/>
      <w:outlineLvl w:val="3"/>
    </w:pPr>
    <w:rPr>
      <w:b/>
      <w:sz w:val="24"/>
      <w:szCs w:val="24"/>
    </w:rPr>
  </w:style>
  <w:style w:type="paragraph" w:styleId="Heading5">
    <w:name w:val="heading 5"/>
    <w:basedOn w:val="Normal"/>
    <w:next w:val="Normal"/>
    <w:link w:val="Heading5Char"/>
    <w:uiPriority w:val="99"/>
    <w:pPr>
      <w:keepNext/>
      <w:keepLines/>
      <w:spacing w:before="220" w:after="40"/>
      <w:outlineLvl w:val="4"/>
    </w:pPr>
    <w:rPr>
      <w:b/>
    </w:rPr>
  </w:style>
  <w:style w:type="paragraph" w:styleId="Heading6">
    <w:name w:val="heading 6"/>
    <w:basedOn w:val="Normal"/>
    <w:next w:val="Normal"/>
    <w:link w:val="Heading6Char"/>
    <w:uiPriority w:val="99"/>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spacing w:after="0" w:line="240" w:lineRule="auto"/>
    </w:pPr>
    <w:rPr>
      <w:sz w:val="24"/>
      <w:szCs w:val="24"/>
      <w:lang w:bidi="en-US"/>
    </w:rPr>
  </w:style>
  <w:style w:type="character" w:customStyle="1" w:styleId="BodyTextChar">
    <w:name w:val="Body Text Char"/>
    <w:basedOn w:val="DefaultParagraphFont"/>
    <w:link w:val="BodyText"/>
    <w:uiPriority w:val="1"/>
    <w:rPr>
      <w:rFonts w:ascii="Calibri" w:eastAsia="Calibri" w:hAnsi="Calibri" w:cs="Calibri"/>
      <w:sz w:val="24"/>
      <w:szCs w:val="24"/>
      <w:lang w:val="en-US" w:bidi="en-U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styleId="Subtitle">
    <w:name w:val="Subtitle"/>
    <w:basedOn w:val="Normal"/>
    <w:next w:val="Normal"/>
    <w:link w:val="SubtitleChar"/>
    <w:uiPriority w:val="99"/>
    <w:pPr>
      <w:keepNext/>
      <w:keepLines/>
      <w:spacing w:before="360" w:after="80"/>
    </w:pPr>
    <w:rPr>
      <w:rFonts w:ascii="Georgia" w:eastAsia="Georgia" w:hAnsi="Georgia" w:cs="Georgia"/>
      <w:i/>
      <w:color w:val="666666"/>
      <w:sz w:val="48"/>
      <w:szCs w:val="48"/>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table" w:styleId="TableGrid">
    <w:name w:val="Table Grid"/>
    <w:basedOn w:val="TableNormal"/>
    <w:uiPriority w:val="39"/>
    <w:rsid w:val="007A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2668"/>
    <w:rPr>
      <w:color w:val="605E5C"/>
      <w:shd w:val="clear" w:color="auto" w:fill="E1DFDD"/>
    </w:rPr>
  </w:style>
  <w:style w:type="character" w:customStyle="1" w:styleId="author">
    <w:name w:val="author"/>
    <w:basedOn w:val="DefaultParagraphFont"/>
    <w:rsid w:val="00CC35FC"/>
  </w:style>
  <w:style w:type="character" w:customStyle="1" w:styleId="Title1">
    <w:name w:val="Title1"/>
    <w:basedOn w:val="DefaultParagraphFont"/>
    <w:rsid w:val="00CC35FC"/>
  </w:style>
  <w:style w:type="character" w:customStyle="1" w:styleId="journal">
    <w:name w:val="journal"/>
    <w:basedOn w:val="DefaultParagraphFont"/>
    <w:rsid w:val="00CC35FC"/>
  </w:style>
  <w:style w:type="character" w:customStyle="1" w:styleId="product">
    <w:name w:val="product"/>
    <w:basedOn w:val="DefaultParagraphFont"/>
    <w:rsid w:val="00CC35FC"/>
  </w:style>
  <w:style w:type="character" w:customStyle="1" w:styleId="year">
    <w:name w:val="year"/>
    <w:basedOn w:val="DefaultParagraphFont"/>
    <w:rsid w:val="00CC35FC"/>
  </w:style>
  <w:style w:type="character" w:customStyle="1" w:styleId="page-range">
    <w:name w:val="page-range"/>
    <w:basedOn w:val="DefaultParagraphFont"/>
    <w:rsid w:val="00CC35FC"/>
  </w:style>
  <w:style w:type="character" w:customStyle="1" w:styleId="description">
    <w:name w:val="description"/>
    <w:basedOn w:val="DefaultParagraphFont"/>
    <w:rsid w:val="00CC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healthin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hra.r@pg.com" TargetMode="External"/><Relationship Id="rId4" Type="http://schemas.openxmlformats.org/officeDocument/2006/relationships/webSettings" Target="webSettings.xml"/><Relationship Id="rId9" Type="http://schemas.openxmlformats.org/officeDocument/2006/relationships/hyperlink" Target="mailto:srajan@current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Ruchita Mehra</dc:creator>
  <cp:lastModifiedBy>Mehra, Ruchita</cp:lastModifiedBy>
  <cp:revision>2</cp:revision>
  <dcterms:created xsi:type="dcterms:W3CDTF">2019-09-02T15:17:00Z</dcterms:created>
  <dcterms:modified xsi:type="dcterms:W3CDTF">2019-09-02T15:17:00Z</dcterms:modified>
</cp:coreProperties>
</file>