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B375B" w14:textId="77777777" w:rsidR="00994B63" w:rsidRPr="00121BF2" w:rsidRDefault="009B5EE5">
      <w:pPr>
        <w:pStyle w:val="Heading1"/>
        <w:spacing w:before="35"/>
        <w:rPr>
          <w:rFonts w:ascii="Open Sans" w:hAnsi="Open Sans" w:cs="Open Sans"/>
          <w:b/>
          <w:bCs/>
        </w:rPr>
      </w:pPr>
      <w:bookmarkStart w:id="0" w:name="Directions_on_How_to_Write_a_Resolution"/>
      <w:bookmarkEnd w:id="0"/>
      <w:r w:rsidRPr="00121BF2">
        <w:rPr>
          <w:rFonts w:ascii="Open Sans" w:hAnsi="Open Sans" w:cs="Open Sans"/>
          <w:b/>
          <w:bCs/>
          <w:color w:val="4F81BD" w:themeColor="accent1"/>
        </w:rPr>
        <w:t>Directions on How to Write a Resolution</w:t>
      </w:r>
    </w:p>
    <w:p w14:paraId="2A774AB8" w14:textId="77777777" w:rsidR="00994B63" w:rsidRPr="00121BF2" w:rsidRDefault="00994B63">
      <w:pPr>
        <w:pStyle w:val="BodyText"/>
        <w:spacing w:before="6"/>
        <w:rPr>
          <w:rFonts w:ascii="Open Sans" w:hAnsi="Open Sans" w:cs="Open Sans"/>
          <w:sz w:val="26"/>
        </w:rPr>
      </w:pPr>
    </w:p>
    <w:p w14:paraId="3D7A3236" w14:textId="77777777" w:rsidR="00994B63" w:rsidRPr="00121BF2" w:rsidRDefault="009B5EE5">
      <w:pPr>
        <w:pStyle w:val="Heading2"/>
        <w:rPr>
          <w:rFonts w:ascii="Open Sans" w:hAnsi="Open Sans" w:cs="Open Sans"/>
        </w:rPr>
      </w:pPr>
      <w:r w:rsidRPr="00121BF2">
        <w:rPr>
          <w:rFonts w:ascii="Open Sans" w:hAnsi="Open Sans" w:cs="Open Sans"/>
        </w:rPr>
        <w:t>Whereas Clauses</w:t>
      </w:r>
    </w:p>
    <w:p w14:paraId="13E51265" w14:textId="571D3D72" w:rsidR="00994B63" w:rsidRPr="00121BF2" w:rsidRDefault="009B5EE5">
      <w:pPr>
        <w:pStyle w:val="ListParagraph"/>
        <w:numPr>
          <w:ilvl w:val="0"/>
          <w:numId w:val="3"/>
        </w:numPr>
        <w:tabs>
          <w:tab w:val="left" w:pos="1419"/>
          <w:tab w:val="left" w:pos="1420"/>
        </w:tabs>
        <w:ind w:right="285"/>
        <w:rPr>
          <w:rFonts w:ascii="Open Sans" w:hAnsi="Open Sans" w:cs="Open Sans"/>
          <w:sz w:val="24"/>
        </w:rPr>
      </w:pPr>
      <w:r w:rsidRPr="00121BF2">
        <w:rPr>
          <w:rFonts w:ascii="Open Sans" w:hAnsi="Open Sans" w:cs="Open Sans"/>
          <w:sz w:val="24"/>
        </w:rPr>
        <w:t xml:space="preserve">In the whereas clauses you should 1) explain why the resolution should be considered by the Advisory Board, 2) describe the issue that the resolve clause will address, and 3) </w:t>
      </w:r>
      <w:r w:rsidR="00121BF2">
        <w:rPr>
          <w:rFonts w:ascii="Open Sans" w:hAnsi="Open Sans" w:cs="Open Sans"/>
          <w:sz w:val="24"/>
        </w:rPr>
        <w:t xml:space="preserve">note </w:t>
      </w:r>
      <w:r w:rsidRPr="00121BF2">
        <w:rPr>
          <w:rFonts w:ascii="Open Sans" w:hAnsi="Open Sans" w:cs="Open Sans"/>
          <w:sz w:val="24"/>
        </w:rPr>
        <w:t>how the action or information in resolve clause will correct the policy</w:t>
      </w:r>
      <w:r w:rsidRPr="00121BF2">
        <w:rPr>
          <w:rFonts w:ascii="Open Sans" w:hAnsi="Open Sans" w:cs="Open Sans"/>
          <w:spacing w:val="-16"/>
          <w:sz w:val="24"/>
        </w:rPr>
        <w:t xml:space="preserve"> </w:t>
      </w:r>
      <w:r w:rsidRPr="00121BF2">
        <w:rPr>
          <w:rFonts w:ascii="Open Sans" w:hAnsi="Open Sans" w:cs="Open Sans"/>
          <w:sz w:val="24"/>
        </w:rPr>
        <w:t>issue.</w:t>
      </w:r>
    </w:p>
    <w:p w14:paraId="55FF58D3" w14:textId="77777777" w:rsidR="00994B63" w:rsidRPr="00121BF2" w:rsidRDefault="00994B63">
      <w:pPr>
        <w:spacing w:before="10"/>
        <w:rPr>
          <w:rFonts w:ascii="Open Sans" w:hAnsi="Open Sans" w:cs="Open Sans"/>
          <w:sz w:val="23"/>
        </w:rPr>
      </w:pPr>
    </w:p>
    <w:p w14:paraId="3FFF6FF8" w14:textId="6549618B" w:rsidR="00994B63" w:rsidRPr="00121BF2" w:rsidRDefault="009B5EE5">
      <w:pPr>
        <w:pStyle w:val="ListParagraph"/>
        <w:numPr>
          <w:ilvl w:val="0"/>
          <w:numId w:val="3"/>
        </w:numPr>
        <w:tabs>
          <w:tab w:val="left" w:pos="1419"/>
          <w:tab w:val="left" w:pos="1420"/>
        </w:tabs>
        <w:spacing w:before="1"/>
        <w:ind w:right="695"/>
        <w:rPr>
          <w:rFonts w:ascii="Open Sans" w:hAnsi="Open Sans" w:cs="Open Sans"/>
          <w:sz w:val="24"/>
        </w:rPr>
      </w:pPr>
      <w:r w:rsidRPr="00121BF2">
        <w:rPr>
          <w:rFonts w:ascii="Open Sans" w:hAnsi="Open Sans" w:cs="Open Sans"/>
          <w:sz w:val="24"/>
        </w:rPr>
        <w:t xml:space="preserve">You should include relevant statistics to support the requested action and cite references for and against the resolution. The information in the whereas clause is meant to help you defend your resolution at the </w:t>
      </w:r>
      <w:r w:rsidR="00121BF2">
        <w:rPr>
          <w:rFonts w:ascii="Open Sans" w:hAnsi="Open Sans" w:cs="Open Sans"/>
          <w:sz w:val="24"/>
        </w:rPr>
        <w:t>R</w:t>
      </w:r>
      <w:r w:rsidRPr="00121BF2">
        <w:rPr>
          <w:rFonts w:ascii="Open Sans" w:hAnsi="Open Sans" w:cs="Open Sans"/>
          <w:sz w:val="24"/>
        </w:rPr>
        <w:t xml:space="preserve">eference </w:t>
      </w:r>
      <w:r w:rsidR="00121BF2">
        <w:rPr>
          <w:rFonts w:ascii="Open Sans" w:hAnsi="Open Sans" w:cs="Open Sans"/>
          <w:sz w:val="24"/>
        </w:rPr>
        <w:t>C</w:t>
      </w:r>
      <w:r w:rsidRPr="00121BF2">
        <w:rPr>
          <w:rFonts w:ascii="Open Sans" w:hAnsi="Open Sans" w:cs="Open Sans"/>
          <w:sz w:val="24"/>
        </w:rPr>
        <w:t>ommittee</w:t>
      </w:r>
      <w:r w:rsidRPr="00121BF2">
        <w:rPr>
          <w:rFonts w:ascii="Open Sans" w:hAnsi="Open Sans" w:cs="Open Sans"/>
          <w:spacing w:val="-18"/>
          <w:sz w:val="24"/>
        </w:rPr>
        <w:t xml:space="preserve"> </w:t>
      </w:r>
      <w:r w:rsidR="00121BF2">
        <w:rPr>
          <w:rFonts w:ascii="Open Sans" w:hAnsi="Open Sans" w:cs="Open Sans"/>
          <w:sz w:val="24"/>
        </w:rPr>
        <w:t>H</w:t>
      </w:r>
      <w:r w:rsidRPr="00121BF2">
        <w:rPr>
          <w:rFonts w:ascii="Open Sans" w:hAnsi="Open Sans" w:cs="Open Sans"/>
          <w:sz w:val="24"/>
        </w:rPr>
        <w:t>earing.</w:t>
      </w:r>
    </w:p>
    <w:p w14:paraId="4577445A" w14:textId="77777777" w:rsidR="00994B63" w:rsidRPr="00121BF2" w:rsidRDefault="00994B63">
      <w:pPr>
        <w:rPr>
          <w:rFonts w:ascii="Open Sans" w:hAnsi="Open Sans" w:cs="Open Sans"/>
          <w:sz w:val="24"/>
        </w:rPr>
      </w:pPr>
    </w:p>
    <w:p w14:paraId="2ED0ACA5" w14:textId="4FC6AA8A" w:rsidR="00994B63" w:rsidRPr="004339FE" w:rsidRDefault="009B5EE5" w:rsidP="004339FE">
      <w:pPr>
        <w:pStyle w:val="ListParagraph"/>
        <w:numPr>
          <w:ilvl w:val="0"/>
          <w:numId w:val="3"/>
        </w:numPr>
        <w:tabs>
          <w:tab w:val="left" w:pos="1419"/>
          <w:tab w:val="left" w:pos="1420"/>
        </w:tabs>
        <w:spacing w:before="11"/>
        <w:ind w:right="949"/>
        <w:rPr>
          <w:rFonts w:ascii="Open Sans" w:hAnsi="Open Sans" w:cs="Open Sans"/>
          <w:sz w:val="24"/>
          <w:szCs w:val="24"/>
        </w:rPr>
      </w:pPr>
      <w:r w:rsidRPr="004339FE">
        <w:rPr>
          <w:rFonts w:ascii="Open Sans" w:hAnsi="Open Sans" w:cs="Open Sans"/>
          <w:sz w:val="24"/>
        </w:rPr>
        <w:t>In the whereas clause</w:t>
      </w:r>
      <w:r w:rsidR="00121BF2" w:rsidRPr="004339FE">
        <w:rPr>
          <w:rFonts w:ascii="Open Sans" w:hAnsi="Open Sans" w:cs="Open Sans"/>
          <w:sz w:val="24"/>
        </w:rPr>
        <w:t>,</w:t>
      </w:r>
      <w:r w:rsidRPr="004339FE">
        <w:rPr>
          <w:rFonts w:ascii="Open Sans" w:hAnsi="Open Sans" w:cs="Open Sans"/>
          <w:sz w:val="24"/>
        </w:rPr>
        <w:t xml:space="preserve"> please cite current Academy policy if it exists. To </w:t>
      </w:r>
      <w:r w:rsidRPr="004339FE">
        <w:rPr>
          <w:rFonts w:ascii="Open Sans" w:hAnsi="Open Sans" w:cs="Open Sans"/>
          <w:sz w:val="24"/>
          <w:szCs w:val="24"/>
        </w:rPr>
        <w:t xml:space="preserve">view the Academy’s current position </w:t>
      </w:r>
      <w:r w:rsidR="00CD7B84" w:rsidRPr="004339FE">
        <w:rPr>
          <w:rFonts w:ascii="Open Sans" w:hAnsi="Open Sans" w:cs="Open Sans"/>
          <w:sz w:val="24"/>
          <w:szCs w:val="24"/>
        </w:rPr>
        <w:t>statements,</w:t>
      </w:r>
      <w:r w:rsidRPr="004339FE">
        <w:rPr>
          <w:rFonts w:ascii="Open Sans" w:hAnsi="Open Sans" w:cs="Open Sans"/>
          <w:sz w:val="24"/>
          <w:szCs w:val="24"/>
        </w:rPr>
        <w:t xml:space="preserve"> visit:</w:t>
      </w:r>
      <w:r w:rsidR="00CD7B84" w:rsidRPr="004339FE">
        <w:rPr>
          <w:rFonts w:ascii="Open Sans" w:hAnsi="Open Sans" w:cs="Open Sans"/>
          <w:color w:val="0562C1"/>
          <w:sz w:val="24"/>
          <w:szCs w:val="24"/>
          <w:u w:color="0562C1"/>
        </w:rPr>
        <w:t xml:space="preserve"> </w:t>
      </w:r>
      <w:hyperlink r:id="rId5" w:history="1">
        <w:r w:rsidR="004339FE" w:rsidRPr="004339FE">
          <w:rPr>
            <w:rStyle w:val="Hyperlink"/>
            <w:rFonts w:ascii="Open Sans" w:hAnsi="Open Sans" w:cs="Open Sans"/>
            <w:sz w:val="24"/>
            <w:szCs w:val="24"/>
          </w:rPr>
          <w:t>https://</w:t>
        </w:r>
        <w:r w:rsidR="004339FE" w:rsidRPr="004339FE">
          <w:rPr>
            <w:rStyle w:val="Hyperlink"/>
            <w:rFonts w:ascii="Open Sans" w:hAnsi="Open Sans" w:cs="Open Sans"/>
            <w:sz w:val="24"/>
            <w:szCs w:val="24"/>
          </w:rPr>
          <w:t>www.aad.org/Forms/Policies/ps.aspx</w:t>
        </w:r>
      </w:hyperlink>
    </w:p>
    <w:p w14:paraId="138943D5" w14:textId="77777777" w:rsidR="004339FE" w:rsidRPr="004339FE" w:rsidRDefault="004339FE" w:rsidP="004339FE">
      <w:pPr>
        <w:tabs>
          <w:tab w:val="left" w:pos="1419"/>
          <w:tab w:val="left" w:pos="1420"/>
        </w:tabs>
        <w:spacing w:before="11"/>
        <w:ind w:right="949"/>
        <w:rPr>
          <w:rFonts w:ascii="Open Sans" w:hAnsi="Open Sans" w:cs="Open Sans"/>
          <w:sz w:val="19"/>
        </w:rPr>
      </w:pPr>
    </w:p>
    <w:p w14:paraId="167BF3FC" w14:textId="77777777" w:rsidR="00994B63" w:rsidRPr="00121BF2" w:rsidRDefault="009B5EE5">
      <w:pPr>
        <w:spacing w:before="51" w:line="292" w:lineRule="exact"/>
        <w:ind w:left="700"/>
        <w:rPr>
          <w:rFonts w:ascii="Open Sans" w:hAnsi="Open Sans" w:cs="Open Sans"/>
          <w:b/>
          <w:sz w:val="24"/>
        </w:rPr>
      </w:pPr>
      <w:r w:rsidRPr="00121BF2">
        <w:rPr>
          <w:rFonts w:ascii="Open Sans" w:hAnsi="Open Sans" w:cs="Open Sans"/>
          <w:b/>
          <w:sz w:val="24"/>
        </w:rPr>
        <w:t>Resolved Clauses</w:t>
      </w:r>
    </w:p>
    <w:p w14:paraId="2C4BCD4F" w14:textId="3AF5FCBB" w:rsidR="00994B63" w:rsidRPr="00121BF2" w:rsidRDefault="009B5EE5">
      <w:pPr>
        <w:pStyle w:val="ListParagraph"/>
        <w:numPr>
          <w:ilvl w:val="0"/>
          <w:numId w:val="3"/>
        </w:numPr>
        <w:tabs>
          <w:tab w:val="left" w:pos="1419"/>
          <w:tab w:val="left" w:pos="1420"/>
        </w:tabs>
        <w:ind w:right="324"/>
        <w:rPr>
          <w:rFonts w:ascii="Open Sans" w:hAnsi="Open Sans" w:cs="Open Sans"/>
          <w:sz w:val="24"/>
        </w:rPr>
      </w:pPr>
      <w:r w:rsidRPr="00121BF2">
        <w:rPr>
          <w:rFonts w:ascii="Open Sans" w:hAnsi="Open Sans" w:cs="Open Sans"/>
          <w:sz w:val="24"/>
        </w:rPr>
        <w:t xml:space="preserve">Each resolve clause should be concise with language that is understood independently of </w:t>
      </w:r>
      <w:r w:rsidR="00121BF2">
        <w:rPr>
          <w:rFonts w:ascii="Open Sans" w:hAnsi="Open Sans" w:cs="Open Sans"/>
          <w:sz w:val="24"/>
        </w:rPr>
        <w:t xml:space="preserve">the </w:t>
      </w:r>
      <w:r w:rsidRPr="00121BF2">
        <w:rPr>
          <w:rFonts w:ascii="Open Sans" w:hAnsi="Open Sans" w:cs="Open Sans"/>
          <w:sz w:val="24"/>
        </w:rPr>
        <w:t>whereas</w:t>
      </w:r>
      <w:r w:rsidRPr="00121BF2">
        <w:rPr>
          <w:rFonts w:ascii="Open Sans" w:hAnsi="Open Sans" w:cs="Open Sans"/>
          <w:spacing w:val="-2"/>
          <w:sz w:val="24"/>
        </w:rPr>
        <w:t xml:space="preserve"> </w:t>
      </w:r>
      <w:r w:rsidRPr="00121BF2">
        <w:rPr>
          <w:rFonts w:ascii="Open Sans" w:hAnsi="Open Sans" w:cs="Open Sans"/>
          <w:sz w:val="24"/>
        </w:rPr>
        <w:t>clauses</w:t>
      </w:r>
      <w:r w:rsidR="00121BF2">
        <w:rPr>
          <w:rFonts w:ascii="Open Sans" w:hAnsi="Open Sans" w:cs="Open Sans"/>
          <w:sz w:val="24"/>
        </w:rPr>
        <w:t>.</w:t>
      </w:r>
    </w:p>
    <w:p w14:paraId="73102377" w14:textId="77777777" w:rsidR="00994B63" w:rsidRPr="00121BF2" w:rsidRDefault="00994B63">
      <w:pPr>
        <w:spacing w:before="11"/>
        <w:rPr>
          <w:rFonts w:ascii="Open Sans" w:hAnsi="Open Sans" w:cs="Open Sans"/>
          <w:sz w:val="23"/>
        </w:rPr>
      </w:pPr>
    </w:p>
    <w:p w14:paraId="4D2D8F48" w14:textId="6B7136ED" w:rsidR="00994B63" w:rsidRPr="00121BF2" w:rsidRDefault="009B5EE5">
      <w:pPr>
        <w:pStyle w:val="ListParagraph"/>
        <w:numPr>
          <w:ilvl w:val="0"/>
          <w:numId w:val="3"/>
        </w:numPr>
        <w:tabs>
          <w:tab w:val="left" w:pos="1419"/>
          <w:tab w:val="left" w:pos="1420"/>
        </w:tabs>
        <w:ind w:right="254"/>
        <w:rPr>
          <w:rFonts w:ascii="Open Sans" w:hAnsi="Open Sans" w:cs="Open Sans"/>
          <w:sz w:val="24"/>
        </w:rPr>
      </w:pPr>
      <w:r w:rsidRPr="00121BF2">
        <w:rPr>
          <w:rFonts w:ascii="Open Sans" w:hAnsi="Open Sans" w:cs="Open Sans"/>
          <w:sz w:val="24"/>
        </w:rPr>
        <w:t>You should clarify if you are calling on the American Academy of Dermatology to take a specific action in the resolve clause by stating for example that, “Resolved, that our AAD/A…”</w:t>
      </w:r>
      <w:r w:rsidR="00121BF2">
        <w:rPr>
          <w:rFonts w:ascii="Open Sans" w:hAnsi="Open Sans" w:cs="Open Sans"/>
          <w:sz w:val="24"/>
        </w:rPr>
        <w:t>.</w:t>
      </w:r>
    </w:p>
    <w:p w14:paraId="67DE8B28" w14:textId="77777777" w:rsidR="00994B63" w:rsidRPr="00121BF2" w:rsidRDefault="00994B63">
      <w:pPr>
        <w:spacing w:before="1"/>
        <w:rPr>
          <w:rFonts w:ascii="Open Sans" w:hAnsi="Open Sans" w:cs="Open Sans"/>
          <w:sz w:val="24"/>
        </w:rPr>
      </w:pPr>
    </w:p>
    <w:p w14:paraId="5F8D5ABE" w14:textId="77777777" w:rsidR="00994B63" w:rsidRPr="00121BF2" w:rsidRDefault="009B5EE5">
      <w:pPr>
        <w:spacing w:before="1" w:line="292" w:lineRule="exact"/>
        <w:ind w:left="700"/>
        <w:rPr>
          <w:rFonts w:ascii="Open Sans" w:hAnsi="Open Sans" w:cs="Open Sans"/>
          <w:b/>
          <w:sz w:val="24"/>
        </w:rPr>
      </w:pPr>
      <w:r w:rsidRPr="00121BF2">
        <w:rPr>
          <w:rFonts w:ascii="Open Sans" w:hAnsi="Open Sans" w:cs="Open Sans"/>
          <w:b/>
          <w:sz w:val="24"/>
        </w:rPr>
        <w:t>Prior to the Advisory Board Meeting:</w:t>
      </w:r>
    </w:p>
    <w:p w14:paraId="4CDF035D" w14:textId="30E9556D" w:rsidR="00994B63" w:rsidRPr="00121BF2" w:rsidRDefault="009B5EE5">
      <w:pPr>
        <w:pStyle w:val="ListParagraph"/>
        <w:numPr>
          <w:ilvl w:val="0"/>
          <w:numId w:val="3"/>
        </w:numPr>
        <w:tabs>
          <w:tab w:val="left" w:pos="1419"/>
          <w:tab w:val="left" w:pos="1420"/>
        </w:tabs>
        <w:spacing w:line="305" w:lineRule="exact"/>
        <w:rPr>
          <w:rFonts w:ascii="Open Sans" w:hAnsi="Open Sans" w:cs="Open Sans"/>
          <w:sz w:val="24"/>
        </w:rPr>
      </w:pPr>
      <w:r w:rsidRPr="00121BF2">
        <w:rPr>
          <w:rFonts w:ascii="Open Sans" w:hAnsi="Open Sans" w:cs="Open Sans"/>
          <w:sz w:val="24"/>
        </w:rPr>
        <w:t>Prepare a brief statement to introduce your resolution at the</w:t>
      </w:r>
      <w:r w:rsidRPr="00121BF2">
        <w:rPr>
          <w:rFonts w:ascii="Open Sans" w:hAnsi="Open Sans" w:cs="Open Sans"/>
          <w:spacing w:val="-4"/>
          <w:sz w:val="24"/>
        </w:rPr>
        <w:t xml:space="preserve"> </w:t>
      </w:r>
      <w:r w:rsidRPr="00121BF2">
        <w:rPr>
          <w:rFonts w:ascii="Open Sans" w:hAnsi="Open Sans" w:cs="Open Sans"/>
          <w:sz w:val="24"/>
        </w:rPr>
        <w:t>meeting</w:t>
      </w:r>
      <w:r w:rsidR="00121BF2">
        <w:rPr>
          <w:rFonts w:ascii="Open Sans" w:hAnsi="Open Sans" w:cs="Open Sans"/>
          <w:sz w:val="24"/>
        </w:rPr>
        <w:t>.</w:t>
      </w:r>
    </w:p>
    <w:p w14:paraId="2290E68C" w14:textId="77777777" w:rsidR="00994B63" w:rsidRPr="00121BF2" w:rsidRDefault="00994B63">
      <w:pPr>
        <w:spacing w:before="10"/>
        <w:rPr>
          <w:rFonts w:ascii="Open Sans" w:hAnsi="Open Sans" w:cs="Open Sans"/>
          <w:sz w:val="23"/>
        </w:rPr>
      </w:pPr>
    </w:p>
    <w:p w14:paraId="2BE94195" w14:textId="205F68B4" w:rsidR="00994B63" w:rsidRDefault="009B5EE5">
      <w:pPr>
        <w:pStyle w:val="ListParagraph"/>
        <w:numPr>
          <w:ilvl w:val="0"/>
          <w:numId w:val="3"/>
        </w:numPr>
        <w:tabs>
          <w:tab w:val="left" w:pos="1419"/>
          <w:tab w:val="left" w:pos="1420"/>
        </w:tabs>
        <w:spacing w:before="1"/>
        <w:rPr>
          <w:rFonts w:ascii="Open Sans" w:hAnsi="Open Sans" w:cs="Open Sans"/>
          <w:sz w:val="24"/>
        </w:rPr>
      </w:pPr>
      <w:r w:rsidRPr="00121BF2">
        <w:rPr>
          <w:rFonts w:ascii="Open Sans" w:hAnsi="Open Sans" w:cs="Open Sans"/>
          <w:sz w:val="24"/>
        </w:rPr>
        <w:t>Prepare to defend your resolution at the</w:t>
      </w:r>
      <w:r w:rsidRPr="00121BF2">
        <w:rPr>
          <w:rFonts w:ascii="Open Sans" w:hAnsi="Open Sans" w:cs="Open Sans"/>
          <w:spacing w:val="-6"/>
          <w:sz w:val="24"/>
        </w:rPr>
        <w:t xml:space="preserve"> </w:t>
      </w:r>
      <w:r w:rsidRPr="00121BF2">
        <w:rPr>
          <w:rFonts w:ascii="Open Sans" w:hAnsi="Open Sans" w:cs="Open Sans"/>
          <w:sz w:val="24"/>
        </w:rPr>
        <w:t>meeting</w:t>
      </w:r>
      <w:r w:rsidR="00121BF2">
        <w:rPr>
          <w:rFonts w:ascii="Open Sans" w:hAnsi="Open Sans" w:cs="Open Sans"/>
          <w:sz w:val="24"/>
        </w:rPr>
        <w:t>.</w:t>
      </w:r>
    </w:p>
    <w:p w14:paraId="50098C39" w14:textId="77777777" w:rsidR="00121BF2" w:rsidRPr="00121BF2" w:rsidRDefault="00121BF2" w:rsidP="00121BF2">
      <w:pPr>
        <w:pStyle w:val="ListParagraph"/>
        <w:rPr>
          <w:rFonts w:ascii="Open Sans" w:hAnsi="Open Sans" w:cs="Open Sans"/>
          <w:sz w:val="24"/>
        </w:rPr>
      </w:pPr>
    </w:p>
    <w:p w14:paraId="07407D0A" w14:textId="1F29363F" w:rsidR="00121BF2" w:rsidRPr="00121BF2" w:rsidRDefault="00121BF2">
      <w:pPr>
        <w:pStyle w:val="ListParagraph"/>
        <w:numPr>
          <w:ilvl w:val="0"/>
          <w:numId w:val="3"/>
        </w:numPr>
        <w:tabs>
          <w:tab w:val="left" w:pos="1419"/>
          <w:tab w:val="left" w:pos="1420"/>
        </w:tabs>
        <w:spacing w:before="1"/>
        <w:rPr>
          <w:rFonts w:ascii="Open Sans" w:hAnsi="Open Sans" w:cs="Open Sans"/>
          <w:sz w:val="24"/>
        </w:rPr>
      </w:pPr>
      <w:r>
        <w:rPr>
          <w:rFonts w:ascii="Open Sans" w:hAnsi="Open Sans" w:cs="Open Sans"/>
          <w:sz w:val="24"/>
        </w:rPr>
        <w:t xml:space="preserve">Update your Conflict-of-Interest Statement at: </w:t>
      </w:r>
      <w:hyperlink r:id="rId6" w:history="1">
        <w:r w:rsidR="00CD7B84" w:rsidRPr="00DB2B20">
          <w:rPr>
            <w:rStyle w:val="Hyperlink"/>
            <w:rFonts w:ascii="Open Sans" w:hAnsi="Open Sans" w:cs="Open Sans"/>
            <w:spacing w:val="-1"/>
            <w:sz w:val="24"/>
          </w:rPr>
          <w:t>https://www.aad.org/doi/</w:t>
        </w:r>
      </w:hyperlink>
    </w:p>
    <w:p w14:paraId="1D6E59AD" w14:textId="77777777" w:rsidR="00121BF2" w:rsidRPr="00121BF2" w:rsidRDefault="00121BF2" w:rsidP="00121BF2">
      <w:pPr>
        <w:pStyle w:val="ListParagraph"/>
        <w:rPr>
          <w:rFonts w:ascii="Open Sans" w:hAnsi="Open Sans" w:cs="Open Sans"/>
          <w:sz w:val="24"/>
        </w:rPr>
      </w:pPr>
    </w:p>
    <w:p w14:paraId="51D61848" w14:textId="22FAD630" w:rsidR="00121BF2" w:rsidRPr="00121BF2" w:rsidRDefault="00121BF2" w:rsidP="00121BF2">
      <w:pPr>
        <w:pStyle w:val="ListParagraph"/>
        <w:numPr>
          <w:ilvl w:val="1"/>
          <w:numId w:val="3"/>
        </w:numPr>
        <w:tabs>
          <w:tab w:val="left" w:pos="1419"/>
          <w:tab w:val="left" w:pos="1420"/>
        </w:tabs>
        <w:spacing w:before="1"/>
        <w:rPr>
          <w:rFonts w:ascii="Open Sans" w:hAnsi="Open Sans" w:cs="Open Sans"/>
          <w:sz w:val="24"/>
        </w:rPr>
      </w:pPr>
      <w:r w:rsidRPr="00121BF2">
        <w:rPr>
          <w:rFonts w:ascii="Open Sans" w:hAnsi="Open Sans" w:cs="Open Sans"/>
          <w:sz w:val="24"/>
        </w:rPr>
        <w:t>The Executive Committee instituted a new policy regarding conflict-of-interest statements. When a member introduces a resolution, they must also update and submit their conflict-of-interest statement. Additionally, a member must state their conflict of interest before speaking at the microphone at the Reference Committee Hearing and General Business Meeting.</w:t>
      </w:r>
    </w:p>
    <w:p w14:paraId="129E877A" w14:textId="40EA37D9" w:rsidR="00994B63" w:rsidRPr="00121BF2" w:rsidRDefault="00121BF2">
      <w:pPr>
        <w:ind w:left="2140" w:right="126" w:hanging="360"/>
        <w:rPr>
          <w:rFonts w:ascii="Open Sans" w:hAnsi="Open Sans" w:cs="Open Sans"/>
          <w:sz w:val="24"/>
        </w:rPr>
      </w:pPr>
      <w:r w:rsidRPr="00121BF2">
        <w:rPr>
          <w:rFonts w:ascii="Open Sans" w:hAnsi="Open Sans" w:cs="Open Sans"/>
          <w:sz w:val="24"/>
        </w:rPr>
        <w:t xml:space="preserve"> </w:t>
      </w:r>
    </w:p>
    <w:p w14:paraId="66C00EBD" w14:textId="77777777" w:rsidR="00994B63" w:rsidRPr="00121BF2" w:rsidRDefault="00994B63">
      <w:pPr>
        <w:spacing w:before="2"/>
        <w:rPr>
          <w:rFonts w:ascii="Open Sans" w:hAnsi="Open Sans" w:cs="Open Sans"/>
          <w:sz w:val="19"/>
        </w:rPr>
      </w:pPr>
    </w:p>
    <w:p w14:paraId="71024412" w14:textId="77777777" w:rsidR="00994B63" w:rsidRPr="00121BF2" w:rsidRDefault="009B5EE5">
      <w:pPr>
        <w:ind w:left="700"/>
        <w:rPr>
          <w:rFonts w:ascii="Open Sans" w:hAnsi="Open Sans" w:cs="Open Sans"/>
          <w:b/>
          <w:bCs/>
          <w:color w:val="4F81BD" w:themeColor="accent1"/>
          <w:sz w:val="32"/>
        </w:rPr>
      </w:pPr>
      <w:r w:rsidRPr="00121BF2">
        <w:rPr>
          <w:rFonts w:ascii="Open Sans" w:hAnsi="Open Sans" w:cs="Open Sans"/>
          <w:b/>
          <w:bCs/>
          <w:color w:val="4F81BD" w:themeColor="accent1"/>
          <w:sz w:val="32"/>
          <w:shd w:val="clear" w:color="auto" w:fill="FFFF00"/>
        </w:rPr>
        <w:t>*RESOLUTION TEMPLATE BELOW*</w:t>
      </w:r>
    </w:p>
    <w:p w14:paraId="7EFA5774" w14:textId="77777777" w:rsidR="00994B63" w:rsidRDefault="00994B63">
      <w:pPr>
        <w:rPr>
          <w:rFonts w:ascii="Calibri Light"/>
          <w:sz w:val="32"/>
        </w:rPr>
        <w:sectPr w:rsidR="00994B63">
          <w:type w:val="continuous"/>
          <w:pgSz w:w="12240" w:h="15840"/>
          <w:pgMar w:top="1500" w:right="1340" w:bottom="280" w:left="740" w:header="720" w:footer="720" w:gutter="0"/>
          <w:cols w:space="720"/>
        </w:sectPr>
      </w:pPr>
    </w:p>
    <w:p w14:paraId="64F9F327" w14:textId="77777777" w:rsidR="00994B63" w:rsidRDefault="009B5EE5">
      <w:pPr>
        <w:spacing w:before="82"/>
        <w:ind w:left="700"/>
        <w:rPr>
          <w:rFonts w:ascii="Arial"/>
          <w:b/>
        </w:rPr>
      </w:pPr>
      <w:r>
        <w:rPr>
          <w:rFonts w:ascii="Arial"/>
          <w:b/>
        </w:rPr>
        <w:lastRenderedPageBreak/>
        <w:t>RESOLUTION</w:t>
      </w:r>
    </w:p>
    <w:p w14:paraId="63F1FC4D" w14:textId="7E2B582D" w:rsidR="00994B63" w:rsidRDefault="009B5EE5">
      <w:pPr>
        <w:tabs>
          <w:tab w:val="left" w:pos="3579"/>
        </w:tabs>
        <w:spacing w:before="21"/>
        <w:ind w:left="700"/>
        <w:rPr>
          <w:rFonts w:ascii="Arial"/>
        </w:rPr>
      </w:pPr>
      <w:r>
        <w:rPr>
          <w:rFonts w:ascii="Arial"/>
          <w:b/>
        </w:rPr>
        <w:t>NUMBER</w:t>
      </w:r>
      <w:r>
        <w:rPr>
          <w:rFonts w:ascii="Arial"/>
          <w:b/>
        </w:rPr>
        <w:tab/>
      </w:r>
      <w:r w:rsidR="00121BF2">
        <w:rPr>
          <w:rFonts w:ascii="Arial"/>
        </w:rPr>
        <w:t>INSERT NUMBER</w:t>
      </w:r>
    </w:p>
    <w:p w14:paraId="55690DB5" w14:textId="77777777" w:rsidR="00994B63" w:rsidRDefault="00994B63">
      <w:pPr>
        <w:pStyle w:val="BodyText"/>
        <w:spacing w:before="0"/>
        <w:rPr>
          <w:sz w:val="24"/>
        </w:rPr>
      </w:pPr>
    </w:p>
    <w:p w14:paraId="3A3FBCA2" w14:textId="77777777" w:rsidR="00994B63" w:rsidRDefault="009B5EE5">
      <w:pPr>
        <w:tabs>
          <w:tab w:val="left" w:pos="3579"/>
        </w:tabs>
        <w:spacing w:before="174"/>
        <w:ind w:left="699"/>
        <w:rPr>
          <w:rFonts w:ascii="Arial"/>
        </w:rPr>
      </w:pPr>
      <w:r>
        <w:rPr>
          <w:rFonts w:ascii="Arial"/>
          <w:b/>
        </w:rPr>
        <w:t>TITLE</w:t>
      </w:r>
      <w:r>
        <w:rPr>
          <w:rFonts w:ascii="Arial"/>
          <w:b/>
        </w:rPr>
        <w:tab/>
      </w:r>
      <w:r>
        <w:rPr>
          <w:rFonts w:ascii="Arial"/>
        </w:rPr>
        <w:t>INSERT TITLE</w:t>
      </w:r>
    </w:p>
    <w:p w14:paraId="3A347190" w14:textId="77777777" w:rsidR="00994B63" w:rsidRDefault="00994B63">
      <w:pPr>
        <w:pStyle w:val="BodyText"/>
        <w:spacing w:before="0"/>
        <w:rPr>
          <w:sz w:val="24"/>
        </w:rPr>
      </w:pPr>
    </w:p>
    <w:p w14:paraId="08F56B92" w14:textId="77777777" w:rsidR="00994B63" w:rsidRDefault="00994B63">
      <w:pPr>
        <w:pStyle w:val="BodyText"/>
        <w:spacing w:before="4"/>
        <w:rPr>
          <w:sz w:val="29"/>
        </w:rPr>
      </w:pPr>
    </w:p>
    <w:p w14:paraId="4A2C73BD" w14:textId="77777777" w:rsidR="00994B63" w:rsidRDefault="009B5EE5">
      <w:pPr>
        <w:tabs>
          <w:tab w:val="left" w:pos="3579"/>
        </w:tabs>
        <w:ind w:left="699"/>
        <w:rPr>
          <w:rFonts w:ascii="Arial"/>
        </w:rPr>
      </w:pPr>
      <w:r>
        <w:rPr>
          <w:rFonts w:ascii="Arial"/>
          <w:b/>
        </w:rPr>
        <w:t>INTRODUCED</w:t>
      </w:r>
      <w:r>
        <w:rPr>
          <w:rFonts w:ascii="Arial"/>
          <w:b/>
          <w:spacing w:val="-2"/>
        </w:rPr>
        <w:t xml:space="preserve"> </w:t>
      </w:r>
      <w:r>
        <w:rPr>
          <w:rFonts w:ascii="Arial"/>
          <w:b/>
        </w:rPr>
        <w:t>BY</w:t>
      </w:r>
      <w:r>
        <w:rPr>
          <w:rFonts w:ascii="Arial"/>
          <w:b/>
        </w:rPr>
        <w:tab/>
      </w:r>
      <w:r>
        <w:rPr>
          <w:rFonts w:ascii="Arial"/>
        </w:rPr>
        <w:t>INSERT NAME AND STATE SOCIETY IF</w:t>
      </w:r>
      <w:r>
        <w:rPr>
          <w:rFonts w:ascii="Arial"/>
          <w:spacing w:val="-7"/>
        </w:rPr>
        <w:t xml:space="preserve"> </w:t>
      </w:r>
      <w:r>
        <w:rPr>
          <w:rFonts w:ascii="Arial"/>
        </w:rPr>
        <w:t>APPLICABLE</w:t>
      </w:r>
    </w:p>
    <w:p w14:paraId="2661003D" w14:textId="77777777" w:rsidR="00994B63" w:rsidRDefault="00994B63">
      <w:pPr>
        <w:pStyle w:val="BodyText"/>
        <w:spacing w:before="0"/>
        <w:rPr>
          <w:sz w:val="20"/>
        </w:rPr>
      </w:pPr>
    </w:p>
    <w:p w14:paraId="7252F12F" w14:textId="77777777" w:rsidR="00994B63" w:rsidRDefault="00994B63">
      <w:pPr>
        <w:pStyle w:val="BodyText"/>
        <w:spacing w:before="0"/>
        <w:rPr>
          <w:sz w:val="20"/>
        </w:rPr>
      </w:pPr>
    </w:p>
    <w:p w14:paraId="72FB8DC9" w14:textId="4644E2F0" w:rsidR="00994B63" w:rsidRDefault="00121BF2">
      <w:pPr>
        <w:pStyle w:val="BodyText"/>
        <w:spacing w:before="7"/>
        <w:rPr>
          <w:sz w:val="27"/>
        </w:rPr>
      </w:pPr>
      <w:r>
        <w:rPr>
          <w:noProof/>
        </w:rPr>
        <mc:AlternateContent>
          <mc:Choice Requires="wps">
            <w:drawing>
              <wp:anchor distT="0" distB="0" distL="0" distR="0" simplePos="0" relativeHeight="251657728" behindDoc="1" locked="0" layoutInCell="1" allowOverlap="1" wp14:anchorId="72C89AFC" wp14:editId="35D1A21C">
                <wp:simplePos x="0" y="0"/>
                <wp:positionH relativeFrom="page">
                  <wp:posOffset>914400</wp:posOffset>
                </wp:positionH>
                <wp:positionV relativeFrom="paragraph">
                  <wp:posOffset>232410</wp:posOffset>
                </wp:positionV>
                <wp:extent cx="5943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B8EA" id="Freeform 2" o:spid="_x0000_s1026" style="position:absolute;margin-left:1in;margin-top:18.3pt;width:46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" path="m,l9360,e" filled="f" strokeweight=".84pt">
                <v:path arrowok="t" o:connecttype="custom" o:connectlocs="0,0;5943600,0" o:connectangles="0,0"/>
                <w10:wrap type="topAndBottom" anchorx="page"/>
              </v:shape>
            </w:pict>
          </mc:Fallback>
        </mc:AlternateContent>
      </w:r>
    </w:p>
    <w:p w14:paraId="377B3FA5" w14:textId="77777777" w:rsidR="00994B63" w:rsidRDefault="00994B63">
      <w:pPr>
        <w:pStyle w:val="BodyText"/>
        <w:spacing w:before="0"/>
        <w:rPr>
          <w:sz w:val="20"/>
        </w:rPr>
      </w:pPr>
    </w:p>
    <w:p w14:paraId="0E457EE0" w14:textId="77777777" w:rsidR="00994B63" w:rsidRDefault="00994B63">
      <w:pPr>
        <w:pStyle w:val="BodyText"/>
        <w:spacing w:before="3"/>
        <w:rPr>
          <w:sz w:val="23"/>
        </w:rPr>
      </w:pPr>
    </w:p>
    <w:p w14:paraId="1B211A5D" w14:textId="77777777" w:rsidR="00994B63" w:rsidRDefault="009B5EE5">
      <w:pPr>
        <w:pStyle w:val="ListParagraph"/>
        <w:numPr>
          <w:ilvl w:val="0"/>
          <w:numId w:val="2"/>
        </w:numPr>
        <w:tabs>
          <w:tab w:val="left" w:pos="699"/>
          <w:tab w:val="left" w:pos="700"/>
        </w:tabs>
        <w:spacing w:before="91"/>
        <w:jc w:val="left"/>
        <w:rPr>
          <w:rFonts w:ascii="Arial"/>
        </w:rPr>
      </w:pPr>
      <w:r>
        <w:rPr>
          <w:rFonts w:ascii="Arial"/>
          <w:b/>
        </w:rPr>
        <w:t>WHEREAS</w:t>
      </w:r>
      <w:r>
        <w:rPr>
          <w:rFonts w:ascii="Arial"/>
        </w:rPr>
        <w:t>, CMS recently offered to collaborate with physicians and medical societies</w:t>
      </w:r>
      <w:r>
        <w:rPr>
          <w:rFonts w:ascii="Arial"/>
          <w:spacing w:val="-22"/>
        </w:rPr>
        <w:t xml:space="preserve"> </w:t>
      </w:r>
      <w:r>
        <w:rPr>
          <w:rFonts w:ascii="Arial"/>
        </w:rPr>
        <w:t>in</w:t>
      </w:r>
    </w:p>
    <w:p w14:paraId="5FFD2418" w14:textId="77777777" w:rsidR="00994B63" w:rsidRDefault="009B5EE5">
      <w:pPr>
        <w:pStyle w:val="ListParagraph"/>
        <w:numPr>
          <w:ilvl w:val="0"/>
          <w:numId w:val="2"/>
        </w:numPr>
        <w:tabs>
          <w:tab w:val="left" w:pos="699"/>
          <w:tab w:val="left" w:pos="700"/>
        </w:tabs>
        <w:spacing w:before="1"/>
        <w:jc w:val="left"/>
        <w:rPr>
          <w:rFonts w:ascii="Arial"/>
        </w:rPr>
      </w:pPr>
      <w:r>
        <w:rPr>
          <w:rFonts w:ascii="Arial"/>
        </w:rPr>
        <w:t>revising and reforming the E&amp;M documentation guidelines</w:t>
      </w:r>
      <w:r>
        <w:rPr>
          <w:rFonts w:ascii="Arial"/>
          <w:position w:val="8"/>
          <w:sz w:val="14"/>
        </w:rPr>
        <w:t>1</w:t>
      </w:r>
      <w:r>
        <w:rPr>
          <w:rFonts w:ascii="Arial"/>
        </w:rPr>
        <w:t>;</w:t>
      </w:r>
      <w:r>
        <w:rPr>
          <w:rFonts w:ascii="Arial"/>
          <w:spacing w:val="-6"/>
        </w:rPr>
        <w:t xml:space="preserve"> </w:t>
      </w:r>
      <w:r>
        <w:rPr>
          <w:rFonts w:ascii="Arial"/>
        </w:rPr>
        <w:t>and</w:t>
      </w:r>
    </w:p>
    <w:p w14:paraId="0D5EA369" w14:textId="77777777" w:rsidR="00994B63" w:rsidRDefault="009B5EE5">
      <w:pPr>
        <w:pStyle w:val="ListParagraph"/>
        <w:numPr>
          <w:ilvl w:val="0"/>
          <w:numId w:val="2"/>
        </w:numPr>
        <w:tabs>
          <w:tab w:val="left" w:pos="699"/>
          <w:tab w:val="left" w:pos="700"/>
        </w:tabs>
        <w:spacing w:before="166"/>
        <w:ind w:left="699"/>
        <w:jc w:val="left"/>
        <w:rPr>
          <w:rFonts w:ascii="Arial"/>
        </w:rPr>
      </w:pPr>
      <w:r>
        <w:rPr>
          <w:rFonts w:ascii="Arial"/>
          <w:b/>
        </w:rPr>
        <w:t>WHEREAS</w:t>
      </w:r>
      <w:r>
        <w:rPr>
          <w:rFonts w:ascii="Arial"/>
        </w:rPr>
        <w:t>, CMS recognizes there is a documentation burden imposed by current</w:t>
      </w:r>
      <w:r>
        <w:rPr>
          <w:rFonts w:ascii="Arial"/>
          <w:spacing w:val="-14"/>
        </w:rPr>
        <w:t xml:space="preserve"> </w:t>
      </w:r>
      <w:r>
        <w:rPr>
          <w:rFonts w:ascii="Arial"/>
        </w:rPr>
        <w:t>E&amp;M</w:t>
      </w:r>
    </w:p>
    <w:p w14:paraId="02AF9BD6" w14:textId="77777777" w:rsidR="00994B63" w:rsidRDefault="009B5EE5">
      <w:pPr>
        <w:pStyle w:val="ListParagraph"/>
        <w:numPr>
          <w:ilvl w:val="0"/>
          <w:numId w:val="2"/>
        </w:numPr>
        <w:tabs>
          <w:tab w:val="left" w:pos="699"/>
          <w:tab w:val="left" w:pos="700"/>
        </w:tabs>
        <w:spacing w:before="2"/>
        <w:ind w:left="699"/>
        <w:jc w:val="left"/>
        <w:rPr>
          <w:rFonts w:ascii="Arial"/>
        </w:rPr>
      </w:pPr>
      <w:r>
        <w:rPr>
          <w:rFonts w:ascii="Arial"/>
        </w:rPr>
        <w:t>documentation guidelines;</w:t>
      </w:r>
      <w:r>
        <w:rPr>
          <w:rFonts w:ascii="Arial"/>
          <w:spacing w:val="2"/>
        </w:rPr>
        <w:t xml:space="preserve"> </w:t>
      </w:r>
      <w:r>
        <w:rPr>
          <w:rFonts w:ascii="Arial"/>
        </w:rPr>
        <w:t>and</w:t>
      </w:r>
    </w:p>
    <w:p w14:paraId="25FA060F" w14:textId="77777777" w:rsidR="00994B63" w:rsidRDefault="009B5EE5">
      <w:pPr>
        <w:pStyle w:val="ListParagraph"/>
        <w:numPr>
          <w:ilvl w:val="0"/>
          <w:numId w:val="2"/>
        </w:numPr>
        <w:tabs>
          <w:tab w:val="left" w:pos="699"/>
          <w:tab w:val="left" w:pos="700"/>
        </w:tabs>
        <w:spacing w:before="166"/>
        <w:ind w:left="699"/>
        <w:jc w:val="left"/>
        <w:rPr>
          <w:rFonts w:ascii="Arial" w:hAnsi="Arial"/>
        </w:rPr>
      </w:pPr>
      <w:r>
        <w:rPr>
          <w:rFonts w:ascii="Arial" w:hAnsi="Arial"/>
          <w:b/>
        </w:rPr>
        <w:t>WHEREAS</w:t>
      </w:r>
      <w:r>
        <w:rPr>
          <w:rFonts w:ascii="Arial" w:hAnsi="Arial"/>
        </w:rPr>
        <w:t>, the House of Representatives’ Ways and Means Committee launched a</w:t>
      </w:r>
      <w:r>
        <w:rPr>
          <w:rFonts w:ascii="Arial" w:hAnsi="Arial"/>
          <w:spacing w:val="-25"/>
        </w:rPr>
        <w:t xml:space="preserve"> </w:t>
      </w:r>
      <w:r>
        <w:rPr>
          <w:rFonts w:ascii="Arial" w:hAnsi="Arial"/>
        </w:rPr>
        <w:t>similar</w:t>
      </w:r>
    </w:p>
    <w:p w14:paraId="03C73277" w14:textId="77777777" w:rsidR="00994B63" w:rsidRDefault="009B5EE5">
      <w:pPr>
        <w:pStyle w:val="ListParagraph"/>
        <w:numPr>
          <w:ilvl w:val="0"/>
          <w:numId w:val="2"/>
        </w:numPr>
        <w:tabs>
          <w:tab w:val="left" w:pos="699"/>
          <w:tab w:val="left" w:pos="700"/>
        </w:tabs>
        <w:spacing w:before="1"/>
        <w:ind w:left="699"/>
        <w:jc w:val="left"/>
        <w:rPr>
          <w:rFonts w:ascii="Arial"/>
        </w:rPr>
      </w:pPr>
      <w:r>
        <w:rPr>
          <w:rFonts w:ascii="Arial"/>
        </w:rPr>
        <w:t>effort last summer to address regulatory relief, called the Red Tape Relief Project</w:t>
      </w:r>
      <w:r>
        <w:rPr>
          <w:rFonts w:ascii="Arial"/>
          <w:position w:val="8"/>
          <w:sz w:val="14"/>
        </w:rPr>
        <w:t>2</w:t>
      </w:r>
      <w:r>
        <w:rPr>
          <w:rFonts w:ascii="Arial"/>
        </w:rPr>
        <w:t>;</w:t>
      </w:r>
      <w:r>
        <w:rPr>
          <w:rFonts w:ascii="Arial"/>
          <w:spacing w:val="-24"/>
        </w:rPr>
        <w:t xml:space="preserve"> </w:t>
      </w:r>
      <w:r>
        <w:rPr>
          <w:rFonts w:ascii="Arial"/>
        </w:rPr>
        <w:t>and</w:t>
      </w:r>
    </w:p>
    <w:p w14:paraId="0BE7AE84" w14:textId="77777777" w:rsidR="00994B63" w:rsidRDefault="009B5EE5">
      <w:pPr>
        <w:pStyle w:val="ListParagraph"/>
        <w:numPr>
          <w:ilvl w:val="0"/>
          <w:numId w:val="2"/>
        </w:numPr>
        <w:tabs>
          <w:tab w:val="left" w:pos="699"/>
          <w:tab w:val="left" w:pos="700"/>
        </w:tabs>
        <w:spacing w:before="168"/>
        <w:ind w:left="699"/>
        <w:jc w:val="left"/>
        <w:rPr>
          <w:rFonts w:ascii="Arial"/>
        </w:rPr>
      </w:pPr>
      <w:r>
        <w:rPr>
          <w:rFonts w:ascii="Arial"/>
          <w:b/>
        </w:rPr>
        <w:t>WHEREAS</w:t>
      </w:r>
      <w:r>
        <w:rPr>
          <w:rFonts w:ascii="Arial"/>
        </w:rPr>
        <w:t>, the Red Tape Relief Project aims to deliver relief from Medicare regulations</w:t>
      </w:r>
      <w:r>
        <w:rPr>
          <w:rFonts w:ascii="Arial"/>
          <w:spacing w:val="-29"/>
        </w:rPr>
        <w:t xml:space="preserve"> </w:t>
      </w:r>
      <w:r>
        <w:rPr>
          <w:rFonts w:ascii="Arial"/>
        </w:rPr>
        <w:t>and</w:t>
      </w:r>
    </w:p>
    <w:p w14:paraId="521EA2AB" w14:textId="77777777" w:rsidR="00994B63" w:rsidRDefault="009B5EE5">
      <w:pPr>
        <w:pStyle w:val="ListParagraph"/>
        <w:numPr>
          <w:ilvl w:val="0"/>
          <w:numId w:val="2"/>
        </w:numPr>
        <w:tabs>
          <w:tab w:val="left" w:pos="699"/>
          <w:tab w:val="left" w:pos="700"/>
        </w:tabs>
        <w:ind w:left="699"/>
        <w:jc w:val="left"/>
        <w:rPr>
          <w:rFonts w:ascii="Arial"/>
        </w:rPr>
      </w:pPr>
      <w:r>
        <w:rPr>
          <w:rFonts w:ascii="Arial"/>
        </w:rPr>
        <w:t>mandates that impede care for patients;</w:t>
      </w:r>
      <w:r>
        <w:rPr>
          <w:rFonts w:ascii="Arial"/>
          <w:spacing w:val="-8"/>
        </w:rPr>
        <w:t xml:space="preserve"> </w:t>
      </w:r>
      <w:r>
        <w:rPr>
          <w:rFonts w:ascii="Arial"/>
        </w:rPr>
        <w:t>and</w:t>
      </w:r>
    </w:p>
    <w:p w14:paraId="7C53541B" w14:textId="77777777" w:rsidR="00994B63" w:rsidRDefault="009B5EE5">
      <w:pPr>
        <w:pStyle w:val="ListParagraph"/>
        <w:numPr>
          <w:ilvl w:val="0"/>
          <w:numId w:val="2"/>
        </w:numPr>
        <w:tabs>
          <w:tab w:val="left" w:pos="699"/>
          <w:tab w:val="left" w:pos="700"/>
        </w:tabs>
        <w:spacing w:before="169"/>
        <w:ind w:left="699"/>
        <w:jc w:val="left"/>
        <w:rPr>
          <w:rFonts w:ascii="Arial"/>
        </w:rPr>
      </w:pPr>
      <w:r>
        <w:rPr>
          <w:rFonts w:ascii="Arial"/>
          <w:b/>
        </w:rPr>
        <w:t>WHEREAS</w:t>
      </w:r>
      <w:r>
        <w:rPr>
          <w:rFonts w:ascii="Arial"/>
        </w:rPr>
        <w:t>, support is broad in the physician community to reduce administrative burdens</w:t>
      </w:r>
      <w:r>
        <w:rPr>
          <w:rFonts w:ascii="Arial"/>
          <w:spacing w:val="-34"/>
        </w:rPr>
        <w:t xml:space="preserve"> </w:t>
      </w:r>
      <w:r>
        <w:rPr>
          <w:rFonts w:ascii="Arial"/>
        </w:rPr>
        <w:t>and</w:t>
      </w:r>
    </w:p>
    <w:p w14:paraId="23CE95C8" w14:textId="77777777" w:rsidR="00994B63" w:rsidRDefault="009B5EE5">
      <w:pPr>
        <w:pStyle w:val="ListParagraph"/>
        <w:numPr>
          <w:ilvl w:val="0"/>
          <w:numId w:val="2"/>
        </w:numPr>
        <w:tabs>
          <w:tab w:val="left" w:pos="699"/>
          <w:tab w:val="left" w:pos="700"/>
        </w:tabs>
        <w:spacing w:before="2"/>
        <w:ind w:left="699" w:hanging="586"/>
        <w:jc w:val="left"/>
        <w:rPr>
          <w:rFonts w:ascii="Arial"/>
        </w:rPr>
      </w:pPr>
      <w:r>
        <w:rPr>
          <w:rFonts w:ascii="Arial"/>
        </w:rPr>
        <w:t>excessive mandates in the practice of medicine;</w:t>
      </w:r>
      <w:r>
        <w:rPr>
          <w:rFonts w:ascii="Arial"/>
          <w:spacing w:val="-10"/>
        </w:rPr>
        <w:t xml:space="preserve"> </w:t>
      </w:r>
      <w:r>
        <w:rPr>
          <w:rFonts w:ascii="Arial"/>
        </w:rPr>
        <w:t>and</w:t>
      </w:r>
    </w:p>
    <w:p w14:paraId="4754EACE" w14:textId="77777777" w:rsidR="00994B63" w:rsidRDefault="009B5EE5">
      <w:pPr>
        <w:pStyle w:val="ListParagraph"/>
        <w:numPr>
          <w:ilvl w:val="0"/>
          <w:numId w:val="2"/>
        </w:numPr>
        <w:tabs>
          <w:tab w:val="left" w:pos="699"/>
          <w:tab w:val="left" w:pos="700"/>
        </w:tabs>
        <w:spacing w:before="166"/>
        <w:ind w:left="699" w:hanging="586"/>
        <w:jc w:val="left"/>
        <w:rPr>
          <w:rFonts w:ascii="Arial"/>
        </w:rPr>
      </w:pPr>
      <w:r>
        <w:rPr>
          <w:rFonts w:ascii="Arial"/>
          <w:b/>
        </w:rPr>
        <w:t>WHEREAS</w:t>
      </w:r>
      <w:r>
        <w:rPr>
          <w:rFonts w:ascii="Arial"/>
        </w:rPr>
        <w:t>, high administrative burdens and excessive mandates have dramatically</w:t>
      </w:r>
      <w:r>
        <w:rPr>
          <w:rFonts w:ascii="Arial"/>
          <w:spacing w:val="-34"/>
        </w:rPr>
        <w:t xml:space="preserve"> </w:t>
      </w:r>
      <w:r>
        <w:rPr>
          <w:rFonts w:ascii="Arial"/>
        </w:rPr>
        <w:t>aggravated</w:t>
      </w:r>
    </w:p>
    <w:p w14:paraId="1FC0AFD0" w14:textId="77777777" w:rsidR="00994B63" w:rsidRDefault="009B5EE5">
      <w:pPr>
        <w:pStyle w:val="ListParagraph"/>
        <w:numPr>
          <w:ilvl w:val="0"/>
          <w:numId w:val="2"/>
        </w:numPr>
        <w:tabs>
          <w:tab w:val="left" w:pos="699"/>
          <w:tab w:val="left" w:pos="700"/>
        </w:tabs>
        <w:spacing w:before="1"/>
        <w:ind w:left="699" w:hanging="586"/>
        <w:jc w:val="left"/>
        <w:rPr>
          <w:rFonts w:ascii="Arial"/>
        </w:rPr>
      </w:pPr>
      <w:r>
        <w:rPr>
          <w:rFonts w:ascii="Arial"/>
        </w:rPr>
        <w:t>physician burnout over the past several years</w:t>
      </w:r>
      <w:r>
        <w:rPr>
          <w:rFonts w:ascii="Arial"/>
          <w:position w:val="8"/>
          <w:sz w:val="14"/>
        </w:rPr>
        <w:t>3</w:t>
      </w:r>
      <w:r>
        <w:rPr>
          <w:rFonts w:ascii="Arial"/>
        </w:rPr>
        <w:t>,</w:t>
      </w:r>
      <w:r>
        <w:rPr>
          <w:rFonts w:ascii="Arial"/>
          <w:spacing w:val="-2"/>
        </w:rPr>
        <w:t xml:space="preserve"> </w:t>
      </w:r>
      <w:r>
        <w:rPr>
          <w:rFonts w:ascii="Arial"/>
        </w:rPr>
        <w:t>and</w:t>
      </w:r>
    </w:p>
    <w:p w14:paraId="3E258346" w14:textId="77777777" w:rsidR="00994B63" w:rsidRDefault="009B5EE5">
      <w:pPr>
        <w:pStyle w:val="ListParagraph"/>
        <w:numPr>
          <w:ilvl w:val="0"/>
          <w:numId w:val="2"/>
        </w:numPr>
        <w:tabs>
          <w:tab w:val="left" w:pos="699"/>
          <w:tab w:val="left" w:pos="700"/>
        </w:tabs>
        <w:spacing w:before="166"/>
        <w:ind w:left="699" w:hanging="586"/>
        <w:jc w:val="left"/>
        <w:rPr>
          <w:rFonts w:ascii="Arial" w:hAnsi="Arial"/>
        </w:rPr>
      </w:pPr>
      <w:r>
        <w:rPr>
          <w:rFonts w:ascii="Arial" w:hAnsi="Arial"/>
          <w:b/>
        </w:rPr>
        <w:t>WHEREAS</w:t>
      </w:r>
      <w:r>
        <w:rPr>
          <w:rFonts w:ascii="Arial" w:hAnsi="Arial"/>
        </w:rPr>
        <w:t>, “too many bureaucratic tasks (e.g. charting, paperwork)” and</w:t>
      </w:r>
      <w:r>
        <w:rPr>
          <w:rFonts w:ascii="Arial" w:hAnsi="Arial"/>
          <w:spacing w:val="-18"/>
        </w:rPr>
        <w:t xml:space="preserve"> </w:t>
      </w:r>
      <w:r>
        <w:rPr>
          <w:rFonts w:ascii="Arial" w:hAnsi="Arial"/>
        </w:rPr>
        <w:t>“increasing</w:t>
      </w:r>
    </w:p>
    <w:p w14:paraId="4029DD8F" w14:textId="77777777" w:rsidR="00994B63" w:rsidRDefault="009B5EE5">
      <w:pPr>
        <w:pStyle w:val="ListParagraph"/>
        <w:numPr>
          <w:ilvl w:val="0"/>
          <w:numId w:val="2"/>
        </w:numPr>
        <w:tabs>
          <w:tab w:val="left" w:pos="699"/>
          <w:tab w:val="left" w:pos="700"/>
        </w:tabs>
        <w:spacing w:before="5"/>
        <w:ind w:left="699" w:hanging="586"/>
        <w:jc w:val="left"/>
        <w:rPr>
          <w:rFonts w:ascii="Arial" w:hAnsi="Arial"/>
        </w:rPr>
      </w:pPr>
      <w:r>
        <w:rPr>
          <w:rFonts w:ascii="Arial" w:hAnsi="Arial"/>
        </w:rPr>
        <w:t>computerization of practice (EHRs)” were the top two reasons cited for burnout in a</w:t>
      </w:r>
      <w:r>
        <w:rPr>
          <w:rFonts w:ascii="Arial" w:hAnsi="Arial"/>
          <w:spacing w:val="-22"/>
        </w:rPr>
        <w:t xml:space="preserve"> </w:t>
      </w:r>
      <w:r>
        <w:rPr>
          <w:rFonts w:ascii="Arial" w:hAnsi="Arial"/>
        </w:rPr>
        <w:t>recent</w:t>
      </w:r>
    </w:p>
    <w:p w14:paraId="21259B95" w14:textId="77777777" w:rsidR="00994B63" w:rsidRDefault="009B5EE5">
      <w:pPr>
        <w:pStyle w:val="ListParagraph"/>
        <w:numPr>
          <w:ilvl w:val="0"/>
          <w:numId w:val="2"/>
        </w:numPr>
        <w:tabs>
          <w:tab w:val="left" w:pos="699"/>
          <w:tab w:val="left" w:pos="700"/>
        </w:tabs>
        <w:spacing w:before="1"/>
        <w:ind w:left="699" w:hanging="586"/>
        <w:jc w:val="left"/>
        <w:rPr>
          <w:rFonts w:ascii="Arial"/>
        </w:rPr>
      </w:pPr>
      <w:r>
        <w:rPr>
          <w:rFonts w:ascii="Arial"/>
        </w:rPr>
        <w:t>survey of dermatologists</w:t>
      </w:r>
      <w:r>
        <w:rPr>
          <w:rFonts w:ascii="Arial"/>
          <w:position w:val="8"/>
          <w:sz w:val="14"/>
        </w:rPr>
        <w:t>4</w:t>
      </w:r>
      <w:r>
        <w:rPr>
          <w:rFonts w:ascii="Arial"/>
        </w:rPr>
        <w:t>;</w:t>
      </w:r>
      <w:r>
        <w:rPr>
          <w:rFonts w:ascii="Arial"/>
          <w:spacing w:val="-2"/>
        </w:rPr>
        <w:t xml:space="preserve"> </w:t>
      </w:r>
      <w:r>
        <w:rPr>
          <w:rFonts w:ascii="Arial"/>
        </w:rPr>
        <w:t>and</w:t>
      </w:r>
    </w:p>
    <w:p w14:paraId="3ACE546F" w14:textId="77777777" w:rsidR="00994B63" w:rsidRDefault="009B5EE5">
      <w:pPr>
        <w:pStyle w:val="ListParagraph"/>
        <w:numPr>
          <w:ilvl w:val="0"/>
          <w:numId w:val="2"/>
        </w:numPr>
        <w:tabs>
          <w:tab w:val="left" w:pos="699"/>
          <w:tab w:val="left" w:pos="700"/>
        </w:tabs>
        <w:spacing w:before="166"/>
        <w:ind w:left="699" w:hanging="586"/>
        <w:jc w:val="left"/>
        <w:rPr>
          <w:rFonts w:ascii="Arial" w:hAnsi="Arial"/>
        </w:rPr>
      </w:pPr>
      <w:r>
        <w:rPr>
          <w:rFonts w:ascii="Arial" w:hAnsi="Arial"/>
          <w:b/>
        </w:rPr>
        <w:t>WHEREAS</w:t>
      </w:r>
      <w:r>
        <w:rPr>
          <w:rFonts w:ascii="Arial" w:hAnsi="Arial"/>
        </w:rPr>
        <w:t>, the AAD’s EHR Task Force was engendered to evaluate electronic</w:t>
      </w:r>
      <w:r>
        <w:rPr>
          <w:rFonts w:ascii="Arial" w:hAnsi="Arial"/>
          <w:spacing w:val="-24"/>
        </w:rPr>
        <w:t xml:space="preserve"> </w:t>
      </w:r>
      <w:r>
        <w:rPr>
          <w:rFonts w:ascii="Arial" w:hAnsi="Arial"/>
        </w:rPr>
        <w:t>documenting</w:t>
      </w:r>
    </w:p>
    <w:p w14:paraId="1889EDBC" w14:textId="77777777" w:rsidR="00994B63" w:rsidRDefault="009B5EE5">
      <w:pPr>
        <w:pStyle w:val="ListParagraph"/>
        <w:numPr>
          <w:ilvl w:val="0"/>
          <w:numId w:val="2"/>
        </w:numPr>
        <w:tabs>
          <w:tab w:val="left" w:pos="699"/>
          <w:tab w:val="left" w:pos="700"/>
        </w:tabs>
        <w:spacing w:before="3"/>
        <w:ind w:left="699" w:hanging="586"/>
        <w:jc w:val="left"/>
        <w:rPr>
          <w:rFonts w:ascii="Arial"/>
        </w:rPr>
      </w:pPr>
      <w:r>
        <w:rPr>
          <w:rFonts w:ascii="Arial"/>
        </w:rPr>
        <w:t>requirements and to recommend AAD positions related to health information technology</w:t>
      </w:r>
      <w:r>
        <w:rPr>
          <w:rFonts w:ascii="Arial"/>
          <w:spacing w:val="-40"/>
        </w:rPr>
        <w:t xml:space="preserve"> </w:t>
      </w:r>
      <w:proofErr w:type="gramStart"/>
      <w:r>
        <w:rPr>
          <w:rFonts w:ascii="Arial"/>
        </w:rPr>
        <w:t>policy</w:t>
      </w:r>
      <w:r>
        <w:rPr>
          <w:rFonts w:ascii="Arial"/>
          <w:position w:val="8"/>
          <w:sz w:val="14"/>
        </w:rPr>
        <w:t>5</w:t>
      </w:r>
      <w:r>
        <w:rPr>
          <w:rFonts w:ascii="Arial"/>
        </w:rPr>
        <w:t>;</w:t>
      </w:r>
      <w:proofErr w:type="gramEnd"/>
    </w:p>
    <w:p w14:paraId="7E71FCBE" w14:textId="77777777" w:rsidR="00994B63" w:rsidRDefault="009B5EE5">
      <w:pPr>
        <w:pStyle w:val="ListParagraph"/>
        <w:numPr>
          <w:ilvl w:val="0"/>
          <w:numId w:val="2"/>
        </w:numPr>
        <w:tabs>
          <w:tab w:val="left" w:pos="699"/>
          <w:tab w:val="left" w:pos="700"/>
        </w:tabs>
        <w:spacing w:before="2"/>
        <w:ind w:hanging="586"/>
        <w:jc w:val="left"/>
        <w:rPr>
          <w:rFonts w:ascii="Arial"/>
        </w:rPr>
      </w:pPr>
      <w:r>
        <w:rPr>
          <w:rFonts w:ascii="Arial"/>
        </w:rPr>
        <w:t>and</w:t>
      </w:r>
    </w:p>
    <w:p w14:paraId="75F9EEBF" w14:textId="77777777" w:rsidR="00994B63" w:rsidRDefault="009B5EE5">
      <w:pPr>
        <w:pStyle w:val="ListParagraph"/>
        <w:numPr>
          <w:ilvl w:val="0"/>
          <w:numId w:val="2"/>
        </w:numPr>
        <w:tabs>
          <w:tab w:val="left" w:pos="699"/>
          <w:tab w:val="left" w:pos="700"/>
        </w:tabs>
        <w:spacing w:before="166"/>
        <w:ind w:hanging="586"/>
        <w:jc w:val="left"/>
        <w:rPr>
          <w:rFonts w:ascii="Arial"/>
        </w:rPr>
      </w:pPr>
      <w:r>
        <w:rPr>
          <w:rFonts w:ascii="Arial"/>
          <w:b/>
        </w:rPr>
        <w:t>WHEREAS</w:t>
      </w:r>
      <w:r>
        <w:rPr>
          <w:rFonts w:ascii="Arial"/>
        </w:rPr>
        <w:t>, the likelihood is high that the house of dermatology will be asked in the near</w:t>
      </w:r>
      <w:r>
        <w:rPr>
          <w:rFonts w:ascii="Arial"/>
          <w:spacing w:val="-34"/>
        </w:rPr>
        <w:t xml:space="preserve"> </w:t>
      </w:r>
      <w:r>
        <w:rPr>
          <w:rFonts w:ascii="Arial"/>
        </w:rPr>
        <w:t>future</w:t>
      </w:r>
    </w:p>
    <w:p w14:paraId="1048FA9E" w14:textId="77777777" w:rsidR="00994B63" w:rsidRDefault="009B5EE5">
      <w:pPr>
        <w:pStyle w:val="ListParagraph"/>
        <w:numPr>
          <w:ilvl w:val="0"/>
          <w:numId w:val="2"/>
        </w:numPr>
        <w:tabs>
          <w:tab w:val="left" w:pos="699"/>
          <w:tab w:val="left" w:pos="700"/>
        </w:tabs>
        <w:spacing w:before="5"/>
        <w:ind w:hanging="586"/>
        <w:jc w:val="left"/>
        <w:rPr>
          <w:rFonts w:ascii="Arial"/>
        </w:rPr>
      </w:pPr>
      <w:r>
        <w:rPr>
          <w:rFonts w:ascii="Arial"/>
        </w:rPr>
        <w:t xml:space="preserve">what steps should be </w:t>
      </w:r>
      <w:proofErr w:type="gramStart"/>
      <w:r>
        <w:rPr>
          <w:rFonts w:ascii="Arial"/>
        </w:rPr>
        <w:t>taken</w:t>
      </w:r>
      <w:proofErr w:type="gramEnd"/>
      <w:r>
        <w:rPr>
          <w:rFonts w:ascii="Arial"/>
        </w:rPr>
        <w:t xml:space="preserve"> and reforms should be adopted to reduce administrative</w:t>
      </w:r>
      <w:r>
        <w:rPr>
          <w:rFonts w:ascii="Arial"/>
          <w:spacing w:val="-30"/>
        </w:rPr>
        <w:t xml:space="preserve"> </w:t>
      </w:r>
      <w:r>
        <w:rPr>
          <w:rFonts w:ascii="Arial"/>
        </w:rPr>
        <w:t>burdens</w:t>
      </w:r>
    </w:p>
    <w:p w14:paraId="5AC34229" w14:textId="77777777" w:rsidR="00994B63" w:rsidRDefault="009B5EE5">
      <w:pPr>
        <w:pStyle w:val="ListParagraph"/>
        <w:numPr>
          <w:ilvl w:val="0"/>
          <w:numId w:val="2"/>
        </w:numPr>
        <w:tabs>
          <w:tab w:val="left" w:pos="699"/>
          <w:tab w:val="left" w:pos="700"/>
        </w:tabs>
        <w:spacing w:before="3"/>
        <w:ind w:hanging="586"/>
        <w:jc w:val="left"/>
        <w:rPr>
          <w:rFonts w:ascii="Arial"/>
        </w:rPr>
      </w:pPr>
      <w:r>
        <w:rPr>
          <w:rFonts w:ascii="Arial"/>
        </w:rPr>
        <w:t>and documentation mandates; therefore, be</w:t>
      </w:r>
      <w:r>
        <w:rPr>
          <w:rFonts w:ascii="Arial"/>
          <w:spacing w:val="-4"/>
        </w:rPr>
        <w:t xml:space="preserve"> </w:t>
      </w:r>
      <w:r>
        <w:rPr>
          <w:rFonts w:ascii="Arial"/>
        </w:rPr>
        <w:t>it</w:t>
      </w:r>
    </w:p>
    <w:p w14:paraId="0FCDF2AB" w14:textId="77777777" w:rsidR="00994B63" w:rsidRDefault="009B5EE5">
      <w:pPr>
        <w:pStyle w:val="ListParagraph"/>
        <w:numPr>
          <w:ilvl w:val="0"/>
          <w:numId w:val="2"/>
        </w:numPr>
        <w:tabs>
          <w:tab w:val="left" w:pos="699"/>
          <w:tab w:val="left" w:pos="700"/>
        </w:tabs>
        <w:spacing w:before="166"/>
        <w:ind w:hanging="586"/>
        <w:jc w:val="left"/>
        <w:rPr>
          <w:rFonts w:ascii="Arial" w:hAnsi="Arial"/>
        </w:rPr>
      </w:pPr>
      <w:r>
        <w:rPr>
          <w:rFonts w:ascii="Arial" w:hAnsi="Arial"/>
          <w:b/>
        </w:rPr>
        <w:t>RESOLVED</w:t>
      </w:r>
      <w:r>
        <w:rPr>
          <w:rFonts w:ascii="Arial" w:hAnsi="Arial"/>
        </w:rPr>
        <w:t>, the Board of Directors should designate the AAD’s EHR Task Force to study</w:t>
      </w:r>
      <w:r>
        <w:rPr>
          <w:rFonts w:ascii="Arial" w:hAnsi="Arial"/>
          <w:spacing w:val="-31"/>
        </w:rPr>
        <w:t xml:space="preserve"> </w:t>
      </w:r>
      <w:r>
        <w:rPr>
          <w:rFonts w:ascii="Arial" w:hAnsi="Arial"/>
        </w:rPr>
        <w:t>ways</w:t>
      </w:r>
    </w:p>
    <w:p w14:paraId="6AE34071" w14:textId="77777777" w:rsidR="00994B63" w:rsidRDefault="009B5EE5">
      <w:pPr>
        <w:pStyle w:val="ListParagraph"/>
        <w:numPr>
          <w:ilvl w:val="0"/>
          <w:numId w:val="2"/>
        </w:numPr>
        <w:tabs>
          <w:tab w:val="left" w:pos="699"/>
          <w:tab w:val="left" w:pos="700"/>
        </w:tabs>
        <w:spacing w:before="2"/>
        <w:ind w:hanging="586"/>
        <w:jc w:val="left"/>
        <w:rPr>
          <w:rFonts w:ascii="Arial"/>
        </w:rPr>
      </w:pPr>
      <w:r>
        <w:rPr>
          <w:rFonts w:ascii="Arial"/>
        </w:rPr>
        <w:t>to reduce electronic documenting burdens; and be it</w:t>
      </w:r>
      <w:r>
        <w:rPr>
          <w:rFonts w:ascii="Arial"/>
          <w:spacing w:val="-8"/>
        </w:rPr>
        <w:t xml:space="preserve"> </w:t>
      </w:r>
      <w:r>
        <w:rPr>
          <w:rFonts w:ascii="Arial"/>
        </w:rPr>
        <w:t>further</w:t>
      </w:r>
    </w:p>
    <w:p w14:paraId="2B2C2357" w14:textId="77777777" w:rsidR="00994B63" w:rsidRDefault="009B5EE5">
      <w:pPr>
        <w:pStyle w:val="ListParagraph"/>
        <w:numPr>
          <w:ilvl w:val="0"/>
          <w:numId w:val="2"/>
        </w:numPr>
        <w:tabs>
          <w:tab w:val="left" w:pos="699"/>
          <w:tab w:val="left" w:pos="700"/>
        </w:tabs>
        <w:spacing w:before="166"/>
        <w:ind w:hanging="586"/>
        <w:jc w:val="left"/>
        <w:rPr>
          <w:rFonts w:ascii="Arial"/>
        </w:rPr>
      </w:pPr>
      <w:r>
        <w:rPr>
          <w:rFonts w:ascii="Arial"/>
          <w:b/>
        </w:rPr>
        <w:t>RESOLVED</w:t>
      </w:r>
      <w:r>
        <w:rPr>
          <w:rFonts w:ascii="Arial"/>
        </w:rPr>
        <w:t>, the EHR Task Force will create and submit a report to the Board of Directors</w:t>
      </w:r>
      <w:r>
        <w:rPr>
          <w:rFonts w:ascii="Arial"/>
          <w:spacing w:val="-30"/>
        </w:rPr>
        <w:t xml:space="preserve"> </w:t>
      </w:r>
      <w:r>
        <w:rPr>
          <w:rFonts w:ascii="Arial"/>
        </w:rPr>
        <w:t>and</w:t>
      </w:r>
    </w:p>
    <w:p w14:paraId="575496D9" w14:textId="77777777" w:rsidR="00994B63" w:rsidRDefault="009B5EE5">
      <w:pPr>
        <w:pStyle w:val="ListParagraph"/>
        <w:numPr>
          <w:ilvl w:val="0"/>
          <w:numId w:val="2"/>
        </w:numPr>
        <w:tabs>
          <w:tab w:val="left" w:pos="699"/>
          <w:tab w:val="left" w:pos="700"/>
        </w:tabs>
        <w:spacing w:before="3"/>
        <w:ind w:hanging="586"/>
        <w:jc w:val="left"/>
        <w:rPr>
          <w:rFonts w:ascii="Arial"/>
        </w:rPr>
      </w:pPr>
      <w:r>
        <w:rPr>
          <w:rFonts w:ascii="Arial"/>
        </w:rPr>
        <w:t>relevant oversight Committees that details its findings and</w:t>
      </w:r>
      <w:r>
        <w:rPr>
          <w:rFonts w:ascii="Arial"/>
          <w:spacing w:val="-8"/>
        </w:rPr>
        <w:t xml:space="preserve"> </w:t>
      </w:r>
      <w:r>
        <w:rPr>
          <w:rFonts w:ascii="Arial"/>
        </w:rPr>
        <w:t>recommendations.</w:t>
      </w:r>
    </w:p>
    <w:p w14:paraId="632BDF4B" w14:textId="77777777" w:rsidR="00994B63" w:rsidRDefault="009B5EE5">
      <w:pPr>
        <w:pStyle w:val="BodyText"/>
        <w:spacing w:before="163"/>
        <w:ind w:left="114"/>
        <w:rPr>
          <w:rFonts w:ascii="Calibri"/>
        </w:rPr>
      </w:pPr>
      <w:r>
        <w:rPr>
          <w:rFonts w:ascii="Calibri"/>
        </w:rPr>
        <w:t>26</w:t>
      </w:r>
    </w:p>
    <w:p w14:paraId="25221FA2" w14:textId="77777777" w:rsidR="00994B63" w:rsidRDefault="00994B63">
      <w:pPr>
        <w:sectPr w:rsidR="00994B63">
          <w:pgSz w:w="12240" w:h="15840"/>
          <w:pgMar w:top="1360" w:right="1340" w:bottom="280" w:left="740" w:header="720" w:footer="720" w:gutter="0"/>
          <w:cols w:space="720"/>
        </w:sectPr>
      </w:pPr>
    </w:p>
    <w:p w14:paraId="29244618" w14:textId="77777777" w:rsidR="00994B63" w:rsidRDefault="009B5EE5">
      <w:pPr>
        <w:pStyle w:val="ListParagraph"/>
        <w:numPr>
          <w:ilvl w:val="0"/>
          <w:numId w:val="1"/>
        </w:numPr>
        <w:tabs>
          <w:tab w:val="left" w:pos="699"/>
          <w:tab w:val="left" w:pos="700"/>
          <w:tab w:val="left" w:pos="1419"/>
        </w:tabs>
        <w:spacing w:before="42" w:line="265" w:lineRule="exact"/>
        <w:rPr>
          <w:sz w:val="20"/>
        </w:rPr>
      </w:pPr>
      <w:r>
        <w:rPr>
          <w:position w:val="7"/>
          <w:sz w:val="13"/>
        </w:rPr>
        <w:lastRenderedPageBreak/>
        <w:t>1</w:t>
      </w:r>
      <w:r>
        <w:rPr>
          <w:position w:val="7"/>
          <w:sz w:val="13"/>
        </w:rPr>
        <w:tab/>
      </w:r>
      <w:hyperlink r:id="rId7">
        <w:r>
          <w:rPr>
            <w:color w:val="0562C1"/>
            <w:sz w:val="20"/>
            <w:u w:val="single" w:color="0562C1"/>
          </w:rPr>
          <w:t>https://www.cms.gov/Medicare/Medicare-Fee-for-Service-Payment/PhysicianFeeSched/PFS-Federal-</w:t>
        </w:r>
      </w:hyperlink>
    </w:p>
    <w:p w14:paraId="6FA1E20E" w14:textId="77777777" w:rsidR="00994B63" w:rsidRDefault="004339FE">
      <w:pPr>
        <w:pStyle w:val="ListParagraph"/>
        <w:numPr>
          <w:ilvl w:val="0"/>
          <w:numId w:val="1"/>
        </w:numPr>
        <w:tabs>
          <w:tab w:val="left" w:pos="699"/>
          <w:tab w:val="left" w:pos="700"/>
        </w:tabs>
        <w:spacing w:line="265" w:lineRule="exact"/>
        <w:rPr>
          <w:sz w:val="20"/>
        </w:rPr>
      </w:pPr>
      <w:hyperlink r:id="rId8">
        <w:r w:rsidR="009B5EE5">
          <w:rPr>
            <w:color w:val="0562C1"/>
            <w:sz w:val="20"/>
            <w:u w:val="single" w:color="0562C1"/>
          </w:rPr>
          <w:t>Regulation-Notices-Items/CMS-1676-F.html</w:t>
        </w:r>
      </w:hyperlink>
    </w:p>
    <w:p w14:paraId="306A1D09" w14:textId="77777777" w:rsidR="00994B63" w:rsidRDefault="009B5EE5">
      <w:pPr>
        <w:pStyle w:val="ListParagraph"/>
        <w:numPr>
          <w:ilvl w:val="0"/>
          <w:numId w:val="1"/>
        </w:numPr>
        <w:tabs>
          <w:tab w:val="left" w:pos="699"/>
          <w:tab w:val="left" w:pos="700"/>
          <w:tab w:val="left" w:pos="1419"/>
        </w:tabs>
        <w:spacing w:before="156" w:line="265" w:lineRule="exact"/>
        <w:rPr>
          <w:sz w:val="20"/>
        </w:rPr>
      </w:pPr>
      <w:r>
        <w:rPr>
          <w:position w:val="7"/>
          <w:sz w:val="13"/>
        </w:rPr>
        <w:t>2</w:t>
      </w:r>
      <w:r>
        <w:rPr>
          <w:position w:val="7"/>
          <w:sz w:val="13"/>
        </w:rPr>
        <w:tab/>
      </w:r>
      <w:hyperlink r:id="rId9">
        <w:r>
          <w:rPr>
            <w:color w:val="0562C1"/>
            <w:sz w:val="20"/>
            <w:u w:val="single" w:color="0562C1"/>
          </w:rPr>
          <w:t>https://waysandmeans.house.gov/tiberi-announces-new-initiative-reduce-medicare-regulations-</w:t>
        </w:r>
      </w:hyperlink>
    </w:p>
    <w:p w14:paraId="71E8B61D" w14:textId="77777777" w:rsidR="00994B63" w:rsidRDefault="004339FE">
      <w:pPr>
        <w:pStyle w:val="ListParagraph"/>
        <w:numPr>
          <w:ilvl w:val="0"/>
          <w:numId w:val="1"/>
        </w:numPr>
        <w:tabs>
          <w:tab w:val="left" w:pos="699"/>
          <w:tab w:val="left" w:pos="700"/>
        </w:tabs>
        <w:spacing w:line="265" w:lineRule="exact"/>
        <w:rPr>
          <w:sz w:val="20"/>
        </w:rPr>
      </w:pPr>
      <w:hyperlink r:id="rId10">
        <w:r w:rsidR="009B5EE5">
          <w:rPr>
            <w:color w:val="0562C1"/>
            <w:sz w:val="20"/>
            <w:u w:val="single" w:color="0562C1"/>
          </w:rPr>
          <w:t>mandates-improve-seniors-</w:t>
        </w:r>
        <w:proofErr w:type="gramStart"/>
        <w:r w:rsidR="009B5EE5">
          <w:rPr>
            <w:color w:val="0562C1"/>
            <w:sz w:val="20"/>
            <w:u w:val="single" w:color="0562C1"/>
          </w:rPr>
          <w:t>health-care</w:t>
        </w:r>
        <w:proofErr w:type="gramEnd"/>
        <w:r w:rsidR="009B5EE5">
          <w:rPr>
            <w:color w:val="0562C1"/>
            <w:sz w:val="20"/>
            <w:u w:val="single" w:color="0562C1"/>
          </w:rPr>
          <w:t>/</w:t>
        </w:r>
      </w:hyperlink>
    </w:p>
    <w:p w14:paraId="079F5A32" w14:textId="77777777" w:rsidR="00994B63" w:rsidRDefault="009B5EE5">
      <w:pPr>
        <w:pStyle w:val="ListParagraph"/>
        <w:numPr>
          <w:ilvl w:val="0"/>
          <w:numId w:val="1"/>
        </w:numPr>
        <w:tabs>
          <w:tab w:val="left" w:pos="699"/>
          <w:tab w:val="left" w:pos="700"/>
          <w:tab w:val="left" w:pos="1419"/>
        </w:tabs>
        <w:spacing w:before="157" w:line="265" w:lineRule="exact"/>
        <w:rPr>
          <w:sz w:val="20"/>
        </w:rPr>
      </w:pPr>
      <w:r>
        <w:rPr>
          <w:position w:val="7"/>
          <w:sz w:val="13"/>
        </w:rPr>
        <w:t>3</w:t>
      </w:r>
      <w:r>
        <w:rPr>
          <w:position w:val="7"/>
          <w:sz w:val="13"/>
        </w:rPr>
        <w:tab/>
      </w:r>
      <w:hyperlink r:id="rId11">
        <w:r>
          <w:rPr>
            <w:color w:val="0562C1"/>
            <w:sz w:val="20"/>
            <w:u w:val="single" w:color="0562C1"/>
          </w:rPr>
          <w:t>Changes in Burnout and Satisfaction With Work-Life Balance in Physicians and the General US</w:t>
        </w:r>
        <w:r>
          <w:rPr>
            <w:color w:val="0562C1"/>
            <w:spacing w:val="-25"/>
            <w:sz w:val="20"/>
            <w:u w:val="single" w:color="0562C1"/>
          </w:rPr>
          <w:t xml:space="preserve"> </w:t>
        </w:r>
        <w:r>
          <w:rPr>
            <w:color w:val="0562C1"/>
            <w:sz w:val="20"/>
            <w:u w:val="single" w:color="0562C1"/>
          </w:rPr>
          <w:t>Working</w:t>
        </w:r>
      </w:hyperlink>
    </w:p>
    <w:p w14:paraId="0753D3C2" w14:textId="77777777" w:rsidR="00994B63" w:rsidRDefault="004339FE">
      <w:pPr>
        <w:pStyle w:val="ListParagraph"/>
        <w:numPr>
          <w:ilvl w:val="0"/>
          <w:numId w:val="1"/>
        </w:numPr>
        <w:tabs>
          <w:tab w:val="left" w:pos="699"/>
          <w:tab w:val="left" w:pos="700"/>
        </w:tabs>
        <w:spacing w:line="265" w:lineRule="exact"/>
        <w:rPr>
          <w:sz w:val="20"/>
        </w:rPr>
      </w:pPr>
      <w:hyperlink r:id="rId12">
        <w:r w:rsidR="009B5EE5">
          <w:rPr>
            <w:color w:val="0562C1"/>
            <w:sz w:val="20"/>
            <w:u w:val="single" w:color="0562C1"/>
          </w:rPr>
          <w:t>Population Between 2011 and</w:t>
        </w:r>
        <w:r w:rsidR="009B5EE5">
          <w:rPr>
            <w:color w:val="0562C1"/>
            <w:spacing w:val="2"/>
            <w:sz w:val="20"/>
            <w:u w:val="single" w:color="0562C1"/>
          </w:rPr>
          <w:t xml:space="preserve"> </w:t>
        </w:r>
        <w:r w:rsidR="009B5EE5">
          <w:rPr>
            <w:color w:val="0562C1"/>
            <w:sz w:val="20"/>
            <w:u w:val="single" w:color="0562C1"/>
          </w:rPr>
          <w:t>2014</w:t>
        </w:r>
      </w:hyperlink>
    </w:p>
    <w:p w14:paraId="35EF77AB" w14:textId="77777777" w:rsidR="00994B63" w:rsidRDefault="009B5EE5">
      <w:pPr>
        <w:pStyle w:val="ListParagraph"/>
        <w:numPr>
          <w:ilvl w:val="0"/>
          <w:numId w:val="1"/>
        </w:numPr>
        <w:tabs>
          <w:tab w:val="left" w:pos="699"/>
          <w:tab w:val="left" w:pos="700"/>
          <w:tab w:val="left" w:pos="1419"/>
        </w:tabs>
        <w:spacing w:before="156"/>
        <w:rPr>
          <w:sz w:val="20"/>
        </w:rPr>
      </w:pPr>
      <w:r>
        <w:rPr>
          <w:position w:val="7"/>
          <w:sz w:val="13"/>
        </w:rPr>
        <w:t>4</w:t>
      </w:r>
      <w:r>
        <w:rPr>
          <w:position w:val="7"/>
          <w:sz w:val="13"/>
        </w:rPr>
        <w:tab/>
      </w:r>
      <w:hyperlink r:id="rId13" w:anchor="7">
        <w:r>
          <w:rPr>
            <w:color w:val="0562C1"/>
            <w:sz w:val="20"/>
            <w:u w:val="single" w:color="0562C1"/>
          </w:rPr>
          <w:t>https://www.medscape.com/slideshow/2018-lifestyle-dermatologist-6009221#7</w:t>
        </w:r>
      </w:hyperlink>
    </w:p>
    <w:p w14:paraId="3ECEABD2" w14:textId="77777777" w:rsidR="00994B63" w:rsidRDefault="009B5EE5">
      <w:pPr>
        <w:pStyle w:val="ListParagraph"/>
        <w:numPr>
          <w:ilvl w:val="0"/>
          <w:numId w:val="1"/>
        </w:numPr>
        <w:tabs>
          <w:tab w:val="left" w:pos="699"/>
          <w:tab w:val="left" w:pos="700"/>
          <w:tab w:val="left" w:pos="1419"/>
        </w:tabs>
        <w:spacing w:before="154"/>
        <w:rPr>
          <w:sz w:val="18"/>
        </w:rPr>
      </w:pPr>
      <w:r>
        <w:rPr>
          <w:position w:val="7"/>
          <w:sz w:val="13"/>
        </w:rPr>
        <w:t>5</w:t>
      </w:r>
      <w:r>
        <w:rPr>
          <w:position w:val="7"/>
          <w:sz w:val="13"/>
        </w:rPr>
        <w:tab/>
      </w:r>
      <w:hyperlink r:id="rId14">
        <w:r>
          <w:rPr>
            <w:color w:val="0562C1"/>
            <w:sz w:val="20"/>
            <w:u w:val="single" w:color="0562C1"/>
          </w:rPr>
          <w:t>Governance Handbook for Councils, Committees, Task Forces and Ad Hoc Task Forces</w:t>
        </w:r>
        <w:r>
          <w:rPr>
            <w:sz w:val="18"/>
          </w:rPr>
          <w:t xml:space="preserve">, </w:t>
        </w:r>
      </w:hyperlink>
      <w:r>
        <w:rPr>
          <w:sz w:val="18"/>
        </w:rPr>
        <w:t>AAD 2018,</w:t>
      </w:r>
      <w:r>
        <w:rPr>
          <w:spacing w:val="-13"/>
          <w:sz w:val="18"/>
        </w:rPr>
        <w:t xml:space="preserve"> </w:t>
      </w:r>
      <w:r>
        <w:rPr>
          <w:sz w:val="18"/>
        </w:rPr>
        <w:t>p</w:t>
      </w:r>
    </w:p>
    <w:p w14:paraId="42D14ECB" w14:textId="47D4EFEF" w:rsidR="00994B63" w:rsidRDefault="00994B63" w:rsidP="009B5EE5">
      <w:pPr>
        <w:pStyle w:val="BodyText"/>
        <w:spacing w:before="137"/>
        <w:rPr>
          <w:rFonts w:ascii="Calibri"/>
        </w:rPr>
      </w:pPr>
    </w:p>
    <w:sectPr w:rsidR="00994B63">
      <w:pgSz w:w="12240" w:h="15840"/>
      <w:pgMar w:top="1380" w:right="13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45552"/>
    <w:multiLevelType w:val="hybridMultilevel"/>
    <w:tmpl w:val="D298C29A"/>
    <w:lvl w:ilvl="0" w:tplc="061E296A">
      <w:numFmt w:val="bullet"/>
      <w:lvlText w:val=""/>
      <w:lvlJc w:val="left"/>
      <w:pPr>
        <w:ind w:left="1420" w:hanging="360"/>
      </w:pPr>
      <w:rPr>
        <w:rFonts w:ascii="Symbol" w:eastAsia="Symbol" w:hAnsi="Symbol" w:cs="Symbol" w:hint="default"/>
        <w:w w:val="100"/>
        <w:sz w:val="24"/>
        <w:szCs w:val="24"/>
        <w:lang w:val="en-US" w:eastAsia="en-US" w:bidi="en-US"/>
      </w:rPr>
    </w:lvl>
    <w:lvl w:ilvl="1" w:tplc="04090003">
      <w:start w:val="1"/>
      <w:numFmt w:val="bullet"/>
      <w:lvlText w:val="o"/>
      <w:lvlJc w:val="left"/>
      <w:pPr>
        <w:ind w:left="2140" w:hanging="360"/>
      </w:pPr>
      <w:rPr>
        <w:rFonts w:ascii="Courier New" w:hAnsi="Courier New" w:cs="Courier New" w:hint="default"/>
        <w:lang w:val="en-US" w:eastAsia="en-US" w:bidi="en-US"/>
      </w:rPr>
    </w:lvl>
    <w:lvl w:ilvl="2" w:tplc="55003B94">
      <w:numFmt w:val="bullet"/>
      <w:lvlText w:val="•"/>
      <w:lvlJc w:val="left"/>
      <w:pPr>
        <w:ind w:left="3031" w:hanging="360"/>
      </w:pPr>
      <w:rPr>
        <w:rFonts w:hint="default"/>
        <w:lang w:val="en-US" w:eastAsia="en-US" w:bidi="en-US"/>
      </w:rPr>
    </w:lvl>
    <w:lvl w:ilvl="3" w:tplc="0C08E40E">
      <w:numFmt w:val="bullet"/>
      <w:lvlText w:val="•"/>
      <w:lvlJc w:val="left"/>
      <w:pPr>
        <w:ind w:left="3922" w:hanging="360"/>
      </w:pPr>
      <w:rPr>
        <w:rFonts w:hint="default"/>
        <w:lang w:val="en-US" w:eastAsia="en-US" w:bidi="en-US"/>
      </w:rPr>
    </w:lvl>
    <w:lvl w:ilvl="4" w:tplc="7DD6FB1E">
      <w:numFmt w:val="bullet"/>
      <w:lvlText w:val="•"/>
      <w:lvlJc w:val="left"/>
      <w:pPr>
        <w:ind w:left="4813" w:hanging="360"/>
      </w:pPr>
      <w:rPr>
        <w:rFonts w:hint="default"/>
        <w:lang w:val="en-US" w:eastAsia="en-US" w:bidi="en-US"/>
      </w:rPr>
    </w:lvl>
    <w:lvl w:ilvl="5" w:tplc="4B186E30">
      <w:numFmt w:val="bullet"/>
      <w:lvlText w:val="•"/>
      <w:lvlJc w:val="left"/>
      <w:pPr>
        <w:ind w:left="5704" w:hanging="360"/>
      </w:pPr>
      <w:rPr>
        <w:rFonts w:hint="default"/>
        <w:lang w:val="en-US" w:eastAsia="en-US" w:bidi="en-US"/>
      </w:rPr>
    </w:lvl>
    <w:lvl w:ilvl="6" w:tplc="9DB2602A">
      <w:numFmt w:val="bullet"/>
      <w:lvlText w:val="•"/>
      <w:lvlJc w:val="left"/>
      <w:pPr>
        <w:ind w:left="6595" w:hanging="360"/>
      </w:pPr>
      <w:rPr>
        <w:rFonts w:hint="default"/>
        <w:lang w:val="en-US" w:eastAsia="en-US" w:bidi="en-US"/>
      </w:rPr>
    </w:lvl>
    <w:lvl w:ilvl="7" w:tplc="C0EEF59C">
      <w:numFmt w:val="bullet"/>
      <w:lvlText w:val="•"/>
      <w:lvlJc w:val="left"/>
      <w:pPr>
        <w:ind w:left="7486" w:hanging="360"/>
      </w:pPr>
      <w:rPr>
        <w:rFonts w:hint="default"/>
        <w:lang w:val="en-US" w:eastAsia="en-US" w:bidi="en-US"/>
      </w:rPr>
    </w:lvl>
    <w:lvl w:ilvl="8" w:tplc="08D8C066">
      <w:numFmt w:val="bullet"/>
      <w:lvlText w:val="•"/>
      <w:lvlJc w:val="left"/>
      <w:pPr>
        <w:ind w:left="8377" w:hanging="360"/>
      </w:pPr>
      <w:rPr>
        <w:rFonts w:hint="default"/>
        <w:lang w:val="en-US" w:eastAsia="en-US" w:bidi="en-US"/>
      </w:rPr>
    </w:lvl>
  </w:abstractNum>
  <w:abstractNum w:abstractNumId="1" w15:restartNumberingAfterBreak="0">
    <w:nsid w:val="39B76BE8"/>
    <w:multiLevelType w:val="hybridMultilevel"/>
    <w:tmpl w:val="08B8C184"/>
    <w:lvl w:ilvl="0" w:tplc="6D502668">
      <w:start w:val="27"/>
      <w:numFmt w:val="decimal"/>
      <w:lvlText w:val="%1"/>
      <w:lvlJc w:val="left"/>
      <w:pPr>
        <w:ind w:left="700" w:hanging="586"/>
        <w:jc w:val="left"/>
      </w:pPr>
      <w:rPr>
        <w:rFonts w:ascii="Calibri" w:eastAsia="Calibri" w:hAnsi="Calibri" w:cs="Calibri" w:hint="default"/>
        <w:w w:val="100"/>
        <w:sz w:val="22"/>
        <w:szCs w:val="22"/>
        <w:lang w:val="en-US" w:eastAsia="en-US" w:bidi="en-US"/>
      </w:rPr>
    </w:lvl>
    <w:lvl w:ilvl="1" w:tplc="BCA45794">
      <w:numFmt w:val="bullet"/>
      <w:lvlText w:val="•"/>
      <w:lvlJc w:val="left"/>
      <w:pPr>
        <w:ind w:left="1646" w:hanging="586"/>
      </w:pPr>
      <w:rPr>
        <w:rFonts w:hint="default"/>
        <w:lang w:val="en-US" w:eastAsia="en-US" w:bidi="en-US"/>
      </w:rPr>
    </w:lvl>
    <w:lvl w:ilvl="2" w:tplc="3C68F48C">
      <w:numFmt w:val="bullet"/>
      <w:lvlText w:val="•"/>
      <w:lvlJc w:val="left"/>
      <w:pPr>
        <w:ind w:left="2592" w:hanging="586"/>
      </w:pPr>
      <w:rPr>
        <w:rFonts w:hint="default"/>
        <w:lang w:val="en-US" w:eastAsia="en-US" w:bidi="en-US"/>
      </w:rPr>
    </w:lvl>
    <w:lvl w:ilvl="3" w:tplc="33F24990">
      <w:numFmt w:val="bullet"/>
      <w:lvlText w:val="•"/>
      <w:lvlJc w:val="left"/>
      <w:pPr>
        <w:ind w:left="3538" w:hanging="586"/>
      </w:pPr>
      <w:rPr>
        <w:rFonts w:hint="default"/>
        <w:lang w:val="en-US" w:eastAsia="en-US" w:bidi="en-US"/>
      </w:rPr>
    </w:lvl>
    <w:lvl w:ilvl="4" w:tplc="72582EC6">
      <w:numFmt w:val="bullet"/>
      <w:lvlText w:val="•"/>
      <w:lvlJc w:val="left"/>
      <w:pPr>
        <w:ind w:left="4484" w:hanging="586"/>
      </w:pPr>
      <w:rPr>
        <w:rFonts w:hint="default"/>
        <w:lang w:val="en-US" w:eastAsia="en-US" w:bidi="en-US"/>
      </w:rPr>
    </w:lvl>
    <w:lvl w:ilvl="5" w:tplc="F2BA8A52">
      <w:numFmt w:val="bullet"/>
      <w:lvlText w:val="•"/>
      <w:lvlJc w:val="left"/>
      <w:pPr>
        <w:ind w:left="5430" w:hanging="586"/>
      </w:pPr>
      <w:rPr>
        <w:rFonts w:hint="default"/>
        <w:lang w:val="en-US" w:eastAsia="en-US" w:bidi="en-US"/>
      </w:rPr>
    </w:lvl>
    <w:lvl w:ilvl="6" w:tplc="DE6ECC14">
      <w:numFmt w:val="bullet"/>
      <w:lvlText w:val="•"/>
      <w:lvlJc w:val="left"/>
      <w:pPr>
        <w:ind w:left="6376" w:hanging="586"/>
      </w:pPr>
      <w:rPr>
        <w:rFonts w:hint="default"/>
        <w:lang w:val="en-US" w:eastAsia="en-US" w:bidi="en-US"/>
      </w:rPr>
    </w:lvl>
    <w:lvl w:ilvl="7" w:tplc="B26EAAA6">
      <w:numFmt w:val="bullet"/>
      <w:lvlText w:val="•"/>
      <w:lvlJc w:val="left"/>
      <w:pPr>
        <w:ind w:left="7322" w:hanging="586"/>
      </w:pPr>
      <w:rPr>
        <w:rFonts w:hint="default"/>
        <w:lang w:val="en-US" w:eastAsia="en-US" w:bidi="en-US"/>
      </w:rPr>
    </w:lvl>
    <w:lvl w:ilvl="8" w:tplc="518CFBFE">
      <w:numFmt w:val="bullet"/>
      <w:lvlText w:val="•"/>
      <w:lvlJc w:val="left"/>
      <w:pPr>
        <w:ind w:left="8268" w:hanging="586"/>
      </w:pPr>
      <w:rPr>
        <w:rFonts w:hint="default"/>
        <w:lang w:val="en-US" w:eastAsia="en-US" w:bidi="en-US"/>
      </w:rPr>
    </w:lvl>
  </w:abstractNum>
  <w:abstractNum w:abstractNumId="2" w15:restartNumberingAfterBreak="0">
    <w:nsid w:val="72D82BB2"/>
    <w:multiLevelType w:val="hybridMultilevel"/>
    <w:tmpl w:val="F080E9A6"/>
    <w:lvl w:ilvl="0" w:tplc="3E54A7A2">
      <w:start w:val="1"/>
      <w:numFmt w:val="decimal"/>
      <w:lvlText w:val="%1"/>
      <w:lvlJc w:val="left"/>
      <w:pPr>
        <w:ind w:left="700" w:hanging="473"/>
        <w:jc w:val="right"/>
      </w:pPr>
      <w:rPr>
        <w:rFonts w:ascii="Calibri" w:eastAsia="Calibri" w:hAnsi="Calibri" w:cs="Calibri" w:hint="default"/>
        <w:w w:val="100"/>
        <w:sz w:val="22"/>
        <w:szCs w:val="22"/>
        <w:lang w:val="en-US" w:eastAsia="en-US" w:bidi="en-US"/>
      </w:rPr>
    </w:lvl>
    <w:lvl w:ilvl="1" w:tplc="7274348E">
      <w:numFmt w:val="bullet"/>
      <w:lvlText w:val="•"/>
      <w:lvlJc w:val="left"/>
      <w:pPr>
        <w:ind w:left="1646" w:hanging="473"/>
      </w:pPr>
      <w:rPr>
        <w:rFonts w:hint="default"/>
        <w:lang w:val="en-US" w:eastAsia="en-US" w:bidi="en-US"/>
      </w:rPr>
    </w:lvl>
    <w:lvl w:ilvl="2" w:tplc="AF8639FE">
      <w:numFmt w:val="bullet"/>
      <w:lvlText w:val="•"/>
      <w:lvlJc w:val="left"/>
      <w:pPr>
        <w:ind w:left="2592" w:hanging="473"/>
      </w:pPr>
      <w:rPr>
        <w:rFonts w:hint="default"/>
        <w:lang w:val="en-US" w:eastAsia="en-US" w:bidi="en-US"/>
      </w:rPr>
    </w:lvl>
    <w:lvl w:ilvl="3" w:tplc="3A7298AE">
      <w:numFmt w:val="bullet"/>
      <w:lvlText w:val="•"/>
      <w:lvlJc w:val="left"/>
      <w:pPr>
        <w:ind w:left="3538" w:hanging="473"/>
      </w:pPr>
      <w:rPr>
        <w:rFonts w:hint="default"/>
        <w:lang w:val="en-US" w:eastAsia="en-US" w:bidi="en-US"/>
      </w:rPr>
    </w:lvl>
    <w:lvl w:ilvl="4" w:tplc="F04AE8AC">
      <w:numFmt w:val="bullet"/>
      <w:lvlText w:val="•"/>
      <w:lvlJc w:val="left"/>
      <w:pPr>
        <w:ind w:left="4484" w:hanging="473"/>
      </w:pPr>
      <w:rPr>
        <w:rFonts w:hint="default"/>
        <w:lang w:val="en-US" w:eastAsia="en-US" w:bidi="en-US"/>
      </w:rPr>
    </w:lvl>
    <w:lvl w:ilvl="5" w:tplc="A874FFE8">
      <w:numFmt w:val="bullet"/>
      <w:lvlText w:val="•"/>
      <w:lvlJc w:val="left"/>
      <w:pPr>
        <w:ind w:left="5430" w:hanging="473"/>
      </w:pPr>
      <w:rPr>
        <w:rFonts w:hint="default"/>
        <w:lang w:val="en-US" w:eastAsia="en-US" w:bidi="en-US"/>
      </w:rPr>
    </w:lvl>
    <w:lvl w:ilvl="6" w:tplc="154AF5DE">
      <w:numFmt w:val="bullet"/>
      <w:lvlText w:val="•"/>
      <w:lvlJc w:val="left"/>
      <w:pPr>
        <w:ind w:left="6376" w:hanging="473"/>
      </w:pPr>
      <w:rPr>
        <w:rFonts w:hint="default"/>
        <w:lang w:val="en-US" w:eastAsia="en-US" w:bidi="en-US"/>
      </w:rPr>
    </w:lvl>
    <w:lvl w:ilvl="7" w:tplc="EDAA1730">
      <w:numFmt w:val="bullet"/>
      <w:lvlText w:val="•"/>
      <w:lvlJc w:val="left"/>
      <w:pPr>
        <w:ind w:left="7322" w:hanging="473"/>
      </w:pPr>
      <w:rPr>
        <w:rFonts w:hint="default"/>
        <w:lang w:val="en-US" w:eastAsia="en-US" w:bidi="en-US"/>
      </w:rPr>
    </w:lvl>
    <w:lvl w:ilvl="8" w:tplc="D4D801D8">
      <w:numFmt w:val="bullet"/>
      <w:lvlText w:val="•"/>
      <w:lvlJc w:val="left"/>
      <w:pPr>
        <w:ind w:left="8268" w:hanging="473"/>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63"/>
    <w:rsid w:val="00121BF2"/>
    <w:rsid w:val="001B35DC"/>
    <w:rsid w:val="004339FE"/>
    <w:rsid w:val="0077313C"/>
    <w:rsid w:val="00994B63"/>
    <w:rsid w:val="009B5EE5"/>
    <w:rsid w:val="00CD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24AD"/>
  <w15:docId w15:val="{3D361E83-D376-4134-A115-03C7E279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70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line="292" w:lineRule="exact"/>
      <w:ind w:left="70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6"/>
    </w:pPr>
    <w:rPr>
      <w:rFonts w:ascii="Arial" w:eastAsia="Arial" w:hAnsi="Arial" w:cs="Arial"/>
    </w:rPr>
  </w:style>
  <w:style w:type="paragraph" w:styleId="ListParagraph">
    <w:name w:val="List Paragraph"/>
    <w:basedOn w:val="Normal"/>
    <w:uiPriority w:val="1"/>
    <w:qFormat/>
    <w:pPr>
      <w:ind w:left="700" w:hanging="58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21BF2"/>
    <w:rPr>
      <w:color w:val="0000FF" w:themeColor="hyperlink"/>
      <w:u w:val="single"/>
    </w:rPr>
  </w:style>
  <w:style w:type="character" w:styleId="UnresolvedMention">
    <w:name w:val="Unresolved Mention"/>
    <w:basedOn w:val="DefaultParagraphFont"/>
    <w:uiPriority w:val="99"/>
    <w:semiHidden/>
    <w:unhideWhenUsed/>
    <w:rsid w:val="00121BF2"/>
    <w:rPr>
      <w:color w:val="605E5C"/>
      <w:shd w:val="clear" w:color="auto" w:fill="E1DFDD"/>
    </w:rPr>
  </w:style>
  <w:style w:type="character" w:styleId="FollowedHyperlink">
    <w:name w:val="FollowedHyperlink"/>
    <w:basedOn w:val="DefaultParagraphFont"/>
    <w:uiPriority w:val="99"/>
    <w:semiHidden/>
    <w:unhideWhenUsed/>
    <w:rsid w:val="00121B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ms.gov/Medicare/Medicare-Fee-for-Service-Payment/PhysicianFeeSched/PFS-Federal-Regulation-Notices-Items/CMS-1676-F.html" TargetMode="External"/><Relationship Id="rId13" Type="http://schemas.openxmlformats.org/officeDocument/2006/relationships/hyperlink" Target="https://www.medscape.com/slideshow/2018-lifestyle-dermatologist-6009221" TargetMode="External"/><Relationship Id="rId3" Type="http://schemas.openxmlformats.org/officeDocument/2006/relationships/settings" Target="settings.xml"/><Relationship Id="rId7" Type="http://schemas.openxmlformats.org/officeDocument/2006/relationships/hyperlink" Target="https://www.cms.gov/Medicare/Medicare-Fee-for-Service-Payment/PhysicianFeeSched/PFS-Federal-Regulation-Notices-Items/CMS-1676-F.html" TargetMode="External"/><Relationship Id="rId12" Type="http://schemas.openxmlformats.org/officeDocument/2006/relationships/hyperlink" Target="http://dx.doi.org/10.1016/j.mayocp.2015.08.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ad.org/doi/" TargetMode="External"/><Relationship Id="rId11" Type="http://schemas.openxmlformats.org/officeDocument/2006/relationships/hyperlink" Target="http://dx.doi.org/10.1016/j.mayocp.2015.08.023" TargetMode="External"/><Relationship Id="rId5" Type="http://schemas.openxmlformats.org/officeDocument/2006/relationships/hyperlink" Target="https://www.aad.org/Forms/Policies/ps.aspx" TargetMode="External"/><Relationship Id="rId15" Type="http://schemas.openxmlformats.org/officeDocument/2006/relationships/fontTable" Target="fontTable.xml"/><Relationship Id="rId10" Type="http://schemas.openxmlformats.org/officeDocument/2006/relationships/hyperlink" Target="https://waysandmeans.house.gov/tiberi-announces-new-initiative-reduce-medicare-regulations-mandates-improve-seniors-health-care/" TargetMode="External"/><Relationship Id="rId4" Type="http://schemas.openxmlformats.org/officeDocument/2006/relationships/webSettings" Target="webSettings.xml"/><Relationship Id="rId9" Type="http://schemas.openxmlformats.org/officeDocument/2006/relationships/hyperlink" Target="https://waysandmeans.house.gov/tiberi-announces-new-initiative-reduce-medicare-regulations-mandates-improve-seniors-health-care/" TargetMode="External"/><Relationship Id="rId14" Type="http://schemas.openxmlformats.org/officeDocument/2006/relationships/hyperlink" Target="https://www.aad.org/File%20Library/Top%20navigation/About/CCTF/governance-handbook-for-cctf-and-AHT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4451</Characters>
  <Application>Microsoft Office Word</Application>
  <DocSecurity>0</DocSecurity>
  <Lines>80</Lines>
  <Paragraphs>38</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Cierra Martin</dc:creator>
  <cp:lastModifiedBy>Cierra Martin</cp:lastModifiedBy>
  <cp:revision>2</cp:revision>
  <dcterms:created xsi:type="dcterms:W3CDTF">2021-01-13T19:23:00Z</dcterms:created>
  <dcterms:modified xsi:type="dcterms:W3CDTF">2021-01-13T19:23:00Z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Acrobat PDFMaker 20 for Word</vt:lpwstr>
  </property>
  <property fmtid="{D5CDD505-2E9C-101B-9397-08002B2CF9AE}" pid="4" name="LastSaved">
    <vt:filetime>2020-05-27T00:00:00Z</vt:filetime>
  </property>
</Properties>
</file>