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6BFF"/>
          <w:spacing w:val="40"/>
          <w:sz w:val="18"/>
          <w:szCs w:val="18"/>
        </w:rPr>
        <w:t xml:space="preserve">CE CANVAS TEMPLATE</w:t>
      </w:r>
    </w:p>
    <w:p>
      <w:pPr>
        <w:pStyle w:val="Title"/>
        <w:spacing w:after="120"/>
      </w:pPr>
      <w:r>
        <w:rPr>
          <w:rFonts w:ascii="Arial" w:cs="Arial" w:eastAsia="Arial" w:hAnsi="Arial"/>
          <w:b/>
          <w:bCs/>
          <w:color w:val="111827"/>
          <w:sz w:val="44"/>
          <w:szCs w:val="44"/>
        </w:rPr>
        <w:t xml:space="preserve">Stakeholder Engagement Plan</w:t>
      </w:r>
    </w:p>
    <w:p>
      <w:pPr>
        <w:spacing w:after="120"/>
      </w:pPr>
      <w:r>
        <w:rPr>
          <w:rFonts w:ascii="Arial" w:cs="Arial" w:eastAsia="Arial" w:hAnsi="Arial"/>
          <w:color w:val="6B7280"/>
          <w:sz w:val="22"/>
          <w:szCs w:val="22"/>
        </w:rPr>
        <w:t xml:space="preserve">Who needs to be heard on this decision, how much it matters to them, and how you will reach the people standard engagement tends to miss.</w:t>
      </w:r>
    </w:p>
    <w:p>
      <w:pPr>
        <w:pBdr>
          <w:left w:val="single" w:color="1F6BFF" w:sz="18" w:space="8"/>
        </w:pBdr>
        <w:shd w:fill="F3F6FB" w:color="auto" w:val="clear"/>
        <w:spacing w:before="80" w:after="160"/>
        <w:ind w:left="120"/>
      </w:pPr>
      <w:r>
        <w:rPr>
          <w:rFonts w:ascii="Arial" w:cs="Arial" w:eastAsia="Arial" w:hAnsi="Arial"/>
          <w:b/>
          <w:bCs/>
          <w:color w:val="1F6BFF"/>
          <w:sz w:val="19"/>
          <w:szCs w:val="19"/>
        </w:rPr>
        <w:t xml:space="preserve">How to use it.  </w:t>
      </w:r>
      <w:r>
        <w:rPr>
          <w:rFonts w:ascii="Arial" w:cs="Arial" w:eastAsia="Arial" w:hAnsi="Arial"/>
          <w:color w:val="111827"/>
          <w:sz w:val="19"/>
          <w:szCs w:val="19"/>
        </w:rPr>
        <w:t xml:space="preserve">Work through the sections in order: list, refine, map, reach and review. Replace the grey prompts with your own content and delete the example rows. Treat the plan as a current judgment, not a fixed document: groups are added, renamed and re-placed as the project unfolds.</w:t>
      </w:r>
    </w:p>
    <w:p>
      <w:pPr>
        <w:pStyle w:val="Heading1"/>
        <w:spacing w:before="360" w:after="140"/>
      </w:pPr>
      <w:r>
        <w:rPr>
          <w:rFonts w:ascii="Arial" w:cs="Arial" w:eastAsia="Arial" w:hAnsi="Arial"/>
          <w:b/>
          <w:bCs/>
          <w:color w:val="1F6BFF"/>
          <w:sz w:val="30"/>
          <w:szCs w:val="30"/>
        </w:rPr>
        <w:t xml:space="preserve">1. The decision</w:t>
      </w:r>
    </w:p>
    <w:p>
      <w:pPr>
        <w:spacing w:after="120"/>
      </w:pPr>
      <w:r>
        <w:rPr>
          <w:rFonts w:ascii="Arial" w:cs="Arial" w:eastAsia="Arial" w:hAnsi="Arial"/>
          <w:i/>
          <w:iCs/>
          <w:color w:val="6B7280"/>
          <w:sz w:val="21"/>
          <w:szCs w:val="21"/>
        </w:rPr>
        <w:t xml:space="preserve">A stakeholder plan is only as good as its decision statement. Settle this first.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68"/>
        <w:gridCol w:w="6538"/>
      </w:tblGrid>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Project</w:t>
            </w:r>
          </w:p>
        </w:tc>
        <w:tc>
          <w:tcPr>
            <w:tcW w:type="dxa" w:w="653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Decision being made</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For example: which design concept to progress for the foreshore upgrade</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Who makes the decision, and when</w:t>
            </w:r>
          </w:p>
        </w:tc>
        <w:tc>
          <w:tcPr>
            <w:tcW w:type="dxa" w:w="653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Open to influence</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What stakeholders can genuinely change</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Already decided or fixed</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Budget, legislation, prior decisions, technical constraints</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Level of engagement</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Inform, consult, involve, collaborate or empower (IAP2 spectrum)</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Promise to participants</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What you commit to do with their input</w:t>
            </w:r>
          </w:p>
        </w:tc>
      </w:tr>
    </w:tbl>
    <w:p>
      <w:pPr>
        <w:pStyle w:val="Heading1"/>
        <w:spacing w:before="360" w:after="140"/>
      </w:pPr>
      <w:r>
        <w:rPr>
          <w:rFonts w:ascii="Arial" w:cs="Arial" w:eastAsia="Arial" w:hAnsi="Arial"/>
          <w:b/>
          <w:bCs/>
          <w:color w:val="1F6BFF"/>
          <w:sz w:val="30"/>
          <w:szCs w:val="30"/>
        </w:rPr>
        <w:t xml:space="preserve">2. List everyone who might matter</w:t>
      </w:r>
    </w:p>
    <w:p>
      <w:pPr>
        <w:spacing w:after="120"/>
      </w:pPr>
      <w:r>
        <w:rPr>
          <w:rFonts w:ascii="Arial" w:cs="Arial" w:eastAsia="Arial" w:hAnsi="Arial"/>
          <w:i/>
          <w:iCs/>
          <w:color w:val="6B7280"/>
          <w:sz w:val="21"/>
          <w:szCs w:val="21"/>
        </w:rPr>
        <w:t xml:space="preserve">Directly affected people, those who avoid the place or service because of the issue, neighbours, rights-holders, regulators, internal teams and delivery partners.</w:t>
      </w:r>
    </w:p>
    <w:p>
      <w:pPr>
        <w:pBdr>
          <w:left w:val="single" w:color="1F6BFF" w:sz="18" w:space="8"/>
        </w:pBdr>
        <w:shd w:fill="F3F6FB" w:color="auto" w:val="clear"/>
        <w:spacing w:before="80" w:after="160"/>
        <w:ind w:left="120"/>
      </w:pPr>
      <w:r>
        <w:rPr>
          <w:rFonts w:ascii="Arial" w:cs="Arial" w:eastAsia="Arial" w:hAnsi="Arial"/>
          <w:b/>
          <w:bCs/>
          <w:color w:val="1F6BFF"/>
          <w:sz w:val="19"/>
          <w:szCs w:val="19"/>
        </w:rPr>
        <w:t xml:space="preserve">Practice note.  </w:t>
      </w:r>
      <w:r>
        <w:rPr>
          <w:rFonts w:ascii="Arial" w:cs="Arial" w:eastAsia="Arial" w:hAnsi="Arial"/>
          <w:color w:val="111827"/>
          <w:sz w:val="19"/>
          <w:szCs w:val="19"/>
        </w:rPr>
        <w:t xml:space="preserve">A stakeholder is anyone this decision could affect, anyone with an interest in it, and anyone who can influence it, including people who would never call themselves a stakeholder. Rights-holders, Traditional Owners and First Nations peoples, have standing wherever they sit on the map.</w:t>
      </w:r>
    </w:p>
    <w:p>
      <w:pPr>
        <w:pStyle w:val="Heading1"/>
        <w:spacing w:before="360" w:after="140"/>
      </w:pPr>
      <w:r>
        <w:rPr>
          <w:rFonts w:ascii="Arial" w:cs="Arial" w:eastAsia="Arial" w:hAnsi="Arial"/>
          <w:b/>
          <w:bCs/>
          <w:color w:val="1F6BFF"/>
          <w:sz w:val="30"/>
          <w:szCs w:val="30"/>
        </w:rPr>
        <w:t xml:space="preserve">3. Refine: make each group specific enough to plan against</w:t>
      </w:r>
    </w:p>
    <w:p>
      <w:pPr>
        <w:spacing w:after="120"/>
      </w:pPr>
      <w:r>
        <w:rPr>
          <w:rFonts w:ascii="Arial" w:cs="Arial" w:eastAsia="Arial" w:hAnsi="Arial"/>
          <w:i/>
          <w:iCs/>
          <w:color w:val="6B7280"/>
          <w:sz w:val="21"/>
          <w:szCs w:val="21"/>
        </w:rPr>
        <w:t xml:space="preserve">Tighten broad names and resolve overlaps. Split a group only if treating those people separately would change how, when or why you engage them.</w:t>
      </w:r>
    </w:p>
    <w:p>
      <w:pPr>
        <w:pStyle w:val="ListParagraph"/>
        <w:numPr>
          <w:ilvl w:val="0"/>
          <w:numId w:val="2"/>
        </w:numPr>
        <w:spacing w:after="60"/>
      </w:pPr>
      <w:r>
        <w:rPr>
          <w:rFonts w:ascii="Arial" w:cs="Arial" w:eastAsia="Arial" w:hAnsi="Arial"/>
          <w:color w:val="111827"/>
          <w:sz w:val="21"/>
          <w:szCs w:val="21"/>
        </w:rPr>
        <w:t xml:space="preserve">Merge groups you would engage the same way, through the same channel.</w:t>
      </w:r>
    </w:p>
    <w:p>
      <w:pPr>
        <w:pStyle w:val="ListParagraph"/>
        <w:numPr>
          <w:ilvl w:val="0"/>
          <w:numId w:val="2"/>
        </w:numPr>
        <w:spacing w:after="60"/>
      </w:pPr>
      <w:r>
        <w:rPr>
          <w:rFonts w:ascii="Arial" w:cs="Arial" w:eastAsia="Arial" w:hAnsi="Arial"/>
          <w:color w:val="111827"/>
          <w:sz w:val="21"/>
          <w:szCs w:val="21"/>
        </w:rPr>
        <w:t xml:space="preserve">One body per group. A name joined by "and" or a slash is usually two.</w:t>
      </w:r>
    </w:p>
    <w:p>
      <w:pPr>
        <w:pStyle w:val="ListParagraph"/>
        <w:numPr>
          <w:ilvl w:val="0"/>
          <w:numId w:val="2"/>
        </w:numPr>
        <w:spacing w:after="60"/>
      </w:pPr>
      <w:r>
        <w:rPr>
          <w:rFonts w:ascii="Arial" w:cs="Arial" w:eastAsia="Arial" w:hAnsi="Arial"/>
          <w:color w:val="111827"/>
          <w:sz w:val="21"/>
          <w:szCs w:val="21"/>
        </w:rPr>
        <w:t xml:space="preserve">Replace vague interests with the real body or the concrete role. "Parents at Bayside Primary School" can be planned for; "families" cannot.</w:t>
      </w:r>
    </w:p>
    <w:p>
      <w:pPr>
        <w:spacing w:after="120"/>
      </w:pPr>
    </w:p>
    <w:p>
      <w:pPr>
        <w:pStyle w:val="Heading2"/>
        <w:spacing w:before="300" w:after="100"/>
      </w:pPr>
      <w:r>
        <w:rPr>
          <w:rFonts w:ascii="Arial" w:cs="Arial" w:eastAsia="Arial" w:hAnsi="Arial"/>
          <w:b/>
          <w:bCs/>
          <w:color w:val="111827"/>
          <w:sz w:val="24"/>
          <w:szCs w:val="24"/>
        </w:rPr>
        <w:t xml:space="preserve">Stakeholder register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179"/>
        <w:gridCol w:w="2576"/>
        <w:gridCol w:w="1189"/>
        <w:gridCol w:w="991"/>
        <w:gridCol w:w="1189"/>
        <w:gridCol w:w="1783"/>
      </w:tblGrid>
      <w:tr>
        <w:trPr>
          <w:tblHeader/>
        </w:trPr>
        <w:tc>
          <w:tcPr>
            <w:tcW w:type="dxa" w:w="2179"/>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Stakeholder group</w:t>
            </w:r>
          </w:p>
        </w:tc>
        <w:tc>
          <w:tcPr>
            <w:tcW w:type="dxa" w:w="2576"/>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What's at stake for them</w:t>
            </w:r>
          </w:p>
        </w:tc>
        <w:tc>
          <w:tcPr>
            <w:tcW w:type="dxa" w:w="1189"/>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Directly affected? (Y/N)</w:t>
            </w:r>
          </w:p>
        </w:tc>
        <w:tc>
          <w:tcPr>
            <w:tcW w:type="dxa" w:w="991"/>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Stake (L/M/H)</w:t>
            </w:r>
          </w:p>
        </w:tc>
        <w:tc>
          <w:tcPr>
            <w:tcW w:type="dxa" w:w="1189"/>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Influence (L/M/H)</w:t>
            </w:r>
          </w:p>
        </w:tc>
        <w:tc>
          <w:tcPr>
            <w:tcW w:type="dxa" w:w="178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Contact or representative</w:t>
            </w:r>
          </w:p>
        </w:tc>
      </w:tr>
      <w:tr>
        <w:tc>
          <w:tcPr>
            <w:tcW w:type="dxa" w:w="2179"/>
            <w:tcMar>
              <w:top w:type="dxa" w:w="80"/>
              <w:left w:type="dxa" w:w="100"/>
              <w:bottom w:type="dxa" w:w="80"/>
              <w:right w:type="dxa" w:w="100"/>
            </w:tcMar>
          </w:tcPr>
          <w:p>
            <w:r>
              <w:rPr>
                <w:rFonts w:ascii="Arial" w:cs="Arial" w:eastAsia="Arial" w:hAnsi="Arial"/>
                <w:b w:val="false"/>
                <w:bCs w:val="false"/>
                <w:i/>
                <w:iCs/>
                <w:color w:val="6B7280"/>
                <w:sz w:val="19"/>
                <w:szCs w:val="19"/>
              </w:rPr>
              <w:t xml:space="preserve">Parents at Bayside Primary School</w:t>
            </w:r>
          </w:p>
        </w:tc>
        <w:tc>
          <w:tcPr>
            <w:tcW w:type="dxa" w:w="2576"/>
            <w:tcMar>
              <w:top w:type="dxa" w:w="80"/>
              <w:left w:type="dxa" w:w="100"/>
              <w:bottom w:type="dxa" w:w="80"/>
              <w:right w:type="dxa" w:w="100"/>
            </w:tcMar>
          </w:tcPr>
          <w:p>
            <w:r>
              <w:rPr>
                <w:rFonts w:ascii="Arial" w:cs="Arial" w:eastAsia="Arial" w:hAnsi="Arial"/>
                <w:b w:val="false"/>
                <w:bCs w:val="false"/>
                <w:i/>
                <w:iCs/>
                <w:color w:val="6B7280"/>
                <w:sz w:val="19"/>
                <w:szCs w:val="19"/>
              </w:rPr>
              <w:t xml:space="preserve">Safe walking route to school during construction</w:t>
            </w:r>
          </w:p>
        </w:tc>
        <w:tc>
          <w:tcPr>
            <w:tcW w:type="dxa" w:w="1189"/>
            <w:tcMar>
              <w:top w:type="dxa" w:w="80"/>
              <w:left w:type="dxa" w:w="100"/>
              <w:bottom w:type="dxa" w:w="80"/>
              <w:right w:type="dxa" w:w="100"/>
            </w:tcMar>
          </w:tcPr>
          <w:p>
            <w:r>
              <w:rPr>
                <w:rFonts w:ascii="Arial" w:cs="Arial" w:eastAsia="Arial" w:hAnsi="Arial"/>
                <w:b w:val="false"/>
                <w:bCs w:val="false"/>
                <w:i/>
                <w:iCs/>
                <w:color w:val="6B7280"/>
                <w:sz w:val="19"/>
                <w:szCs w:val="19"/>
              </w:rPr>
              <w:t xml:space="preserve">Y</w:t>
            </w:r>
          </w:p>
        </w:tc>
        <w:tc>
          <w:tcPr>
            <w:tcW w:type="dxa" w:w="991"/>
            <w:tcMar>
              <w:top w:type="dxa" w:w="80"/>
              <w:left w:type="dxa" w:w="100"/>
              <w:bottom w:type="dxa" w:w="80"/>
              <w:right w:type="dxa" w:w="100"/>
            </w:tcMar>
          </w:tcPr>
          <w:p>
            <w:r>
              <w:rPr>
                <w:rFonts w:ascii="Arial" w:cs="Arial" w:eastAsia="Arial" w:hAnsi="Arial"/>
                <w:b w:val="false"/>
                <w:bCs w:val="false"/>
                <w:i/>
                <w:iCs/>
                <w:color w:val="6B7280"/>
                <w:sz w:val="19"/>
                <w:szCs w:val="19"/>
              </w:rPr>
              <w:t xml:space="preserve">H</w:t>
            </w:r>
          </w:p>
        </w:tc>
        <w:tc>
          <w:tcPr>
            <w:tcW w:type="dxa" w:w="1189"/>
            <w:tcMar>
              <w:top w:type="dxa" w:w="80"/>
              <w:left w:type="dxa" w:w="100"/>
              <w:bottom w:type="dxa" w:w="80"/>
              <w:right w:type="dxa" w:w="100"/>
            </w:tcMar>
          </w:tcPr>
          <w:p>
            <w:r>
              <w:rPr>
                <w:rFonts w:ascii="Arial" w:cs="Arial" w:eastAsia="Arial" w:hAnsi="Arial"/>
                <w:b w:val="false"/>
                <w:bCs w:val="false"/>
                <w:i/>
                <w:iCs/>
                <w:color w:val="6B7280"/>
                <w:sz w:val="19"/>
                <w:szCs w:val="19"/>
              </w:rPr>
              <w:t xml:space="preserve">L</w:t>
            </w:r>
          </w:p>
        </w:tc>
        <w:tc>
          <w:tcPr>
            <w:tcW w:type="dxa" w:w="1783"/>
            <w:tcMar>
              <w:top w:type="dxa" w:w="80"/>
              <w:left w:type="dxa" w:w="100"/>
              <w:bottom w:type="dxa" w:w="80"/>
              <w:right w:type="dxa" w:w="100"/>
            </w:tcMar>
          </w:tcPr>
          <w:p>
            <w:r>
              <w:rPr>
                <w:rFonts w:ascii="Arial" w:cs="Arial" w:eastAsia="Arial" w:hAnsi="Arial"/>
                <w:b w:val="false"/>
                <w:bCs w:val="false"/>
                <w:i/>
                <w:iCs/>
                <w:color w:val="6B7280"/>
                <w:sz w:val="19"/>
                <w:szCs w:val="19"/>
              </w:rPr>
              <w:t xml:space="preserve">School P&amp;C president</w:t>
            </w:r>
          </w:p>
        </w:tc>
      </w:tr>
      <w:tr>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99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99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99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99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99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99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99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99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99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17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99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4. Map: place each group by stake and influence</w:t>
      </w:r>
    </w:p>
    <w:p>
      <w:pPr>
        <w:spacing w:after="120"/>
      </w:pPr>
      <w:r>
        <w:rPr>
          <w:rFonts w:ascii="Arial" w:cs="Arial" w:eastAsia="Arial" w:hAnsi="Arial"/>
          <w:i/>
          <w:iCs/>
          <w:color w:val="6B7280"/>
          <w:sz w:val="21"/>
          <w:szCs w:val="21"/>
        </w:rPr>
        <w:t xml:space="preserve">Stake is how much this decision matters to a group. Influence is how much they can change the outcome or its delivery today. Write each group in the cell that matches its placement.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85"/>
        <w:gridCol w:w="2774"/>
        <w:gridCol w:w="2774"/>
        <w:gridCol w:w="2774"/>
      </w:tblGrid>
      <w:tr>
        <w:tc>
          <w:tcPr>
            <w:tcW w:type="dxa" w:w="1585"/>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
            </w:r>
          </w:p>
        </w:tc>
        <w:tc>
          <w:tcPr>
            <w:tcW w:type="dxa" w:w="2774"/>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Low stake</w:t>
            </w:r>
          </w:p>
        </w:tc>
        <w:tc>
          <w:tcPr>
            <w:tcW w:type="dxa" w:w="2774"/>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Medium stake</w:t>
            </w:r>
          </w:p>
        </w:tc>
        <w:tc>
          <w:tcPr>
            <w:tcW w:type="dxa" w:w="2774"/>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High stake</w:t>
            </w:r>
          </w:p>
        </w:tc>
      </w:tr>
      <w:tr>
        <w:trPr>
          <w:trHeight w:val="1100" w:hRule="atLeast"/>
        </w:trPr>
        <w:tc>
          <w:tcPr>
            <w:tcW w:type="dxa" w:w="1585"/>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High influence</w:t>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rPr>
          <w:trHeight w:val="1100" w:hRule="atLeast"/>
        </w:trPr>
        <w:tc>
          <w:tcPr>
            <w:tcW w:type="dxa" w:w="1585"/>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Medium influence</w:t>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rPr>
          <w:trHeight w:val="1100" w:hRule="atLeast"/>
        </w:trPr>
        <w:tc>
          <w:tcPr>
            <w:tcW w:type="dxa" w:w="1585"/>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Low influence</w:t>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774"/>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spacing w:after="120"/>
      </w:pPr>
    </w:p>
    <w:p>
      <w:pPr>
        <w:pBdr>
          <w:left w:val="single" w:color="1F6BFF" w:sz="18" w:space="8"/>
        </w:pBdr>
        <w:shd w:fill="F3F6FB" w:color="auto" w:val="clear"/>
        <w:spacing w:before="80" w:after="160"/>
        <w:ind w:left="120"/>
      </w:pPr>
      <w:r>
        <w:rPr>
          <w:rFonts w:ascii="Arial" w:cs="Arial" w:eastAsia="Arial" w:hAnsi="Arial"/>
          <w:b/>
          <w:bCs/>
          <w:color w:val="1F6BFF"/>
          <w:sz w:val="19"/>
          <w:szCs w:val="19"/>
        </w:rPr>
        <w:t xml:space="preserve">Practice note.  </w:t>
      </w:r>
      <w:r>
        <w:rPr>
          <w:rFonts w:ascii="Arial" w:cs="Arial" w:eastAsia="Arial" w:hAnsi="Arial"/>
          <w:color w:val="111827"/>
          <w:sz w:val="19"/>
          <w:szCs w:val="19"/>
        </w:rPr>
        <w:t xml:space="preserve">Never lower stake because a group is quiet, small or hard to reach. Reserve high influence for those who can change or block the outcome: decision authorities, statutory consultees, rights-holders and delivery partners. An empty cell is a prompt, not a failure.</w:t>
      </w:r>
    </w:p>
    <w:p>
      <w:pPr>
        <w:pStyle w:val="Heading1"/>
        <w:spacing w:before="360" w:after="140"/>
      </w:pPr>
      <w:r>
        <w:rPr>
          <w:rFonts w:ascii="Arial" w:cs="Arial" w:eastAsia="Arial" w:hAnsi="Arial"/>
          <w:b/>
          <w:bCs/>
          <w:color w:val="1F6BFF"/>
          <w:sz w:val="30"/>
          <w:szCs w:val="30"/>
        </w:rPr>
        <w:t xml:space="preserve">5. Reach: decide who needs a different approach</w:t>
      </w:r>
    </w:p>
    <w:p>
      <w:pPr>
        <w:spacing w:after="120"/>
      </w:pPr>
      <w:r>
        <w:rPr>
          <w:rFonts w:ascii="Arial" w:cs="Arial" w:eastAsia="Arial" w:hAnsi="Arial"/>
          <w:i/>
          <w:iCs/>
          <w:color w:val="6B7280"/>
          <w:sz w:val="21"/>
          <w:szCs w:val="21"/>
        </w:rPr>
        <w:t xml:space="preserve">Standard methods reach most groups. Flag the ones they may miss, name what gets in the way, and note what could help. Common barriers: access, language, trust, time, awareness, relevance and digital access.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76"/>
        <w:gridCol w:w="1585"/>
        <w:gridCol w:w="3170"/>
        <w:gridCol w:w="1288"/>
        <w:gridCol w:w="1288"/>
      </w:tblGrid>
      <w:tr>
        <w:trPr>
          <w:tblHeader/>
        </w:trPr>
        <w:tc>
          <w:tcPr>
            <w:tcW w:type="dxa" w:w="2576"/>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Group flagged for deliberate outreach</w:t>
            </w:r>
          </w:p>
        </w:tc>
        <w:tc>
          <w:tcPr>
            <w:tcW w:type="dxa" w:w="1585"/>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Barrier</w:t>
            </w:r>
          </w:p>
        </w:tc>
        <w:tc>
          <w:tcPr>
            <w:tcW w:type="dxa" w:w="3170"/>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What could help</w:t>
            </w:r>
          </w:p>
        </w:tc>
        <w:tc>
          <w:tcPr>
            <w:tcW w:type="dxa" w:w="128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Owner</w:t>
            </w:r>
          </w:p>
        </w:tc>
        <w:tc>
          <w:tcPr>
            <w:tcW w:type="dxa" w:w="128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By when</w:t>
            </w:r>
          </w:p>
        </w:tc>
      </w:tr>
      <w:tr>
        <w:tc>
          <w:tcPr>
            <w:tcW w:type="dxa" w:w="2576"/>
            <w:tcMar>
              <w:top w:type="dxa" w:w="80"/>
              <w:left w:type="dxa" w:w="100"/>
              <w:bottom w:type="dxa" w:w="80"/>
              <w:right w:type="dxa" w:w="100"/>
            </w:tcMar>
          </w:tcPr>
          <w:p>
            <w:r>
              <w:rPr>
                <w:rFonts w:ascii="Arial" w:cs="Arial" w:eastAsia="Arial" w:hAnsi="Arial"/>
                <w:b w:val="false"/>
                <w:bCs w:val="false"/>
                <w:i/>
                <w:iCs/>
                <w:color w:val="6B7280"/>
                <w:sz w:val="19"/>
                <w:szCs w:val="19"/>
              </w:rPr>
              <w:t xml:space="preserve">Older residents without internet access</w:t>
            </w:r>
          </w:p>
        </w:tc>
        <w:tc>
          <w:tcPr>
            <w:tcW w:type="dxa" w:w="1585"/>
            <w:tcMar>
              <w:top w:type="dxa" w:w="80"/>
              <w:left w:type="dxa" w:w="100"/>
              <w:bottom w:type="dxa" w:w="80"/>
              <w:right w:type="dxa" w:w="100"/>
            </w:tcMar>
          </w:tcPr>
          <w:p>
            <w:r>
              <w:rPr>
                <w:rFonts w:ascii="Arial" w:cs="Arial" w:eastAsia="Arial" w:hAnsi="Arial"/>
                <w:b w:val="false"/>
                <w:bCs w:val="false"/>
                <w:i/>
                <w:iCs/>
                <w:color w:val="6B7280"/>
                <w:sz w:val="19"/>
                <w:szCs w:val="19"/>
              </w:rPr>
              <w:t xml:space="preserve">Digital access, awareness</w:t>
            </w:r>
          </w:p>
        </w:tc>
        <w:tc>
          <w:tcPr>
            <w:tcW w:type="dxa" w:w="3170"/>
            <w:tcMar>
              <w:top w:type="dxa" w:w="80"/>
              <w:left w:type="dxa" w:w="100"/>
              <w:bottom w:type="dxa" w:w="80"/>
              <w:right w:type="dxa" w:w="100"/>
            </w:tcMar>
          </w:tcPr>
          <w:p>
            <w:r>
              <w:rPr>
                <w:rFonts w:ascii="Arial" w:cs="Arial" w:eastAsia="Arial" w:hAnsi="Arial"/>
                <w:b w:val="false"/>
                <w:bCs w:val="false"/>
                <w:i/>
                <w:iCs/>
                <w:color w:val="6B7280"/>
                <w:sz w:val="19"/>
                <w:szCs w:val="19"/>
              </w:rPr>
              <w:t xml:space="preserve">Printed feedback form at the library and a drop-in session at the seniors centre</w:t>
            </w:r>
          </w:p>
        </w:tc>
        <w:tc>
          <w:tcPr>
            <w:tcW w:type="dxa" w:w="1288"/>
            <w:tcMar>
              <w:top w:type="dxa" w:w="80"/>
              <w:left w:type="dxa" w:w="100"/>
              <w:bottom w:type="dxa" w:w="80"/>
              <w:right w:type="dxa" w:w="100"/>
            </w:tcMar>
          </w:tcPr>
          <w:p>
            <w:r>
              <w:rPr>
                <w:rFonts w:ascii="Arial" w:cs="Arial" w:eastAsia="Arial" w:hAnsi="Arial"/>
                <w:b w:val="false"/>
                <w:bCs w:val="false"/>
                <w:i/>
                <w:iCs/>
                <w:color w:val="6B7280"/>
                <w:sz w:val="19"/>
                <w:szCs w:val="19"/>
              </w:rPr>
              <w:t xml:space="preserve">Engagement officer</w:t>
            </w:r>
          </w:p>
        </w:tc>
        <w:tc>
          <w:tcPr>
            <w:tcW w:type="dxa" w:w="1288"/>
            <w:tcMar>
              <w:top w:type="dxa" w:w="80"/>
              <w:left w:type="dxa" w:w="100"/>
              <w:bottom w:type="dxa" w:w="80"/>
              <w:right w:type="dxa" w:w="100"/>
            </w:tcMar>
          </w:tcPr>
          <w:p>
            <w:r>
              <w:rPr>
                <w:rFonts w:ascii="Arial" w:cs="Arial" w:eastAsia="Arial" w:hAnsi="Arial"/>
                <w:b w:val="false"/>
                <w:bCs w:val="false"/>
                <w:i/>
                <w:iCs/>
                <w:color w:val="6B7280"/>
                <w:sz w:val="19"/>
                <w:szCs w:val="19"/>
              </w:rPr>
              <w:t xml:space="preserve">Week 3</w:t>
            </w:r>
          </w:p>
        </w:tc>
      </w:tr>
      <w:tr>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28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28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28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28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28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28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28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28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317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28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28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spacing w:after="120"/>
      </w:pPr>
    </w:p>
    <w:p>
      <w:pPr>
        <w:pBdr>
          <w:left w:val="single" w:color="1F6BFF" w:sz="18" w:space="8"/>
        </w:pBdr>
        <w:shd w:fill="F3F6FB" w:color="auto" w:val="clear"/>
        <w:spacing w:before="80" w:after="160"/>
        <w:ind w:left="120"/>
      </w:pPr>
      <w:r>
        <w:rPr>
          <w:rFonts w:ascii="Arial" w:cs="Arial" w:eastAsia="Arial" w:hAnsi="Arial"/>
          <w:b/>
          <w:bCs/>
          <w:color w:val="1F6BFF"/>
          <w:sz w:val="19"/>
          <w:szCs w:val="19"/>
        </w:rPr>
        <w:t xml:space="preserve">Practice note.  </w:t>
      </w:r>
      <w:r>
        <w:rPr>
          <w:rFonts w:ascii="Arial" w:cs="Arial" w:eastAsia="Arial" w:hAnsi="Arial"/>
          <w:color w:val="111827"/>
          <w:sz w:val="19"/>
          <w:szCs w:val="19"/>
        </w:rPr>
        <w:t xml:space="preserve">Deliberate outreach means more than sending an invitation. Flagging a group commits you to designing a credible pathway for them to participate, and directing extra effort where standard engagement is unlikely to reach them.</w:t>
      </w:r>
    </w:p>
    <w:p>
      <w:pPr>
        <w:pStyle w:val="Heading1"/>
        <w:spacing w:before="360" w:after="140"/>
      </w:pPr>
      <w:r>
        <w:rPr>
          <w:rFonts w:ascii="Arial" w:cs="Arial" w:eastAsia="Arial" w:hAnsi="Arial"/>
          <w:b/>
          <w:bCs/>
          <w:color w:val="1F6BFF"/>
          <w:sz w:val="30"/>
          <w:szCs w:val="30"/>
        </w:rPr>
        <w:t xml:space="preserve">6. Methods and activities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77"/>
        <w:gridCol w:w="2576"/>
        <w:gridCol w:w="1783"/>
        <w:gridCol w:w="1387"/>
        <w:gridCol w:w="1783"/>
      </w:tblGrid>
      <w:tr>
        <w:trPr>
          <w:tblHeader/>
        </w:trPr>
        <w:tc>
          <w:tcPr>
            <w:tcW w:type="dxa" w:w="237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Activity</w:t>
            </w:r>
          </w:p>
        </w:tc>
        <w:tc>
          <w:tcPr>
            <w:tcW w:type="dxa" w:w="2576"/>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Groups it reaches</w:t>
            </w:r>
          </w:p>
        </w:tc>
        <w:tc>
          <w:tcPr>
            <w:tcW w:type="dxa" w:w="178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Method</w:t>
            </w:r>
          </w:p>
        </w:tc>
        <w:tc>
          <w:tcPr>
            <w:tcW w:type="dxa" w:w="138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Dates</w:t>
            </w:r>
          </w:p>
        </w:tc>
        <w:tc>
          <w:tcPr>
            <w:tcW w:type="dxa" w:w="178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Owner</w:t>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3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576"/>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38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78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7. Action plan and timeline</w:t>
      </w:r>
    </w:p>
    <w:p>
      <w:pPr>
        <w:spacing w:after="120"/>
      </w:pPr>
      <w:r>
        <w:rPr>
          <w:rFonts w:ascii="Arial" w:cs="Arial" w:eastAsia="Arial" w:hAnsi="Arial"/>
          <w:i/>
          <w:iCs/>
          <w:color w:val="6B7280"/>
          <w:sz w:val="21"/>
          <w:szCs w:val="21"/>
        </w:rPr>
        <w:t xml:space="preserve">Turn the plan into tasks with owners and dates, and mark the milestones decision-makers care about.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68"/>
        <w:gridCol w:w="1585"/>
        <w:gridCol w:w="1090"/>
        <w:gridCol w:w="1090"/>
        <w:gridCol w:w="1585"/>
        <w:gridCol w:w="1189"/>
      </w:tblGrid>
      <w:tr>
        <w:trPr>
          <w:tblHeader/>
        </w:trP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Task</w:t>
            </w:r>
          </w:p>
        </w:tc>
        <w:tc>
          <w:tcPr>
            <w:tcW w:type="dxa" w:w="1585"/>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Owner</w:t>
            </w:r>
          </w:p>
        </w:tc>
        <w:tc>
          <w:tcPr>
            <w:tcW w:type="dxa" w:w="1090"/>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Start</w:t>
            </w:r>
          </w:p>
        </w:tc>
        <w:tc>
          <w:tcPr>
            <w:tcW w:type="dxa" w:w="1090"/>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Due</w:t>
            </w:r>
          </w:p>
        </w:tc>
        <w:tc>
          <w:tcPr>
            <w:tcW w:type="dxa" w:w="1585"/>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Depends on</w:t>
            </w:r>
          </w:p>
        </w:tc>
        <w:tc>
          <w:tcPr>
            <w:tcW w:type="dxa" w:w="1189"/>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Status</w:t>
            </w:r>
          </w:p>
        </w:tc>
      </w:tr>
      <w:tr>
        <w:tc>
          <w:tcPr>
            <w:tcW w:type="dxa" w:w="3368"/>
            <w:tcMar>
              <w:top w:type="dxa" w:w="80"/>
              <w:left w:type="dxa" w:w="100"/>
              <w:bottom w:type="dxa" w:w="80"/>
              <w:right w:type="dxa" w:w="100"/>
            </w:tcMar>
          </w:tcPr>
          <w:p>
            <w:r>
              <w:rPr>
                <w:rFonts w:ascii="Arial" w:cs="Arial" w:eastAsia="Arial" w:hAnsi="Arial"/>
                <w:b w:val="false"/>
                <w:bCs w:val="false"/>
                <w:i/>
                <w:iCs/>
                <w:color w:val="6B7280"/>
                <w:sz w:val="19"/>
                <w:szCs w:val="19"/>
              </w:rPr>
              <w:t xml:space="preserve">Confirm the decision space with the project sponsor</w:t>
            </w:r>
          </w:p>
        </w:tc>
        <w:tc>
          <w:tcPr>
            <w:tcW w:type="dxa" w:w="1585"/>
            <w:tcMar>
              <w:top w:type="dxa" w:w="80"/>
              <w:left w:type="dxa" w:w="100"/>
              <w:bottom w:type="dxa" w:w="80"/>
              <w:right w:type="dxa" w:w="100"/>
            </w:tcMar>
          </w:tcPr>
          <w:p>
            <w:r>
              <w:rPr>
                <w:rFonts w:ascii="Arial" w:cs="Arial" w:eastAsia="Arial" w:hAnsi="Arial"/>
                <w:b w:val="false"/>
                <w:bCs w:val="false"/>
                <w:i/>
                <w:iCs/>
                <w:color w:val="6B7280"/>
                <w:sz w:val="19"/>
                <w:szCs w:val="19"/>
              </w:rPr>
              <w:t xml:space="preserve">Project lead</w:t>
            </w:r>
          </w:p>
        </w:tc>
        <w:tc>
          <w:tcPr>
            <w:tcW w:type="dxa" w:w="1090"/>
            <w:tcMar>
              <w:top w:type="dxa" w:w="80"/>
              <w:left w:type="dxa" w:w="100"/>
              <w:bottom w:type="dxa" w:w="80"/>
              <w:right w:type="dxa" w:w="100"/>
            </w:tcMar>
          </w:tcPr>
          <w:p>
            <w:r>
              <w:rPr>
                <w:rFonts w:ascii="Arial" w:cs="Arial" w:eastAsia="Arial" w:hAnsi="Arial"/>
                <w:b w:val="false"/>
                <w:bCs w:val="false"/>
                <w:i/>
                <w:iCs/>
                <w:color w:val="6B7280"/>
                <w:sz w:val="19"/>
                <w:szCs w:val="19"/>
              </w:rPr>
              <w:t xml:space="preserve">Week 1</w:t>
            </w:r>
          </w:p>
        </w:tc>
        <w:tc>
          <w:tcPr>
            <w:tcW w:type="dxa" w:w="1090"/>
            <w:tcMar>
              <w:top w:type="dxa" w:w="80"/>
              <w:left w:type="dxa" w:w="100"/>
              <w:bottom w:type="dxa" w:w="80"/>
              <w:right w:type="dxa" w:w="100"/>
            </w:tcMar>
          </w:tcPr>
          <w:p>
            <w:r>
              <w:rPr>
                <w:rFonts w:ascii="Arial" w:cs="Arial" w:eastAsia="Arial" w:hAnsi="Arial"/>
                <w:b w:val="false"/>
                <w:bCs w:val="false"/>
                <w:i/>
                <w:iCs/>
                <w:color w:val="6B7280"/>
                <w:sz w:val="19"/>
                <w:szCs w:val="19"/>
              </w:rPr>
              <w:t xml:space="preserve">Week 1</w:t>
            </w:r>
          </w:p>
        </w:tc>
        <w:tc>
          <w:tcPr>
            <w:tcW w:type="dxa" w:w="1585"/>
            <w:tcMar>
              <w:top w:type="dxa" w:w="80"/>
              <w:left w:type="dxa" w:w="100"/>
              <w:bottom w:type="dxa" w:w="80"/>
              <w:right w:type="dxa" w:w="100"/>
            </w:tcMar>
          </w:tcPr>
          <w:p>
            <w:r>
              <w:rPr>
                <w:rFonts w:ascii="Arial" w:cs="Arial" w:eastAsia="Arial" w:hAnsi="Arial"/>
                <w:b w:val="false"/>
                <w:bCs w:val="false"/>
                <w:i/>
                <w:iCs/>
                <w:color w:val="6B7280"/>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iCs/>
                <w:color w:val="6B7280"/>
                <w:sz w:val="19"/>
                <w:szCs w:val="19"/>
              </w:rPr>
              <w:t xml:space="preserve">Done</w:t>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3368"/>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090"/>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spacing w:after="120"/>
      </w:pPr>
    </w:p>
    <w:p>
      <w:pPr>
        <w:pStyle w:val="Heading2"/>
        <w:spacing w:before="300" w:after="100"/>
      </w:pPr>
      <w:r>
        <w:rPr>
          <w:rFonts w:ascii="Arial" w:cs="Arial" w:eastAsia="Arial" w:hAnsi="Arial"/>
          <w:b/>
          <w:bCs/>
          <w:color w:val="111827"/>
          <w:sz w:val="24"/>
          <w:szCs w:val="24"/>
        </w:rPr>
        <w:t xml:space="preserve">Milestones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1981"/>
        <w:gridCol w:w="2972"/>
      </w:tblGrid>
      <w:tr>
        <w:trPr>
          <w:tblHeader/>
        </w:trPr>
        <w:tc>
          <w:tcPr>
            <w:tcW w:type="dxa" w:w="495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Milestone</w:t>
            </w:r>
          </w:p>
        </w:tc>
        <w:tc>
          <w:tcPr>
            <w:tcW w:type="dxa" w:w="1981"/>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Date</w:t>
            </w:r>
          </w:p>
        </w:tc>
        <w:tc>
          <w:tcPr>
            <w:tcW w:type="dxa" w:w="2972"/>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Who signs off</w:t>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981"/>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8. Roles and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477"/>
        <w:gridCol w:w="2477"/>
        <w:gridCol w:w="4953"/>
      </w:tblGrid>
      <w:tr>
        <w:trPr>
          <w:tblHeader/>
        </w:trPr>
        <w:tc>
          <w:tcPr>
            <w:tcW w:type="dxa" w:w="247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Role</w:t>
            </w:r>
          </w:p>
        </w:tc>
        <w:tc>
          <w:tcPr>
            <w:tcW w:type="dxa" w:w="2477"/>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Name</w:t>
            </w:r>
          </w:p>
        </w:tc>
        <w:tc>
          <w:tcPr>
            <w:tcW w:type="dxa" w:w="4953"/>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Responsible for</w:t>
            </w:r>
          </w:p>
        </w:tc>
      </w:tr>
      <w:tr>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477"/>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4953"/>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9. Risks and issues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72"/>
        <w:gridCol w:w="1189"/>
        <w:gridCol w:w="1189"/>
        <w:gridCol w:w="2972"/>
        <w:gridCol w:w="1585"/>
      </w:tblGrid>
      <w:tr>
        <w:trPr>
          <w:tblHeader/>
        </w:trPr>
        <w:tc>
          <w:tcPr>
            <w:tcW w:type="dxa" w:w="2972"/>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Risk or issue</w:t>
            </w:r>
          </w:p>
        </w:tc>
        <w:tc>
          <w:tcPr>
            <w:tcW w:type="dxa" w:w="1189"/>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Likelihood</w:t>
            </w:r>
          </w:p>
        </w:tc>
        <w:tc>
          <w:tcPr>
            <w:tcW w:type="dxa" w:w="1189"/>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Impact</w:t>
            </w:r>
          </w:p>
        </w:tc>
        <w:tc>
          <w:tcPr>
            <w:tcW w:type="dxa" w:w="2972"/>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Mitigation</w:t>
            </w:r>
          </w:p>
        </w:tc>
        <w:tc>
          <w:tcPr>
            <w:tcW w:type="dxa" w:w="1585"/>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Owner</w:t>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r>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189"/>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2972"/>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c>
          <w:tcPr>
            <w:tcW w:type="dxa" w:w="1585"/>
            <w:tcMar>
              <w:top w:type="dxa" w:w="80"/>
              <w:left w:type="dxa" w:w="100"/>
              <w:bottom w:type="dxa" w:w="80"/>
              <w:right w:type="dxa" w:w="100"/>
            </w:tcMar>
          </w:tcPr>
          <w:p>
            <w:r>
              <w:rPr>
                <w:rFonts w:ascii="Arial" w:cs="Arial" w:eastAsia="Arial" w:hAnsi="Arial"/>
                <w:b w:val="false"/>
                <w:bCs w:val="false"/>
                <w:i w:val="false"/>
                <w:iCs w:val="false"/>
                <w:color w:val="111827"/>
                <w:sz w:val="19"/>
                <w:szCs w:val="19"/>
              </w:rPr>
              <w:t xml:space="preserve"/>
            </w:r>
          </w:p>
        </w:tc>
      </w:tr>
    </w:tbl>
    <w:p>
      <w:pPr>
        <w:pStyle w:val="Heading1"/>
        <w:spacing w:before="360" w:after="140"/>
      </w:pPr>
      <w:r>
        <w:rPr>
          <w:rFonts w:ascii="Arial" w:cs="Arial" w:eastAsia="Arial" w:hAnsi="Arial"/>
          <w:b/>
          <w:bCs/>
          <w:color w:val="1F6BFF"/>
          <w:sz w:val="30"/>
          <w:szCs w:val="30"/>
        </w:rPr>
        <w:t xml:space="preserve">10. Reporting back</w:t>
      </w:r>
    </w:p>
    <w:p>
      <w:pPr>
        <w:spacing w:after="120"/>
      </w:pPr>
      <w:r>
        <w:rPr>
          <w:rFonts w:ascii="Arial" w:cs="Arial" w:eastAsia="Arial" w:hAnsi="Arial"/>
          <w:i/>
          <w:iCs/>
          <w:color w:val="6B7280"/>
          <w:sz w:val="21"/>
          <w:szCs w:val="21"/>
        </w:rPr>
        <w:t xml:space="preserve">How each group will hear what was heard, what changed and what did not, and why.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68"/>
        <w:gridCol w:w="6538"/>
      </w:tblGrid>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What we heard report</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When, and where it will be published</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How each group is told</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Channels for each stakeholder group, including flagged groups</w:t>
            </w:r>
          </w:p>
        </w:tc>
      </w:tr>
      <w:tr>
        <w:tc>
          <w:tcPr>
            <w:tcW w:type="dxa" w:w="3368"/>
            <w:shd w:fill="EAF1FF" w:color="auto" w:val="clear"/>
            <w:tcMar>
              <w:top w:type="dxa" w:w="80"/>
              <w:left w:type="dxa" w:w="100"/>
              <w:bottom w:type="dxa" w:w="80"/>
              <w:right w:type="dxa" w:w="100"/>
            </w:tcMar>
          </w:tcPr>
          <w:p>
            <w:r>
              <w:rPr>
                <w:rFonts w:ascii="Arial" w:cs="Arial" w:eastAsia="Arial" w:hAnsi="Arial"/>
                <w:b/>
                <w:bCs/>
                <w:i w:val="false"/>
                <w:iCs w:val="false"/>
                <w:color w:val="111827"/>
                <w:sz w:val="19"/>
                <w:szCs w:val="19"/>
              </w:rPr>
              <w:t xml:space="preserve">Decision report</w:t>
            </w:r>
          </w:p>
        </w:tc>
        <w:tc>
          <w:tcPr>
            <w:tcW w:type="dxa" w:w="6538"/>
            <w:tcMar>
              <w:top w:type="dxa" w:w="80"/>
              <w:left w:type="dxa" w:w="100"/>
              <w:bottom w:type="dxa" w:w="80"/>
              <w:right w:type="dxa" w:w="100"/>
            </w:tcMar>
          </w:tcPr>
          <w:p>
            <w:r>
              <w:rPr>
                <w:rFonts w:ascii="Arial" w:cs="Arial" w:eastAsia="Arial" w:hAnsi="Arial"/>
                <w:b w:val="false"/>
                <w:bCs w:val="false"/>
                <w:i/>
                <w:iCs/>
                <w:color w:val="6B7280"/>
                <w:sz w:val="19"/>
                <w:szCs w:val="19"/>
              </w:rPr>
              <w:t xml:space="preserve">For the decision-maker, with the evidence trail</w:t>
            </w:r>
          </w:p>
        </w:tc>
      </w:tr>
    </w:tbl>
    <w:p>
      <w:pPr>
        <w:pStyle w:val="Heading1"/>
        <w:spacing w:before="360" w:after="140"/>
      </w:pPr>
      <w:r>
        <w:rPr>
          <w:rFonts w:ascii="Arial" w:cs="Arial" w:eastAsia="Arial" w:hAnsi="Arial"/>
          <w:b/>
          <w:bCs/>
          <w:color w:val="1F6BFF"/>
          <w:sz w:val="30"/>
          <w:szCs w:val="30"/>
        </w:rPr>
        <w:t xml:space="preserve">11. Review coverage before you start</w:t>
      </w:r>
    </w:p>
    <w:p>
      <w:pPr>
        <w:spacing w:after="120"/>
      </w:pPr>
      <w:r>
        <w:rPr>
          <w:rFonts w:ascii="Arial" w:cs="Arial" w:eastAsia="Arial" w:hAnsi="Arial"/>
          <w:i/>
          <w:iCs/>
          <w:color w:val="6B7280"/>
          <w:sz w:val="21"/>
          <w:szCs w:val="21"/>
        </w:rPr>
        <w:t xml:space="preserve">Fix or acknowledge each finding. Acknowledged gaps are recorded, not hidden.</w:t>
      </w:r>
    </w:p>
    <w:p>
      <w:pPr>
        <w:spacing w:after="80"/>
      </w:pPr>
      <w:r>
        <w:rPr>
          <w:rFonts w:ascii="Arial" w:cs="Arial" w:eastAsia="Arial" w:hAnsi="Arial"/>
          <w:color w:val="1F6BFF"/>
          <w:sz w:val="22"/>
          <w:szCs w:val="22"/>
        </w:rPr>
        <w:t xml:space="preserve">☐  </w:t>
      </w:r>
      <w:r>
        <w:rPr>
          <w:rFonts w:ascii="Arial" w:cs="Arial" w:eastAsia="Arial" w:hAnsi="Arial"/>
          <w:color w:val="111827"/>
          <w:sz w:val="21"/>
          <w:szCs w:val="21"/>
        </w:rPr>
        <w:t xml:space="preserve">No group name is too broad to plan engagement against.</w:t>
      </w:r>
    </w:p>
    <w:p>
      <w:pPr>
        <w:spacing w:after="80"/>
      </w:pPr>
      <w:r>
        <w:rPr>
          <w:rFonts w:ascii="Arial" w:cs="Arial" w:eastAsia="Arial" w:hAnsi="Arial"/>
          <w:color w:val="1F6BFF"/>
          <w:sz w:val="22"/>
          <w:szCs w:val="22"/>
        </w:rPr>
        <w:t xml:space="preserve">☐  </w:t>
      </w:r>
      <w:r>
        <w:rPr>
          <w:rFonts w:ascii="Arial" w:cs="Arial" w:eastAsia="Arial" w:hAnsi="Arial"/>
          <w:color w:val="111827"/>
          <w:sz w:val="21"/>
          <w:szCs w:val="21"/>
        </w:rPr>
        <w:t xml:space="preserve">No two groups are the same people under different names.</w:t>
      </w:r>
    </w:p>
    <w:p>
      <w:pPr>
        <w:spacing w:after="80"/>
      </w:pPr>
      <w:r>
        <w:rPr>
          <w:rFonts w:ascii="Arial" w:cs="Arial" w:eastAsia="Arial" w:hAnsi="Arial"/>
          <w:color w:val="1F6BFF"/>
          <w:sz w:val="22"/>
          <w:szCs w:val="22"/>
        </w:rPr>
        <w:t xml:space="preserve">☐  </w:t>
      </w:r>
      <w:r>
        <w:rPr>
          <w:rFonts w:ascii="Arial" w:cs="Arial" w:eastAsia="Arial" w:hAnsi="Arial"/>
          <w:color w:val="111827"/>
          <w:sz w:val="21"/>
          <w:szCs w:val="21"/>
        </w:rPr>
        <w:t xml:space="preserve">Every group has a placement for stake and influence.</w:t>
      </w:r>
    </w:p>
    <w:p>
      <w:pPr>
        <w:spacing w:after="80"/>
      </w:pPr>
      <w:r>
        <w:rPr>
          <w:rFonts w:ascii="Arial" w:cs="Arial" w:eastAsia="Arial" w:hAnsi="Arial"/>
          <w:color w:val="1F6BFF"/>
          <w:sz w:val="22"/>
          <w:szCs w:val="22"/>
        </w:rPr>
        <w:t xml:space="preserve">☐  </w:t>
      </w:r>
      <w:r>
        <w:rPr>
          <w:rFonts w:ascii="Arial" w:cs="Arial" w:eastAsia="Arial" w:hAnsi="Arial"/>
          <w:color w:val="111827"/>
          <w:sz w:val="21"/>
          <w:szCs w:val="21"/>
        </w:rPr>
        <w:t xml:space="preserve">At least one group is marked as directly affected by the decision. If not, is anyone missing?</w:t>
      </w:r>
    </w:p>
    <w:p>
      <w:pPr>
        <w:spacing w:after="80"/>
      </w:pPr>
      <w:r>
        <w:rPr>
          <w:rFonts w:ascii="Arial" w:cs="Arial" w:eastAsia="Arial" w:hAnsi="Arial"/>
          <w:color w:val="1F6BFF"/>
          <w:sz w:val="22"/>
          <w:szCs w:val="22"/>
        </w:rPr>
        <w:t xml:space="preserve">☐  </w:t>
      </w:r>
      <w:r>
        <w:rPr>
          <w:rFonts w:ascii="Arial" w:cs="Arial" w:eastAsia="Arial" w:hAnsi="Arial"/>
          <w:color w:val="111827"/>
          <w:sz w:val="21"/>
          <w:szCs w:val="21"/>
        </w:rPr>
        <w:t xml:space="preserve">Someone has considered who standard engagement might miss.</w:t>
      </w:r>
    </w:p>
    <w:p>
      <w:pPr>
        <w:spacing w:after="80"/>
      </w:pPr>
      <w:r>
        <w:rPr>
          <w:rFonts w:ascii="Arial" w:cs="Arial" w:eastAsia="Arial" w:hAnsi="Arial"/>
          <w:color w:val="1F6BFF"/>
          <w:sz w:val="22"/>
          <w:szCs w:val="22"/>
        </w:rPr>
        <w:t xml:space="preserve">☐  </w:t>
      </w:r>
      <w:r>
        <w:rPr>
          <w:rFonts w:ascii="Arial" w:cs="Arial" w:eastAsia="Arial" w:hAnsi="Arial"/>
          <w:color w:val="111827"/>
          <w:sz w:val="21"/>
          <w:szCs w:val="21"/>
        </w:rPr>
        <w:t xml:space="preserve">Every group flagged for deliberate outreach records what gets in the way and what could help.</w:t>
      </w:r>
    </w:p>
    <w:p>
      <w:pPr>
        <w:spacing w:after="120"/>
      </w:pPr>
    </w:p>
    <w:p>
      <w:pPr>
        <w:pBdr>
          <w:left w:val="single" w:color="1F6BFF" w:sz="18" w:space="8"/>
        </w:pBdr>
        <w:shd w:fill="F3F6FB" w:color="auto" w:val="clear"/>
        <w:spacing w:before="80" w:after="160"/>
        <w:ind w:left="120"/>
      </w:pPr>
      <w:r>
        <w:rPr>
          <w:rFonts w:ascii="Arial" w:cs="Arial" w:eastAsia="Arial" w:hAnsi="Arial"/>
          <w:b/>
          <w:bCs/>
          <w:color w:val="1F6BFF"/>
          <w:sz w:val="19"/>
          <w:szCs w:val="19"/>
        </w:rPr>
        <w:t xml:space="preserve">In CE Canvas.  </w:t>
      </w:r>
      <w:r>
        <w:rPr>
          <w:rFonts w:ascii="Arial" w:cs="Arial" w:eastAsia="Arial" w:hAnsi="Arial"/>
          <w:color w:val="111827"/>
          <w:sz w:val="19"/>
          <w:szCs w:val="19"/>
        </w:rPr>
        <w:t xml:space="preserve">This plan, the stakeholder map, the tasks and the report back live in one project record. The AI assistant suggests groups you may have missed, reviews placements against practice, and drafts the tasks from your engagement plan. Find out more at cecanvas.com.</w:t>
      </w:r>
    </w:p>
    <w:sectPr>
      <w:footerReference w:type="default" r:id="rId6"/>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6B7280"/>
        <w:sz w:val="16"/>
        <w:szCs w:val="16"/>
      </w:rPr>
      <w:t xml:space="preserve">Stakeholder Engagement Plan Template  ·  CE Canvas  ·  cecanvas.com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Engagement Plan Template</dc:title>
  <dc:creator>CE Canvas</dc:creator>
  <dc:description>A stakeholder engagement plan template from CE Canvas</dc:description>
  <cp:lastModifiedBy>Un-named</cp:lastModifiedBy>
  <cp:revision>1</cp:revision>
  <dcterms:created xsi:type="dcterms:W3CDTF">2026-10-19T00:43:49.310Z</dcterms:created>
  <dcterms:modified xsi:type="dcterms:W3CDTF">2026-10-19T00:43:49.311Z</dcterms:modified>
</cp:coreProperties>
</file>

<file path=docProps/custom.xml><?xml version="1.0" encoding="utf-8"?>
<Properties xmlns="http://schemas.openxmlformats.org/officeDocument/2006/custom-properties" xmlns:vt="http://schemas.openxmlformats.org/officeDocument/2006/docPropsVTypes"/>
</file>