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842D" w14:textId="3EDBA3B7" w:rsidR="008C7D12" w:rsidRDefault="008C7D12" w:rsidP="008C7D12">
      <w:pPr>
        <w:ind w:left="-1440" w:right="-1440"/>
        <w:rPr>
          <w:b/>
          <w:sz w:val="40"/>
          <w:szCs w:val="40"/>
        </w:rPr>
      </w:pPr>
      <w:bookmarkStart w:id="0" w:name="_viz9xa1ovz9y" w:colFirst="0" w:colLast="0"/>
      <w:bookmarkEnd w:id="0"/>
      <w:r>
        <w:rPr>
          <w:b/>
          <w:noProof/>
        </w:rPr>
        <w:drawing>
          <wp:inline distT="0" distB="0" distL="0" distR="0" wp14:anchorId="0B247E4C" wp14:editId="2B3419CE">
            <wp:extent cx="7765143" cy="10049057"/>
            <wp:effectExtent l="0" t="0" r="0" b="0"/>
            <wp:docPr id="776164452" name="Picture 1" descr="A collage of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164452" name="Picture 1" descr="A collage of logo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81" cy="100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494A4731" w14:textId="0CE51849" w:rsidR="00C7186C" w:rsidRDefault="00000000">
      <w:pPr>
        <w:pStyle w:val="Heading1"/>
        <w:widowControl w:val="0"/>
        <w:rPr>
          <w:b/>
        </w:rPr>
      </w:pPr>
      <w:r>
        <w:rPr>
          <w:b/>
        </w:rPr>
        <w:lastRenderedPageBreak/>
        <w:t>Glenn Gould Studios at the Canadian Broadcasting Centre Visual Guide</w:t>
      </w:r>
    </w:p>
    <w:p w14:paraId="419A10F2" w14:textId="77777777" w:rsidR="00C7186C" w:rsidRPr="00791FA2" w:rsidRDefault="00000000">
      <w:pPr>
        <w:pStyle w:val="Heading2"/>
        <w:rPr>
          <w:b/>
          <w:color w:val="000000" w:themeColor="text1"/>
          <w:sz w:val="28"/>
          <w:szCs w:val="28"/>
        </w:rPr>
      </w:pPr>
      <w:bookmarkStart w:id="1" w:name="_dz6ughddb201" w:colFirst="0" w:colLast="0"/>
      <w:bookmarkEnd w:id="1"/>
      <w:r w:rsidRPr="00791FA2">
        <w:rPr>
          <w:b/>
          <w:color w:val="000000" w:themeColor="text1"/>
          <w:sz w:val="28"/>
          <w:szCs w:val="28"/>
        </w:rPr>
        <w:t>Location</w:t>
      </w:r>
    </w:p>
    <w:p w14:paraId="4E88EE34" w14:textId="77777777" w:rsidR="00C7186C" w:rsidRPr="00791FA2" w:rsidRDefault="00000000">
      <w:pPr>
        <w:rPr>
          <w:color w:val="000000" w:themeColor="text1"/>
          <w:sz w:val="28"/>
          <w:szCs w:val="28"/>
        </w:rPr>
      </w:pPr>
      <w:r w:rsidRPr="00791FA2">
        <w:rPr>
          <w:color w:val="000000" w:themeColor="text1"/>
          <w:sz w:val="28"/>
          <w:szCs w:val="28"/>
        </w:rPr>
        <w:t>250 Front Street West, Toronto, ON M5V 3G5</w:t>
      </w:r>
    </w:p>
    <w:p w14:paraId="76271602" w14:textId="77777777" w:rsidR="00C7186C" w:rsidRDefault="00000000">
      <w:pPr>
        <w:pStyle w:val="Heading3"/>
      </w:pPr>
      <w:bookmarkStart w:id="2" w:name="_mf78x7cyp2sh" w:colFirst="0" w:colLast="0"/>
      <w:bookmarkEnd w:id="2"/>
      <w:r w:rsidRPr="00791FA2">
        <w:rPr>
          <w:b/>
          <w:color w:val="000000" w:themeColor="text1"/>
        </w:rPr>
        <w:t>The closest intersection</w:t>
      </w:r>
      <w:r w:rsidRPr="00791FA2">
        <w:rPr>
          <w:b/>
          <w:color w:val="000000" w:themeColor="text1"/>
          <w:sz w:val="24"/>
          <w:szCs w:val="24"/>
        </w:rPr>
        <w:br/>
      </w:r>
      <w:r w:rsidRPr="00791FA2">
        <w:rPr>
          <w:color w:val="000000" w:themeColor="text1"/>
        </w:rPr>
        <w:t xml:space="preserve">Front St. W. &amp; John St. </w:t>
      </w:r>
      <w:r>
        <w:br/>
      </w:r>
    </w:p>
    <w:p w14:paraId="548431C1" w14:textId="77777777" w:rsidR="00C7186C" w:rsidRDefault="00000000">
      <w:pPr>
        <w:rPr>
          <w:color w:val="3A3838"/>
          <w:sz w:val="28"/>
          <w:szCs w:val="28"/>
          <w:highlight w:val="white"/>
        </w:rPr>
      </w:pPr>
      <w:r>
        <w:rPr>
          <w:noProof/>
          <w:color w:val="3A3838"/>
          <w:sz w:val="28"/>
          <w:szCs w:val="28"/>
          <w:highlight w:val="white"/>
        </w:rPr>
        <w:drawing>
          <wp:inline distT="114300" distB="114300" distL="114300" distR="114300" wp14:anchorId="0B21346F" wp14:editId="13E545A4">
            <wp:extent cx="5102225" cy="4429125"/>
            <wp:effectExtent l="0" t="0" r="0" b="0"/>
            <wp:docPr id="43" name="image40.png" descr="Map of downtown Toronto with Glenn Gould Studio at Front St. W and John St. Wellington St. W is to the North. There is a red location pin to indicate Glen Gould Studi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Map of downtown Toronto with Glenn Gould Studio at Front St. W and John St. Wellington St. W is to the North. There is a red location pin to indicate Glen Gould Studios"/>
                    <pic:cNvPicPr preferRelativeResize="0"/>
                  </pic:nvPicPr>
                  <pic:blipFill>
                    <a:blip r:embed="rId8"/>
                    <a:srcRect l="4529" t="3688" r="3274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442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A3838"/>
          <w:sz w:val="28"/>
          <w:szCs w:val="28"/>
          <w:highlight w:val="white"/>
        </w:rPr>
        <w:br/>
      </w:r>
      <w:r>
        <w:rPr>
          <w:i/>
          <w:color w:val="1F497D"/>
          <w:sz w:val="18"/>
          <w:szCs w:val="18"/>
        </w:rPr>
        <w:t>Figure 1: Map of downtown Toronto with Glenn Gould Studio at Front St. W. and John St., with Wellington St. W. to the North</w:t>
      </w:r>
    </w:p>
    <w:p w14:paraId="6E7589A9" w14:textId="77777777" w:rsidR="00C7186C" w:rsidRDefault="00000000">
      <w:pPr>
        <w:rPr>
          <w:color w:val="202124"/>
          <w:sz w:val="28"/>
          <w:szCs w:val="28"/>
          <w:highlight w:val="white"/>
        </w:rPr>
      </w:pPr>
      <w:r>
        <w:br w:type="page"/>
      </w:r>
    </w:p>
    <w:p w14:paraId="2E2EFC5A" w14:textId="77777777" w:rsidR="00C7186C" w:rsidRDefault="00000000">
      <w:pPr>
        <w:pStyle w:val="Heading2"/>
      </w:pPr>
      <w:bookmarkStart w:id="3" w:name="_2lfw283tfpkn" w:colFirst="0" w:colLast="0"/>
      <w:bookmarkEnd w:id="3"/>
      <w:r>
        <w:rPr>
          <w:b/>
        </w:rPr>
        <w:lastRenderedPageBreak/>
        <w:t xml:space="preserve">Routes of arrival </w:t>
      </w:r>
    </w:p>
    <w:p w14:paraId="5B93C829" w14:textId="35E7116E" w:rsidR="00C7186C" w:rsidRDefault="00BC3919" w:rsidP="00791FA2">
      <w:pPr>
        <w:ind w:left="1701"/>
        <w:rPr>
          <w:b/>
          <w:color w:val="202124"/>
          <w:sz w:val="28"/>
          <w:szCs w:val="28"/>
          <w:highlight w:val="white"/>
        </w:rPr>
      </w:pP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17E004A5" wp14:editId="40B0A67B">
            <wp:simplePos x="0" y="0"/>
            <wp:positionH relativeFrom="column">
              <wp:posOffset>-155031</wp:posOffset>
            </wp:positionH>
            <wp:positionV relativeFrom="paragraph">
              <wp:posOffset>1527084</wp:posOffset>
            </wp:positionV>
            <wp:extent cx="781685" cy="1068070"/>
            <wp:effectExtent l="0" t="0" r="5715" b="0"/>
            <wp:wrapSquare wrapText="bothSides" distT="114300" distB="114300" distL="114300" distR="114300"/>
            <wp:docPr id="33" name="image5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ecorative"/>
                    <pic:cNvPicPr preferRelativeResize="0"/>
                  </pic:nvPicPr>
                  <pic:blipFill>
                    <a:blip r:embed="rId9"/>
                    <a:srcRect l="23858" t="18062" r="22155" b="8822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A2">
        <w:rPr>
          <w:noProof/>
        </w:rPr>
        <w:drawing>
          <wp:anchor distT="114300" distB="114300" distL="114300" distR="114300" simplePos="0" relativeHeight="251679744" behindDoc="0" locked="0" layoutInCell="1" hidden="0" allowOverlap="1" wp14:anchorId="5DAD6AB6" wp14:editId="2D64DF51">
            <wp:simplePos x="0" y="0"/>
            <wp:positionH relativeFrom="column">
              <wp:posOffset>-250190</wp:posOffset>
            </wp:positionH>
            <wp:positionV relativeFrom="paragraph">
              <wp:posOffset>192405</wp:posOffset>
            </wp:positionV>
            <wp:extent cx="934497" cy="958459"/>
            <wp:effectExtent l="0" t="0" r="0" b="0"/>
            <wp:wrapSquare wrapText="bothSides" distT="114300" distB="114300" distL="114300" distR="114300"/>
            <wp:docPr id="39" name="image26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Decorative"/>
                    <pic:cNvPicPr preferRelativeResize="0"/>
                  </pic:nvPicPr>
                  <pic:blipFill>
                    <a:blip r:embed="rId10"/>
                    <a:srcRect l="20922" t="19918" r="19755" b="19411"/>
                    <a:stretch>
                      <a:fillRect/>
                    </a:stretch>
                  </pic:blipFill>
                  <pic:spPr>
                    <a:xfrm>
                      <a:off x="0" y="0"/>
                      <a:ext cx="934497" cy="958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/>
        <w:t>Subway/GO Train/Via Rail</w:t>
      </w:r>
      <w:r>
        <w:rPr>
          <w:b/>
        </w:rPr>
        <w:br/>
      </w:r>
      <w:r>
        <w:rPr>
          <w:color w:val="201D1E"/>
          <w:sz w:val="28"/>
          <w:szCs w:val="28"/>
          <w:highlight w:val="white"/>
        </w:rPr>
        <w:t>Glenn Gould Studio is located near Union Station. It is a 1.0 km walk via the PATH or 1.2 km walk via Front St. W.</w:t>
      </w:r>
      <w:r>
        <w:rPr>
          <w:b/>
          <w:color w:val="202124"/>
          <w:highlight w:val="white"/>
        </w:rPr>
        <w:br/>
      </w:r>
      <w:r>
        <w:rPr>
          <w:b/>
          <w:color w:val="202124"/>
          <w:highlight w:val="white"/>
        </w:rPr>
        <w:br/>
      </w:r>
      <w:r>
        <w:rPr>
          <w:b/>
          <w:color w:val="202124"/>
          <w:highlight w:val="white"/>
        </w:rPr>
        <w:br/>
      </w:r>
      <w:r>
        <w:rPr>
          <w:b/>
          <w:color w:val="202124"/>
          <w:highlight w:val="white"/>
        </w:rPr>
        <w:br/>
      </w:r>
      <w:r>
        <w:rPr>
          <w:b/>
          <w:color w:val="202124"/>
          <w:highlight w:val="white"/>
        </w:rPr>
        <w:br/>
      </w:r>
      <w:r>
        <w:rPr>
          <w:b/>
          <w:color w:val="202124"/>
          <w:sz w:val="28"/>
          <w:szCs w:val="28"/>
          <w:highlight w:val="white"/>
        </w:rPr>
        <w:t xml:space="preserve">Streetcar or </w:t>
      </w:r>
      <w:proofErr w:type="gramStart"/>
      <w:r>
        <w:rPr>
          <w:b/>
          <w:color w:val="202124"/>
          <w:sz w:val="28"/>
          <w:szCs w:val="28"/>
          <w:highlight w:val="white"/>
        </w:rPr>
        <w:t>bus</w:t>
      </w:r>
      <w:proofErr w:type="gramEnd"/>
    </w:p>
    <w:p w14:paraId="4F72A0F7" w14:textId="77777777" w:rsidR="00C7186C" w:rsidRDefault="00000000" w:rsidP="00791FA2">
      <w:pPr>
        <w:ind w:left="1701"/>
        <w:rPr>
          <w:color w:val="201D1E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>The King streetcar (Route 504) stops at the corner of King Street &amp; University Street. It is a 4-minute or 300 m walk from the streetcar.</w:t>
      </w:r>
    </w:p>
    <w:p w14:paraId="430868E7" w14:textId="14A26965" w:rsidR="00C7186C" w:rsidRPr="00BC3919" w:rsidRDefault="00BC3919" w:rsidP="00BC3919">
      <w:pPr>
        <w:ind w:left="1701"/>
        <w:rPr>
          <w:color w:val="202124"/>
          <w:sz w:val="21"/>
          <w:szCs w:val="21"/>
          <w:highlight w:val="white"/>
        </w:rPr>
      </w:pPr>
      <w:r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24784F02" wp14:editId="7AA0ED7B">
            <wp:simplePos x="0" y="0"/>
            <wp:positionH relativeFrom="column">
              <wp:posOffset>-250190</wp:posOffset>
            </wp:positionH>
            <wp:positionV relativeFrom="paragraph">
              <wp:posOffset>435610</wp:posOffset>
            </wp:positionV>
            <wp:extent cx="960967" cy="800806"/>
            <wp:effectExtent l="0" t="0" r="0" b="0"/>
            <wp:wrapSquare wrapText="bothSides" distT="114300" distB="114300" distL="114300" distR="114300"/>
            <wp:docPr id="15" name="image10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Decorative"/>
                    <pic:cNvPicPr preferRelativeResize="0"/>
                  </pic:nvPicPr>
                  <pic:blipFill>
                    <a:blip r:embed="rId11"/>
                    <a:srcRect l="29400" t="38990" r="28600" b="25933"/>
                    <a:stretch>
                      <a:fillRect/>
                    </a:stretch>
                  </pic:blipFill>
                  <pic:spPr>
                    <a:xfrm>
                      <a:off x="0" y="0"/>
                      <a:ext cx="960967" cy="800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202124"/>
          <w:sz w:val="28"/>
          <w:szCs w:val="28"/>
          <w:highlight w:val="white"/>
          <w:u w:val="single"/>
        </w:rPr>
        <w:br/>
      </w:r>
      <w:r>
        <w:rPr>
          <w:b/>
          <w:color w:val="202124"/>
          <w:sz w:val="28"/>
          <w:szCs w:val="28"/>
          <w:highlight w:val="white"/>
          <w:u w:val="single"/>
        </w:rPr>
        <w:br/>
      </w:r>
      <w:r>
        <w:rPr>
          <w:b/>
          <w:color w:val="202124"/>
          <w:sz w:val="28"/>
          <w:szCs w:val="28"/>
          <w:highlight w:val="white"/>
        </w:rPr>
        <w:t xml:space="preserve">Driving </w:t>
      </w:r>
      <w:r>
        <w:rPr>
          <w:color w:val="202124"/>
          <w:sz w:val="28"/>
          <w:szCs w:val="28"/>
          <w:highlight w:val="white"/>
          <w:u w:val="single"/>
        </w:rPr>
        <w:br/>
      </w:r>
      <w:r>
        <w:rPr>
          <w:color w:val="201D1E"/>
          <w:sz w:val="28"/>
          <w:szCs w:val="28"/>
          <w:highlight w:val="white"/>
        </w:rPr>
        <w:t>There is indoor parking available at 315 Front St. Reservations can be made online in advance at bestparking.com. Parking is also available at 306 Front St. W. It is a 2-minute or 150 m walk from the parking to Glenn Gould Studios.</w:t>
      </w:r>
    </w:p>
    <w:p w14:paraId="34AD3DA9" w14:textId="77777777" w:rsidR="00C7186C" w:rsidRDefault="00000000" w:rsidP="00791FA2">
      <w:pPr>
        <w:ind w:left="1701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  <w:u w:val="single"/>
        </w:rPr>
        <w:br/>
      </w:r>
      <w:r>
        <w:br w:type="page"/>
      </w:r>
    </w:p>
    <w:p w14:paraId="75234AC4" w14:textId="77777777" w:rsidR="00C7186C" w:rsidRDefault="00000000">
      <w:pPr>
        <w:pStyle w:val="Heading2"/>
      </w:pPr>
      <w:bookmarkStart w:id="4" w:name="_w56s3jt2pzgr" w:colFirst="0" w:colLast="0"/>
      <w:bookmarkEnd w:id="4"/>
      <w:r>
        <w:rPr>
          <w:b/>
        </w:rPr>
        <w:lastRenderedPageBreak/>
        <w:t>The entrance and lobby</w:t>
      </w:r>
      <w:r>
        <w:t xml:space="preserve"> </w:t>
      </w:r>
    </w:p>
    <w:p w14:paraId="65F84141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>Front entrance can be accessed by an accessible button to activate.</w:t>
      </w:r>
    </w:p>
    <w:p w14:paraId="7FEC44C8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>There are no tactile tiles available at the entrance.</w:t>
      </w:r>
    </w:p>
    <w:p w14:paraId="2617BB9F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 xml:space="preserve">Front Street is the best entrance for accessibility needs. </w:t>
      </w:r>
    </w:p>
    <w:p w14:paraId="77858C1D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 xml:space="preserve">Main Front Street entrance are double doors and 32" each in width. When both are open, it gives a 64" opening. </w:t>
      </w:r>
    </w:p>
    <w:p w14:paraId="595D2E11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>Theatre doors are 36" wide each. When both are open, it gives a 72" opening.</w:t>
      </w:r>
    </w:p>
    <w:p w14:paraId="66BD33FD" w14:textId="77777777" w:rsidR="00C7186C" w:rsidRDefault="00000000">
      <w:pPr>
        <w:numPr>
          <w:ilvl w:val="0"/>
          <w:numId w:val="37"/>
        </w:numPr>
        <w:rPr>
          <w:color w:val="202124"/>
          <w:sz w:val="28"/>
          <w:szCs w:val="28"/>
          <w:highlight w:val="white"/>
        </w:rPr>
      </w:pPr>
      <w:r>
        <w:rPr>
          <w:color w:val="201D1E"/>
          <w:sz w:val="28"/>
          <w:szCs w:val="28"/>
          <w:highlight w:val="white"/>
        </w:rPr>
        <w:t>There is an overhang for protection from the elements.</w:t>
      </w:r>
      <w:r>
        <w:rPr>
          <w:color w:val="201D1E"/>
          <w:sz w:val="28"/>
          <w:szCs w:val="28"/>
          <w:highlight w:val="white"/>
        </w:rPr>
        <w:br/>
      </w:r>
    </w:p>
    <w:p w14:paraId="03806DBF" w14:textId="77777777" w:rsidR="00C7186C" w:rsidRDefault="00000000">
      <w:pPr>
        <w:pStyle w:val="Heading2"/>
        <w:rPr>
          <w:color w:val="202124"/>
          <w:sz w:val="28"/>
          <w:szCs w:val="28"/>
          <w:highlight w:val="white"/>
        </w:rPr>
      </w:pPr>
      <w:bookmarkStart w:id="5" w:name="_b07o4kmulks8" w:colFirst="0" w:colLast="0"/>
      <w:bookmarkEnd w:id="5"/>
      <w:r>
        <w:rPr>
          <w:b/>
        </w:rPr>
        <w:t>Access to theatres</w:t>
      </w:r>
      <w:r>
        <w:t xml:space="preserve"> </w:t>
      </w:r>
    </w:p>
    <w:p w14:paraId="70FEDD06" w14:textId="77777777" w:rsidR="00C7186C" w:rsidRDefault="00000000">
      <w:pPr>
        <w:rPr>
          <w:color w:val="202124"/>
          <w:sz w:val="28"/>
          <w:szCs w:val="28"/>
          <w:highlight w:val="white"/>
        </w:rPr>
      </w:pPr>
      <w:r>
        <w:rPr>
          <w:noProof/>
          <w:color w:val="202124"/>
          <w:sz w:val="28"/>
          <w:szCs w:val="28"/>
          <w:highlight w:val="white"/>
        </w:rPr>
        <w:drawing>
          <wp:inline distT="114300" distB="114300" distL="114300" distR="114300" wp14:anchorId="47C0E813" wp14:editId="4E93EA68">
            <wp:extent cx="5878210" cy="4822366"/>
            <wp:effectExtent l="0" t="0" r="0" b="0"/>
            <wp:docPr id="14" name="image6.jpg" descr="A seating map of Glenn Gould Studios. There of rows of seating from A to Q and 1-20. The wheelchair seating are to the left and right of Row P with blue wheelchair icons. 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seating map of Glenn Gould Studios. There of rows of seating from A to Q and 1-20. The wheelchair seating are to the left and right of Row P with blue wheelchair icons. T"/>
                    <pic:cNvPicPr preferRelativeResize="0"/>
                  </pic:nvPicPr>
                  <pic:blipFill>
                    <a:blip r:embed="rId12"/>
                    <a:srcRect l="18429" t="4567" r="5128" b="1201"/>
                    <a:stretch>
                      <a:fillRect/>
                    </a:stretch>
                  </pic:blipFill>
                  <pic:spPr>
                    <a:xfrm>
                      <a:off x="0" y="0"/>
                      <a:ext cx="5878210" cy="4822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02124"/>
          <w:sz w:val="28"/>
          <w:szCs w:val="28"/>
          <w:highlight w:val="white"/>
        </w:rPr>
        <w:br/>
      </w:r>
      <w:r>
        <w:rPr>
          <w:i/>
          <w:color w:val="1F497D"/>
          <w:sz w:val="18"/>
          <w:szCs w:val="18"/>
        </w:rPr>
        <w:t xml:space="preserve">Figure 2: A seating map of Glenn Gould Studios. The wheelchair seating </w:t>
      </w:r>
      <w:proofErr w:type="gramStart"/>
      <w:r>
        <w:rPr>
          <w:i/>
          <w:color w:val="1F497D"/>
          <w:sz w:val="18"/>
          <w:szCs w:val="18"/>
        </w:rPr>
        <w:t>are</w:t>
      </w:r>
      <w:proofErr w:type="gramEnd"/>
      <w:r>
        <w:rPr>
          <w:i/>
          <w:color w:val="1F497D"/>
          <w:sz w:val="18"/>
          <w:szCs w:val="18"/>
        </w:rPr>
        <w:t xml:space="preserve"> to the left and right of Row P with blue wheelchair icons</w:t>
      </w:r>
      <w:r>
        <w:rPr>
          <w:color w:val="202124"/>
          <w:sz w:val="28"/>
          <w:szCs w:val="28"/>
          <w:highlight w:val="white"/>
        </w:rPr>
        <w:br/>
      </w:r>
      <w:r>
        <w:rPr>
          <w:color w:val="202124"/>
          <w:sz w:val="28"/>
          <w:szCs w:val="28"/>
          <w:highlight w:val="white"/>
        </w:rPr>
        <w:lastRenderedPageBreak/>
        <w:br/>
      </w:r>
    </w:p>
    <w:p w14:paraId="7C72288F" w14:textId="77777777" w:rsidR="00C7186C" w:rsidRDefault="00000000">
      <w:pPr>
        <w:numPr>
          <w:ilvl w:val="0"/>
          <w:numId w:val="8"/>
        </w:numPr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>337 seats with general admission</w:t>
      </w:r>
    </w:p>
    <w:p w14:paraId="428B000B" w14:textId="77777777" w:rsidR="00C7186C" w:rsidRDefault="00000000">
      <w:pPr>
        <w:numPr>
          <w:ilvl w:val="0"/>
          <w:numId w:val="8"/>
        </w:numPr>
        <w:rPr>
          <w:color w:val="202124"/>
          <w:sz w:val="28"/>
          <w:szCs w:val="28"/>
          <w:highlight w:val="white"/>
        </w:rPr>
      </w:pPr>
      <w:r>
        <w:rPr>
          <w:color w:val="202124"/>
          <w:sz w:val="28"/>
          <w:szCs w:val="28"/>
          <w:highlight w:val="white"/>
        </w:rPr>
        <w:t xml:space="preserve">Four permanent wheelchair positions located in the last </w:t>
      </w:r>
      <w:proofErr w:type="gramStart"/>
      <w:r>
        <w:rPr>
          <w:color w:val="202124"/>
          <w:sz w:val="28"/>
          <w:szCs w:val="28"/>
          <w:highlight w:val="white"/>
        </w:rPr>
        <w:t>row</w:t>
      </w:r>
      <w:proofErr w:type="gramEnd"/>
    </w:p>
    <w:p w14:paraId="698D76D7" w14:textId="77777777" w:rsidR="00C7186C" w:rsidRPr="003129FD" w:rsidRDefault="00000000">
      <w:pPr>
        <w:pStyle w:val="Heading2"/>
        <w:rPr>
          <w:color w:val="000000" w:themeColor="text1"/>
        </w:rPr>
      </w:pPr>
      <w:bookmarkStart w:id="6" w:name="_dizfk8asezei" w:colFirst="0" w:colLast="0"/>
      <w:bookmarkEnd w:id="6"/>
      <w:r w:rsidRPr="003129FD">
        <w:rPr>
          <w:b/>
          <w:color w:val="000000" w:themeColor="text1"/>
        </w:rPr>
        <w:t xml:space="preserve">Accessibility services and devices available: </w:t>
      </w:r>
      <w:r w:rsidRPr="003129FD">
        <w:rPr>
          <w:color w:val="000000" w:themeColor="text1"/>
        </w:rPr>
        <w:br/>
      </w:r>
    </w:p>
    <w:tbl>
      <w:tblPr>
        <w:tblStyle w:val="ad"/>
        <w:tblW w:w="960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973"/>
        <w:gridCol w:w="4267"/>
      </w:tblGrid>
      <w:tr w:rsidR="003129FD" w:rsidRPr="003129FD" w14:paraId="15A6B201" w14:textId="77777777" w:rsidTr="00BC39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15EE" w14:textId="77777777" w:rsidR="00C7186C" w:rsidRPr="003129FD" w:rsidRDefault="00000000">
            <w:pPr>
              <w:pStyle w:val="Heading3"/>
              <w:widowControl w:val="0"/>
              <w:rPr>
                <w:b/>
                <w:bCs/>
                <w:color w:val="000000" w:themeColor="text1"/>
              </w:rPr>
            </w:pPr>
            <w:bookmarkStart w:id="7" w:name="_nj267rjpg5z4" w:colFirst="0" w:colLast="0"/>
            <w:bookmarkEnd w:id="7"/>
            <w:r w:rsidRPr="003129FD">
              <w:rPr>
                <w:b/>
                <w:bCs/>
                <w:color w:val="000000" w:themeColor="text1"/>
              </w:rPr>
              <w:t>Closed Captions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4705" w14:textId="77777777" w:rsidR="00C7186C" w:rsidRPr="003129FD" w:rsidRDefault="00000000">
            <w:pPr>
              <w:widowControl w:val="0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>N/A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5286" w14:textId="77777777" w:rsidR="00C7186C" w:rsidRPr="003129FD" w:rsidRDefault="00C7186C">
            <w:pPr>
              <w:widowControl w:val="0"/>
              <w:ind w:left="720"/>
              <w:rPr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3129FD" w:rsidRPr="003129FD" w14:paraId="6C25452D" w14:textId="77777777" w:rsidTr="00BC39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833E" w14:textId="77777777" w:rsidR="00C7186C" w:rsidRPr="003129FD" w:rsidRDefault="00000000">
            <w:pPr>
              <w:pStyle w:val="Heading3"/>
              <w:widowControl w:val="0"/>
              <w:rPr>
                <w:b/>
                <w:bCs/>
                <w:color w:val="000000" w:themeColor="text1"/>
              </w:rPr>
            </w:pPr>
            <w:bookmarkStart w:id="8" w:name="_enrk4i5krbjc" w:colFirst="0" w:colLast="0"/>
            <w:bookmarkEnd w:id="8"/>
            <w:r w:rsidRPr="003129FD">
              <w:rPr>
                <w:b/>
                <w:bCs/>
                <w:color w:val="000000" w:themeColor="text1"/>
              </w:rPr>
              <w:t>Assisted Listening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A1D0" w14:textId="77777777" w:rsidR="00C7186C" w:rsidRPr="003129FD" w:rsidRDefault="00000000">
            <w:pPr>
              <w:widowControl w:val="0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>Yes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7C8F" w14:textId="77777777" w:rsidR="00C7186C" w:rsidRPr="003129FD" w:rsidRDefault="00000000">
            <w:pPr>
              <w:widowControl w:val="0"/>
              <w:rPr>
                <w:color w:val="000000" w:themeColor="text1"/>
                <w:sz w:val="36"/>
                <w:szCs w:val="36"/>
                <w:highlight w:val="white"/>
              </w:rPr>
            </w:pPr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 xml:space="preserve">Receivers can be used with single use earbuds or </w:t>
            </w:r>
            <w:proofErr w:type="spellStart"/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>neckloop</w:t>
            </w:r>
            <w:proofErr w:type="spellEnd"/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>. Assisted listening only in the main theatre.</w:t>
            </w:r>
          </w:p>
        </w:tc>
      </w:tr>
      <w:tr w:rsidR="003129FD" w:rsidRPr="003129FD" w14:paraId="1F89396C" w14:textId="77777777" w:rsidTr="00BC39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B745" w14:textId="77777777" w:rsidR="00C7186C" w:rsidRPr="003129FD" w:rsidRDefault="00000000">
            <w:pPr>
              <w:pStyle w:val="Heading3"/>
              <w:widowControl w:val="0"/>
              <w:rPr>
                <w:b/>
                <w:bCs/>
                <w:color w:val="000000" w:themeColor="text1"/>
              </w:rPr>
            </w:pPr>
            <w:bookmarkStart w:id="9" w:name="_e5hj2j19u8pt" w:colFirst="0" w:colLast="0"/>
            <w:bookmarkEnd w:id="9"/>
            <w:r w:rsidRPr="003129FD">
              <w:rPr>
                <w:b/>
                <w:bCs/>
                <w:color w:val="000000" w:themeColor="text1"/>
              </w:rPr>
              <w:t>Descriptive Sound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CFDF" w14:textId="77777777" w:rsidR="00C7186C" w:rsidRPr="003129FD" w:rsidRDefault="00000000">
            <w:pPr>
              <w:widowControl w:val="0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3129FD">
              <w:rPr>
                <w:color w:val="000000" w:themeColor="text1"/>
                <w:sz w:val="28"/>
                <w:szCs w:val="28"/>
                <w:highlight w:val="white"/>
              </w:rPr>
              <w:t>N/A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76F4" w14:textId="77777777" w:rsidR="00C7186C" w:rsidRPr="003129FD" w:rsidRDefault="00C7186C">
            <w:pPr>
              <w:widowControl w:val="0"/>
              <w:rPr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6E6CA259" w14:textId="6CD1AB61" w:rsidR="00C7186C" w:rsidRDefault="00C7186C">
      <w:pPr>
        <w:pStyle w:val="Heading1"/>
        <w:rPr>
          <w:b/>
        </w:rPr>
      </w:pPr>
      <w:bookmarkStart w:id="10" w:name="_ne589gue8qeq" w:colFirst="0" w:colLast="0"/>
      <w:bookmarkEnd w:id="10"/>
    </w:p>
    <w:sectPr w:rsidR="00C7186C" w:rsidSect="008C7D12">
      <w:headerReference w:type="default" r:id="rId13"/>
      <w:footerReference w:type="default" r:id="rId14"/>
      <w:footerReference w:type="first" r:id="rId15"/>
      <w:pgSz w:w="12240" w:h="15840"/>
      <w:pgMar w:top="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A8E1" w14:textId="77777777" w:rsidR="00761AA1" w:rsidRDefault="00761AA1">
      <w:pPr>
        <w:spacing w:line="240" w:lineRule="auto"/>
      </w:pPr>
      <w:r>
        <w:separator/>
      </w:r>
    </w:p>
  </w:endnote>
  <w:endnote w:type="continuationSeparator" w:id="0">
    <w:p w14:paraId="111F028B" w14:textId="77777777" w:rsidR="00761AA1" w:rsidRDefault="00761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93D" w14:textId="77777777" w:rsidR="00C7186C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A4D0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FD77" w14:textId="77777777" w:rsidR="00C7186C" w:rsidRDefault="00C71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43BE" w14:textId="77777777" w:rsidR="00761AA1" w:rsidRDefault="00761AA1">
      <w:pPr>
        <w:spacing w:line="240" w:lineRule="auto"/>
      </w:pPr>
      <w:r>
        <w:separator/>
      </w:r>
    </w:p>
  </w:footnote>
  <w:footnote w:type="continuationSeparator" w:id="0">
    <w:p w14:paraId="6E2CC6EE" w14:textId="77777777" w:rsidR="00761AA1" w:rsidRDefault="00761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3D8B" w14:textId="77777777" w:rsidR="00C7186C" w:rsidRDefault="00C71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6F0"/>
    <w:multiLevelType w:val="multilevel"/>
    <w:tmpl w:val="6A060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F1A33"/>
    <w:multiLevelType w:val="multilevel"/>
    <w:tmpl w:val="ADEE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80842"/>
    <w:multiLevelType w:val="multilevel"/>
    <w:tmpl w:val="DF1E2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F153FD"/>
    <w:multiLevelType w:val="multilevel"/>
    <w:tmpl w:val="B85E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1272DA"/>
    <w:multiLevelType w:val="multilevel"/>
    <w:tmpl w:val="CAF0D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3448E4"/>
    <w:multiLevelType w:val="multilevel"/>
    <w:tmpl w:val="0A34E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C360BB"/>
    <w:multiLevelType w:val="multilevel"/>
    <w:tmpl w:val="60340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D322F5"/>
    <w:multiLevelType w:val="multilevel"/>
    <w:tmpl w:val="8AB48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272C8C"/>
    <w:multiLevelType w:val="multilevel"/>
    <w:tmpl w:val="43347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A87780"/>
    <w:multiLevelType w:val="multilevel"/>
    <w:tmpl w:val="5B8EB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121F57"/>
    <w:multiLevelType w:val="multilevel"/>
    <w:tmpl w:val="ED824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DB4C34"/>
    <w:multiLevelType w:val="multilevel"/>
    <w:tmpl w:val="63448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AF066C"/>
    <w:multiLevelType w:val="multilevel"/>
    <w:tmpl w:val="F57AE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5508FD"/>
    <w:multiLevelType w:val="multilevel"/>
    <w:tmpl w:val="1278F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F22AA8"/>
    <w:multiLevelType w:val="multilevel"/>
    <w:tmpl w:val="6ACC9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2D70FF"/>
    <w:multiLevelType w:val="multilevel"/>
    <w:tmpl w:val="7B1C8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594851"/>
    <w:multiLevelType w:val="multilevel"/>
    <w:tmpl w:val="006C9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F02008"/>
    <w:multiLevelType w:val="multilevel"/>
    <w:tmpl w:val="0F103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8C4B23"/>
    <w:multiLevelType w:val="multilevel"/>
    <w:tmpl w:val="A1F24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434BC2"/>
    <w:multiLevelType w:val="multilevel"/>
    <w:tmpl w:val="1B001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CC7358"/>
    <w:multiLevelType w:val="multilevel"/>
    <w:tmpl w:val="A6C41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C97E5C"/>
    <w:multiLevelType w:val="multilevel"/>
    <w:tmpl w:val="C12A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341039"/>
    <w:multiLevelType w:val="multilevel"/>
    <w:tmpl w:val="F868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1169BA"/>
    <w:multiLevelType w:val="multilevel"/>
    <w:tmpl w:val="8F52A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1B39AC"/>
    <w:multiLevelType w:val="multilevel"/>
    <w:tmpl w:val="736EE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CD68DB"/>
    <w:multiLevelType w:val="multilevel"/>
    <w:tmpl w:val="B4E08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8102ED"/>
    <w:multiLevelType w:val="multilevel"/>
    <w:tmpl w:val="E83A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50438D"/>
    <w:multiLevelType w:val="multilevel"/>
    <w:tmpl w:val="5510D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7A6006"/>
    <w:multiLevelType w:val="multilevel"/>
    <w:tmpl w:val="3A369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E13BB7"/>
    <w:multiLevelType w:val="multilevel"/>
    <w:tmpl w:val="2E76D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7286391"/>
    <w:multiLevelType w:val="multilevel"/>
    <w:tmpl w:val="DABE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A5482D"/>
    <w:multiLevelType w:val="multilevel"/>
    <w:tmpl w:val="3C641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193F4B"/>
    <w:multiLevelType w:val="multilevel"/>
    <w:tmpl w:val="AD226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DA2601A"/>
    <w:multiLevelType w:val="multilevel"/>
    <w:tmpl w:val="0E3A4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341EA"/>
    <w:multiLevelType w:val="multilevel"/>
    <w:tmpl w:val="E8665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A45CDC"/>
    <w:multiLevelType w:val="multilevel"/>
    <w:tmpl w:val="741A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BB2650"/>
    <w:multiLevelType w:val="multilevel"/>
    <w:tmpl w:val="EDAA3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6D41B33"/>
    <w:multiLevelType w:val="multilevel"/>
    <w:tmpl w:val="6C0C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7F8651D"/>
    <w:multiLevelType w:val="multilevel"/>
    <w:tmpl w:val="A5D2E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4F4B51"/>
    <w:multiLevelType w:val="multilevel"/>
    <w:tmpl w:val="2C0C5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AB0F65"/>
    <w:multiLevelType w:val="multilevel"/>
    <w:tmpl w:val="78389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1ED6B53"/>
    <w:multiLevelType w:val="multilevel"/>
    <w:tmpl w:val="266C4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3C46C16"/>
    <w:multiLevelType w:val="multilevel"/>
    <w:tmpl w:val="A3FEB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44A1AD5"/>
    <w:multiLevelType w:val="multilevel"/>
    <w:tmpl w:val="4372D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A1711BF"/>
    <w:multiLevelType w:val="multilevel"/>
    <w:tmpl w:val="22E86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2117583">
    <w:abstractNumId w:val="28"/>
  </w:num>
  <w:num w:numId="2" w16cid:durableId="546986803">
    <w:abstractNumId w:val="40"/>
  </w:num>
  <w:num w:numId="3" w16cid:durableId="2027825117">
    <w:abstractNumId w:val="23"/>
  </w:num>
  <w:num w:numId="4" w16cid:durableId="1547138076">
    <w:abstractNumId w:val="31"/>
  </w:num>
  <w:num w:numId="5" w16cid:durableId="1521696988">
    <w:abstractNumId w:val="37"/>
  </w:num>
  <w:num w:numId="6" w16cid:durableId="795031685">
    <w:abstractNumId w:val="9"/>
  </w:num>
  <w:num w:numId="7" w16cid:durableId="2080860502">
    <w:abstractNumId w:val="5"/>
  </w:num>
  <w:num w:numId="8" w16cid:durableId="461269292">
    <w:abstractNumId w:val="43"/>
  </w:num>
  <w:num w:numId="9" w16cid:durableId="661742509">
    <w:abstractNumId w:val="13"/>
  </w:num>
  <w:num w:numId="10" w16cid:durableId="363948285">
    <w:abstractNumId w:val="4"/>
  </w:num>
  <w:num w:numId="11" w16cid:durableId="223681723">
    <w:abstractNumId w:val="12"/>
  </w:num>
  <w:num w:numId="12" w16cid:durableId="367992488">
    <w:abstractNumId w:val="14"/>
  </w:num>
  <w:num w:numId="13" w16cid:durableId="845898842">
    <w:abstractNumId w:val="44"/>
  </w:num>
  <w:num w:numId="14" w16cid:durableId="372655089">
    <w:abstractNumId w:val="41"/>
  </w:num>
  <w:num w:numId="15" w16cid:durableId="2113282890">
    <w:abstractNumId w:val="34"/>
  </w:num>
  <w:num w:numId="16" w16cid:durableId="795492391">
    <w:abstractNumId w:val="15"/>
  </w:num>
  <w:num w:numId="17" w16cid:durableId="2062245107">
    <w:abstractNumId w:val="10"/>
  </w:num>
  <w:num w:numId="18" w16cid:durableId="1713505746">
    <w:abstractNumId w:val="22"/>
  </w:num>
  <w:num w:numId="19" w16cid:durableId="1624311148">
    <w:abstractNumId w:val="29"/>
  </w:num>
  <w:num w:numId="20" w16cid:durableId="500312581">
    <w:abstractNumId w:val="36"/>
  </w:num>
  <w:num w:numId="21" w16cid:durableId="1523276426">
    <w:abstractNumId w:val="19"/>
  </w:num>
  <w:num w:numId="22" w16cid:durableId="1664314971">
    <w:abstractNumId w:val="1"/>
  </w:num>
  <w:num w:numId="23" w16cid:durableId="835145796">
    <w:abstractNumId w:val="25"/>
  </w:num>
  <w:num w:numId="24" w16cid:durableId="1030837837">
    <w:abstractNumId w:val="21"/>
  </w:num>
  <w:num w:numId="25" w16cid:durableId="1808930599">
    <w:abstractNumId w:val="30"/>
  </w:num>
  <w:num w:numId="26" w16cid:durableId="1670674068">
    <w:abstractNumId w:val="0"/>
  </w:num>
  <w:num w:numId="27" w16cid:durableId="2078823867">
    <w:abstractNumId w:val="35"/>
  </w:num>
  <w:num w:numId="28" w16cid:durableId="802503085">
    <w:abstractNumId w:val="6"/>
  </w:num>
  <w:num w:numId="29" w16cid:durableId="1537037753">
    <w:abstractNumId w:val="39"/>
  </w:num>
  <w:num w:numId="30" w16cid:durableId="307907437">
    <w:abstractNumId w:val="3"/>
  </w:num>
  <w:num w:numId="31" w16cid:durableId="1805848548">
    <w:abstractNumId w:val="32"/>
  </w:num>
  <w:num w:numId="32" w16cid:durableId="1652754259">
    <w:abstractNumId w:val="7"/>
  </w:num>
  <w:num w:numId="33" w16cid:durableId="1315451407">
    <w:abstractNumId w:val="2"/>
  </w:num>
  <w:num w:numId="34" w16cid:durableId="180247680">
    <w:abstractNumId w:val="27"/>
  </w:num>
  <w:num w:numId="35" w16cid:durableId="250743384">
    <w:abstractNumId w:val="26"/>
  </w:num>
  <w:num w:numId="36" w16cid:durableId="726688795">
    <w:abstractNumId w:val="16"/>
  </w:num>
  <w:num w:numId="37" w16cid:durableId="713820494">
    <w:abstractNumId w:val="33"/>
  </w:num>
  <w:num w:numId="38" w16cid:durableId="1560364781">
    <w:abstractNumId w:val="8"/>
  </w:num>
  <w:num w:numId="39" w16cid:durableId="19013638">
    <w:abstractNumId w:val="42"/>
  </w:num>
  <w:num w:numId="40" w16cid:durableId="89469452">
    <w:abstractNumId w:val="17"/>
  </w:num>
  <w:num w:numId="41" w16cid:durableId="1311903440">
    <w:abstractNumId w:val="18"/>
  </w:num>
  <w:num w:numId="42" w16cid:durableId="273291530">
    <w:abstractNumId w:val="24"/>
  </w:num>
  <w:num w:numId="43" w16cid:durableId="928739222">
    <w:abstractNumId w:val="11"/>
  </w:num>
  <w:num w:numId="44" w16cid:durableId="1754083003">
    <w:abstractNumId w:val="20"/>
  </w:num>
  <w:num w:numId="45" w16cid:durableId="11581116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C"/>
    <w:rsid w:val="00125A40"/>
    <w:rsid w:val="003129FD"/>
    <w:rsid w:val="006E50AC"/>
    <w:rsid w:val="00761AA1"/>
    <w:rsid w:val="00791FA2"/>
    <w:rsid w:val="008C7D12"/>
    <w:rsid w:val="00BC3919"/>
    <w:rsid w:val="00C7186C"/>
    <w:rsid w:val="00E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510CD"/>
  <w15:docId w15:val="{D840EE2E-8C5C-B04B-AF5F-68C803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C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Halyburton</cp:lastModifiedBy>
  <cp:revision>6</cp:revision>
  <dcterms:created xsi:type="dcterms:W3CDTF">2023-08-14T17:24:00Z</dcterms:created>
  <dcterms:modified xsi:type="dcterms:W3CDTF">2023-08-14T22:00:00Z</dcterms:modified>
</cp:coreProperties>
</file>