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7D" w:rsidRPr="00081D7D" w:rsidRDefault="00081D7D" w:rsidP="00081D7D">
      <w:pPr>
        <w:jc w:val="center"/>
        <w:rPr>
          <w:b/>
          <w:sz w:val="28"/>
        </w:rPr>
      </w:pPr>
      <w:r w:rsidRPr="00081D7D">
        <w:rPr>
          <w:b/>
          <w:sz w:val="28"/>
        </w:rPr>
        <w:t>Edinburgh Airport Safeguarding Charges</w:t>
      </w:r>
    </w:p>
    <w:p w:rsidR="00081D7D" w:rsidRDefault="00081D7D">
      <w:pPr>
        <w:rPr>
          <w:u w:val="single"/>
        </w:rPr>
      </w:pPr>
    </w:p>
    <w:p w:rsidR="00A5214B" w:rsidRDefault="00A5214B">
      <w:pPr>
        <w:rPr>
          <w:u w:val="single"/>
        </w:rPr>
      </w:pPr>
      <w:r>
        <w:rPr>
          <w:u w:val="single"/>
        </w:rPr>
        <w:t xml:space="preserve">Edinburgh Airport </w:t>
      </w:r>
      <w:r w:rsidRPr="00A5214B">
        <w:rPr>
          <w:u w:val="single"/>
        </w:rPr>
        <w:t xml:space="preserve">Wind Farm </w:t>
      </w:r>
      <w:r>
        <w:rPr>
          <w:u w:val="single"/>
        </w:rPr>
        <w:t xml:space="preserve">Planning Process - </w:t>
      </w:r>
      <w:r w:rsidRPr="00A5214B">
        <w:rPr>
          <w:u w:val="single"/>
        </w:rPr>
        <w:t>Pricing List</w:t>
      </w:r>
    </w:p>
    <w:p w:rsidR="00081D7D" w:rsidRPr="00C00766" w:rsidRDefault="00081D7D">
      <w:pPr>
        <w:rPr>
          <w:sz w:val="4"/>
          <w:u w:val="single"/>
        </w:rPr>
      </w:pPr>
    </w:p>
    <w:p w:rsidR="00200E6B" w:rsidRDefault="00D51378">
      <w:r>
        <w:t xml:space="preserve">EAL </w:t>
      </w:r>
      <w:r w:rsidR="00CC067C">
        <w:t xml:space="preserve">Initial </w:t>
      </w:r>
      <w:r>
        <w:t>Safeguarding Assessment</w:t>
      </w:r>
      <w:r>
        <w:rPr>
          <w:rStyle w:val="FootnoteReference"/>
        </w:rPr>
        <w:footnoteReference w:id="1"/>
      </w:r>
      <w:r w:rsidR="00CC067C">
        <w:tab/>
      </w:r>
      <w:r w:rsidR="00CC067C">
        <w:tab/>
      </w:r>
      <w:r>
        <w:tab/>
        <w:t>£</w:t>
      </w:r>
      <w:r w:rsidR="00CC067C">
        <w:t>0</w:t>
      </w:r>
    </w:p>
    <w:p w:rsidR="00CC067C" w:rsidRDefault="00CC067C">
      <w:r>
        <w:t>Technical Safeguarding Assessment</w:t>
      </w:r>
      <w:r>
        <w:rPr>
          <w:rStyle w:val="FootnoteReference"/>
        </w:rPr>
        <w:footnoteReference w:id="2"/>
      </w:r>
      <w:r w:rsidR="00A8793D">
        <w:tab/>
      </w:r>
      <w:r w:rsidR="00A8793D">
        <w:tab/>
      </w:r>
      <w:r w:rsidR="00A8793D">
        <w:tab/>
        <w:t>£1050 NATS basic rate plus £250</w:t>
      </w:r>
    </w:p>
    <w:p w:rsidR="00CC067C" w:rsidRDefault="0057455D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</w:pPr>
      <w:r>
        <w:t>Mitigation Solution Assessment</w:t>
      </w:r>
      <w:r w:rsidR="00CC067C">
        <w:rPr>
          <w:rStyle w:val="FootnoteReference"/>
        </w:rPr>
        <w:footnoteReference w:id="3"/>
      </w:r>
      <w:r w:rsidR="00CC067C">
        <w:tab/>
      </w:r>
      <w:r w:rsidR="00CC067C">
        <w:tab/>
      </w:r>
      <w:r w:rsidR="00CC067C">
        <w:tab/>
        <w:t>£250</w:t>
      </w:r>
    </w:p>
    <w:p w:rsidR="00CC067C" w:rsidRDefault="00CC067C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</w:pPr>
      <w:r>
        <w:t>Radar Mitigation Agreements</w:t>
      </w:r>
      <w:r>
        <w:rPr>
          <w:rStyle w:val="FootnoteReference"/>
        </w:rPr>
        <w:footnoteReference w:id="4"/>
      </w:r>
      <w:r>
        <w:tab/>
      </w:r>
      <w:r>
        <w:tab/>
      </w:r>
      <w:r>
        <w:tab/>
      </w:r>
      <w:r>
        <w:tab/>
        <w:t>£ priced per development</w:t>
      </w:r>
    </w:p>
    <w:p w:rsidR="00CC067C" w:rsidRDefault="00CC067C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</w:pPr>
      <w:r>
        <w:t>Meetings/calls</w:t>
      </w:r>
      <w:r>
        <w:tab/>
      </w:r>
      <w:r>
        <w:tab/>
      </w:r>
      <w:r>
        <w:tab/>
      </w:r>
      <w:r>
        <w:tab/>
      </w:r>
      <w:r>
        <w:tab/>
      </w:r>
      <w:r>
        <w:tab/>
        <w:t>£250 per EAL person for up to 2 hours</w:t>
      </w:r>
    </w:p>
    <w:p w:rsidR="00CC067C" w:rsidRDefault="00A5214B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</w:pPr>
      <w:r>
        <w:t>EAL In-House Legal Costs</w:t>
      </w:r>
      <w:r>
        <w:rPr>
          <w:rStyle w:val="FootnoteReference"/>
        </w:rPr>
        <w:footnoteReference w:id="5"/>
      </w:r>
      <w:r>
        <w:tab/>
      </w:r>
      <w:r>
        <w:tab/>
      </w:r>
      <w:r>
        <w:tab/>
      </w:r>
      <w:r>
        <w:tab/>
        <w:t>£350 per hour per EAL lawyer &gt; 5 hours</w:t>
      </w:r>
    </w:p>
    <w:p w:rsidR="00E7319B" w:rsidRDefault="00E7319B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</w:pPr>
    </w:p>
    <w:p w:rsidR="00E7319B" w:rsidRPr="00E7319B" w:rsidRDefault="00E7319B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  <w:rPr>
          <w:u w:val="single"/>
        </w:rPr>
      </w:pPr>
      <w:r w:rsidRPr="00E7319B">
        <w:rPr>
          <w:u w:val="single"/>
        </w:rPr>
        <w:t>Edinburgh Airport Development Planning Process Pricing List</w:t>
      </w:r>
    </w:p>
    <w:p w:rsidR="00E7319B" w:rsidRPr="00C00766" w:rsidRDefault="00E7319B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  <w:rPr>
          <w:sz w:val="4"/>
        </w:rPr>
      </w:pPr>
    </w:p>
    <w:p w:rsidR="00E7319B" w:rsidRDefault="00E7319B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</w:pPr>
      <w:r>
        <w:t>Solar Hazard Assessment</w:t>
      </w:r>
      <w:r>
        <w:rPr>
          <w:rStyle w:val="FootnoteReference"/>
        </w:rPr>
        <w:footnoteReference w:id="6"/>
      </w:r>
      <w:r>
        <w:tab/>
      </w:r>
      <w:r>
        <w:tab/>
      </w:r>
      <w:r>
        <w:tab/>
      </w:r>
      <w:r>
        <w:tab/>
        <w:t>£750</w:t>
      </w:r>
    </w:p>
    <w:p w:rsidR="00E7319B" w:rsidRDefault="00E7319B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</w:pPr>
      <w:r>
        <w:t>Building developments</w:t>
      </w:r>
      <w:r>
        <w:rPr>
          <w:rStyle w:val="FootnoteReference"/>
        </w:rPr>
        <w:footnoteReference w:id="7"/>
      </w:r>
      <w:r>
        <w:tab/>
      </w:r>
      <w:r>
        <w:tab/>
      </w:r>
      <w:r>
        <w:tab/>
      </w:r>
      <w:r>
        <w:tab/>
      </w:r>
      <w:r>
        <w:tab/>
        <w:t>£250 per hour</w:t>
      </w:r>
    </w:p>
    <w:p w:rsidR="00126CEA" w:rsidRDefault="00126CEA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</w:pPr>
      <w:r>
        <w:t>Tall Structures</w:t>
      </w:r>
      <w:r w:rsidR="00C00766">
        <w:tab/>
      </w:r>
      <w:r w:rsidR="00C00766">
        <w:tab/>
      </w:r>
      <w:r w:rsidR="00C00766">
        <w:tab/>
      </w:r>
      <w:r w:rsidR="00C00766">
        <w:tab/>
      </w:r>
      <w:r w:rsidR="00C00766">
        <w:tab/>
      </w:r>
      <w:r w:rsidR="00C00766">
        <w:tab/>
        <w:t>£250</w:t>
      </w:r>
    </w:p>
    <w:p w:rsidR="00E7319B" w:rsidRDefault="00E7319B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</w:pPr>
    </w:p>
    <w:p w:rsidR="00E7319B" w:rsidRDefault="00E7319B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  <w:rPr>
          <w:u w:val="single"/>
        </w:rPr>
      </w:pPr>
      <w:r w:rsidRPr="00E7319B">
        <w:rPr>
          <w:u w:val="single"/>
        </w:rPr>
        <w:t>Edinburgh Airport Crane Permits Pricing List</w:t>
      </w:r>
    </w:p>
    <w:p w:rsidR="00734980" w:rsidRPr="00C00766" w:rsidRDefault="00734980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  <w:rPr>
          <w:sz w:val="4"/>
          <w:u w:val="single"/>
        </w:rPr>
      </w:pPr>
    </w:p>
    <w:p w:rsidR="00734980" w:rsidRDefault="00734980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</w:pPr>
      <w:r>
        <w:t>Crane Permit (within 72 hours)</w:t>
      </w:r>
      <w:r>
        <w:rPr>
          <w:rStyle w:val="FootnoteReference"/>
        </w:rPr>
        <w:footnoteReference w:id="8"/>
      </w:r>
      <w:r w:rsidR="00C00766">
        <w:tab/>
      </w:r>
      <w:r w:rsidR="00C00766">
        <w:tab/>
      </w:r>
      <w:r w:rsidR="00C00766">
        <w:tab/>
      </w:r>
      <w:r w:rsidR="00C00766">
        <w:tab/>
      </w:r>
      <w:r>
        <w:t>£250</w:t>
      </w:r>
    </w:p>
    <w:p w:rsidR="00734980" w:rsidRDefault="00734980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</w:pPr>
      <w:r>
        <w:t>Crane Permit (within 48 hours)</w:t>
      </w:r>
      <w:r>
        <w:rPr>
          <w:rStyle w:val="FootnoteReference"/>
        </w:rPr>
        <w:footnoteReference w:id="9"/>
      </w:r>
      <w:r>
        <w:tab/>
      </w:r>
      <w:r>
        <w:tab/>
      </w:r>
      <w:r>
        <w:tab/>
      </w:r>
      <w:r>
        <w:tab/>
        <w:t>£500</w:t>
      </w:r>
    </w:p>
    <w:p w:rsidR="00734980" w:rsidRDefault="00734980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</w:pPr>
      <w:r>
        <w:t>Crane Permit (within 24 hours)</w:t>
      </w:r>
      <w:r>
        <w:rPr>
          <w:rStyle w:val="FootnoteReference"/>
        </w:rPr>
        <w:footnoteReference w:id="10"/>
      </w:r>
      <w:r w:rsidR="000A40FF">
        <w:tab/>
      </w:r>
      <w:r w:rsidR="000A40FF">
        <w:tab/>
      </w:r>
      <w:r w:rsidR="000A40FF">
        <w:tab/>
      </w:r>
      <w:r>
        <w:t>£750</w:t>
      </w:r>
    </w:p>
    <w:p w:rsidR="00081D7D" w:rsidRPr="00734980" w:rsidRDefault="00734980" w:rsidP="00CC0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</w:tabs>
      </w:pPr>
      <w:r>
        <w:t>Crane Enforcement Fine</w:t>
      </w:r>
      <w:r>
        <w:rPr>
          <w:rStyle w:val="FootnoteReference"/>
        </w:rPr>
        <w:footnoteReference w:id="11"/>
      </w:r>
      <w:r>
        <w:tab/>
      </w:r>
      <w:r>
        <w:tab/>
      </w:r>
      <w:r>
        <w:tab/>
      </w:r>
      <w:r>
        <w:tab/>
        <w:t>£250 per hour</w:t>
      </w:r>
    </w:p>
    <w:sectPr w:rsidR="00081D7D" w:rsidRPr="007349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EA" w:rsidRDefault="00126CEA" w:rsidP="00D51378">
      <w:pPr>
        <w:spacing w:after="0" w:line="240" w:lineRule="auto"/>
      </w:pPr>
      <w:r>
        <w:separator/>
      </w:r>
    </w:p>
  </w:endnote>
  <w:endnote w:type="continuationSeparator" w:id="0">
    <w:p w:rsidR="00126CEA" w:rsidRDefault="00126CEA" w:rsidP="00D5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EA" w:rsidRDefault="00126CEA" w:rsidP="00D51378">
      <w:pPr>
        <w:spacing w:after="0" w:line="240" w:lineRule="auto"/>
      </w:pPr>
      <w:r>
        <w:separator/>
      </w:r>
    </w:p>
  </w:footnote>
  <w:footnote w:type="continuationSeparator" w:id="0">
    <w:p w:rsidR="00126CEA" w:rsidRDefault="00126CEA" w:rsidP="00D51378">
      <w:pPr>
        <w:spacing w:after="0" w:line="240" w:lineRule="auto"/>
      </w:pPr>
      <w:r>
        <w:continuationSeparator/>
      </w:r>
    </w:p>
  </w:footnote>
  <w:footnote w:id="1">
    <w:p w:rsidR="00126CEA" w:rsidRPr="00081D7D" w:rsidRDefault="00126CEA">
      <w:pPr>
        <w:pStyle w:val="FootnoteText"/>
        <w:rPr>
          <w:sz w:val="14"/>
        </w:rPr>
      </w:pPr>
      <w:r w:rsidRPr="00081D7D">
        <w:rPr>
          <w:rStyle w:val="FootnoteReference"/>
          <w:sz w:val="14"/>
        </w:rPr>
        <w:footnoteRef/>
      </w:r>
      <w:r w:rsidRPr="00081D7D">
        <w:rPr>
          <w:sz w:val="14"/>
        </w:rPr>
        <w:t xml:space="preserve"> EAL will check whether the development is within its Safeguarding Zone.</w:t>
      </w:r>
    </w:p>
  </w:footnote>
  <w:footnote w:id="2">
    <w:p w:rsidR="00126CEA" w:rsidRPr="00081D7D" w:rsidRDefault="00126CEA">
      <w:pPr>
        <w:pStyle w:val="FootnoteText"/>
        <w:rPr>
          <w:sz w:val="14"/>
        </w:rPr>
      </w:pPr>
      <w:r w:rsidRPr="00081D7D">
        <w:rPr>
          <w:rStyle w:val="FootnoteReference"/>
          <w:sz w:val="14"/>
        </w:rPr>
        <w:footnoteRef/>
      </w:r>
      <w:r w:rsidRPr="00081D7D">
        <w:rPr>
          <w:sz w:val="14"/>
        </w:rPr>
        <w:t xml:space="preserve"> EAL will purchase a technical report from NATS, review it with its ANSP and provide an objection / no objection decision.</w:t>
      </w:r>
    </w:p>
  </w:footnote>
  <w:footnote w:id="3">
    <w:p w:rsidR="00126CEA" w:rsidRPr="00081D7D" w:rsidRDefault="00126CEA">
      <w:pPr>
        <w:pStyle w:val="FootnoteText"/>
        <w:rPr>
          <w:sz w:val="14"/>
        </w:rPr>
      </w:pPr>
      <w:r w:rsidRPr="00081D7D">
        <w:rPr>
          <w:rStyle w:val="FootnoteReference"/>
          <w:sz w:val="14"/>
        </w:rPr>
        <w:footnoteRef/>
      </w:r>
      <w:r w:rsidRPr="00081D7D">
        <w:rPr>
          <w:sz w:val="14"/>
        </w:rPr>
        <w:t xml:space="preserve"> Where there has been an objection, EAL will review and assess a developer-procured Mitigation Solution Report.</w:t>
      </w:r>
    </w:p>
  </w:footnote>
  <w:footnote w:id="4">
    <w:p w:rsidR="00126CEA" w:rsidRPr="00081D7D" w:rsidRDefault="00126CEA">
      <w:pPr>
        <w:pStyle w:val="FootnoteText"/>
        <w:rPr>
          <w:sz w:val="14"/>
        </w:rPr>
      </w:pPr>
      <w:r w:rsidRPr="00081D7D">
        <w:rPr>
          <w:rStyle w:val="FootnoteReference"/>
          <w:sz w:val="14"/>
        </w:rPr>
        <w:footnoteRef/>
      </w:r>
      <w:r w:rsidRPr="00081D7D">
        <w:rPr>
          <w:sz w:val="14"/>
        </w:rPr>
        <w:t xml:space="preserve">  Developers enter into an agreed fee arrangement with EAL’s external lawyer for negotiating and agreeing Mitigation Agreements.</w:t>
      </w:r>
    </w:p>
  </w:footnote>
  <w:footnote w:id="5">
    <w:p w:rsidR="00126CEA" w:rsidRPr="00081D7D" w:rsidRDefault="00126CEA">
      <w:pPr>
        <w:pStyle w:val="FootnoteText"/>
        <w:rPr>
          <w:sz w:val="14"/>
        </w:rPr>
      </w:pPr>
      <w:r w:rsidRPr="00081D7D">
        <w:rPr>
          <w:rStyle w:val="FootnoteReference"/>
          <w:sz w:val="14"/>
        </w:rPr>
        <w:footnoteRef/>
      </w:r>
      <w:r w:rsidRPr="00081D7D">
        <w:rPr>
          <w:sz w:val="14"/>
        </w:rPr>
        <w:t xml:space="preserve">  EAL’s Legal Department will spend up to 5 hours reviewing and approving Mitigation Agreements drafted by EAL’s external lawyer.  Where negotiations are more protracted EAL’s Legal Department will charge for its time.</w:t>
      </w:r>
    </w:p>
  </w:footnote>
  <w:footnote w:id="6">
    <w:p w:rsidR="00126CEA" w:rsidRPr="00081D7D" w:rsidRDefault="00126CEA" w:rsidP="00E7319B">
      <w:pPr>
        <w:pStyle w:val="FootnoteText"/>
        <w:rPr>
          <w:sz w:val="14"/>
        </w:rPr>
      </w:pPr>
      <w:r w:rsidRPr="00081D7D">
        <w:rPr>
          <w:rStyle w:val="FootnoteReference"/>
          <w:sz w:val="14"/>
        </w:rPr>
        <w:footnoteRef/>
      </w:r>
      <w:r w:rsidRPr="00081D7D">
        <w:rPr>
          <w:sz w:val="14"/>
        </w:rPr>
        <w:t xml:space="preserve"> EAL will assess the solar development for pilot glare. A report will be produced to the developer.</w:t>
      </w:r>
    </w:p>
  </w:footnote>
  <w:footnote w:id="7">
    <w:p w:rsidR="00126CEA" w:rsidRPr="00081D7D" w:rsidRDefault="00126CEA">
      <w:pPr>
        <w:pStyle w:val="FootnoteText"/>
        <w:rPr>
          <w:sz w:val="14"/>
        </w:rPr>
      </w:pPr>
      <w:r w:rsidRPr="00081D7D">
        <w:rPr>
          <w:rStyle w:val="FootnoteReference"/>
          <w:sz w:val="14"/>
        </w:rPr>
        <w:footnoteRef/>
      </w:r>
      <w:r w:rsidRPr="00081D7D">
        <w:rPr>
          <w:sz w:val="14"/>
        </w:rPr>
        <w:t xml:space="preserve">  EAL will assess the development against the Edinburgh Airport’s Safeguarding Surfaces.</w:t>
      </w:r>
    </w:p>
  </w:footnote>
  <w:footnote w:id="8">
    <w:p w:rsidR="00126CEA" w:rsidRPr="00081D7D" w:rsidRDefault="00126CEA">
      <w:pPr>
        <w:pStyle w:val="FootnoteText"/>
        <w:rPr>
          <w:sz w:val="14"/>
        </w:rPr>
      </w:pPr>
      <w:r w:rsidRPr="00081D7D">
        <w:rPr>
          <w:rStyle w:val="FootnoteReference"/>
          <w:sz w:val="14"/>
        </w:rPr>
        <w:footnoteRef/>
      </w:r>
      <w:r w:rsidRPr="00081D7D">
        <w:rPr>
          <w:sz w:val="14"/>
        </w:rPr>
        <w:t xml:space="preserve"> EAL will assess the crane and issue a NOTAM to NATS and produce a permit for the operator within 72 hours</w:t>
      </w:r>
      <w:r w:rsidR="003E0070">
        <w:rPr>
          <w:sz w:val="14"/>
        </w:rPr>
        <w:t xml:space="preserve"> (a one off payment per request, covering LVP)</w:t>
      </w:r>
      <w:r w:rsidR="003E0070" w:rsidRPr="00081D7D">
        <w:rPr>
          <w:sz w:val="14"/>
        </w:rPr>
        <w:t>.</w:t>
      </w:r>
    </w:p>
  </w:footnote>
  <w:footnote w:id="9">
    <w:p w:rsidR="00126CEA" w:rsidRPr="00081D7D" w:rsidRDefault="00126CEA">
      <w:pPr>
        <w:pStyle w:val="FootnoteText"/>
        <w:rPr>
          <w:sz w:val="14"/>
        </w:rPr>
      </w:pPr>
      <w:r w:rsidRPr="00081D7D">
        <w:rPr>
          <w:rStyle w:val="FootnoteReference"/>
          <w:sz w:val="14"/>
        </w:rPr>
        <w:footnoteRef/>
      </w:r>
      <w:r w:rsidRPr="00081D7D">
        <w:rPr>
          <w:sz w:val="14"/>
        </w:rPr>
        <w:t xml:space="preserve"> EAL will assess the crane and issue a NOTAM to NATS and produce a permit f</w:t>
      </w:r>
      <w:r w:rsidR="003E0070">
        <w:rPr>
          <w:sz w:val="14"/>
        </w:rPr>
        <w:t>or the operator within 48 hours (a one off payment per request, covering LVP)</w:t>
      </w:r>
      <w:r w:rsidR="003E0070" w:rsidRPr="00081D7D">
        <w:rPr>
          <w:sz w:val="14"/>
        </w:rPr>
        <w:t>.</w:t>
      </w:r>
    </w:p>
  </w:footnote>
  <w:footnote w:id="10">
    <w:p w:rsidR="00126CEA" w:rsidRPr="00081D7D" w:rsidRDefault="00126CEA">
      <w:pPr>
        <w:pStyle w:val="FootnoteText"/>
        <w:rPr>
          <w:sz w:val="18"/>
        </w:rPr>
      </w:pPr>
      <w:r w:rsidRPr="00081D7D">
        <w:rPr>
          <w:rStyle w:val="FootnoteReference"/>
          <w:sz w:val="14"/>
        </w:rPr>
        <w:footnoteRef/>
      </w:r>
      <w:r w:rsidRPr="00081D7D">
        <w:rPr>
          <w:sz w:val="14"/>
        </w:rPr>
        <w:t xml:space="preserve"> EAL will assess the crane and issue a NOTAM to NATS and produce a permit for the operator within 24 hours</w:t>
      </w:r>
      <w:r w:rsidR="003E0070">
        <w:rPr>
          <w:sz w:val="14"/>
        </w:rPr>
        <w:t xml:space="preserve"> (a one off payment per request, covering LVP)</w:t>
      </w:r>
      <w:r w:rsidRPr="00081D7D">
        <w:rPr>
          <w:sz w:val="14"/>
        </w:rPr>
        <w:t>.</w:t>
      </w:r>
    </w:p>
  </w:footnote>
  <w:footnote w:id="11">
    <w:p w:rsidR="00126CEA" w:rsidRDefault="00126CEA">
      <w:pPr>
        <w:pStyle w:val="FootnoteText"/>
        <w:rPr>
          <w:sz w:val="14"/>
        </w:rPr>
      </w:pPr>
      <w:r w:rsidRPr="00081D7D">
        <w:rPr>
          <w:rStyle w:val="FootnoteReference"/>
          <w:sz w:val="18"/>
        </w:rPr>
        <w:footnoteRef/>
      </w:r>
      <w:r w:rsidRPr="00081D7D">
        <w:rPr>
          <w:sz w:val="14"/>
        </w:rPr>
        <w:t>EAL will fine a crane operator that are operating without an EAL permit and/or does not comply with EAL’s Low Visibility Procedures.</w:t>
      </w:r>
    </w:p>
    <w:p w:rsidR="000E560E" w:rsidRDefault="000E560E">
      <w:pPr>
        <w:pStyle w:val="FootnoteText"/>
      </w:pPr>
      <w:r w:rsidRPr="00A73F83">
        <w:rPr>
          <w:color w:val="FF0000"/>
          <w:sz w:val="14"/>
        </w:rPr>
        <w:t xml:space="preserve">Fees for this service are published annually by EAL and are available on our website or on request. Fee quoted exclude VAT which is payable to the client. </w:t>
      </w:r>
      <w:r w:rsidRPr="00A73F83">
        <w:rPr>
          <w:color w:val="FF0000"/>
          <w:sz w:val="14"/>
        </w:rPr>
        <w:t xml:space="preserve">Fees must be paid in full and payment terms are strictly 14 days from date of </w:t>
      </w:r>
      <w:r w:rsidR="00A73F83" w:rsidRPr="00A73F83">
        <w:rPr>
          <w:color w:val="FF0000"/>
          <w:sz w:val="14"/>
        </w:rPr>
        <w:t>invoice</w:t>
      </w:r>
      <w:r w:rsidRPr="00A73F83">
        <w:rPr>
          <w:color w:val="FF0000"/>
          <w:sz w:val="14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A" w:rsidRDefault="00126CEA">
    <w:pPr>
      <w:pStyle w:val="Header"/>
    </w:pPr>
    <w:r>
      <w:rPr>
        <w:rFonts w:ascii="Times New Roman" w:hAnsi="Times New Roman" w:cs="Times New Roman"/>
        <w:b/>
        <w:noProof/>
        <w:sz w:val="72"/>
        <w:lang w:eastAsia="en-GB"/>
      </w:rPr>
      <w:drawing>
        <wp:anchor distT="0" distB="0" distL="114300" distR="114300" simplePos="0" relativeHeight="251659264" behindDoc="0" locked="0" layoutInCell="1" allowOverlap="1" wp14:anchorId="3D83143C" wp14:editId="68AC133E">
          <wp:simplePos x="0" y="0"/>
          <wp:positionH relativeFrom="column">
            <wp:posOffset>4697730</wp:posOffset>
          </wp:positionH>
          <wp:positionV relativeFrom="paragraph">
            <wp:posOffset>-308041</wp:posOffset>
          </wp:positionV>
          <wp:extent cx="1576552" cy="5764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552" cy="57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78"/>
    <w:rsid w:val="00081D7D"/>
    <w:rsid w:val="000A40FF"/>
    <w:rsid w:val="000E560E"/>
    <w:rsid w:val="00126CEA"/>
    <w:rsid w:val="001E4AA5"/>
    <w:rsid w:val="00200E6B"/>
    <w:rsid w:val="003B48E1"/>
    <w:rsid w:val="003E0070"/>
    <w:rsid w:val="00416060"/>
    <w:rsid w:val="0057455D"/>
    <w:rsid w:val="00734980"/>
    <w:rsid w:val="00A5214B"/>
    <w:rsid w:val="00A73F83"/>
    <w:rsid w:val="00A8793D"/>
    <w:rsid w:val="00AF39EB"/>
    <w:rsid w:val="00C00766"/>
    <w:rsid w:val="00CC067C"/>
    <w:rsid w:val="00D51378"/>
    <w:rsid w:val="00DF1FD7"/>
    <w:rsid w:val="00E61B03"/>
    <w:rsid w:val="00E65BC9"/>
    <w:rsid w:val="00E7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513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3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137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73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9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31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31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31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D7D"/>
  </w:style>
  <w:style w:type="paragraph" w:styleId="Footer">
    <w:name w:val="footer"/>
    <w:basedOn w:val="Normal"/>
    <w:link w:val="FooterChar"/>
    <w:uiPriority w:val="99"/>
    <w:unhideWhenUsed/>
    <w:rsid w:val="0008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513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3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137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73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9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31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31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31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D7D"/>
  </w:style>
  <w:style w:type="paragraph" w:styleId="Footer">
    <w:name w:val="footer"/>
    <w:basedOn w:val="Normal"/>
    <w:link w:val="FooterChar"/>
    <w:uiPriority w:val="99"/>
    <w:unhideWhenUsed/>
    <w:rsid w:val="0008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E335-7117-40E1-B536-5301951C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D1252D17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Airport Limited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Swan</dc:creator>
  <cp:lastModifiedBy>Nyree Bell</cp:lastModifiedBy>
  <cp:revision>3</cp:revision>
  <cp:lastPrinted>2016-04-19T11:44:00Z</cp:lastPrinted>
  <dcterms:created xsi:type="dcterms:W3CDTF">2016-09-27T11:13:00Z</dcterms:created>
  <dcterms:modified xsi:type="dcterms:W3CDTF">2016-09-27T11:13:00Z</dcterms:modified>
</cp:coreProperties>
</file>