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CC1D" w14:textId="46A689A7" w:rsidR="007853D8" w:rsidRDefault="00803332" w:rsidP="00C11415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lang w:val="en-GB"/>
        </w:rPr>
      </w:pPr>
      <w:bookmarkStart w:id="0" w:name="_Toc65597643"/>
      <w:r>
        <w:rPr>
          <w:noProof/>
        </w:rPr>
        <w:drawing>
          <wp:anchor distT="0" distB="0" distL="114300" distR="114300" simplePos="0" relativeHeight="251658240" behindDoc="1" locked="0" layoutInCell="1" allowOverlap="1" wp14:anchorId="097B03D8" wp14:editId="37F959C3">
            <wp:simplePos x="0" y="0"/>
            <wp:positionH relativeFrom="page">
              <wp:posOffset>-9525</wp:posOffset>
            </wp:positionH>
            <wp:positionV relativeFrom="paragraph">
              <wp:posOffset>-920349</wp:posOffset>
            </wp:positionV>
            <wp:extent cx="7772399" cy="10058399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khuu\AppData\Local\Microsoft\Windows\INetCache\Content.MSO\AE29A768.t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50FADC7" w14:textId="468A12F5" w:rsidR="007853D8" w:rsidRDefault="00C57CDC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7BBC21" wp14:editId="09865243">
                <wp:simplePos x="0" y="0"/>
                <wp:positionH relativeFrom="margin">
                  <wp:align>left</wp:align>
                </wp:positionH>
                <wp:positionV relativeFrom="paragraph">
                  <wp:posOffset>432535</wp:posOffset>
                </wp:positionV>
                <wp:extent cx="6352674" cy="233680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674" cy="233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487A9" w14:textId="11A91640" w:rsidR="00233018" w:rsidRPr="0071684C" w:rsidRDefault="00233018" w:rsidP="00233018">
                            <w:pPr>
                              <w:spacing w:after="120" w:line="216" w:lineRule="auto"/>
                              <w:rPr>
                                <w:rFonts w:ascii="Bahnschrift" w:hAnsi="Bahnschrift" w:cstheme="majorHAnsi"/>
                                <w:bCs/>
                                <w:color w:val="E7E6E6" w:themeColor="background2"/>
                                <w:spacing w:val="-30"/>
                                <w:sz w:val="52"/>
                                <w:szCs w:val="52"/>
                              </w:rPr>
                            </w:pPr>
                            <w:r w:rsidRPr="0071684C">
                              <w:rPr>
                                <w:rFonts w:ascii="Bahnschrift" w:hAnsi="Bahnschrift" w:cstheme="majorHAnsi"/>
                                <w:bCs/>
                                <w:color w:val="E7E6E6" w:themeColor="background2"/>
                                <w:spacing w:val="-30"/>
                                <w:sz w:val="52"/>
                                <w:szCs w:val="52"/>
                              </w:rPr>
                              <w:t xml:space="preserve">Appendix </w:t>
                            </w:r>
                            <w:r w:rsidR="002D083B">
                              <w:rPr>
                                <w:rFonts w:ascii="Bahnschrift" w:hAnsi="Bahnschrift" w:cstheme="majorHAnsi"/>
                                <w:bCs/>
                                <w:color w:val="E7E6E6" w:themeColor="background2"/>
                                <w:spacing w:val="-30"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  <w:p w14:paraId="1FA25F35" w14:textId="77777777" w:rsidR="003B0A9A" w:rsidRDefault="00845348" w:rsidP="00233018">
                            <w:pPr>
                              <w:spacing w:after="120" w:line="216" w:lineRule="auto"/>
                              <w:rPr>
                                <w:rFonts w:ascii="Bahnschrift" w:hAnsi="Bahnschrift" w:cstheme="majorHAnsi"/>
                                <w:b/>
                                <w:color w:val="E7E6E6" w:themeColor="background2"/>
                                <w:spacing w:val="-3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ahnschrift" w:hAnsi="Bahnschrift" w:cstheme="majorHAnsi"/>
                                <w:b/>
                                <w:color w:val="E7E6E6" w:themeColor="background2"/>
                                <w:spacing w:val="-30"/>
                                <w:sz w:val="120"/>
                                <w:szCs w:val="120"/>
                              </w:rPr>
                              <w:t>BTA</w:t>
                            </w:r>
                            <w:r w:rsidR="00233018" w:rsidRPr="0071684C">
                              <w:rPr>
                                <w:rFonts w:ascii="Bahnschrift" w:hAnsi="Bahnschrift" w:cstheme="majorHAnsi"/>
                                <w:b/>
                                <w:color w:val="E7E6E6" w:themeColor="background2"/>
                                <w:spacing w:val="-30"/>
                                <w:sz w:val="120"/>
                                <w:szCs w:val="120"/>
                              </w:rPr>
                              <w:t xml:space="preserve"> Form</w:t>
                            </w:r>
                          </w:p>
                          <w:p w14:paraId="68B54CB0" w14:textId="6129E77C" w:rsidR="00233018" w:rsidRPr="0071684C" w:rsidRDefault="00233018" w:rsidP="00233018">
                            <w:pPr>
                              <w:spacing w:after="120" w:line="216" w:lineRule="auto"/>
                              <w:rPr>
                                <w:rFonts w:ascii="Bahnschrift" w:hAnsi="Bahnschrift" w:cstheme="majorHAnsi"/>
                                <w:b/>
                                <w:color w:val="E7E6E6" w:themeColor="background2"/>
                                <w:spacing w:val="-30"/>
                                <w:sz w:val="52"/>
                                <w:szCs w:val="52"/>
                              </w:rPr>
                            </w:pPr>
                            <w:r w:rsidRPr="0071684C">
                              <w:rPr>
                                <w:rFonts w:ascii="Bahnschrift" w:hAnsi="Bahnschrift" w:cstheme="majorHAnsi"/>
                                <w:b/>
                                <w:color w:val="E7E6E6" w:themeColor="background2"/>
                                <w:spacing w:val="-30"/>
                                <w:sz w:val="120"/>
                                <w:szCs w:val="120"/>
                              </w:rPr>
                              <w:t>Term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BBC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4.05pt;width:500.2pt;height:18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" filled="f" stroked="f">
                <v:textbox>
                  <w:txbxContent>
                    <w:p w14:paraId="616487A9" w14:textId="11A91640" w:rsidR="00233018" w:rsidRPr="0071684C" w:rsidRDefault="00233018" w:rsidP="00233018">
                      <w:pPr>
                        <w:spacing w:after="120" w:line="216" w:lineRule="auto"/>
                        <w:rPr>
                          <w:rFonts w:ascii="Bahnschrift" w:hAnsi="Bahnschrift" w:cstheme="majorHAnsi"/>
                          <w:bCs/>
                          <w:color w:val="E7E6E6" w:themeColor="background2"/>
                          <w:spacing w:val="-30"/>
                          <w:sz w:val="52"/>
                          <w:szCs w:val="52"/>
                        </w:rPr>
                      </w:pPr>
                      <w:r w:rsidRPr="0071684C">
                        <w:rPr>
                          <w:rFonts w:ascii="Bahnschrift" w:hAnsi="Bahnschrift" w:cstheme="majorHAnsi"/>
                          <w:bCs/>
                          <w:color w:val="E7E6E6" w:themeColor="background2"/>
                          <w:spacing w:val="-30"/>
                          <w:sz w:val="52"/>
                          <w:szCs w:val="52"/>
                        </w:rPr>
                        <w:t xml:space="preserve">Appendix </w:t>
                      </w:r>
                      <w:r w:rsidR="002D083B">
                        <w:rPr>
                          <w:rFonts w:ascii="Bahnschrift" w:hAnsi="Bahnschrift" w:cstheme="majorHAnsi"/>
                          <w:bCs/>
                          <w:color w:val="E7E6E6" w:themeColor="background2"/>
                          <w:spacing w:val="-30"/>
                          <w:sz w:val="52"/>
                          <w:szCs w:val="52"/>
                        </w:rPr>
                        <w:t>C</w:t>
                      </w:r>
                    </w:p>
                    <w:p w14:paraId="1FA25F35" w14:textId="77777777" w:rsidR="003B0A9A" w:rsidRDefault="00845348" w:rsidP="00233018">
                      <w:pPr>
                        <w:spacing w:after="120" w:line="216" w:lineRule="auto"/>
                        <w:rPr>
                          <w:rFonts w:ascii="Bahnschrift" w:hAnsi="Bahnschrift" w:cstheme="majorHAnsi"/>
                          <w:b/>
                          <w:color w:val="E7E6E6" w:themeColor="background2"/>
                          <w:spacing w:val="-30"/>
                          <w:sz w:val="120"/>
                          <w:szCs w:val="120"/>
                        </w:rPr>
                      </w:pPr>
                      <w:r>
                        <w:rPr>
                          <w:rFonts w:ascii="Bahnschrift" w:hAnsi="Bahnschrift" w:cstheme="majorHAnsi"/>
                          <w:b/>
                          <w:color w:val="E7E6E6" w:themeColor="background2"/>
                          <w:spacing w:val="-30"/>
                          <w:sz w:val="120"/>
                          <w:szCs w:val="120"/>
                        </w:rPr>
                        <w:t>BTA</w:t>
                      </w:r>
                      <w:r w:rsidR="00233018" w:rsidRPr="0071684C">
                        <w:rPr>
                          <w:rFonts w:ascii="Bahnschrift" w:hAnsi="Bahnschrift" w:cstheme="majorHAnsi"/>
                          <w:b/>
                          <w:color w:val="E7E6E6" w:themeColor="background2"/>
                          <w:spacing w:val="-30"/>
                          <w:sz w:val="120"/>
                          <w:szCs w:val="120"/>
                        </w:rPr>
                        <w:t xml:space="preserve"> Form</w:t>
                      </w:r>
                    </w:p>
                    <w:p w14:paraId="68B54CB0" w14:textId="6129E77C" w:rsidR="00233018" w:rsidRPr="0071684C" w:rsidRDefault="00233018" w:rsidP="00233018">
                      <w:pPr>
                        <w:spacing w:after="120" w:line="216" w:lineRule="auto"/>
                        <w:rPr>
                          <w:rFonts w:ascii="Bahnschrift" w:hAnsi="Bahnschrift" w:cstheme="majorHAnsi"/>
                          <w:b/>
                          <w:color w:val="E7E6E6" w:themeColor="background2"/>
                          <w:spacing w:val="-30"/>
                          <w:sz w:val="52"/>
                          <w:szCs w:val="52"/>
                        </w:rPr>
                      </w:pPr>
                      <w:r w:rsidRPr="0071684C">
                        <w:rPr>
                          <w:rFonts w:ascii="Bahnschrift" w:hAnsi="Bahnschrift" w:cstheme="majorHAnsi"/>
                          <w:b/>
                          <w:color w:val="E7E6E6" w:themeColor="background2"/>
                          <w:spacing w:val="-30"/>
                          <w:sz w:val="120"/>
                          <w:szCs w:val="120"/>
                        </w:rPr>
                        <w:t>Term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AC" w:rsidRPr="00803332">
        <w:rPr>
          <w:rFonts w:ascii="Avenir Next LT Pro" w:eastAsia="Times New Roman" w:hAnsi="Avenir Next LT Pro"/>
          <w:noProof/>
          <w:color w:val="2B4159"/>
          <w:kern w:val="28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B43B1B" wp14:editId="69A2EC5E">
                <wp:simplePos x="0" y="0"/>
                <wp:positionH relativeFrom="margin">
                  <wp:posOffset>-401320</wp:posOffset>
                </wp:positionH>
                <wp:positionV relativeFrom="paragraph">
                  <wp:posOffset>5896066</wp:posOffset>
                </wp:positionV>
                <wp:extent cx="6746240" cy="1552649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1552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BE376" w14:textId="005A9095" w:rsidR="00803332" w:rsidRDefault="00803332" w:rsidP="00803332">
                            <w:pPr>
                              <w:spacing w:after="120" w:line="216" w:lineRule="auto"/>
                              <w:rPr>
                                <w:rFonts w:ascii="Bahnschrift" w:hAnsi="Bahnschrift" w:cs="Bahnschrift"/>
                                <w:b/>
                                <w:color w:val="FFFEF0"/>
                                <w:spacing w:val="-30"/>
                                <w:sz w:val="72"/>
                                <w:szCs w:val="72"/>
                              </w:rPr>
                            </w:pPr>
                            <w:r w:rsidRPr="00803332">
                              <w:rPr>
                                <w:rFonts w:ascii="Bahnschrift" w:hAnsi="Bahnschrift" w:cs="Bahnschrift"/>
                                <w:b/>
                                <w:color w:val="FFFEF0"/>
                                <w:spacing w:val="-30"/>
                                <w:sz w:val="72"/>
                                <w:szCs w:val="72"/>
                              </w:rPr>
                              <w:t>202</w:t>
                            </w:r>
                            <w:r w:rsidR="000046A0">
                              <w:rPr>
                                <w:rFonts w:ascii="Bahnschrift" w:hAnsi="Bahnschrift" w:cs="Bahnschrift"/>
                                <w:b/>
                                <w:color w:val="FFFEF0"/>
                                <w:spacing w:val="-30"/>
                                <w:sz w:val="72"/>
                                <w:szCs w:val="72"/>
                              </w:rPr>
                              <w:t>5</w:t>
                            </w:r>
                            <w:r w:rsidRPr="00803332">
                              <w:rPr>
                                <w:rFonts w:ascii="Bahnschrift" w:hAnsi="Bahnschrift" w:cs="Bahnschrift"/>
                                <w:b/>
                                <w:color w:val="FFFEF0"/>
                                <w:spacing w:val="-30"/>
                                <w:sz w:val="72"/>
                                <w:szCs w:val="72"/>
                              </w:rPr>
                              <w:t xml:space="preserve"> All-Source RFP</w:t>
                            </w:r>
                          </w:p>
                          <w:p w14:paraId="1B126811" w14:textId="2CE35871" w:rsidR="006B44BB" w:rsidRPr="009D2FCF" w:rsidRDefault="006B44BB" w:rsidP="006B44BB">
                            <w:pPr>
                              <w:spacing w:line="228" w:lineRule="auto"/>
                              <w:rPr>
                                <w:rFonts w:ascii="Bahnschrift" w:hAnsi="Bahnschrift" w:cs="Bahnschrift"/>
                                <w:iCs/>
                                <w:color w:val="FFFEF0"/>
                                <w:spacing w:val="-6"/>
                                <w:sz w:val="32"/>
                                <w:szCs w:val="40"/>
                              </w:rPr>
                            </w:pPr>
                            <w:bookmarkStart w:id="1" w:name="_Hlk204763769"/>
                            <w:r>
                              <w:rPr>
                                <w:rFonts w:ascii="Bahnschrift" w:hAnsi="Bahnschrift" w:cs="Bahnschrift"/>
                                <w:iCs/>
                                <w:color w:val="FFFEF0"/>
                                <w:spacing w:val="-6"/>
                                <w:sz w:val="32"/>
                                <w:szCs w:val="40"/>
                              </w:rPr>
                              <w:t>Issued July 3</w:t>
                            </w:r>
                            <w:r w:rsidR="0080245F">
                              <w:rPr>
                                <w:rFonts w:ascii="Bahnschrift" w:hAnsi="Bahnschrift" w:cs="Bahnschrift"/>
                                <w:iCs/>
                                <w:color w:val="FFFEF0"/>
                                <w:spacing w:val="-6"/>
                                <w:sz w:val="32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Bahnschrift" w:hAnsi="Bahnschrift" w:cs="Bahnschrift"/>
                                <w:iCs/>
                                <w:color w:val="FFFEF0"/>
                                <w:spacing w:val="-6"/>
                                <w:sz w:val="32"/>
                                <w:szCs w:val="40"/>
                              </w:rPr>
                              <w:t>, 2025</w:t>
                            </w:r>
                          </w:p>
                          <w:bookmarkEnd w:id="1"/>
                          <w:p w14:paraId="17F131DB" w14:textId="77777777" w:rsidR="006B44BB" w:rsidRPr="006B44BB" w:rsidRDefault="006B44BB" w:rsidP="00803332">
                            <w:pPr>
                              <w:spacing w:after="120" w:line="216" w:lineRule="auto"/>
                              <w:rPr>
                                <w:rFonts w:ascii="Bahnschrift" w:hAnsi="Bahnschrift" w:cs="Bahnschrift"/>
                                <w:bCs/>
                                <w:color w:val="FFFEF0"/>
                                <w:spacing w:val="-30"/>
                                <w:sz w:val="32"/>
                                <w:szCs w:val="32"/>
                              </w:rPr>
                            </w:pPr>
                          </w:p>
                          <w:p w14:paraId="6A021CED" w14:textId="77777777" w:rsidR="00803332" w:rsidRPr="00803332" w:rsidRDefault="00803332" w:rsidP="00803332">
                            <w:pPr>
                              <w:spacing w:line="228" w:lineRule="auto"/>
                              <w:rPr>
                                <w:rFonts w:ascii="Bahnschrift" w:hAnsi="Bahnschrift" w:cs="Bahnschrift"/>
                                <w:i/>
                                <w:color w:val="FFFEF0"/>
                                <w:spacing w:val="-6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3B1B" id="Text Box 307" o:spid="_x0000_s1027" type="#_x0000_t202" style="position:absolute;margin-left:-31.6pt;margin-top:464.25pt;width:531.2pt;height:122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" filled="f" stroked="f">
                <v:textbox>
                  <w:txbxContent>
                    <w:p w14:paraId="746BE376" w14:textId="005A9095" w:rsidR="00803332" w:rsidRDefault="00803332" w:rsidP="00803332">
                      <w:pPr>
                        <w:spacing w:after="120" w:line="216" w:lineRule="auto"/>
                        <w:rPr>
                          <w:rFonts w:ascii="Bahnschrift" w:hAnsi="Bahnschrift" w:cs="Bahnschrift"/>
                          <w:b/>
                          <w:color w:val="FFFEF0"/>
                          <w:spacing w:val="-30"/>
                          <w:sz w:val="72"/>
                          <w:szCs w:val="72"/>
                        </w:rPr>
                      </w:pPr>
                      <w:r w:rsidRPr="00803332">
                        <w:rPr>
                          <w:rFonts w:ascii="Bahnschrift" w:hAnsi="Bahnschrift" w:cs="Bahnschrift"/>
                          <w:b/>
                          <w:color w:val="FFFEF0"/>
                          <w:spacing w:val="-30"/>
                          <w:sz w:val="72"/>
                          <w:szCs w:val="72"/>
                        </w:rPr>
                        <w:t>202</w:t>
                      </w:r>
                      <w:r w:rsidR="000046A0">
                        <w:rPr>
                          <w:rFonts w:ascii="Bahnschrift" w:hAnsi="Bahnschrift" w:cs="Bahnschrift"/>
                          <w:b/>
                          <w:color w:val="FFFEF0"/>
                          <w:spacing w:val="-30"/>
                          <w:sz w:val="72"/>
                          <w:szCs w:val="72"/>
                        </w:rPr>
                        <w:t>5</w:t>
                      </w:r>
                      <w:r w:rsidRPr="00803332">
                        <w:rPr>
                          <w:rFonts w:ascii="Bahnschrift" w:hAnsi="Bahnschrift" w:cs="Bahnschrift"/>
                          <w:b/>
                          <w:color w:val="FFFEF0"/>
                          <w:spacing w:val="-30"/>
                          <w:sz w:val="72"/>
                          <w:szCs w:val="72"/>
                        </w:rPr>
                        <w:t xml:space="preserve"> All-Source RFP</w:t>
                      </w:r>
                    </w:p>
                    <w:p w14:paraId="1B126811" w14:textId="2CE35871" w:rsidR="006B44BB" w:rsidRPr="009D2FCF" w:rsidRDefault="006B44BB" w:rsidP="006B44BB">
                      <w:pPr>
                        <w:spacing w:line="228" w:lineRule="auto"/>
                        <w:rPr>
                          <w:rFonts w:ascii="Bahnschrift" w:hAnsi="Bahnschrift" w:cs="Bahnschrift"/>
                          <w:iCs/>
                          <w:color w:val="FFFEF0"/>
                          <w:spacing w:val="-6"/>
                          <w:sz w:val="32"/>
                          <w:szCs w:val="40"/>
                        </w:rPr>
                      </w:pPr>
                      <w:bookmarkStart w:id="2" w:name="_Hlk204763769"/>
                      <w:r>
                        <w:rPr>
                          <w:rFonts w:ascii="Bahnschrift" w:hAnsi="Bahnschrift" w:cs="Bahnschrift"/>
                          <w:iCs/>
                          <w:color w:val="FFFEF0"/>
                          <w:spacing w:val="-6"/>
                          <w:sz w:val="32"/>
                          <w:szCs w:val="40"/>
                        </w:rPr>
                        <w:t>Issued July 3</w:t>
                      </w:r>
                      <w:r w:rsidR="0080245F">
                        <w:rPr>
                          <w:rFonts w:ascii="Bahnschrift" w:hAnsi="Bahnschrift" w:cs="Bahnschrift"/>
                          <w:iCs/>
                          <w:color w:val="FFFEF0"/>
                          <w:spacing w:val="-6"/>
                          <w:sz w:val="32"/>
                          <w:szCs w:val="40"/>
                        </w:rPr>
                        <w:t>1</w:t>
                      </w:r>
                      <w:r>
                        <w:rPr>
                          <w:rFonts w:ascii="Bahnschrift" w:hAnsi="Bahnschrift" w:cs="Bahnschrift"/>
                          <w:iCs/>
                          <w:color w:val="FFFEF0"/>
                          <w:spacing w:val="-6"/>
                          <w:sz w:val="32"/>
                          <w:szCs w:val="40"/>
                        </w:rPr>
                        <w:t>, 2025</w:t>
                      </w:r>
                    </w:p>
                    <w:bookmarkEnd w:id="2"/>
                    <w:p w14:paraId="17F131DB" w14:textId="77777777" w:rsidR="006B44BB" w:rsidRPr="006B44BB" w:rsidRDefault="006B44BB" w:rsidP="00803332">
                      <w:pPr>
                        <w:spacing w:after="120" w:line="216" w:lineRule="auto"/>
                        <w:rPr>
                          <w:rFonts w:ascii="Bahnschrift" w:hAnsi="Bahnschrift" w:cs="Bahnschrift"/>
                          <w:bCs/>
                          <w:color w:val="FFFEF0"/>
                          <w:spacing w:val="-30"/>
                          <w:sz w:val="32"/>
                          <w:szCs w:val="32"/>
                        </w:rPr>
                      </w:pPr>
                    </w:p>
                    <w:p w14:paraId="6A021CED" w14:textId="77777777" w:rsidR="00803332" w:rsidRPr="00803332" w:rsidRDefault="00803332" w:rsidP="00803332">
                      <w:pPr>
                        <w:spacing w:line="228" w:lineRule="auto"/>
                        <w:rPr>
                          <w:rFonts w:ascii="Bahnschrift" w:hAnsi="Bahnschrift" w:cs="Bahnschrift"/>
                          <w:i/>
                          <w:color w:val="FFFEF0"/>
                          <w:spacing w:val="-6"/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3D8">
        <w:rPr>
          <w:rFonts w:ascii="Times New Roman" w:eastAsia="Times New Roman" w:hAnsi="Times New Roman"/>
          <w:bCs/>
          <w:i/>
          <w:iCs/>
          <w:color w:val="000000"/>
          <w:lang w:val="en-GB"/>
        </w:rPr>
        <w:br w:type="page"/>
      </w:r>
    </w:p>
    <w:p w14:paraId="3FE3DF81" w14:textId="05045EC4" w:rsidR="0040445A" w:rsidRPr="00322693" w:rsidRDefault="0040445A" w:rsidP="00C11415">
      <w:pPr>
        <w:spacing w:after="0" w:line="240" w:lineRule="auto"/>
        <w:jc w:val="both"/>
        <w:rPr>
          <w:rFonts w:ascii="Avenir Next LT Pro" w:eastAsia="Times New Roman" w:hAnsi="Avenir Next LT Pro"/>
          <w:bCs/>
          <w:i/>
          <w:iCs/>
          <w:color w:val="000000"/>
          <w:lang w:val="en-GB"/>
        </w:rPr>
      </w:pPr>
      <w:r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lastRenderedPageBreak/>
        <w:t xml:space="preserve">Note: The following represents a summary of </w:t>
      </w:r>
      <w:r w:rsidR="00670920"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certain </w:t>
      </w:r>
      <w:r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material terms and conditions for </w:t>
      </w:r>
      <w:r w:rsidR="00544916"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B</w:t>
      </w:r>
      <w:r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idders</w:t>
      </w:r>
      <w:r w:rsidR="00670920"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 to 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PGE’s 202</w:t>
      </w:r>
      <w:r w:rsidR="000F0BCE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5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 All-Source RFP</w:t>
      </w:r>
      <w:r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 </w:t>
      </w:r>
      <w:r w:rsidR="000D5E1D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(RFP) 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seeking to execute</w:t>
      </w:r>
      <w:r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 a </w:t>
      </w:r>
      <w:r w:rsidR="00845348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Build Transfer Agreement</w:t>
      </w:r>
      <w:r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 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(</w:t>
      </w:r>
      <w:r w:rsidR="00845348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BTA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) </w:t>
      </w:r>
      <w:r w:rsidR="000F0BCE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t</w:t>
      </w:r>
      <w:r w:rsidR="000F0BCE" w:rsidRPr="000F0BCE">
        <w:rPr>
          <w:rStyle w:val="normaltextrun"/>
          <w:rFonts w:ascii="Avenir Next LT Pro" w:hAnsi="Avenir Next LT Pro"/>
          <w:i/>
          <w:iCs/>
          <w:color w:val="000000"/>
          <w:shd w:val="clear" w:color="auto" w:fill="FFFFFF"/>
        </w:rPr>
        <w:t>hat are in addition to the Minimum Bidder Requirements set forth in the RFP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. The following is not an exhaustive list of all material terms, nor does it purport to comprehensively express PGE’s expectations for any of the terms </w:t>
      </w:r>
      <w:r w:rsidR="000F0BCE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set forth in this term sheet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. Full-form, definitive terms </w:t>
      </w:r>
      <w:r w:rsidR="00D25F09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are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 set </w:t>
      </w:r>
      <w:r w:rsidR="000D5E1D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forth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 in PGE’s form </w:t>
      </w:r>
      <w:r w:rsidR="00494C25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BTA</w:t>
      </w:r>
      <w:r w:rsidR="00670920" w:rsidRPr="000C7071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 issued </w:t>
      </w:r>
      <w:r w:rsidR="00670920"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in connection with </w:t>
      </w:r>
      <w:r w:rsidR="000D5E1D"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the</w:t>
      </w:r>
      <w:r w:rsidR="00670920"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 xml:space="preserve"> RF</w:t>
      </w:r>
      <w:r w:rsidR="000D5E1D"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P</w:t>
      </w:r>
      <w:r w:rsidR="00670920" w:rsidRPr="00322693">
        <w:rPr>
          <w:rFonts w:ascii="Avenir Next LT Pro" w:eastAsia="Times New Roman" w:hAnsi="Avenir Next LT Pro"/>
          <w:bCs/>
          <w:i/>
          <w:iCs/>
          <w:color w:val="000000"/>
          <w:lang w:val="en-GB"/>
        </w:rPr>
        <w:t>.</w:t>
      </w:r>
    </w:p>
    <w:p w14:paraId="240238E6" w14:textId="77777777" w:rsidR="0040445A" w:rsidRPr="00192BCA" w:rsidRDefault="0040445A" w:rsidP="005404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en-GB"/>
        </w:rPr>
      </w:pPr>
    </w:p>
    <w:p w14:paraId="2DF32CB5" w14:textId="77777777" w:rsidR="0054047D" w:rsidRPr="00192BCA" w:rsidRDefault="0054047D" w:rsidP="005404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en-GB"/>
        </w:rPr>
      </w:pPr>
    </w:p>
    <w:tbl>
      <w:tblPr>
        <w:tblW w:w="94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732"/>
      </w:tblGrid>
      <w:tr w:rsidR="000D5E1D" w:rsidRPr="000F0BCE" w14:paraId="1C253A76" w14:textId="77777777" w:rsidTr="611E86B2">
        <w:tc>
          <w:tcPr>
            <w:tcW w:w="2690" w:type="dxa"/>
            <w:shd w:val="clear" w:color="auto" w:fill="auto"/>
          </w:tcPr>
          <w:p w14:paraId="23C8F317" w14:textId="79242A28" w:rsidR="000D5E1D" w:rsidRPr="00322693" w:rsidRDefault="00FB2F7D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Seller</w:t>
            </w:r>
          </w:p>
        </w:tc>
        <w:tc>
          <w:tcPr>
            <w:tcW w:w="6732" w:type="dxa"/>
          </w:tcPr>
          <w:p w14:paraId="6F229118" w14:textId="697012B7" w:rsidR="000D5E1D" w:rsidRPr="00322693" w:rsidRDefault="00FB2F7D" w:rsidP="00733C82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[Name of Seller]</w:t>
            </w:r>
          </w:p>
        </w:tc>
      </w:tr>
      <w:tr w:rsidR="0054047D" w:rsidRPr="000F0BCE" w14:paraId="19484A8D" w14:textId="77777777" w:rsidTr="611E86B2">
        <w:tc>
          <w:tcPr>
            <w:tcW w:w="2690" w:type="dxa"/>
            <w:shd w:val="clear" w:color="auto" w:fill="auto"/>
          </w:tcPr>
          <w:p w14:paraId="7DDC4151" w14:textId="75A2BA68" w:rsidR="0054047D" w:rsidRPr="00322693" w:rsidRDefault="00DB30EE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Buyer</w:t>
            </w:r>
          </w:p>
        </w:tc>
        <w:tc>
          <w:tcPr>
            <w:tcW w:w="6732" w:type="dxa"/>
          </w:tcPr>
          <w:p w14:paraId="05C2B28C" w14:textId="324C6AB9" w:rsidR="00794CCB" w:rsidRPr="00322693" w:rsidRDefault="00FB2F7D" w:rsidP="00192BCA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Portland General Electric Company</w:t>
            </w:r>
            <w:r w:rsidR="00EC78BD" w:rsidRPr="00322693">
              <w:rPr>
                <w:rFonts w:ascii="Avenir Next LT Pro" w:hAnsi="Avenir Next LT Pro"/>
              </w:rPr>
              <w:t xml:space="preserve">  </w:t>
            </w:r>
          </w:p>
        </w:tc>
      </w:tr>
      <w:tr w:rsidR="000D5E1D" w:rsidRPr="000F0BCE" w14:paraId="616D6C39" w14:textId="77777777" w:rsidTr="611E86B2">
        <w:tc>
          <w:tcPr>
            <w:tcW w:w="2690" w:type="dxa"/>
            <w:shd w:val="clear" w:color="auto" w:fill="auto"/>
          </w:tcPr>
          <w:p w14:paraId="62143B03" w14:textId="0FF1AD86" w:rsidR="000D5E1D" w:rsidRPr="00322693" w:rsidRDefault="000D5E1D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Project</w:t>
            </w:r>
          </w:p>
        </w:tc>
        <w:tc>
          <w:tcPr>
            <w:tcW w:w="6732" w:type="dxa"/>
          </w:tcPr>
          <w:p w14:paraId="3D28CDD6" w14:textId="381F4EEE" w:rsidR="000D5E1D" w:rsidRPr="00322693" w:rsidRDefault="000D5E1D" w:rsidP="00D7061D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 xml:space="preserve">[Description of the </w:t>
            </w:r>
            <w:r w:rsidR="00C220F4" w:rsidRPr="00322693">
              <w:rPr>
                <w:rFonts w:ascii="Avenir Next LT Pro" w:hAnsi="Avenir Next LT Pro"/>
              </w:rPr>
              <w:t>p</w:t>
            </w:r>
            <w:r w:rsidRPr="00322693">
              <w:rPr>
                <w:rFonts w:ascii="Avenir Next LT Pro" w:hAnsi="Avenir Next LT Pro"/>
              </w:rPr>
              <w:t>roject]</w:t>
            </w:r>
          </w:p>
        </w:tc>
      </w:tr>
      <w:tr w:rsidR="002A0140" w:rsidRPr="000F0BCE" w14:paraId="4910FF61" w14:textId="77777777" w:rsidTr="611E86B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6CAF" w14:textId="7E8BB971" w:rsidR="002A0140" w:rsidRPr="00322693" w:rsidRDefault="002A0140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Nameplate Capacity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C4F" w14:textId="48A6D671" w:rsidR="002A0140" w:rsidRPr="00322693" w:rsidRDefault="002A0140" w:rsidP="003627D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[____] MW</w:t>
            </w:r>
          </w:p>
        </w:tc>
      </w:tr>
      <w:tr w:rsidR="000D5E1D" w:rsidRPr="000F0BCE" w14:paraId="671B8F31" w14:textId="77777777" w:rsidTr="611E86B2">
        <w:tc>
          <w:tcPr>
            <w:tcW w:w="2690" w:type="dxa"/>
            <w:shd w:val="clear" w:color="auto" w:fill="auto"/>
          </w:tcPr>
          <w:p w14:paraId="3DDDAC9C" w14:textId="5775F517" w:rsidR="000D5E1D" w:rsidRPr="00322693" w:rsidRDefault="000D5E1D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Project Assets</w:t>
            </w:r>
          </w:p>
        </w:tc>
        <w:tc>
          <w:tcPr>
            <w:tcW w:w="6732" w:type="dxa"/>
          </w:tcPr>
          <w:p w14:paraId="7C33B7B5" w14:textId="34099437" w:rsidR="000D5E1D" w:rsidRPr="00322693" w:rsidRDefault="000D5E1D" w:rsidP="00D7061D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[List or description of Project assets]</w:t>
            </w:r>
          </w:p>
        </w:tc>
      </w:tr>
      <w:tr w:rsidR="005F0E2D" w:rsidRPr="000F0BCE" w14:paraId="4FD5B0B5" w14:textId="77777777" w:rsidTr="611E86B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B43A" w14:textId="2BC188FB" w:rsidR="009C4AE1" w:rsidRPr="00322693" w:rsidRDefault="009C4AE1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Project Site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D4E" w14:textId="18850AD4" w:rsidR="009C4AE1" w:rsidRPr="00322693" w:rsidRDefault="009C4AE1" w:rsidP="003627D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[Description and location of the Project site]</w:t>
            </w:r>
          </w:p>
        </w:tc>
      </w:tr>
      <w:tr w:rsidR="00D20BF1" w:rsidRPr="000F0BCE" w14:paraId="50FC1AB3" w14:textId="77777777" w:rsidTr="611E86B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3351" w14:textId="6AE28503" w:rsidR="00D20BF1" w:rsidRPr="00322693" w:rsidRDefault="00D20BF1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Assumed Liabilities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44C" w14:textId="06F32A7E" w:rsidR="00D20BF1" w:rsidRPr="00322693" w:rsidRDefault="00FB2F7D" w:rsidP="003627D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 xml:space="preserve">Buyer shall assume the following </w:t>
            </w:r>
            <w:r w:rsidR="00D25F09" w:rsidRPr="00322693">
              <w:rPr>
                <w:rFonts w:ascii="Avenir Next LT Pro" w:hAnsi="Avenir Next LT Pro"/>
              </w:rPr>
              <w:t xml:space="preserve">liabilities </w:t>
            </w:r>
            <w:r w:rsidRPr="00322693">
              <w:rPr>
                <w:rFonts w:ascii="Avenir Next LT Pro" w:hAnsi="Avenir Next LT Pro"/>
              </w:rPr>
              <w:t xml:space="preserve">related to the Project: </w:t>
            </w:r>
            <w:r w:rsidR="00D20BF1" w:rsidRPr="00322693">
              <w:rPr>
                <w:rFonts w:ascii="Avenir Next LT Pro" w:hAnsi="Avenir Next LT Pro"/>
              </w:rPr>
              <w:t>[</w:t>
            </w:r>
            <w:r w:rsidR="00D25F09" w:rsidRPr="00322693">
              <w:rPr>
                <w:rFonts w:ascii="Avenir Next LT Pro" w:hAnsi="Avenir Next LT Pro"/>
              </w:rPr>
              <w:t>L</w:t>
            </w:r>
            <w:r w:rsidR="00D20BF1" w:rsidRPr="00322693">
              <w:rPr>
                <w:rFonts w:ascii="Avenir Next LT Pro" w:hAnsi="Avenir Next LT Pro"/>
              </w:rPr>
              <w:t xml:space="preserve">ist of liabilities of Seller that will be assumed by </w:t>
            </w:r>
            <w:r w:rsidR="00821D8B">
              <w:rPr>
                <w:rFonts w:ascii="Avenir Next LT Pro" w:hAnsi="Avenir Next LT Pro"/>
              </w:rPr>
              <w:t>Buyer</w:t>
            </w:r>
            <w:r w:rsidR="00D20BF1" w:rsidRPr="00322693">
              <w:rPr>
                <w:rFonts w:ascii="Avenir Next LT Pro" w:hAnsi="Avenir Next LT Pro"/>
              </w:rPr>
              <w:t>]</w:t>
            </w:r>
            <w:r w:rsidR="008C0C78">
              <w:rPr>
                <w:rFonts w:ascii="Avenir Next LT Pro" w:hAnsi="Avenir Next LT Pro"/>
              </w:rPr>
              <w:t>.</w:t>
            </w:r>
            <w:r w:rsidRPr="00322693">
              <w:rPr>
                <w:rFonts w:ascii="Avenir Next LT Pro" w:hAnsi="Avenir Next LT Pro"/>
              </w:rPr>
              <w:t xml:space="preserve">  Seller shall retain all other liabilities of every kind or nature</w:t>
            </w:r>
            <w:r w:rsidR="008C0C78">
              <w:rPr>
                <w:rFonts w:ascii="Avenir Next LT Pro" w:hAnsi="Avenir Next LT Pro"/>
              </w:rPr>
              <w:t xml:space="preserve"> related to or associated with the Project</w:t>
            </w:r>
            <w:r w:rsidRPr="00322693">
              <w:rPr>
                <w:rFonts w:ascii="Avenir Next LT Pro" w:hAnsi="Avenir Next LT Pro"/>
              </w:rPr>
              <w:t xml:space="preserve">, other than the Assumed Liabilities. </w:t>
            </w:r>
          </w:p>
        </w:tc>
      </w:tr>
      <w:tr w:rsidR="0054047D" w:rsidRPr="000F0BCE" w14:paraId="6C11317E" w14:textId="77777777" w:rsidTr="611E86B2">
        <w:tc>
          <w:tcPr>
            <w:tcW w:w="2690" w:type="dxa"/>
            <w:shd w:val="clear" w:color="auto" w:fill="auto"/>
          </w:tcPr>
          <w:p w14:paraId="304AEF44" w14:textId="3158ACAF" w:rsidR="0054047D" w:rsidRPr="00322693" w:rsidRDefault="004B5CA5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Closing Date</w:t>
            </w:r>
          </w:p>
        </w:tc>
        <w:tc>
          <w:tcPr>
            <w:tcW w:w="6732" w:type="dxa"/>
          </w:tcPr>
          <w:p w14:paraId="45C9DC32" w14:textId="5AFB9448" w:rsidR="0054047D" w:rsidRPr="00322693" w:rsidRDefault="004B5CA5" w:rsidP="00322693">
            <w:pPr>
              <w:tabs>
                <w:tab w:val="left" w:pos="1956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[Closing Date]</w:t>
            </w:r>
          </w:p>
        </w:tc>
      </w:tr>
      <w:tr w:rsidR="00583ED2" w:rsidRPr="000F0BCE" w14:paraId="3D99D101" w14:textId="77777777" w:rsidTr="611E86B2">
        <w:tc>
          <w:tcPr>
            <w:tcW w:w="2690" w:type="dxa"/>
            <w:shd w:val="clear" w:color="auto" w:fill="auto"/>
          </w:tcPr>
          <w:p w14:paraId="4E578BF7" w14:textId="3E04B77A" w:rsidR="00583ED2" w:rsidRPr="00583ED2" w:rsidRDefault="00583ED2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Post-closing obligation</w:t>
            </w:r>
          </w:p>
        </w:tc>
        <w:tc>
          <w:tcPr>
            <w:tcW w:w="6732" w:type="dxa"/>
          </w:tcPr>
          <w:p w14:paraId="395F93B2" w14:textId="77777777" w:rsidR="00583ED2" w:rsidRDefault="00D77E25" w:rsidP="00D77E25">
            <w:pPr>
              <w:spacing w:after="0" w:line="240" w:lineRule="auto"/>
              <w:contextualSpacing/>
              <w:rPr>
                <w:rFonts w:ascii="Avenir Next LT Pro" w:eastAsia="Times New Roman" w:hAnsi="Avenir Next LT Pro"/>
              </w:rPr>
            </w:pPr>
            <w:r w:rsidRPr="00D77E25">
              <w:rPr>
                <w:rFonts w:ascii="Avenir Next LT Pro" w:eastAsia="Times New Roman" w:hAnsi="Avenir Next LT Pro"/>
              </w:rPr>
              <w:t>From the Closing Date through Final Completion, Seller shall perform supervision, administration, coordination, and management services necessary to cause the Project to achieve Substantial Completion and Final Completion</w:t>
            </w:r>
            <w:r>
              <w:rPr>
                <w:rFonts w:ascii="Avenir Next LT Pro" w:eastAsia="Times New Roman" w:hAnsi="Avenir Next LT Pro"/>
              </w:rPr>
              <w:t>.</w:t>
            </w:r>
          </w:p>
          <w:p w14:paraId="76F6E967" w14:textId="77777777" w:rsidR="00135CC6" w:rsidRDefault="00135CC6" w:rsidP="00135CC6">
            <w:pPr>
              <w:spacing w:after="0" w:line="240" w:lineRule="auto"/>
              <w:contextualSpacing/>
              <w:rPr>
                <w:rFonts w:ascii="Avenir Next LT Pro" w:eastAsia="Times New Roman" w:hAnsi="Avenir Next LT Pro"/>
              </w:rPr>
            </w:pPr>
          </w:p>
          <w:p w14:paraId="0FA16484" w14:textId="6D935A7E" w:rsidR="00135CC6" w:rsidRPr="00583ED2" w:rsidRDefault="00135CC6" w:rsidP="00135CC6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135CC6">
              <w:rPr>
                <w:rFonts w:ascii="Avenir Next LT Pro" w:eastAsia="Times New Roman" w:hAnsi="Avenir Next LT Pro"/>
              </w:rPr>
              <w:t xml:space="preserve">Following </w:t>
            </w:r>
            <w:r w:rsidR="000C13C3">
              <w:rPr>
                <w:rFonts w:ascii="Avenir Next LT Pro" w:eastAsia="Times New Roman" w:hAnsi="Avenir Next LT Pro"/>
              </w:rPr>
              <w:t xml:space="preserve">the </w:t>
            </w:r>
            <w:r w:rsidRPr="00135CC6">
              <w:rPr>
                <w:rFonts w:ascii="Avenir Next LT Pro" w:eastAsia="Times New Roman" w:hAnsi="Avenir Next LT Pro"/>
              </w:rPr>
              <w:t>Closing</w:t>
            </w:r>
            <w:r w:rsidR="000C13C3">
              <w:rPr>
                <w:rFonts w:ascii="Avenir Next LT Pro" w:eastAsia="Times New Roman" w:hAnsi="Avenir Next LT Pro"/>
              </w:rPr>
              <w:t xml:space="preserve"> Date</w:t>
            </w:r>
            <w:r w:rsidRPr="00135CC6">
              <w:rPr>
                <w:rFonts w:ascii="Avenir Next LT Pro" w:eastAsia="Times New Roman" w:hAnsi="Avenir Next LT Pro"/>
              </w:rPr>
              <w:t xml:space="preserve">, if Seller fails to achieve Substantial Completion by the Guaranteed Substantial Completion Date, Purchaser shall, within [x] Business Days, provide written notice to Seller if </w:t>
            </w:r>
            <w:r w:rsidR="003F4FB8">
              <w:rPr>
                <w:rFonts w:ascii="Avenir Next LT Pro" w:eastAsia="Times New Roman" w:hAnsi="Avenir Next LT Pro"/>
              </w:rPr>
              <w:t>Buyer</w:t>
            </w:r>
            <w:r w:rsidRPr="00135CC6">
              <w:rPr>
                <w:rFonts w:ascii="Avenir Next LT Pro" w:eastAsia="Times New Roman" w:hAnsi="Avenir Next LT Pro"/>
              </w:rPr>
              <w:t xml:space="preserve"> elects to exercise Buyer’s post-closing rights as outlined in the BTA.</w:t>
            </w:r>
          </w:p>
        </w:tc>
      </w:tr>
      <w:tr w:rsidR="005F0E2D" w:rsidRPr="000F0BCE" w14:paraId="146E5F20" w14:textId="6B532200" w:rsidTr="611E86B2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C5FF" w14:textId="561E8898" w:rsidR="005F0E2D" w:rsidRPr="00322693" w:rsidRDefault="005F0E2D" w:rsidP="003627D5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Purchase Price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1D8" w14:textId="7129CAB9" w:rsidR="005F0E2D" w:rsidRPr="00322693" w:rsidRDefault="005F0E2D" w:rsidP="003627D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[$______]</w:t>
            </w:r>
          </w:p>
        </w:tc>
      </w:tr>
      <w:tr w:rsidR="0054047D" w:rsidRPr="000F0BCE" w14:paraId="3998683E" w14:textId="77777777" w:rsidTr="611E86B2">
        <w:tc>
          <w:tcPr>
            <w:tcW w:w="2690" w:type="dxa"/>
            <w:shd w:val="clear" w:color="auto" w:fill="auto"/>
          </w:tcPr>
          <w:p w14:paraId="59D8D568" w14:textId="52245D19" w:rsidR="0054047D" w:rsidRPr="00322693" w:rsidRDefault="00F40DF0" w:rsidP="0071684C">
            <w:pPr>
              <w:keepNext/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Payments</w:t>
            </w:r>
          </w:p>
        </w:tc>
        <w:tc>
          <w:tcPr>
            <w:tcW w:w="6732" w:type="dxa"/>
          </w:tcPr>
          <w:p w14:paraId="6E7FD843" w14:textId="48A87901" w:rsidR="005E5499" w:rsidRPr="00322693" w:rsidRDefault="005F0E2D" w:rsidP="00192BCA">
            <w:pPr>
              <w:keepNext/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 xml:space="preserve">The </w:t>
            </w:r>
            <w:r w:rsidR="00DF426A" w:rsidRPr="00322693">
              <w:rPr>
                <w:rFonts w:ascii="Avenir Next LT Pro" w:hAnsi="Avenir Next LT Pro"/>
              </w:rPr>
              <w:t xml:space="preserve">Purchase </w:t>
            </w:r>
            <w:r w:rsidRPr="00322693">
              <w:rPr>
                <w:rFonts w:ascii="Avenir Next LT Pro" w:hAnsi="Avenir Next LT Pro"/>
              </w:rPr>
              <w:t>Price</w:t>
            </w:r>
            <w:r w:rsidR="005E5499" w:rsidRPr="00322693">
              <w:rPr>
                <w:rFonts w:ascii="Avenir Next LT Pro" w:hAnsi="Avenir Next LT Pro"/>
              </w:rPr>
              <w:t xml:space="preserve"> shall be</w:t>
            </w:r>
            <w:r w:rsidR="009531EF" w:rsidRPr="00322693">
              <w:rPr>
                <w:rFonts w:ascii="Avenir Next LT Pro" w:hAnsi="Avenir Next LT Pro"/>
              </w:rPr>
              <w:t xml:space="preserve"> paid</w:t>
            </w:r>
            <w:r w:rsidR="005E5499" w:rsidRPr="00322693">
              <w:rPr>
                <w:rFonts w:ascii="Avenir Next LT Pro" w:hAnsi="Avenir Next LT Pro"/>
              </w:rPr>
              <w:t xml:space="preserve"> on a milestone</w:t>
            </w:r>
            <w:r w:rsidR="00D918BC" w:rsidRPr="00322693">
              <w:rPr>
                <w:rFonts w:ascii="Avenir Next LT Pro" w:hAnsi="Avenir Next LT Pro"/>
              </w:rPr>
              <w:t>-</w:t>
            </w:r>
            <w:r w:rsidR="005E5499" w:rsidRPr="00322693">
              <w:rPr>
                <w:rFonts w:ascii="Avenir Next LT Pro" w:hAnsi="Avenir Next LT Pro"/>
              </w:rPr>
              <w:t>based payment schedule.  Retainage of five percent (5%) will be withheld from each milestone payment and will be released at</w:t>
            </w:r>
            <w:r w:rsidR="00362C0A" w:rsidRPr="00322693">
              <w:rPr>
                <w:rFonts w:ascii="Avenir Next LT Pro" w:hAnsi="Avenir Next LT Pro"/>
              </w:rPr>
              <w:t xml:space="preserve"> Final Completion</w:t>
            </w:r>
            <w:r w:rsidR="005E5499" w:rsidRPr="00322693">
              <w:rPr>
                <w:rFonts w:ascii="Avenir Next LT Pro" w:hAnsi="Avenir Next LT Pro"/>
              </w:rPr>
              <w:t>.</w:t>
            </w:r>
          </w:p>
        </w:tc>
      </w:tr>
      <w:tr w:rsidR="0054047D" w:rsidRPr="000F0BCE" w14:paraId="4035607F" w14:textId="77777777" w:rsidTr="611E86B2">
        <w:tc>
          <w:tcPr>
            <w:tcW w:w="2690" w:type="dxa"/>
            <w:shd w:val="clear" w:color="auto" w:fill="auto"/>
          </w:tcPr>
          <w:p w14:paraId="0F80AEAF" w14:textId="71ECB804" w:rsidR="0054047D" w:rsidRPr="00322693" w:rsidRDefault="05449781" w:rsidP="0071684C">
            <w:pPr>
              <w:tabs>
                <w:tab w:val="left" w:pos="450"/>
                <w:tab w:val="left" w:pos="612"/>
              </w:tabs>
              <w:spacing w:after="0" w:line="240" w:lineRule="auto"/>
              <w:rPr>
                <w:rFonts w:ascii="Avenir Next LT Pro" w:eastAsia="Times New Roman" w:hAnsi="Avenir Next LT Pro"/>
              </w:rPr>
            </w:pPr>
            <w:r w:rsidRPr="00322693">
              <w:rPr>
                <w:rFonts w:ascii="Avenir Next LT Pro" w:hAnsi="Avenir Next LT Pro"/>
              </w:rPr>
              <w:t>Credit Support</w:t>
            </w:r>
          </w:p>
        </w:tc>
        <w:tc>
          <w:tcPr>
            <w:tcW w:w="6732" w:type="dxa"/>
          </w:tcPr>
          <w:p w14:paraId="449B5AFD" w14:textId="63518B58" w:rsidR="00D60D58" w:rsidRPr="00322693" w:rsidRDefault="4CC4DE6C" w:rsidP="611E86B2">
            <w:pPr>
              <w:spacing w:after="0" w:line="240" w:lineRule="auto"/>
              <w:contextualSpacing/>
              <w:rPr>
                <w:rFonts w:ascii="Avenir Next LT Pro" w:eastAsia="Times New Roman" w:hAnsi="Avenir Next LT Pro"/>
              </w:rPr>
            </w:pPr>
            <w:r w:rsidRPr="611E86B2">
              <w:rPr>
                <w:rFonts w:ascii="Avenir Next LT Pro" w:eastAsia="Times New Roman" w:hAnsi="Avenir Next LT Pro"/>
              </w:rPr>
              <w:t>No later than thirty (30) days after the Effective Date</w:t>
            </w:r>
            <w:r w:rsidR="27641A70" w:rsidRPr="611E86B2">
              <w:rPr>
                <w:rFonts w:ascii="Avenir Next LT Pro" w:eastAsia="Times New Roman" w:hAnsi="Avenir Next LT Pro"/>
              </w:rPr>
              <w:t>, to secure its obligation</w:t>
            </w:r>
            <w:r w:rsidR="00F45780" w:rsidRPr="611E86B2">
              <w:rPr>
                <w:rFonts w:ascii="Avenir Next LT Pro" w:eastAsia="Times New Roman" w:hAnsi="Avenir Next LT Pro"/>
              </w:rPr>
              <w:t>s,</w:t>
            </w:r>
            <w:r w:rsidR="1661372B" w:rsidRPr="00322693">
              <w:rPr>
                <w:rFonts w:ascii="Avenir Next LT Pro" w:eastAsia="Times New Roman" w:hAnsi="Avenir Next LT Pro"/>
              </w:rPr>
              <w:t xml:space="preserve"> </w:t>
            </w:r>
            <w:r w:rsidR="00DB30EE" w:rsidRPr="00322693">
              <w:rPr>
                <w:rFonts w:ascii="Avenir Next LT Pro" w:eastAsia="Times New Roman" w:hAnsi="Avenir Next LT Pro"/>
              </w:rPr>
              <w:t>Seller</w:t>
            </w:r>
            <w:r w:rsidR="27641A70" w:rsidRPr="00322693">
              <w:rPr>
                <w:rFonts w:ascii="Avenir Next LT Pro" w:eastAsia="Times New Roman" w:hAnsi="Avenir Next LT Pro"/>
              </w:rPr>
              <w:t xml:space="preserve"> </w:t>
            </w:r>
            <w:r w:rsidR="04FEF42B" w:rsidRPr="00322693">
              <w:rPr>
                <w:rFonts w:ascii="Avenir Next LT Pro" w:eastAsia="Times New Roman" w:hAnsi="Avenir Next LT Pro"/>
              </w:rPr>
              <w:t xml:space="preserve">shall provide </w:t>
            </w:r>
            <w:r w:rsidR="00195E0E" w:rsidRPr="00322693">
              <w:rPr>
                <w:rFonts w:ascii="Avenir Next LT Pro" w:eastAsia="Times New Roman" w:hAnsi="Avenir Next LT Pro"/>
              </w:rPr>
              <w:t xml:space="preserve">performance assurance in the form of cash or a </w:t>
            </w:r>
            <w:r w:rsidR="00D86EF6" w:rsidRPr="611E86B2">
              <w:rPr>
                <w:rFonts w:ascii="Avenir Next LT Pro" w:eastAsia="Times New Roman" w:hAnsi="Avenir Next LT Pro"/>
              </w:rPr>
              <w:t>l</w:t>
            </w:r>
            <w:r w:rsidR="04FEF42B" w:rsidRPr="00322693">
              <w:rPr>
                <w:rFonts w:ascii="Avenir Next LT Pro" w:eastAsia="Times New Roman" w:hAnsi="Avenir Next LT Pro"/>
              </w:rPr>
              <w:t xml:space="preserve">etter of </w:t>
            </w:r>
            <w:r w:rsidR="00D86EF6" w:rsidRPr="611E86B2">
              <w:rPr>
                <w:rFonts w:ascii="Avenir Next LT Pro" w:eastAsia="Times New Roman" w:hAnsi="Avenir Next LT Pro"/>
              </w:rPr>
              <w:t>c</w:t>
            </w:r>
            <w:r w:rsidR="04FEF42B" w:rsidRPr="00322693">
              <w:rPr>
                <w:rFonts w:ascii="Avenir Next LT Pro" w:eastAsia="Times New Roman" w:hAnsi="Avenir Next LT Pro"/>
              </w:rPr>
              <w:t xml:space="preserve">redit from a </w:t>
            </w:r>
            <w:r w:rsidR="6C78F1A8" w:rsidRPr="00322693">
              <w:rPr>
                <w:rFonts w:ascii="Avenir Next LT Pro" w:eastAsia="Times New Roman" w:hAnsi="Avenir Next LT Pro"/>
              </w:rPr>
              <w:t>Qualified</w:t>
            </w:r>
            <w:r w:rsidR="04FEF42B" w:rsidRPr="00322693">
              <w:rPr>
                <w:rFonts w:ascii="Avenir Next LT Pro" w:eastAsia="Times New Roman" w:hAnsi="Avenir Next LT Pro"/>
              </w:rPr>
              <w:t xml:space="preserve"> Institution</w:t>
            </w:r>
            <w:r w:rsidR="00D86EF6" w:rsidRPr="611E86B2">
              <w:rPr>
                <w:rFonts w:ascii="Avenir Next LT Pro" w:eastAsia="Times New Roman" w:hAnsi="Avenir Next LT Pro"/>
              </w:rPr>
              <w:t>,</w:t>
            </w:r>
            <w:r w:rsidR="04FEF42B" w:rsidRPr="00322693">
              <w:rPr>
                <w:rFonts w:ascii="Avenir Next LT Pro" w:eastAsia="Times New Roman" w:hAnsi="Avenir Next LT Pro"/>
              </w:rPr>
              <w:t xml:space="preserve"> as defined below</w:t>
            </w:r>
            <w:r w:rsidR="00D86EF6" w:rsidRPr="611E86B2">
              <w:rPr>
                <w:rFonts w:ascii="Avenir Next LT Pro" w:eastAsia="Times New Roman" w:hAnsi="Avenir Next LT Pro"/>
              </w:rPr>
              <w:t>,</w:t>
            </w:r>
            <w:r w:rsidR="04FEF42B" w:rsidRPr="00322693">
              <w:rPr>
                <w:rFonts w:ascii="Avenir Next LT Pro" w:eastAsia="Times New Roman" w:hAnsi="Avenir Next LT Pro"/>
              </w:rPr>
              <w:t xml:space="preserve"> in the amount of $</w:t>
            </w:r>
            <w:r w:rsidR="00372DCA" w:rsidRPr="00322693">
              <w:rPr>
                <w:rFonts w:ascii="Avenir Next LT Pro" w:eastAsia="Times New Roman" w:hAnsi="Avenir Next LT Pro"/>
              </w:rPr>
              <w:t>125</w:t>
            </w:r>
            <w:r w:rsidR="04FEF42B" w:rsidRPr="00322693">
              <w:rPr>
                <w:rFonts w:ascii="Avenir Next LT Pro" w:eastAsia="Times New Roman" w:hAnsi="Avenir Next LT Pro"/>
              </w:rPr>
              <w:t>/</w:t>
            </w:r>
            <w:r w:rsidR="736F927E" w:rsidRPr="00322693">
              <w:rPr>
                <w:rFonts w:ascii="Avenir Next LT Pro" w:eastAsia="Times New Roman" w:hAnsi="Avenir Next LT Pro"/>
              </w:rPr>
              <w:t>kW</w:t>
            </w:r>
            <w:r w:rsidR="57C86411" w:rsidRPr="00322693">
              <w:rPr>
                <w:rFonts w:ascii="Avenir Next LT Pro" w:eastAsia="Times New Roman" w:hAnsi="Avenir Next LT Pro"/>
              </w:rPr>
              <w:t xml:space="preserve"> of </w:t>
            </w:r>
            <w:r w:rsidR="002A0140" w:rsidRPr="00322693">
              <w:rPr>
                <w:rFonts w:ascii="Avenir Next LT Pro" w:eastAsia="Times New Roman" w:hAnsi="Avenir Next LT Pro"/>
              </w:rPr>
              <w:t>N</w:t>
            </w:r>
            <w:r w:rsidR="57C86411" w:rsidRPr="00322693">
              <w:rPr>
                <w:rFonts w:ascii="Avenir Next LT Pro" w:eastAsia="Times New Roman" w:hAnsi="Avenir Next LT Pro"/>
              </w:rPr>
              <w:t xml:space="preserve">ameplate </w:t>
            </w:r>
            <w:r w:rsidR="002A0140" w:rsidRPr="00322693">
              <w:rPr>
                <w:rFonts w:ascii="Avenir Next LT Pro" w:eastAsia="Times New Roman" w:hAnsi="Avenir Next LT Pro"/>
              </w:rPr>
              <w:t>C</w:t>
            </w:r>
            <w:r w:rsidR="57C86411" w:rsidRPr="00322693">
              <w:rPr>
                <w:rFonts w:ascii="Avenir Next LT Pro" w:eastAsia="Times New Roman" w:hAnsi="Avenir Next LT Pro"/>
              </w:rPr>
              <w:t xml:space="preserve">apacity.  </w:t>
            </w:r>
          </w:p>
          <w:p w14:paraId="3FF1FE6B" w14:textId="77777777" w:rsidR="002A0140" w:rsidRPr="00322693" w:rsidRDefault="002A0140" w:rsidP="000F549B">
            <w:pPr>
              <w:spacing w:after="0" w:line="240" w:lineRule="auto"/>
              <w:contextualSpacing/>
              <w:rPr>
                <w:rFonts w:ascii="Avenir Next LT Pro" w:eastAsia="Times New Roman" w:hAnsi="Avenir Next LT Pro"/>
              </w:rPr>
            </w:pPr>
          </w:p>
          <w:p w14:paraId="56BA32A2" w14:textId="5D256501" w:rsidR="00D31223" w:rsidRPr="00322693" w:rsidRDefault="006F4014" w:rsidP="000F549B">
            <w:pPr>
              <w:spacing w:after="0" w:line="240" w:lineRule="auto"/>
              <w:contextualSpacing/>
              <w:rPr>
                <w:rFonts w:ascii="Avenir Next LT Pro" w:eastAsia="Times New Roman" w:hAnsi="Avenir Next LT Pro"/>
              </w:rPr>
            </w:pPr>
            <w:r w:rsidRPr="00322693">
              <w:rPr>
                <w:rFonts w:ascii="Avenir Next LT Pro" w:hAnsi="Avenir Next LT Pro"/>
              </w:rPr>
              <w:t xml:space="preserve">“Qualified Institution” means a major U.S. commercial bank or a U.S. branch office of a major foreign commercial bank which is acceptable to </w:t>
            </w:r>
            <w:r w:rsidR="00821D8B">
              <w:rPr>
                <w:rFonts w:ascii="Avenir Next LT Pro" w:hAnsi="Avenir Next LT Pro"/>
              </w:rPr>
              <w:t>Buyer</w:t>
            </w:r>
            <w:r w:rsidRPr="00322693">
              <w:rPr>
                <w:rFonts w:ascii="Avenir Next LT Pro" w:hAnsi="Avenir Next LT Pro"/>
              </w:rPr>
              <w:t xml:space="preserve">, organized under the laws of the United States (or any state or political subdivision thereof) with such bank having shareholders’ equity of at least $10 billion (U.S. Dollars) and a Credit Rating of at least A- by S&amp;P or A1 by Moody’s, or an insurance company with assets of $2 billion or greater, an A.M. Best financial strength rating of an A or greater </w:t>
            </w:r>
            <w:r w:rsidRPr="00322693">
              <w:rPr>
                <w:rFonts w:ascii="Avenir Next LT Pro" w:hAnsi="Avenir Next LT Pro"/>
              </w:rPr>
              <w:lastRenderedPageBreak/>
              <w:t xml:space="preserve">and authorized to issue surety bonds in the state in which the </w:t>
            </w:r>
            <w:r w:rsidR="00BE6A1D">
              <w:rPr>
                <w:rFonts w:ascii="Avenir Next LT Pro" w:hAnsi="Avenir Next LT Pro"/>
              </w:rPr>
              <w:t>P</w:t>
            </w:r>
            <w:r w:rsidRPr="00322693">
              <w:rPr>
                <w:rFonts w:ascii="Avenir Next LT Pro" w:hAnsi="Avenir Next LT Pro"/>
              </w:rPr>
              <w:t>roject will be located.</w:t>
            </w:r>
          </w:p>
        </w:tc>
      </w:tr>
      <w:tr w:rsidR="006D5BF3" w:rsidRPr="000F0BCE" w14:paraId="3B609F46" w14:textId="77777777" w:rsidTr="611E86B2">
        <w:tc>
          <w:tcPr>
            <w:tcW w:w="2690" w:type="dxa"/>
            <w:shd w:val="clear" w:color="auto" w:fill="auto"/>
          </w:tcPr>
          <w:p w14:paraId="4703F6A8" w14:textId="6BAC14FE" w:rsidR="006D5BF3" w:rsidRPr="00322693" w:rsidRDefault="00D94FF4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 xml:space="preserve">Title to </w:t>
            </w:r>
            <w:r w:rsidR="00527B8A" w:rsidRPr="00322693">
              <w:rPr>
                <w:rFonts w:ascii="Avenir Next LT Pro" w:hAnsi="Avenir Next LT Pro"/>
              </w:rPr>
              <w:t>Project Assets</w:t>
            </w:r>
            <w:r w:rsidR="002A0140" w:rsidRPr="00322693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6732" w:type="dxa"/>
          </w:tcPr>
          <w:p w14:paraId="45146B2E" w14:textId="6D70207E" w:rsidR="00527B8A" w:rsidRPr="00322693" w:rsidRDefault="00527B8A" w:rsidP="00C62E32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 xml:space="preserve">Seller has good, valid and marketable title to all the Project Assets, which are free and clear of any and all </w:t>
            </w:r>
            <w:r w:rsidR="002C066B" w:rsidRPr="00322693">
              <w:rPr>
                <w:rFonts w:ascii="Avenir Next LT Pro" w:hAnsi="Avenir Next LT Pro"/>
              </w:rPr>
              <w:t>l</w:t>
            </w:r>
            <w:r w:rsidRPr="00322693">
              <w:rPr>
                <w:rFonts w:ascii="Avenir Next LT Pro" w:hAnsi="Avenir Next LT Pro"/>
              </w:rPr>
              <w:t xml:space="preserve">iens, other than </w:t>
            </w:r>
            <w:r w:rsidR="0055752B">
              <w:rPr>
                <w:rFonts w:ascii="Avenir Next LT Pro" w:hAnsi="Avenir Next LT Pro"/>
              </w:rPr>
              <w:t xml:space="preserve">the </w:t>
            </w:r>
            <w:r w:rsidR="002C066B" w:rsidRPr="00322693">
              <w:rPr>
                <w:rFonts w:ascii="Avenir Next LT Pro" w:hAnsi="Avenir Next LT Pro"/>
              </w:rPr>
              <w:t>p</w:t>
            </w:r>
            <w:r w:rsidRPr="00322693">
              <w:rPr>
                <w:rFonts w:ascii="Avenir Next LT Pro" w:hAnsi="Avenir Next LT Pro"/>
              </w:rPr>
              <w:t xml:space="preserve">ermitted </w:t>
            </w:r>
            <w:r w:rsidR="002C066B" w:rsidRPr="00322693">
              <w:rPr>
                <w:rFonts w:ascii="Avenir Next LT Pro" w:hAnsi="Avenir Next LT Pro"/>
              </w:rPr>
              <w:t>l</w:t>
            </w:r>
            <w:r w:rsidRPr="00322693">
              <w:rPr>
                <w:rFonts w:ascii="Avenir Next LT Pro" w:hAnsi="Avenir Next LT Pro"/>
              </w:rPr>
              <w:t>iens</w:t>
            </w:r>
            <w:r w:rsidR="002C066B" w:rsidRPr="00322693">
              <w:rPr>
                <w:rFonts w:ascii="Avenir Next LT Pro" w:hAnsi="Avenir Next LT Pro"/>
              </w:rPr>
              <w:t xml:space="preserve"> identified in the BTA</w:t>
            </w:r>
            <w:r w:rsidRPr="00322693">
              <w:rPr>
                <w:rFonts w:ascii="Avenir Next LT Pro" w:hAnsi="Avenir Next LT Pro"/>
              </w:rPr>
              <w:t>.</w:t>
            </w:r>
          </w:p>
        </w:tc>
      </w:tr>
      <w:tr w:rsidR="006D5BF3" w:rsidRPr="000F0BCE" w14:paraId="26B07669" w14:textId="77777777" w:rsidTr="611E86B2">
        <w:tc>
          <w:tcPr>
            <w:tcW w:w="2690" w:type="dxa"/>
            <w:shd w:val="clear" w:color="auto" w:fill="auto"/>
          </w:tcPr>
          <w:p w14:paraId="04CB18ED" w14:textId="26172A0F" w:rsidR="006D5BF3" w:rsidRPr="00322693" w:rsidRDefault="002C066B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 xml:space="preserve">Project </w:t>
            </w:r>
            <w:r w:rsidR="00276A07" w:rsidRPr="00322693">
              <w:rPr>
                <w:rFonts w:ascii="Avenir Next LT Pro" w:hAnsi="Avenir Next LT Pro"/>
              </w:rPr>
              <w:t>Contracts</w:t>
            </w:r>
            <w:r w:rsidR="002A0140" w:rsidRPr="00322693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6732" w:type="dxa"/>
          </w:tcPr>
          <w:p w14:paraId="7E87DD10" w14:textId="606DB219" w:rsidR="006E67DC" w:rsidRPr="00322693" w:rsidRDefault="00276A07" w:rsidP="00733C82">
            <w:pPr>
              <w:numPr>
                <w:ilvl w:val="0"/>
                <w:numId w:val="7"/>
              </w:numPr>
              <w:spacing w:after="0" w:line="240" w:lineRule="auto"/>
              <w:ind w:left="414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Seller shall assign the following</w:t>
            </w:r>
            <w:r w:rsidR="00F13490" w:rsidRPr="00322693">
              <w:rPr>
                <w:rFonts w:ascii="Avenir Next LT Pro" w:hAnsi="Avenir Next LT Pro"/>
              </w:rPr>
              <w:t xml:space="preserve"> contracts entered into by Seller for the benefit of the Project or otherwise related to the Project (the “</w:t>
            </w:r>
            <w:r w:rsidR="002C066B" w:rsidRPr="00322693">
              <w:rPr>
                <w:rFonts w:ascii="Avenir Next LT Pro" w:hAnsi="Avenir Next LT Pro"/>
              </w:rPr>
              <w:t xml:space="preserve">Project </w:t>
            </w:r>
            <w:r w:rsidR="00F13490" w:rsidRPr="00322693">
              <w:rPr>
                <w:rFonts w:ascii="Avenir Next LT Pro" w:hAnsi="Avenir Next LT Pro"/>
              </w:rPr>
              <w:t>Contracts”)</w:t>
            </w:r>
            <w:r w:rsidRPr="00322693">
              <w:rPr>
                <w:rFonts w:ascii="Avenir Next LT Pro" w:hAnsi="Avenir Next LT Pro"/>
              </w:rPr>
              <w:t>: [</w:t>
            </w:r>
            <w:r w:rsidR="002C066B" w:rsidRPr="00322693">
              <w:rPr>
                <w:rFonts w:ascii="Avenir Next LT Pro" w:hAnsi="Avenir Next LT Pro"/>
              </w:rPr>
              <w:t>List Project</w:t>
            </w:r>
            <w:r w:rsidRPr="00322693">
              <w:rPr>
                <w:rFonts w:ascii="Avenir Next LT Pro" w:hAnsi="Avenir Next LT Pro"/>
              </w:rPr>
              <w:t xml:space="preserve"> Contracts]</w:t>
            </w:r>
            <w:r w:rsidR="006E67DC" w:rsidRPr="00322693">
              <w:rPr>
                <w:rFonts w:ascii="Avenir Next LT Pro" w:hAnsi="Avenir Next LT Pro"/>
              </w:rPr>
              <w:t>.</w:t>
            </w:r>
          </w:p>
          <w:p w14:paraId="2BA9A876" w14:textId="099FE9B2" w:rsidR="006E67DC" w:rsidRPr="00322693" w:rsidRDefault="006E67DC" w:rsidP="005E5499">
            <w:pPr>
              <w:numPr>
                <w:ilvl w:val="0"/>
                <w:numId w:val="7"/>
              </w:numPr>
              <w:spacing w:after="0" w:line="240" w:lineRule="auto"/>
              <w:ind w:left="414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 xml:space="preserve">Each </w:t>
            </w:r>
            <w:r w:rsidR="002C066B" w:rsidRPr="00322693">
              <w:rPr>
                <w:rFonts w:ascii="Avenir Next LT Pro" w:hAnsi="Avenir Next LT Pro"/>
              </w:rPr>
              <w:t xml:space="preserve">Project </w:t>
            </w:r>
            <w:r w:rsidRPr="00322693">
              <w:rPr>
                <w:rFonts w:ascii="Avenir Next LT Pro" w:hAnsi="Avenir Next LT Pro"/>
              </w:rPr>
              <w:t xml:space="preserve">Contract has been duly authorized, executed and delivered, </w:t>
            </w:r>
            <w:r w:rsidR="00FF76B3" w:rsidRPr="00322693">
              <w:rPr>
                <w:rFonts w:ascii="Avenir Next LT Pro" w:hAnsi="Avenir Next LT Pro"/>
              </w:rPr>
              <w:t xml:space="preserve">and is in full force and effect </w:t>
            </w:r>
            <w:r w:rsidRPr="00322693">
              <w:rPr>
                <w:rFonts w:ascii="Avenir Next LT Pro" w:hAnsi="Avenir Next LT Pro"/>
              </w:rPr>
              <w:t>and constitutes the legal, valid, binding and enforceable agreement as to Seller</w:t>
            </w:r>
            <w:r w:rsidR="00276A07" w:rsidRPr="00322693">
              <w:rPr>
                <w:rFonts w:ascii="Avenir Next LT Pro" w:hAnsi="Avenir Next LT Pro"/>
              </w:rPr>
              <w:t xml:space="preserve"> and</w:t>
            </w:r>
            <w:r w:rsidRPr="00322693">
              <w:rPr>
                <w:rFonts w:ascii="Avenir Next LT Pro" w:hAnsi="Avenir Next LT Pro"/>
              </w:rPr>
              <w:t xml:space="preserve"> the respective counterparties thereto, and will not be rendered invalid or unenforceable as a result of the transactions contemplated by </w:t>
            </w:r>
            <w:r w:rsidR="002C066B" w:rsidRPr="00322693">
              <w:rPr>
                <w:rFonts w:ascii="Avenir Next LT Pro" w:hAnsi="Avenir Next LT Pro"/>
              </w:rPr>
              <w:t>the BTA</w:t>
            </w:r>
            <w:r w:rsidRPr="00322693">
              <w:rPr>
                <w:rFonts w:ascii="Avenir Next LT Pro" w:hAnsi="Avenir Next LT Pro"/>
              </w:rPr>
              <w:t>.</w:t>
            </w:r>
          </w:p>
        </w:tc>
      </w:tr>
    </w:tbl>
    <w:p w14:paraId="795BEC49" w14:textId="77777777" w:rsidR="0092153B" w:rsidRPr="00322693" w:rsidRDefault="0092153B" w:rsidP="0092153B">
      <w:pPr>
        <w:spacing w:after="0" w:line="240" w:lineRule="auto"/>
        <w:jc w:val="center"/>
        <w:rPr>
          <w:rFonts w:ascii="Avenir Next LT Pro" w:eastAsia="Times New Roman" w:hAnsi="Avenir Next LT Pro"/>
          <w:b/>
          <w:color w:val="000000"/>
          <w:lang w:val="en-GB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6065"/>
      </w:tblGrid>
      <w:tr w:rsidR="00711FB3" w:rsidRPr="000F0BCE" w14:paraId="3FFBA51A" w14:textId="77777777" w:rsidTr="41D949EF">
        <w:tc>
          <w:tcPr>
            <w:tcW w:w="3565" w:type="dxa"/>
            <w:shd w:val="clear" w:color="auto" w:fill="auto"/>
          </w:tcPr>
          <w:p w14:paraId="3896B26C" w14:textId="5CF4F898" w:rsidR="00711FB3" w:rsidRPr="00322693" w:rsidRDefault="006A25B3" w:rsidP="0071684C">
            <w:pPr>
              <w:tabs>
                <w:tab w:val="left" w:pos="450"/>
                <w:tab w:val="left" w:pos="521"/>
                <w:tab w:val="left" w:pos="63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Labor and</w:t>
            </w:r>
            <w:r w:rsidR="001C357E" w:rsidRPr="00322693">
              <w:rPr>
                <w:rFonts w:ascii="Avenir Next LT Pro" w:hAnsi="Avenir Next LT Pro"/>
              </w:rPr>
              <w:t xml:space="preserve"> Personnel</w:t>
            </w:r>
            <w:r w:rsidR="00152C22" w:rsidRPr="00322693">
              <w:rPr>
                <w:rFonts w:ascii="Avenir Next LT Pro" w:hAnsi="Avenir Next LT Pro"/>
              </w:rPr>
              <w:t xml:space="preserve"> Requirements under EPC</w:t>
            </w:r>
          </w:p>
        </w:tc>
        <w:tc>
          <w:tcPr>
            <w:tcW w:w="6065" w:type="dxa"/>
          </w:tcPr>
          <w:p w14:paraId="0847A7C3" w14:textId="3A2FBE5D" w:rsidR="00711FB3" w:rsidRPr="00322693" w:rsidRDefault="00FF2048" w:rsidP="00576741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FF2048">
              <w:rPr>
                <w:rFonts w:ascii="Avenir Next LT Pro" w:eastAsia="Avenir Next LT Pro" w:hAnsi="Avenir Next LT Pro"/>
                <w:color w:val="2B4159"/>
              </w:rPr>
              <w:t xml:space="preserve">Union labor must be utilized for major construction activities related to the Facility and must include a Project Labor Agreement requirement in any related executed engineering, procurement and construction agreements. </w:t>
            </w:r>
            <w:r w:rsidRPr="00FF2048">
              <w:rPr>
                <w:rFonts w:ascii="Avenir Next LT Pro" w:eastAsia="Avenir Next LT Pro" w:hAnsi="Avenir Next LT Pro" w:cs="Avenir Next LT Pro"/>
                <w:color w:val="2B4159"/>
              </w:rPr>
              <w:t>All project labor must comply with the requirements of ORS 757.306, as applicable.</w:t>
            </w:r>
          </w:p>
        </w:tc>
      </w:tr>
      <w:tr w:rsidR="009D4339" w:rsidRPr="000F0BCE" w14:paraId="5BCC3C3A" w14:textId="77777777" w:rsidTr="41D949EF">
        <w:tc>
          <w:tcPr>
            <w:tcW w:w="3565" w:type="dxa"/>
            <w:shd w:val="clear" w:color="auto" w:fill="auto"/>
          </w:tcPr>
          <w:p w14:paraId="3F149F33" w14:textId="19532A06" w:rsidR="009D4339" w:rsidRPr="009D4339" w:rsidRDefault="009D4339" w:rsidP="0071684C">
            <w:pPr>
              <w:tabs>
                <w:tab w:val="left" w:pos="450"/>
                <w:tab w:val="left" w:pos="521"/>
                <w:tab w:val="left" w:pos="63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Prevailing Wage and </w:t>
            </w:r>
            <w:r w:rsidRPr="69F1ECA0">
              <w:rPr>
                <w:rFonts w:ascii="Avenir Next LT Pro" w:hAnsi="Avenir Next LT Pro"/>
              </w:rPr>
              <w:t>Apprenticeship</w:t>
            </w:r>
            <w:r w:rsidR="50936D09" w:rsidRPr="69F1ECA0">
              <w:rPr>
                <w:rFonts w:ascii="Avenir Next LT Pro" w:hAnsi="Avenir Next LT Pro"/>
              </w:rPr>
              <w:t xml:space="preserve"> T</w:t>
            </w:r>
            <w:r w:rsidR="00C77FA0" w:rsidRPr="69F1ECA0">
              <w:rPr>
                <w:rFonts w:ascii="Avenir Next LT Pro" w:hAnsi="Avenir Next LT Pro"/>
              </w:rPr>
              <w:t xml:space="preserve">ax </w:t>
            </w:r>
            <w:r w:rsidR="41D1DA27" w:rsidRPr="69F1ECA0">
              <w:rPr>
                <w:rFonts w:ascii="Avenir Next LT Pro" w:hAnsi="Avenir Next LT Pro"/>
              </w:rPr>
              <w:t>C</w:t>
            </w:r>
            <w:r w:rsidR="00C77FA0" w:rsidRPr="69F1ECA0">
              <w:rPr>
                <w:rFonts w:ascii="Avenir Next LT Pro" w:hAnsi="Avenir Next LT Pro"/>
              </w:rPr>
              <w:t>redit</w:t>
            </w:r>
            <w:r w:rsidR="00C77FA0">
              <w:rPr>
                <w:rFonts w:ascii="Avenir Next LT Pro" w:hAnsi="Avenir Next LT Pro"/>
              </w:rPr>
              <w:t xml:space="preserve"> </w:t>
            </w:r>
            <w:r w:rsidR="21F27CF2" w:rsidRPr="5A79A819">
              <w:rPr>
                <w:rFonts w:ascii="Avenir Next LT Pro" w:hAnsi="Avenir Next LT Pro"/>
              </w:rPr>
              <w:t>E</w:t>
            </w:r>
            <w:r w:rsidR="00C77FA0" w:rsidRPr="5A79A819">
              <w:rPr>
                <w:rFonts w:ascii="Avenir Next LT Pro" w:hAnsi="Avenir Next LT Pro"/>
              </w:rPr>
              <w:t>ligibility</w:t>
            </w:r>
          </w:p>
        </w:tc>
        <w:tc>
          <w:tcPr>
            <w:tcW w:w="6065" w:type="dxa"/>
          </w:tcPr>
          <w:p w14:paraId="152C33CF" w14:textId="0C4A98B2" w:rsidR="009D4339" w:rsidRPr="00D94FF4" w:rsidRDefault="009D4339" w:rsidP="00576741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As applicable, </w:t>
            </w:r>
            <w:r w:rsidR="00350261">
              <w:rPr>
                <w:rFonts w:ascii="Avenir Next LT Pro" w:hAnsi="Avenir Next LT Pro"/>
              </w:rPr>
              <w:t xml:space="preserve">Seller must meet all requirements for </w:t>
            </w:r>
            <w:r w:rsidR="002C3597">
              <w:rPr>
                <w:rFonts w:ascii="Avenir Next LT Pro" w:hAnsi="Avenir Next LT Pro"/>
              </w:rPr>
              <w:t xml:space="preserve">tax credit </w:t>
            </w:r>
            <w:r w:rsidR="00350261">
              <w:rPr>
                <w:rFonts w:ascii="Avenir Next LT Pro" w:hAnsi="Avenir Next LT Pro"/>
              </w:rPr>
              <w:t xml:space="preserve">eligibility </w:t>
            </w:r>
            <w:r w:rsidR="00014345">
              <w:rPr>
                <w:rFonts w:ascii="Avenir Next LT Pro" w:hAnsi="Avenir Next LT Pro"/>
              </w:rPr>
              <w:t>under</w:t>
            </w:r>
            <w:r w:rsidR="00350261">
              <w:rPr>
                <w:rFonts w:ascii="Avenir Next LT Pro" w:hAnsi="Avenir Next LT Pro"/>
              </w:rPr>
              <w:t xml:space="preserve"> the Prevailing Wage and Apprenticeship provisions </w:t>
            </w:r>
            <w:r w:rsidR="002C3597">
              <w:rPr>
                <w:rFonts w:ascii="Avenir Next LT Pro" w:hAnsi="Avenir Next LT Pro"/>
              </w:rPr>
              <w:t>as part of the</w:t>
            </w:r>
            <w:r w:rsidR="00350261">
              <w:rPr>
                <w:rFonts w:ascii="Avenir Next LT Pro" w:hAnsi="Avenir Next LT Pro"/>
              </w:rPr>
              <w:t xml:space="preserve"> Inflation Reduction Act. </w:t>
            </w:r>
          </w:p>
        </w:tc>
      </w:tr>
      <w:tr w:rsidR="0046657E" w:rsidRPr="000F0BCE" w14:paraId="7973CD7B" w14:textId="77777777" w:rsidTr="41D949EF">
        <w:tc>
          <w:tcPr>
            <w:tcW w:w="3565" w:type="dxa"/>
            <w:shd w:val="clear" w:color="auto" w:fill="auto"/>
          </w:tcPr>
          <w:p w14:paraId="10BC119B" w14:textId="4D0C7FE4" w:rsidR="0046657E" w:rsidRPr="00322693" w:rsidRDefault="00D37315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bookmarkStart w:id="3" w:name="_Ref398367590"/>
            <w:r w:rsidRPr="00322693">
              <w:rPr>
                <w:rFonts w:ascii="Avenir Next LT Pro" w:hAnsi="Avenir Next LT Pro"/>
              </w:rPr>
              <w:t xml:space="preserve">Guaranteed </w:t>
            </w:r>
            <w:r w:rsidR="001E625B" w:rsidRPr="00322693">
              <w:rPr>
                <w:rFonts w:ascii="Avenir Next LT Pro" w:hAnsi="Avenir Next LT Pro"/>
              </w:rPr>
              <w:t>Substantial Completion Date</w:t>
            </w:r>
            <w:bookmarkEnd w:id="3"/>
          </w:p>
        </w:tc>
        <w:tc>
          <w:tcPr>
            <w:tcW w:w="6065" w:type="dxa"/>
          </w:tcPr>
          <w:p w14:paraId="19FC2713" w14:textId="2D6EFFCA" w:rsidR="001E625B" w:rsidRPr="00322693" w:rsidRDefault="001E625B" w:rsidP="00D3731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41D949EF">
              <w:rPr>
                <w:rFonts w:ascii="Avenir Next LT Pro" w:hAnsi="Avenir Next LT Pro"/>
              </w:rPr>
              <w:t>[Date]</w:t>
            </w:r>
          </w:p>
        </w:tc>
      </w:tr>
      <w:tr w:rsidR="004624AB" w:rsidRPr="000F0BCE" w14:paraId="55C293DA" w14:textId="77777777" w:rsidTr="41D949EF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4B56" w14:textId="1267964E" w:rsidR="004624AB" w:rsidRPr="00322693" w:rsidRDefault="008065F6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Long-term service agreements, equipment warranties, or other performance guarantees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27D" w14:textId="3BE7FFA9" w:rsidR="00954768" w:rsidRPr="00322693" w:rsidRDefault="008065F6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[</w:t>
            </w:r>
            <w:r w:rsidR="00D37315" w:rsidRPr="00322693">
              <w:rPr>
                <w:rFonts w:ascii="Avenir Next LT Pro" w:hAnsi="Avenir Next LT Pro"/>
              </w:rPr>
              <w:t xml:space="preserve">List </w:t>
            </w:r>
            <w:r w:rsidR="007943A6" w:rsidRPr="00322693">
              <w:rPr>
                <w:rFonts w:ascii="Avenir Next LT Pro" w:hAnsi="Avenir Next LT Pro"/>
              </w:rPr>
              <w:t>any additional service agreement offers, warranties, or guarantees, as applicable</w:t>
            </w:r>
            <w:r w:rsidR="00AB1625" w:rsidRPr="00322693">
              <w:rPr>
                <w:rFonts w:ascii="Avenir Next LT Pro" w:hAnsi="Avenir Next LT Pro"/>
              </w:rPr>
              <w:t xml:space="preserve"> to comply with deliverability and availability provisions per the terms of the RFP</w:t>
            </w:r>
            <w:r w:rsidR="007943A6" w:rsidRPr="00322693">
              <w:rPr>
                <w:rFonts w:ascii="Avenir Next LT Pro" w:hAnsi="Avenir Next LT Pro"/>
              </w:rPr>
              <w:t>.]</w:t>
            </w:r>
            <w:r w:rsidR="000F0BCE">
              <w:rPr>
                <w:rFonts w:ascii="Avenir Next LT Pro" w:hAnsi="Avenir Next LT Pro"/>
              </w:rPr>
              <w:t xml:space="preserve"> </w:t>
            </w:r>
          </w:p>
        </w:tc>
      </w:tr>
      <w:tr w:rsidR="00711FB3" w:rsidRPr="000F0BCE" w14:paraId="6C60B2BD" w14:textId="77777777" w:rsidTr="41D949EF">
        <w:tc>
          <w:tcPr>
            <w:tcW w:w="3565" w:type="dxa"/>
            <w:shd w:val="clear" w:color="auto" w:fill="auto"/>
          </w:tcPr>
          <w:p w14:paraId="511485B3" w14:textId="1C55688C" w:rsidR="00711FB3" w:rsidRPr="00322693" w:rsidRDefault="00E94C89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Termination</w:t>
            </w:r>
            <w:r w:rsidR="007E50C7" w:rsidRPr="00322693">
              <w:rPr>
                <w:rFonts w:ascii="Avenir Next LT Pro" w:hAnsi="Avenir Next LT Pro"/>
              </w:rPr>
              <w:t xml:space="preserve"> for </w:t>
            </w:r>
            <w:r w:rsidR="002A6C63" w:rsidRPr="00322693">
              <w:rPr>
                <w:rFonts w:ascii="Avenir Next LT Pro" w:hAnsi="Avenir Next LT Pro"/>
              </w:rPr>
              <w:t xml:space="preserve">Material Breach </w:t>
            </w:r>
          </w:p>
        </w:tc>
        <w:tc>
          <w:tcPr>
            <w:tcW w:w="6065" w:type="dxa"/>
          </w:tcPr>
          <w:p w14:paraId="17C217F6" w14:textId="38778776" w:rsidR="004F1204" w:rsidRDefault="002A6C63" w:rsidP="00233F2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In the event of a termination by Buyer for a material breach of the BTA by Seller, then Seller shall refund all amounts previously paid by Buyer and pay a termination payment to Buyer in an amount to be agreed to by the parties</w:t>
            </w:r>
            <w:r w:rsidR="007133AA">
              <w:rPr>
                <w:rFonts w:ascii="Avenir Next LT Pro" w:hAnsi="Avenir Next LT Pro"/>
              </w:rPr>
              <w:t>.</w:t>
            </w:r>
          </w:p>
          <w:p w14:paraId="0881D86C" w14:textId="77777777" w:rsidR="004F1204" w:rsidRDefault="004F1204" w:rsidP="00233F2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</w:p>
          <w:p w14:paraId="27B2016C" w14:textId="12D3BC91" w:rsidR="004E3A0C" w:rsidRDefault="002A6C63" w:rsidP="00233F2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In the event of a termination by Seller for a material breach of the BTA by Buyer, then Buyer shall pay a termination payment to Seller in an amount to be agreed to by the parties</w:t>
            </w:r>
            <w:r w:rsidR="007133AA">
              <w:rPr>
                <w:rFonts w:ascii="Avenir Next LT Pro" w:hAnsi="Avenir Next LT Pro"/>
              </w:rPr>
              <w:t>.</w:t>
            </w:r>
          </w:p>
          <w:p w14:paraId="25DAA154" w14:textId="77777777" w:rsidR="00B24523" w:rsidRDefault="00B24523" w:rsidP="00233F2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</w:p>
          <w:p w14:paraId="574AD1D5" w14:textId="462ABB0C" w:rsidR="00B24523" w:rsidRPr="00322693" w:rsidRDefault="00B24523" w:rsidP="00233F2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In no event will termination after </w:t>
            </w:r>
            <w:r w:rsidR="00496E86">
              <w:rPr>
                <w:rFonts w:ascii="Avenir Next LT Pro" w:hAnsi="Avenir Next LT Pro"/>
              </w:rPr>
              <w:t xml:space="preserve">the </w:t>
            </w:r>
            <w:r w:rsidR="000C13C3">
              <w:rPr>
                <w:rFonts w:ascii="Avenir Next LT Pro" w:hAnsi="Avenir Next LT Pro"/>
              </w:rPr>
              <w:t>C</w:t>
            </w:r>
            <w:r>
              <w:rPr>
                <w:rFonts w:ascii="Avenir Next LT Pro" w:hAnsi="Avenir Next LT Pro"/>
              </w:rPr>
              <w:t>losing</w:t>
            </w:r>
            <w:r w:rsidR="00DE5617">
              <w:rPr>
                <w:rFonts w:ascii="Avenir Next LT Pro" w:hAnsi="Avenir Next LT Pro"/>
              </w:rPr>
              <w:t xml:space="preserve"> </w:t>
            </w:r>
            <w:r w:rsidR="00496E86">
              <w:rPr>
                <w:rFonts w:ascii="Avenir Next LT Pro" w:hAnsi="Avenir Next LT Pro"/>
              </w:rPr>
              <w:t>Date</w:t>
            </w:r>
            <w:r w:rsidR="00DE5617">
              <w:rPr>
                <w:rFonts w:ascii="Avenir Next LT Pro" w:hAnsi="Avenir Next LT Pro"/>
              </w:rPr>
              <w:t xml:space="preserve"> result in an unwinding of </w:t>
            </w:r>
            <w:r w:rsidR="00A31B2C">
              <w:rPr>
                <w:rFonts w:ascii="Avenir Next LT Pro" w:hAnsi="Avenir Next LT Pro"/>
              </w:rPr>
              <w:t>Seller’s</w:t>
            </w:r>
            <w:r w:rsidR="00496E86">
              <w:rPr>
                <w:rFonts w:ascii="Avenir Next LT Pro" w:hAnsi="Avenir Next LT Pro"/>
              </w:rPr>
              <w:t xml:space="preserve"> </w:t>
            </w:r>
            <w:r w:rsidR="00A31B2C">
              <w:rPr>
                <w:rFonts w:ascii="Avenir Next LT Pro" w:hAnsi="Avenir Next LT Pro"/>
              </w:rPr>
              <w:t>transfer to title to the Project Assets to Buyer</w:t>
            </w:r>
            <w:r w:rsidR="00DE5617">
              <w:rPr>
                <w:rFonts w:ascii="Avenir Next LT Pro" w:hAnsi="Avenir Next LT Pro"/>
              </w:rPr>
              <w:t xml:space="preserve">. </w:t>
            </w:r>
          </w:p>
        </w:tc>
      </w:tr>
      <w:tr w:rsidR="003B14A3" w:rsidRPr="000F0BCE" w:rsidDel="00FB5F2F" w14:paraId="35768EDF" w14:textId="77777777" w:rsidTr="41D949EF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299A" w14:textId="3BBA0470" w:rsidR="003B14A3" w:rsidRPr="0060370D" w:rsidRDefault="003B14A3" w:rsidP="003627D5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60370D">
              <w:rPr>
                <w:rFonts w:ascii="Avenir Next LT Pro" w:hAnsi="Avenir Next LT Pro"/>
              </w:rPr>
              <w:t>Buyer Conditions Precedent: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CBE5" w14:textId="77777777" w:rsidR="003B14A3" w:rsidRPr="0060370D" w:rsidRDefault="003B14A3" w:rsidP="003627D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60370D">
              <w:rPr>
                <w:rFonts w:ascii="Avenir Next LT Pro" w:hAnsi="Avenir Next LT Pro"/>
              </w:rPr>
              <w:t>Buyer’s obligations shall be conditioned and will become effective only upon the occurrence of each and every one of the following conditions:</w:t>
            </w:r>
          </w:p>
          <w:p w14:paraId="0E24C698" w14:textId="3750EE76" w:rsidR="003B14A3" w:rsidRPr="0060370D" w:rsidRDefault="003B14A3" w:rsidP="003627D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60370D">
              <w:rPr>
                <w:rFonts w:ascii="Avenir Next LT Pro" w:hAnsi="Avenir Next LT Pro"/>
              </w:rPr>
              <w:lastRenderedPageBreak/>
              <w:t xml:space="preserve">(i) </w:t>
            </w:r>
            <w:r w:rsidR="000F0BCE">
              <w:rPr>
                <w:rFonts w:ascii="Avenir Next LT Pro" w:hAnsi="Avenir Next LT Pro"/>
              </w:rPr>
              <w:t>acknowledgement</w:t>
            </w:r>
            <w:r w:rsidRPr="0060370D">
              <w:rPr>
                <w:rFonts w:ascii="Avenir Next LT Pro" w:hAnsi="Avenir Next LT Pro"/>
              </w:rPr>
              <w:t xml:space="preserve"> </w:t>
            </w:r>
            <w:r w:rsidR="00817D53" w:rsidRPr="0060370D">
              <w:rPr>
                <w:rFonts w:ascii="Avenir Next LT Pro" w:hAnsi="Avenir Next LT Pro"/>
              </w:rPr>
              <w:t xml:space="preserve">of the final shortlist </w:t>
            </w:r>
            <w:r w:rsidRPr="0060370D">
              <w:rPr>
                <w:rFonts w:ascii="Avenir Next LT Pro" w:hAnsi="Avenir Next LT Pro"/>
              </w:rPr>
              <w:t>from the Oregon Public Utility Commission, in form and substance satisfactory in Buyer’s sole discretion; and</w:t>
            </w:r>
          </w:p>
          <w:p w14:paraId="33E363C0" w14:textId="7158DC93" w:rsidR="003B14A3" w:rsidRPr="0060370D" w:rsidRDefault="003B14A3" w:rsidP="003627D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60370D">
              <w:rPr>
                <w:rFonts w:ascii="Avenir Next LT Pro" w:hAnsi="Avenir Next LT Pro"/>
              </w:rPr>
              <w:t xml:space="preserve">(ii) approval of the </w:t>
            </w:r>
            <w:r w:rsidR="00692EA4" w:rsidRPr="0060370D">
              <w:rPr>
                <w:rFonts w:ascii="Avenir Next LT Pro" w:hAnsi="Avenir Next LT Pro"/>
              </w:rPr>
              <w:t>BTA</w:t>
            </w:r>
            <w:r w:rsidRPr="0060370D">
              <w:rPr>
                <w:rFonts w:ascii="Avenir Next LT Pro" w:hAnsi="Avenir Next LT Pro"/>
              </w:rPr>
              <w:t xml:space="preserve"> by Buyer’s Board of Directors.</w:t>
            </w:r>
          </w:p>
        </w:tc>
      </w:tr>
      <w:tr w:rsidR="008454D1" w:rsidRPr="000F0BCE" w14:paraId="65E4DFAA" w14:textId="77777777" w:rsidTr="41D949EF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DDA" w14:textId="77777777" w:rsidR="003B14A3" w:rsidRPr="00322693" w:rsidRDefault="003B14A3" w:rsidP="003627D5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bookmarkStart w:id="4" w:name="_cp_text_2_67"/>
            <w:r w:rsidRPr="00322693">
              <w:rPr>
                <w:rFonts w:ascii="Avenir Next LT Pro" w:hAnsi="Avenir Next LT Pro"/>
              </w:rPr>
              <w:lastRenderedPageBreak/>
              <w:t>Seller Conditions Precedent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9B2" w14:textId="2F4BA6E6" w:rsidR="003B14A3" w:rsidRPr="00322693" w:rsidRDefault="003B14A3" w:rsidP="003627D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[</w:t>
            </w:r>
            <w:r w:rsidR="002A6C63" w:rsidRPr="00322693">
              <w:rPr>
                <w:rFonts w:ascii="Avenir Next LT Pro" w:hAnsi="Avenir Next LT Pro"/>
              </w:rPr>
              <w:t xml:space="preserve">List </w:t>
            </w:r>
            <w:r w:rsidRPr="00322693">
              <w:rPr>
                <w:rFonts w:ascii="Avenir Next LT Pro" w:hAnsi="Avenir Next LT Pro"/>
              </w:rPr>
              <w:t>Seller Conditions Precedent</w:t>
            </w:r>
            <w:r w:rsidR="002A6C63" w:rsidRPr="00322693">
              <w:rPr>
                <w:rFonts w:ascii="Avenir Next LT Pro" w:hAnsi="Avenir Next LT Pro"/>
              </w:rPr>
              <w:t>, if any</w:t>
            </w:r>
            <w:r w:rsidRPr="00322693">
              <w:rPr>
                <w:rFonts w:ascii="Avenir Next LT Pro" w:hAnsi="Avenir Next LT Pro"/>
              </w:rPr>
              <w:t>]</w:t>
            </w:r>
          </w:p>
        </w:tc>
      </w:tr>
      <w:bookmarkEnd w:id="4"/>
      <w:tr w:rsidR="003B14A3" w:rsidRPr="000F0BCE" w14:paraId="512FB7BC" w14:textId="77777777" w:rsidTr="41D949EF"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8DB8" w14:textId="77777777" w:rsidR="003B14A3" w:rsidRPr="00322693" w:rsidRDefault="003B14A3" w:rsidP="003627D5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Tax Credit Eligibility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337" w14:textId="0ED30415" w:rsidR="003B14A3" w:rsidRPr="00322693" w:rsidRDefault="003B14A3" w:rsidP="003627D5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60370D">
              <w:rPr>
                <w:rFonts w:ascii="Avenir Next LT Pro" w:hAnsi="Avenir Next LT Pro"/>
              </w:rPr>
              <w:t xml:space="preserve">Project </w:t>
            </w:r>
            <w:r w:rsidR="000F0BCE">
              <w:rPr>
                <w:rFonts w:ascii="Avenir Next LT Pro" w:hAnsi="Avenir Next LT Pro"/>
              </w:rPr>
              <w:t>is</w:t>
            </w:r>
            <w:r w:rsidRPr="0060370D">
              <w:rPr>
                <w:rFonts w:ascii="Avenir Next LT Pro" w:hAnsi="Avenir Next LT Pro"/>
              </w:rPr>
              <w:t xml:space="preserve"> eligible </w:t>
            </w:r>
            <w:r w:rsidRPr="00322693">
              <w:rPr>
                <w:rFonts w:ascii="Avenir Next LT Pro" w:hAnsi="Avenir Next LT Pro"/>
              </w:rPr>
              <w:t>for Production Tax Credit / Investment Tax Credit, as applicable.</w:t>
            </w:r>
          </w:p>
        </w:tc>
      </w:tr>
      <w:tr w:rsidR="00711FB3" w:rsidRPr="000F0BCE" w14:paraId="53C06FF6" w14:textId="77777777" w:rsidTr="41D949EF">
        <w:tc>
          <w:tcPr>
            <w:tcW w:w="3565" w:type="dxa"/>
            <w:shd w:val="clear" w:color="auto" w:fill="auto"/>
          </w:tcPr>
          <w:p w14:paraId="6CAE3A7A" w14:textId="15B6B634" w:rsidR="00711FB3" w:rsidRPr="00322693" w:rsidRDefault="00711FB3" w:rsidP="0071684C">
            <w:pPr>
              <w:tabs>
                <w:tab w:val="left" w:pos="450"/>
                <w:tab w:val="left" w:pos="630"/>
                <w:tab w:val="left" w:pos="990"/>
                <w:tab w:val="left" w:pos="1440"/>
              </w:tabs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>Miscellaneous Provisions</w:t>
            </w:r>
          </w:p>
        </w:tc>
        <w:tc>
          <w:tcPr>
            <w:tcW w:w="6065" w:type="dxa"/>
          </w:tcPr>
          <w:p w14:paraId="73064CE2" w14:textId="4EB0D0F2" w:rsidR="00711FB3" w:rsidRPr="00322693" w:rsidRDefault="00AA247D">
            <w:pPr>
              <w:spacing w:after="0" w:line="240" w:lineRule="auto"/>
              <w:contextualSpacing/>
              <w:rPr>
                <w:rFonts w:ascii="Avenir Next LT Pro" w:hAnsi="Avenir Next LT Pro"/>
              </w:rPr>
            </w:pPr>
            <w:r w:rsidRPr="00322693">
              <w:rPr>
                <w:rFonts w:ascii="Avenir Next LT Pro" w:hAnsi="Avenir Next LT Pro"/>
              </w:rPr>
              <w:t xml:space="preserve">The </w:t>
            </w:r>
            <w:r w:rsidR="00692EA4" w:rsidRPr="00322693">
              <w:rPr>
                <w:rFonts w:ascii="Avenir Next LT Pro" w:hAnsi="Avenir Next LT Pro"/>
              </w:rPr>
              <w:t>BTA</w:t>
            </w:r>
            <w:r w:rsidRPr="00322693">
              <w:rPr>
                <w:rFonts w:ascii="Avenir Next LT Pro" w:hAnsi="Avenir Next LT Pro"/>
              </w:rPr>
              <w:t xml:space="preserve"> will include typical boilerplate provisions</w:t>
            </w:r>
            <w:r w:rsidR="00EF36BC" w:rsidRPr="00322693">
              <w:rPr>
                <w:rFonts w:ascii="Avenir Next LT Pro" w:hAnsi="Avenir Next LT Pro"/>
              </w:rPr>
              <w:t xml:space="preserve"> for contract</w:t>
            </w:r>
            <w:r w:rsidR="003B14A3" w:rsidRPr="00322693">
              <w:rPr>
                <w:rFonts w:ascii="Avenir Next LT Pro" w:hAnsi="Avenir Next LT Pro"/>
              </w:rPr>
              <w:t>s</w:t>
            </w:r>
            <w:r w:rsidR="00EF36BC" w:rsidRPr="00322693">
              <w:rPr>
                <w:rFonts w:ascii="Avenir Next LT Pro" w:hAnsi="Avenir Next LT Pro"/>
              </w:rPr>
              <w:t xml:space="preserve"> of </w:t>
            </w:r>
            <w:r w:rsidR="003B14A3" w:rsidRPr="00322693">
              <w:rPr>
                <w:rFonts w:ascii="Avenir Next LT Pro" w:hAnsi="Avenir Next LT Pro"/>
              </w:rPr>
              <w:t xml:space="preserve">that </w:t>
            </w:r>
            <w:r w:rsidR="00EF36BC" w:rsidRPr="00322693">
              <w:rPr>
                <w:rFonts w:ascii="Avenir Next LT Pro" w:hAnsi="Avenir Next LT Pro"/>
              </w:rPr>
              <w:t>nature.</w:t>
            </w:r>
            <w:r w:rsidR="00EF36BC" w:rsidRPr="00322693" w:rsidDel="00AA247D">
              <w:rPr>
                <w:rFonts w:ascii="Avenir Next LT Pro" w:hAnsi="Avenir Next LT Pro"/>
              </w:rPr>
              <w:t xml:space="preserve"> </w:t>
            </w:r>
          </w:p>
        </w:tc>
      </w:tr>
    </w:tbl>
    <w:p w14:paraId="067FF514" w14:textId="45C24B7E" w:rsidR="00465465" w:rsidRDefault="00465465">
      <w:pPr>
        <w:rPr>
          <w:rFonts w:ascii="Avenir Next LT Pro" w:hAnsi="Avenir Next LT Pro"/>
        </w:rPr>
      </w:pPr>
    </w:p>
    <w:p w14:paraId="49D6EF13" w14:textId="77777777" w:rsidR="00465465" w:rsidRDefault="00465465">
      <w:pPr>
        <w:spacing w:after="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14:paraId="5D2A95D1" w14:textId="11AC2EDF" w:rsidR="002C2D73" w:rsidRPr="001F0726" w:rsidRDefault="001B2EF8">
      <w:pPr>
        <w:rPr>
          <w:rFonts w:ascii="Avenir Next LT Pro" w:hAnsi="Avenir Next LT Pro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158EE9C5" wp14:editId="2F2D3868">
            <wp:simplePos x="0" y="0"/>
            <wp:positionH relativeFrom="page">
              <wp:align>right</wp:align>
            </wp:positionH>
            <wp:positionV relativeFrom="paragraph">
              <wp:posOffset>-911225</wp:posOffset>
            </wp:positionV>
            <wp:extent cx="7772400" cy="10058400"/>
            <wp:effectExtent l="0" t="0" r="0" b="0"/>
            <wp:wrapNone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90--Wildfire Mitigration and Response Plan cover-0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D73" w:rsidRPr="001F0726"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FB87" w14:textId="77777777" w:rsidR="001E2E7C" w:rsidRDefault="001E2E7C" w:rsidP="0092153B">
      <w:pPr>
        <w:spacing w:after="0" w:line="240" w:lineRule="auto"/>
      </w:pPr>
      <w:r>
        <w:separator/>
      </w:r>
    </w:p>
  </w:endnote>
  <w:endnote w:type="continuationSeparator" w:id="0">
    <w:p w14:paraId="58380ADB" w14:textId="77777777" w:rsidR="001E2E7C" w:rsidRDefault="001E2E7C" w:rsidP="0092153B">
      <w:pPr>
        <w:spacing w:after="0" w:line="240" w:lineRule="auto"/>
      </w:pPr>
      <w:r>
        <w:continuationSeparator/>
      </w:r>
    </w:p>
  </w:endnote>
  <w:endnote w:type="continuationNotice" w:id="1">
    <w:p w14:paraId="5B3AB671" w14:textId="77777777" w:rsidR="001E2E7C" w:rsidRDefault="001E2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emibold">
    <w:altName w:val="Tahoma"/>
    <w:panose1 w:val="00000000000000000000"/>
    <w:charset w:val="00"/>
    <w:family w:val="roman"/>
    <w:notTrueType/>
    <w:pitch w:val="default"/>
  </w:font>
  <w:font w:name="Proxima Nova Light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5E92" w14:textId="54DAF9DA" w:rsidR="00071391" w:rsidRDefault="00071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4F5B" w14:textId="0041D4C1" w:rsidR="00963E57" w:rsidRPr="001C357E" w:rsidRDefault="00963E57">
    <w:pPr>
      <w:pStyle w:val="Footer"/>
      <w:jc w:val="center"/>
      <w:rPr>
        <w:rFonts w:ascii="Times New Roman" w:hAnsi="Times New Roman"/>
      </w:rPr>
    </w:pPr>
    <w:r w:rsidRPr="001C357E">
      <w:rPr>
        <w:rFonts w:ascii="Times New Roman" w:hAnsi="Times New Roman"/>
      </w:rPr>
      <w:fldChar w:fldCharType="begin"/>
    </w:r>
    <w:r w:rsidRPr="001C357E">
      <w:rPr>
        <w:rFonts w:ascii="Times New Roman" w:hAnsi="Times New Roman"/>
      </w:rPr>
      <w:instrText xml:space="preserve"> PAGE   \* MERGEFORMAT </w:instrText>
    </w:r>
    <w:r w:rsidRPr="001C357E">
      <w:rPr>
        <w:rFonts w:ascii="Times New Roman" w:hAnsi="Times New Roman"/>
      </w:rPr>
      <w:fldChar w:fldCharType="separate"/>
    </w:r>
    <w:r w:rsidR="00043A03">
      <w:rPr>
        <w:rFonts w:ascii="Times New Roman" w:hAnsi="Times New Roman"/>
        <w:noProof/>
      </w:rPr>
      <w:t>13</w:t>
    </w:r>
    <w:r w:rsidRPr="001C357E">
      <w:rPr>
        <w:rFonts w:ascii="Times New Roman" w:hAnsi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658CC" w14:textId="5804319C" w:rsidR="00071391" w:rsidRDefault="00071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D16E" w14:textId="77777777" w:rsidR="001E2E7C" w:rsidRDefault="001E2E7C" w:rsidP="0092153B">
      <w:pPr>
        <w:spacing w:after="0" w:line="240" w:lineRule="auto"/>
      </w:pPr>
      <w:r>
        <w:separator/>
      </w:r>
    </w:p>
  </w:footnote>
  <w:footnote w:type="continuationSeparator" w:id="0">
    <w:p w14:paraId="2D09DE54" w14:textId="77777777" w:rsidR="001E2E7C" w:rsidRDefault="001E2E7C" w:rsidP="0092153B">
      <w:pPr>
        <w:spacing w:after="0" w:line="240" w:lineRule="auto"/>
      </w:pPr>
      <w:r>
        <w:continuationSeparator/>
      </w:r>
    </w:p>
  </w:footnote>
  <w:footnote w:type="continuationNotice" w:id="1">
    <w:p w14:paraId="7CC0CABA" w14:textId="77777777" w:rsidR="001E2E7C" w:rsidRDefault="001E2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E8689" w14:textId="77777777" w:rsidR="00963E57" w:rsidRPr="00E434A1" w:rsidRDefault="00963E57" w:rsidP="0047247C">
    <w:pPr>
      <w:pStyle w:val="Header"/>
      <w:spacing w:after="120"/>
      <w:jc w:val="center"/>
      <w:rPr>
        <w:rFonts w:ascii="Times New Roman" w:hAnsi="Times New Roman"/>
        <w:b/>
        <w:color w:val="FF0000"/>
        <w:sz w:val="28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BA0"/>
    <w:multiLevelType w:val="hybridMultilevel"/>
    <w:tmpl w:val="E3B8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73F4"/>
    <w:multiLevelType w:val="hybridMultilevel"/>
    <w:tmpl w:val="0FF8DA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3FB"/>
    <w:multiLevelType w:val="multilevel"/>
    <w:tmpl w:val="E0E2DE2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8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694B6B"/>
    <w:multiLevelType w:val="hybridMultilevel"/>
    <w:tmpl w:val="0FF8DA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9B3"/>
    <w:multiLevelType w:val="hybridMultilevel"/>
    <w:tmpl w:val="6090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A12C6"/>
    <w:multiLevelType w:val="hybridMultilevel"/>
    <w:tmpl w:val="E4342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407C6"/>
    <w:multiLevelType w:val="multilevel"/>
    <w:tmpl w:val="E13C3A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9C62E6"/>
    <w:multiLevelType w:val="hybridMultilevel"/>
    <w:tmpl w:val="9864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96009">
    <w:abstractNumId w:val="2"/>
  </w:num>
  <w:num w:numId="2" w16cid:durableId="1944914149">
    <w:abstractNumId w:val="4"/>
  </w:num>
  <w:num w:numId="3" w16cid:durableId="2021270583">
    <w:abstractNumId w:val="5"/>
  </w:num>
  <w:num w:numId="4" w16cid:durableId="638146743">
    <w:abstractNumId w:val="7"/>
  </w:num>
  <w:num w:numId="5" w16cid:durableId="1712850229">
    <w:abstractNumId w:val="6"/>
  </w:num>
  <w:num w:numId="6" w16cid:durableId="286208091">
    <w:abstractNumId w:val="3"/>
  </w:num>
  <w:num w:numId="7" w16cid:durableId="983004029">
    <w:abstractNumId w:val="1"/>
  </w:num>
  <w:num w:numId="8" w16cid:durableId="2425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3B"/>
    <w:rsid w:val="000046A0"/>
    <w:rsid w:val="0000575F"/>
    <w:rsid w:val="00007372"/>
    <w:rsid w:val="00014345"/>
    <w:rsid w:val="00014EB0"/>
    <w:rsid w:val="00021A14"/>
    <w:rsid w:val="000238C5"/>
    <w:rsid w:val="000252C5"/>
    <w:rsid w:val="0002693A"/>
    <w:rsid w:val="00027BCE"/>
    <w:rsid w:val="000305FD"/>
    <w:rsid w:val="0003092D"/>
    <w:rsid w:val="00030CC6"/>
    <w:rsid w:val="00042028"/>
    <w:rsid w:val="00043A03"/>
    <w:rsid w:val="00044271"/>
    <w:rsid w:val="000450A1"/>
    <w:rsid w:val="00054CDB"/>
    <w:rsid w:val="000566E7"/>
    <w:rsid w:val="0005736C"/>
    <w:rsid w:val="00060FE9"/>
    <w:rsid w:val="00062751"/>
    <w:rsid w:val="00064F20"/>
    <w:rsid w:val="00065514"/>
    <w:rsid w:val="0006697D"/>
    <w:rsid w:val="00071391"/>
    <w:rsid w:val="00073DB0"/>
    <w:rsid w:val="00082696"/>
    <w:rsid w:val="00083B7A"/>
    <w:rsid w:val="00085473"/>
    <w:rsid w:val="000911DA"/>
    <w:rsid w:val="000915AB"/>
    <w:rsid w:val="000933C2"/>
    <w:rsid w:val="00093CB0"/>
    <w:rsid w:val="00094A2E"/>
    <w:rsid w:val="000978D2"/>
    <w:rsid w:val="000A0877"/>
    <w:rsid w:val="000A1412"/>
    <w:rsid w:val="000A16E4"/>
    <w:rsid w:val="000A574D"/>
    <w:rsid w:val="000A71F3"/>
    <w:rsid w:val="000B7A14"/>
    <w:rsid w:val="000C13C3"/>
    <w:rsid w:val="000C2D02"/>
    <w:rsid w:val="000C323B"/>
    <w:rsid w:val="000C5917"/>
    <w:rsid w:val="000C6470"/>
    <w:rsid w:val="000C7071"/>
    <w:rsid w:val="000D2887"/>
    <w:rsid w:val="000D2959"/>
    <w:rsid w:val="000D4D35"/>
    <w:rsid w:val="000D5E1D"/>
    <w:rsid w:val="000D629B"/>
    <w:rsid w:val="000E0E2F"/>
    <w:rsid w:val="000E273A"/>
    <w:rsid w:val="000E27A1"/>
    <w:rsid w:val="000E362E"/>
    <w:rsid w:val="000E36C6"/>
    <w:rsid w:val="000E4668"/>
    <w:rsid w:val="000E5973"/>
    <w:rsid w:val="000E7447"/>
    <w:rsid w:val="000F077B"/>
    <w:rsid w:val="000F0AB0"/>
    <w:rsid w:val="000F0BCE"/>
    <w:rsid w:val="000F1CB8"/>
    <w:rsid w:val="000F29C9"/>
    <w:rsid w:val="000F3FB0"/>
    <w:rsid w:val="000F549B"/>
    <w:rsid w:val="00102E28"/>
    <w:rsid w:val="001043D8"/>
    <w:rsid w:val="0011205B"/>
    <w:rsid w:val="001121B0"/>
    <w:rsid w:val="00116E52"/>
    <w:rsid w:val="00125D36"/>
    <w:rsid w:val="001318B3"/>
    <w:rsid w:val="00131F19"/>
    <w:rsid w:val="0013389B"/>
    <w:rsid w:val="00135335"/>
    <w:rsid w:val="00135CC6"/>
    <w:rsid w:val="00140706"/>
    <w:rsid w:val="0014195D"/>
    <w:rsid w:val="001421B9"/>
    <w:rsid w:val="00142878"/>
    <w:rsid w:val="00144A1B"/>
    <w:rsid w:val="00152C22"/>
    <w:rsid w:val="00153969"/>
    <w:rsid w:val="001665EC"/>
    <w:rsid w:val="00167D56"/>
    <w:rsid w:val="0017169B"/>
    <w:rsid w:val="00174340"/>
    <w:rsid w:val="0018245D"/>
    <w:rsid w:val="0018774D"/>
    <w:rsid w:val="00191BE4"/>
    <w:rsid w:val="00192BCA"/>
    <w:rsid w:val="00195E0E"/>
    <w:rsid w:val="00197487"/>
    <w:rsid w:val="001A0E17"/>
    <w:rsid w:val="001A7C94"/>
    <w:rsid w:val="001B20D7"/>
    <w:rsid w:val="001B2EF8"/>
    <w:rsid w:val="001B3A15"/>
    <w:rsid w:val="001C1FB8"/>
    <w:rsid w:val="001C2E78"/>
    <w:rsid w:val="001C357E"/>
    <w:rsid w:val="001D0501"/>
    <w:rsid w:val="001D15E2"/>
    <w:rsid w:val="001D3022"/>
    <w:rsid w:val="001D32D8"/>
    <w:rsid w:val="001D4C89"/>
    <w:rsid w:val="001E086F"/>
    <w:rsid w:val="001E2E7C"/>
    <w:rsid w:val="001E5B24"/>
    <w:rsid w:val="001E625B"/>
    <w:rsid w:val="001F0726"/>
    <w:rsid w:val="001F175F"/>
    <w:rsid w:val="001F1D92"/>
    <w:rsid w:val="001F6003"/>
    <w:rsid w:val="00203087"/>
    <w:rsid w:val="0020319B"/>
    <w:rsid w:val="0020389C"/>
    <w:rsid w:val="00211EEF"/>
    <w:rsid w:val="0021398F"/>
    <w:rsid w:val="00214200"/>
    <w:rsid w:val="00217160"/>
    <w:rsid w:val="00222914"/>
    <w:rsid w:val="002238F7"/>
    <w:rsid w:val="002245CB"/>
    <w:rsid w:val="00230010"/>
    <w:rsid w:val="0023146F"/>
    <w:rsid w:val="00233012"/>
    <w:rsid w:val="00233018"/>
    <w:rsid w:val="002330D5"/>
    <w:rsid w:val="00233F25"/>
    <w:rsid w:val="00235F67"/>
    <w:rsid w:val="002510FC"/>
    <w:rsid w:val="00251A54"/>
    <w:rsid w:val="00251D30"/>
    <w:rsid w:val="002577E5"/>
    <w:rsid w:val="00257943"/>
    <w:rsid w:val="00263292"/>
    <w:rsid w:val="00265370"/>
    <w:rsid w:val="00270AE8"/>
    <w:rsid w:val="00271E64"/>
    <w:rsid w:val="00274EFF"/>
    <w:rsid w:val="002757DD"/>
    <w:rsid w:val="00275B3A"/>
    <w:rsid w:val="00276A07"/>
    <w:rsid w:val="00281936"/>
    <w:rsid w:val="00285753"/>
    <w:rsid w:val="00285FFF"/>
    <w:rsid w:val="002948CF"/>
    <w:rsid w:val="00295070"/>
    <w:rsid w:val="00297E0B"/>
    <w:rsid w:val="00297F9E"/>
    <w:rsid w:val="002A0140"/>
    <w:rsid w:val="002A02C9"/>
    <w:rsid w:val="002A0A1A"/>
    <w:rsid w:val="002A55DA"/>
    <w:rsid w:val="002A6696"/>
    <w:rsid w:val="002A6C63"/>
    <w:rsid w:val="002A712E"/>
    <w:rsid w:val="002C066B"/>
    <w:rsid w:val="002C2D73"/>
    <w:rsid w:val="002C3597"/>
    <w:rsid w:val="002D083B"/>
    <w:rsid w:val="002D47E0"/>
    <w:rsid w:val="002D6D17"/>
    <w:rsid w:val="002E0559"/>
    <w:rsid w:val="002E3A0C"/>
    <w:rsid w:val="002E6750"/>
    <w:rsid w:val="002E6A88"/>
    <w:rsid w:val="002E75A8"/>
    <w:rsid w:val="002F233D"/>
    <w:rsid w:val="002F37B1"/>
    <w:rsid w:val="0030280B"/>
    <w:rsid w:val="00302C6D"/>
    <w:rsid w:val="00303BB9"/>
    <w:rsid w:val="00307A63"/>
    <w:rsid w:val="00310832"/>
    <w:rsid w:val="00311F28"/>
    <w:rsid w:val="003127F0"/>
    <w:rsid w:val="00312E32"/>
    <w:rsid w:val="00314CED"/>
    <w:rsid w:val="003216F8"/>
    <w:rsid w:val="00322693"/>
    <w:rsid w:val="0032599F"/>
    <w:rsid w:val="00326803"/>
    <w:rsid w:val="003334E1"/>
    <w:rsid w:val="003338CA"/>
    <w:rsid w:val="003370DF"/>
    <w:rsid w:val="00340D11"/>
    <w:rsid w:val="00340F14"/>
    <w:rsid w:val="0034153F"/>
    <w:rsid w:val="0034201D"/>
    <w:rsid w:val="00343B53"/>
    <w:rsid w:val="0034693E"/>
    <w:rsid w:val="0034761E"/>
    <w:rsid w:val="00350261"/>
    <w:rsid w:val="00350FDD"/>
    <w:rsid w:val="003528DA"/>
    <w:rsid w:val="00356364"/>
    <w:rsid w:val="0036037E"/>
    <w:rsid w:val="003627D5"/>
    <w:rsid w:val="00362C0A"/>
    <w:rsid w:val="00364935"/>
    <w:rsid w:val="00366DF2"/>
    <w:rsid w:val="00372472"/>
    <w:rsid w:val="00372DCA"/>
    <w:rsid w:val="00372F90"/>
    <w:rsid w:val="0037581E"/>
    <w:rsid w:val="0038179E"/>
    <w:rsid w:val="00385F48"/>
    <w:rsid w:val="0038771E"/>
    <w:rsid w:val="00387A22"/>
    <w:rsid w:val="00387FBE"/>
    <w:rsid w:val="00391043"/>
    <w:rsid w:val="003912EC"/>
    <w:rsid w:val="00394E52"/>
    <w:rsid w:val="003A0128"/>
    <w:rsid w:val="003A062F"/>
    <w:rsid w:val="003A1A8E"/>
    <w:rsid w:val="003A5AC7"/>
    <w:rsid w:val="003A762A"/>
    <w:rsid w:val="003B0A9A"/>
    <w:rsid w:val="003B0EFB"/>
    <w:rsid w:val="003B14A3"/>
    <w:rsid w:val="003B30E0"/>
    <w:rsid w:val="003B34DB"/>
    <w:rsid w:val="003C076E"/>
    <w:rsid w:val="003C0E48"/>
    <w:rsid w:val="003C348F"/>
    <w:rsid w:val="003D1526"/>
    <w:rsid w:val="003D4772"/>
    <w:rsid w:val="003E3707"/>
    <w:rsid w:val="003E3CB3"/>
    <w:rsid w:val="003E4F1A"/>
    <w:rsid w:val="003E5F26"/>
    <w:rsid w:val="003E73B7"/>
    <w:rsid w:val="003E750F"/>
    <w:rsid w:val="003F06E1"/>
    <w:rsid w:val="003F2DC7"/>
    <w:rsid w:val="003F4FB8"/>
    <w:rsid w:val="003F4FD8"/>
    <w:rsid w:val="003F532B"/>
    <w:rsid w:val="0040004E"/>
    <w:rsid w:val="0040423E"/>
    <w:rsid w:val="0040445A"/>
    <w:rsid w:val="00404A0E"/>
    <w:rsid w:val="00411357"/>
    <w:rsid w:val="00412DCE"/>
    <w:rsid w:val="00413C01"/>
    <w:rsid w:val="00414DA5"/>
    <w:rsid w:val="00415460"/>
    <w:rsid w:val="00417959"/>
    <w:rsid w:val="0042034C"/>
    <w:rsid w:val="00430639"/>
    <w:rsid w:val="00431E35"/>
    <w:rsid w:val="00431EAC"/>
    <w:rsid w:val="00435776"/>
    <w:rsid w:val="0043728D"/>
    <w:rsid w:val="00444A0C"/>
    <w:rsid w:val="00446D85"/>
    <w:rsid w:val="00451CC9"/>
    <w:rsid w:val="004535B5"/>
    <w:rsid w:val="004624AB"/>
    <w:rsid w:val="004644E6"/>
    <w:rsid w:val="00465465"/>
    <w:rsid w:val="0046657E"/>
    <w:rsid w:val="00471ED1"/>
    <w:rsid w:val="0047247C"/>
    <w:rsid w:val="0047284D"/>
    <w:rsid w:val="004728F4"/>
    <w:rsid w:val="0047342A"/>
    <w:rsid w:val="00473620"/>
    <w:rsid w:val="004765E8"/>
    <w:rsid w:val="00476600"/>
    <w:rsid w:val="00476A82"/>
    <w:rsid w:val="004829C4"/>
    <w:rsid w:val="00484CC3"/>
    <w:rsid w:val="004857BD"/>
    <w:rsid w:val="004863F5"/>
    <w:rsid w:val="004907B8"/>
    <w:rsid w:val="00493CE7"/>
    <w:rsid w:val="00494C25"/>
    <w:rsid w:val="00494D16"/>
    <w:rsid w:val="00496E86"/>
    <w:rsid w:val="004A342A"/>
    <w:rsid w:val="004A4733"/>
    <w:rsid w:val="004A511A"/>
    <w:rsid w:val="004A626F"/>
    <w:rsid w:val="004A6CD4"/>
    <w:rsid w:val="004B05A3"/>
    <w:rsid w:val="004B1B00"/>
    <w:rsid w:val="004B2682"/>
    <w:rsid w:val="004B2F8B"/>
    <w:rsid w:val="004B50F5"/>
    <w:rsid w:val="004B5AC5"/>
    <w:rsid w:val="004B5CA5"/>
    <w:rsid w:val="004B6822"/>
    <w:rsid w:val="004B6BCD"/>
    <w:rsid w:val="004D199B"/>
    <w:rsid w:val="004D2C1A"/>
    <w:rsid w:val="004D604C"/>
    <w:rsid w:val="004D71CB"/>
    <w:rsid w:val="004E1495"/>
    <w:rsid w:val="004E254C"/>
    <w:rsid w:val="004E3A0C"/>
    <w:rsid w:val="004F0764"/>
    <w:rsid w:val="004F0E4F"/>
    <w:rsid w:val="004F101F"/>
    <w:rsid w:val="004F1204"/>
    <w:rsid w:val="004F4FB1"/>
    <w:rsid w:val="004F7F33"/>
    <w:rsid w:val="00502770"/>
    <w:rsid w:val="005065CD"/>
    <w:rsid w:val="00512EE9"/>
    <w:rsid w:val="005138E0"/>
    <w:rsid w:val="00514CEA"/>
    <w:rsid w:val="005158A5"/>
    <w:rsid w:val="00521DBC"/>
    <w:rsid w:val="005229E2"/>
    <w:rsid w:val="00526D00"/>
    <w:rsid w:val="00527B8A"/>
    <w:rsid w:val="00532020"/>
    <w:rsid w:val="00532A27"/>
    <w:rsid w:val="00537318"/>
    <w:rsid w:val="0054047D"/>
    <w:rsid w:val="00543ACD"/>
    <w:rsid w:val="00544916"/>
    <w:rsid w:val="005526AA"/>
    <w:rsid w:val="005564F7"/>
    <w:rsid w:val="00557305"/>
    <w:rsid w:val="0055752B"/>
    <w:rsid w:val="00557A79"/>
    <w:rsid w:val="00561E5F"/>
    <w:rsid w:val="00565A26"/>
    <w:rsid w:val="005728AC"/>
    <w:rsid w:val="0057385C"/>
    <w:rsid w:val="00573FA1"/>
    <w:rsid w:val="00576741"/>
    <w:rsid w:val="00577AF7"/>
    <w:rsid w:val="00577CBA"/>
    <w:rsid w:val="00583ED2"/>
    <w:rsid w:val="00585A95"/>
    <w:rsid w:val="0059601A"/>
    <w:rsid w:val="005A0D37"/>
    <w:rsid w:val="005A319A"/>
    <w:rsid w:val="005A3D74"/>
    <w:rsid w:val="005A4CFF"/>
    <w:rsid w:val="005A6FD0"/>
    <w:rsid w:val="005B5416"/>
    <w:rsid w:val="005C2F15"/>
    <w:rsid w:val="005C790A"/>
    <w:rsid w:val="005D437D"/>
    <w:rsid w:val="005D55C8"/>
    <w:rsid w:val="005D56EF"/>
    <w:rsid w:val="005D5B0E"/>
    <w:rsid w:val="005E0722"/>
    <w:rsid w:val="005E0A44"/>
    <w:rsid w:val="005E1749"/>
    <w:rsid w:val="005E5499"/>
    <w:rsid w:val="005E5F2B"/>
    <w:rsid w:val="005E7FCF"/>
    <w:rsid w:val="005F0E2D"/>
    <w:rsid w:val="005F0F92"/>
    <w:rsid w:val="005F11E0"/>
    <w:rsid w:val="005F2BEE"/>
    <w:rsid w:val="005F2ECD"/>
    <w:rsid w:val="005F4087"/>
    <w:rsid w:val="005F6300"/>
    <w:rsid w:val="005F673E"/>
    <w:rsid w:val="006001DF"/>
    <w:rsid w:val="00600B69"/>
    <w:rsid w:val="00602B14"/>
    <w:rsid w:val="0060370D"/>
    <w:rsid w:val="00604986"/>
    <w:rsid w:val="006050DF"/>
    <w:rsid w:val="00611895"/>
    <w:rsid w:val="00620633"/>
    <w:rsid w:val="00621263"/>
    <w:rsid w:val="00622BA8"/>
    <w:rsid w:val="00624118"/>
    <w:rsid w:val="00627E50"/>
    <w:rsid w:val="0064488B"/>
    <w:rsid w:val="00646B6C"/>
    <w:rsid w:val="0064750B"/>
    <w:rsid w:val="0064781D"/>
    <w:rsid w:val="00647E5C"/>
    <w:rsid w:val="00652CD1"/>
    <w:rsid w:val="00656D8E"/>
    <w:rsid w:val="006672D7"/>
    <w:rsid w:val="00670920"/>
    <w:rsid w:val="00675572"/>
    <w:rsid w:val="006756CB"/>
    <w:rsid w:val="0067672F"/>
    <w:rsid w:val="006772E7"/>
    <w:rsid w:val="0068131D"/>
    <w:rsid w:val="00683897"/>
    <w:rsid w:val="00684CF5"/>
    <w:rsid w:val="00692DDC"/>
    <w:rsid w:val="00692EA4"/>
    <w:rsid w:val="00694730"/>
    <w:rsid w:val="00694E1C"/>
    <w:rsid w:val="0069559F"/>
    <w:rsid w:val="00696538"/>
    <w:rsid w:val="00697C3E"/>
    <w:rsid w:val="006A0162"/>
    <w:rsid w:val="006A25B3"/>
    <w:rsid w:val="006A4CE6"/>
    <w:rsid w:val="006A7D4E"/>
    <w:rsid w:val="006B0FDB"/>
    <w:rsid w:val="006B1A12"/>
    <w:rsid w:val="006B2784"/>
    <w:rsid w:val="006B44BB"/>
    <w:rsid w:val="006B5F5F"/>
    <w:rsid w:val="006B683F"/>
    <w:rsid w:val="006C2264"/>
    <w:rsid w:val="006C45BB"/>
    <w:rsid w:val="006C495C"/>
    <w:rsid w:val="006C4B98"/>
    <w:rsid w:val="006C59C1"/>
    <w:rsid w:val="006C690C"/>
    <w:rsid w:val="006C6CD6"/>
    <w:rsid w:val="006C7E57"/>
    <w:rsid w:val="006D4642"/>
    <w:rsid w:val="006D5BF3"/>
    <w:rsid w:val="006D6B46"/>
    <w:rsid w:val="006E3EE6"/>
    <w:rsid w:val="006E51EC"/>
    <w:rsid w:val="006E5530"/>
    <w:rsid w:val="006E67DC"/>
    <w:rsid w:val="006F0125"/>
    <w:rsid w:val="006F079C"/>
    <w:rsid w:val="006F4014"/>
    <w:rsid w:val="006F58D5"/>
    <w:rsid w:val="006F5986"/>
    <w:rsid w:val="006F60BC"/>
    <w:rsid w:val="006F6BAA"/>
    <w:rsid w:val="00700878"/>
    <w:rsid w:val="00700CA0"/>
    <w:rsid w:val="00701C38"/>
    <w:rsid w:val="00701C5D"/>
    <w:rsid w:val="007031FC"/>
    <w:rsid w:val="00705A20"/>
    <w:rsid w:val="00706412"/>
    <w:rsid w:val="00710350"/>
    <w:rsid w:val="0071050A"/>
    <w:rsid w:val="00711FB3"/>
    <w:rsid w:val="0071280F"/>
    <w:rsid w:val="007133AA"/>
    <w:rsid w:val="0071391B"/>
    <w:rsid w:val="00713F03"/>
    <w:rsid w:val="00714E1D"/>
    <w:rsid w:val="0071684C"/>
    <w:rsid w:val="00716CCC"/>
    <w:rsid w:val="00716F61"/>
    <w:rsid w:val="007210B5"/>
    <w:rsid w:val="00721183"/>
    <w:rsid w:val="00723BEC"/>
    <w:rsid w:val="00725883"/>
    <w:rsid w:val="00726E32"/>
    <w:rsid w:val="00730648"/>
    <w:rsid w:val="00733C82"/>
    <w:rsid w:val="0073509C"/>
    <w:rsid w:val="007363D7"/>
    <w:rsid w:val="00741771"/>
    <w:rsid w:val="00743EFA"/>
    <w:rsid w:val="00744CAD"/>
    <w:rsid w:val="00750983"/>
    <w:rsid w:val="00751069"/>
    <w:rsid w:val="007516BF"/>
    <w:rsid w:val="007535C2"/>
    <w:rsid w:val="00754A23"/>
    <w:rsid w:val="00754FAD"/>
    <w:rsid w:val="00756B50"/>
    <w:rsid w:val="007657D3"/>
    <w:rsid w:val="007707EB"/>
    <w:rsid w:val="00771A2E"/>
    <w:rsid w:val="00774C30"/>
    <w:rsid w:val="007809B6"/>
    <w:rsid w:val="00781D1E"/>
    <w:rsid w:val="00782EA3"/>
    <w:rsid w:val="00783B72"/>
    <w:rsid w:val="007853D8"/>
    <w:rsid w:val="0078630F"/>
    <w:rsid w:val="0079134C"/>
    <w:rsid w:val="00791881"/>
    <w:rsid w:val="00793359"/>
    <w:rsid w:val="007943A6"/>
    <w:rsid w:val="00794CCB"/>
    <w:rsid w:val="00794DEF"/>
    <w:rsid w:val="007953AB"/>
    <w:rsid w:val="007A5A6C"/>
    <w:rsid w:val="007A778B"/>
    <w:rsid w:val="007A7A05"/>
    <w:rsid w:val="007B2578"/>
    <w:rsid w:val="007B33AE"/>
    <w:rsid w:val="007B3C03"/>
    <w:rsid w:val="007B4889"/>
    <w:rsid w:val="007B7F49"/>
    <w:rsid w:val="007C00DE"/>
    <w:rsid w:val="007C3994"/>
    <w:rsid w:val="007C6E91"/>
    <w:rsid w:val="007D68F7"/>
    <w:rsid w:val="007D79B9"/>
    <w:rsid w:val="007E15ED"/>
    <w:rsid w:val="007E50C7"/>
    <w:rsid w:val="007E79E9"/>
    <w:rsid w:val="007E7D16"/>
    <w:rsid w:val="007F1631"/>
    <w:rsid w:val="007F27BD"/>
    <w:rsid w:val="007F3073"/>
    <w:rsid w:val="007F3B0E"/>
    <w:rsid w:val="007F595C"/>
    <w:rsid w:val="007F6A33"/>
    <w:rsid w:val="0080035A"/>
    <w:rsid w:val="00800F45"/>
    <w:rsid w:val="0080245F"/>
    <w:rsid w:val="00803332"/>
    <w:rsid w:val="00804256"/>
    <w:rsid w:val="008042A6"/>
    <w:rsid w:val="00804696"/>
    <w:rsid w:val="00805B1A"/>
    <w:rsid w:val="008065F6"/>
    <w:rsid w:val="00807B45"/>
    <w:rsid w:val="00813288"/>
    <w:rsid w:val="008149CC"/>
    <w:rsid w:val="00814D7F"/>
    <w:rsid w:val="00814E86"/>
    <w:rsid w:val="00815B9D"/>
    <w:rsid w:val="00816E20"/>
    <w:rsid w:val="00817D53"/>
    <w:rsid w:val="00821D8B"/>
    <w:rsid w:val="008251DD"/>
    <w:rsid w:val="00827E30"/>
    <w:rsid w:val="008334D2"/>
    <w:rsid w:val="00837962"/>
    <w:rsid w:val="00837DBF"/>
    <w:rsid w:val="008407DE"/>
    <w:rsid w:val="00840B4B"/>
    <w:rsid w:val="008431D1"/>
    <w:rsid w:val="00845205"/>
    <w:rsid w:val="00845348"/>
    <w:rsid w:val="008454D1"/>
    <w:rsid w:val="00846B52"/>
    <w:rsid w:val="00853D64"/>
    <w:rsid w:val="008651FF"/>
    <w:rsid w:val="008703DB"/>
    <w:rsid w:val="0087255C"/>
    <w:rsid w:val="008737DC"/>
    <w:rsid w:val="0087725E"/>
    <w:rsid w:val="00881A44"/>
    <w:rsid w:val="00882DF5"/>
    <w:rsid w:val="00884166"/>
    <w:rsid w:val="008856D6"/>
    <w:rsid w:val="00894396"/>
    <w:rsid w:val="0089610C"/>
    <w:rsid w:val="00896F1D"/>
    <w:rsid w:val="00897E14"/>
    <w:rsid w:val="008B12B3"/>
    <w:rsid w:val="008B2A90"/>
    <w:rsid w:val="008B39E7"/>
    <w:rsid w:val="008B5F37"/>
    <w:rsid w:val="008B79F6"/>
    <w:rsid w:val="008B7D09"/>
    <w:rsid w:val="008B7EF8"/>
    <w:rsid w:val="008C0C78"/>
    <w:rsid w:val="008C341B"/>
    <w:rsid w:val="008C6D7E"/>
    <w:rsid w:val="008C78DA"/>
    <w:rsid w:val="008D247B"/>
    <w:rsid w:val="008D567C"/>
    <w:rsid w:val="008D6DCB"/>
    <w:rsid w:val="008D6EF2"/>
    <w:rsid w:val="008E12A7"/>
    <w:rsid w:val="008E2835"/>
    <w:rsid w:val="008E5C8C"/>
    <w:rsid w:val="008F188F"/>
    <w:rsid w:val="008F1D26"/>
    <w:rsid w:val="008F1F2C"/>
    <w:rsid w:val="008F7DCD"/>
    <w:rsid w:val="009001CB"/>
    <w:rsid w:val="00902346"/>
    <w:rsid w:val="00902888"/>
    <w:rsid w:val="00902C09"/>
    <w:rsid w:val="009201FF"/>
    <w:rsid w:val="00920523"/>
    <w:rsid w:val="0092153B"/>
    <w:rsid w:val="009218C7"/>
    <w:rsid w:val="00922D40"/>
    <w:rsid w:val="00925789"/>
    <w:rsid w:val="009259CB"/>
    <w:rsid w:val="00940F18"/>
    <w:rsid w:val="00941D3E"/>
    <w:rsid w:val="00942B8A"/>
    <w:rsid w:val="00947801"/>
    <w:rsid w:val="00947C42"/>
    <w:rsid w:val="009531EF"/>
    <w:rsid w:val="00954768"/>
    <w:rsid w:val="009622ED"/>
    <w:rsid w:val="0096381A"/>
    <w:rsid w:val="00963E57"/>
    <w:rsid w:val="0097167D"/>
    <w:rsid w:val="00971F98"/>
    <w:rsid w:val="00973978"/>
    <w:rsid w:val="00973A31"/>
    <w:rsid w:val="00974F19"/>
    <w:rsid w:val="00976036"/>
    <w:rsid w:val="00982121"/>
    <w:rsid w:val="00984DE9"/>
    <w:rsid w:val="00985023"/>
    <w:rsid w:val="00986175"/>
    <w:rsid w:val="009915BA"/>
    <w:rsid w:val="00991ECF"/>
    <w:rsid w:val="00993CB6"/>
    <w:rsid w:val="009A2EBF"/>
    <w:rsid w:val="009A3515"/>
    <w:rsid w:val="009A5F17"/>
    <w:rsid w:val="009B5293"/>
    <w:rsid w:val="009B6D73"/>
    <w:rsid w:val="009B7322"/>
    <w:rsid w:val="009B7512"/>
    <w:rsid w:val="009C081F"/>
    <w:rsid w:val="009C4AE1"/>
    <w:rsid w:val="009C6402"/>
    <w:rsid w:val="009C6B1F"/>
    <w:rsid w:val="009D0E3F"/>
    <w:rsid w:val="009D4339"/>
    <w:rsid w:val="009D4D0E"/>
    <w:rsid w:val="009D747F"/>
    <w:rsid w:val="009E0857"/>
    <w:rsid w:val="009E2536"/>
    <w:rsid w:val="009E5ABF"/>
    <w:rsid w:val="009F04F4"/>
    <w:rsid w:val="009F1E55"/>
    <w:rsid w:val="009F2ECC"/>
    <w:rsid w:val="00A01501"/>
    <w:rsid w:val="00A024E7"/>
    <w:rsid w:val="00A0591E"/>
    <w:rsid w:val="00A11097"/>
    <w:rsid w:val="00A142CB"/>
    <w:rsid w:val="00A17E75"/>
    <w:rsid w:val="00A23AA9"/>
    <w:rsid w:val="00A23AF7"/>
    <w:rsid w:val="00A23F5F"/>
    <w:rsid w:val="00A315E5"/>
    <w:rsid w:val="00A31754"/>
    <w:rsid w:val="00A31B2C"/>
    <w:rsid w:val="00A325B1"/>
    <w:rsid w:val="00A32E81"/>
    <w:rsid w:val="00A338E2"/>
    <w:rsid w:val="00A33BE3"/>
    <w:rsid w:val="00A40286"/>
    <w:rsid w:val="00A43165"/>
    <w:rsid w:val="00A43218"/>
    <w:rsid w:val="00A43B67"/>
    <w:rsid w:val="00A44DDF"/>
    <w:rsid w:val="00A45147"/>
    <w:rsid w:val="00A45659"/>
    <w:rsid w:val="00A465F0"/>
    <w:rsid w:val="00A46EED"/>
    <w:rsid w:val="00A47453"/>
    <w:rsid w:val="00A5179D"/>
    <w:rsid w:val="00A52DC1"/>
    <w:rsid w:val="00A52F5D"/>
    <w:rsid w:val="00A60350"/>
    <w:rsid w:val="00A60765"/>
    <w:rsid w:val="00A65A48"/>
    <w:rsid w:val="00A706BE"/>
    <w:rsid w:val="00A722A7"/>
    <w:rsid w:val="00A72C1A"/>
    <w:rsid w:val="00A75C6B"/>
    <w:rsid w:val="00A7618F"/>
    <w:rsid w:val="00A81637"/>
    <w:rsid w:val="00A81F83"/>
    <w:rsid w:val="00A83467"/>
    <w:rsid w:val="00A843B7"/>
    <w:rsid w:val="00A903CB"/>
    <w:rsid w:val="00A93492"/>
    <w:rsid w:val="00A936F0"/>
    <w:rsid w:val="00A96042"/>
    <w:rsid w:val="00A96AA6"/>
    <w:rsid w:val="00AA055A"/>
    <w:rsid w:val="00AA0C1C"/>
    <w:rsid w:val="00AA247D"/>
    <w:rsid w:val="00AA3766"/>
    <w:rsid w:val="00AA6084"/>
    <w:rsid w:val="00AA7104"/>
    <w:rsid w:val="00AB123F"/>
    <w:rsid w:val="00AB1625"/>
    <w:rsid w:val="00AB1B27"/>
    <w:rsid w:val="00AB6E7A"/>
    <w:rsid w:val="00AC092B"/>
    <w:rsid w:val="00AC4C0C"/>
    <w:rsid w:val="00AC4D00"/>
    <w:rsid w:val="00AD0AB0"/>
    <w:rsid w:val="00AD6A0E"/>
    <w:rsid w:val="00AD6AFC"/>
    <w:rsid w:val="00AD7693"/>
    <w:rsid w:val="00AE03AF"/>
    <w:rsid w:val="00AE489C"/>
    <w:rsid w:val="00AE5BC0"/>
    <w:rsid w:val="00AE74C2"/>
    <w:rsid w:val="00AF2465"/>
    <w:rsid w:val="00AF2CD8"/>
    <w:rsid w:val="00AF77D9"/>
    <w:rsid w:val="00B00206"/>
    <w:rsid w:val="00B03016"/>
    <w:rsid w:val="00B038A1"/>
    <w:rsid w:val="00B1030C"/>
    <w:rsid w:val="00B1539B"/>
    <w:rsid w:val="00B159EC"/>
    <w:rsid w:val="00B17893"/>
    <w:rsid w:val="00B203BC"/>
    <w:rsid w:val="00B22D49"/>
    <w:rsid w:val="00B231AB"/>
    <w:rsid w:val="00B24523"/>
    <w:rsid w:val="00B25825"/>
    <w:rsid w:val="00B26AD4"/>
    <w:rsid w:val="00B27319"/>
    <w:rsid w:val="00B30AD3"/>
    <w:rsid w:val="00B34080"/>
    <w:rsid w:val="00B34E54"/>
    <w:rsid w:val="00B3708F"/>
    <w:rsid w:val="00B40F0D"/>
    <w:rsid w:val="00B42100"/>
    <w:rsid w:val="00B563FC"/>
    <w:rsid w:val="00B631C3"/>
    <w:rsid w:val="00B6340A"/>
    <w:rsid w:val="00B65A9F"/>
    <w:rsid w:val="00B74089"/>
    <w:rsid w:val="00B74D1D"/>
    <w:rsid w:val="00B80174"/>
    <w:rsid w:val="00B8172B"/>
    <w:rsid w:val="00B81E09"/>
    <w:rsid w:val="00B858DF"/>
    <w:rsid w:val="00B85CD8"/>
    <w:rsid w:val="00B878F2"/>
    <w:rsid w:val="00B9063B"/>
    <w:rsid w:val="00B93444"/>
    <w:rsid w:val="00B971F9"/>
    <w:rsid w:val="00BA157F"/>
    <w:rsid w:val="00BA1C40"/>
    <w:rsid w:val="00BA2A02"/>
    <w:rsid w:val="00BA3F72"/>
    <w:rsid w:val="00BA722B"/>
    <w:rsid w:val="00BB09B4"/>
    <w:rsid w:val="00BB198D"/>
    <w:rsid w:val="00BB351D"/>
    <w:rsid w:val="00BB4458"/>
    <w:rsid w:val="00BB5605"/>
    <w:rsid w:val="00BB5D2E"/>
    <w:rsid w:val="00BB5D90"/>
    <w:rsid w:val="00BC009B"/>
    <w:rsid w:val="00BC1027"/>
    <w:rsid w:val="00BC16CA"/>
    <w:rsid w:val="00BC1751"/>
    <w:rsid w:val="00BC4E94"/>
    <w:rsid w:val="00BD52C9"/>
    <w:rsid w:val="00BD52DB"/>
    <w:rsid w:val="00BE37EC"/>
    <w:rsid w:val="00BE4242"/>
    <w:rsid w:val="00BE5D43"/>
    <w:rsid w:val="00BE6A1D"/>
    <w:rsid w:val="00BE6D24"/>
    <w:rsid w:val="00BF0590"/>
    <w:rsid w:val="00BF5866"/>
    <w:rsid w:val="00BF6B16"/>
    <w:rsid w:val="00C0351D"/>
    <w:rsid w:val="00C0358F"/>
    <w:rsid w:val="00C03764"/>
    <w:rsid w:val="00C0388A"/>
    <w:rsid w:val="00C051C2"/>
    <w:rsid w:val="00C11415"/>
    <w:rsid w:val="00C115F9"/>
    <w:rsid w:val="00C116B7"/>
    <w:rsid w:val="00C12013"/>
    <w:rsid w:val="00C138EA"/>
    <w:rsid w:val="00C1397B"/>
    <w:rsid w:val="00C1455B"/>
    <w:rsid w:val="00C174CB"/>
    <w:rsid w:val="00C2200A"/>
    <w:rsid w:val="00C220F4"/>
    <w:rsid w:val="00C23C41"/>
    <w:rsid w:val="00C25E60"/>
    <w:rsid w:val="00C307A4"/>
    <w:rsid w:val="00C311CC"/>
    <w:rsid w:val="00C40873"/>
    <w:rsid w:val="00C44F05"/>
    <w:rsid w:val="00C4539E"/>
    <w:rsid w:val="00C45723"/>
    <w:rsid w:val="00C51DB6"/>
    <w:rsid w:val="00C53A63"/>
    <w:rsid w:val="00C54858"/>
    <w:rsid w:val="00C566EC"/>
    <w:rsid w:val="00C57CDC"/>
    <w:rsid w:val="00C629C1"/>
    <w:rsid w:val="00C62CC3"/>
    <w:rsid w:val="00C62E32"/>
    <w:rsid w:val="00C63255"/>
    <w:rsid w:val="00C647FB"/>
    <w:rsid w:val="00C70F47"/>
    <w:rsid w:val="00C722D7"/>
    <w:rsid w:val="00C74857"/>
    <w:rsid w:val="00C7505F"/>
    <w:rsid w:val="00C753F8"/>
    <w:rsid w:val="00C77FA0"/>
    <w:rsid w:val="00C8155B"/>
    <w:rsid w:val="00C82289"/>
    <w:rsid w:val="00C85BF0"/>
    <w:rsid w:val="00C9136E"/>
    <w:rsid w:val="00C92520"/>
    <w:rsid w:val="00C9722F"/>
    <w:rsid w:val="00CA05FC"/>
    <w:rsid w:val="00CA189D"/>
    <w:rsid w:val="00CA37F1"/>
    <w:rsid w:val="00CA3977"/>
    <w:rsid w:val="00CA6F0E"/>
    <w:rsid w:val="00CA70E1"/>
    <w:rsid w:val="00CB12E2"/>
    <w:rsid w:val="00CB1639"/>
    <w:rsid w:val="00CB1A8F"/>
    <w:rsid w:val="00CB40BD"/>
    <w:rsid w:val="00CC0828"/>
    <w:rsid w:val="00CC0D7D"/>
    <w:rsid w:val="00CC11BF"/>
    <w:rsid w:val="00CC2016"/>
    <w:rsid w:val="00CC3C16"/>
    <w:rsid w:val="00CC6C80"/>
    <w:rsid w:val="00CD1DA7"/>
    <w:rsid w:val="00CD4D6E"/>
    <w:rsid w:val="00CE155E"/>
    <w:rsid w:val="00CE4B29"/>
    <w:rsid w:val="00CE6EF6"/>
    <w:rsid w:val="00CF230C"/>
    <w:rsid w:val="00CF3D61"/>
    <w:rsid w:val="00CF73DD"/>
    <w:rsid w:val="00D0212B"/>
    <w:rsid w:val="00D10ABB"/>
    <w:rsid w:val="00D111B7"/>
    <w:rsid w:val="00D13B16"/>
    <w:rsid w:val="00D14063"/>
    <w:rsid w:val="00D1507E"/>
    <w:rsid w:val="00D15A3B"/>
    <w:rsid w:val="00D15B68"/>
    <w:rsid w:val="00D15BD0"/>
    <w:rsid w:val="00D167D4"/>
    <w:rsid w:val="00D20BF1"/>
    <w:rsid w:val="00D21172"/>
    <w:rsid w:val="00D226D0"/>
    <w:rsid w:val="00D24808"/>
    <w:rsid w:val="00D25DE5"/>
    <w:rsid w:val="00D25F09"/>
    <w:rsid w:val="00D31223"/>
    <w:rsid w:val="00D32DA8"/>
    <w:rsid w:val="00D37315"/>
    <w:rsid w:val="00D43243"/>
    <w:rsid w:val="00D46486"/>
    <w:rsid w:val="00D5360B"/>
    <w:rsid w:val="00D5398C"/>
    <w:rsid w:val="00D53B86"/>
    <w:rsid w:val="00D5514E"/>
    <w:rsid w:val="00D570A9"/>
    <w:rsid w:val="00D60D58"/>
    <w:rsid w:val="00D61AAC"/>
    <w:rsid w:val="00D62CA7"/>
    <w:rsid w:val="00D630AD"/>
    <w:rsid w:val="00D66A7F"/>
    <w:rsid w:val="00D67D5F"/>
    <w:rsid w:val="00D7061D"/>
    <w:rsid w:val="00D70FEF"/>
    <w:rsid w:val="00D71B04"/>
    <w:rsid w:val="00D74075"/>
    <w:rsid w:val="00D745CC"/>
    <w:rsid w:val="00D7656F"/>
    <w:rsid w:val="00D77E25"/>
    <w:rsid w:val="00D81586"/>
    <w:rsid w:val="00D866A6"/>
    <w:rsid w:val="00D86EF6"/>
    <w:rsid w:val="00D87DF8"/>
    <w:rsid w:val="00D87EC2"/>
    <w:rsid w:val="00D918BC"/>
    <w:rsid w:val="00D93B33"/>
    <w:rsid w:val="00D94B28"/>
    <w:rsid w:val="00D94FF4"/>
    <w:rsid w:val="00D95FC6"/>
    <w:rsid w:val="00DA1E19"/>
    <w:rsid w:val="00DA3627"/>
    <w:rsid w:val="00DA3E80"/>
    <w:rsid w:val="00DA5E6D"/>
    <w:rsid w:val="00DB30EE"/>
    <w:rsid w:val="00DB3811"/>
    <w:rsid w:val="00DB795B"/>
    <w:rsid w:val="00DC2103"/>
    <w:rsid w:val="00DC4D8D"/>
    <w:rsid w:val="00DC66B5"/>
    <w:rsid w:val="00DC68BE"/>
    <w:rsid w:val="00DC7EC4"/>
    <w:rsid w:val="00DD02ED"/>
    <w:rsid w:val="00DD1E53"/>
    <w:rsid w:val="00DD3AD6"/>
    <w:rsid w:val="00DD47A3"/>
    <w:rsid w:val="00DD5400"/>
    <w:rsid w:val="00DD63F0"/>
    <w:rsid w:val="00DD6E5B"/>
    <w:rsid w:val="00DD72CD"/>
    <w:rsid w:val="00DE4F4F"/>
    <w:rsid w:val="00DE5617"/>
    <w:rsid w:val="00DE5C1F"/>
    <w:rsid w:val="00DE673F"/>
    <w:rsid w:val="00DE6E2F"/>
    <w:rsid w:val="00DF0643"/>
    <w:rsid w:val="00DF426A"/>
    <w:rsid w:val="00DF5369"/>
    <w:rsid w:val="00DF5CFE"/>
    <w:rsid w:val="00DF6313"/>
    <w:rsid w:val="00E02BDB"/>
    <w:rsid w:val="00E06119"/>
    <w:rsid w:val="00E064B8"/>
    <w:rsid w:val="00E07E2C"/>
    <w:rsid w:val="00E10483"/>
    <w:rsid w:val="00E10931"/>
    <w:rsid w:val="00E123C9"/>
    <w:rsid w:val="00E12EE6"/>
    <w:rsid w:val="00E13548"/>
    <w:rsid w:val="00E14934"/>
    <w:rsid w:val="00E15D3F"/>
    <w:rsid w:val="00E15F52"/>
    <w:rsid w:val="00E22B12"/>
    <w:rsid w:val="00E24302"/>
    <w:rsid w:val="00E25CD3"/>
    <w:rsid w:val="00E25E85"/>
    <w:rsid w:val="00E30EF5"/>
    <w:rsid w:val="00E32FC7"/>
    <w:rsid w:val="00E3357D"/>
    <w:rsid w:val="00E403E7"/>
    <w:rsid w:val="00E40F9B"/>
    <w:rsid w:val="00E42454"/>
    <w:rsid w:val="00E43356"/>
    <w:rsid w:val="00E434A1"/>
    <w:rsid w:val="00E43542"/>
    <w:rsid w:val="00E43B38"/>
    <w:rsid w:val="00E45141"/>
    <w:rsid w:val="00E457B1"/>
    <w:rsid w:val="00E46D9C"/>
    <w:rsid w:val="00E56F19"/>
    <w:rsid w:val="00E62A90"/>
    <w:rsid w:val="00E644A8"/>
    <w:rsid w:val="00E65B8A"/>
    <w:rsid w:val="00E665DC"/>
    <w:rsid w:val="00E73FE7"/>
    <w:rsid w:val="00E741D7"/>
    <w:rsid w:val="00E7435B"/>
    <w:rsid w:val="00E74E73"/>
    <w:rsid w:val="00E7578A"/>
    <w:rsid w:val="00E87DBC"/>
    <w:rsid w:val="00E90F95"/>
    <w:rsid w:val="00E91337"/>
    <w:rsid w:val="00E9242D"/>
    <w:rsid w:val="00E92D65"/>
    <w:rsid w:val="00E94C89"/>
    <w:rsid w:val="00E9571B"/>
    <w:rsid w:val="00EA05B6"/>
    <w:rsid w:val="00EA555A"/>
    <w:rsid w:val="00EA5A13"/>
    <w:rsid w:val="00EA7075"/>
    <w:rsid w:val="00EB67F0"/>
    <w:rsid w:val="00EC2EC8"/>
    <w:rsid w:val="00EC392F"/>
    <w:rsid w:val="00EC51A4"/>
    <w:rsid w:val="00EC78BD"/>
    <w:rsid w:val="00EE7556"/>
    <w:rsid w:val="00EF1B73"/>
    <w:rsid w:val="00EF36BC"/>
    <w:rsid w:val="00F005B5"/>
    <w:rsid w:val="00F0230F"/>
    <w:rsid w:val="00F0435B"/>
    <w:rsid w:val="00F13490"/>
    <w:rsid w:val="00F14806"/>
    <w:rsid w:val="00F159BB"/>
    <w:rsid w:val="00F2521E"/>
    <w:rsid w:val="00F32ADE"/>
    <w:rsid w:val="00F354C6"/>
    <w:rsid w:val="00F35B39"/>
    <w:rsid w:val="00F37CE9"/>
    <w:rsid w:val="00F40DF0"/>
    <w:rsid w:val="00F41BAC"/>
    <w:rsid w:val="00F43535"/>
    <w:rsid w:val="00F45780"/>
    <w:rsid w:val="00F520E0"/>
    <w:rsid w:val="00F52756"/>
    <w:rsid w:val="00F54899"/>
    <w:rsid w:val="00F55564"/>
    <w:rsid w:val="00F6029C"/>
    <w:rsid w:val="00F64E87"/>
    <w:rsid w:val="00F67402"/>
    <w:rsid w:val="00F75484"/>
    <w:rsid w:val="00F76B71"/>
    <w:rsid w:val="00F76BB9"/>
    <w:rsid w:val="00F8035C"/>
    <w:rsid w:val="00F8042E"/>
    <w:rsid w:val="00F8380D"/>
    <w:rsid w:val="00F84253"/>
    <w:rsid w:val="00F85975"/>
    <w:rsid w:val="00F85B0F"/>
    <w:rsid w:val="00F9261F"/>
    <w:rsid w:val="00F938ED"/>
    <w:rsid w:val="00F96C5F"/>
    <w:rsid w:val="00F97B89"/>
    <w:rsid w:val="00FA4522"/>
    <w:rsid w:val="00FA4AED"/>
    <w:rsid w:val="00FA5A78"/>
    <w:rsid w:val="00FA6557"/>
    <w:rsid w:val="00FA74F5"/>
    <w:rsid w:val="00FB285E"/>
    <w:rsid w:val="00FB2F7D"/>
    <w:rsid w:val="00FB5658"/>
    <w:rsid w:val="00FB61D9"/>
    <w:rsid w:val="00FC13E0"/>
    <w:rsid w:val="00FC5A77"/>
    <w:rsid w:val="00FC6A8B"/>
    <w:rsid w:val="00FD0EB0"/>
    <w:rsid w:val="00FD20E2"/>
    <w:rsid w:val="00FE52E9"/>
    <w:rsid w:val="00FE568B"/>
    <w:rsid w:val="00FE6FD1"/>
    <w:rsid w:val="00FF2048"/>
    <w:rsid w:val="00FF414B"/>
    <w:rsid w:val="00FF745C"/>
    <w:rsid w:val="00FF76B3"/>
    <w:rsid w:val="04FEF42B"/>
    <w:rsid w:val="05449781"/>
    <w:rsid w:val="07789A0A"/>
    <w:rsid w:val="0CDDB5C1"/>
    <w:rsid w:val="10732D2E"/>
    <w:rsid w:val="110653F3"/>
    <w:rsid w:val="1236433E"/>
    <w:rsid w:val="15824968"/>
    <w:rsid w:val="1661372B"/>
    <w:rsid w:val="18D23798"/>
    <w:rsid w:val="1C3D6FD3"/>
    <w:rsid w:val="1D599DBC"/>
    <w:rsid w:val="1EF56E1D"/>
    <w:rsid w:val="1EFDAAE5"/>
    <w:rsid w:val="21F27CF2"/>
    <w:rsid w:val="222D0EDF"/>
    <w:rsid w:val="23F3F7F3"/>
    <w:rsid w:val="27641A70"/>
    <w:rsid w:val="2B6480AA"/>
    <w:rsid w:val="2D3D0C25"/>
    <w:rsid w:val="33826282"/>
    <w:rsid w:val="397FC4FF"/>
    <w:rsid w:val="3ACAA980"/>
    <w:rsid w:val="41D1DA27"/>
    <w:rsid w:val="41D949EF"/>
    <w:rsid w:val="483B5E32"/>
    <w:rsid w:val="4979206C"/>
    <w:rsid w:val="4CC4DE6C"/>
    <w:rsid w:val="50936D09"/>
    <w:rsid w:val="546AD548"/>
    <w:rsid w:val="57771CC9"/>
    <w:rsid w:val="57C86411"/>
    <w:rsid w:val="5A79A819"/>
    <w:rsid w:val="611E86B2"/>
    <w:rsid w:val="635DE69D"/>
    <w:rsid w:val="67CB7303"/>
    <w:rsid w:val="6987E7BC"/>
    <w:rsid w:val="69F1ECA0"/>
    <w:rsid w:val="6C78F1A8"/>
    <w:rsid w:val="6EB35135"/>
    <w:rsid w:val="6F28F041"/>
    <w:rsid w:val="72A3EBC5"/>
    <w:rsid w:val="736F927E"/>
    <w:rsid w:val="7693C443"/>
    <w:rsid w:val="7A87A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C3111"/>
  <w15:chartTrackingRefBased/>
  <w15:docId w15:val="{E4D0C8BD-72D0-4A8E-A938-3F713D02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12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3B"/>
  </w:style>
  <w:style w:type="paragraph" w:styleId="Footer">
    <w:name w:val="footer"/>
    <w:basedOn w:val="Normal"/>
    <w:link w:val="FooterChar"/>
    <w:uiPriority w:val="99"/>
    <w:unhideWhenUsed/>
    <w:rsid w:val="0092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3B"/>
  </w:style>
  <w:style w:type="paragraph" w:styleId="ListParagraph">
    <w:name w:val="List Paragraph"/>
    <w:basedOn w:val="Normal"/>
    <w:uiPriority w:val="34"/>
    <w:qFormat/>
    <w:rsid w:val="00A47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4E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6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B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B2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7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7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2784"/>
    <w:rPr>
      <w:sz w:val="22"/>
      <w:szCs w:val="22"/>
    </w:rPr>
  </w:style>
  <w:style w:type="character" w:customStyle="1" w:styleId="BoldItalic">
    <w:name w:val="Bold Italic"/>
    <w:rsid w:val="00D7061D"/>
    <w:rPr>
      <w:b/>
      <w:i/>
    </w:rPr>
  </w:style>
  <w:style w:type="character" w:customStyle="1" w:styleId="Italics">
    <w:name w:val="Italics"/>
    <w:rsid w:val="00D7061D"/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4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49B"/>
  </w:style>
  <w:style w:type="character" w:styleId="FootnoteReference">
    <w:name w:val="footnote reference"/>
    <w:uiPriority w:val="99"/>
    <w:semiHidden/>
    <w:unhideWhenUsed/>
    <w:rsid w:val="000F549B"/>
    <w:rPr>
      <w:vertAlign w:val="superscript"/>
    </w:rPr>
  </w:style>
  <w:style w:type="paragraph" w:customStyle="1" w:styleId="h2">
    <w:name w:val="h2"/>
    <w:basedOn w:val="Heading2"/>
    <w:rsid w:val="006F0125"/>
    <w:pPr>
      <w:spacing w:after="240" w:line="240" w:lineRule="auto"/>
      <w:ind w:left="-1080"/>
    </w:pPr>
    <w:rPr>
      <w:rFonts w:ascii="Proxima Nova Semibold" w:eastAsia="Proxima Nova Light" w:hAnsi="Proxima Nova Semibold" w:cs="Proxima Nova Semibold"/>
      <w:b w:val="0"/>
      <w:bCs w:val="0"/>
      <w:i w:val="0"/>
      <w:iCs w:val="0"/>
      <w:color w:val="006EB7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F012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unhideWhenUsed/>
    <w:rsid w:val="007105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1050A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728A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F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841846D1AC14D9A1733E44FFEC988" ma:contentTypeVersion="4" ma:contentTypeDescription="Create a new document." ma:contentTypeScope="" ma:versionID="92fe7b0d3d28872a434f3c198b3400f1">
  <xsd:schema xmlns:xsd="http://www.w3.org/2001/XMLSchema" xmlns:xs="http://www.w3.org/2001/XMLSchema" xmlns:p="http://schemas.microsoft.com/office/2006/metadata/properties" xmlns:ns2="6404f89c-0e4a-40cb-9f70-de0123f282b5" targetNamespace="http://schemas.microsoft.com/office/2006/metadata/properties" ma:root="true" ma:fieldsID="30a5fc5ddb48a227bb300b16b21f59fe" ns2:_="">
    <xsd:import namespace="6404f89c-0e4a-40cb-9f70-de0123f28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f89c-0e4a-40cb-9f70-de0123f28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AA22D-BEA7-4030-BA58-87A0B7389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4f89c-0e4a-40cb-9f70-de0123f28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75F14-4CDD-4BC7-A5C8-F2AFB681C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EB405-7BB3-44DE-BE15-1FEC57E060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E7006D-C13C-4840-B806-0C4CB5C4A5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4558DB-AE08-4CF0-9A11-8131E59F734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404f89c-0e4a-40cb-9f70-de0123f282b5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95644d4-2cff-4dd6-adc8-6e0af4ec9551}" enabled="1" method="Privileged" siteId="{3bbabadf-0ad6-4f66-984b-4c0586a4ef8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842</Words>
  <Characters>4802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GTLA - Technip - FEED Agrmt - EPC Term Sheet -5-12-15 (00009787-15).DOCX</vt:lpstr>
    </vt:vector>
  </TitlesOfParts>
  <Company>Toshiba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- BTA Form Term Sheet</dc:title>
  <dc:subject>.</dc:subject>
  <dc:creator>RET2</dc:creator>
  <cp:keywords/>
  <cp:lastModifiedBy>Joe Boyles (non-PGE, Contingent)</cp:lastModifiedBy>
  <cp:revision>86</cp:revision>
  <cp:lastPrinted>2021-08-04T21:26:00Z</cp:lastPrinted>
  <dcterms:created xsi:type="dcterms:W3CDTF">2025-03-17T19:17:00Z</dcterms:created>
  <dcterms:modified xsi:type="dcterms:W3CDTF">2025-07-31T14:27:00Z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GEAAO+/T9t20xwn03YQ9DIR+cCqK3J3j2fDGWTBo8UZN5zuBvxZqDxT/VgcMCnQDGyEl16TH5V2ktJT2
4LwKZTm6yfIi5r7z7NB0E340opxVD3pFz1+OrZuv0MAWInUP/an74yp/7SH906F05/fqqw/hGD+r
4qGSwbU6hqUswe1Uae+itFInVU9MZHwmNRVmwHsvikND/TFYpHNxDar17Yo0PlJ15fAJk9PuftrP
DyafLyoKSbS7DjQK0</vt:lpwstr>
  </property>
  <property fmtid="{D5CDD505-2E9C-101B-9397-08002B2CF9AE}" pid="3" name="MAIL_MSG_ID2">
    <vt:lpwstr>xQf5skhIbZa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ABAAv4tRYjpfjUu4X0SSIbrs1mSLnrqRDNUuMyAye6N/9tHrMpdPyqIdhHztO5Rd80Lp</vt:lpwstr>
  </property>
  <property fmtid="{D5CDD505-2E9C-101B-9397-08002B2CF9AE}" pid="6" name="ContentTypeId">
    <vt:lpwstr>0x010100B34841846D1AC14D9A1733E44FFEC988</vt:lpwstr>
  </property>
  <property fmtid="{D5CDD505-2E9C-101B-9397-08002B2CF9AE}" pid="7" name="ContentType">
    <vt:lpwstr>DMS Document</vt:lpwstr>
  </property>
  <property fmtid="{D5CDD505-2E9C-101B-9397-08002B2CF9AE}" pid="8" name="Title">
    <vt:lpwstr>GTLA - Technip - FEED Agrmt - EPC Term Sheet -5-12-15 (00009787-15).DOCX</vt:lpwstr>
  </property>
  <property fmtid="{D5CDD505-2E9C-101B-9397-08002B2CF9AE}" pid="9" name="ClientName">
    <vt:lpwstr>Commercial</vt:lpwstr>
  </property>
  <property fmtid="{D5CDD505-2E9C-101B-9397-08002B2CF9AE}" pid="10" name="ClientCode">
    <vt:lpwstr>CM</vt:lpwstr>
  </property>
  <property fmtid="{D5CDD505-2E9C-101B-9397-08002B2CF9AE}" pid="11" name="MatterName">
    <vt:lpwstr>2021 All-Source Request for Proposal</vt:lpwstr>
  </property>
  <property fmtid="{D5CDD505-2E9C-101B-9397-08002B2CF9AE}" pid="12" name="MatterCode">
    <vt:lpwstr>2021-0320</vt:lpwstr>
  </property>
  <property fmtid="{D5CDD505-2E9C-101B-9397-08002B2CF9AE}" pid="13" name="ob119cbcdbdf4827ad4db1b7619034c6">
    <vt:lpwstr>Agreement|1e090587-8a66-4806-9057-12ca09344b8f</vt:lpwstr>
  </property>
  <property fmtid="{D5CDD505-2E9C-101B-9397-08002B2CF9AE}" pid="14" name="DocumentType">
    <vt:lpwstr>4;#Agreement|1e090587-8a66-4806-9057-12ca09344b8f</vt:lpwstr>
  </property>
  <property fmtid="{D5CDD505-2E9C-101B-9397-08002B2CF9AE}" pid="15" name="a3a9914a3c674d9a95148eb9ad1e4473">
    <vt:lpwstr>Draft|604a4044-d05d-4f89-acb1-f88c8e16ea8d</vt:lpwstr>
  </property>
  <property fmtid="{D5CDD505-2E9C-101B-9397-08002B2CF9AE}" pid="16" name="DocumentStatus">
    <vt:lpwstr>49;#Draft|604a4044-d05d-4f89-acb1-f88c8e16ea8d</vt:lpwstr>
  </property>
  <property fmtid="{D5CDD505-2E9C-101B-9397-08002B2CF9AE}" pid="17" name="DocumentNotes">
    <vt:lpwstr/>
  </property>
  <property fmtid="{D5CDD505-2E9C-101B-9397-08002B2CF9AE}" pid="18" name="TaxCatchAll">
    <vt:lpwstr>4;#Agreement|1e090587-8a66-4806-9057-12ca09344b8f;#49;#Draft|604a4044-d05d-4f89-acb1-f88c8e16ea8d</vt:lpwstr>
  </property>
  <property fmtid="{D5CDD505-2E9C-101B-9397-08002B2CF9AE}" pid="19" name="_dlc_DocId">
    <vt:lpwstr>PGNLEG02-651369317-7</vt:lpwstr>
  </property>
  <property fmtid="{D5CDD505-2E9C-101B-9397-08002B2CF9AE}" pid="20" name="_dlc_DocIdItemGuid">
    <vt:lpwstr>14b84cd3-fa48-4bdd-b5bb-0570591a77d8</vt:lpwstr>
  </property>
  <property fmtid="{D5CDD505-2E9C-101B-9397-08002B2CF9AE}" pid="21" name="_dlc_DocIdUrl">
    <vt:lpwstr>https://pgn4.sharepoint.com/sites/IntLegal_Epona2/_layouts/15/DocIdRedir.aspx?ID=PGNLEG02-651369317-7, PGNLEG02-651369317-7</vt:lpwstr>
  </property>
  <property fmtid="{D5CDD505-2E9C-101B-9397-08002B2CF9AE}" pid="22" name="k8e7c7cc42674c8faac825f0cc56e3c2">
    <vt:lpwstr/>
  </property>
  <property fmtid="{D5CDD505-2E9C-101B-9397-08002B2CF9AE}" pid="23" name="PleadingStatus">
    <vt:lpwstr/>
  </property>
  <property fmtid="{D5CDD505-2E9C-101B-9397-08002B2CF9AE}" pid="24" name="baba8abb9d304c2e8d9fca7dcd5982f2">
    <vt:lpwstr/>
  </property>
  <property fmtid="{D5CDD505-2E9C-101B-9397-08002B2CF9AE}" pid="25" name="PleadingType">
    <vt:lpwstr/>
  </property>
  <property fmtid="{D5CDD505-2E9C-101B-9397-08002B2CF9AE}" pid="26" name="Created">
    <vt:lpwstr>2021-07-27T15:33:00+00:00</vt:lpwstr>
  </property>
  <property fmtid="{D5CDD505-2E9C-101B-9397-08002B2CF9AE}" pid="27" name="Modified">
    <vt:lpwstr>2021-10-14T07:35:00+00:00</vt:lpwstr>
  </property>
  <property fmtid="{D5CDD505-2E9C-101B-9397-08002B2CF9AE}" pid="28" name="Editor">
    <vt:lpwstr>173;#Crystal Lindquist</vt:lpwstr>
  </property>
  <property fmtid="{D5CDD505-2E9C-101B-9397-08002B2CF9AE}" pid="29" name="_UIVersionString">
    <vt:lpwstr>61.0</vt:lpwstr>
  </property>
  <property fmtid="{D5CDD505-2E9C-101B-9397-08002B2CF9AE}" pid="30" name="Technology">
    <vt:lpwstr>32;#SharePoint 2013 Online|3ea8044a-f584-4a5c-bbb1-a6f76bd6ecd7</vt:lpwstr>
  </property>
  <property fmtid="{D5CDD505-2E9C-101B-9397-08002B2CF9AE}" pid="31" name="Project">
    <vt:lpwstr>145;#Cornerstone|c17cba17-f7fb-4962-b86c-d25297aaf2c3</vt:lpwstr>
  </property>
  <property fmtid="{D5CDD505-2E9C-101B-9397-08002B2CF9AE}" pid="32" name="Order">
    <vt:r8>3800</vt:r8>
  </property>
  <property fmtid="{D5CDD505-2E9C-101B-9397-08002B2CF9AE}" pid="33" name="_TemplateID">
    <vt:lpwstr>TC010349271033</vt:lpwstr>
  </property>
  <property fmtid="{D5CDD505-2E9C-101B-9397-08002B2CF9AE}" pid="34" name="Activity">
    <vt:lpwstr>Project Scoping &amp; Estimating</vt:lpwstr>
  </property>
  <property fmtid="{D5CDD505-2E9C-101B-9397-08002B2CF9AE}" pid="35" name="xd_ProgID">
    <vt:lpwstr/>
  </property>
  <property fmtid="{D5CDD505-2E9C-101B-9397-08002B2CF9AE}" pid="36" name="TemplateUrl">
    <vt:lpwstr/>
  </property>
  <property fmtid="{D5CDD505-2E9C-101B-9397-08002B2CF9AE}" pid="37" name="NewClient">
    <vt:lpwstr>57;#Providence|21195286-441e-4f25-92e2-15386a386f34</vt:lpwstr>
  </property>
  <property fmtid="{D5CDD505-2E9C-101B-9397-08002B2CF9AE}" pid="38" name="Project Type">
    <vt:lpwstr>98;#Intranet|8dc20b7a-9892-48f5-a8e5-ce27bd1cbbf4;#121;#responsive|19ddc666-c0e0-461e-8964-42c70202f0f9;#114;#Social|e40f7d2f-3001-45cd-b453-afadb04c3fb0</vt:lpwstr>
  </property>
  <property fmtid="{D5CDD505-2E9C-101B-9397-08002B2CF9AE}" pid="39" name="Lifecycle PHASE">
    <vt:lpwstr>Scope Definition</vt:lpwstr>
  </property>
  <property fmtid="{D5CDD505-2E9C-101B-9397-08002B2CF9AE}" pid="40" name="AssetType">
    <vt:lpwstr>49;#RFP Response|15b701c6-3178-4f4f-9136-6471e8b3bf86</vt:lpwstr>
  </property>
  <property fmtid="{D5CDD505-2E9C-101B-9397-08002B2CF9AE}" pid="41" name="IsMyDocuments">
    <vt:bool>true</vt:bool>
  </property>
  <property fmtid="{D5CDD505-2E9C-101B-9397-08002B2CF9AE}" pid="42" name="xd_Signature">
    <vt:bool>false</vt:bool>
  </property>
  <property fmtid="{D5CDD505-2E9C-101B-9397-08002B2CF9AE}" pid="43" name="Deliverable Order">
    <vt:r8>10</vt:r8>
  </property>
</Properties>
</file>