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2C98" w14:textId="507B14D2" w:rsidR="00261C7E" w:rsidRDefault="00261C7E" w:rsidP="00855D77">
      <w:pPr>
        <w:pStyle w:val="Title"/>
        <w:jc w:val="center"/>
        <w:rPr>
          <w:b/>
          <w:sz w:val="24"/>
          <w:szCs w:val="24"/>
        </w:rPr>
      </w:pPr>
      <w:bookmarkStart w:id="0" w:name="OpenAt"/>
      <w:bookmarkEnd w:id="0"/>
      <w:r>
        <w:rPr>
          <w:noProof/>
        </w:rPr>
        <w:drawing>
          <wp:anchor distT="0" distB="0" distL="114300" distR="114300" simplePos="0" relativeHeight="251658240" behindDoc="1" locked="0" layoutInCell="1" allowOverlap="1" wp14:anchorId="3AF15B84" wp14:editId="1C842D92">
            <wp:simplePos x="0" y="0"/>
            <wp:positionH relativeFrom="page">
              <wp:align>right</wp:align>
            </wp:positionH>
            <wp:positionV relativeFrom="paragraph">
              <wp:posOffset>-778848</wp:posOffset>
            </wp:positionV>
            <wp:extent cx="7772399" cy="10058399"/>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huu\AppData\Local\Microsoft\Windows\INetCache\Content.MSO\AE29A768.tmp"/>
                    <pic:cNvPicPr>
                      <a:picLocks noChangeAspect="1" noChangeArrowheads="1"/>
                    </pic:cNvPicPr>
                  </pic:nvPicPr>
                  <pic:blipFill>
                    <a:blip r:embed="rId11"/>
                    <a:stretch>
                      <a:fillRect/>
                    </a:stretch>
                  </pic:blipFill>
                  <pic:spPr bwMode="auto">
                    <a:xfrm>
                      <a:off x="0" y="0"/>
                      <a:ext cx="7772399" cy="10058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6F0F3" w14:textId="3A477B57" w:rsidR="00261C7E" w:rsidRDefault="00B379EE">
      <w:pPr>
        <w:spacing w:after="160"/>
        <w:rPr>
          <w:rFonts w:asciiTheme="majorHAnsi" w:eastAsiaTheme="majorEastAsia" w:hAnsiTheme="majorHAnsi" w:cstheme="majorBidi"/>
          <w:b/>
          <w:spacing w:val="-10"/>
          <w:kern w:val="28"/>
          <w:sz w:val="24"/>
          <w:szCs w:val="24"/>
        </w:rPr>
      </w:pPr>
      <w:bookmarkStart w:id="1" w:name="_Toc65597643"/>
      <w:r>
        <w:rPr>
          <w:noProof/>
        </w:rPr>
        <mc:AlternateContent>
          <mc:Choice Requires="wps">
            <w:drawing>
              <wp:anchor distT="0" distB="0" distL="114300" distR="114300" simplePos="0" relativeHeight="251658242" behindDoc="0" locked="0" layoutInCell="1" allowOverlap="1" wp14:anchorId="5C020104" wp14:editId="26D1E2D4">
                <wp:simplePos x="0" y="0"/>
                <wp:positionH relativeFrom="margin">
                  <wp:align>left</wp:align>
                </wp:positionH>
                <wp:positionV relativeFrom="paragraph">
                  <wp:posOffset>5947142</wp:posOffset>
                </wp:positionV>
                <wp:extent cx="5735053" cy="167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053" cy="1676400"/>
                        </a:xfrm>
                        <a:prstGeom prst="rect">
                          <a:avLst/>
                        </a:prstGeom>
                        <a:noFill/>
                        <a:ln w="9525">
                          <a:noFill/>
                          <a:miter lim="800000"/>
                          <a:headEnd/>
                          <a:tailEnd/>
                        </a:ln>
                      </wps:spPr>
                      <wps:txbx>
                        <w:txbxContent>
                          <w:p w14:paraId="4E776812" w14:textId="4F869EA6" w:rsidR="00866A63" w:rsidRDefault="00866A63" w:rsidP="00866A63">
                            <w:pPr>
                              <w:spacing w:line="216" w:lineRule="auto"/>
                              <w:rPr>
                                <w:rFonts w:asciiTheme="majorHAnsi" w:hAnsiTheme="majorHAnsi" w:cstheme="majorHAnsi"/>
                                <w:b/>
                                <w:color w:val="FFFEF0" w:themeColor="background2"/>
                                <w:spacing w:val="-30"/>
                                <w:sz w:val="72"/>
                                <w:szCs w:val="72"/>
                              </w:rPr>
                            </w:pPr>
                            <w:r>
                              <w:rPr>
                                <w:rFonts w:asciiTheme="majorHAnsi" w:hAnsiTheme="majorHAnsi" w:cstheme="majorHAnsi"/>
                                <w:b/>
                                <w:color w:val="FFFEF0" w:themeColor="background2"/>
                                <w:spacing w:val="-30"/>
                                <w:sz w:val="72"/>
                                <w:szCs w:val="72"/>
                              </w:rPr>
                              <w:t>202</w:t>
                            </w:r>
                            <w:r w:rsidR="00AC5C40">
                              <w:rPr>
                                <w:rFonts w:asciiTheme="majorHAnsi" w:hAnsiTheme="majorHAnsi" w:cstheme="majorHAnsi"/>
                                <w:b/>
                                <w:color w:val="FFFEF0" w:themeColor="background2"/>
                                <w:spacing w:val="-30"/>
                                <w:sz w:val="72"/>
                                <w:szCs w:val="72"/>
                              </w:rPr>
                              <w:t>5</w:t>
                            </w:r>
                            <w:r>
                              <w:rPr>
                                <w:rFonts w:asciiTheme="majorHAnsi" w:hAnsiTheme="majorHAnsi" w:cstheme="majorHAnsi"/>
                                <w:b/>
                                <w:color w:val="FFFEF0" w:themeColor="background2"/>
                                <w:spacing w:val="-30"/>
                                <w:sz w:val="72"/>
                                <w:szCs w:val="72"/>
                              </w:rPr>
                              <w:t xml:space="preserve"> All-Source RFP</w:t>
                            </w:r>
                          </w:p>
                          <w:p w14:paraId="7A54AF26" w14:textId="2FA7C22C" w:rsidR="006616F0" w:rsidRPr="006616F0" w:rsidRDefault="006616F0" w:rsidP="006616F0">
                            <w:pPr>
                              <w:rPr>
                                <w:rFonts w:ascii="Bahnschrift" w:hAnsi="Bahnschrift"/>
                                <w:color w:val="F7F7F7" w:themeColor="background1"/>
                                <w:sz w:val="32"/>
                                <w:szCs w:val="32"/>
                              </w:rPr>
                            </w:pPr>
                            <w:r w:rsidRPr="006616F0">
                              <w:rPr>
                                <w:rFonts w:ascii="Bahnschrift" w:hAnsi="Bahnschrift"/>
                                <w:color w:val="F7F7F7" w:themeColor="background1"/>
                                <w:sz w:val="32"/>
                                <w:szCs w:val="32"/>
                              </w:rPr>
                              <w:t>Issued July 3</w:t>
                            </w:r>
                            <w:r w:rsidR="00452F0B">
                              <w:rPr>
                                <w:rFonts w:ascii="Bahnschrift" w:hAnsi="Bahnschrift"/>
                                <w:color w:val="F7F7F7" w:themeColor="background1"/>
                                <w:sz w:val="32"/>
                                <w:szCs w:val="32"/>
                              </w:rPr>
                              <w:t>1</w:t>
                            </w:r>
                            <w:r w:rsidRPr="006616F0">
                              <w:rPr>
                                <w:rFonts w:ascii="Bahnschrift" w:hAnsi="Bahnschrift"/>
                                <w:color w:val="F7F7F7" w:themeColor="background1"/>
                                <w:sz w:val="32"/>
                                <w:szCs w:val="32"/>
                              </w:rPr>
                              <w:t>, 2025</w:t>
                            </w:r>
                          </w:p>
                          <w:p w14:paraId="55E05D12" w14:textId="77777777" w:rsidR="00866A63" w:rsidRPr="00B915C7" w:rsidRDefault="00866A63" w:rsidP="00866A63">
                            <w:pPr>
                              <w:spacing w:line="228" w:lineRule="auto"/>
                              <w:rPr>
                                <w:rFonts w:asciiTheme="majorHAnsi" w:hAnsiTheme="majorHAnsi" w:cstheme="majorHAnsi"/>
                                <w:i/>
                                <w:color w:val="FFFEF0" w:themeColor="background2"/>
                                <w:spacing w:val="-6"/>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20104" id="_x0000_t202" coordsize="21600,21600" o:spt="202" path="m,l,21600r21600,l21600,xe">
                <v:stroke joinstyle="miter"/>
                <v:path gradientshapeok="t" o:connecttype="rect"/>
              </v:shapetype>
              <v:shape id="Text Box 307" o:spid="_x0000_s1026" type="#_x0000_t202" style="position:absolute;margin-left:0;margin-top:468.3pt;width:451.6pt;height:132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" filled="f" stroked="f">
                <v:textbox>
                  <w:txbxContent>
                    <w:p w14:paraId="4E776812" w14:textId="4F869EA6" w:rsidR="00866A63" w:rsidRDefault="00866A63" w:rsidP="00866A63">
                      <w:pPr>
                        <w:spacing w:line="216" w:lineRule="auto"/>
                        <w:rPr>
                          <w:rFonts w:asciiTheme="majorHAnsi" w:hAnsiTheme="majorHAnsi" w:cstheme="majorHAnsi"/>
                          <w:b/>
                          <w:color w:val="FFFEF0" w:themeColor="background2"/>
                          <w:spacing w:val="-30"/>
                          <w:sz w:val="72"/>
                          <w:szCs w:val="72"/>
                        </w:rPr>
                      </w:pPr>
                      <w:r>
                        <w:rPr>
                          <w:rFonts w:asciiTheme="majorHAnsi" w:hAnsiTheme="majorHAnsi" w:cstheme="majorHAnsi"/>
                          <w:b/>
                          <w:color w:val="FFFEF0" w:themeColor="background2"/>
                          <w:spacing w:val="-30"/>
                          <w:sz w:val="72"/>
                          <w:szCs w:val="72"/>
                        </w:rPr>
                        <w:t>202</w:t>
                      </w:r>
                      <w:r w:rsidR="00AC5C40">
                        <w:rPr>
                          <w:rFonts w:asciiTheme="majorHAnsi" w:hAnsiTheme="majorHAnsi" w:cstheme="majorHAnsi"/>
                          <w:b/>
                          <w:color w:val="FFFEF0" w:themeColor="background2"/>
                          <w:spacing w:val="-30"/>
                          <w:sz w:val="72"/>
                          <w:szCs w:val="72"/>
                        </w:rPr>
                        <w:t>5</w:t>
                      </w:r>
                      <w:r>
                        <w:rPr>
                          <w:rFonts w:asciiTheme="majorHAnsi" w:hAnsiTheme="majorHAnsi" w:cstheme="majorHAnsi"/>
                          <w:b/>
                          <w:color w:val="FFFEF0" w:themeColor="background2"/>
                          <w:spacing w:val="-30"/>
                          <w:sz w:val="72"/>
                          <w:szCs w:val="72"/>
                        </w:rPr>
                        <w:t xml:space="preserve"> All-Source RFP</w:t>
                      </w:r>
                    </w:p>
                    <w:p w14:paraId="7A54AF26" w14:textId="2FA7C22C" w:rsidR="006616F0" w:rsidRPr="006616F0" w:rsidRDefault="006616F0" w:rsidP="006616F0">
                      <w:pPr>
                        <w:rPr>
                          <w:rFonts w:ascii="Bahnschrift" w:hAnsi="Bahnschrift"/>
                          <w:color w:val="F7F7F7" w:themeColor="background1"/>
                          <w:sz w:val="32"/>
                          <w:szCs w:val="32"/>
                        </w:rPr>
                      </w:pPr>
                      <w:r w:rsidRPr="006616F0">
                        <w:rPr>
                          <w:rFonts w:ascii="Bahnschrift" w:hAnsi="Bahnschrift"/>
                          <w:color w:val="F7F7F7" w:themeColor="background1"/>
                          <w:sz w:val="32"/>
                          <w:szCs w:val="32"/>
                        </w:rPr>
                        <w:t>Issued July 3</w:t>
                      </w:r>
                      <w:r w:rsidR="00452F0B">
                        <w:rPr>
                          <w:rFonts w:ascii="Bahnschrift" w:hAnsi="Bahnschrift"/>
                          <w:color w:val="F7F7F7" w:themeColor="background1"/>
                          <w:sz w:val="32"/>
                          <w:szCs w:val="32"/>
                        </w:rPr>
                        <w:t>1</w:t>
                      </w:r>
                      <w:r w:rsidRPr="006616F0">
                        <w:rPr>
                          <w:rFonts w:ascii="Bahnschrift" w:hAnsi="Bahnschrift"/>
                          <w:color w:val="F7F7F7" w:themeColor="background1"/>
                          <w:sz w:val="32"/>
                          <w:szCs w:val="32"/>
                        </w:rPr>
                        <w:t>, 2025</w:t>
                      </w:r>
                    </w:p>
                    <w:p w14:paraId="55E05D12" w14:textId="77777777" w:rsidR="00866A63" w:rsidRPr="00B915C7" w:rsidRDefault="00866A63" w:rsidP="00866A63">
                      <w:pPr>
                        <w:spacing w:line="228" w:lineRule="auto"/>
                        <w:rPr>
                          <w:rFonts w:asciiTheme="majorHAnsi" w:hAnsiTheme="majorHAnsi" w:cstheme="majorHAnsi"/>
                          <w:i/>
                          <w:color w:val="FFFEF0" w:themeColor="background2"/>
                          <w:spacing w:val="-6"/>
                          <w:sz w:val="32"/>
                          <w:szCs w:val="40"/>
                        </w:rPr>
                      </w:pPr>
                    </w:p>
                  </w:txbxContent>
                </v:textbox>
                <w10:wrap anchorx="margin"/>
              </v:shape>
            </w:pict>
          </mc:Fallback>
        </mc:AlternateContent>
      </w:r>
      <w:r w:rsidR="00866A63">
        <w:rPr>
          <w:noProof/>
        </w:rPr>
        <mc:AlternateContent>
          <mc:Choice Requires="wps">
            <w:drawing>
              <wp:anchor distT="0" distB="0" distL="114300" distR="114300" simplePos="0" relativeHeight="251658241" behindDoc="0" locked="0" layoutInCell="1" allowOverlap="1" wp14:anchorId="23AA3384" wp14:editId="2B8FC227">
                <wp:simplePos x="0" y="0"/>
                <wp:positionH relativeFrom="page">
                  <wp:posOffset>1010653</wp:posOffset>
                </wp:positionH>
                <wp:positionV relativeFrom="paragraph">
                  <wp:posOffset>653382</wp:posOffset>
                </wp:positionV>
                <wp:extent cx="6481010" cy="23368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010" cy="2336800"/>
                        </a:xfrm>
                        <a:prstGeom prst="rect">
                          <a:avLst/>
                        </a:prstGeom>
                        <a:noFill/>
                        <a:ln w="9525">
                          <a:noFill/>
                          <a:miter lim="800000"/>
                          <a:headEnd/>
                          <a:tailEnd/>
                        </a:ln>
                      </wps:spPr>
                      <wps:txbx>
                        <w:txbxContent>
                          <w:p w14:paraId="59B9F039" w14:textId="7D3AAE20" w:rsidR="00905134" w:rsidRPr="00715EDF" w:rsidRDefault="00905134" w:rsidP="00905134">
                            <w:pPr>
                              <w:spacing w:line="216" w:lineRule="auto"/>
                              <w:rPr>
                                <w:rFonts w:asciiTheme="majorHAnsi" w:hAnsiTheme="majorHAnsi" w:cstheme="majorHAnsi"/>
                                <w:bCs/>
                                <w:color w:val="FFFEF0" w:themeColor="background2"/>
                                <w:spacing w:val="-30"/>
                                <w:sz w:val="52"/>
                                <w:szCs w:val="52"/>
                              </w:rPr>
                            </w:pPr>
                            <w:r>
                              <w:rPr>
                                <w:rFonts w:asciiTheme="majorHAnsi" w:hAnsiTheme="majorHAnsi" w:cstheme="majorHAnsi"/>
                                <w:bCs/>
                                <w:color w:val="FFFEF0" w:themeColor="background2"/>
                                <w:spacing w:val="-30"/>
                                <w:sz w:val="52"/>
                                <w:szCs w:val="52"/>
                              </w:rPr>
                              <w:t xml:space="preserve">Appendix </w:t>
                            </w:r>
                            <w:r w:rsidR="00184D3D">
                              <w:rPr>
                                <w:rFonts w:asciiTheme="majorHAnsi" w:hAnsiTheme="majorHAnsi" w:cstheme="majorHAnsi"/>
                                <w:bCs/>
                                <w:color w:val="FFFEF0" w:themeColor="background2"/>
                                <w:spacing w:val="-30"/>
                                <w:sz w:val="52"/>
                                <w:szCs w:val="52"/>
                              </w:rPr>
                              <w:t>G</w:t>
                            </w:r>
                          </w:p>
                          <w:p w14:paraId="4D41AED8" w14:textId="77777777" w:rsidR="00905134" w:rsidRPr="00715EDF" w:rsidRDefault="00905134" w:rsidP="00905134">
                            <w:pPr>
                              <w:spacing w:line="216" w:lineRule="auto"/>
                              <w:rPr>
                                <w:rFonts w:asciiTheme="majorHAnsi" w:hAnsiTheme="majorHAnsi" w:cstheme="majorHAnsi"/>
                                <w:b/>
                                <w:color w:val="FFFEF0" w:themeColor="background2"/>
                                <w:spacing w:val="-30"/>
                                <w:sz w:val="120"/>
                                <w:szCs w:val="120"/>
                              </w:rPr>
                            </w:pPr>
                            <w:r>
                              <w:rPr>
                                <w:rFonts w:asciiTheme="majorHAnsi" w:hAnsiTheme="majorHAnsi" w:cstheme="majorHAnsi"/>
                                <w:b/>
                                <w:color w:val="FFFEF0" w:themeColor="background2"/>
                                <w:spacing w:val="-30"/>
                                <w:sz w:val="120"/>
                                <w:szCs w:val="120"/>
                              </w:rPr>
                              <w:t>Storage Capacity Form Term Sheet</w:t>
                            </w:r>
                            <w:r w:rsidRPr="00715EDF">
                              <w:rPr>
                                <w:rFonts w:asciiTheme="majorHAnsi" w:hAnsiTheme="majorHAnsi" w:cstheme="majorHAnsi"/>
                                <w:b/>
                                <w:color w:val="FFFEF0" w:themeColor="background2"/>
                                <w:spacing w:val="-30"/>
                                <w:sz w:val="120"/>
                                <w:szCs w:val="120"/>
                              </w:rPr>
                              <w:t xml:space="preserve"> </w:t>
                            </w:r>
                          </w:p>
                          <w:p w14:paraId="6BDD8323" w14:textId="77777777" w:rsidR="00905134" w:rsidRPr="00715EDF" w:rsidRDefault="00905134" w:rsidP="00905134">
                            <w:pPr>
                              <w:spacing w:line="216" w:lineRule="auto"/>
                              <w:rPr>
                                <w:rFonts w:asciiTheme="majorHAnsi" w:hAnsiTheme="majorHAnsi" w:cstheme="majorHAnsi"/>
                                <w:b/>
                                <w:color w:val="FFFEF0" w:themeColor="background2"/>
                                <w:spacing w:val="-30"/>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3384" id="Text Box 5" o:spid="_x0000_s1027" type="#_x0000_t202" style="position:absolute;margin-left:79.6pt;margin-top:51.45pt;width:510.3pt;height:18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" filled="f" stroked="f">
                <v:textbox>
                  <w:txbxContent>
                    <w:p w14:paraId="59B9F039" w14:textId="7D3AAE20" w:rsidR="00905134" w:rsidRPr="00715EDF" w:rsidRDefault="00905134" w:rsidP="00905134">
                      <w:pPr>
                        <w:spacing w:line="216" w:lineRule="auto"/>
                        <w:rPr>
                          <w:rFonts w:asciiTheme="majorHAnsi" w:hAnsiTheme="majorHAnsi" w:cstheme="majorHAnsi"/>
                          <w:bCs/>
                          <w:color w:val="FFFEF0" w:themeColor="background2"/>
                          <w:spacing w:val="-30"/>
                          <w:sz w:val="52"/>
                          <w:szCs w:val="52"/>
                        </w:rPr>
                      </w:pPr>
                      <w:r>
                        <w:rPr>
                          <w:rFonts w:asciiTheme="majorHAnsi" w:hAnsiTheme="majorHAnsi" w:cstheme="majorHAnsi"/>
                          <w:bCs/>
                          <w:color w:val="FFFEF0" w:themeColor="background2"/>
                          <w:spacing w:val="-30"/>
                          <w:sz w:val="52"/>
                          <w:szCs w:val="52"/>
                        </w:rPr>
                        <w:t xml:space="preserve">Appendix </w:t>
                      </w:r>
                      <w:r w:rsidR="00184D3D">
                        <w:rPr>
                          <w:rFonts w:asciiTheme="majorHAnsi" w:hAnsiTheme="majorHAnsi" w:cstheme="majorHAnsi"/>
                          <w:bCs/>
                          <w:color w:val="FFFEF0" w:themeColor="background2"/>
                          <w:spacing w:val="-30"/>
                          <w:sz w:val="52"/>
                          <w:szCs w:val="52"/>
                        </w:rPr>
                        <w:t>G</w:t>
                      </w:r>
                    </w:p>
                    <w:p w14:paraId="4D41AED8" w14:textId="77777777" w:rsidR="00905134" w:rsidRPr="00715EDF" w:rsidRDefault="00905134" w:rsidP="00905134">
                      <w:pPr>
                        <w:spacing w:line="216" w:lineRule="auto"/>
                        <w:rPr>
                          <w:rFonts w:asciiTheme="majorHAnsi" w:hAnsiTheme="majorHAnsi" w:cstheme="majorHAnsi"/>
                          <w:b/>
                          <w:color w:val="FFFEF0" w:themeColor="background2"/>
                          <w:spacing w:val="-30"/>
                          <w:sz w:val="120"/>
                          <w:szCs w:val="120"/>
                        </w:rPr>
                      </w:pPr>
                      <w:r>
                        <w:rPr>
                          <w:rFonts w:asciiTheme="majorHAnsi" w:hAnsiTheme="majorHAnsi" w:cstheme="majorHAnsi"/>
                          <w:b/>
                          <w:color w:val="FFFEF0" w:themeColor="background2"/>
                          <w:spacing w:val="-30"/>
                          <w:sz w:val="120"/>
                          <w:szCs w:val="120"/>
                        </w:rPr>
                        <w:t>Storage Capacity Form Term Sheet</w:t>
                      </w:r>
                      <w:r w:rsidRPr="00715EDF">
                        <w:rPr>
                          <w:rFonts w:asciiTheme="majorHAnsi" w:hAnsiTheme="majorHAnsi" w:cstheme="majorHAnsi"/>
                          <w:b/>
                          <w:color w:val="FFFEF0" w:themeColor="background2"/>
                          <w:spacing w:val="-30"/>
                          <w:sz w:val="120"/>
                          <w:szCs w:val="120"/>
                        </w:rPr>
                        <w:t xml:space="preserve"> </w:t>
                      </w:r>
                    </w:p>
                    <w:p w14:paraId="6BDD8323" w14:textId="77777777" w:rsidR="00905134" w:rsidRPr="00715EDF" w:rsidRDefault="00905134" w:rsidP="00905134">
                      <w:pPr>
                        <w:spacing w:line="216" w:lineRule="auto"/>
                        <w:rPr>
                          <w:rFonts w:asciiTheme="majorHAnsi" w:hAnsiTheme="majorHAnsi" w:cstheme="majorHAnsi"/>
                          <w:b/>
                          <w:color w:val="FFFEF0" w:themeColor="background2"/>
                          <w:spacing w:val="-30"/>
                          <w:sz w:val="52"/>
                          <w:szCs w:val="52"/>
                        </w:rPr>
                      </w:pPr>
                    </w:p>
                  </w:txbxContent>
                </v:textbox>
                <w10:wrap anchorx="page"/>
              </v:shape>
            </w:pict>
          </mc:Fallback>
        </mc:AlternateContent>
      </w:r>
      <w:bookmarkEnd w:id="1"/>
      <w:r w:rsidR="00261C7E">
        <w:rPr>
          <w:b/>
          <w:sz w:val="24"/>
          <w:szCs w:val="24"/>
        </w:rPr>
        <w:br w:type="page"/>
      </w:r>
    </w:p>
    <w:p w14:paraId="4831B2DE" w14:textId="11839D74" w:rsidR="00855D77" w:rsidRPr="006D4815" w:rsidRDefault="00855D77" w:rsidP="006D4815">
      <w:pPr>
        <w:pStyle w:val="Title"/>
        <w:spacing w:before="120" w:after="120" w:line="120" w:lineRule="atLeast"/>
        <w:jc w:val="center"/>
        <w:rPr>
          <w:rFonts w:asciiTheme="minorHAnsi" w:hAnsiTheme="minorHAnsi"/>
          <w:b/>
          <w:sz w:val="22"/>
          <w:szCs w:val="22"/>
        </w:rPr>
      </w:pPr>
      <w:r w:rsidRPr="006D4815">
        <w:rPr>
          <w:rFonts w:asciiTheme="minorHAnsi" w:hAnsiTheme="minorHAnsi"/>
          <w:b/>
          <w:sz w:val="22"/>
          <w:szCs w:val="22"/>
        </w:rPr>
        <w:lastRenderedPageBreak/>
        <w:t>Portland General Electric Company</w:t>
      </w:r>
    </w:p>
    <w:p w14:paraId="0E483C44" w14:textId="24DE6163" w:rsidR="00855D77" w:rsidRPr="006D4815" w:rsidRDefault="00855D77" w:rsidP="006D4815">
      <w:pPr>
        <w:pStyle w:val="Subtitle"/>
        <w:spacing w:before="120" w:line="120" w:lineRule="atLeast"/>
        <w:ind w:left="0"/>
        <w:jc w:val="center"/>
        <w:rPr>
          <w:rFonts w:asciiTheme="minorHAnsi" w:hAnsiTheme="minorHAnsi"/>
        </w:rPr>
      </w:pPr>
      <w:r w:rsidRPr="006D4815">
        <w:rPr>
          <w:rFonts w:asciiTheme="minorHAnsi" w:hAnsiTheme="minorHAnsi"/>
        </w:rPr>
        <w:t>Non-</w:t>
      </w:r>
      <w:r w:rsidR="00227A89" w:rsidRPr="006D4815">
        <w:rPr>
          <w:rFonts w:asciiTheme="minorHAnsi" w:hAnsiTheme="minorHAnsi"/>
        </w:rPr>
        <w:t>B</w:t>
      </w:r>
      <w:r w:rsidRPr="006D4815">
        <w:rPr>
          <w:rFonts w:asciiTheme="minorHAnsi" w:hAnsiTheme="minorHAnsi"/>
        </w:rPr>
        <w:t>inding Indicative Term Sheet for</w:t>
      </w:r>
      <w:r w:rsidR="00453D8D" w:rsidRPr="006D4815">
        <w:rPr>
          <w:rFonts w:asciiTheme="minorHAnsi" w:hAnsiTheme="minorHAnsi"/>
        </w:rPr>
        <w:t xml:space="preserve"> </w:t>
      </w:r>
      <w:r w:rsidR="002968CE" w:rsidRPr="006D4815">
        <w:rPr>
          <w:rFonts w:asciiTheme="minorHAnsi" w:hAnsiTheme="minorHAnsi"/>
        </w:rPr>
        <w:t xml:space="preserve">Storage </w:t>
      </w:r>
      <w:r w:rsidR="00AC5C40" w:rsidRPr="006D4815">
        <w:rPr>
          <w:rFonts w:asciiTheme="minorHAnsi" w:hAnsiTheme="minorHAnsi"/>
        </w:rPr>
        <w:t>R</w:t>
      </w:r>
      <w:r w:rsidR="000F4613" w:rsidRPr="006D4815">
        <w:rPr>
          <w:rFonts w:asciiTheme="minorHAnsi" w:hAnsiTheme="minorHAnsi"/>
        </w:rPr>
        <w:t>esources</w:t>
      </w:r>
    </w:p>
    <w:p w14:paraId="1A136618" w14:textId="2FD3CD2F" w:rsidR="0025688B" w:rsidRPr="006D4815" w:rsidRDefault="00F204AA" w:rsidP="00113357">
      <w:pPr>
        <w:rPr>
          <w:rFonts w:asciiTheme="minorHAnsi" w:hAnsiTheme="minorHAnsi"/>
        </w:rPr>
      </w:pPr>
      <w:r w:rsidRPr="006D4815">
        <w:rPr>
          <w:rFonts w:asciiTheme="minorHAnsi" w:eastAsia="Times New Roman" w:hAnsiTheme="minorHAnsi"/>
          <w:bCs/>
          <w:i/>
          <w:iCs/>
          <w:color w:val="000000"/>
          <w:lang w:val="en-GB"/>
        </w:rPr>
        <w:t>Note: The following represents a summary of certain material terms and conditions for Bidders to PGE’s 202</w:t>
      </w:r>
      <w:r w:rsidR="00AC5C40" w:rsidRPr="006D4815">
        <w:rPr>
          <w:rFonts w:asciiTheme="minorHAnsi" w:eastAsia="Times New Roman" w:hAnsiTheme="minorHAnsi"/>
          <w:bCs/>
          <w:i/>
          <w:iCs/>
          <w:color w:val="000000"/>
          <w:lang w:val="en-GB"/>
        </w:rPr>
        <w:t>5</w:t>
      </w:r>
      <w:r w:rsidRPr="006D4815">
        <w:rPr>
          <w:rFonts w:asciiTheme="minorHAnsi" w:eastAsia="Times New Roman" w:hAnsiTheme="minorHAnsi"/>
          <w:bCs/>
          <w:i/>
          <w:iCs/>
          <w:color w:val="000000"/>
          <w:lang w:val="en-GB"/>
        </w:rPr>
        <w:t xml:space="preserve"> All-Source RFP (RFP) seeking to execute a Storage </w:t>
      </w:r>
      <w:r w:rsidR="00320DC2" w:rsidRPr="006D4815">
        <w:rPr>
          <w:rFonts w:asciiTheme="minorHAnsi" w:eastAsia="Times New Roman" w:hAnsiTheme="minorHAnsi"/>
          <w:bCs/>
          <w:i/>
          <w:iCs/>
          <w:color w:val="000000"/>
          <w:lang w:val="en-GB"/>
        </w:rPr>
        <w:t>Capacity</w:t>
      </w:r>
      <w:r w:rsidRPr="006D4815">
        <w:rPr>
          <w:rFonts w:asciiTheme="minorHAnsi" w:eastAsia="Times New Roman" w:hAnsiTheme="minorHAnsi"/>
          <w:bCs/>
          <w:i/>
          <w:iCs/>
          <w:color w:val="000000"/>
          <w:lang w:val="en-GB"/>
        </w:rPr>
        <w:t xml:space="preserve"> </w:t>
      </w:r>
      <w:r w:rsidR="00320DC2" w:rsidRPr="006D4815">
        <w:rPr>
          <w:rFonts w:asciiTheme="minorHAnsi" w:eastAsia="Times New Roman" w:hAnsiTheme="minorHAnsi"/>
          <w:bCs/>
          <w:i/>
          <w:iCs/>
          <w:color w:val="000000"/>
          <w:lang w:val="en-GB"/>
        </w:rPr>
        <w:t>A</w:t>
      </w:r>
      <w:r w:rsidRPr="006D4815">
        <w:rPr>
          <w:rFonts w:asciiTheme="minorHAnsi" w:eastAsia="Times New Roman" w:hAnsiTheme="minorHAnsi"/>
          <w:bCs/>
          <w:i/>
          <w:iCs/>
          <w:color w:val="000000"/>
          <w:lang w:val="en-GB"/>
        </w:rPr>
        <w:t>greement (</w:t>
      </w:r>
      <w:r w:rsidR="00320DC2" w:rsidRPr="006D4815">
        <w:rPr>
          <w:rFonts w:asciiTheme="minorHAnsi" w:eastAsia="Times New Roman" w:hAnsiTheme="minorHAnsi"/>
          <w:bCs/>
          <w:i/>
          <w:iCs/>
          <w:color w:val="000000"/>
          <w:lang w:val="en-GB"/>
        </w:rPr>
        <w:t>SC</w:t>
      </w:r>
      <w:r w:rsidRPr="006D4815">
        <w:rPr>
          <w:rFonts w:asciiTheme="minorHAnsi" w:eastAsia="Times New Roman" w:hAnsiTheme="minorHAnsi"/>
          <w:bCs/>
          <w:i/>
          <w:iCs/>
          <w:color w:val="000000"/>
          <w:lang w:val="en-GB"/>
        </w:rPr>
        <w:t>A)</w:t>
      </w:r>
      <w:r w:rsidR="006D4815" w:rsidRPr="006D4815">
        <w:rPr>
          <w:rFonts w:asciiTheme="minorHAnsi" w:eastAsia="Times New Roman" w:hAnsiTheme="minorHAnsi"/>
          <w:bCs/>
          <w:i/>
          <w:iCs/>
          <w:color w:val="000000"/>
          <w:lang w:val="en-GB"/>
        </w:rPr>
        <w:t>, that are in addition to the Minimum Bidder Requirements set forth in the RFP</w:t>
      </w:r>
      <w:r w:rsidRPr="006D4815">
        <w:rPr>
          <w:rFonts w:asciiTheme="minorHAnsi" w:eastAsia="Times New Roman" w:hAnsiTheme="minorHAnsi"/>
          <w:bCs/>
          <w:i/>
          <w:iCs/>
          <w:color w:val="000000"/>
          <w:lang w:val="en-GB"/>
        </w:rPr>
        <w:t xml:space="preserve">. </w:t>
      </w:r>
      <w:r w:rsidR="0049563A" w:rsidRPr="006D4815">
        <w:rPr>
          <w:rFonts w:asciiTheme="minorHAnsi" w:eastAsia="Times New Roman" w:hAnsiTheme="minorHAnsi"/>
          <w:bCs/>
          <w:i/>
          <w:iCs/>
          <w:color w:val="000000"/>
          <w:lang w:val="en-GB"/>
        </w:rPr>
        <w:t xml:space="preserve">This term sheet is tailored for an on-system battery storage resource.  To the extent a </w:t>
      </w:r>
      <w:r w:rsidR="00F52A66" w:rsidRPr="006D4815">
        <w:rPr>
          <w:rFonts w:asciiTheme="minorHAnsi" w:eastAsia="Times New Roman" w:hAnsiTheme="minorHAnsi"/>
          <w:bCs/>
          <w:i/>
          <w:iCs/>
          <w:color w:val="000000"/>
          <w:lang w:val="en-GB"/>
        </w:rPr>
        <w:t>B</w:t>
      </w:r>
      <w:r w:rsidR="0049563A" w:rsidRPr="006D4815">
        <w:rPr>
          <w:rFonts w:asciiTheme="minorHAnsi" w:eastAsia="Times New Roman" w:hAnsiTheme="minorHAnsi"/>
          <w:bCs/>
          <w:i/>
          <w:iCs/>
          <w:color w:val="000000"/>
          <w:lang w:val="en-GB"/>
        </w:rPr>
        <w:t xml:space="preserve">idder would like to propose an off-system or non-battery storage resource, certain terms and conditions will need to be updated (e.g., interconnection and transmission requirements, scheduling requirements, procurement of charging energy, etc.). </w:t>
      </w:r>
      <w:r w:rsidRPr="006D4815">
        <w:rPr>
          <w:rFonts w:asciiTheme="minorHAnsi" w:eastAsia="Times New Roman" w:hAnsiTheme="minorHAnsi"/>
          <w:bCs/>
          <w:i/>
          <w:iCs/>
          <w:color w:val="000000"/>
          <w:lang w:val="en-GB"/>
        </w:rPr>
        <w:t xml:space="preserve">The following is not an exhaustive list of all material terms, nor does it purport to comprehensively express PGE’s expectations for any of the terms </w:t>
      </w:r>
      <w:r w:rsidR="006D4815" w:rsidRPr="006D4815">
        <w:rPr>
          <w:rFonts w:asciiTheme="minorHAnsi" w:eastAsia="Times New Roman" w:hAnsiTheme="minorHAnsi"/>
          <w:bCs/>
          <w:i/>
          <w:iCs/>
          <w:color w:val="000000"/>
          <w:lang w:val="en-GB"/>
        </w:rPr>
        <w:t>set forth in this term sheet</w:t>
      </w:r>
      <w:r w:rsidRPr="006D4815">
        <w:rPr>
          <w:rFonts w:asciiTheme="minorHAnsi" w:eastAsia="Times New Roman" w:hAnsiTheme="minorHAnsi"/>
          <w:bCs/>
          <w:i/>
          <w:iCs/>
          <w:color w:val="000000"/>
          <w:lang w:val="en-GB"/>
        </w:rPr>
        <w:t xml:space="preserve">. Full-form, definitive terms </w:t>
      </w:r>
      <w:r w:rsidR="00F52A66" w:rsidRPr="006D4815">
        <w:rPr>
          <w:rFonts w:asciiTheme="minorHAnsi" w:eastAsia="Times New Roman" w:hAnsiTheme="minorHAnsi"/>
          <w:bCs/>
          <w:i/>
          <w:iCs/>
          <w:color w:val="000000"/>
          <w:lang w:val="en-GB"/>
        </w:rPr>
        <w:t>are</w:t>
      </w:r>
      <w:r w:rsidRPr="006D4815">
        <w:rPr>
          <w:rFonts w:asciiTheme="minorHAnsi" w:eastAsia="Times New Roman" w:hAnsiTheme="minorHAnsi"/>
          <w:bCs/>
          <w:i/>
          <w:iCs/>
          <w:color w:val="000000"/>
          <w:lang w:val="en-GB"/>
        </w:rPr>
        <w:t xml:space="preserve"> set forth in PGE’s form </w:t>
      </w:r>
      <w:r w:rsidR="00320DC2" w:rsidRPr="006D4815">
        <w:rPr>
          <w:rFonts w:asciiTheme="minorHAnsi" w:eastAsia="Times New Roman" w:hAnsiTheme="minorHAnsi"/>
          <w:bCs/>
          <w:i/>
          <w:iCs/>
          <w:color w:val="000000"/>
          <w:lang w:val="en-GB"/>
        </w:rPr>
        <w:t>SCA</w:t>
      </w:r>
      <w:r w:rsidRPr="006D4815">
        <w:rPr>
          <w:rFonts w:asciiTheme="minorHAnsi" w:eastAsia="Times New Roman" w:hAnsiTheme="minorHAnsi"/>
          <w:bCs/>
          <w:i/>
          <w:iCs/>
          <w:color w:val="000000"/>
          <w:lang w:val="en-GB"/>
        </w:rPr>
        <w:t xml:space="preserve"> issued in connection with the RFP. </w:t>
      </w:r>
    </w:p>
    <w:tbl>
      <w:tblPr>
        <w:tblW w:w="9090" w:type="dxa"/>
        <w:tblInd w:w="3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50"/>
        <w:gridCol w:w="6840"/>
      </w:tblGrid>
      <w:tr w:rsidR="00855D77" w:rsidRPr="008F3BB9" w14:paraId="689F285E" w14:textId="77777777" w:rsidTr="44F8ABCE">
        <w:tc>
          <w:tcPr>
            <w:tcW w:w="2250" w:type="dxa"/>
            <w:tcBorders>
              <w:top w:val="single" w:sz="4" w:space="0" w:color="auto"/>
              <w:bottom w:val="single" w:sz="4" w:space="0" w:color="auto"/>
              <w:right w:val="single" w:sz="4" w:space="0" w:color="auto"/>
            </w:tcBorders>
            <w:shd w:val="clear" w:color="auto" w:fill="808080"/>
            <w:tcMar>
              <w:left w:w="108" w:type="dxa"/>
              <w:right w:w="108" w:type="dxa"/>
            </w:tcMar>
          </w:tcPr>
          <w:p w14:paraId="502DC447" w14:textId="77777777" w:rsidR="00855D77" w:rsidRPr="008F3BB9" w:rsidRDefault="00855D77" w:rsidP="00BD16A9">
            <w:pPr>
              <w:spacing w:before="120"/>
              <w:jc w:val="center"/>
              <w:rPr>
                <w:b/>
                <w:sz w:val="24"/>
                <w:szCs w:val="24"/>
              </w:rPr>
            </w:pPr>
          </w:p>
        </w:tc>
        <w:tc>
          <w:tcPr>
            <w:tcW w:w="6840" w:type="dxa"/>
            <w:tcBorders>
              <w:top w:val="single" w:sz="4" w:space="0" w:color="auto"/>
              <w:left w:val="single" w:sz="4" w:space="0" w:color="auto"/>
              <w:bottom w:val="single" w:sz="4" w:space="0" w:color="auto"/>
            </w:tcBorders>
            <w:shd w:val="clear" w:color="auto" w:fill="808080"/>
            <w:tcMar>
              <w:left w:w="108" w:type="dxa"/>
              <w:right w:w="108" w:type="dxa"/>
            </w:tcMar>
          </w:tcPr>
          <w:p w14:paraId="06CFAFFD" w14:textId="77777777" w:rsidR="00855D77" w:rsidRPr="008F3BB9" w:rsidRDefault="00855D77" w:rsidP="00BD16A9">
            <w:pPr>
              <w:jc w:val="center"/>
              <w:rPr>
                <w:sz w:val="24"/>
                <w:szCs w:val="24"/>
              </w:rPr>
            </w:pPr>
          </w:p>
        </w:tc>
      </w:tr>
      <w:tr w:rsidR="00855D77" w:rsidRPr="006D4815" w14:paraId="63C9FFD6" w14:textId="77777777" w:rsidTr="44F8ABCE">
        <w:trPr>
          <w:trHeight w:val="512"/>
        </w:trPr>
        <w:tc>
          <w:tcPr>
            <w:tcW w:w="2250" w:type="dxa"/>
            <w:tcBorders>
              <w:top w:val="single" w:sz="4" w:space="0" w:color="auto"/>
              <w:bottom w:val="single" w:sz="4" w:space="0" w:color="auto"/>
              <w:right w:val="single" w:sz="4" w:space="0" w:color="auto"/>
            </w:tcBorders>
            <w:tcMar>
              <w:left w:w="108" w:type="dxa"/>
              <w:right w:w="108" w:type="dxa"/>
            </w:tcMar>
          </w:tcPr>
          <w:p w14:paraId="3CDC857A" w14:textId="77777777" w:rsidR="00855D77" w:rsidRPr="006D4815" w:rsidRDefault="00855D77" w:rsidP="00BD16A9">
            <w:pPr>
              <w:spacing w:before="120"/>
              <w:rPr>
                <w:rFonts w:asciiTheme="minorHAnsi" w:eastAsia="SimSun" w:hAnsiTheme="minorHAnsi"/>
                <w:i/>
              </w:rPr>
            </w:pPr>
            <w:r w:rsidRPr="006D4815">
              <w:rPr>
                <w:rFonts w:asciiTheme="minorHAnsi" w:eastAsia="SimSun" w:hAnsiTheme="minorHAnsi"/>
                <w:i/>
              </w:rPr>
              <w:t>Buyer:</w:t>
            </w:r>
          </w:p>
        </w:tc>
        <w:tc>
          <w:tcPr>
            <w:tcW w:w="6840" w:type="dxa"/>
            <w:tcBorders>
              <w:top w:val="single" w:sz="4" w:space="0" w:color="auto"/>
              <w:left w:val="single" w:sz="4" w:space="0" w:color="auto"/>
              <w:bottom w:val="single" w:sz="4" w:space="0" w:color="auto"/>
            </w:tcBorders>
            <w:tcMar>
              <w:left w:w="108" w:type="dxa"/>
              <w:right w:w="108" w:type="dxa"/>
            </w:tcMar>
          </w:tcPr>
          <w:p w14:paraId="72F95F4D" w14:textId="00E19336" w:rsidR="00855D77" w:rsidRPr="006D4815" w:rsidRDefault="00855D77" w:rsidP="00BD16A9">
            <w:pPr>
              <w:spacing w:before="120"/>
              <w:rPr>
                <w:rFonts w:asciiTheme="minorHAnsi" w:hAnsiTheme="minorHAnsi"/>
              </w:rPr>
            </w:pPr>
            <w:r w:rsidRPr="006D4815">
              <w:rPr>
                <w:rFonts w:asciiTheme="minorHAnsi" w:hAnsiTheme="minorHAnsi"/>
              </w:rPr>
              <w:t>Portland General Electric Company</w:t>
            </w:r>
          </w:p>
        </w:tc>
      </w:tr>
      <w:tr w:rsidR="00855D77" w:rsidRPr="006D4815" w14:paraId="3EB84B47" w14:textId="77777777" w:rsidTr="44F8ABCE">
        <w:trPr>
          <w:trHeight w:val="440"/>
        </w:trPr>
        <w:tc>
          <w:tcPr>
            <w:tcW w:w="2250" w:type="dxa"/>
            <w:tcBorders>
              <w:top w:val="single" w:sz="4" w:space="0" w:color="auto"/>
              <w:bottom w:val="single" w:sz="4" w:space="0" w:color="auto"/>
              <w:right w:val="single" w:sz="4" w:space="0" w:color="auto"/>
            </w:tcBorders>
            <w:tcMar>
              <w:left w:w="108" w:type="dxa"/>
              <w:right w:w="108" w:type="dxa"/>
            </w:tcMar>
          </w:tcPr>
          <w:p w14:paraId="5768A01D" w14:textId="77777777" w:rsidR="00855D77" w:rsidRPr="006D4815" w:rsidRDefault="00855D77" w:rsidP="00BD16A9">
            <w:pPr>
              <w:spacing w:before="120"/>
              <w:rPr>
                <w:rFonts w:asciiTheme="minorHAnsi" w:eastAsia="SimSun" w:hAnsiTheme="minorHAnsi"/>
                <w:i/>
              </w:rPr>
            </w:pPr>
            <w:r w:rsidRPr="006D4815">
              <w:rPr>
                <w:rFonts w:asciiTheme="minorHAnsi" w:eastAsia="SimSun" w:hAnsiTheme="minorHAnsi"/>
                <w:i/>
              </w:rPr>
              <w:t>Seller:</w:t>
            </w:r>
          </w:p>
        </w:tc>
        <w:tc>
          <w:tcPr>
            <w:tcW w:w="6840" w:type="dxa"/>
            <w:tcBorders>
              <w:top w:val="single" w:sz="4" w:space="0" w:color="auto"/>
              <w:left w:val="single" w:sz="4" w:space="0" w:color="auto"/>
              <w:bottom w:val="single" w:sz="4" w:space="0" w:color="auto"/>
            </w:tcBorders>
            <w:tcMar>
              <w:left w:w="108" w:type="dxa"/>
              <w:right w:w="108" w:type="dxa"/>
            </w:tcMar>
          </w:tcPr>
          <w:p w14:paraId="63D35D89" w14:textId="32205F1D" w:rsidR="00855D77" w:rsidRPr="006D4815" w:rsidRDefault="00DA29D9" w:rsidP="00BD16A9">
            <w:pPr>
              <w:spacing w:before="120"/>
              <w:rPr>
                <w:rFonts w:asciiTheme="minorHAnsi" w:hAnsiTheme="minorHAnsi"/>
              </w:rPr>
            </w:pPr>
            <w:r w:rsidRPr="006D4815">
              <w:rPr>
                <w:rFonts w:asciiTheme="minorHAnsi" w:hAnsiTheme="minorHAnsi"/>
              </w:rPr>
              <w:t>[Name of Seller]</w:t>
            </w:r>
          </w:p>
        </w:tc>
      </w:tr>
      <w:tr w:rsidR="00855D77" w:rsidRPr="006D4815" w14:paraId="7D9C890D"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F2CBBF5" w14:textId="2C0C7585" w:rsidR="00855D77" w:rsidRPr="006D4815" w:rsidRDefault="00287493" w:rsidP="00BD16A9">
            <w:pPr>
              <w:spacing w:before="120"/>
              <w:rPr>
                <w:rFonts w:asciiTheme="minorHAnsi" w:hAnsiTheme="minorHAnsi"/>
                <w:b/>
              </w:rPr>
            </w:pPr>
            <w:r w:rsidRPr="006D4815">
              <w:rPr>
                <w:rFonts w:asciiTheme="minorHAnsi" w:eastAsia="SimSun" w:hAnsiTheme="minorHAnsi"/>
                <w:i/>
              </w:rPr>
              <w:t>Facility</w:t>
            </w:r>
            <w:r w:rsidR="00855D77" w:rsidRPr="006D4815">
              <w:rPr>
                <w:rFonts w:asciiTheme="minorHAnsi" w:eastAsia="SimSun" w:hAnsiTheme="minorHAnsi"/>
                <w:i/>
              </w:rPr>
              <w:t>:</w:t>
            </w:r>
          </w:p>
        </w:tc>
        <w:tc>
          <w:tcPr>
            <w:tcW w:w="6840" w:type="dxa"/>
            <w:tcBorders>
              <w:top w:val="single" w:sz="4" w:space="0" w:color="auto"/>
              <w:left w:val="single" w:sz="4" w:space="0" w:color="auto"/>
              <w:bottom w:val="single" w:sz="4" w:space="0" w:color="auto"/>
            </w:tcBorders>
            <w:tcMar>
              <w:left w:w="108" w:type="dxa"/>
              <w:right w:w="108" w:type="dxa"/>
            </w:tcMar>
          </w:tcPr>
          <w:p w14:paraId="323385B0" w14:textId="30D0389D" w:rsidR="00855D77" w:rsidRPr="006D4815" w:rsidRDefault="00320DC2" w:rsidP="00C71BA4">
            <w:pPr>
              <w:rPr>
                <w:rFonts w:asciiTheme="minorHAnsi" w:hAnsiTheme="minorHAnsi"/>
              </w:rPr>
            </w:pPr>
            <w:r w:rsidRPr="006D4815">
              <w:rPr>
                <w:rFonts w:asciiTheme="minorHAnsi" w:hAnsiTheme="minorHAnsi"/>
              </w:rPr>
              <w:t>T</w:t>
            </w:r>
            <w:r w:rsidR="00FF4629" w:rsidRPr="006D4815">
              <w:rPr>
                <w:rFonts w:asciiTheme="minorHAnsi" w:hAnsiTheme="minorHAnsi"/>
              </w:rPr>
              <w:t xml:space="preserve">he </w:t>
            </w:r>
            <w:r w:rsidR="00B44A1F" w:rsidRPr="006D4815">
              <w:rPr>
                <w:rFonts w:asciiTheme="minorHAnsi" w:hAnsiTheme="minorHAnsi"/>
              </w:rPr>
              <w:t>[XX] MW</w:t>
            </w:r>
            <w:r w:rsidR="00B44A1F" w:rsidRPr="006D4815">
              <w:rPr>
                <w:rFonts w:asciiTheme="minorHAnsi" w:hAnsiTheme="minorHAnsi"/>
                <w:vertAlign w:val="subscript"/>
              </w:rPr>
              <w:t>AC</w:t>
            </w:r>
            <w:r w:rsidR="00FF4629" w:rsidRPr="006D4815">
              <w:rPr>
                <w:rFonts w:asciiTheme="minorHAnsi" w:hAnsiTheme="minorHAnsi"/>
              </w:rPr>
              <w:t xml:space="preserve"> grid</w:t>
            </w:r>
            <w:r w:rsidR="008E2D92" w:rsidRPr="006D4815">
              <w:rPr>
                <w:rFonts w:asciiTheme="minorHAnsi" w:hAnsiTheme="minorHAnsi"/>
              </w:rPr>
              <w:t>-</w:t>
            </w:r>
            <w:r w:rsidR="006E5E49" w:rsidRPr="006D4815">
              <w:rPr>
                <w:rFonts w:asciiTheme="minorHAnsi" w:hAnsiTheme="minorHAnsi"/>
              </w:rPr>
              <w:t xml:space="preserve">connected </w:t>
            </w:r>
            <w:r w:rsidR="00B44A1F" w:rsidRPr="006D4815">
              <w:rPr>
                <w:rFonts w:asciiTheme="minorHAnsi" w:hAnsiTheme="minorHAnsi"/>
              </w:rPr>
              <w:t xml:space="preserve">energy </w:t>
            </w:r>
            <w:r w:rsidRPr="006D4815">
              <w:rPr>
                <w:rFonts w:asciiTheme="minorHAnsi" w:hAnsiTheme="minorHAnsi"/>
              </w:rPr>
              <w:t>storage facility</w:t>
            </w:r>
            <w:r w:rsidR="006E5E49" w:rsidRPr="006D4815">
              <w:rPr>
                <w:rFonts w:asciiTheme="minorHAnsi" w:hAnsiTheme="minorHAnsi"/>
              </w:rPr>
              <w:t xml:space="preserve"> </w:t>
            </w:r>
            <w:r w:rsidR="008E369C" w:rsidRPr="006D4815">
              <w:rPr>
                <w:rFonts w:asciiTheme="minorHAnsi" w:hAnsiTheme="minorHAnsi"/>
              </w:rPr>
              <w:t>[</w:t>
            </w:r>
            <w:r w:rsidRPr="006D4815">
              <w:rPr>
                <w:rFonts w:asciiTheme="minorHAnsi" w:hAnsiTheme="minorHAnsi"/>
                <w:i/>
              </w:rPr>
              <w:t>i</w:t>
            </w:r>
            <w:r w:rsidR="008E369C" w:rsidRPr="006D4815">
              <w:rPr>
                <w:rFonts w:asciiTheme="minorHAnsi" w:hAnsiTheme="minorHAnsi"/>
                <w:i/>
              </w:rPr>
              <w:t>nsert location and description of energy storage facility, and any other relevant identifying details, including technology, e.g., lithium ion</w:t>
            </w:r>
            <w:r w:rsidR="008E369C" w:rsidRPr="006D4815">
              <w:rPr>
                <w:rFonts w:asciiTheme="minorHAnsi" w:hAnsiTheme="minorHAnsi"/>
              </w:rPr>
              <w:t xml:space="preserve">], located in </w:t>
            </w:r>
            <w:r w:rsidR="00C71BA4" w:rsidRPr="006D4815">
              <w:rPr>
                <w:rFonts w:asciiTheme="minorHAnsi" w:hAnsiTheme="minorHAnsi"/>
              </w:rPr>
              <w:t>in [Name of County] County, in the State of [Name of State].</w:t>
            </w:r>
          </w:p>
        </w:tc>
      </w:tr>
      <w:tr w:rsidR="008D3E5D" w:rsidRPr="006D4815" w14:paraId="74730E98"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42141BF" w14:textId="2F1DC1B7" w:rsidR="008D3E5D" w:rsidRPr="006D4815" w:rsidRDefault="003B7AAF" w:rsidP="00BD16A9">
            <w:pPr>
              <w:spacing w:before="120"/>
              <w:rPr>
                <w:rFonts w:asciiTheme="minorHAnsi" w:eastAsia="SimSun" w:hAnsiTheme="minorHAnsi"/>
                <w:i/>
              </w:rPr>
            </w:pPr>
            <w:r w:rsidRPr="006D4815">
              <w:rPr>
                <w:rFonts w:asciiTheme="minorHAnsi" w:eastAsia="SimSun" w:hAnsiTheme="minorHAnsi"/>
                <w:i/>
              </w:rPr>
              <w:t xml:space="preserve">Guaranteed </w:t>
            </w:r>
            <w:r w:rsidR="00320DC2" w:rsidRPr="006D4815">
              <w:rPr>
                <w:rFonts w:asciiTheme="minorHAnsi" w:eastAsia="SimSun" w:hAnsiTheme="minorHAnsi"/>
                <w:i/>
              </w:rPr>
              <w:t>Storage</w:t>
            </w:r>
            <w:r w:rsidR="008D3E5D" w:rsidRPr="006D4815">
              <w:rPr>
                <w:rFonts w:asciiTheme="minorHAnsi" w:eastAsia="SimSun" w:hAnsiTheme="minorHAnsi"/>
                <w:i/>
              </w:rPr>
              <w:t xml:space="preserve"> Capacity:</w:t>
            </w:r>
          </w:p>
        </w:tc>
        <w:tc>
          <w:tcPr>
            <w:tcW w:w="6840" w:type="dxa"/>
            <w:tcBorders>
              <w:top w:val="single" w:sz="4" w:space="0" w:color="auto"/>
              <w:left w:val="single" w:sz="4" w:space="0" w:color="auto"/>
              <w:bottom w:val="single" w:sz="4" w:space="0" w:color="auto"/>
            </w:tcBorders>
            <w:tcMar>
              <w:left w:w="108" w:type="dxa"/>
              <w:right w:w="108" w:type="dxa"/>
            </w:tcMar>
          </w:tcPr>
          <w:p w14:paraId="5AE3E91E" w14:textId="67D3775A" w:rsidR="00DA34FD" w:rsidRPr="006D4815" w:rsidRDefault="00764AFE" w:rsidP="00BD16A9">
            <w:pPr>
              <w:spacing w:before="120"/>
              <w:rPr>
                <w:rFonts w:asciiTheme="minorHAnsi" w:hAnsiTheme="minorHAnsi"/>
              </w:rPr>
            </w:pPr>
            <w:r w:rsidRPr="006D4815">
              <w:rPr>
                <w:rFonts w:asciiTheme="minorHAnsi" w:hAnsiTheme="minorHAnsi"/>
              </w:rPr>
              <w:t>[XX] MW</w:t>
            </w:r>
            <w:r w:rsidRPr="006D4815">
              <w:rPr>
                <w:rFonts w:asciiTheme="minorHAnsi" w:hAnsiTheme="minorHAnsi"/>
                <w:vertAlign w:val="subscript"/>
              </w:rPr>
              <w:t>AC</w:t>
            </w:r>
            <w:r w:rsidRPr="006D4815">
              <w:rPr>
                <w:rFonts w:asciiTheme="minorHAnsi" w:hAnsiTheme="minorHAnsi"/>
              </w:rPr>
              <w:t xml:space="preserve"> for [XX] hour discharge.</w:t>
            </w:r>
            <w:r w:rsidR="007F0E94" w:rsidRPr="006D4815">
              <w:rPr>
                <w:rFonts w:asciiTheme="minorHAnsi" w:hAnsiTheme="minorHAnsi"/>
              </w:rPr>
              <w:t xml:space="preserve">  </w:t>
            </w:r>
          </w:p>
        </w:tc>
      </w:tr>
      <w:tr w:rsidR="00B73952" w:rsidRPr="006D4815" w14:paraId="5C936F2C"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00002C7" w14:textId="066BE25D" w:rsidR="00B73952" w:rsidRPr="006D4815" w:rsidRDefault="00B73952" w:rsidP="00BD16A9">
            <w:pPr>
              <w:spacing w:before="120"/>
              <w:rPr>
                <w:rFonts w:asciiTheme="minorHAnsi" w:eastAsia="SimSun" w:hAnsiTheme="minorHAnsi"/>
                <w:i/>
              </w:rPr>
            </w:pPr>
            <w:r w:rsidRPr="006D4815">
              <w:rPr>
                <w:rFonts w:asciiTheme="minorHAnsi" w:eastAsia="SimSun" w:hAnsiTheme="minorHAnsi"/>
                <w:i/>
              </w:rPr>
              <w:t>Facility Nameplate Capacity:</w:t>
            </w:r>
          </w:p>
        </w:tc>
        <w:tc>
          <w:tcPr>
            <w:tcW w:w="6840" w:type="dxa"/>
            <w:tcBorders>
              <w:top w:val="single" w:sz="4" w:space="0" w:color="auto"/>
              <w:left w:val="single" w:sz="4" w:space="0" w:color="auto"/>
              <w:bottom w:val="single" w:sz="4" w:space="0" w:color="auto"/>
            </w:tcBorders>
            <w:tcMar>
              <w:left w:w="108" w:type="dxa"/>
              <w:right w:w="108" w:type="dxa"/>
            </w:tcMar>
          </w:tcPr>
          <w:p w14:paraId="6B7758B8" w14:textId="3495A9CA" w:rsidR="00B73952" w:rsidRPr="006D4815" w:rsidRDefault="00B73952" w:rsidP="00BD16A9">
            <w:pPr>
              <w:spacing w:before="120"/>
              <w:rPr>
                <w:rFonts w:asciiTheme="minorHAnsi" w:hAnsiTheme="minorHAnsi"/>
              </w:rPr>
            </w:pPr>
            <w:r w:rsidRPr="006D4815">
              <w:rPr>
                <w:rFonts w:asciiTheme="minorHAnsi" w:hAnsiTheme="minorHAnsi"/>
              </w:rPr>
              <w:t>[XX] MW</w:t>
            </w:r>
            <w:r w:rsidRPr="006D4815">
              <w:rPr>
                <w:rFonts w:asciiTheme="minorHAnsi" w:hAnsiTheme="minorHAnsi"/>
                <w:vertAlign w:val="subscript"/>
              </w:rPr>
              <w:t>AC</w:t>
            </w:r>
            <w:r w:rsidR="00DC47B0" w:rsidRPr="006D4815">
              <w:rPr>
                <w:rFonts w:asciiTheme="minorHAnsi" w:hAnsiTheme="minorHAnsi"/>
                <w:vertAlign w:val="subscript"/>
              </w:rPr>
              <w:t xml:space="preserve"> </w:t>
            </w:r>
          </w:p>
        </w:tc>
      </w:tr>
      <w:tr w:rsidR="0049563A" w:rsidRPr="006D4815" w14:paraId="350ACC17"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EFFE9EB" w14:textId="281C8925" w:rsidR="0049563A" w:rsidRPr="006D4815" w:rsidRDefault="0049563A" w:rsidP="00BD16A9">
            <w:pPr>
              <w:spacing w:before="120"/>
              <w:rPr>
                <w:rFonts w:asciiTheme="minorHAnsi" w:eastAsia="SimSun" w:hAnsiTheme="minorHAnsi"/>
                <w:i/>
              </w:rPr>
            </w:pPr>
            <w:r w:rsidRPr="006D4815">
              <w:rPr>
                <w:rFonts w:asciiTheme="minorHAnsi" w:eastAsia="SimSun" w:hAnsiTheme="minorHAnsi"/>
                <w:i/>
              </w:rPr>
              <w:t>Duration:</w:t>
            </w:r>
          </w:p>
        </w:tc>
        <w:tc>
          <w:tcPr>
            <w:tcW w:w="6840" w:type="dxa"/>
            <w:tcBorders>
              <w:top w:val="single" w:sz="4" w:space="0" w:color="auto"/>
              <w:left w:val="single" w:sz="4" w:space="0" w:color="auto"/>
              <w:bottom w:val="single" w:sz="4" w:space="0" w:color="auto"/>
            </w:tcBorders>
            <w:tcMar>
              <w:left w:w="108" w:type="dxa"/>
              <w:right w:w="108" w:type="dxa"/>
            </w:tcMar>
          </w:tcPr>
          <w:p w14:paraId="5ABD8E59" w14:textId="69F3A3BF" w:rsidR="0049563A" w:rsidRPr="006D4815" w:rsidRDefault="0049563A" w:rsidP="00BD16A9">
            <w:pPr>
              <w:spacing w:before="120"/>
              <w:rPr>
                <w:rFonts w:asciiTheme="minorHAnsi" w:hAnsiTheme="minorHAnsi"/>
              </w:rPr>
            </w:pPr>
            <w:r w:rsidRPr="006D4815">
              <w:rPr>
                <w:rFonts w:asciiTheme="minorHAnsi" w:hAnsiTheme="minorHAnsi"/>
              </w:rPr>
              <w:t>[</w:t>
            </w:r>
            <w:r w:rsidR="00142A4C" w:rsidRPr="006D4815">
              <w:rPr>
                <w:rFonts w:asciiTheme="minorHAnsi" w:hAnsiTheme="minorHAnsi"/>
              </w:rPr>
              <w:t>4</w:t>
            </w:r>
            <w:r w:rsidRPr="006D4815">
              <w:rPr>
                <w:rFonts w:asciiTheme="minorHAnsi" w:hAnsiTheme="minorHAnsi"/>
              </w:rPr>
              <w:t xml:space="preserve">] hours </w:t>
            </w:r>
          </w:p>
        </w:tc>
      </w:tr>
      <w:tr w:rsidR="00A03593" w:rsidRPr="006D4815" w14:paraId="408CA300"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7FE2D63C" w14:textId="0A77FECF" w:rsidR="00A03593" w:rsidRPr="006D4815" w:rsidRDefault="00A03593" w:rsidP="000B1DF0">
            <w:pPr>
              <w:spacing w:before="120"/>
              <w:rPr>
                <w:rFonts w:asciiTheme="minorHAnsi" w:eastAsia="SimSun" w:hAnsiTheme="minorHAnsi"/>
                <w:i/>
              </w:rPr>
            </w:pPr>
            <w:r w:rsidRPr="006D4815">
              <w:rPr>
                <w:rFonts w:asciiTheme="minorHAnsi" w:eastAsia="SimSun" w:hAnsiTheme="minorHAnsi"/>
                <w:i/>
              </w:rPr>
              <w:t>Product</w:t>
            </w:r>
            <w:r w:rsidR="008A6A75" w:rsidRPr="006D4815">
              <w:rPr>
                <w:rFonts w:asciiTheme="minorHAnsi" w:eastAsia="SimSun" w:hAnsiTheme="minorHAnsi"/>
                <w:i/>
              </w:rPr>
              <w:t>(s)</w:t>
            </w:r>
            <w:r w:rsidRPr="006D4815">
              <w:rPr>
                <w:rFonts w:asciiTheme="minorHAnsi" w:eastAsia="SimSun" w:hAnsiTheme="minorHAnsi"/>
                <w:i/>
              </w:rPr>
              <w:t>:</w:t>
            </w:r>
          </w:p>
        </w:tc>
        <w:tc>
          <w:tcPr>
            <w:tcW w:w="6840" w:type="dxa"/>
            <w:tcBorders>
              <w:top w:val="single" w:sz="4" w:space="0" w:color="auto"/>
              <w:left w:val="single" w:sz="4" w:space="0" w:color="auto"/>
              <w:bottom w:val="single" w:sz="4" w:space="0" w:color="auto"/>
            </w:tcBorders>
            <w:tcMar>
              <w:left w:w="108" w:type="dxa"/>
              <w:right w:w="108" w:type="dxa"/>
            </w:tcMar>
          </w:tcPr>
          <w:p w14:paraId="309B8CB1" w14:textId="77777777" w:rsidR="00450503" w:rsidRPr="006D4815" w:rsidRDefault="00450503" w:rsidP="00AC5C40">
            <w:pPr>
              <w:spacing w:before="120" w:line="240" w:lineRule="auto"/>
              <w:rPr>
                <w:rFonts w:asciiTheme="minorHAnsi" w:hAnsiTheme="minorHAnsi"/>
              </w:rPr>
            </w:pPr>
            <w:r w:rsidRPr="006D4815">
              <w:rPr>
                <w:rFonts w:asciiTheme="minorHAnsi" w:hAnsiTheme="minorHAnsi"/>
              </w:rPr>
              <w:t>The Product includes the following:</w:t>
            </w:r>
          </w:p>
          <w:p w14:paraId="6BFAF065" w14:textId="439F2A58" w:rsidR="00442DAF" w:rsidRPr="006D4815" w:rsidRDefault="00442DAF" w:rsidP="00AC5C40">
            <w:pPr>
              <w:pStyle w:val="ListParagraph"/>
              <w:numPr>
                <w:ilvl w:val="0"/>
                <w:numId w:val="11"/>
              </w:numPr>
              <w:spacing w:before="120" w:line="240" w:lineRule="auto"/>
              <w:contextualSpacing w:val="0"/>
              <w:rPr>
                <w:rFonts w:asciiTheme="minorHAnsi" w:hAnsiTheme="minorHAnsi"/>
              </w:rPr>
            </w:pPr>
            <w:r w:rsidRPr="006D4815">
              <w:rPr>
                <w:rFonts w:asciiTheme="minorHAnsi" w:hAnsiTheme="minorHAnsi"/>
              </w:rPr>
              <w:t xml:space="preserve">Capacity Attributes: </w:t>
            </w:r>
            <w:r w:rsidR="00B44A1F" w:rsidRPr="006D4815">
              <w:rPr>
                <w:rFonts w:asciiTheme="minorHAnsi" w:hAnsiTheme="minorHAnsi"/>
              </w:rPr>
              <w:t>A</w:t>
            </w:r>
            <w:r w:rsidRPr="006D4815">
              <w:rPr>
                <w:rFonts w:asciiTheme="minorHAnsi" w:hAnsiTheme="minorHAnsi"/>
              </w:rPr>
              <w:t xml:space="preserve">ny current or future attribute, as may be currently defined or otherwise defined in the future, including but not limited to a characteristic, certificate, tag, credit, or accounting construct, associated with the electric </w:t>
            </w:r>
            <w:r w:rsidR="007D4CF9" w:rsidRPr="006D4815">
              <w:rPr>
                <w:rFonts w:asciiTheme="minorHAnsi" w:hAnsiTheme="minorHAnsi"/>
              </w:rPr>
              <w:t>char</w:t>
            </w:r>
            <w:r w:rsidR="00980E4B" w:rsidRPr="006D4815">
              <w:rPr>
                <w:rFonts w:asciiTheme="minorHAnsi" w:hAnsiTheme="minorHAnsi"/>
              </w:rPr>
              <w:t xml:space="preserve">ge and </w:t>
            </w:r>
            <w:r w:rsidR="00C87EDD" w:rsidRPr="006D4815">
              <w:rPr>
                <w:rFonts w:asciiTheme="minorHAnsi" w:hAnsiTheme="minorHAnsi"/>
              </w:rPr>
              <w:t>discharge</w:t>
            </w:r>
            <w:r w:rsidRPr="006D4815">
              <w:rPr>
                <w:rFonts w:asciiTheme="minorHAnsi" w:hAnsiTheme="minorHAnsi"/>
              </w:rPr>
              <w:t xml:space="preserve"> capability and capacity of the </w:t>
            </w:r>
            <w:r w:rsidR="009C696C" w:rsidRPr="006D4815">
              <w:rPr>
                <w:rFonts w:asciiTheme="minorHAnsi" w:hAnsiTheme="minorHAnsi"/>
              </w:rPr>
              <w:t>Facility</w:t>
            </w:r>
            <w:r w:rsidRPr="006D4815">
              <w:rPr>
                <w:rFonts w:asciiTheme="minorHAnsi" w:hAnsiTheme="minorHAnsi"/>
              </w:rPr>
              <w:t xml:space="preserve">, including any attribute counted towards any current or future resource adequacy or reserve requirements. Capacity Attributes are measured in MW. Capacity Attributes do not include: (i) any </w:t>
            </w:r>
            <w:r w:rsidR="0006009D" w:rsidRPr="006D4815">
              <w:rPr>
                <w:rFonts w:asciiTheme="minorHAnsi" w:hAnsiTheme="minorHAnsi"/>
              </w:rPr>
              <w:t>production tax credits</w:t>
            </w:r>
            <w:r w:rsidRPr="006D4815">
              <w:rPr>
                <w:rFonts w:asciiTheme="minorHAnsi" w:hAnsiTheme="minorHAnsi"/>
              </w:rPr>
              <w:t xml:space="preserve">, </w:t>
            </w:r>
            <w:r w:rsidR="0006009D" w:rsidRPr="006D4815">
              <w:rPr>
                <w:rFonts w:asciiTheme="minorHAnsi" w:hAnsiTheme="minorHAnsi"/>
              </w:rPr>
              <w:t>investment tax credits</w:t>
            </w:r>
            <w:r w:rsidRPr="006D4815">
              <w:rPr>
                <w:rFonts w:asciiTheme="minorHAnsi" w:hAnsiTheme="minorHAnsi"/>
              </w:rPr>
              <w:t xml:space="preserve">, or any other tax credits, deductions, or tax benefits associated with the </w:t>
            </w:r>
            <w:r w:rsidR="009C696C" w:rsidRPr="006D4815">
              <w:rPr>
                <w:rFonts w:asciiTheme="minorHAnsi" w:hAnsiTheme="minorHAnsi"/>
              </w:rPr>
              <w:t>Facility</w:t>
            </w:r>
            <w:r w:rsidRPr="006D4815">
              <w:rPr>
                <w:rFonts w:asciiTheme="minorHAnsi" w:hAnsiTheme="minorHAnsi"/>
              </w:rPr>
              <w:t xml:space="preserve">, or (ii) any state, federal, local, or private cash payments, grants, or costs relating in any way to the </w:t>
            </w:r>
            <w:r w:rsidR="009C696C" w:rsidRPr="006D4815">
              <w:rPr>
                <w:rFonts w:asciiTheme="minorHAnsi" w:hAnsiTheme="minorHAnsi"/>
              </w:rPr>
              <w:t>Facility</w:t>
            </w:r>
            <w:r w:rsidR="003C36B1" w:rsidRPr="006D4815">
              <w:rPr>
                <w:rFonts w:asciiTheme="minorHAnsi" w:hAnsiTheme="minorHAnsi"/>
              </w:rPr>
              <w:t>;</w:t>
            </w:r>
            <w:r w:rsidR="007A1085">
              <w:rPr>
                <w:rFonts w:asciiTheme="minorHAnsi" w:hAnsiTheme="minorHAnsi"/>
              </w:rPr>
              <w:t xml:space="preserve"> and</w:t>
            </w:r>
          </w:p>
          <w:p w14:paraId="3C41BA16" w14:textId="7974D84E" w:rsidR="00A03593" w:rsidRPr="006D4815" w:rsidRDefault="001D1AD2" w:rsidP="00BB6F53">
            <w:pPr>
              <w:pStyle w:val="ListParagraph"/>
              <w:numPr>
                <w:ilvl w:val="0"/>
                <w:numId w:val="11"/>
              </w:numPr>
              <w:spacing w:before="120"/>
              <w:contextualSpacing w:val="0"/>
              <w:rPr>
                <w:rFonts w:asciiTheme="minorHAnsi" w:eastAsia="SimSun" w:hAnsiTheme="minorHAnsi"/>
              </w:rPr>
            </w:pPr>
            <w:r w:rsidRPr="006D4815">
              <w:rPr>
                <w:rFonts w:asciiTheme="minorHAnsi" w:hAnsiTheme="minorHAnsi"/>
              </w:rPr>
              <w:lastRenderedPageBreak/>
              <w:t>Ancillary Service</w:t>
            </w:r>
            <w:r w:rsidR="008830BF" w:rsidRPr="006D4815">
              <w:rPr>
                <w:rFonts w:asciiTheme="minorHAnsi" w:hAnsiTheme="minorHAnsi"/>
              </w:rPr>
              <w:t xml:space="preserve"> Attributes</w:t>
            </w:r>
            <w:r w:rsidRPr="006D4815">
              <w:rPr>
                <w:rFonts w:asciiTheme="minorHAnsi" w:hAnsiTheme="minorHAnsi"/>
              </w:rPr>
              <w:t xml:space="preserve">: All ancillary services, products and other attributes, </w:t>
            </w:r>
            <w:r w:rsidR="00337247" w:rsidRPr="006D4815">
              <w:rPr>
                <w:rFonts w:asciiTheme="minorHAnsi" w:hAnsiTheme="minorHAnsi"/>
              </w:rPr>
              <w:t>defined in Section 3 of the Portland General Electric Company Pro Forma Open Access Transmission Tariff</w:t>
            </w:r>
            <w:r w:rsidR="002E06F4" w:rsidRPr="006D4815">
              <w:rPr>
                <w:rFonts w:asciiTheme="minorHAnsi" w:hAnsiTheme="minorHAnsi"/>
              </w:rPr>
              <w:t>,</w:t>
            </w:r>
            <w:r w:rsidR="00337247" w:rsidRPr="006D4815">
              <w:rPr>
                <w:rFonts w:asciiTheme="minorHAnsi" w:hAnsiTheme="minorHAnsi"/>
              </w:rPr>
              <w:t xml:space="preserve"> </w:t>
            </w:r>
            <w:r w:rsidRPr="006D4815">
              <w:rPr>
                <w:rFonts w:asciiTheme="minorHAnsi" w:hAnsiTheme="minorHAnsi"/>
              </w:rPr>
              <w:t>if any</w:t>
            </w:r>
            <w:r w:rsidR="002E06F4" w:rsidRPr="006D4815">
              <w:rPr>
                <w:rFonts w:asciiTheme="minorHAnsi" w:hAnsiTheme="minorHAnsi"/>
              </w:rPr>
              <w:t>,</w:t>
            </w:r>
            <w:r w:rsidRPr="006D4815">
              <w:rPr>
                <w:rFonts w:asciiTheme="minorHAnsi" w:hAnsiTheme="minorHAnsi"/>
              </w:rPr>
              <w:t xml:space="preserve"> that may be obtained from </w:t>
            </w:r>
            <w:r w:rsidR="00B44A1F" w:rsidRPr="006D4815">
              <w:rPr>
                <w:rFonts w:asciiTheme="minorHAnsi" w:hAnsiTheme="minorHAnsi"/>
              </w:rPr>
              <w:t>or generated by</w:t>
            </w:r>
            <w:r w:rsidRPr="006D4815">
              <w:rPr>
                <w:rFonts w:asciiTheme="minorHAnsi" w:hAnsiTheme="minorHAnsi"/>
              </w:rPr>
              <w:t xml:space="preserve"> the </w:t>
            </w:r>
            <w:r w:rsidR="009C696C" w:rsidRPr="006D4815">
              <w:rPr>
                <w:rFonts w:asciiTheme="minorHAnsi" w:hAnsiTheme="minorHAnsi"/>
              </w:rPr>
              <w:t>Facility</w:t>
            </w:r>
            <w:r w:rsidRPr="006D4815">
              <w:rPr>
                <w:rFonts w:asciiTheme="minorHAnsi" w:hAnsiTheme="minorHAnsi"/>
              </w:rPr>
              <w:t>.</w:t>
            </w:r>
          </w:p>
        </w:tc>
      </w:tr>
      <w:tr w:rsidR="003D3506" w:rsidRPr="006D4815" w14:paraId="3CF66500"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E442F8A" w14:textId="5FF120C2" w:rsidR="003D3506" w:rsidRPr="006D4815" w:rsidRDefault="007C7524" w:rsidP="000B1DF0">
            <w:pPr>
              <w:spacing w:before="120"/>
              <w:rPr>
                <w:rFonts w:asciiTheme="minorHAnsi" w:eastAsia="SimSun" w:hAnsiTheme="minorHAnsi"/>
                <w:i/>
              </w:rPr>
            </w:pPr>
            <w:r w:rsidRPr="006D4815">
              <w:rPr>
                <w:rFonts w:asciiTheme="minorHAnsi" w:eastAsia="SimSun" w:hAnsiTheme="minorHAnsi"/>
                <w:i/>
              </w:rPr>
              <w:lastRenderedPageBreak/>
              <w:t xml:space="preserve">No Sales to </w:t>
            </w:r>
            <w:r w:rsidR="00AC5C40" w:rsidRPr="006D4815">
              <w:rPr>
                <w:rFonts w:asciiTheme="minorHAnsi" w:eastAsia="SimSun" w:hAnsiTheme="minorHAnsi"/>
                <w:i/>
              </w:rPr>
              <w:t>T</w:t>
            </w:r>
            <w:r w:rsidRPr="006D4815">
              <w:rPr>
                <w:rFonts w:asciiTheme="minorHAnsi" w:eastAsia="SimSun" w:hAnsiTheme="minorHAnsi"/>
                <w:i/>
              </w:rPr>
              <w:t xml:space="preserve">hird </w:t>
            </w:r>
            <w:r w:rsidR="00AC5C40" w:rsidRPr="006D4815">
              <w:rPr>
                <w:rFonts w:asciiTheme="minorHAnsi" w:eastAsia="SimSun" w:hAnsiTheme="minorHAnsi"/>
                <w:i/>
              </w:rPr>
              <w:t>P</w:t>
            </w:r>
            <w:r w:rsidRPr="006D4815">
              <w:rPr>
                <w:rFonts w:asciiTheme="minorHAnsi" w:eastAsia="SimSun" w:hAnsiTheme="minorHAnsi"/>
                <w:i/>
              </w:rPr>
              <w:t>arties:</w:t>
            </w:r>
          </w:p>
        </w:tc>
        <w:tc>
          <w:tcPr>
            <w:tcW w:w="6840" w:type="dxa"/>
            <w:tcBorders>
              <w:top w:val="single" w:sz="4" w:space="0" w:color="auto"/>
              <w:left w:val="single" w:sz="4" w:space="0" w:color="auto"/>
              <w:bottom w:val="single" w:sz="4" w:space="0" w:color="auto"/>
            </w:tcBorders>
            <w:tcMar>
              <w:left w:w="108" w:type="dxa"/>
              <w:right w:w="108" w:type="dxa"/>
            </w:tcMar>
          </w:tcPr>
          <w:p w14:paraId="58E0A3BD" w14:textId="4082A664" w:rsidR="003D3506" w:rsidRPr="006D4815" w:rsidRDefault="002874C2" w:rsidP="00030305">
            <w:pPr>
              <w:spacing w:before="120"/>
              <w:rPr>
                <w:rFonts w:asciiTheme="minorHAnsi" w:hAnsiTheme="minorHAnsi"/>
              </w:rPr>
            </w:pPr>
            <w:r w:rsidRPr="006D4815">
              <w:rPr>
                <w:rFonts w:asciiTheme="minorHAnsi" w:hAnsiTheme="minorHAnsi"/>
              </w:rPr>
              <w:t xml:space="preserve">Seller shall sell one hundred percent (100%) of the </w:t>
            </w:r>
            <w:r w:rsidR="00AC5C40" w:rsidRPr="006D4815">
              <w:rPr>
                <w:rFonts w:asciiTheme="minorHAnsi" w:hAnsiTheme="minorHAnsi"/>
              </w:rPr>
              <w:t>Product</w:t>
            </w:r>
            <w:r w:rsidRPr="006D4815">
              <w:rPr>
                <w:rFonts w:asciiTheme="minorHAnsi" w:hAnsiTheme="minorHAnsi"/>
              </w:rPr>
              <w:t xml:space="preserve"> to Buyer</w:t>
            </w:r>
            <w:r w:rsidR="003C36B1" w:rsidRPr="006D4815">
              <w:rPr>
                <w:rFonts w:asciiTheme="minorHAnsi" w:hAnsiTheme="minorHAnsi"/>
              </w:rPr>
              <w:t>.</w:t>
            </w:r>
            <w:r w:rsidRPr="006D4815" w:rsidDel="003C36B1">
              <w:rPr>
                <w:rFonts w:asciiTheme="minorHAnsi" w:hAnsiTheme="minorHAnsi"/>
              </w:rPr>
              <w:t xml:space="preserve"> </w:t>
            </w:r>
          </w:p>
        </w:tc>
      </w:tr>
      <w:tr w:rsidR="00693CA3" w:rsidRPr="006D4815" w14:paraId="5ECB0452"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FF61141" w14:textId="1B6F0716" w:rsidR="00693CA3" w:rsidRPr="006D4815" w:rsidRDefault="00693CA3" w:rsidP="000B1DF0">
            <w:pPr>
              <w:spacing w:before="120"/>
              <w:rPr>
                <w:rFonts w:asciiTheme="minorHAnsi" w:eastAsia="SimSun" w:hAnsiTheme="minorHAnsi"/>
                <w:i/>
              </w:rPr>
            </w:pPr>
            <w:r w:rsidRPr="006D4815">
              <w:rPr>
                <w:rFonts w:asciiTheme="minorHAnsi" w:eastAsia="SimSun" w:hAnsiTheme="minorHAnsi"/>
                <w:i/>
              </w:rPr>
              <w:t>Delivery Term:</w:t>
            </w:r>
          </w:p>
        </w:tc>
        <w:tc>
          <w:tcPr>
            <w:tcW w:w="6840" w:type="dxa"/>
            <w:tcBorders>
              <w:top w:val="single" w:sz="4" w:space="0" w:color="auto"/>
              <w:left w:val="single" w:sz="4" w:space="0" w:color="auto"/>
              <w:bottom w:val="single" w:sz="4" w:space="0" w:color="auto"/>
            </w:tcBorders>
            <w:tcMar>
              <w:left w:w="108" w:type="dxa"/>
              <w:right w:w="108" w:type="dxa"/>
            </w:tcMar>
          </w:tcPr>
          <w:p w14:paraId="5E00C679" w14:textId="69968B91" w:rsidR="00693CA3" w:rsidRPr="006D4815" w:rsidRDefault="00B85000" w:rsidP="00F2426D">
            <w:pPr>
              <w:spacing w:before="120"/>
              <w:rPr>
                <w:rFonts w:asciiTheme="minorHAnsi" w:hAnsiTheme="minorHAnsi"/>
              </w:rPr>
            </w:pPr>
            <w:r>
              <w:rPr>
                <w:rFonts w:asciiTheme="minorHAnsi" w:hAnsiTheme="minorHAnsi"/>
              </w:rPr>
              <w:t>The delivery term shall commence on the Commercial Operation Date and expire [</w:t>
            </w:r>
            <w:r w:rsidR="002C3CFD" w:rsidRPr="006D4815">
              <w:rPr>
                <w:rFonts w:asciiTheme="minorHAnsi" w:hAnsiTheme="minorHAnsi"/>
              </w:rPr>
              <w:t>f</w:t>
            </w:r>
            <w:r w:rsidR="001047AB" w:rsidRPr="006D4815">
              <w:rPr>
                <w:rFonts w:asciiTheme="minorHAnsi" w:hAnsiTheme="minorHAnsi"/>
              </w:rPr>
              <w:t>ifteen (15) </w:t>
            </w:r>
            <w:r w:rsidR="003F1C57" w:rsidRPr="006D4815">
              <w:rPr>
                <w:rFonts w:asciiTheme="minorHAnsi" w:hAnsiTheme="minorHAnsi"/>
              </w:rPr>
              <w:t>years</w:t>
            </w:r>
            <w:r>
              <w:rPr>
                <w:rFonts w:asciiTheme="minorHAnsi" w:hAnsiTheme="minorHAnsi"/>
              </w:rPr>
              <w:t>]</w:t>
            </w:r>
            <w:r w:rsidR="001047AB" w:rsidRPr="006D4815">
              <w:rPr>
                <w:rFonts w:asciiTheme="minorHAnsi" w:hAnsiTheme="minorHAnsi"/>
              </w:rPr>
              <w:t> after the Commercial Operation Date. </w:t>
            </w:r>
          </w:p>
        </w:tc>
      </w:tr>
      <w:tr w:rsidR="00B028C8" w:rsidRPr="006D4815" w14:paraId="18093066"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A12CE30" w14:textId="76B32216" w:rsidR="00B028C8" w:rsidRPr="006D4815" w:rsidRDefault="00B028C8" w:rsidP="000B1DF0">
            <w:pPr>
              <w:spacing w:before="120"/>
              <w:rPr>
                <w:rFonts w:asciiTheme="minorHAnsi" w:eastAsia="SimSun" w:hAnsiTheme="minorHAnsi"/>
                <w:i/>
              </w:rPr>
            </w:pPr>
            <w:r w:rsidRPr="006D4815">
              <w:rPr>
                <w:rFonts w:asciiTheme="minorHAnsi" w:eastAsia="SimSun" w:hAnsiTheme="minorHAnsi"/>
                <w:i/>
              </w:rPr>
              <w:t>Interconnection Point:</w:t>
            </w:r>
          </w:p>
        </w:tc>
        <w:tc>
          <w:tcPr>
            <w:tcW w:w="6840" w:type="dxa"/>
            <w:tcBorders>
              <w:top w:val="single" w:sz="4" w:space="0" w:color="auto"/>
              <w:left w:val="single" w:sz="4" w:space="0" w:color="auto"/>
              <w:bottom w:val="single" w:sz="4" w:space="0" w:color="auto"/>
            </w:tcBorders>
            <w:tcMar>
              <w:left w:w="108" w:type="dxa"/>
              <w:right w:w="108" w:type="dxa"/>
            </w:tcMar>
          </w:tcPr>
          <w:p w14:paraId="7E7CE279" w14:textId="27F8BC99" w:rsidR="00B028C8" w:rsidRPr="006D4815" w:rsidRDefault="004941D8" w:rsidP="00F2426D">
            <w:pPr>
              <w:spacing w:before="120"/>
              <w:rPr>
                <w:rFonts w:asciiTheme="minorHAnsi" w:hAnsiTheme="minorHAnsi"/>
              </w:rPr>
            </w:pPr>
            <w:r w:rsidRPr="006D4815">
              <w:rPr>
                <w:rFonts w:asciiTheme="minorHAnsi" w:hAnsiTheme="minorHAnsi"/>
              </w:rPr>
              <w:t>The Facility shall interconnect to [XX substation]. Seller shall be responsible for all costs of interconnecting the Facility to the Interconnection Point.</w:t>
            </w:r>
          </w:p>
        </w:tc>
      </w:tr>
      <w:tr w:rsidR="005064E7" w:rsidRPr="006D4815" w14:paraId="386974BE"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FAED67C" w14:textId="1C251753" w:rsidR="005064E7" w:rsidRPr="006D4815" w:rsidRDefault="005064E7" w:rsidP="000B1DF0">
            <w:pPr>
              <w:spacing w:before="120"/>
              <w:rPr>
                <w:rFonts w:asciiTheme="minorHAnsi" w:eastAsia="SimSun" w:hAnsiTheme="minorHAnsi"/>
                <w:i/>
              </w:rPr>
            </w:pPr>
            <w:r w:rsidRPr="006D4815">
              <w:rPr>
                <w:rFonts w:asciiTheme="minorHAnsi" w:eastAsia="SimSun" w:hAnsiTheme="minorHAnsi"/>
                <w:i/>
              </w:rPr>
              <w:t>Delivery Point:</w:t>
            </w:r>
          </w:p>
        </w:tc>
        <w:tc>
          <w:tcPr>
            <w:tcW w:w="6840" w:type="dxa"/>
            <w:tcBorders>
              <w:top w:val="single" w:sz="4" w:space="0" w:color="auto"/>
              <w:left w:val="single" w:sz="4" w:space="0" w:color="auto"/>
              <w:bottom w:val="single" w:sz="4" w:space="0" w:color="auto"/>
            </w:tcBorders>
            <w:tcMar>
              <w:left w:w="108" w:type="dxa"/>
              <w:right w:w="108" w:type="dxa"/>
            </w:tcMar>
          </w:tcPr>
          <w:p w14:paraId="1167064D" w14:textId="6F362417" w:rsidR="005064E7" w:rsidRPr="006D4815" w:rsidRDefault="00AC5C40" w:rsidP="00AC5C40">
            <w:pPr>
              <w:spacing w:before="120"/>
              <w:rPr>
                <w:rFonts w:asciiTheme="minorHAnsi" w:hAnsiTheme="minorHAnsi" w:cstheme="minorHAnsi"/>
              </w:rPr>
            </w:pPr>
            <w:r w:rsidRPr="006D4815">
              <w:rPr>
                <w:rFonts w:asciiTheme="minorHAnsi" w:hAnsiTheme="minorHAnsi"/>
              </w:rPr>
              <w:t>[</w:t>
            </w:r>
            <w:r w:rsidR="003C36B1" w:rsidRPr="006D4815">
              <w:rPr>
                <w:rFonts w:asciiTheme="minorHAnsi" w:hAnsiTheme="minorHAnsi"/>
              </w:rPr>
              <w:t>Interconnection Point</w:t>
            </w:r>
            <w:r w:rsidRPr="006D4815">
              <w:rPr>
                <w:rFonts w:asciiTheme="minorHAnsi" w:hAnsiTheme="minorHAnsi"/>
              </w:rPr>
              <w:t>]</w:t>
            </w:r>
          </w:p>
        </w:tc>
      </w:tr>
      <w:tr w:rsidR="00B80104" w:rsidRPr="006D4815" w14:paraId="2EB6BAD6"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6CC2D213" w14:textId="6F74E15E" w:rsidR="00B80104" w:rsidRPr="006D4815" w:rsidRDefault="00B80104" w:rsidP="000B1DF0">
            <w:pPr>
              <w:spacing w:before="120"/>
              <w:rPr>
                <w:rFonts w:asciiTheme="minorHAnsi" w:eastAsia="SimSun" w:hAnsiTheme="minorHAnsi"/>
                <w:i/>
              </w:rPr>
            </w:pPr>
            <w:r w:rsidRPr="006D4815">
              <w:rPr>
                <w:rFonts w:asciiTheme="minorHAnsi" w:eastAsia="SimSun" w:hAnsiTheme="minorHAnsi"/>
                <w:i/>
              </w:rPr>
              <w:t>Commercial Operation Date:</w:t>
            </w:r>
          </w:p>
        </w:tc>
        <w:tc>
          <w:tcPr>
            <w:tcW w:w="6840" w:type="dxa"/>
            <w:tcBorders>
              <w:top w:val="single" w:sz="4" w:space="0" w:color="auto"/>
              <w:left w:val="single" w:sz="4" w:space="0" w:color="auto"/>
              <w:bottom w:val="single" w:sz="4" w:space="0" w:color="auto"/>
            </w:tcBorders>
            <w:tcMar>
              <w:left w:w="108" w:type="dxa"/>
              <w:right w:w="108" w:type="dxa"/>
            </w:tcMar>
          </w:tcPr>
          <w:p w14:paraId="09020CEE" w14:textId="0AF496C8" w:rsidR="00B80104" w:rsidRPr="006D4815" w:rsidRDefault="7B97700D" w:rsidP="00BB6F53">
            <w:pPr>
              <w:spacing w:before="120"/>
              <w:rPr>
                <w:rFonts w:asciiTheme="minorHAnsi" w:hAnsiTheme="minorHAnsi"/>
              </w:rPr>
            </w:pPr>
            <w:r w:rsidRPr="006D4815">
              <w:rPr>
                <w:rFonts w:asciiTheme="minorHAnsi" w:hAnsiTheme="minorHAnsi"/>
              </w:rPr>
              <w:t>T</w:t>
            </w:r>
            <w:r w:rsidR="00F647C2" w:rsidRPr="006D4815">
              <w:rPr>
                <w:rFonts w:asciiTheme="minorHAnsi" w:hAnsiTheme="minorHAnsi"/>
              </w:rPr>
              <w:t xml:space="preserve">he date on which the </w:t>
            </w:r>
            <w:r w:rsidR="00B85000">
              <w:rPr>
                <w:rFonts w:asciiTheme="minorHAnsi" w:hAnsiTheme="minorHAnsi"/>
              </w:rPr>
              <w:t>Facility</w:t>
            </w:r>
            <w:r w:rsidR="00F647C2" w:rsidRPr="006D4815">
              <w:rPr>
                <w:rFonts w:asciiTheme="minorHAnsi" w:hAnsiTheme="minorHAnsi"/>
              </w:rPr>
              <w:t xml:space="preserve"> </w:t>
            </w:r>
            <w:r w:rsidR="00B85000">
              <w:rPr>
                <w:rFonts w:asciiTheme="minorHAnsi" w:hAnsiTheme="minorHAnsi"/>
              </w:rPr>
              <w:t>N</w:t>
            </w:r>
            <w:r w:rsidR="00F647C2" w:rsidRPr="006D4815">
              <w:rPr>
                <w:rFonts w:asciiTheme="minorHAnsi" w:hAnsiTheme="minorHAnsi"/>
              </w:rPr>
              <w:t xml:space="preserve">ameplate </w:t>
            </w:r>
            <w:r w:rsidR="00AC5C40" w:rsidRPr="006D4815">
              <w:rPr>
                <w:rFonts w:asciiTheme="minorHAnsi" w:hAnsiTheme="minorHAnsi"/>
              </w:rPr>
              <w:t>C</w:t>
            </w:r>
            <w:r w:rsidR="006322FF" w:rsidRPr="006D4815">
              <w:rPr>
                <w:rFonts w:asciiTheme="minorHAnsi" w:hAnsiTheme="minorHAnsi"/>
              </w:rPr>
              <w:t xml:space="preserve">apacity </w:t>
            </w:r>
            <w:r w:rsidR="00F647C2" w:rsidRPr="006D4815">
              <w:rPr>
                <w:rFonts w:asciiTheme="minorHAnsi" w:hAnsiTheme="minorHAnsi"/>
              </w:rPr>
              <w:t>(expressed in MW</w:t>
            </w:r>
            <w:r w:rsidR="00F647C2" w:rsidRPr="006D4815">
              <w:rPr>
                <w:rFonts w:asciiTheme="minorHAnsi" w:hAnsiTheme="minorHAnsi"/>
                <w:vertAlign w:val="subscript"/>
              </w:rPr>
              <w:t>AC</w:t>
            </w:r>
            <w:r w:rsidR="00F647C2" w:rsidRPr="006D4815">
              <w:rPr>
                <w:rFonts w:asciiTheme="minorHAnsi" w:hAnsiTheme="minorHAnsi"/>
              </w:rPr>
              <w:t>) is fully operational</w:t>
            </w:r>
            <w:r w:rsidR="006322FF" w:rsidRPr="006D4815">
              <w:rPr>
                <w:rFonts w:asciiTheme="minorHAnsi" w:hAnsiTheme="minorHAnsi"/>
              </w:rPr>
              <w:t xml:space="preserve">, </w:t>
            </w:r>
            <w:r w:rsidR="00F647C2" w:rsidRPr="006D4815">
              <w:rPr>
                <w:rFonts w:asciiTheme="minorHAnsi" w:hAnsiTheme="minorHAnsi"/>
              </w:rPr>
              <w:t>reliable</w:t>
            </w:r>
            <w:r w:rsidR="006322FF" w:rsidRPr="006D4815">
              <w:rPr>
                <w:rFonts w:asciiTheme="minorHAnsi" w:hAnsiTheme="minorHAnsi"/>
              </w:rPr>
              <w:t xml:space="preserve"> and available to Buyer</w:t>
            </w:r>
            <w:r w:rsidR="00F647C2" w:rsidRPr="006D4815">
              <w:rPr>
                <w:rFonts w:asciiTheme="minorHAnsi" w:hAnsiTheme="minorHAnsi"/>
              </w:rPr>
              <w:t>, and the Facility is fully interconnected, fully integrated, and synchronized with the transmission system.</w:t>
            </w:r>
          </w:p>
        </w:tc>
      </w:tr>
      <w:tr w:rsidR="00F647C2" w:rsidRPr="006D4815" w14:paraId="3475DD71"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778610E3" w14:textId="4603F58F" w:rsidR="00F647C2" w:rsidRPr="006D4815" w:rsidRDefault="00A97242" w:rsidP="000B1DF0">
            <w:pPr>
              <w:spacing w:before="120"/>
              <w:rPr>
                <w:rFonts w:asciiTheme="minorHAnsi" w:eastAsia="SimSun" w:hAnsiTheme="minorHAnsi"/>
                <w:i/>
              </w:rPr>
            </w:pPr>
            <w:r w:rsidRPr="006D4815">
              <w:rPr>
                <w:rFonts w:asciiTheme="minorHAnsi" w:eastAsia="SimSun" w:hAnsiTheme="minorHAnsi"/>
                <w:i/>
              </w:rPr>
              <w:t>Scheduled Commercial Operation Date:</w:t>
            </w:r>
          </w:p>
        </w:tc>
        <w:tc>
          <w:tcPr>
            <w:tcW w:w="6840" w:type="dxa"/>
            <w:tcBorders>
              <w:top w:val="single" w:sz="4" w:space="0" w:color="auto"/>
              <w:left w:val="single" w:sz="4" w:space="0" w:color="auto"/>
              <w:bottom w:val="single" w:sz="4" w:space="0" w:color="auto"/>
            </w:tcBorders>
            <w:tcMar>
              <w:left w:w="108" w:type="dxa"/>
              <w:right w:w="108" w:type="dxa"/>
            </w:tcMar>
          </w:tcPr>
          <w:p w14:paraId="611775E1" w14:textId="6449379E" w:rsidR="00B075B0" w:rsidRPr="006D4815" w:rsidRDefault="000857D5" w:rsidP="000857D5">
            <w:pPr>
              <w:spacing w:before="120"/>
              <w:rPr>
                <w:rFonts w:asciiTheme="minorHAnsi" w:hAnsiTheme="minorHAnsi"/>
              </w:rPr>
            </w:pPr>
            <w:r w:rsidRPr="006D4815">
              <w:rPr>
                <w:rFonts w:asciiTheme="minorHAnsi" w:hAnsiTheme="minorHAnsi"/>
              </w:rPr>
              <w:t>[</w:t>
            </w:r>
            <w:r w:rsidR="006322FF" w:rsidRPr="006D4815">
              <w:rPr>
                <w:rFonts w:asciiTheme="minorHAnsi" w:hAnsiTheme="minorHAnsi"/>
              </w:rPr>
              <w:t>D</w:t>
            </w:r>
            <w:r w:rsidRPr="006D4815">
              <w:rPr>
                <w:rFonts w:asciiTheme="minorHAnsi" w:hAnsiTheme="minorHAnsi"/>
              </w:rPr>
              <w:t xml:space="preserve">ate].  </w:t>
            </w:r>
          </w:p>
          <w:p w14:paraId="43CFA8AB" w14:textId="7BE84FCE" w:rsidR="000857D5" w:rsidRPr="006D4815" w:rsidRDefault="000857D5" w:rsidP="000857D5">
            <w:pPr>
              <w:spacing w:before="120"/>
              <w:rPr>
                <w:rFonts w:asciiTheme="minorHAnsi" w:hAnsiTheme="minorHAnsi"/>
              </w:rPr>
            </w:pPr>
            <w:r w:rsidRPr="006D4815">
              <w:rPr>
                <w:rFonts w:asciiTheme="minorHAnsi" w:hAnsiTheme="minorHAnsi"/>
              </w:rPr>
              <w:t xml:space="preserve">If </w:t>
            </w:r>
            <w:r w:rsidR="006322FF" w:rsidRPr="006D4815">
              <w:rPr>
                <w:rFonts w:asciiTheme="minorHAnsi" w:hAnsiTheme="minorHAnsi"/>
              </w:rPr>
              <w:t xml:space="preserve">the </w:t>
            </w:r>
            <w:r w:rsidR="008472D2" w:rsidRPr="006D4815">
              <w:rPr>
                <w:rFonts w:asciiTheme="minorHAnsi" w:hAnsiTheme="minorHAnsi"/>
              </w:rPr>
              <w:t>Facility has not</w:t>
            </w:r>
            <w:r w:rsidRPr="006D4815">
              <w:rPr>
                <w:rFonts w:asciiTheme="minorHAnsi" w:hAnsiTheme="minorHAnsi"/>
              </w:rPr>
              <w:t xml:space="preserve"> achieved </w:t>
            </w:r>
            <w:r w:rsidR="008472D2" w:rsidRPr="006D4815">
              <w:rPr>
                <w:rFonts w:asciiTheme="minorHAnsi" w:hAnsiTheme="minorHAnsi"/>
              </w:rPr>
              <w:t xml:space="preserve">commercial operation </w:t>
            </w:r>
            <w:r w:rsidRPr="006D4815">
              <w:rPr>
                <w:rFonts w:asciiTheme="minorHAnsi" w:hAnsiTheme="minorHAnsi"/>
              </w:rPr>
              <w:t xml:space="preserve">on or before the Scheduled Commercial Operation Date, Seller shall pay Delay Damages to </w:t>
            </w:r>
            <w:r w:rsidR="004166CD">
              <w:rPr>
                <w:rFonts w:asciiTheme="minorHAnsi" w:hAnsiTheme="minorHAnsi"/>
              </w:rPr>
              <w:t>Buyer f</w:t>
            </w:r>
            <w:r w:rsidRPr="006D4815">
              <w:rPr>
                <w:rFonts w:asciiTheme="minorHAnsi" w:hAnsiTheme="minorHAnsi"/>
              </w:rPr>
              <w:t xml:space="preserve">rom and after the Scheduled Commercial Operation Date up to, but not including the first to occur of (i) </w:t>
            </w:r>
            <w:r w:rsidR="008472D2" w:rsidRPr="006D4815">
              <w:rPr>
                <w:rFonts w:asciiTheme="minorHAnsi" w:hAnsiTheme="minorHAnsi"/>
              </w:rPr>
              <w:t>commercial operation of the Facility</w:t>
            </w:r>
            <w:r w:rsidRPr="006D4815">
              <w:rPr>
                <w:rFonts w:asciiTheme="minorHAnsi" w:hAnsiTheme="minorHAnsi"/>
              </w:rPr>
              <w:t xml:space="preserve">, </w:t>
            </w:r>
            <w:r w:rsidR="006322FF" w:rsidRPr="006D4815">
              <w:rPr>
                <w:rFonts w:asciiTheme="minorHAnsi" w:hAnsiTheme="minorHAnsi"/>
              </w:rPr>
              <w:t>or</w:t>
            </w:r>
            <w:r w:rsidRPr="006D4815">
              <w:rPr>
                <w:rFonts w:asciiTheme="minorHAnsi" w:hAnsiTheme="minorHAnsi"/>
              </w:rPr>
              <w:t xml:space="preserve"> (ii) the Guaranteed Commercial Operation Date.</w:t>
            </w:r>
          </w:p>
          <w:p w14:paraId="6D42BDBD" w14:textId="05DE7E45" w:rsidR="00F647C2" w:rsidRPr="006D4815" w:rsidRDefault="005305DD" w:rsidP="000857D5">
            <w:pPr>
              <w:rPr>
                <w:rFonts w:asciiTheme="minorHAnsi" w:hAnsiTheme="minorHAnsi"/>
              </w:rPr>
            </w:pPr>
            <w:r w:rsidRPr="006D4815">
              <w:rPr>
                <w:rFonts w:asciiTheme="minorHAnsi" w:hAnsiTheme="minorHAnsi"/>
              </w:rPr>
              <w:t xml:space="preserve">“Delay </w:t>
            </w:r>
            <w:r w:rsidR="008472D2" w:rsidRPr="006D4815">
              <w:rPr>
                <w:rFonts w:asciiTheme="minorHAnsi" w:hAnsiTheme="minorHAnsi"/>
              </w:rPr>
              <w:t>D</w:t>
            </w:r>
            <w:r w:rsidRPr="006D4815">
              <w:rPr>
                <w:rFonts w:asciiTheme="minorHAnsi" w:hAnsiTheme="minorHAnsi"/>
              </w:rPr>
              <w:t xml:space="preserve">amages” </w:t>
            </w:r>
            <w:r w:rsidR="000E4AD1" w:rsidRPr="006D4815">
              <w:rPr>
                <w:rFonts w:asciiTheme="minorHAnsi" w:hAnsiTheme="minorHAnsi"/>
              </w:rPr>
              <w:t xml:space="preserve">means, for any given day, the product of (a) the Guaranteed Storage Capacity, expressed in </w:t>
            </w:r>
            <w:r w:rsidR="00701A2C" w:rsidRPr="006D4815">
              <w:rPr>
                <w:rFonts w:asciiTheme="minorHAnsi" w:hAnsiTheme="minorHAnsi"/>
              </w:rPr>
              <w:t>MW</w:t>
            </w:r>
            <w:r w:rsidR="00701A2C" w:rsidRPr="00A24197">
              <w:rPr>
                <w:rFonts w:asciiTheme="minorHAnsi" w:hAnsiTheme="minorHAnsi"/>
                <w:vertAlign w:val="subscript"/>
              </w:rPr>
              <w:t>AC</w:t>
            </w:r>
            <w:r w:rsidR="000E4AD1" w:rsidRPr="006D4815">
              <w:rPr>
                <w:rFonts w:asciiTheme="minorHAnsi" w:hAnsiTheme="minorHAnsi"/>
              </w:rPr>
              <w:t xml:space="preserve">, multiplied by (b) the quotient of (i) the </w:t>
            </w:r>
            <w:r w:rsidR="001E2746" w:rsidRPr="006D4815">
              <w:rPr>
                <w:rFonts w:asciiTheme="minorHAnsi" w:hAnsiTheme="minorHAnsi"/>
              </w:rPr>
              <w:t>C</w:t>
            </w:r>
            <w:r w:rsidR="000E4AD1" w:rsidRPr="006D4815">
              <w:rPr>
                <w:rFonts w:asciiTheme="minorHAnsi" w:hAnsiTheme="minorHAnsi"/>
              </w:rPr>
              <w:t xml:space="preserve">ontract </w:t>
            </w:r>
            <w:r w:rsidR="001E2746" w:rsidRPr="006D4815">
              <w:rPr>
                <w:rFonts w:asciiTheme="minorHAnsi" w:hAnsiTheme="minorHAnsi"/>
              </w:rPr>
              <w:t>P</w:t>
            </w:r>
            <w:r w:rsidR="000E4AD1" w:rsidRPr="006D4815">
              <w:rPr>
                <w:rFonts w:asciiTheme="minorHAnsi" w:hAnsiTheme="minorHAnsi"/>
              </w:rPr>
              <w:t xml:space="preserve">rice in the first </w:t>
            </w:r>
            <w:r w:rsidR="00701A2C" w:rsidRPr="006D4815">
              <w:rPr>
                <w:rFonts w:asciiTheme="minorHAnsi" w:hAnsiTheme="minorHAnsi"/>
              </w:rPr>
              <w:t>c</w:t>
            </w:r>
            <w:r w:rsidR="000E4AD1" w:rsidRPr="006D4815">
              <w:rPr>
                <w:rFonts w:asciiTheme="minorHAnsi" w:hAnsiTheme="minorHAnsi"/>
              </w:rPr>
              <w:t xml:space="preserve">ontract </w:t>
            </w:r>
            <w:r w:rsidR="00701A2C" w:rsidRPr="006D4815">
              <w:rPr>
                <w:rFonts w:asciiTheme="minorHAnsi" w:hAnsiTheme="minorHAnsi"/>
              </w:rPr>
              <w:t>y</w:t>
            </w:r>
            <w:r w:rsidR="000E4AD1" w:rsidRPr="006D4815">
              <w:rPr>
                <w:rFonts w:asciiTheme="minorHAnsi" w:hAnsiTheme="minorHAnsi"/>
              </w:rPr>
              <w:t>ear (in $/MW/month) divided by (ii) 30.4</w:t>
            </w:r>
          </w:p>
        </w:tc>
      </w:tr>
      <w:tr w:rsidR="00045222" w:rsidRPr="006D4815" w14:paraId="1DB07C30"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2CCF5A3D" w14:textId="172B479B" w:rsidR="00045222" w:rsidRPr="006D4815" w:rsidRDefault="00045222" w:rsidP="000B1DF0">
            <w:pPr>
              <w:spacing w:before="120"/>
              <w:rPr>
                <w:rFonts w:asciiTheme="minorHAnsi" w:eastAsia="SimSun" w:hAnsiTheme="minorHAnsi"/>
                <w:i/>
              </w:rPr>
            </w:pPr>
            <w:r w:rsidRPr="006D4815">
              <w:rPr>
                <w:rFonts w:asciiTheme="minorHAnsi" w:eastAsia="SimSun" w:hAnsiTheme="minorHAnsi"/>
                <w:i/>
              </w:rPr>
              <w:t>Guaranteed C</w:t>
            </w:r>
            <w:r w:rsidR="006322FF" w:rsidRPr="006D4815">
              <w:rPr>
                <w:rFonts w:asciiTheme="minorHAnsi" w:eastAsia="SimSun" w:hAnsiTheme="minorHAnsi"/>
                <w:i/>
              </w:rPr>
              <w:t xml:space="preserve">ommercial </w:t>
            </w:r>
            <w:r w:rsidRPr="006D4815">
              <w:rPr>
                <w:rFonts w:asciiTheme="minorHAnsi" w:eastAsia="SimSun" w:hAnsiTheme="minorHAnsi"/>
                <w:i/>
              </w:rPr>
              <w:t>O</w:t>
            </w:r>
            <w:r w:rsidR="006322FF" w:rsidRPr="006D4815">
              <w:rPr>
                <w:rFonts w:asciiTheme="minorHAnsi" w:eastAsia="SimSun" w:hAnsiTheme="minorHAnsi"/>
                <w:i/>
              </w:rPr>
              <w:t xml:space="preserve">peration </w:t>
            </w:r>
            <w:r w:rsidRPr="006D4815">
              <w:rPr>
                <w:rFonts w:asciiTheme="minorHAnsi" w:eastAsia="SimSun" w:hAnsiTheme="minorHAnsi"/>
                <w:i/>
              </w:rPr>
              <w:t>D</w:t>
            </w:r>
            <w:r w:rsidR="006322FF" w:rsidRPr="006D4815">
              <w:rPr>
                <w:rFonts w:asciiTheme="minorHAnsi" w:eastAsia="SimSun" w:hAnsiTheme="minorHAnsi"/>
                <w:i/>
              </w:rPr>
              <w:t>ate</w:t>
            </w:r>
            <w:r w:rsidRPr="006D4815">
              <w:rPr>
                <w:rFonts w:asciiTheme="minorHAnsi" w:eastAsia="SimSun" w:hAnsiTheme="minorHAnsi"/>
                <w:i/>
              </w:rPr>
              <w:t>:</w:t>
            </w:r>
          </w:p>
        </w:tc>
        <w:tc>
          <w:tcPr>
            <w:tcW w:w="6840" w:type="dxa"/>
            <w:tcBorders>
              <w:top w:val="single" w:sz="4" w:space="0" w:color="auto"/>
              <w:left w:val="single" w:sz="4" w:space="0" w:color="auto"/>
              <w:bottom w:val="single" w:sz="4" w:space="0" w:color="auto"/>
            </w:tcBorders>
            <w:tcMar>
              <w:left w:w="108" w:type="dxa"/>
              <w:right w:w="108" w:type="dxa"/>
            </w:tcMar>
          </w:tcPr>
          <w:p w14:paraId="5BBD5F68" w14:textId="639F6605" w:rsidR="00552FBB" w:rsidRPr="006D4815" w:rsidRDefault="18DD1F73" w:rsidP="00552FBB">
            <w:pPr>
              <w:rPr>
                <w:rFonts w:asciiTheme="minorHAnsi" w:hAnsiTheme="minorHAnsi"/>
                <w:i/>
              </w:rPr>
            </w:pPr>
            <w:r w:rsidRPr="006D4815">
              <w:rPr>
                <w:rFonts w:asciiTheme="minorHAnsi" w:hAnsiTheme="minorHAnsi"/>
              </w:rPr>
              <w:t>T</w:t>
            </w:r>
            <w:r w:rsidR="00552FBB" w:rsidRPr="006D4815">
              <w:rPr>
                <w:rFonts w:asciiTheme="minorHAnsi" w:hAnsiTheme="minorHAnsi"/>
              </w:rPr>
              <w:t xml:space="preserve">he date that is </w:t>
            </w:r>
            <w:r w:rsidR="00C30B18" w:rsidRPr="006D4815">
              <w:rPr>
                <w:rFonts w:asciiTheme="minorHAnsi" w:hAnsiTheme="minorHAnsi"/>
              </w:rPr>
              <w:t>ninety (90)</w:t>
            </w:r>
            <w:r w:rsidR="00552FBB" w:rsidRPr="006D4815">
              <w:rPr>
                <w:rFonts w:asciiTheme="minorHAnsi" w:hAnsiTheme="minorHAnsi"/>
              </w:rPr>
              <w:t xml:space="preserve"> days after the Scheduled Commercial Operation </w:t>
            </w:r>
            <w:r w:rsidR="006322FF" w:rsidRPr="006D4815">
              <w:rPr>
                <w:rFonts w:asciiTheme="minorHAnsi" w:hAnsiTheme="minorHAnsi"/>
              </w:rPr>
              <w:t>D</w:t>
            </w:r>
            <w:r w:rsidR="00552FBB" w:rsidRPr="006D4815">
              <w:rPr>
                <w:rFonts w:asciiTheme="minorHAnsi" w:hAnsiTheme="minorHAnsi"/>
              </w:rPr>
              <w:t>ate.</w:t>
            </w:r>
          </w:p>
          <w:p w14:paraId="29C5A0A4" w14:textId="4C7EFAB2" w:rsidR="00045222" w:rsidRPr="006D4815" w:rsidRDefault="00552FBB" w:rsidP="003F2018">
            <w:pPr>
              <w:spacing w:before="120"/>
              <w:rPr>
                <w:rFonts w:asciiTheme="minorHAnsi" w:hAnsiTheme="minorHAnsi"/>
              </w:rPr>
            </w:pPr>
            <w:r w:rsidRPr="006D4815">
              <w:rPr>
                <w:rFonts w:asciiTheme="minorHAnsi" w:hAnsiTheme="minorHAnsi"/>
              </w:rPr>
              <w:t xml:space="preserve">Buyer shall have the right to terminate the </w:t>
            </w:r>
            <w:r w:rsidR="006322FF" w:rsidRPr="006D4815">
              <w:rPr>
                <w:rFonts w:asciiTheme="minorHAnsi" w:hAnsiTheme="minorHAnsi"/>
              </w:rPr>
              <w:t>SCA</w:t>
            </w:r>
            <w:r w:rsidRPr="006D4815">
              <w:rPr>
                <w:rFonts w:asciiTheme="minorHAnsi" w:hAnsiTheme="minorHAnsi"/>
              </w:rPr>
              <w:t xml:space="preserve"> if </w:t>
            </w:r>
            <w:r w:rsidR="006322FF" w:rsidRPr="006D4815">
              <w:rPr>
                <w:rFonts w:asciiTheme="minorHAnsi" w:hAnsiTheme="minorHAnsi"/>
              </w:rPr>
              <w:t xml:space="preserve">the </w:t>
            </w:r>
            <w:r w:rsidRPr="006D4815">
              <w:rPr>
                <w:rFonts w:asciiTheme="minorHAnsi" w:hAnsiTheme="minorHAnsi"/>
              </w:rPr>
              <w:t xml:space="preserve">Commercial Operation </w:t>
            </w:r>
            <w:r w:rsidR="006322FF" w:rsidRPr="006D4815">
              <w:rPr>
                <w:rFonts w:asciiTheme="minorHAnsi" w:hAnsiTheme="minorHAnsi"/>
              </w:rPr>
              <w:t xml:space="preserve">Date </w:t>
            </w:r>
            <w:r w:rsidRPr="006D4815">
              <w:rPr>
                <w:rFonts w:asciiTheme="minorHAnsi" w:hAnsiTheme="minorHAnsi"/>
              </w:rPr>
              <w:t xml:space="preserve">is not </w:t>
            </w:r>
            <w:r w:rsidR="006322FF" w:rsidRPr="006D4815">
              <w:rPr>
                <w:rFonts w:asciiTheme="minorHAnsi" w:hAnsiTheme="minorHAnsi"/>
              </w:rPr>
              <w:t>achieved</w:t>
            </w:r>
            <w:r w:rsidRPr="006D4815">
              <w:rPr>
                <w:rFonts w:asciiTheme="minorHAnsi" w:hAnsiTheme="minorHAnsi"/>
              </w:rPr>
              <w:t xml:space="preserve"> by the Guaranteed C</w:t>
            </w:r>
            <w:r w:rsidR="006322FF" w:rsidRPr="006D4815">
              <w:rPr>
                <w:rFonts w:asciiTheme="minorHAnsi" w:hAnsiTheme="minorHAnsi"/>
              </w:rPr>
              <w:t xml:space="preserve">ommercial </w:t>
            </w:r>
            <w:r w:rsidRPr="006D4815">
              <w:rPr>
                <w:rFonts w:asciiTheme="minorHAnsi" w:hAnsiTheme="minorHAnsi"/>
              </w:rPr>
              <w:t>O</w:t>
            </w:r>
            <w:r w:rsidR="006322FF" w:rsidRPr="006D4815">
              <w:rPr>
                <w:rFonts w:asciiTheme="minorHAnsi" w:hAnsiTheme="minorHAnsi"/>
              </w:rPr>
              <w:t xml:space="preserve">peration </w:t>
            </w:r>
            <w:r w:rsidRPr="006D4815">
              <w:rPr>
                <w:rFonts w:asciiTheme="minorHAnsi" w:hAnsiTheme="minorHAnsi"/>
              </w:rPr>
              <w:t>D</w:t>
            </w:r>
            <w:r w:rsidR="006322FF" w:rsidRPr="006D4815">
              <w:rPr>
                <w:rFonts w:asciiTheme="minorHAnsi" w:hAnsiTheme="minorHAnsi"/>
              </w:rPr>
              <w:t>ate</w:t>
            </w:r>
            <w:r w:rsidR="00CA0448" w:rsidRPr="006D4815">
              <w:rPr>
                <w:rFonts w:asciiTheme="minorHAnsi" w:hAnsiTheme="minorHAnsi"/>
              </w:rPr>
              <w:t>.</w:t>
            </w:r>
          </w:p>
        </w:tc>
      </w:tr>
      <w:tr w:rsidR="00796A8E" w:rsidRPr="006D4815" w14:paraId="2CCE3EC2"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76308365" w14:textId="77777777" w:rsidR="00796A8E" w:rsidRPr="006D4815" w:rsidRDefault="00796A8E" w:rsidP="00796A8E">
            <w:pPr>
              <w:spacing w:before="120"/>
              <w:rPr>
                <w:rFonts w:asciiTheme="minorHAnsi" w:eastAsia="SimSun" w:hAnsiTheme="minorHAnsi"/>
                <w:i/>
              </w:rPr>
            </w:pPr>
            <w:r w:rsidRPr="006D4815">
              <w:rPr>
                <w:rFonts w:asciiTheme="minorHAnsi" w:eastAsia="SimSun" w:hAnsiTheme="minorHAnsi"/>
                <w:i/>
              </w:rPr>
              <w:t>Contract Price:</w:t>
            </w:r>
          </w:p>
          <w:p w14:paraId="0511C9D5" w14:textId="77777777" w:rsidR="00796A8E" w:rsidRPr="006D4815" w:rsidRDefault="00796A8E" w:rsidP="00796A8E">
            <w:pPr>
              <w:spacing w:before="120"/>
              <w:rPr>
                <w:rFonts w:asciiTheme="minorHAnsi" w:eastAsia="SimSun" w:hAnsiTheme="minorHAnsi"/>
                <w:i/>
              </w:rPr>
            </w:pP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1678A13C" w14:textId="615B6010" w:rsidR="00796A8E" w:rsidRPr="006D4815" w:rsidRDefault="00796A8E" w:rsidP="00BB6F53">
            <w:pPr>
              <w:spacing w:before="120"/>
              <w:rPr>
                <w:rFonts w:asciiTheme="minorHAnsi" w:hAnsiTheme="minorHAnsi"/>
              </w:rPr>
            </w:pPr>
            <w:r w:rsidRPr="006D4815">
              <w:rPr>
                <w:rFonts w:asciiTheme="minorHAnsi" w:hAnsiTheme="minorHAnsi"/>
              </w:rPr>
              <w:t xml:space="preserve">Fixed </w:t>
            </w:r>
            <w:r w:rsidR="007F0E94" w:rsidRPr="006D4815">
              <w:rPr>
                <w:rFonts w:asciiTheme="minorHAnsi" w:hAnsiTheme="minorHAnsi"/>
              </w:rPr>
              <w:t xml:space="preserve">monthly </w:t>
            </w:r>
            <w:r w:rsidRPr="006D4815">
              <w:rPr>
                <w:rFonts w:asciiTheme="minorHAnsi" w:hAnsiTheme="minorHAnsi"/>
              </w:rPr>
              <w:t>capacity payment</w:t>
            </w:r>
            <w:r w:rsidR="006322FF" w:rsidRPr="006D4815">
              <w:rPr>
                <w:rFonts w:asciiTheme="minorHAnsi" w:hAnsiTheme="minorHAnsi"/>
              </w:rPr>
              <w:t xml:space="preserve"> for the entire Delivery </w:t>
            </w:r>
            <w:r w:rsidR="004871E2" w:rsidRPr="006D4815">
              <w:rPr>
                <w:rFonts w:asciiTheme="minorHAnsi" w:hAnsiTheme="minorHAnsi"/>
              </w:rPr>
              <w:t xml:space="preserve">Term </w:t>
            </w:r>
            <w:r w:rsidR="006322FF" w:rsidRPr="006D4815">
              <w:rPr>
                <w:rFonts w:asciiTheme="minorHAnsi" w:hAnsiTheme="minorHAnsi"/>
              </w:rPr>
              <w:t>equal to</w:t>
            </w:r>
            <w:r w:rsidR="00E462DB" w:rsidRPr="006D4815">
              <w:rPr>
                <w:rFonts w:asciiTheme="minorHAnsi" w:hAnsiTheme="minorHAnsi"/>
              </w:rPr>
              <w:t xml:space="preserve"> </w:t>
            </w:r>
            <w:r w:rsidR="006322FF" w:rsidRPr="006D4815">
              <w:rPr>
                <w:rFonts w:asciiTheme="minorHAnsi" w:hAnsiTheme="minorHAnsi"/>
              </w:rPr>
              <w:t>[</w:t>
            </w:r>
            <w:r w:rsidRPr="006D4815">
              <w:rPr>
                <w:rFonts w:asciiTheme="minorHAnsi" w:hAnsiTheme="minorHAnsi"/>
                <w:u w:val="single"/>
              </w:rPr>
              <w:t xml:space="preserve">            </w:t>
            </w:r>
            <w:r w:rsidRPr="006D4815">
              <w:rPr>
                <w:rFonts w:asciiTheme="minorHAnsi" w:hAnsiTheme="minorHAnsi"/>
              </w:rPr>
              <w:t xml:space="preserve">  ($/</w:t>
            </w:r>
            <w:r w:rsidR="00624D90" w:rsidRPr="006D4815">
              <w:rPr>
                <w:rFonts w:asciiTheme="minorHAnsi" w:hAnsiTheme="minorHAnsi"/>
              </w:rPr>
              <w:t>MW</w:t>
            </w:r>
            <w:r w:rsidR="00624D90" w:rsidRPr="006D4815">
              <w:rPr>
                <w:rFonts w:asciiTheme="minorHAnsi" w:hAnsiTheme="minorHAnsi"/>
                <w:vertAlign w:val="subscript"/>
              </w:rPr>
              <w:t>AC</w:t>
            </w:r>
            <w:r w:rsidR="00624D90" w:rsidRPr="006D4815" w:rsidDel="00624D90">
              <w:rPr>
                <w:rFonts w:asciiTheme="minorHAnsi" w:hAnsiTheme="minorHAnsi"/>
              </w:rPr>
              <w:t xml:space="preserve"> </w:t>
            </w:r>
            <w:r w:rsidR="008472D2" w:rsidRPr="006D4815">
              <w:rPr>
                <w:rFonts w:asciiTheme="minorHAnsi" w:hAnsiTheme="minorHAnsi"/>
              </w:rPr>
              <w:t xml:space="preserve">of </w:t>
            </w:r>
            <w:r w:rsidR="00961431">
              <w:rPr>
                <w:rFonts w:asciiTheme="minorHAnsi" w:hAnsiTheme="minorHAnsi"/>
              </w:rPr>
              <w:t>s</w:t>
            </w:r>
            <w:r w:rsidR="008472D2" w:rsidRPr="006D4815">
              <w:rPr>
                <w:rFonts w:asciiTheme="minorHAnsi" w:hAnsiTheme="minorHAnsi"/>
              </w:rPr>
              <w:t xml:space="preserve">torage </w:t>
            </w:r>
            <w:r w:rsidR="00961431">
              <w:rPr>
                <w:rFonts w:asciiTheme="minorHAnsi" w:hAnsiTheme="minorHAnsi"/>
              </w:rPr>
              <w:t>c</w:t>
            </w:r>
            <w:r w:rsidR="008472D2" w:rsidRPr="006D4815">
              <w:rPr>
                <w:rFonts w:asciiTheme="minorHAnsi" w:hAnsiTheme="minorHAnsi"/>
              </w:rPr>
              <w:t xml:space="preserve">apacity per </w:t>
            </w:r>
            <w:r w:rsidR="0004387C" w:rsidRPr="006D4815">
              <w:rPr>
                <w:rFonts w:asciiTheme="minorHAnsi" w:hAnsiTheme="minorHAnsi"/>
              </w:rPr>
              <w:t>month</w:t>
            </w:r>
            <w:r w:rsidRPr="006D4815">
              <w:rPr>
                <w:rFonts w:asciiTheme="minorHAnsi" w:hAnsiTheme="minorHAnsi"/>
              </w:rPr>
              <w:t>)</w:t>
            </w:r>
            <w:r w:rsidR="006322FF" w:rsidRPr="006D4815">
              <w:rPr>
                <w:rFonts w:asciiTheme="minorHAnsi" w:hAnsiTheme="minorHAnsi"/>
              </w:rPr>
              <w:t>]</w:t>
            </w:r>
            <w:r w:rsidR="007F0E94" w:rsidRPr="006D4815">
              <w:rPr>
                <w:rFonts w:asciiTheme="minorHAnsi" w:hAnsiTheme="minorHAnsi"/>
              </w:rPr>
              <w:t xml:space="preserve">. </w:t>
            </w:r>
          </w:p>
        </w:tc>
      </w:tr>
      <w:tr w:rsidR="00095608" w:rsidRPr="006D4815" w14:paraId="690AC7D7"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7D5A312C" w14:textId="6CAE7DCF"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lastRenderedPageBreak/>
              <w:t>Charging Energy: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081D59CD" w14:textId="0EABC12D" w:rsidR="00095608" w:rsidRPr="006D4815" w:rsidRDefault="00095608" w:rsidP="00095608">
            <w:pPr>
              <w:spacing w:before="120"/>
              <w:rPr>
                <w:rFonts w:asciiTheme="minorHAnsi" w:hAnsiTheme="minorHAnsi"/>
              </w:rPr>
            </w:pPr>
            <w:r w:rsidRPr="006D4815">
              <w:rPr>
                <w:rFonts w:asciiTheme="minorHAnsi" w:hAnsiTheme="minorHAnsi"/>
              </w:rPr>
              <w:t>During the Delivery Term, Buyer shall be responsible, at its sole cost, for managing, purchasing, scheduling and delivering all energy necessary to charge the Facility to supply its Discharge Request (defined in the Scheduling Procedure</w:t>
            </w:r>
            <w:r w:rsidR="00B85000">
              <w:rPr>
                <w:rFonts w:asciiTheme="minorHAnsi" w:hAnsiTheme="minorHAnsi"/>
              </w:rPr>
              <w:t xml:space="preserve"> below</w:t>
            </w:r>
            <w:r w:rsidRPr="006D4815">
              <w:rPr>
                <w:rFonts w:asciiTheme="minorHAnsi" w:hAnsiTheme="minorHAnsi"/>
              </w:rPr>
              <w:t xml:space="preserve">). </w:t>
            </w:r>
          </w:p>
        </w:tc>
      </w:tr>
      <w:tr w:rsidR="00095608" w:rsidRPr="006D4815" w14:paraId="34689945"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05D40D9E" w14:textId="1DA2B88A"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Storage Capacity Test: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331B2BB5" w14:textId="39947AA7" w:rsidR="00095608" w:rsidRPr="006D4815" w:rsidRDefault="00095608" w:rsidP="00095608">
            <w:pPr>
              <w:spacing w:before="120"/>
              <w:rPr>
                <w:rFonts w:asciiTheme="minorHAnsi" w:hAnsiTheme="minorHAnsi"/>
              </w:rPr>
            </w:pPr>
            <w:r w:rsidRPr="006D4815">
              <w:rPr>
                <w:rFonts w:asciiTheme="minorHAnsi" w:hAnsiTheme="minorHAnsi"/>
              </w:rPr>
              <w:t>Prior to commercial operation of the Facility, Seller shall schedule and complete a storage capacity test. Thereafter, at least once per year, Seller shall schedule and complete a storage capacity test. Buyer may require a</w:t>
            </w:r>
            <w:r w:rsidR="004B5381">
              <w:rPr>
                <w:rFonts w:asciiTheme="minorHAnsi" w:hAnsiTheme="minorHAnsi"/>
              </w:rPr>
              <w:t>dditional</w:t>
            </w:r>
            <w:r w:rsidRPr="006D4815">
              <w:rPr>
                <w:rFonts w:asciiTheme="minorHAnsi" w:hAnsiTheme="minorHAnsi"/>
              </w:rPr>
              <w:t xml:space="preserve"> storage capacity test</w:t>
            </w:r>
            <w:r w:rsidR="004B5381">
              <w:rPr>
                <w:rFonts w:asciiTheme="minorHAnsi" w:hAnsiTheme="minorHAnsi"/>
              </w:rPr>
              <w:t>s</w:t>
            </w:r>
            <w:r w:rsidRPr="006D4815">
              <w:rPr>
                <w:rFonts w:asciiTheme="minorHAnsi" w:hAnsiTheme="minorHAnsi"/>
              </w:rPr>
              <w:t xml:space="preserve"> at any time during the Delivery Term. The Parties shall coordinate all storage capacity tests in good faith to minimize the burden to each of the Parties. Buyer may witness all storage capacity tests of the Facility. Buyer shall pay for the Charging Energy used to charge the Facility in connection with the first storage capacity test during any contract year. All other costs related to a storage capacity test, including costs for Charging Energy for subsequent storage capacity tests in the same contract year (unless such subsequent retest is initiated by Buyer), shall be borne by Seller. </w:t>
            </w:r>
            <w:r w:rsidR="00B85000">
              <w:rPr>
                <w:rFonts w:asciiTheme="minorHAnsi" w:hAnsiTheme="minorHAnsi"/>
              </w:rPr>
              <w:t xml:space="preserve">The result of the applicable storage capacity test shall establish the storage capacity for the Facility. </w:t>
            </w:r>
          </w:p>
        </w:tc>
      </w:tr>
      <w:tr w:rsidR="00095608" w:rsidRPr="006D4815" w14:paraId="17755234"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AD2BD58" w14:textId="05082F5F"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Scheduling of Charging Energy and Discharge Energy: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133F7417" w14:textId="77777777" w:rsidR="00095608" w:rsidRPr="006D4815" w:rsidRDefault="00095608" w:rsidP="004334CC">
            <w:pPr>
              <w:spacing w:before="120"/>
              <w:rPr>
                <w:rFonts w:asciiTheme="minorHAnsi" w:eastAsia="SimSun" w:hAnsiTheme="minorHAnsi"/>
              </w:rPr>
            </w:pPr>
            <w:r w:rsidRPr="006D4815">
              <w:rPr>
                <w:rFonts w:asciiTheme="minorHAnsi" w:eastAsia="SimSun" w:hAnsiTheme="minorHAnsi"/>
              </w:rPr>
              <w:t>For each day during the Delivery Term:</w:t>
            </w:r>
          </w:p>
          <w:p w14:paraId="5682A79C" w14:textId="3E6449BE" w:rsidR="00095608" w:rsidRPr="006D4815" w:rsidRDefault="00095608" w:rsidP="00095608">
            <w:pPr>
              <w:rPr>
                <w:rFonts w:asciiTheme="minorHAnsi" w:eastAsia="SimSun" w:hAnsiTheme="minorHAnsi"/>
              </w:rPr>
            </w:pPr>
            <w:r w:rsidRPr="006D4815">
              <w:rPr>
                <w:rFonts w:asciiTheme="minorHAnsi" w:eastAsia="SimSun" w:hAnsiTheme="minorHAnsi"/>
              </w:rPr>
              <w:t xml:space="preserve">Buyer shall, by </w:t>
            </w:r>
            <w:r w:rsidR="00C30B18" w:rsidRPr="006D4815">
              <w:rPr>
                <w:rFonts w:asciiTheme="minorHAnsi" w:eastAsia="SimSun" w:hAnsiTheme="minorHAnsi"/>
              </w:rPr>
              <w:t>05</w:t>
            </w:r>
            <w:r w:rsidRPr="006D4815">
              <w:rPr>
                <w:rFonts w:asciiTheme="minorHAnsi" w:eastAsia="SimSun" w:hAnsiTheme="minorHAnsi"/>
              </w:rPr>
              <w:t>.00a.m. PPT of the customary WECC Pre-Schedule Day communicate to Seller’s pre-schedule desk via an Application Program Interface (API), the expected Charging Energy to be delivered to the Facility by Buyer and the amount of energy Seller shall discharge and deliver each hour at the Delivery Point for the delivery day to Buyer.</w:t>
            </w:r>
          </w:p>
          <w:p w14:paraId="41B6A8C5" w14:textId="30D246EE" w:rsidR="00095608" w:rsidRPr="006D4815" w:rsidRDefault="00095608" w:rsidP="00095608">
            <w:pPr>
              <w:rPr>
                <w:rFonts w:asciiTheme="minorHAnsi" w:eastAsia="SimSun" w:hAnsiTheme="minorHAnsi"/>
              </w:rPr>
            </w:pPr>
            <w:r w:rsidRPr="006D4815">
              <w:rPr>
                <w:rFonts w:asciiTheme="minorHAnsi" w:eastAsia="SimSun" w:hAnsiTheme="minorHAnsi"/>
              </w:rPr>
              <w:t>The SCA shall include charging and discharging protocols based on the technology and software communication available to Seller, but at a minimum Buyer shall communicate intraday adjustments no later than one-hundred and twenty (120) minutes prior to the flow hour.</w:t>
            </w:r>
          </w:p>
        </w:tc>
      </w:tr>
      <w:tr w:rsidR="00095608" w:rsidRPr="006D4815" w14:paraId="2528D4AF"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500DA45" w14:textId="246479BD"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Storage Capacity Guarantee:</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1A604239" w14:textId="22523D86" w:rsidR="00095608" w:rsidRPr="006D4815" w:rsidRDefault="00095608" w:rsidP="004334CC">
            <w:pPr>
              <w:spacing w:before="120"/>
              <w:rPr>
                <w:rFonts w:asciiTheme="minorHAnsi" w:eastAsia="SimSun" w:hAnsiTheme="minorHAnsi"/>
              </w:rPr>
            </w:pPr>
            <w:r w:rsidRPr="006D4815">
              <w:rPr>
                <w:rFonts w:asciiTheme="minorHAnsi" w:eastAsia="SimSun" w:hAnsiTheme="minorHAnsi"/>
              </w:rPr>
              <w:t xml:space="preserve">If the </w:t>
            </w:r>
            <w:r w:rsidR="00961431">
              <w:rPr>
                <w:rFonts w:asciiTheme="minorHAnsi" w:eastAsia="SimSun" w:hAnsiTheme="minorHAnsi"/>
              </w:rPr>
              <w:t>s</w:t>
            </w:r>
            <w:r w:rsidRPr="006D4815">
              <w:rPr>
                <w:rFonts w:asciiTheme="minorHAnsi" w:eastAsia="SimSun" w:hAnsiTheme="minorHAnsi"/>
              </w:rPr>
              <w:t xml:space="preserve">torage </w:t>
            </w:r>
            <w:r w:rsidR="00961431">
              <w:rPr>
                <w:rFonts w:asciiTheme="minorHAnsi" w:eastAsia="SimSun" w:hAnsiTheme="minorHAnsi"/>
              </w:rPr>
              <w:t>c</w:t>
            </w:r>
            <w:r w:rsidRPr="006D4815">
              <w:rPr>
                <w:rFonts w:asciiTheme="minorHAnsi" w:eastAsia="SimSun" w:hAnsiTheme="minorHAnsi"/>
              </w:rPr>
              <w:t>apacity</w:t>
            </w:r>
            <w:r w:rsidR="00961431">
              <w:rPr>
                <w:rFonts w:asciiTheme="minorHAnsi" w:eastAsia="SimSun" w:hAnsiTheme="minorHAnsi"/>
              </w:rPr>
              <w:t xml:space="preserve"> of the Facility</w:t>
            </w:r>
            <w:r w:rsidRPr="006D4815">
              <w:rPr>
                <w:rFonts w:asciiTheme="minorHAnsi" w:eastAsia="SimSun" w:hAnsiTheme="minorHAnsi"/>
              </w:rPr>
              <w:t xml:space="preserve"> is determined during a </w:t>
            </w:r>
            <w:r w:rsidR="00601739">
              <w:rPr>
                <w:rFonts w:asciiTheme="minorHAnsi" w:eastAsia="SimSun" w:hAnsiTheme="minorHAnsi"/>
              </w:rPr>
              <w:t>s</w:t>
            </w:r>
            <w:r w:rsidRPr="006D4815">
              <w:rPr>
                <w:rFonts w:asciiTheme="minorHAnsi" w:eastAsia="SimSun" w:hAnsiTheme="minorHAnsi"/>
              </w:rPr>
              <w:t xml:space="preserve">torage </w:t>
            </w:r>
            <w:r w:rsidR="00601739">
              <w:rPr>
                <w:rFonts w:asciiTheme="minorHAnsi" w:eastAsia="SimSun" w:hAnsiTheme="minorHAnsi"/>
              </w:rPr>
              <w:t>c</w:t>
            </w:r>
            <w:r w:rsidRPr="006D4815">
              <w:rPr>
                <w:rFonts w:asciiTheme="minorHAnsi" w:eastAsia="SimSun" w:hAnsiTheme="minorHAnsi"/>
              </w:rPr>
              <w:t xml:space="preserve">apacity </w:t>
            </w:r>
            <w:r w:rsidR="00601739">
              <w:rPr>
                <w:rFonts w:asciiTheme="minorHAnsi" w:eastAsia="SimSun" w:hAnsiTheme="minorHAnsi"/>
              </w:rPr>
              <w:t>t</w:t>
            </w:r>
            <w:r w:rsidRPr="006D4815">
              <w:rPr>
                <w:rFonts w:asciiTheme="minorHAnsi" w:eastAsia="SimSun" w:hAnsiTheme="minorHAnsi"/>
              </w:rPr>
              <w:t xml:space="preserve">est to be less than the Guaranteed Contract Storage Capacity, Seller shall pay to Buyer as liquidated damages for such deficiency an amount determined by </w:t>
            </w:r>
            <w:r w:rsidRPr="006D4815">
              <w:rPr>
                <w:rFonts w:asciiTheme="minorHAnsi" w:eastAsia="SimSun" w:hAnsiTheme="minorHAnsi"/>
                <w:i/>
                <w:iCs/>
                <w:u w:val="single"/>
              </w:rPr>
              <w:t>multiplying</w:t>
            </w:r>
            <w:r w:rsidRPr="006D4815">
              <w:rPr>
                <w:rFonts w:asciiTheme="minorHAnsi" w:eastAsia="SimSun" w:hAnsiTheme="minorHAnsi"/>
              </w:rPr>
              <w:t xml:space="preserve"> (i) the number of months since the last Storage Capacity Test (including the month in which the most current Storage Capacity Test was completed) by (ii) the Contract Price (adjusted to $/MW/month (</w:t>
            </w:r>
            <w:r w:rsidRPr="006D4815">
              <w:rPr>
                <w:rFonts w:asciiTheme="minorHAnsi" w:eastAsia="SimSun" w:hAnsiTheme="minorHAnsi"/>
                <w:i/>
                <w:iCs/>
              </w:rPr>
              <w:t>multiplied by</w:t>
            </w:r>
            <w:r w:rsidRPr="006D4815">
              <w:rPr>
                <w:rFonts w:asciiTheme="minorHAnsi" w:eastAsia="SimSun" w:hAnsiTheme="minorHAnsi"/>
              </w:rPr>
              <w:t xml:space="preserve"> 1,000), </w:t>
            </w:r>
            <w:r w:rsidRPr="006D4815">
              <w:rPr>
                <w:rFonts w:asciiTheme="minorHAnsi" w:eastAsia="SimSun" w:hAnsiTheme="minorHAnsi"/>
                <w:i/>
                <w:iCs/>
                <w:u w:val="single"/>
              </w:rPr>
              <w:t>multiplied by</w:t>
            </w:r>
            <w:r w:rsidRPr="006D4815">
              <w:rPr>
                <w:rFonts w:asciiTheme="minorHAnsi" w:eastAsia="SimSun" w:hAnsiTheme="minorHAnsi"/>
              </w:rPr>
              <w:t xml:space="preserve"> 125%</w:t>
            </w:r>
            <w:r w:rsidR="00D364E2">
              <w:rPr>
                <w:rFonts w:asciiTheme="minorHAnsi" w:eastAsia="SimSun" w:hAnsiTheme="minorHAnsi"/>
              </w:rPr>
              <w:t>,</w:t>
            </w:r>
            <w:r w:rsidRPr="006D4815">
              <w:rPr>
                <w:rFonts w:asciiTheme="minorHAnsi" w:eastAsia="SimSun" w:hAnsiTheme="minorHAnsi"/>
              </w:rPr>
              <w:t xml:space="preserve"> by (iii) the difference between the Guaranteed Storage Capacity and the </w:t>
            </w:r>
            <w:r w:rsidR="00961431">
              <w:rPr>
                <w:rFonts w:asciiTheme="minorHAnsi" w:eastAsia="SimSun" w:hAnsiTheme="minorHAnsi"/>
              </w:rPr>
              <w:t>s</w:t>
            </w:r>
            <w:r w:rsidRPr="006D4815">
              <w:rPr>
                <w:rFonts w:asciiTheme="minorHAnsi" w:eastAsia="SimSun" w:hAnsiTheme="minorHAnsi"/>
              </w:rPr>
              <w:t>torag</w:t>
            </w:r>
            <w:r w:rsidR="00961431">
              <w:rPr>
                <w:rFonts w:asciiTheme="minorHAnsi" w:eastAsia="SimSun" w:hAnsiTheme="minorHAnsi"/>
              </w:rPr>
              <w:t>e</w:t>
            </w:r>
            <w:r w:rsidRPr="006D4815">
              <w:rPr>
                <w:rFonts w:asciiTheme="minorHAnsi" w:eastAsia="SimSun" w:hAnsiTheme="minorHAnsi"/>
              </w:rPr>
              <w:t xml:space="preserve"> </w:t>
            </w:r>
            <w:r w:rsidR="00961431">
              <w:rPr>
                <w:rFonts w:asciiTheme="minorHAnsi" w:eastAsia="SimSun" w:hAnsiTheme="minorHAnsi"/>
              </w:rPr>
              <w:t>c</w:t>
            </w:r>
            <w:r w:rsidRPr="006D4815">
              <w:rPr>
                <w:rFonts w:asciiTheme="minorHAnsi" w:eastAsia="SimSun" w:hAnsiTheme="minorHAnsi"/>
              </w:rPr>
              <w:t>apacity</w:t>
            </w:r>
            <w:r w:rsidR="00961431">
              <w:rPr>
                <w:rFonts w:asciiTheme="minorHAnsi" w:eastAsia="SimSun" w:hAnsiTheme="minorHAnsi"/>
              </w:rPr>
              <w:t xml:space="preserve"> of the Facility</w:t>
            </w:r>
            <w:r w:rsidRPr="006D4815">
              <w:rPr>
                <w:rFonts w:asciiTheme="minorHAnsi" w:eastAsia="SimSun" w:hAnsiTheme="minorHAnsi"/>
              </w:rPr>
              <w:t xml:space="preserve"> as determined during the most recent </w:t>
            </w:r>
            <w:r w:rsidR="00D364E2">
              <w:rPr>
                <w:rFonts w:asciiTheme="minorHAnsi" w:eastAsia="SimSun" w:hAnsiTheme="minorHAnsi"/>
              </w:rPr>
              <w:t>s</w:t>
            </w:r>
            <w:r w:rsidRPr="006D4815">
              <w:rPr>
                <w:rFonts w:asciiTheme="minorHAnsi" w:eastAsia="SimSun" w:hAnsiTheme="minorHAnsi"/>
              </w:rPr>
              <w:t xml:space="preserve">torage </w:t>
            </w:r>
            <w:r w:rsidR="00D364E2">
              <w:rPr>
                <w:rFonts w:asciiTheme="minorHAnsi" w:eastAsia="SimSun" w:hAnsiTheme="minorHAnsi"/>
              </w:rPr>
              <w:t>c</w:t>
            </w:r>
            <w:r w:rsidRPr="006D4815">
              <w:rPr>
                <w:rFonts w:asciiTheme="minorHAnsi" w:eastAsia="SimSun" w:hAnsiTheme="minorHAnsi"/>
              </w:rPr>
              <w:t xml:space="preserve">apacity </w:t>
            </w:r>
            <w:r w:rsidR="00D364E2">
              <w:rPr>
                <w:rFonts w:asciiTheme="minorHAnsi" w:eastAsia="SimSun" w:hAnsiTheme="minorHAnsi"/>
              </w:rPr>
              <w:t>t</w:t>
            </w:r>
            <w:r w:rsidRPr="006D4815">
              <w:rPr>
                <w:rFonts w:asciiTheme="minorHAnsi" w:eastAsia="SimSun" w:hAnsiTheme="minorHAnsi"/>
              </w:rPr>
              <w:t>est until such deficiency is cured.</w:t>
            </w:r>
          </w:p>
          <w:p w14:paraId="5CC24DA0" w14:textId="1F07439E" w:rsidR="00095608" w:rsidRPr="006D4815" w:rsidRDefault="00095608" w:rsidP="00095608">
            <w:pPr>
              <w:pStyle w:val="Heading4"/>
              <w:rPr>
                <w:rFonts w:asciiTheme="minorHAnsi" w:eastAsia="SimSun" w:hAnsiTheme="minorHAnsi"/>
              </w:rPr>
            </w:pPr>
            <w:r w:rsidRPr="006D4815">
              <w:rPr>
                <w:rFonts w:asciiTheme="minorHAnsi" w:eastAsia="SimSun" w:hAnsiTheme="minorHAnsi" w:cs="Times New Roman"/>
                <w:noProof w:val="0"/>
              </w:rPr>
              <w:lastRenderedPageBreak/>
              <w:t xml:space="preserve">It will be an event of default if the </w:t>
            </w:r>
            <w:r w:rsidR="00961431">
              <w:rPr>
                <w:rFonts w:asciiTheme="minorHAnsi" w:eastAsia="SimSun" w:hAnsiTheme="minorHAnsi" w:cs="Times New Roman"/>
                <w:noProof w:val="0"/>
              </w:rPr>
              <w:t>storage capacity of the Facility</w:t>
            </w:r>
            <w:r w:rsidRPr="006D4815">
              <w:rPr>
                <w:rFonts w:asciiTheme="minorHAnsi" w:eastAsia="SimSun" w:hAnsiTheme="minorHAnsi" w:cs="Times New Roman"/>
                <w:noProof w:val="0"/>
              </w:rPr>
              <w:t>, as determined by the</w:t>
            </w:r>
            <w:r w:rsidRPr="006D4815" w:rsidDel="00300FF8">
              <w:rPr>
                <w:rFonts w:asciiTheme="minorHAnsi" w:eastAsia="SimSun" w:hAnsiTheme="minorHAnsi" w:cs="Times New Roman"/>
                <w:noProof w:val="0"/>
              </w:rPr>
              <w:t xml:space="preserve"> </w:t>
            </w:r>
            <w:r w:rsidRPr="006D4815">
              <w:rPr>
                <w:rFonts w:asciiTheme="minorHAnsi" w:eastAsia="SimSun" w:hAnsiTheme="minorHAnsi" w:cs="Times New Roman"/>
                <w:noProof w:val="0"/>
              </w:rPr>
              <w:t xml:space="preserve">most recent </w:t>
            </w:r>
            <w:r w:rsidR="00D364E2">
              <w:rPr>
                <w:rFonts w:asciiTheme="minorHAnsi" w:eastAsia="SimSun" w:hAnsiTheme="minorHAnsi" w:cs="Times New Roman"/>
                <w:noProof w:val="0"/>
              </w:rPr>
              <w:t>s</w:t>
            </w:r>
            <w:r w:rsidRPr="006D4815">
              <w:rPr>
                <w:rFonts w:asciiTheme="minorHAnsi" w:eastAsia="SimSun" w:hAnsiTheme="minorHAnsi" w:cs="Times New Roman"/>
                <w:noProof w:val="0"/>
              </w:rPr>
              <w:t xml:space="preserve">torage </w:t>
            </w:r>
            <w:r w:rsidR="00D364E2">
              <w:rPr>
                <w:rFonts w:asciiTheme="minorHAnsi" w:eastAsia="SimSun" w:hAnsiTheme="minorHAnsi" w:cs="Times New Roman"/>
                <w:noProof w:val="0"/>
              </w:rPr>
              <w:t>c</w:t>
            </w:r>
            <w:r w:rsidRPr="006D4815">
              <w:rPr>
                <w:rFonts w:asciiTheme="minorHAnsi" w:eastAsia="SimSun" w:hAnsiTheme="minorHAnsi" w:cs="Times New Roman"/>
                <w:noProof w:val="0"/>
              </w:rPr>
              <w:t xml:space="preserve">apacity </w:t>
            </w:r>
            <w:r w:rsidR="00D364E2">
              <w:rPr>
                <w:rFonts w:asciiTheme="minorHAnsi" w:eastAsia="SimSun" w:hAnsiTheme="minorHAnsi" w:cs="Times New Roman"/>
                <w:noProof w:val="0"/>
              </w:rPr>
              <w:t>t</w:t>
            </w:r>
            <w:r w:rsidRPr="006D4815">
              <w:rPr>
                <w:rFonts w:asciiTheme="minorHAnsi" w:eastAsia="SimSun" w:hAnsiTheme="minorHAnsi" w:cs="Times New Roman"/>
                <w:noProof w:val="0"/>
              </w:rPr>
              <w:t>est, is less than the Guaranteed Storage Capacity</w:t>
            </w:r>
            <w:r w:rsidR="00961431">
              <w:rPr>
                <w:rFonts w:asciiTheme="minorHAnsi" w:eastAsia="SimSun" w:hAnsiTheme="minorHAnsi" w:cs="Times New Roman"/>
                <w:noProof w:val="0"/>
              </w:rPr>
              <w:t xml:space="preserve"> if such failure</w:t>
            </w:r>
            <w:r w:rsidRPr="006D4815">
              <w:rPr>
                <w:rFonts w:asciiTheme="minorHAnsi" w:eastAsia="SimSun" w:hAnsiTheme="minorHAnsi" w:cs="Times New Roman"/>
                <w:noProof w:val="0"/>
              </w:rPr>
              <w:t xml:space="preserve"> remains uncured for a period of thirty (30) days</w:t>
            </w:r>
            <w:r w:rsidR="00D364E2">
              <w:rPr>
                <w:rFonts w:asciiTheme="minorHAnsi" w:eastAsia="SimSun" w:hAnsiTheme="minorHAnsi" w:cs="Times New Roman"/>
                <w:noProof w:val="0"/>
              </w:rPr>
              <w:t>,</w:t>
            </w:r>
            <w:r w:rsidRPr="006D4815">
              <w:rPr>
                <w:rFonts w:asciiTheme="minorHAnsi" w:eastAsia="SimSun" w:hAnsiTheme="minorHAnsi" w:cs="Times New Roman"/>
                <w:noProof w:val="0"/>
              </w:rPr>
              <w:t xml:space="preserve"> as shown by a new </w:t>
            </w:r>
            <w:r w:rsidR="00D364E2">
              <w:rPr>
                <w:rFonts w:asciiTheme="minorHAnsi" w:eastAsia="SimSun" w:hAnsiTheme="minorHAnsi" w:cs="Times New Roman"/>
                <w:noProof w:val="0"/>
              </w:rPr>
              <w:t>s</w:t>
            </w:r>
            <w:r w:rsidRPr="006D4815">
              <w:rPr>
                <w:rFonts w:asciiTheme="minorHAnsi" w:eastAsia="SimSun" w:hAnsiTheme="minorHAnsi" w:cs="Times New Roman"/>
                <w:noProof w:val="0"/>
              </w:rPr>
              <w:t xml:space="preserve">torage </w:t>
            </w:r>
            <w:r w:rsidR="00D364E2">
              <w:rPr>
                <w:rFonts w:asciiTheme="minorHAnsi" w:eastAsia="SimSun" w:hAnsiTheme="minorHAnsi" w:cs="Times New Roman"/>
                <w:noProof w:val="0"/>
              </w:rPr>
              <w:t>c</w:t>
            </w:r>
            <w:r w:rsidRPr="006D4815">
              <w:rPr>
                <w:rFonts w:asciiTheme="minorHAnsi" w:eastAsia="SimSun" w:hAnsiTheme="minorHAnsi" w:cs="Times New Roman"/>
                <w:noProof w:val="0"/>
              </w:rPr>
              <w:t xml:space="preserve">apacity </w:t>
            </w:r>
            <w:r w:rsidR="00D364E2">
              <w:rPr>
                <w:rFonts w:asciiTheme="minorHAnsi" w:eastAsia="SimSun" w:hAnsiTheme="minorHAnsi" w:cs="Times New Roman"/>
                <w:noProof w:val="0"/>
              </w:rPr>
              <w:t>t</w:t>
            </w:r>
            <w:r w:rsidRPr="006D4815">
              <w:rPr>
                <w:rFonts w:asciiTheme="minorHAnsi" w:eastAsia="SimSun" w:hAnsiTheme="minorHAnsi" w:cs="Times New Roman"/>
                <w:noProof w:val="0"/>
              </w:rPr>
              <w:t>est.</w:t>
            </w:r>
          </w:p>
        </w:tc>
      </w:tr>
      <w:tr w:rsidR="00095608" w:rsidRPr="006D4815" w14:paraId="53EC1386"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4A9B2A70" w14:textId="77777777"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lastRenderedPageBreak/>
              <w:t>Actual Round-Trip Efficiency: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3DB7EC2B" w14:textId="4BD3C0F7" w:rsidR="00095608" w:rsidRPr="006D4815" w:rsidRDefault="00095608" w:rsidP="00095608">
            <w:pPr>
              <w:spacing w:before="120"/>
              <w:jc w:val="both"/>
              <w:rPr>
                <w:rFonts w:asciiTheme="minorHAnsi" w:hAnsiTheme="minorHAnsi"/>
              </w:rPr>
            </w:pPr>
            <w:r w:rsidRPr="006D4815">
              <w:rPr>
                <w:rFonts w:asciiTheme="minorHAnsi" w:eastAsia="SimSun" w:hAnsiTheme="minorHAnsi"/>
              </w:rPr>
              <w:t xml:space="preserve">The round-trip efficiency for </w:t>
            </w:r>
            <w:r w:rsidR="00961431">
              <w:rPr>
                <w:rFonts w:asciiTheme="minorHAnsi" w:eastAsia="SimSun" w:hAnsiTheme="minorHAnsi"/>
              </w:rPr>
              <w:t xml:space="preserve">the Facility for </w:t>
            </w:r>
            <w:r w:rsidRPr="006D4815">
              <w:rPr>
                <w:rFonts w:asciiTheme="minorHAnsi" w:eastAsia="SimSun" w:hAnsiTheme="minorHAnsi"/>
              </w:rPr>
              <w:t>each month, calculated as a percentage, based on the amount of MWhs of energy used to charge the Facility and the amount of MWhs of energy discharged from the Facility, as measured by the Facility meter at the Interconnection Point.</w:t>
            </w:r>
          </w:p>
        </w:tc>
      </w:tr>
      <w:tr w:rsidR="00095608" w:rsidRPr="006D4815" w14:paraId="0DA4AAA5"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9861F55" w14:textId="5E87C0E4"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Guaranteed Round-Trip Efficiency: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200C270A" w14:textId="464F8D6D" w:rsidR="00095608" w:rsidRPr="006D4815" w:rsidRDefault="00095608" w:rsidP="00095608">
            <w:pPr>
              <w:spacing w:before="120"/>
              <w:jc w:val="both"/>
              <w:rPr>
                <w:rFonts w:asciiTheme="minorHAnsi" w:eastAsia="SimSun" w:hAnsiTheme="minorHAnsi"/>
              </w:rPr>
            </w:pPr>
            <w:r w:rsidRPr="006D4815">
              <w:rPr>
                <w:rFonts w:asciiTheme="minorHAnsi" w:eastAsia="SimSun" w:hAnsiTheme="minorHAnsi"/>
              </w:rPr>
              <w:t>Eighty five percent (85%) for all contract years during the Delivery Term.</w:t>
            </w:r>
          </w:p>
          <w:tbl>
            <w:tblPr>
              <w:tblStyle w:val="TableGrid"/>
              <w:tblW w:w="0" w:type="auto"/>
              <w:jc w:val="center"/>
              <w:tblLayout w:type="fixed"/>
              <w:tblLook w:val="04A0" w:firstRow="1" w:lastRow="0" w:firstColumn="1" w:lastColumn="0" w:noHBand="0" w:noVBand="1"/>
            </w:tblPr>
            <w:tblGrid>
              <w:gridCol w:w="1797"/>
              <w:gridCol w:w="2430"/>
            </w:tblGrid>
            <w:tr w:rsidR="00095608" w:rsidRPr="006D4815" w14:paraId="4F92CB56" w14:textId="77777777" w:rsidTr="00224CEA">
              <w:trPr>
                <w:jc w:val="center"/>
              </w:trPr>
              <w:tc>
                <w:tcPr>
                  <w:tcW w:w="1797" w:type="dxa"/>
                  <w:shd w:val="clear" w:color="auto" w:fill="D2D2D2" w:themeFill="background1" w:themeFillShade="D9"/>
                  <w:vAlign w:val="center"/>
                </w:tcPr>
                <w:p w14:paraId="0D427258" w14:textId="74F1740C" w:rsidR="00095608" w:rsidRPr="006D4815" w:rsidRDefault="00095608" w:rsidP="00095608">
                  <w:pPr>
                    <w:pStyle w:val="Specs-Inside"/>
                    <w:tabs>
                      <w:tab w:val="clear" w:pos="950"/>
                    </w:tabs>
                    <w:ind w:left="0" w:firstLine="0"/>
                    <w:jc w:val="center"/>
                    <w:rPr>
                      <w:rFonts w:asciiTheme="minorHAnsi" w:hAnsiTheme="minorHAnsi"/>
                      <w:noProof w:val="0"/>
                      <w:szCs w:val="22"/>
                    </w:rPr>
                  </w:pPr>
                </w:p>
              </w:tc>
              <w:tc>
                <w:tcPr>
                  <w:tcW w:w="2430" w:type="dxa"/>
                  <w:shd w:val="clear" w:color="auto" w:fill="D2D2D2" w:themeFill="background1" w:themeFillShade="D9"/>
                  <w:vAlign w:val="center"/>
                </w:tcPr>
                <w:p w14:paraId="492946ED" w14:textId="6DFDEE50" w:rsidR="00095608" w:rsidRPr="006D4815" w:rsidRDefault="00095608" w:rsidP="00095608">
                  <w:pPr>
                    <w:pStyle w:val="Specs-Inside"/>
                    <w:tabs>
                      <w:tab w:val="clear" w:pos="950"/>
                    </w:tabs>
                    <w:ind w:left="0" w:firstLine="0"/>
                    <w:jc w:val="center"/>
                    <w:rPr>
                      <w:rFonts w:asciiTheme="minorHAnsi" w:hAnsiTheme="minorHAnsi"/>
                      <w:noProof w:val="0"/>
                      <w:szCs w:val="22"/>
                    </w:rPr>
                  </w:pPr>
                </w:p>
              </w:tc>
            </w:tr>
            <w:tr w:rsidR="00095608" w:rsidRPr="006D4815" w14:paraId="4FCC35AA" w14:textId="77777777" w:rsidTr="00224CEA">
              <w:trPr>
                <w:jc w:val="center"/>
              </w:trPr>
              <w:tc>
                <w:tcPr>
                  <w:tcW w:w="1797" w:type="dxa"/>
                  <w:vAlign w:val="center"/>
                </w:tcPr>
                <w:p w14:paraId="4D8F88E5" w14:textId="41AC59F0"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c>
                <w:tcPr>
                  <w:tcW w:w="2430" w:type="dxa"/>
                  <w:vAlign w:val="center"/>
                </w:tcPr>
                <w:p w14:paraId="16838D30" w14:textId="721B5217"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r>
            <w:tr w:rsidR="00095608" w:rsidRPr="006D4815" w14:paraId="11E5F173" w14:textId="77777777" w:rsidTr="00224CEA">
              <w:trPr>
                <w:jc w:val="center"/>
              </w:trPr>
              <w:tc>
                <w:tcPr>
                  <w:tcW w:w="1797" w:type="dxa"/>
                  <w:vAlign w:val="center"/>
                </w:tcPr>
                <w:p w14:paraId="6833A2AE" w14:textId="4DEEBAC5"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c>
                <w:tcPr>
                  <w:tcW w:w="2430" w:type="dxa"/>
                  <w:vAlign w:val="center"/>
                </w:tcPr>
                <w:p w14:paraId="1FF4EAF1" w14:textId="5E565E55"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r>
            <w:tr w:rsidR="00095608" w:rsidRPr="006D4815" w14:paraId="54AF91A5" w14:textId="77777777" w:rsidTr="00224CEA">
              <w:trPr>
                <w:jc w:val="center"/>
              </w:trPr>
              <w:tc>
                <w:tcPr>
                  <w:tcW w:w="1797" w:type="dxa"/>
                  <w:vAlign w:val="center"/>
                </w:tcPr>
                <w:p w14:paraId="7D5EB251" w14:textId="77777777"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c>
                <w:tcPr>
                  <w:tcW w:w="2430" w:type="dxa"/>
                  <w:vAlign w:val="center"/>
                </w:tcPr>
                <w:p w14:paraId="34EBC9F5" w14:textId="77777777"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r>
            <w:tr w:rsidR="00095608" w:rsidRPr="006D4815" w14:paraId="7EAC151A" w14:textId="77777777" w:rsidTr="00224CEA">
              <w:trPr>
                <w:jc w:val="center"/>
              </w:trPr>
              <w:tc>
                <w:tcPr>
                  <w:tcW w:w="1797" w:type="dxa"/>
                  <w:vAlign w:val="center"/>
                </w:tcPr>
                <w:p w14:paraId="13025D8B" w14:textId="77777777"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c>
                <w:tcPr>
                  <w:tcW w:w="2430" w:type="dxa"/>
                  <w:vAlign w:val="center"/>
                </w:tcPr>
                <w:p w14:paraId="5CCB4F3F" w14:textId="77777777" w:rsidR="00095608" w:rsidRPr="006D4815" w:rsidRDefault="00095608" w:rsidP="00095608">
                  <w:pPr>
                    <w:pStyle w:val="Specs-Inside"/>
                    <w:tabs>
                      <w:tab w:val="clear" w:pos="950"/>
                    </w:tabs>
                    <w:spacing w:before="40" w:after="40"/>
                    <w:ind w:left="0" w:firstLine="0"/>
                    <w:jc w:val="center"/>
                    <w:rPr>
                      <w:rFonts w:asciiTheme="minorHAnsi" w:hAnsiTheme="minorHAnsi"/>
                      <w:noProof w:val="0"/>
                      <w:szCs w:val="22"/>
                    </w:rPr>
                  </w:pPr>
                </w:p>
              </w:tc>
            </w:tr>
          </w:tbl>
          <w:p w14:paraId="696CCA95" w14:textId="3F9AE5EB" w:rsidR="00095608" w:rsidRPr="006D4815" w:rsidRDefault="00095608" w:rsidP="00095608">
            <w:pPr>
              <w:spacing w:before="120"/>
              <w:rPr>
                <w:rFonts w:asciiTheme="minorHAnsi" w:hAnsiTheme="minorHAnsi"/>
              </w:rPr>
            </w:pPr>
            <w:r w:rsidRPr="006D4815">
              <w:rPr>
                <w:rFonts w:asciiTheme="minorHAnsi" w:hAnsiTheme="minorHAnsi"/>
              </w:rPr>
              <w:t xml:space="preserve">It will be an event of default if the </w:t>
            </w:r>
            <w:r w:rsidR="005539D1">
              <w:rPr>
                <w:rFonts w:asciiTheme="minorHAnsi" w:hAnsiTheme="minorHAnsi"/>
              </w:rPr>
              <w:t>Actual R</w:t>
            </w:r>
            <w:r w:rsidRPr="006D4815">
              <w:rPr>
                <w:rFonts w:asciiTheme="minorHAnsi" w:hAnsiTheme="minorHAnsi"/>
              </w:rPr>
              <w:t>ound-Trip Efficiency is less than the Guaranteed Roundtrip Efficiency</w:t>
            </w:r>
            <w:r w:rsidR="004B63CB">
              <w:rPr>
                <w:rFonts w:asciiTheme="minorHAnsi" w:hAnsiTheme="minorHAnsi"/>
              </w:rPr>
              <w:t>,</w:t>
            </w:r>
            <w:r w:rsidRPr="006D4815">
              <w:rPr>
                <w:rFonts w:asciiTheme="minorHAnsi" w:hAnsiTheme="minorHAnsi"/>
              </w:rPr>
              <w:t xml:space="preserve"> if such failure continues for 90 days after Seller’s receipt of written notice or discovery of such failure.</w:t>
            </w:r>
          </w:p>
        </w:tc>
      </w:tr>
      <w:tr w:rsidR="00095608" w:rsidRPr="006D4815" w14:paraId="37DA734C"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57AD3B75" w14:textId="4D60A4E7"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Guaranteed Round-Trip Efficiency Adjustment: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2BCECEA6" w14:textId="434A40BE" w:rsidR="00095608" w:rsidRPr="006D4815" w:rsidRDefault="00095608" w:rsidP="00095608">
            <w:pPr>
              <w:spacing w:before="120"/>
              <w:rPr>
                <w:rFonts w:asciiTheme="minorHAnsi" w:hAnsiTheme="minorHAnsi"/>
              </w:rPr>
            </w:pPr>
            <w:r w:rsidRPr="006D4815">
              <w:rPr>
                <w:rFonts w:asciiTheme="minorHAnsi" w:hAnsiTheme="minorHAnsi"/>
              </w:rPr>
              <w:t xml:space="preserve">If during any month during the Delivery Term, the Actual Round-Trip Efficiency for such month is less than the Guaranteed Round-Trip Efficiency, the Seller shall pay Buyer the following amount: (i) the </w:t>
            </w:r>
            <w:r w:rsidR="00961431">
              <w:rPr>
                <w:rFonts w:asciiTheme="minorHAnsi" w:hAnsiTheme="minorHAnsi"/>
              </w:rPr>
              <w:t>C</w:t>
            </w:r>
            <w:r w:rsidRPr="006D4815">
              <w:rPr>
                <w:rFonts w:asciiTheme="minorHAnsi" w:hAnsiTheme="minorHAnsi"/>
              </w:rPr>
              <w:t xml:space="preserve">harging </w:t>
            </w:r>
            <w:r w:rsidR="00961431">
              <w:rPr>
                <w:rFonts w:asciiTheme="minorHAnsi" w:hAnsiTheme="minorHAnsi"/>
              </w:rPr>
              <w:t>E</w:t>
            </w:r>
            <w:r w:rsidRPr="006D4815">
              <w:rPr>
                <w:rFonts w:asciiTheme="minorHAnsi" w:hAnsiTheme="minorHAnsi"/>
              </w:rPr>
              <w:t xml:space="preserve">nergy for the months since the last </w:t>
            </w:r>
            <w:r w:rsidR="00DE20AA">
              <w:rPr>
                <w:rFonts w:asciiTheme="minorHAnsi" w:hAnsiTheme="minorHAnsi"/>
              </w:rPr>
              <w:t>s</w:t>
            </w:r>
            <w:r w:rsidRPr="006D4815">
              <w:rPr>
                <w:rFonts w:asciiTheme="minorHAnsi" w:hAnsiTheme="minorHAnsi"/>
              </w:rPr>
              <w:t xml:space="preserve">torage </w:t>
            </w:r>
            <w:r w:rsidR="00DE20AA">
              <w:rPr>
                <w:rFonts w:asciiTheme="minorHAnsi" w:hAnsiTheme="minorHAnsi"/>
              </w:rPr>
              <w:t>c</w:t>
            </w:r>
            <w:r w:rsidRPr="006D4815">
              <w:rPr>
                <w:rFonts w:asciiTheme="minorHAnsi" w:hAnsiTheme="minorHAnsi"/>
              </w:rPr>
              <w:t xml:space="preserve">apacity </w:t>
            </w:r>
            <w:r w:rsidR="00DE20AA">
              <w:rPr>
                <w:rFonts w:asciiTheme="minorHAnsi" w:hAnsiTheme="minorHAnsi"/>
              </w:rPr>
              <w:t>t</w:t>
            </w:r>
            <w:r w:rsidRPr="006D4815">
              <w:rPr>
                <w:rFonts w:asciiTheme="minorHAnsi" w:hAnsiTheme="minorHAnsi"/>
              </w:rPr>
              <w:t xml:space="preserve">est (including the month in which the most current </w:t>
            </w:r>
            <w:r w:rsidR="00DE20AA">
              <w:rPr>
                <w:rFonts w:asciiTheme="minorHAnsi" w:hAnsiTheme="minorHAnsi"/>
              </w:rPr>
              <w:t>s</w:t>
            </w:r>
            <w:r w:rsidRPr="006D4815">
              <w:rPr>
                <w:rFonts w:asciiTheme="minorHAnsi" w:hAnsiTheme="minorHAnsi"/>
              </w:rPr>
              <w:t xml:space="preserve">torage </w:t>
            </w:r>
            <w:r w:rsidR="00DE20AA">
              <w:rPr>
                <w:rFonts w:asciiTheme="minorHAnsi" w:hAnsiTheme="minorHAnsi"/>
              </w:rPr>
              <w:t>c</w:t>
            </w:r>
            <w:r w:rsidRPr="006D4815">
              <w:rPr>
                <w:rFonts w:asciiTheme="minorHAnsi" w:hAnsiTheme="minorHAnsi"/>
              </w:rPr>
              <w:t xml:space="preserve">apacity </w:t>
            </w:r>
            <w:r w:rsidR="00DE20AA">
              <w:rPr>
                <w:rFonts w:asciiTheme="minorHAnsi" w:hAnsiTheme="minorHAnsi"/>
              </w:rPr>
              <w:t>t</w:t>
            </w:r>
            <w:r w:rsidRPr="006D4815">
              <w:rPr>
                <w:rFonts w:asciiTheme="minorHAnsi" w:hAnsiTheme="minorHAnsi"/>
              </w:rPr>
              <w:t>est was completed), multiplied by (ii) the percentage amount by which the Actual Round-Trip Efficiency is less than the Guaranteed Round-Trip Efficiency, multiplied by (iii) the average day-ahead Intercontinental Exchange Mid-C Physical Peak (bilateral) or Mid-C Physical Off-Peak (bilateral) indices, weighted by the count of hours in each index during which Charging Energy was supplied by Buyer to the Delivery</w:t>
            </w:r>
            <w:r w:rsidR="00DD69EC">
              <w:rPr>
                <w:rFonts w:asciiTheme="minorHAnsi" w:hAnsiTheme="minorHAnsi"/>
              </w:rPr>
              <w:t xml:space="preserve"> Point.</w:t>
            </w:r>
            <w:r w:rsidRPr="006D4815">
              <w:rPr>
                <w:rFonts w:asciiTheme="minorHAnsi" w:hAnsiTheme="minorHAnsi"/>
              </w:rPr>
              <w:t xml:space="preserve"> </w:t>
            </w:r>
          </w:p>
        </w:tc>
      </w:tr>
      <w:tr w:rsidR="00095608" w:rsidRPr="006D4815" w14:paraId="238C9167"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01411BA2" w14:textId="43FE8C20"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 xml:space="preserve">Maximum Annual Discharge </w:t>
            </w:r>
            <w:r w:rsidR="00C30B18" w:rsidRPr="006D4815">
              <w:rPr>
                <w:rFonts w:asciiTheme="minorHAnsi" w:eastAsia="SimSun" w:hAnsiTheme="minorHAnsi"/>
                <w:i/>
              </w:rPr>
              <w:t>Limits</w:t>
            </w:r>
            <w:r w:rsidRPr="006D4815">
              <w:rPr>
                <w:rFonts w:asciiTheme="minorHAnsi" w:eastAsia="SimSun" w:hAnsiTheme="minorHAnsi"/>
                <w:i/>
              </w:rPr>
              <w: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39CDB459" w14:textId="790CD22F" w:rsidR="00095608" w:rsidRPr="006D4815" w:rsidRDefault="00095608" w:rsidP="00095608">
            <w:pPr>
              <w:spacing w:before="120"/>
              <w:rPr>
                <w:rFonts w:asciiTheme="minorHAnsi" w:hAnsiTheme="minorHAnsi"/>
              </w:rPr>
            </w:pPr>
            <w:r w:rsidRPr="006D4815">
              <w:rPr>
                <w:rFonts w:asciiTheme="minorHAnsi" w:hAnsiTheme="minorHAnsi"/>
              </w:rPr>
              <w:t xml:space="preserve">Buyer may </w:t>
            </w:r>
            <w:r w:rsidR="00C30B18" w:rsidRPr="006D4815">
              <w:rPr>
                <w:rFonts w:asciiTheme="minorHAnsi" w:hAnsiTheme="minorHAnsi"/>
              </w:rPr>
              <w:t xml:space="preserve">cycle the </w:t>
            </w:r>
            <w:r w:rsidR="7656BE80" w:rsidRPr="37F1E1A8">
              <w:rPr>
                <w:sz w:val="24"/>
                <w:szCs w:val="24"/>
              </w:rPr>
              <w:t>F</w:t>
            </w:r>
            <w:r w:rsidR="00C30B18" w:rsidRPr="37F1E1A8">
              <w:rPr>
                <w:sz w:val="24"/>
                <w:szCs w:val="24"/>
              </w:rPr>
              <w:t xml:space="preserve">acility </w:t>
            </w:r>
            <w:r w:rsidRPr="006D4815">
              <w:rPr>
                <w:rFonts w:asciiTheme="minorHAnsi" w:hAnsiTheme="minorHAnsi"/>
              </w:rPr>
              <w:t xml:space="preserve">a maximum </w:t>
            </w:r>
            <w:r w:rsidR="00C30B18" w:rsidRPr="006D4815">
              <w:rPr>
                <w:rFonts w:asciiTheme="minorHAnsi" w:hAnsiTheme="minorHAnsi"/>
              </w:rPr>
              <w:t>[XX] times</w:t>
            </w:r>
            <w:r w:rsidRPr="006D4815">
              <w:rPr>
                <w:rFonts w:asciiTheme="minorHAnsi" w:hAnsiTheme="minorHAnsi"/>
              </w:rPr>
              <w:t xml:space="preserve"> per year, subject to the Facility </w:t>
            </w:r>
            <w:r w:rsidR="00961431">
              <w:rPr>
                <w:rFonts w:asciiTheme="minorHAnsi" w:hAnsiTheme="minorHAnsi"/>
              </w:rPr>
              <w:t>o</w:t>
            </w:r>
            <w:r w:rsidRPr="006D4815">
              <w:rPr>
                <w:rFonts w:asciiTheme="minorHAnsi" w:hAnsiTheme="minorHAnsi"/>
              </w:rPr>
              <w:t xml:space="preserve">perating </w:t>
            </w:r>
            <w:r w:rsidR="00961431">
              <w:rPr>
                <w:rFonts w:asciiTheme="minorHAnsi" w:hAnsiTheme="minorHAnsi"/>
              </w:rPr>
              <w:t>l</w:t>
            </w:r>
            <w:r w:rsidRPr="006D4815">
              <w:rPr>
                <w:rFonts w:asciiTheme="minorHAnsi" w:hAnsiTheme="minorHAnsi"/>
              </w:rPr>
              <w:t xml:space="preserve">imits and </w:t>
            </w:r>
            <w:r w:rsidR="00961431">
              <w:rPr>
                <w:rFonts w:asciiTheme="minorHAnsi" w:hAnsiTheme="minorHAnsi"/>
              </w:rPr>
              <w:t>p</w:t>
            </w:r>
            <w:r w:rsidRPr="006D4815">
              <w:rPr>
                <w:rFonts w:asciiTheme="minorHAnsi" w:hAnsiTheme="minorHAnsi"/>
              </w:rPr>
              <w:t>arameters.</w:t>
            </w:r>
            <w:r w:rsidRPr="006D4815" w:rsidDel="00F4285D">
              <w:rPr>
                <w:rFonts w:asciiTheme="minorHAnsi" w:hAnsiTheme="minorHAnsi"/>
              </w:rPr>
              <w:t xml:space="preserve"> </w:t>
            </w:r>
            <w:r w:rsidR="00C30B18" w:rsidRPr="006D4815">
              <w:rPr>
                <w:rFonts w:asciiTheme="minorHAnsi" w:hAnsiTheme="minorHAnsi"/>
              </w:rPr>
              <w:t xml:space="preserve"> </w:t>
            </w:r>
          </w:p>
        </w:tc>
      </w:tr>
      <w:tr w:rsidR="00095608" w:rsidRPr="006D4815" w14:paraId="6CFC183B"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1C9E87AC" w14:textId="06884AC7"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Guaranteed</w:t>
            </w:r>
            <w:r w:rsidR="00F400DD">
              <w:rPr>
                <w:rFonts w:asciiTheme="minorHAnsi" w:eastAsia="SimSun" w:hAnsiTheme="minorHAnsi"/>
                <w:i/>
              </w:rPr>
              <w:t xml:space="preserve"> Storage</w:t>
            </w:r>
            <w:r w:rsidRPr="006D4815">
              <w:rPr>
                <w:rFonts w:asciiTheme="minorHAnsi" w:eastAsia="SimSun" w:hAnsiTheme="minorHAnsi"/>
                <w:i/>
                <w:highlight w:val="yellow"/>
              </w:rPr>
              <w:t xml:space="preserve"> </w:t>
            </w:r>
            <w:r w:rsidRPr="006D4815">
              <w:rPr>
                <w:rFonts w:asciiTheme="minorHAnsi" w:eastAsia="SimSun" w:hAnsiTheme="minorHAnsi"/>
                <w:i/>
              </w:rPr>
              <w:t>Availability: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6CECF40A" w14:textId="31B75556" w:rsidR="00EE7FC4" w:rsidRPr="006D4815" w:rsidRDefault="00095608" w:rsidP="00095608">
            <w:pPr>
              <w:spacing w:before="120"/>
              <w:rPr>
                <w:rFonts w:asciiTheme="minorHAnsi" w:hAnsiTheme="minorHAnsi"/>
              </w:rPr>
            </w:pPr>
            <w:r w:rsidRPr="006D4815">
              <w:rPr>
                <w:rFonts w:asciiTheme="minorHAnsi" w:hAnsiTheme="minorHAnsi"/>
              </w:rPr>
              <w:t>Seller guarantees the Facility availability shall be no less than 95</w:t>
            </w:r>
            <w:r w:rsidR="00FD29BE">
              <w:rPr>
                <w:rFonts w:asciiTheme="minorHAnsi" w:hAnsiTheme="minorHAnsi"/>
              </w:rPr>
              <w:t xml:space="preserve">% </w:t>
            </w:r>
            <w:r w:rsidRPr="006D4815">
              <w:rPr>
                <w:rFonts w:asciiTheme="minorHAnsi" w:hAnsiTheme="minorHAnsi"/>
              </w:rPr>
              <w:t xml:space="preserve">for each month during the Delivery Term. </w:t>
            </w:r>
          </w:p>
          <w:p w14:paraId="08C79DC4" w14:textId="04A79A4B" w:rsidR="00095608" w:rsidRPr="006D4815" w:rsidRDefault="00EE7FC4" w:rsidP="00095608">
            <w:pPr>
              <w:spacing w:before="120"/>
              <w:rPr>
                <w:rFonts w:asciiTheme="minorHAnsi" w:eastAsia="SimSun" w:hAnsiTheme="minorHAnsi"/>
              </w:rPr>
            </w:pPr>
            <w:r w:rsidRPr="006D4815">
              <w:rPr>
                <w:rFonts w:asciiTheme="minorHAnsi" w:hAnsiTheme="minorHAnsi"/>
              </w:rPr>
              <w:t xml:space="preserve">It will be an event of default if </w:t>
            </w:r>
            <w:r w:rsidR="00095608" w:rsidRPr="006D4815">
              <w:rPr>
                <w:rFonts w:asciiTheme="minorHAnsi" w:hAnsiTheme="minorHAnsi"/>
              </w:rPr>
              <w:t xml:space="preserve">Seller fails to meet the Guaranteed Availability </w:t>
            </w:r>
            <w:r w:rsidR="57E389B5" w:rsidRPr="0CFE80A5">
              <w:rPr>
                <w:sz w:val="24"/>
                <w:szCs w:val="24"/>
              </w:rPr>
              <w:t>for</w:t>
            </w:r>
            <w:r w:rsidR="00095608" w:rsidRPr="006D4815">
              <w:rPr>
                <w:rFonts w:asciiTheme="minorHAnsi" w:hAnsiTheme="minorHAnsi"/>
              </w:rPr>
              <w:t xml:space="preserve"> 2</w:t>
            </w:r>
            <w:r w:rsidR="00FD29BE">
              <w:rPr>
                <w:rFonts w:asciiTheme="minorHAnsi" w:hAnsiTheme="minorHAnsi"/>
              </w:rPr>
              <w:t xml:space="preserve"> </w:t>
            </w:r>
            <w:r w:rsidR="00095608" w:rsidRPr="006D4815">
              <w:rPr>
                <w:rFonts w:asciiTheme="minorHAnsi" w:hAnsiTheme="minorHAnsi"/>
              </w:rPr>
              <w:t>months during any 12</w:t>
            </w:r>
            <w:r w:rsidR="00FD29BE">
              <w:rPr>
                <w:rFonts w:asciiTheme="minorHAnsi" w:hAnsiTheme="minorHAnsi"/>
              </w:rPr>
              <w:t xml:space="preserve"> </w:t>
            </w:r>
            <w:r w:rsidR="00095608" w:rsidRPr="006D4815">
              <w:rPr>
                <w:rFonts w:asciiTheme="minorHAnsi" w:hAnsiTheme="minorHAnsi"/>
              </w:rPr>
              <w:t xml:space="preserve">month rolling period during the Delivery Term. </w:t>
            </w:r>
          </w:p>
        </w:tc>
      </w:tr>
      <w:tr w:rsidR="00095608" w:rsidRPr="006D4815" w14:paraId="4E604AF9"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6CB9510F" w14:textId="35CEB341" w:rsidR="00095608" w:rsidRPr="006D4815" w:rsidRDefault="00095608" w:rsidP="00095608">
            <w:pPr>
              <w:spacing w:before="120"/>
              <w:rPr>
                <w:rFonts w:asciiTheme="minorHAnsi" w:eastAsia="SimSun" w:hAnsiTheme="minorHAnsi"/>
                <w:i/>
                <w:highlight w:val="yellow"/>
              </w:rPr>
            </w:pPr>
            <w:r w:rsidRPr="006D4815">
              <w:rPr>
                <w:rFonts w:asciiTheme="minorHAnsi" w:eastAsia="SimSun" w:hAnsiTheme="minorHAnsi"/>
                <w:i/>
              </w:rPr>
              <w:lastRenderedPageBreak/>
              <w:t>Guaranteed Availability Adjustment: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1C679F8B" w14:textId="17CAA1F1" w:rsidR="00095608" w:rsidRPr="006D4815" w:rsidRDefault="00095608" w:rsidP="00095608">
            <w:pPr>
              <w:spacing w:before="120"/>
              <w:rPr>
                <w:rFonts w:asciiTheme="minorHAnsi" w:hAnsiTheme="minorHAnsi"/>
              </w:rPr>
            </w:pPr>
            <w:r w:rsidRPr="006D4815">
              <w:rPr>
                <w:rFonts w:asciiTheme="minorHAnsi" w:hAnsiTheme="minorHAnsi"/>
              </w:rPr>
              <w:t xml:space="preserve">If the Facility has Actual Availability in a contract year less than the Guaranteed Availability, then Seller shall pay Buyer liquidated damages in the amount equal to the product of (a) the positive difference between the Guaranteed Availability and the Actual Availability, multiplied by (b) the </w:t>
            </w:r>
            <w:r w:rsidR="00BF55EF">
              <w:rPr>
                <w:rFonts w:asciiTheme="minorHAnsi" w:hAnsiTheme="minorHAnsi"/>
              </w:rPr>
              <w:t>s</w:t>
            </w:r>
            <w:r w:rsidRPr="006D4815">
              <w:rPr>
                <w:rFonts w:asciiTheme="minorHAnsi" w:hAnsiTheme="minorHAnsi"/>
              </w:rPr>
              <w:t xml:space="preserve">torage </w:t>
            </w:r>
            <w:r w:rsidR="00353A5E">
              <w:rPr>
                <w:rFonts w:asciiTheme="minorHAnsi" w:hAnsiTheme="minorHAnsi"/>
              </w:rPr>
              <w:t>c</w:t>
            </w:r>
            <w:r w:rsidRPr="006D4815">
              <w:rPr>
                <w:rFonts w:asciiTheme="minorHAnsi" w:hAnsiTheme="minorHAnsi"/>
              </w:rPr>
              <w:t xml:space="preserve">apacity </w:t>
            </w:r>
            <w:r w:rsidR="00353A5E">
              <w:rPr>
                <w:rFonts w:asciiTheme="minorHAnsi" w:hAnsiTheme="minorHAnsi"/>
              </w:rPr>
              <w:t xml:space="preserve">of the Facility </w:t>
            </w:r>
            <w:r w:rsidRPr="006D4815">
              <w:rPr>
                <w:rFonts w:asciiTheme="minorHAnsi" w:hAnsiTheme="minorHAnsi"/>
              </w:rPr>
              <w:t>during the contract year</w:t>
            </w:r>
            <w:r w:rsidR="00353A5E">
              <w:rPr>
                <w:rFonts w:asciiTheme="minorHAnsi" w:hAnsiTheme="minorHAnsi"/>
              </w:rPr>
              <w:t xml:space="preserve"> (as determined by a storage capacity test)</w:t>
            </w:r>
            <w:r w:rsidRPr="006D4815">
              <w:rPr>
                <w:rFonts w:asciiTheme="minorHAnsi" w:hAnsiTheme="minorHAnsi"/>
              </w:rPr>
              <w:t>, multiplied by (c) the Contract Price (adjusted to $/MW/month), multiplied by (d) twelve (12) months.</w:t>
            </w:r>
          </w:p>
        </w:tc>
      </w:tr>
      <w:tr w:rsidR="00095608" w:rsidRPr="006D4815" w14:paraId="067E014B"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9AD9BE3" w14:textId="312B1D18"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Operations and Maintenance:</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1D5BC9F1" w14:textId="49D99644" w:rsidR="00095608" w:rsidRPr="006D4815" w:rsidRDefault="00095608" w:rsidP="00095608">
            <w:pPr>
              <w:spacing w:before="120"/>
              <w:rPr>
                <w:rFonts w:asciiTheme="minorHAnsi" w:hAnsiTheme="minorHAnsi"/>
              </w:rPr>
            </w:pPr>
            <w:r w:rsidRPr="006D4815">
              <w:rPr>
                <w:rFonts w:asciiTheme="minorHAnsi" w:hAnsiTheme="minorHAnsi"/>
              </w:rPr>
              <w:t xml:space="preserve">Seller shall not schedule any non-emergency maintenance that reduces the Facility charging or discharging capability by more than ten percent (10%) during the months of </w:t>
            </w:r>
            <w:r w:rsidR="00C30B18" w:rsidRPr="006D4815">
              <w:rPr>
                <w:rFonts w:asciiTheme="minorHAnsi" w:hAnsiTheme="minorHAnsi"/>
              </w:rPr>
              <w:t xml:space="preserve">July </w:t>
            </w:r>
            <w:r w:rsidRPr="006D4815">
              <w:rPr>
                <w:rFonts w:asciiTheme="minorHAnsi" w:hAnsiTheme="minorHAnsi"/>
              </w:rPr>
              <w:t>through September</w:t>
            </w:r>
            <w:r w:rsidR="00C30B18" w:rsidRPr="006D4815">
              <w:rPr>
                <w:rFonts w:asciiTheme="minorHAnsi" w:hAnsiTheme="minorHAnsi"/>
              </w:rPr>
              <w:t xml:space="preserve"> and December through February</w:t>
            </w:r>
            <w:r w:rsidRPr="006D4815">
              <w:rPr>
                <w:rFonts w:asciiTheme="minorHAnsi" w:hAnsiTheme="minorHAnsi"/>
              </w:rPr>
              <w:t xml:space="preserve">, unless (i) such outage is required to avoid significant and material damage to the Facility, (ii) such maintenance is necessary to maintain equipment warranties and cannot be scheduled outside the months of </w:t>
            </w:r>
            <w:r w:rsidR="00C30B18" w:rsidRPr="006D4815">
              <w:rPr>
                <w:rFonts w:asciiTheme="minorHAnsi" w:hAnsiTheme="minorHAnsi"/>
              </w:rPr>
              <w:t xml:space="preserve">July </w:t>
            </w:r>
            <w:r w:rsidRPr="006D4815">
              <w:rPr>
                <w:rFonts w:asciiTheme="minorHAnsi" w:hAnsiTheme="minorHAnsi"/>
              </w:rPr>
              <w:t>through September</w:t>
            </w:r>
            <w:r w:rsidR="00C30B18" w:rsidRPr="006D4815">
              <w:rPr>
                <w:rFonts w:asciiTheme="minorHAnsi" w:hAnsiTheme="minorHAnsi"/>
              </w:rPr>
              <w:t xml:space="preserve"> and December through February</w:t>
            </w:r>
            <w:r w:rsidRPr="006D4815">
              <w:rPr>
                <w:rFonts w:asciiTheme="minorHAnsi" w:hAnsiTheme="minorHAnsi"/>
              </w:rPr>
              <w:t>, (iii) such outage is required in accordance with prudent electrical practices, or (iv) the parties agree otherwise in writing.</w:t>
            </w:r>
          </w:p>
          <w:p w14:paraId="14250BDC" w14:textId="1A27F0A9" w:rsidR="00095608" w:rsidRPr="006D4815" w:rsidRDefault="00095608" w:rsidP="00095608">
            <w:pPr>
              <w:spacing w:before="120"/>
              <w:rPr>
                <w:rFonts w:asciiTheme="minorHAnsi" w:hAnsiTheme="minorHAnsi"/>
              </w:rPr>
            </w:pPr>
            <w:r w:rsidRPr="006D4815">
              <w:rPr>
                <w:rFonts w:asciiTheme="minorHAnsi" w:hAnsiTheme="minorHAnsi"/>
              </w:rPr>
              <w:t xml:space="preserve">Seller shall provide its outage schedule no later than September 1st of each </w:t>
            </w:r>
            <w:r w:rsidR="2D510EC4" w:rsidRPr="0CFE80A5">
              <w:rPr>
                <w:sz w:val="24"/>
                <w:szCs w:val="24"/>
              </w:rPr>
              <w:t>c</w:t>
            </w:r>
            <w:r w:rsidRPr="0CFE80A5">
              <w:rPr>
                <w:sz w:val="24"/>
                <w:szCs w:val="24"/>
              </w:rPr>
              <w:t xml:space="preserve">ontract </w:t>
            </w:r>
            <w:r w:rsidR="0B7E30CB" w:rsidRPr="0CFE80A5">
              <w:rPr>
                <w:sz w:val="24"/>
                <w:szCs w:val="24"/>
              </w:rPr>
              <w:t>y</w:t>
            </w:r>
            <w:r w:rsidRPr="0CFE80A5">
              <w:rPr>
                <w:sz w:val="24"/>
                <w:szCs w:val="24"/>
              </w:rPr>
              <w:t>ear</w:t>
            </w:r>
            <w:r w:rsidRPr="006D4815">
              <w:rPr>
                <w:rFonts w:asciiTheme="minorHAnsi" w:hAnsiTheme="minorHAnsi"/>
              </w:rPr>
              <w:t xml:space="preserve"> preceding such outage(s).</w:t>
            </w:r>
          </w:p>
          <w:p w14:paraId="54421720" w14:textId="7E372EC5" w:rsidR="00095608" w:rsidRPr="006D4815" w:rsidRDefault="00095608" w:rsidP="00095608">
            <w:pPr>
              <w:spacing w:before="120"/>
              <w:rPr>
                <w:rFonts w:asciiTheme="minorHAnsi" w:hAnsiTheme="minorHAnsi"/>
              </w:rPr>
            </w:pPr>
            <w:r w:rsidRPr="006D4815">
              <w:rPr>
                <w:rFonts w:asciiTheme="minorHAnsi" w:hAnsiTheme="minorHAnsi"/>
              </w:rPr>
              <w:t xml:space="preserve">The outage schedule for each </w:t>
            </w:r>
            <w:r w:rsidR="39AFE2E2" w:rsidRPr="0CFE80A5">
              <w:rPr>
                <w:sz w:val="24"/>
                <w:szCs w:val="24"/>
              </w:rPr>
              <w:t>c</w:t>
            </w:r>
            <w:r w:rsidRPr="0CFE80A5">
              <w:rPr>
                <w:sz w:val="24"/>
                <w:szCs w:val="24"/>
              </w:rPr>
              <w:t xml:space="preserve">ontract </w:t>
            </w:r>
            <w:r w:rsidR="5C42B10A" w:rsidRPr="0CFE80A5">
              <w:rPr>
                <w:sz w:val="24"/>
                <w:szCs w:val="24"/>
              </w:rPr>
              <w:t>y</w:t>
            </w:r>
            <w:r w:rsidRPr="0CFE80A5">
              <w:rPr>
                <w:sz w:val="24"/>
                <w:szCs w:val="24"/>
              </w:rPr>
              <w:t>ear</w:t>
            </w:r>
            <w:r w:rsidRPr="006D4815">
              <w:rPr>
                <w:rFonts w:asciiTheme="minorHAnsi" w:hAnsiTheme="minorHAnsi"/>
              </w:rPr>
              <w:t xml:space="preserve"> shall not exceed 2</w:t>
            </w:r>
            <w:r w:rsidR="000270AB">
              <w:rPr>
                <w:rFonts w:asciiTheme="minorHAnsi" w:hAnsiTheme="minorHAnsi"/>
              </w:rPr>
              <w:t>0</w:t>
            </w:r>
            <w:r w:rsidRPr="006D4815">
              <w:rPr>
                <w:rFonts w:asciiTheme="minorHAnsi" w:hAnsiTheme="minorHAnsi"/>
              </w:rPr>
              <w:t>0 hours.</w:t>
            </w:r>
          </w:p>
        </w:tc>
      </w:tr>
      <w:tr w:rsidR="00095608" w:rsidRPr="006D4815" w14:paraId="164060B6"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CB5CF3F" w14:textId="3FA0C62C"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 xml:space="preserve">Labor </w:t>
            </w:r>
            <w:r w:rsidR="00D72900">
              <w:rPr>
                <w:rFonts w:asciiTheme="minorHAnsi" w:eastAsia="SimSun" w:hAnsiTheme="minorHAnsi"/>
                <w:i/>
              </w:rPr>
              <w:t xml:space="preserve">and Personnel </w:t>
            </w:r>
            <w:r w:rsidRPr="006D4815">
              <w:rPr>
                <w:rFonts w:asciiTheme="minorHAnsi" w:eastAsia="SimSun" w:hAnsiTheme="minorHAnsi"/>
                <w:i/>
              </w:rPr>
              <w:t>Requirement: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25DC79FB" w14:textId="7320E34B" w:rsidR="00095608" w:rsidRPr="006D4815" w:rsidRDefault="00095608" w:rsidP="00095608">
            <w:pPr>
              <w:spacing w:before="120"/>
              <w:rPr>
                <w:rFonts w:asciiTheme="minorHAnsi" w:hAnsiTheme="minorHAnsi"/>
              </w:rPr>
            </w:pPr>
            <w:r w:rsidRPr="006D4815">
              <w:rPr>
                <w:rFonts w:asciiTheme="minorHAnsi" w:hAnsiTheme="minorHAnsi" w:cstheme="minorBidi"/>
              </w:rPr>
              <w:t xml:space="preserve">Union labor must be utilized for major construction activities related to the resource and must include a Project Labor Agreement requirement in any related executed engineering, procurement and construction agreements. </w:t>
            </w:r>
            <w:r w:rsidRPr="006D4815">
              <w:rPr>
                <w:rFonts w:asciiTheme="minorHAnsi" w:hAnsiTheme="minorHAnsi" w:cstheme="minorHAnsi"/>
              </w:rPr>
              <w:t xml:space="preserve">All project labor must comply with the requirements of </w:t>
            </w:r>
            <w:r w:rsidR="0042598C">
              <w:rPr>
                <w:rFonts w:asciiTheme="minorHAnsi" w:hAnsiTheme="minorHAnsi" w:cstheme="minorHAnsi"/>
              </w:rPr>
              <w:t>ORS 757.306</w:t>
            </w:r>
            <w:r w:rsidR="00C17C9C">
              <w:rPr>
                <w:rFonts w:asciiTheme="minorHAnsi" w:hAnsiTheme="minorHAnsi" w:cstheme="minorHAnsi"/>
              </w:rPr>
              <w:t>,</w:t>
            </w:r>
            <w:r w:rsidR="0042598C">
              <w:rPr>
                <w:rFonts w:asciiTheme="minorHAnsi" w:hAnsiTheme="minorHAnsi" w:cstheme="minorHAnsi"/>
              </w:rPr>
              <w:t xml:space="preserve"> </w:t>
            </w:r>
            <w:r w:rsidRPr="006D4815">
              <w:rPr>
                <w:rFonts w:asciiTheme="minorHAnsi" w:hAnsiTheme="minorHAnsi" w:cstheme="minorHAnsi"/>
              </w:rPr>
              <w:t>as applicable.</w:t>
            </w:r>
          </w:p>
        </w:tc>
      </w:tr>
      <w:tr w:rsidR="00D72900" w:rsidRPr="006D4815" w14:paraId="6DCA7EAB"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292711BE" w14:textId="6E6CA50C" w:rsidR="00D72900" w:rsidRPr="006D4815" w:rsidRDefault="004E1FFE" w:rsidP="00095608">
            <w:pPr>
              <w:spacing w:before="120"/>
              <w:rPr>
                <w:rFonts w:asciiTheme="minorHAnsi" w:eastAsia="SimSun" w:hAnsiTheme="minorHAnsi"/>
                <w:i/>
              </w:rPr>
            </w:pPr>
            <w:r>
              <w:t>Prevailing Wage and Apprenticeship tax credit eligibility</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5AE06689" w14:textId="0C6A4B5A" w:rsidR="00D72900" w:rsidRPr="006D4815" w:rsidRDefault="00D72900" w:rsidP="00095608">
            <w:pPr>
              <w:spacing w:before="120"/>
              <w:rPr>
                <w:rFonts w:asciiTheme="minorHAnsi" w:hAnsiTheme="minorHAnsi" w:cstheme="minorBidi"/>
              </w:rPr>
            </w:pPr>
            <w:r>
              <w:t>As applicable, Seller must meet all requirements for tax credit eligibility under the Prevailing Wage and Apprenticeship provisions as part of the Inflation Reduction Act.</w:t>
            </w:r>
          </w:p>
        </w:tc>
      </w:tr>
      <w:tr w:rsidR="00095608" w:rsidRPr="006D4815" w14:paraId="78EEE803"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65BE2000" w14:textId="2345B31A"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Buyer Conditions Precedent: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4CE77CEE" w14:textId="77777777" w:rsidR="00095608" w:rsidRPr="006D4815" w:rsidRDefault="00095608" w:rsidP="00095608">
            <w:pPr>
              <w:spacing w:before="120"/>
              <w:rPr>
                <w:rFonts w:asciiTheme="minorHAnsi" w:hAnsiTheme="minorHAnsi"/>
              </w:rPr>
            </w:pPr>
            <w:r w:rsidRPr="006D4815">
              <w:rPr>
                <w:rFonts w:asciiTheme="minorHAnsi" w:hAnsiTheme="minorHAnsi"/>
              </w:rPr>
              <w:t>Buyer’s obligations shall be conditioned and will become effective only upon the occurrence of the each and every of the following conditions:</w:t>
            </w:r>
          </w:p>
          <w:p w14:paraId="39DEFA40" w14:textId="2E6C0698" w:rsidR="00095608" w:rsidRPr="006D4815" w:rsidRDefault="00095608" w:rsidP="00095608">
            <w:pPr>
              <w:spacing w:before="120"/>
              <w:rPr>
                <w:rFonts w:asciiTheme="minorHAnsi" w:hAnsiTheme="minorHAnsi"/>
              </w:rPr>
            </w:pPr>
            <w:r w:rsidRPr="006D4815">
              <w:rPr>
                <w:rFonts w:asciiTheme="minorHAnsi" w:hAnsiTheme="minorHAnsi"/>
              </w:rPr>
              <w:t xml:space="preserve">(i) </w:t>
            </w:r>
            <w:r w:rsidR="00EE7FC4" w:rsidRPr="006D4815">
              <w:rPr>
                <w:rFonts w:asciiTheme="minorHAnsi" w:hAnsiTheme="minorHAnsi"/>
              </w:rPr>
              <w:t>acknowledgement</w:t>
            </w:r>
            <w:r w:rsidRPr="006D4815">
              <w:rPr>
                <w:rFonts w:asciiTheme="minorHAnsi" w:hAnsiTheme="minorHAnsi"/>
              </w:rPr>
              <w:t xml:space="preserve"> of the final shortlist </w:t>
            </w:r>
            <w:r w:rsidR="00CD4BAD">
              <w:rPr>
                <w:rFonts w:asciiTheme="minorHAnsi" w:hAnsiTheme="minorHAnsi"/>
              </w:rPr>
              <w:t xml:space="preserve">for the RFP </w:t>
            </w:r>
            <w:r w:rsidRPr="006D4815">
              <w:rPr>
                <w:rFonts w:asciiTheme="minorHAnsi" w:hAnsiTheme="minorHAnsi"/>
              </w:rPr>
              <w:t>from the Oregon Public Utility Commission, in form and substance satisfactory in Buyer’s sole discretion; and</w:t>
            </w:r>
          </w:p>
          <w:p w14:paraId="49DE8707" w14:textId="7800D21A" w:rsidR="00095608" w:rsidRPr="006D4815" w:rsidRDefault="00095608" w:rsidP="00095608">
            <w:pPr>
              <w:spacing w:before="120"/>
              <w:rPr>
                <w:rFonts w:asciiTheme="minorHAnsi" w:hAnsiTheme="minorHAnsi"/>
              </w:rPr>
            </w:pPr>
            <w:r w:rsidRPr="006D4815">
              <w:rPr>
                <w:rFonts w:asciiTheme="minorHAnsi" w:hAnsiTheme="minorHAnsi"/>
              </w:rPr>
              <w:t>(ii) approval of the SCA by Buyer’s Board of Directors.</w:t>
            </w:r>
          </w:p>
        </w:tc>
      </w:tr>
      <w:tr w:rsidR="00095608" w:rsidRPr="006D4815" w14:paraId="39E15D6D" w14:textId="77777777" w:rsidTr="44F8ABCE">
        <w:trPr>
          <w:trHeight w:val="818"/>
        </w:trPr>
        <w:tc>
          <w:tcPr>
            <w:tcW w:w="2250" w:type="dxa"/>
            <w:tcBorders>
              <w:top w:val="single" w:sz="4" w:space="0" w:color="auto"/>
              <w:bottom w:val="single" w:sz="4" w:space="0" w:color="auto"/>
              <w:right w:val="single" w:sz="4" w:space="0" w:color="auto"/>
            </w:tcBorders>
            <w:tcMar>
              <w:left w:w="108" w:type="dxa"/>
              <w:right w:w="108" w:type="dxa"/>
            </w:tcMar>
          </w:tcPr>
          <w:p w14:paraId="3B138B80" w14:textId="43F49F9F"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Seller Conditions Precedent:</w:t>
            </w:r>
          </w:p>
        </w:tc>
        <w:tc>
          <w:tcPr>
            <w:tcW w:w="6840" w:type="dxa"/>
            <w:tcBorders>
              <w:top w:val="single" w:sz="4" w:space="0" w:color="auto"/>
              <w:left w:val="single" w:sz="4" w:space="0" w:color="auto"/>
              <w:bottom w:val="single" w:sz="4" w:space="0" w:color="auto"/>
            </w:tcBorders>
            <w:tcMar>
              <w:left w:w="108" w:type="dxa"/>
              <w:right w:w="108" w:type="dxa"/>
            </w:tcMar>
          </w:tcPr>
          <w:p w14:paraId="77DB79EC" w14:textId="53192754" w:rsidR="00095608" w:rsidRPr="006D4815" w:rsidRDefault="00095608" w:rsidP="00095608">
            <w:pPr>
              <w:spacing w:before="120"/>
              <w:rPr>
                <w:rFonts w:asciiTheme="minorHAnsi" w:hAnsiTheme="minorHAnsi"/>
              </w:rPr>
            </w:pPr>
            <w:r w:rsidRPr="006D4815">
              <w:rPr>
                <w:rFonts w:asciiTheme="minorHAnsi" w:hAnsiTheme="minorHAnsi"/>
              </w:rPr>
              <w:t>[Seller to list Conditions Precedent, to the extent any apply]</w:t>
            </w:r>
          </w:p>
        </w:tc>
      </w:tr>
      <w:tr w:rsidR="00095608" w:rsidRPr="006D4815" w14:paraId="6120BF34" w14:textId="77777777" w:rsidTr="44F8ABCE">
        <w:trPr>
          <w:trHeight w:val="77"/>
        </w:trPr>
        <w:tc>
          <w:tcPr>
            <w:tcW w:w="2250" w:type="dxa"/>
            <w:tcBorders>
              <w:top w:val="single" w:sz="4" w:space="0" w:color="auto"/>
              <w:bottom w:val="single" w:sz="4" w:space="0" w:color="auto"/>
              <w:right w:val="single" w:sz="4" w:space="0" w:color="auto"/>
            </w:tcBorders>
            <w:tcMar>
              <w:left w:w="108" w:type="dxa"/>
              <w:right w:w="108" w:type="dxa"/>
            </w:tcMar>
          </w:tcPr>
          <w:p w14:paraId="711B1A51" w14:textId="6E4A2725" w:rsidR="00095608" w:rsidRPr="006D4815" w:rsidRDefault="00633A01" w:rsidP="00095608">
            <w:pPr>
              <w:spacing w:before="120"/>
              <w:rPr>
                <w:rFonts w:asciiTheme="minorHAnsi" w:eastAsia="SimSun" w:hAnsiTheme="minorHAnsi"/>
                <w:i/>
              </w:rPr>
            </w:pPr>
            <w:r>
              <w:rPr>
                <w:rFonts w:asciiTheme="minorHAnsi" w:eastAsia="SimSun" w:hAnsiTheme="minorHAnsi"/>
                <w:i/>
              </w:rPr>
              <w:lastRenderedPageBreak/>
              <w:t>Credit Support</w:t>
            </w:r>
            <w:r w:rsidR="00095608" w:rsidRPr="006D4815">
              <w:rPr>
                <w:rFonts w:asciiTheme="minorHAnsi" w:eastAsia="SimSun" w:hAnsiTheme="minorHAnsi"/>
                <w:i/>
              </w:rPr>
              <w:t xml:space="preserve">: </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416CC95B" w14:textId="51C0C857" w:rsidR="00095608" w:rsidRPr="006D4815" w:rsidRDefault="00095608" w:rsidP="00095608">
            <w:pPr>
              <w:spacing w:before="120"/>
              <w:rPr>
                <w:rFonts w:asciiTheme="minorHAnsi" w:eastAsia="SimSun" w:hAnsiTheme="minorHAnsi"/>
              </w:rPr>
            </w:pPr>
            <w:r w:rsidRPr="006D4815">
              <w:rPr>
                <w:rFonts w:asciiTheme="minorHAnsi" w:eastAsia="SimSun" w:hAnsiTheme="minorHAnsi"/>
              </w:rPr>
              <w:t xml:space="preserve">Within ten (10) days after the Effective Date of the SCA, Seller shall deliver development security to Buyer in an amount equal to $125/kW of Facility </w:t>
            </w:r>
            <w:r w:rsidR="00CD4BAD">
              <w:rPr>
                <w:rFonts w:asciiTheme="minorHAnsi" w:eastAsia="SimSun" w:hAnsiTheme="minorHAnsi"/>
              </w:rPr>
              <w:t>N</w:t>
            </w:r>
            <w:r w:rsidRPr="006D4815">
              <w:rPr>
                <w:rFonts w:asciiTheme="minorHAnsi" w:eastAsia="SimSun" w:hAnsiTheme="minorHAnsi"/>
              </w:rPr>
              <w:t xml:space="preserve">ameplate </w:t>
            </w:r>
            <w:r w:rsidR="00CD4BAD">
              <w:rPr>
                <w:rFonts w:asciiTheme="minorHAnsi" w:eastAsia="SimSun" w:hAnsiTheme="minorHAnsi"/>
              </w:rPr>
              <w:t>C</w:t>
            </w:r>
            <w:r w:rsidRPr="006D4815">
              <w:rPr>
                <w:rFonts w:asciiTheme="minorHAnsi" w:eastAsia="SimSun" w:hAnsiTheme="minorHAnsi"/>
              </w:rPr>
              <w:t xml:space="preserve">apacity and shall maintain such development security until the Commercial Operation Date.  </w:t>
            </w:r>
          </w:p>
          <w:p w14:paraId="7301B11A" w14:textId="62D70075" w:rsidR="00095608" w:rsidRPr="006D4815" w:rsidRDefault="00095608" w:rsidP="00095608">
            <w:pPr>
              <w:spacing w:before="120"/>
              <w:rPr>
                <w:rFonts w:asciiTheme="minorHAnsi" w:eastAsia="SimSun" w:hAnsiTheme="minorHAnsi"/>
              </w:rPr>
            </w:pPr>
            <w:r w:rsidRPr="006D4815">
              <w:rPr>
                <w:rFonts w:asciiTheme="minorHAnsi" w:eastAsia="SimSun" w:hAnsiTheme="minorHAnsi"/>
              </w:rPr>
              <w:t xml:space="preserve">On or before the Commercial Operation Date, Seller shall deliver delivery term security to Buyer in an amount equal to $100/kW of Facility </w:t>
            </w:r>
            <w:r w:rsidR="00CD4BAD">
              <w:rPr>
                <w:rFonts w:asciiTheme="minorHAnsi" w:eastAsia="SimSun" w:hAnsiTheme="minorHAnsi"/>
              </w:rPr>
              <w:t>N</w:t>
            </w:r>
            <w:r w:rsidRPr="006D4815">
              <w:rPr>
                <w:rFonts w:asciiTheme="minorHAnsi" w:eastAsia="SimSun" w:hAnsiTheme="minorHAnsi"/>
              </w:rPr>
              <w:t xml:space="preserve">ameplate </w:t>
            </w:r>
            <w:r w:rsidR="00CD4BAD">
              <w:rPr>
                <w:rFonts w:asciiTheme="minorHAnsi" w:eastAsia="SimSun" w:hAnsiTheme="minorHAnsi"/>
              </w:rPr>
              <w:t>C</w:t>
            </w:r>
            <w:r w:rsidRPr="006D4815">
              <w:rPr>
                <w:rFonts w:asciiTheme="minorHAnsi" w:eastAsia="SimSun" w:hAnsiTheme="minorHAnsi"/>
              </w:rPr>
              <w:t xml:space="preserve">apacity and shall maintain such delivery term security through the end of the Delivery Term. Within five (5) Business Days following any draw by Buyer on the delivery term security, Seller shall replenish the amount drawn </w:t>
            </w:r>
            <w:r w:rsidR="00CD4BAD">
              <w:rPr>
                <w:rFonts w:asciiTheme="minorHAnsi" w:eastAsia="SimSun" w:hAnsiTheme="minorHAnsi"/>
              </w:rPr>
              <w:t xml:space="preserve">on </w:t>
            </w:r>
            <w:r w:rsidRPr="006D4815">
              <w:rPr>
                <w:rFonts w:asciiTheme="minorHAnsi" w:eastAsia="SimSun" w:hAnsiTheme="minorHAnsi"/>
              </w:rPr>
              <w:t xml:space="preserve">such </w:t>
            </w:r>
            <w:r w:rsidR="007E7AF0">
              <w:rPr>
                <w:rFonts w:asciiTheme="minorHAnsi" w:eastAsia="SimSun" w:hAnsiTheme="minorHAnsi"/>
              </w:rPr>
              <w:t xml:space="preserve">so </w:t>
            </w:r>
            <w:r w:rsidRPr="006D4815">
              <w:rPr>
                <w:rFonts w:asciiTheme="minorHAnsi" w:eastAsia="SimSun" w:hAnsiTheme="minorHAnsi"/>
              </w:rPr>
              <w:t>that the delivery term security is restored to the full amount.</w:t>
            </w:r>
          </w:p>
          <w:p w14:paraId="19585755" w14:textId="74D1DA02" w:rsidR="00095608" w:rsidRPr="006D4815" w:rsidRDefault="00095608" w:rsidP="00095608">
            <w:pPr>
              <w:spacing w:before="120"/>
              <w:rPr>
                <w:rFonts w:asciiTheme="minorHAnsi" w:eastAsia="SimSun" w:hAnsiTheme="minorHAnsi"/>
              </w:rPr>
            </w:pPr>
            <w:r w:rsidRPr="006D4815">
              <w:rPr>
                <w:rFonts w:asciiTheme="minorHAnsi" w:eastAsia="SimSun" w:hAnsiTheme="minorHAnsi"/>
              </w:rPr>
              <w:t>All security shall be in the form of cash or a letter of credit from a Qualified Institution and in a form reasonably acceptable to Buyer.</w:t>
            </w:r>
          </w:p>
          <w:p w14:paraId="37CD7C27" w14:textId="3A1F307F" w:rsidR="00095608" w:rsidRPr="006D4815" w:rsidRDefault="00095608" w:rsidP="00095608">
            <w:pPr>
              <w:spacing w:before="120" w:line="240" w:lineRule="auto"/>
              <w:rPr>
                <w:rFonts w:asciiTheme="minorHAnsi" w:eastAsia="SimSun" w:hAnsiTheme="minorHAnsi"/>
              </w:rPr>
            </w:pPr>
            <w:r w:rsidRPr="006D4815">
              <w:rPr>
                <w:rFonts w:asciiTheme="minorHAnsi" w:eastAsia="SimSun" w:hAnsiTheme="minorHAnsi"/>
              </w:rPr>
              <w:t xml:space="preserve">“Qualified Institution” means a major U.S. commercial bank or a U.S. branch office of a major foreign commercial bank which is acceptable to </w:t>
            </w:r>
            <w:r w:rsidR="006B1382">
              <w:rPr>
                <w:rFonts w:asciiTheme="minorHAnsi" w:eastAsia="SimSun" w:hAnsiTheme="minorHAnsi"/>
              </w:rPr>
              <w:t>Buyer</w:t>
            </w:r>
            <w:r w:rsidRPr="006D4815">
              <w:rPr>
                <w:rFonts w:asciiTheme="minorHAnsi" w:eastAsia="SimSun" w:hAnsiTheme="minorHAnsi"/>
              </w:rPr>
              <w:t xml:space="preserve">, organized under the laws of the United States (or any state or political subdivision thereof) with such bank having shareholders’ equity of at least $10 billion (U.S. Dollars) and a </w:t>
            </w:r>
            <w:r w:rsidR="00CD4BAD">
              <w:rPr>
                <w:rFonts w:asciiTheme="minorHAnsi" w:eastAsia="SimSun" w:hAnsiTheme="minorHAnsi"/>
              </w:rPr>
              <w:t>c</w:t>
            </w:r>
            <w:r w:rsidRPr="006D4815">
              <w:rPr>
                <w:rFonts w:asciiTheme="minorHAnsi" w:eastAsia="SimSun" w:hAnsiTheme="minorHAnsi"/>
              </w:rPr>
              <w:t xml:space="preserve">redit </w:t>
            </w:r>
            <w:r w:rsidR="00CD4BAD">
              <w:rPr>
                <w:rFonts w:asciiTheme="minorHAnsi" w:eastAsia="SimSun" w:hAnsiTheme="minorHAnsi"/>
              </w:rPr>
              <w:t>r</w:t>
            </w:r>
            <w:r w:rsidRPr="006D4815">
              <w:rPr>
                <w:rFonts w:asciiTheme="minorHAnsi" w:eastAsia="SimSun" w:hAnsiTheme="minorHAnsi"/>
              </w:rPr>
              <w:t xml:space="preserve">ating of at least A- by S&amp;P or A1 by Moody’s, or an insurance company with assets of $2 billion or greater, an A.M. Best financial strength rating of an A or greater and authorized to issue surety bonds in the state in which the </w:t>
            </w:r>
            <w:r w:rsidR="0047299C">
              <w:rPr>
                <w:rFonts w:asciiTheme="minorHAnsi" w:eastAsia="SimSun" w:hAnsiTheme="minorHAnsi"/>
              </w:rPr>
              <w:t>Facility</w:t>
            </w:r>
            <w:r w:rsidRPr="006D4815">
              <w:rPr>
                <w:rFonts w:asciiTheme="minorHAnsi" w:eastAsia="SimSun" w:hAnsiTheme="minorHAnsi"/>
              </w:rPr>
              <w:t xml:space="preserve"> will be located. </w:t>
            </w:r>
          </w:p>
        </w:tc>
      </w:tr>
      <w:tr w:rsidR="00095608" w:rsidRPr="006D4815" w14:paraId="0C5DEF99" w14:textId="77777777" w:rsidTr="44F8ABCE">
        <w:trPr>
          <w:trHeight w:val="77"/>
        </w:trPr>
        <w:tc>
          <w:tcPr>
            <w:tcW w:w="2250" w:type="dxa"/>
            <w:tcBorders>
              <w:top w:val="single" w:sz="4" w:space="0" w:color="auto"/>
              <w:bottom w:val="single" w:sz="4" w:space="0" w:color="auto"/>
              <w:right w:val="single" w:sz="4" w:space="0" w:color="auto"/>
            </w:tcBorders>
            <w:tcMar>
              <w:left w:w="108" w:type="dxa"/>
              <w:right w:w="108" w:type="dxa"/>
            </w:tcMar>
          </w:tcPr>
          <w:p w14:paraId="2A5907C9" w14:textId="125CC1BD"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Termination Payment:</w:t>
            </w:r>
          </w:p>
        </w:tc>
        <w:tc>
          <w:tcPr>
            <w:tcW w:w="6840" w:type="dxa"/>
            <w:tcBorders>
              <w:top w:val="single" w:sz="4" w:space="0" w:color="auto"/>
              <w:left w:val="single" w:sz="4" w:space="0" w:color="auto"/>
              <w:bottom w:val="single" w:sz="4" w:space="0" w:color="auto"/>
            </w:tcBorders>
            <w:tcMar>
              <w:left w:w="108" w:type="dxa"/>
              <w:right w:w="108" w:type="dxa"/>
            </w:tcMar>
            <w:vAlign w:val="center"/>
          </w:tcPr>
          <w:p w14:paraId="55FE5BE8" w14:textId="41CAFCA1" w:rsidR="00095608" w:rsidRPr="006D4815" w:rsidRDefault="006D4815" w:rsidP="00095608">
            <w:pPr>
              <w:spacing w:before="120"/>
              <w:rPr>
                <w:rFonts w:asciiTheme="minorHAnsi" w:eastAsia="SimSun" w:hAnsiTheme="minorHAnsi"/>
              </w:rPr>
            </w:pPr>
            <w:r>
              <w:rPr>
                <w:rFonts w:asciiTheme="minorHAnsi" w:eastAsia="SimSun" w:hAnsiTheme="minorHAnsi"/>
              </w:rPr>
              <w:t>In the event</w:t>
            </w:r>
            <w:r w:rsidR="00095608" w:rsidRPr="006D4815">
              <w:rPr>
                <w:rFonts w:asciiTheme="minorHAnsi" w:eastAsia="SimSun" w:hAnsiTheme="minorHAnsi"/>
              </w:rPr>
              <w:t xml:space="preserve"> the SCA</w:t>
            </w:r>
            <w:r>
              <w:rPr>
                <w:rFonts w:asciiTheme="minorHAnsi" w:eastAsia="SimSun" w:hAnsiTheme="minorHAnsi"/>
              </w:rPr>
              <w:t xml:space="preserve"> is terminated due to</w:t>
            </w:r>
            <w:r w:rsidR="00095608" w:rsidRPr="006D4815">
              <w:rPr>
                <w:rFonts w:asciiTheme="minorHAnsi" w:eastAsia="SimSun" w:hAnsiTheme="minorHAnsi"/>
              </w:rPr>
              <w:t xml:space="preserve"> an event of default, the non-defaulting party shall calculate</w:t>
            </w:r>
            <w:r>
              <w:rPr>
                <w:rFonts w:asciiTheme="minorHAnsi" w:eastAsia="SimSun" w:hAnsiTheme="minorHAnsi"/>
              </w:rPr>
              <w:t xml:space="preserve"> the termination payment amount</w:t>
            </w:r>
            <w:r w:rsidR="00095608" w:rsidRPr="006D4815">
              <w:rPr>
                <w:rFonts w:asciiTheme="minorHAnsi" w:eastAsia="SimSun" w:hAnsiTheme="minorHAnsi"/>
              </w:rPr>
              <w:t>.</w:t>
            </w:r>
          </w:p>
          <w:p w14:paraId="4A8DF296" w14:textId="4550415E" w:rsidR="00095608" w:rsidRPr="006D4815" w:rsidRDefault="00095608" w:rsidP="00095608">
            <w:pPr>
              <w:spacing w:before="120"/>
              <w:rPr>
                <w:rFonts w:asciiTheme="minorHAnsi" w:eastAsia="SimSun" w:hAnsiTheme="minorHAnsi"/>
              </w:rPr>
            </w:pPr>
            <w:r w:rsidRPr="006D4815">
              <w:rPr>
                <w:rFonts w:asciiTheme="minorHAnsi" w:eastAsia="SimSun" w:hAnsiTheme="minorHAnsi"/>
              </w:rPr>
              <w:t xml:space="preserve">If the termination of </w:t>
            </w:r>
            <w:r w:rsidR="00EA0FAC">
              <w:rPr>
                <w:rFonts w:asciiTheme="minorHAnsi" w:eastAsia="SimSun" w:hAnsiTheme="minorHAnsi"/>
              </w:rPr>
              <w:t>the SCA</w:t>
            </w:r>
            <w:r w:rsidRPr="006D4815">
              <w:rPr>
                <w:rFonts w:asciiTheme="minorHAnsi" w:eastAsia="SimSun" w:hAnsiTheme="minorHAnsi"/>
              </w:rPr>
              <w:t xml:space="preserve"> </w:t>
            </w:r>
            <w:r w:rsidR="00EE7FC4" w:rsidRPr="006D4815">
              <w:rPr>
                <w:rFonts w:asciiTheme="minorHAnsi" w:eastAsia="SimSun" w:hAnsiTheme="minorHAnsi"/>
              </w:rPr>
              <w:t xml:space="preserve">is </w:t>
            </w:r>
            <w:r w:rsidRPr="006D4815">
              <w:rPr>
                <w:rFonts w:asciiTheme="minorHAnsi" w:eastAsia="SimSun" w:hAnsiTheme="minorHAnsi"/>
              </w:rPr>
              <w:t xml:space="preserve">due to a Seller </w:t>
            </w:r>
            <w:r w:rsidR="00EE7FC4" w:rsidRPr="006D4815">
              <w:rPr>
                <w:rFonts w:asciiTheme="minorHAnsi" w:eastAsia="SimSun" w:hAnsiTheme="minorHAnsi"/>
              </w:rPr>
              <w:t>e</w:t>
            </w:r>
            <w:r w:rsidRPr="006D4815">
              <w:rPr>
                <w:rFonts w:asciiTheme="minorHAnsi" w:eastAsia="SimSun" w:hAnsiTheme="minorHAnsi"/>
              </w:rPr>
              <w:t xml:space="preserve">vent of </w:t>
            </w:r>
            <w:r w:rsidR="00EE7FC4" w:rsidRPr="006D4815">
              <w:rPr>
                <w:rFonts w:asciiTheme="minorHAnsi" w:eastAsia="SimSun" w:hAnsiTheme="minorHAnsi"/>
              </w:rPr>
              <w:t>d</w:t>
            </w:r>
            <w:r w:rsidRPr="006D4815">
              <w:rPr>
                <w:rFonts w:asciiTheme="minorHAnsi" w:eastAsia="SimSun" w:hAnsiTheme="minorHAnsi"/>
              </w:rPr>
              <w:t xml:space="preserve">efault </w:t>
            </w:r>
            <w:r w:rsidR="00EE7FC4" w:rsidRPr="006D4815">
              <w:rPr>
                <w:rFonts w:asciiTheme="minorHAnsi" w:eastAsia="SimSun" w:hAnsiTheme="minorHAnsi"/>
              </w:rPr>
              <w:t xml:space="preserve">that </w:t>
            </w:r>
            <w:r w:rsidRPr="006D4815">
              <w:rPr>
                <w:rFonts w:asciiTheme="minorHAnsi" w:eastAsia="SimSun" w:hAnsiTheme="minorHAnsi"/>
              </w:rPr>
              <w:t xml:space="preserve">occurs before the Commercial Operation Date, then the </w:t>
            </w:r>
            <w:r w:rsidR="00EA0FAC">
              <w:rPr>
                <w:rFonts w:asciiTheme="minorHAnsi" w:eastAsia="SimSun" w:hAnsiTheme="minorHAnsi"/>
              </w:rPr>
              <w:t>t</w:t>
            </w:r>
            <w:r w:rsidRPr="006D4815">
              <w:rPr>
                <w:rFonts w:asciiTheme="minorHAnsi" w:eastAsia="SimSun" w:hAnsiTheme="minorHAnsi"/>
              </w:rPr>
              <w:t>ermination</w:t>
            </w:r>
            <w:r w:rsidR="00EA0FAC">
              <w:rPr>
                <w:rFonts w:asciiTheme="minorHAnsi" w:eastAsia="SimSun" w:hAnsiTheme="minorHAnsi"/>
              </w:rPr>
              <w:t xml:space="preserve"> p</w:t>
            </w:r>
            <w:r w:rsidRPr="006D4815">
              <w:rPr>
                <w:rFonts w:asciiTheme="minorHAnsi" w:eastAsia="SimSun" w:hAnsiTheme="minorHAnsi"/>
              </w:rPr>
              <w:t xml:space="preserve">ayment shall be owed to Buyer and shall be equal to the amount of the development security, less any Delay Damages paid by Seller. </w:t>
            </w:r>
          </w:p>
          <w:p w14:paraId="278117ED" w14:textId="3768F265" w:rsidR="00095608" w:rsidRPr="006D4815" w:rsidRDefault="00095608" w:rsidP="00095608">
            <w:pPr>
              <w:spacing w:before="120"/>
              <w:rPr>
                <w:rFonts w:asciiTheme="minorHAnsi" w:eastAsia="SimSun" w:hAnsiTheme="minorHAnsi"/>
              </w:rPr>
            </w:pPr>
            <w:r w:rsidRPr="006D4815">
              <w:rPr>
                <w:rFonts w:asciiTheme="minorHAnsi" w:eastAsia="SimSun" w:hAnsiTheme="minorHAnsi"/>
              </w:rPr>
              <w:t xml:space="preserve">If the termination of </w:t>
            </w:r>
            <w:r w:rsidR="00EA0FAC">
              <w:rPr>
                <w:rFonts w:asciiTheme="minorHAnsi" w:eastAsia="SimSun" w:hAnsiTheme="minorHAnsi"/>
              </w:rPr>
              <w:t>the SCA</w:t>
            </w:r>
            <w:r w:rsidRPr="006D4815">
              <w:rPr>
                <w:rFonts w:asciiTheme="minorHAnsi" w:eastAsia="SimSun" w:hAnsiTheme="minorHAnsi"/>
              </w:rPr>
              <w:t xml:space="preserve"> </w:t>
            </w:r>
            <w:r w:rsidR="00EE7FC4" w:rsidRPr="006D4815">
              <w:rPr>
                <w:rFonts w:asciiTheme="minorHAnsi" w:eastAsia="SimSun" w:hAnsiTheme="minorHAnsi"/>
              </w:rPr>
              <w:t xml:space="preserve">is </w:t>
            </w:r>
            <w:r w:rsidRPr="006D4815">
              <w:rPr>
                <w:rFonts w:asciiTheme="minorHAnsi" w:eastAsia="SimSun" w:hAnsiTheme="minorHAnsi"/>
              </w:rPr>
              <w:t xml:space="preserve">due to a Seller event of default </w:t>
            </w:r>
            <w:r w:rsidR="00EE7FC4" w:rsidRPr="006D4815">
              <w:rPr>
                <w:rFonts w:asciiTheme="minorHAnsi" w:eastAsia="SimSun" w:hAnsiTheme="minorHAnsi"/>
              </w:rPr>
              <w:t xml:space="preserve">that </w:t>
            </w:r>
            <w:r w:rsidRPr="006D4815">
              <w:rPr>
                <w:rFonts w:asciiTheme="minorHAnsi" w:eastAsia="SimSun" w:hAnsiTheme="minorHAnsi"/>
              </w:rPr>
              <w:t xml:space="preserve">occurs after the Commercial Operation Date, then the </w:t>
            </w:r>
            <w:r w:rsidR="00EA0FAC">
              <w:rPr>
                <w:rFonts w:asciiTheme="minorHAnsi" w:eastAsia="SimSun" w:hAnsiTheme="minorHAnsi"/>
              </w:rPr>
              <w:t>t</w:t>
            </w:r>
            <w:r w:rsidRPr="006D4815">
              <w:rPr>
                <w:rFonts w:asciiTheme="minorHAnsi" w:eastAsia="SimSun" w:hAnsiTheme="minorHAnsi"/>
              </w:rPr>
              <w:t xml:space="preserve">ermination </w:t>
            </w:r>
            <w:r w:rsidR="00EA0FAC">
              <w:rPr>
                <w:rFonts w:asciiTheme="minorHAnsi" w:eastAsia="SimSun" w:hAnsiTheme="minorHAnsi"/>
              </w:rPr>
              <w:t>p</w:t>
            </w:r>
            <w:r w:rsidRPr="006D4815">
              <w:rPr>
                <w:rFonts w:asciiTheme="minorHAnsi" w:eastAsia="SimSun" w:hAnsiTheme="minorHAnsi"/>
              </w:rPr>
              <w:t>ayment shall be owed to Buyer and shall be equal to (i) all amounts due and owing to Buyer as of the termination of the SCA</w:t>
            </w:r>
            <w:r w:rsidR="00CD4BAD">
              <w:rPr>
                <w:rFonts w:asciiTheme="minorHAnsi" w:eastAsia="SimSun" w:hAnsiTheme="minorHAnsi"/>
              </w:rPr>
              <w:t>,</w:t>
            </w:r>
            <w:r w:rsidRPr="006D4815">
              <w:rPr>
                <w:rFonts w:asciiTheme="minorHAnsi" w:eastAsia="SimSun" w:hAnsiTheme="minorHAnsi"/>
              </w:rPr>
              <w:t xml:space="preserve"> plus (ii) the positive amount, if any, equal to (x) the present value of the payments Buyer would be required to make under transactions replacing the SCA minus (y) the present value of the payments Buyer would </w:t>
            </w:r>
            <w:r w:rsidR="00CD4BAD">
              <w:rPr>
                <w:rFonts w:asciiTheme="minorHAnsi" w:eastAsia="SimSun" w:hAnsiTheme="minorHAnsi"/>
              </w:rPr>
              <w:t>have been</w:t>
            </w:r>
            <w:r w:rsidRPr="006D4815">
              <w:rPr>
                <w:rFonts w:asciiTheme="minorHAnsi" w:eastAsia="SimSun" w:hAnsiTheme="minorHAnsi"/>
              </w:rPr>
              <w:t xml:space="preserve"> required to make for Product under the SCA, in each case for the period from the early termination date through the scheduled end of the Delivery Term and determined by Buyer in a commercially reasonable manner</w:t>
            </w:r>
            <w:r w:rsidR="00CD4BAD">
              <w:rPr>
                <w:rFonts w:asciiTheme="minorHAnsi" w:eastAsia="SimSun" w:hAnsiTheme="minorHAnsi"/>
              </w:rPr>
              <w:t>,</w:t>
            </w:r>
            <w:r w:rsidRPr="006D4815">
              <w:rPr>
                <w:rFonts w:asciiTheme="minorHAnsi" w:eastAsia="SimSun" w:hAnsiTheme="minorHAnsi"/>
              </w:rPr>
              <w:t xml:space="preserve"> plus (iii) Buyer’s Costs</w:t>
            </w:r>
            <w:r w:rsidR="00EE7FC4" w:rsidRPr="006D4815">
              <w:rPr>
                <w:rFonts w:asciiTheme="minorHAnsi" w:eastAsia="SimSun" w:hAnsiTheme="minorHAnsi"/>
              </w:rPr>
              <w:t>,</w:t>
            </w:r>
            <w:r w:rsidRPr="006D4815">
              <w:rPr>
                <w:rFonts w:asciiTheme="minorHAnsi" w:eastAsia="SimSun" w:hAnsiTheme="minorHAnsi"/>
              </w:rPr>
              <w:t xml:space="preserve"> less (iv) all amounts due to the Seller under the SCA. </w:t>
            </w:r>
          </w:p>
          <w:p w14:paraId="657587A8" w14:textId="6A81FF0E" w:rsidR="00095608" w:rsidRPr="006D4815" w:rsidRDefault="00095608" w:rsidP="00095608">
            <w:pPr>
              <w:spacing w:before="120"/>
              <w:rPr>
                <w:rFonts w:asciiTheme="minorHAnsi" w:eastAsia="SimSun" w:hAnsiTheme="minorHAnsi"/>
              </w:rPr>
            </w:pPr>
            <w:r w:rsidRPr="006D4815">
              <w:rPr>
                <w:rFonts w:asciiTheme="minorHAnsi" w:eastAsia="SimSun" w:hAnsiTheme="minorHAnsi"/>
              </w:rPr>
              <w:lastRenderedPageBreak/>
              <w:t xml:space="preserve">If termination of the SCA is due to a Buyer event of default </w:t>
            </w:r>
            <w:r w:rsidR="00EE7FC4" w:rsidRPr="006D4815">
              <w:rPr>
                <w:rFonts w:asciiTheme="minorHAnsi" w:eastAsia="SimSun" w:hAnsiTheme="minorHAnsi"/>
              </w:rPr>
              <w:t xml:space="preserve">that </w:t>
            </w:r>
            <w:r w:rsidRPr="006D4815">
              <w:rPr>
                <w:rFonts w:asciiTheme="minorHAnsi" w:eastAsia="SimSun" w:hAnsiTheme="minorHAnsi"/>
              </w:rPr>
              <w:t>occurs after the Commercial Operation Date</w:t>
            </w:r>
            <w:r w:rsidR="00EE7FC4" w:rsidRPr="006D4815">
              <w:rPr>
                <w:rFonts w:asciiTheme="minorHAnsi" w:eastAsia="SimSun" w:hAnsiTheme="minorHAnsi"/>
              </w:rPr>
              <w:t>,</w:t>
            </w:r>
            <w:r w:rsidRPr="006D4815">
              <w:rPr>
                <w:rFonts w:asciiTheme="minorHAnsi" w:eastAsia="SimSun" w:hAnsiTheme="minorHAnsi"/>
              </w:rPr>
              <w:t xml:space="preserve"> then the </w:t>
            </w:r>
            <w:r w:rsidR="00CD4BAD">
              <w:rPr>
                <w:rFonts w:asciiTheme="minorHAnsi" w:eastAsia="SimSun" w:hAnsiTheme="minorHAnsi"/>
              </w:rPr>
              <w:t>t</w:t>
            </w:r>
            <w:r w:rsidRPr="006D4815">
              <w:rPr>
                <w:rFonts w:asciiTheme="minorHAnsi" w:eastAsia="SimSun" w:hAnsiTheme="minorHAnsi"/>
              </w:rPr>
              <w:t xml:space="preserve">ermination </w:t>
            </w:r>
            <w:r w:rsidR="00CD4BAD">
              <w:rPr>
                <w:rFonts w:asciiTheme="minorHAnsi" w:eastAsia="SimSun" w:hAnsiTheme="minorHAnsi"/>
              </w:rPr>
              <w:t>p</w:t>
            </w:r>
            <w:r w:rsidRPr="006D4815">
              <w:rPr>
                <w:rFonts w:asciiTheme="minorHAnsi" w:eastAsia="SimSun" w:hAnsiTheme="minorHAnsi"/>
              </w:rPr>
              <w:t xml:space="preserve">ayment shall be owed to Seller and shall equal (i) all amounts due and owing to Seller as of the termination of the SCA (ii) the positive amount, if any, equal to (x) the present value of the payments Seller would </w:t>
            </w:r>
            <w:r w:rsidR="00CD4BAD">
              <w:rPr>
                <w:rFonts w:asciiTheme="minorHAnsi" w:eastAsia="SimSun" w:hAnsiTheme="minorHAnsi"/>
              </w:rPr>
              <w:t xml:space="preserve">have </w:t>
            </w:r>
            <w:r w:rsidRPr="006D4815">
              <w:rPr>
                <w:rFonts w:asciiTheme="minorHAnsi" w:eastAsia="SimSun" w:hAnsiTheme="minorHAnsi"/>
              </w:rPr>
              <w:t>receive</w:t>
            </w:r>
            <w:r w:rsidR="00CD4BAD">
              <w:rPr>
                <w:rFonts w:asciiTheme="minorHAnsi" w:eastAsia="SimSun" w:hAnsiTheme="minorHAnsi"/>
              </w:rPr>
              <w:t>d</w:t>
            </w:r>
            <w:r w:rsidRPr="006D4815">
              <w:rPr>
                <w:rFonts w:asciiTheme="minorHAnsi" w:eastAsia="SimSun" w:hAnsiTheme="minorHAnsi"/>
              </w:rPr>
              <w:t xml:space="preserve"> under the SCA for Product</w:t>
            </w:r>
            <w:r w:rsidR="00CD4BAD">
              <w:rPr>
                <w:rFonts w:asciiTheme="minorHAnsi" w:eastAsia="SimSun" w:hAnsiTheme="minorHAnsi"/>
              </w:rPr>
              <w:t>,</w:t>
            </w:r>
            <w:r w:rsidRPr="006D4815">
              <w:rPr>
                <w:rFonts w:asciiTheme="minorHAnsi" w:eastAsia="SimSun" w:hAnsiTheme="minorHAnsi"/>
              </w:rPr>
              <w:t xml:space="preserve"> less (y) the present value of the payments Seller would receive for Product under transactions replacing the SCA, in each case for the period from the early termination date through the scheduled end of Delivery Term and determined by Seller in a commercially reasonable manner</w:t>
            </w:r>
            <w:r w:rsidR="00CD4BAD">
              <w:rPr>
                <w:rFonts w:asciiTheme="minorHAnsi" w:eastAsia="SimSun" w:hAnsiTheme="minorHAnsi"/>
              </w:rPr>
              <w:t>,</w:t>
            </w:r>
            <w:r w:rsidRPr="006D4815">
              <w:rPr>
                <w:rFonts w:asciiTheme="minorHAnsi" w:eastAsia="SimSun" w:hAnsiTheme="minorHAnsi"/>
              </w:rPr>
              <w:t xml:space="preserve"> plus (iii) Seller’s Costs</w:t>
            </w:r>
            <w:r w:rsidR="00EE7FC4" w:rsidRPr="006D4815">
              <w:rPr>
                <w:rFonts w:asciiTheme="minorHAnsi" w:eastAsia="SimSun" w:hAnsiTheme="minorHAnsi"/>
              </w:rPr>
              <w:t>,</w:t>
            </w:r>
            <w:r w:rsidRPr="006D4815">
              <w:rPr>
                <w:rFonts w:asciiTheme="minorHAnsi" w:eastAsia="SimSun" w:hAnsiTheme="minorHAnsi"/>
              </w:rPr>
              <w:t xml:space="preserve"> less (iv) all amounts due to Buyer under the SCA as of the date of such termination.</w:t>
            </w:r>
          </w:p>
          <w:p w14:paraId="348C7B2B" w14:textId="23920DDD" w:rsidR="00095608" w:rsidRPr="006D4815" w:rsidRDefault="00095608" w:rsidP="00095608">
            <w:pPr>
              <w:pStyle w:val="Heading2"/>
              <w:rPr>
                <w:rFonts w:asciiTheme="minorHAnsi" w:eastAsia="SimSun" w:hAnsiTheme="minorHAnsi"/>
                <w:sz w:val="22"/>
                <w:szCs w:val="22"/>
              </w:rPr>
            </w:pPr>
            <w:r w:rsidRPr="006D4815">
              <w:rPr>
                <w:rFonts w:asciiTheme="minorHAnsi" w:eastAsia="SimSun" w:hAnsiTheme="minorHAnsi" w:cs="Times New Roman"/>
                <w:sz w:val="22"/>
                <w:szCs w:val="22"/>
              </w:rPr>
              <w:t>“Costs” means, with respect to the non-defaulting party, the commercially reasonable brokerage fees, commissions, and other similar transaction costs and expenses incurred by the non-defaulting party to a person other than a party in connection with terminating any arrangement pursuant to which it has hedged its obligations under the SCA or in entering into new arrangements to replace the SCA, and all reasonable attorneys’ fees and expenses incurred by the non-defaulting party in connection with the termination of the SCA.</w:t>
            </w:r>
          </w:p>
        </w:tc>
      </w:tr>
      <w:tr w:rsidR="00095608" w:rsidRPr="006D4815" w14:paraId="0C7B3A65" w14:textId="77777777" w:rsidTr="44F8ABCE">
        <w:trPr>
          <w:trHeight w:val="77"/>
        </w:trPr>
        <w:tc>
          <w:tcPr>
            <w:tcW w:w="22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541CCF7" w14:textId="7E4515A9" w:rsidR="00095608" w:rsidRPr="006D4815" w:rsidRDefault="006D4815" w:rsidP="00095608">
            <w:pPr>
              <w:spacing w:before="120"/>
              <w:rPr>
                <w:rFonts w:asciiTheme="minorHAnsi" w:eastAsia="SimSun" w:hAnsiTheme="minorHAnsi"/>
                <w:i/>
              </w:rPr>
            </w:pPr>
            <w:r>
              <w:rPr>
                <w:rFonts w:asciiTheme="minorHAnsi" w:hAnsiTheme="minorHAnsi"/>
              </w:rPr>
              <w:lastRenderedPageBreak/>
              <w:t>Limitation of Liability:</w:t>
            </w:r>
          </w:p>
        </w:tc>
        <w:tc>
          <w:tcPr>
            <w:tcW w:w="6840" w:type="dxa"/>
            <w:tcMar>
              <w:left w:w="108" w:type="dxa"/>
              <w:right w:w="108" w:type="dxa"/>
            </w:tcMar>
          </w:tcPr>
          <w:p w14:paraId="0861014A" w14:textId="74E7685E" w:rsidR="00095608" w:rsidRPr="006D4815" w:rsidRDefault="00095608" w:rsidP="00095608">
            <w:pPr>
              <w:spacing w:before="120"/>
              <w:rPr>
                <w:rFonts w:asciiTheme="minorHAnsi" w:eastAsia="SimSun" w:hAnsiTheme="minorHAnsi"/>
              </w:rPr>
            </w:pPr>
            <w:r w:rsidRPr="006D4815">
              <w:rPr>
                <w:rFonts w:asciiTheme="minorHAnsi" w:eastAsia="SimSun" w:hAnsiTheme="minorHAnsi"/>
              </w:rPr>
              <w:t xml:space="preserve">Unless expressly provided in the SCA, a </w:t>
            </w:r>
            <w:r w:rsidR="006D4815">
              <w:rPr>
                <w:rFonts w:asciiTheme="minorHAnsi" w:eastAsia="SimSun" w:hAnsiTheme="minorHAnsi"/>
              </w:rPr>
              <w:t>p</w:t>
            </w:r>
            <w:r w:rsidRPr="006D4815">
              <w:rPr>
                <w:rFonts w:asciiTheme="minorHAnsi" w:eastAsia="SimSun" w:hAnsiTheme="minorHAnsi"/>
              </w:rPr>
              <w:t xml:space="preserve">arty's liability shall be limited to direct actual damages only, which direct actual damages shall be the sole and exclusive remedy and all other remedies or damages at law or equity are waived. Except as expressly provided in the SCA, neither party shall be liable for consequential, incidental, punitive, exemplary or indirect damages, lost profits or other business interruption damages, by statute, in tort or contract, under any indemnity provision or otherwise. </w:t>
            </w:r>
          </w:p>
        </w:tc>
      </w:tr>
      <w:tr w:rsidR="00095608" w:rsidRPr="006D4815" w14:paraId="35652CE8" w14:textId="77777777" w:rsidTr="44F8ABCE">
        <w:trPr>
          <w:trHeight w:val="77"/>
        </w:trPr>
        <w:tc>
          <w:tcPr>
            <w:tcW w:w="2250" w:type="dxa"/>
            <w:tcBorders>
              <w:top w:val="single" w:sz="4" w:space="0" w:color="auto"/>
              <w:bottom w:val="single" w:sz="4" w:space="0" w:color="auto"/>
              <w:right w:val="single" w:sz="4" w:space="0" w:color="auto"/>
            </w:tcBorders>
            <w:tcMar>
              <w:left w:w="108" w:type="dxa"/>
              <w:right w:w="108" w:type="dxa"/>
            </w:tcMar>
          </w:tcPr>
          <w:p w14:paraId="23C0B79C" w14:textId="3509ABEC"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Other Standard Contract Terms:</w:t>
            </w:r>
          </w:p>
        </w:tc>
        <w:tc>
          <w:tcPr>
            <w:tcW w:w="6840" w:type="dxa"/>
            <w:tcBorders>
              <w:top w:val="single" w:sz="4" w:space="0" w:color="auto"/>
              <w:left w:val="single" w:sz="4" w:space="0" w:color="auto"/>
              <w:bottom w:val="single" w:sz="4" w:space="0" w:color="auto"/>
            </w:tcBorders>
            <w:tcMar>
              <w:left w:w="108" w:type="dxa"/>
              <w:right w:w="108" w:type="dxa"/>
            </w:tcMar>
          </w:tcPr>
          <w:p w14:paraId="335094B2" w14:textId="5DAB537B" w:rsidR="00095608" w:rsidRPr="006D4815" w:rsidRDefault="00095608" w:rsidP="006D4815">
            <w:pPr>
              <w:spacing w:before="120"/>
              <w:rPr>
                <w:rFonts w:asciiTheme="minorHAnsi" w:hAnsiTheme="minorHAnsi"/>
              </w:rPr>
            </w:pPr>
            <w:r w:rsidRPr="006D4815">
              <w:rPr>
                <w:rFonts w:asciiTheme="minorHAnsi" w:hAnsiTheme="minorHAnsi"/>
              </w:rPr>
              <w:t xml:space="preserve">The SCA will include terms and conditions that are usual and </w:t>
            </w:r>
            <w:r w:rsidRPr="006D4815">
              <w:rPr>
                <w:rFonts w:asciiTheme="minorHAnsi" w:eastAsia="SimSun" w:hAnsiTheme="minorHAnsi"/>
              </w:rPr>
              <w:t>customary</w:t>
            </w:r>
            <w:r w:rsidRPr="006D4815">
              <w:rPr>
                <w:rFonts w:asciiTheme="minorHAnsi" w:hAnsiTheme="minorHAnsi"/>
              </w:rPr>
              <w:t xml:space="preserve"> in transactions of its nature.</w:t>
            </w:r>
          </w:p>
        </w:tc>
      </w:tr>
      <w:tr w:rsidR="00095608" w:rsidRPr="006D4815" w14:paraId="596A33AC" w14:textId="77777777" w:rsidTr="44F8ABCE">
        <w:tc>
          <w:tcPr>
            <w:tcW w:w="2250" w:type="dxa"/>
            <w:tcBorders>
              <w:top w:val="single" w:sz="4" w:space="0" w:color="auto"/>
              <w:bottom w:val="single" w:sz="4" w:space="0" w:color="auto"/>
              <w:right w:val="single" w:sz="4" w:space="0" w:color="auto"/>
            </w:tcBorders>
            <w:shd w:val="clear" w:color="auto" w:fill="auto"/>
            <w:tcMar>
              <w:left w:w="108" w:type="dxa"/>
              <w:right w:w="108" w:type="dxa"/>
            </w:tcMar>
          </w:tcPr>
          <w:p w14:paraId="597CA604" w14:textId="54EBF82A" w:rsidR="00095608" w:rsidRPr="006D4815" w:rsidRDefault="00095608" w:rsidP="00095608">
            <w:pPr>
              <w:spacing w:before="120"/>
              <w:rPr>
                <w:rFonts w:asciiTheme="minorHAnsi" w:eastAsia="SimSun" w:hAnsiTheme="minorHAnsi"/>
                <w:i/>
              </w:rPr>
            </w:pPr>
            <w:r w:rsidRPr="006D4815">
              <w:rPr>
                <w:rFonts w:asciiTheme="minorHAnsi" w:eastAsia="SimSun" w:hAnsiTheme="minorHAnsi"/>
                <w:i/>
              </w:rPr>
              <w:t>Confidentiality:</w:t>
            </w:r>
          </w:p>
        </w:tc>
        <w:tc>
          <w:tcPr>
            <w:tcW w:w="6840" w:type="dxa"/>
            <w:tcBorders>
              <w:top w:val="single" w:sz="4" w:space="0" w:color="auto"/>
              <w:left w:val="single" w:sz="4" w:space="0" w:color="auto"/>
              <w:bottom w:val="single" w:sz="4" w:space="0" w:color="auto"/>
            </w:tcBorders>
            <w:shd w:val="clear" w:color="auto" w:fill="auto"/>
            <w:tcMar>
              <w:left w:w="108" w:type="dxa"/>
              <w:right w:w="108" w:type="dxa"/>
            </w:tcMar>
          </w:tcPr>
          <w:p w14:paraId="7168B810" w14:textId="1F646BF3" w:rsidR="00095608" w:rsidRPr="006D4815" w:rsidRDefault="006D4815" w:rsidP="00095608">
            <w:pPr>
              <w:pStyle w:val="Normal50"/>
              <w:adjustRightInd/>
              <w:jc w:val="left"/>
              <w:rPr>
                <w:rFonts w:asciiTheme="minorHAnsi" w:eastAsia="Avenir Next LT Pro" w:hAnsiTheme="minorHAnsi"/>
                <w:color w:val="2B4159"/>
                <w:sz w:val="22"/>
                <w:szCs w:val="22"/>
              </w:rPr>
            </w:pPr>
            <w:r>
              <w:rPr>
                <w:rFonts w:asciiTheme="minorHAnsi" w:eastAsia="Avenir Next LT Pro" w:hAnsiTheme="minorHAnsi"/>
                <w:color w:val="2B4159"/>
                <w:sz w:val="22"/>
                <w:szCs w:val="22"/>
              </w:rPr>
              <w:t>A</w:t>
            </w:r>
            <w:r w:rsidR="00095608" w:rsidRPr="006D4815">
              <w:rPr>
                <w:rFonts w:asciiTheme="minorHAnsi" w:eastAsia="Avenir Next LT Pro" w:hAnsiTheme="minorHAnsi"/>
                <w:color w:val="2B4159"/>
                <w:sz w:val="22"/>
                <w:szCs w:val="22"/>
              </w:rPr>
              <w:t>ll information exchanged during negotiations of the SCA are confidential, subject to the Non-Disclosure Agreement between Buyer and Seller dated [Date].</w:t>
            </w:r>
          </w:p>
        </w:tc>
      </w:tr>
    </w:tbl>
    <w:p w14:paraId="257A1875" w14:textId="1C0BACB9" w:rsidR="0090147C" w:rsidRDefault="0090147C" w:rsidP="00855D77"/>
    <w:p w14:paraId="06EDEC5C" w14:textId="77777777" w:rsidR="0090147C" w:rsidRDefault="0090147C">
      <w:pPr>
        <w:spacing w:after="160"/>
      </w:pPr>
      <w:r>
        <w:br w:type="page"/>
      </w:r>
    </w:p>
    <w:p w14:paraId="6A7EC2FF" w14:textId="78ECE460" w:rsidR="00855D77" w:rsidRPr="00855D77" w:rsidRDefault="00273A20" w:rsidP="00855D77">
      <w:r>
        <w:rPr>
          <w:noProof/>
        </w:rPr>
        <w:lastRenderedPageBreak/>
        <w:drawing>
          <wp:anchor distT="0" distB="0" distL="114300" distR="114300" simplePos="0" relativeHeight="251658243" behindDoc="1" locked="0" layoutInCell="1" allowOverlap="1" wp14:anchorId="3302405F" wp14:editId="5F2CBB89">
            <wp:simplePos x="0" y="0"/>
            <wp:positionH relativeFrom="page">
              <wp:align>right</wp:align>
            </wp:positionH>
            <wp:positionV relativeFrom="paragraph">
              <wp:posOffset>-782119</wp:posOffset>
            </wp:positionV>
            <wp:extent cx="7772400" cy="10058400"/>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90--Wildfire Mitigration and Response Plan cover-02.png"/>
                    <pic:cNvPicPr/>
                  </pic:nvPicPr>
                  <pic:blipFill>
                    <a:blip r:embed="rId12"/>
                    <a:stretch>
                      <a:fillRect/>
                    </a:stretch>
                  </pic:blipFill>
                  <pic:spPr>
                    <a:xfrm>
                      <a:off x="0" y="0"/>
                      <a:ext cx="7772400" cy="10058400"/>
                    </a:xfrm>
                    <a:prstGeom prst="rect">
                      <a:avLst/>
                    </a:prstGeom>
                  </pic:spPr>
                </pic:pic>
              </a:graphicData>
            </a:graphic>
          </wp:anchor>
        </w:drawing>
      </w:r>
    </w:p>
    <w:sectPr w:rsidR="00855D77" w:rsidRPr="00855D77" w:rsidSect="00A9586D">
      <w:headerReference w:type="even" r:id="rId13"/>
      <w:headerReference w:type="default" r:id="rId14"/>
      <w:footerReference w:type="even" r:id="rId15"/>
      <w:headerReference w:type="first" r:id="rId16"/>
      <w:footerReference w:type="first" r:id="rId17"/>
      <w:pgSz w:w="12240" w:h="15840"/>
      <w:pgMar w:top="900" w:right="1170" w:bottom="1008"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E0EE5" w14:textId="77777777" w:rsidR="00642A3F" w:rsidRDefault="00642A3F" w:rsidP="00F84A5F">
      <w:r>
        <w:separator/>
      </w:r>
    </w:p>
  </w:endnote>
  <w:endnote w:type="continuationSeparator" w:id="0">
    <w:p w14:paraId="5A2C0131" w14:textId="77777777" w:rsidR="00642A3F" w:rsidRDefault="00642A3F" w:rsidP="00F84A5F">
      <w:r>
        <w:continuationSeparator/>
      </w:r>
    </w:p>
  </w:endnote>
  <w:endnote w:type="continuationNotice" w:id="1">
    <w:p w14:paraId="7D57E9B7" w14:textId="77777777" w:rsidR="00642A3F" w:rsidRDefault="00642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9D49" w14:textId="64D0F666" w:rsidR="00467899" w:rsidRDefault="00467899">
    <w:pPr>
      <w:pStyle w:val="Footer"/>
    </w:pPr>
    <w:r>
      <w:rPr>
        <w:noProof/>
      </w:rPr>
      <mc:AlternateContent>
        <mc:Choice Requires="wps">
          <w:drawing>
            <wp:anchor distT="0" distB="0" distL="0" distR="0" simplePos="0" relativeHeight="251658244" behindDoc="0" locked="0" layoutInCell="1" allowOverlap="1" wp14:anchorId="3F899DE4" wp14:editId="7FC69AF3">
              <wp:simplePos x="635" y="635"/>
              <wp:positionH relativeFrom="page">
                <wp:align>left</wp:align>
              </wp:positionH>
              <wp:positionV relativeFrom="page">
                <wp:align>bottom</wp:align>
              </wp:positionV>
              <wp:extent cx="565150" cy="357505"/>
              <wp:effectExtent l="0" t="0" r="6350" b="0"/>
              <wp:wrapNone/>
              <wp:docPr id="2080350300"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5ABE68A" w14:textId="5EB84074" w:rsidR="00467899" w:rsidRPr="00467899" w:rsidRDefault="00467899" w:rsidP="00467899">
                          <w:pPr>
                            <w:spacing w:after="0"/>
                            <w:rPr>
                              <w:rFonts w:ascii="Calibri" w:eastAsia="Calibri" w:hAnsi="Calibri" w:cs="Calibri"/>
                              <w:noProof/>
                              <w:color w:val="000000"/>
                              <w:sz w:val="20"/>
                              <w:szCs w:val="20"/>
                            </w:rPr>
                          </w:pPr>
                          <w:r w:rsidRPr="00467899">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99DE4" id="_x0000_t202" coordsize="21600,21600" o:spt="202" path="m,l,21600r21600,l21600,xe">
              <v:stroke joinstyle="miter"/>
              <v:path gradientshapeok="t" o:connecttype="rect"/>
            </v:shapetype>
            <v:shape id="Text Box 2" o:spid="_x0000_s1028" type="#_x0000_t202" alt="Public" style="position:absolute;margin-left:0;margin-top:0;width:44.5pt;height:28.1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textbox style="mso-fit-shape-to-text:t" inset="20pt,0,0,15pt">
                <w:txbxContent>
                  <w:p w14:paraId="75ABE68A" w14:textId="5EB84074" w:rsidR="00467899" w:rsidRPr="00467899" w:rsidRDefault="00467899" w:rsidP="00467899">
                    <w:pPr>
                      <w:spacing w:after="0"/>
                      <w:rPr>
                        <w:rFonts w:ascii="Calibri" w:eastAsia="Calibri" w:hAnsi="Calibri" w:cs="Calibri"/>
                        <w:noProof/>
                        <w:color w:val="000000"/>
                        <w:sz w:val="20"/>
                        <w:szCs w:val="20"/>
                      </w:rPr>
                    </w:pPr>
                    <w:r w:rsidRPr="00467899">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385D" w14:textId="078A1E9F" w:rsidR="00467899" w:rsidRDefault="00467899">
    <w:pPr>
      <w:pStyle w:val="Footer"/>
    </w:pPr>
    <w:r>
      <w:rPr>
        <w:noProof/>
      </w:rPr>
      <mc:AlternateContent>
        <mc:Choice Requires="wps">
          <w:drawing>
            <wp:anchor distT="0" distB="0" distL="0" distR="0" simplePos="0" relativeHeight="251658243" behindDoc="0" locked="0" layoutInCell="1" allowOverlap="1" wp14:anchorId="58C56DB0" wp14:editId="004CCFFE">
              <wp:simplePos x="635" y="635"/>
              <wp:positionH relativeFrom="page">
                <wp:align>left</wp:align>
              </wp:positionH>
              <wp:positionV relativeFrom="page">
                <wp:align>bottom</wp:align>
              </wp:positionV>
              <wp:extent cx="565150" cy="357505"/>
              <wp:effectExtent l="0" t="0" r="6350" b="0"/>
              <wp:wrapNone/>
              <wp:docPr id="1480779353"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870E702" w14:textId="2E5B14B7" w:rsidR="00467899" w:rsidRPr="00467899" w:rsidRDefault="00467899" w:rsidP="00467899">
                          <w:pPr>
                            <w:spacing w:after="0"/>
                            <w:rPr>
                              <w:rFonts w:ascii="Calibri" w:eastAsia="Calibri" w:hAnsi="Calibri" w:cs="Calibri"/>
                              <w:noProof/>
                              <w:color w:val="000000"/>
                              <w:sz w:val="20"/>
                              <w:szCs w:val="20"/>
                            </w:rPr>
                          </w:pPr>
                          <w:r w:rsidRPr="00467899">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56DB0" id="_x0000_t202" coordsize="21600,21600" o:spt="202" path="m,l,21600r21600,l21600,xe">
              <v:stroke joinstyle="miter"/>
              <v:path gradientshapeok="t" o:connecttype="rect"/>
            </v:shapetype>
            <v:shape id="Text Box 1" o:spid="_x0000_s1030" type="#_x0000_t202" alt="Public" style="position:absolute;margin-left:0;margin-top:0;width:44.5pt;height:28.1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textbox style="mso-fit-shape-to-text:t" inset="20pt,0,0,15pt">
                <w:txbxContent>
                  <w:p w14:paraId="4870E702" w14:textId="2E5B14B7" w:rsidR="00467899" w:rsidRPr="00467899" w:rsidRDefault="00467899" w:rsidP="00467899">
                    <w:pPr>
                      <w:spacing w:after="0"/>
                      <w:rPr>
                        <w:rFonts w:ascii="Calibri" w:eastAsia="Calibri" w:hAnsi="Calibri" w:cs="Calibri"/>
                        <w:noProof/>
                        <w:color w:val="000000"/>
                        <w:sz w:val="20"/>
                        <w:szCs w:val="20"/>
                      </w:rPr>
                    </w:pPr>
                    <w:r w:rsidRPr="00467899">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D7B0" w14:textId="77777777" w:rsidR="00642A3F" w:rsidRDefault="00642A3F" w:rsidP="00F84A5F">
      <w:r>
        <w:separator/>
      </w:r>
    </w:p>
  </w:footnote>
  <w:footnote w:type="continuationSeparator" w:id="0">
    <w:p w14:paraId="3EEE0A09" w14:textId="77777777" w:rsidR="00642A3F" w:rsidRDefault="00642A3F" w:rsidP="00F84A5F">
      <w:r>
        <w:continuationSeparator/>
      </w:r>
    </w:p>
  </w:footnote>
  <w:footnote w:type="continuationNotice" w:id="1">
    <w:p w14:paraId="2880746C" w14:textId="77777777" w:rsidR="00642A3F" w:rsidRDefault="00642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D79D" w14:textId="77777777" w:rsidR="00C52BE5" w:rsidRDefault="00452F0B" w:rsidP="00F84A5F">
    <w:r>
      <w:rPr>
        <w:noProof/>
      </w:rPr>
      <w:pict w14:anchorId="6654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3" o:spid="_x0000_s1032" type="#_x0000_t75" style="position:absolute;margin-left:0;margin-top:0;width:613pt;height:793pt;z-index:-251658239;mso-position-horizontal:center;mso-position-horizontal-relative:margin;mso-position-vertical:center;mso-position-vertical-relative:margin" o:allowincell="f">
          <v:imagedata r:id="rId1" o:title="Full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8A3A" w14:textId="77777777" w:rsidR="00E662E4" w:rsidRPr="00E662E4" w:rsidRDefault="00AF1EFE" w:rsidP="00F84A5F">
    <w:pPr>
      <w:pStyle w:val="Heading1"/>
    </w:pPr>
    <w:r>
      <w:drawing>
        <wp:anchor distT="0" distB="0" distL="114300" distR="114300" simplePos="0" relativeHeight="251658242" behindDoc="1" locked="0" layoutInCell="1" allowOverlap="1" wp14:anchorId="4EA8B4D8" wp14:editId="392E9FAE">
          <wp:simplePos x="0" y="0"/>
          <wp:positionH relativeFrom="column">
            <wp:posOffset>-1143000</wp:posOffset>
          </wp:positionH>
          <wp:positionV relativeFrom="paragraph">
            <wp:posOffset>7620</wp:posOffset>
          </wp:positionV>
          <wp:extent cx="7896859" cy="10219465"/>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Backgroun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96859" cy="10219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1135" w14:textId="77777777" w:rsidR="00C52BE5" w:rsidRDefault="00452F0B" w:rsidP="00F84A5F">
    <w:r>
      <w:rPr>
        <w:noProof/>
      </w:rPr>
      <w:pict w14:anchorId="4CB0A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2" o:spid="_x0000_s1031" type="#_x0000_t75" style="position:absolute;margin-left:0;margin-top:0;width:613pt;height:793pt;z-index:-251658240;mso-position-horizontal:center;mso-position-horizontal-relative:margin;mso-position-vertical:center;mso-position-vertical-relative:margin" o:allowincell="f">
          <v:imagedata r:id="rId1" o:title="Full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13B"/>
    <w:multiLevelType w:val="hybridMultilevel"/>
    <w:tmpl w:val="FCF25CBA"/>
    <w:lvl w:ilvl="0" w:tplc="369C7ACA">
      <w:start w:val="10"/>
      <w:numFmt w:val="bullet"/>
      <w:lvlText w:val="-"/>
      <w:lvlJc w:val="left"/>
      <w:pPr>
        <w:ind w:left="990" w:hanging="360"/>
      </w:pPr>
      <w:rPr>
        <w:rFonts w:ascii="Avenir Next LT Pro" w:eastAsia="Avenir Next LT Pro" w:hAnsi="Avenir Next LT Pro"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E87DC2"/>
    <w:multiLevelType w:val="hybridMultilevel"/>
    <w:tmpl w:val="A74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42E8"/>
    <w:multiLevelType w:val="hybridMultilevel"/>
    <w:tmpl w:val="F4D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35CC"/>
    <w:multiLevelType w:val="hybridMultilevel"/>
    <w:tmpl w:val="34C2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5" w15:restartNumberingAfterBreak="0">
    <w:nsid w:val="1A026584"/>
    <w:multiLevelType w:val="hybridMultilevel"/>
    <w:tmpl w:val="96FE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67059"/>
    <w:multiLevelType w:val="hybridMultilevel"/>
    <w:tmpl w:val="CE5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A0A31"/>
    <w:multiLevelType w:val="hybridMultilevel"/>
    <w:tmpl w:val="4B8E0E00"/>
    <w:lvl w:ilvl="0" w:tplc="063A5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B2EA7"/>
    <w:multiLevelType w:val="hybridMultilevel"/>
    <w:tmpl w:val="140EBC5E"/>
    <w:lvl w:ilvl="0" w:tplc="A75CF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D5186"/>
    <w:multiLevelType w:val="hybridMultilevel"/>
    <w:tmpl w:val="B27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E636C"/>
    <w:multiLevelType w:val="hybridMultilevel"/>
    <w:tmpl w:val="F9E6AED8"/>
    <w:lvl w:ilvl="0" w:tplc="369C7ACA">
      <w:start w:val="10"/>
      <w:numFmt w:val="bullet"/>
      <w:lvlText w:val="-"/>
      <w:lvlJc w:val="left"/>
      <w:pPr>
        <w:ind w:left="720" w:hanging="360"/>
      </w:pPr>
      <w:rPr>
        <w:rFonts w:ascii="Avenir Next LT Pro" w:eastAsia="Avenir Next LT Pro"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25DD1"/>
    <w:multiLevelType w:val="hybridMultilevel"/>
    <w:tmpl w:val="E3B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47B0A"/>
    <w:multiLevelType w:val="hybridMultilevel"/>
    <w:tmpl w:val="025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A4C36"/>
    <w:multiLevelType w:val="singleLevel"/>
    <w:tmpl w:val="14901F5A"/>
    <w:lvl w:ilvl="0">
      <w:start w:val="1"/>
      <w:numFmt w:val="bullet"/>
      <w:pStyle w:val="Bullet"/>
      <w:lvlText w:val=""/>
      <w:lvlJc w:val="left"/>
      <w:pPr>
        <w:tabs>
          <w:tab w:val="num" w:pos="360"/>
        </w:tabs>
        <w:ind w:left="360" w:hanging="360"/>
      </w:pPr>
      <w:rPr>
        <w:rFonts w:ascii="Wingdings" w:hAnsi="Wingdings" w:hint="default"/>
      </w:rPr>
    </w:lvl>
  </w:abstractNum>
  <w:abstractNum w:abstractNumId="14" w15:restartNumberingAfterBreak="0">
    <w:nsid w:val="3D6D4782"/>
    <w:multiLevelType w:val="hybridMultilevel"/>
    <w:tmpl w:val="F3B2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F2124"/>
    <w:multiLevelType w:val="hybridMultilevel"/>
    <w:tmpl w:val="859ADAC2"/>
    <w:lvl w:ilvl="0" w:tplc="19AAE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63574"/>
    <w:multiLevelType w:val="hybridMultilevel"/>
    <w:tmpl w:val="8608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B2726"/>
    <w:multiLevelType w:val="hybridMultilevel"/>
    <w:tmpl w:val="FAC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037F9"/>
    <w:multiLevelType w:val="hybridMultilevel"/>
    <w:tmpl w:val="17766750"/>
    <w:lvl w:ilvl="0" w:tplc="D8FA7F3E">
      <w:start w:val="1"/>
      <w:numFmt w:val="bullet"/>
      <w:pStyle w:val="Bullets"/>
      <w:lvlText w:val=""/>
      <w:lvlJc w:val="left"/>
      <w:pPr>
        <w:ind w:left="720" w:hanging="360"/>
      </w:pPr>
      <w:rPr>
        <w:rFonts w:ascii="Wingdings" w:hAnsi="Wingdings" w:hint="default"/>
        <w:color w:val="2B4159"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5496B"/>
    <w:multiLevelType w:val="hybridMultilevel"/>
    <w:tmpl w:val="A08A4AB4"/>
    <w:lvl w:ilvl="0" w:tplc="BA9C8A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67462F"/>
    <w:multiLevelType w:val="hybridMultilevel"/>
    <w:tmpl w:val="00A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6758D"/>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4F10657"/>
    <w:multiLevelType w:val="hybridMultilevel"/>
    <w:tmpl w:val="B50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026255">
    <w:abstractNumId w:val="18"/>
  </w:num>
  <w:num w:numId="2" w16cid:durableId="1261529392">
    <w:abstractNumId w:val="5"/>
  </w:num>
  <w:num w:numId="3" w16cid:durableId="627054848">
    <w:abstractNumId w:val="2"/>
  </w:num>
  <w:num w:numId="4" w16cid:durableId="627663610">
    <w:abstractNumId w:val="14"/>
  </w:num>
  <w:num w:numId="5" w16cid:durableId="205797102">
    <w:abstractNumId w:val="19"/>
  </w:num>
  <w:num w:numId="6" w16cid:durableId="2082174525">
    <w:abstractNumId w:val="11"/>
  </w:num>
  <w:num w:numId="7" w16cid:durableId="372580246">
    <w:abstractNumId w:val="13"/>
  </w:num>
  <w:num w:numId="8" w16cid:durableId="1711539131">
    <w:abstractNumId w:val="3"/>
  </w:num>
  <w:num w:numId="9" w16cid:durableId="251744970">
    <w:abstractNumId w:val="1"/>
  </w:num>
  <w:num w:numId="10" w16cid:durableId="927733846">
    <w:abstractNumId w:val="16"/>
  </w:num>
  <w:num w:numId="11" w16cid:durableId="2129080339">
    <w:abstractNumId w:val="20"/>
  </w:num>
  <w:num w:numId="12" w16cid:durableId="1290741464">
    <w:abstractNumId w:val="22"/>
  </w:num>
  <w:num w:numId="13" w16cid:durableId="376512906">
    <w:abstractNumId w:val="9"/>
  </w:num>
  <w:num w:numId="14" w16cid:durableId="762990619">
    <w:abstractNumId w:val="4"/>
  </w:num>
  <w:num w:numId="15" w16cid:durableId="1572693891">
    <w:abstractNumId w:val="21"/>
  </w:num>
  <w:num w:numId="16" w16cid:durableId="1655454014">
    <w:abstractNumId w:val="12"/>
  </w:num>
  <w:num w:numId="17" w16cid:durableId="1315069485">
    <w:abstractNumId w:val="0"/>
  </w:num>
  <w:num w:numId="18" w16cid:durableId="1775980141">
    <w:abstractNumId w:val="10"/>
  </w:num>
  <w:num w:numId="19" w16cid:durableId="521021035">
    <w:abstractNumId w:val="17"/>
  </w:num>
  <w:num w:numId="20" w16cid:durableId="1385711177">
    <w:abstractNumId w:val="17"/>
  </w:num>
  <w:num w:numId="21" w16cid:durableId="397632844">
    <w:abstractNumId w:val="7"/>
  </w:num>
  <w:num w:numId="22" w16cid:durableId="1487941362">
    <w:abstractNumId w:val="6"/>
  </w:num>
  <w:num w:numId="23" w16cid:durableId="49766996">
    <w:abstractNumId w:val="8"/>
  </w:num>
  <w:num w:numId="24" w16cid:durableId="667833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5E"/>
    <w:rsid w:val="00000457"/>
    <w:rsid w:val="00001E29"/>
    <w:rsid w:val="00002663"/>
    <w:rsid w:val="00003307"/>
    <w:rsid w:val="00003A05"/>
    <w:rsid w:val="00004367"/>
    <w:rsid w:val="00004B1F"/>
    <w:rsid w:val="00005906"/>
    <w:rsid w:val="00006777"/>
    <w:rsid w:val="000121B5"/>
    <w:rsid w:val="0001439F"/>
    <w:rsid w:val="000157B1"/>
    <w:rsid w:val="00017D2D"/>
    <w:rsid w:val="00021C04"/>
    <w:rsid w:val="000225A0"/>
    <w:rsid w:val="00023874"/>
    <w:rsid w:val="000238E5"/>
    <w:rsid w:val="00023BB9"/>
    <w:rsid w:val="00024373"/>
    <w:rsid w:val="00024A74"/>
    <w:rsid w:val="00025C3E"/>
    <w:rsid w:val="000270AB"/>
    <w:rsid w:val="00030305"/>
    <w:rsid w:val="0003037D"/>
    <w:rsid w:val="000320C6"/>
    <w:rsid w:val="00032270"/>
    <w:rsid w:val="0003345D"/>
    <w:rsid w:val="0003607C"/>
    <w:rsid w:val="000379F7"/>
    <w:rsid w:val="00043792"/>
    <w:rsid w:val="0004387C"/>
    <w:rsid w:val="0004435E"/>
    <w:rsid w:val="00045222"/>
    <w:rsid w:val="00045D4D"/>
    <w:rsid w:val="00047C9F"/>
    <w:rsid w:val="00050030"/>
    <w:rsid w:val="00051797"/>
    <w:rsid w:val="000517E0"/>
    <w:rsid w:val="00051B87"/>
    <w:rsid w:val="00051F8D"/>
    <w:rsid w:val="00052D54"/>
    <w:rsid w:val="00054675"/>
    <w:rsid w:val="0005588F"/>
    <w:rsid w:val="000558A3"/>
    <w:rsid w:val="0005772C"/>
    <w:rsid w:val="0006009D"/>
    <w:rsid w:val="0006051C"/>
    <w:rsid w:val="000627B9"/>
    <w:rsid w:val="00063FEA"/>
    <w:rsid w:val="00064EEC"/>
    <w:rsid w:val="00066069"/>
    <w:rsid w:val="000662B7"/>
    <w:rsid w:val="00067A85"/>
    <w:rsid w:val="00070045"/>
    <w:rsid w:val="0007040C"/>
    <w:rsid w:val="00072B26"/>
    <w:rsid w:val="00073A9B"/>
    <w:rsid w:val="00076E52"/>
    <w:rsid w:val="000808B5"/>
    <w:rsid w:val="00080FCF"/>
    <w:rsid w:val="000833D2"/>
    <w:rsid w:val="00083E52"/>
    <w:rsid w:val="000857D5"/>
    <w:rsid w:val="00086CB3"/>
    <w:rsid w:val="00090DA2"/>
    <w:rsid w:val="00092FF5"/>
    <w:rsid w:val="000937D4"/>
    <w:rsid w:val="000939AF"/>
    <w:rsid w:val="0009555F"/>
    <w:rsid w:val="00095608"/>
    <w:rsid w:val="000979BB"/>
    <w:rsid w:val="00097AEB"/>
    <w:rsid w:val="000A0030"/>
    <w:rsid w:val="000A08A4"/>
    <w:rsid w:val="000A09F7"/>
    <w:rsid w:val="000A0A19"/>
    <w:rsid w:val="000A32DF"/>
    <w:rsid w:val="000A728D"/>
    <w:rsid w:val="000A798C"/>
    <w:rsid w:val="000B0990"/>
    <w:rsid w:val="000B1052"/>
    <w:rsid w:val="000B1DF0"/>
    <w:rsid w:val="000B1E09"/>
    <w:rsid w:val="000B2CF1"/>
    <w:rsid w:val="000B3633"/>
    <w:rsid w:val="000B596A"/>
    <w:rsid w:val="000C3A4C"/>
    <w:rsid w:val="000C6407"/>
    <w:rsid w:val="000C6E4B"/>
    <w:rsid w:val="000D2561"/>
    <w:rsid w:val="000D3E59"/>
    <w:rsid w:val="000D4B5C"/>
    <w:rsid w:val="000D67E6"/>
    <w:rsid w:val="000E1001"/>
    <w:rsid w:val="000E1585"/>
    <w:rsid w:val="000E1BBD"/>
    <w:rsid w:val="000E4AD1"/>
    <w:rsid w:val="000E66F4"/>
    <w:rsid w:val="000E73A2"/>
    <w:rsid w:val="000F4613"/>
    <w:rsid w:val="000F46F0"/>
    <w:rsid w:val="000F5B46"/>
    <w:rsid w:val="000F62A9"/>
    <w:rsid w:val="000F63C5"/>
    <w:rsid w:val="0010313E"/>
    <w:rsid w:val="001047AB"/>
    <w:rsid w:val="00104D0C"/>
    <w:rsid w:val="00110559"/>
    <w:rsid w:val="00110733"/>
    <w:rsid w:val="00111FA7"/>
    <w:rsid w:val="00113080"/>
    <w:rsid w:val="00113357"/>
    <w:rsid w:val="0011595A"/>
    <w:rsid w:val="001163BF"/>
    <w:rsid w:val="00117876"/>
    <w:rsid w:val="001234D8"/>
    <w:rsid w:val="00123503"/>
    <w:rsid w:val="00123640"/>
    <w:rsid w:val="00124262"/>
    <w:rsid w:val="00124C4C"/>
    <w:rsid w:val="00125B33"/>
    <w:rsid w:val="00126100"/>
    <w:rsid w:val="00126FA7"/>
    <w:rsid w:val="00127447"/>
    <w:rsid w:val="0012780C"/>
    <w:rsid w:val="001279E4"/>
    <w:rsid w:val="001302D0"/>
    <w:rsid w:val="00130D2B"/>
    <w:rsid w:val="001318C0"/>
    <w:rsid w:val="00132436"/>
    <w:rsid w:val="001336E1"/>
    <w:rsid w:val="00134A83"/>
    <w:rsid w:val="00137CEC"/>
    <w:rsid w:val="00142A4C"/>
    <w:rsid w:val="0014357A"/>
    <w:rsid w:val="001440AC"/>
    <w:rsid w:val="0014436C"/>
    <w:rsid w:val="00144877"/>
    <w:rsid w:val="00144F23"/>
    <w:rsid w:val="00144FBF"/>
    <w:rsid w:val="00145BB0"/>
    <w:rsid w:val="00147CF4"/>
    <w:rsid w:val="00150109"/>
    <w:rsid w:val="00151644"/>
    <w:rsid w:val="0015193B"/>
    <w:rsid w:val="001564DF"/>
    <w:rsid w:val="001566A9"/>
    <w:rsid w:val="001569EE"/>
    <w:rsid w:val="00157B86"/>
    <w:rsid w:val="001612DD"/>
    <w:rsid w:val="0016143A"/>
    <w:rsid w:val="001623A6"/>
    <w:rsid w:val="00162FE4"/>
    <w:rsid w:val="00164105"/>
    <w:rsid w:val="00164FB6"/>
    <w:rsid w:val="001652EC"/>
    <w:rsid w:val="001710A0"/>
    <w:rsid w:val="00172DF8"/>
    <w:rsid w:val="00173862"/>
    <w:rsid w:val="0017523A"/>
    <w:rsid w:val="0017660F"/>
    <w:rsid w:val="00176820"/>
    <w:rsid w:val="00177CDF"/>
    <w:rsid w:val="00180C45"/>
    <w:rsid w:val="001818FD"/>
    <w:rsid w:val="00183760"/>
    <w:rsid w:val="00183863"/>
    <w:rsid w:val="00184D3D"/>
    <w:rsid w:val="00186F22"/>
    <w:rsid w:val="00190675"/>
    <w:rsid w:val="00191FB1"/>
    <w:rsid w:val="001933D7"/>
    <w:rsid w:val="001934BF"/>
    <w:rsid w:val="001950CC"/>
    <w:rsid w:val="00195516"/>
    <w:rsid w:val="001964F0"/>
    <w:rsid w:val="0019749B"/>
    <w:rsid w:val="0019794E"/>
    <w:rsid w:val="001A00CC"/>
    <w:rsid w:val="001A02E2"/>
    <w:rsid w:val="001A0357"/>
    <w:rsid w:val="001A07AB"/>
    <w:rsid w:val="001A1595"/>
    <w:rsid w:val="001A25BA"/>
    <w:rsid w:val="001A54FE"/>
    <w:rsid w:val="001B2EAB"/>
    <w:rsid w:val="001B43C3"/>
    <w:rsid w:val="001B589A"/>
    <w:rsid w:val="001C0D58"/>
    <w:rsid w:val="001C1D78"/>
    <w:rsid w:val="001C341A"/>
    <w:rsid w:val="001C3B65"/>
    <w:rsid w:val="001C5410"/>
    <w:rsid w:val="001C54B5"/>
    <w:rsid w:val="001C5C5F"/>
    <w:rsid w:val="001C610C"/>
    <w:rsid w:val="001C67F9"/>
    <w:rsid w:val="001D0CE9"/>
    <w:rsid w:val="001D0EFF"/>
    <w:rsid w:val="001D10B2"/>
    <w:rsid w:val="001D1AD2"/>
    <w:rsid w:val="001D21E5"/>
    <w:rsid w:val="001D34EE"/>
    <w:rsid w:val="001D365D"/>
    <w:rsid w:val="001D443D"/>
    <w:rsid w:val="001D4A7D"/>
    <w:rsid w:val="001D6C4B"/>
    <w:rsid w:val="001E100D"/>
    <w:rsid w:val="001E238B"/>
    <w:rsid w:val="001E2746"/>
    <w:rsid w:val="001E374F"/>
    <w:rsid w:val="001E5418"/>
    <w:rsid w:val="001E5ACE"/>
    <w:rsid w:val="001F0C88"/>
    <w:rsid w:val="001F1773"/>
    <w:rsid w:val="001F1BAA"/>
    <w:rsid w:val="001F1FAE"/>
    <w:rsid w:val="001F38B8"/>
    <w:rsid w:val="001F3EAC"/>
    <w:rsid w:val="001F434D"/>
    <w:rsid w:val="001F4F6B"/>
    <w:rsid w:val="001F5809"/>
    <w:rsid w:val="001F6582"/>
    <w:rsid w:val="001F6FDF"/>
    <w:rsid w:val="00200CD1"/>
    <w:rsid w:val="002041B9"/>
    <w:rsid w:val="00205142"/>
    <w:rsid w:val="00206550"/>
    <w:rsid w:val="00207643"/>
    <w:rsid w:val="002100BB"/>
    <w:rsid w:val="0021192D"/>
    <w:rsid w:val="00212542"/>
    <w:rsid w:val="00212BCB"/>
    <w:rsid w:val="00213629"/>
    <w:rsid w:val="002147C8"/>
    <w:rsid w:val="00215936"/>
    <w:rsid w:val="002163AA"/>
    <w:rsid w:val="0021657C"/>
    <w:rsid w:val="0022003D"/>
    <w:rsid w:val="002231E6"/>
    <w:rsid w:val="0022372F"/>
    <w:rsid w:val="00224CEA"/>
    <w:rsid w:val="002256E6"/>
    <w:rsid w:val="00225AE8"/>
    <w:rsid w:val="0022706A"/>
    <w:rsid w:val="0022748A"/>
    <w:rsid w:val="00227A89"/>
    <w:rsid w:val="00227ABC"/>
    <w:rsid w:val="00234703"/>
    <w:rsid w:val="00234957"/>
    <w:rsid w:val="00235CCA"/>
    <w:rsid w:val="00236A36"/>
    <w:rsid w:val="00236B85"/>
    <w:rsid w:val="00236BDA"/>
    <w:rsid w:val="0024060B"/>
    <w:rsid w:val="002406EF"/>
    <w:rsid w:val="00240B54"/>
    <w:rsid w:val="00241D13"/>
    <w:rsid w:val="00243138"/>
    <w:rsid w:val="002442BE"/>
    <w:rsid w:val="002468E5"/>
    <w:rsid w:val="00246CC1"/>
    <w:rsid w:val="00247D6B"/>
    <w:rsid w:val="002515D1"/>
    <w:rsid w:val="0025199F"/>
    <w:rsid w:val="002526FF"/>
    <w:rsid w:val="00252A69"/>
    <w:rsid w:val="00252E96"/>
    <w:rsid w:val="0025373E"/>
    <w:rsid w:val="00254987"/>
    <w:rsid w:val="00255387"/>
    <w:rsid w:val="0025688B"/>
    <w:rsid w:val="00256CD5"/>
    <w:rsid w:val="0026110A"/>
    <w:rsid w:val="002617D4"/>
    <w:rsid w:val="002619E6"/>
    <w:rsid w:val="00261C7E"/>
    <w:rsid w:val="00262CC2"/>
    <w:rsid w:val="00262D37"/>
    <w:rsid w:val="00262F62"/>
    <w:rsid w:val="00263043"/>
    <w:rsid w:val="0026432F"/>
    <w:rsid w:val="00264E83"/>
    <w:rsid w:val="002670C8"/>
    <w:rsid w:val="00271B6C"/>
    <w:rsid w:val="0027299C"/>
    <w:rsid w:val="00273A20"/>
    <w:rsid w:val="00273ADB"/>
    <w:rsid w:val="002800C2"/>
    <w:rsid w:val="002810D7"/>
    <w:rsid w:val="00283BEE"/>
    <w:rsid w:val="0028513D"/>
    <w:rsid w:val="00285294"/>
    <w:rsid w:val="00285C74"/>
    <w:rsid w:val="00286AB6"/>
    <w:rsid w:val="00287493"/>
    <w:rsid w:val="002874C2"/>
    <w:rsid w:val="00287F3B"/>
    <w:rsid w:val="00290453"/>
    <w:rsid w:val="00290E67"/>
    <w:rsid w:val="00293FB0"/>
    <w:rsid w:val="0029408D"/>
    <w:rsid w:val="00294B83"/>
    <w:rsid w:val="00295FBB"/>
    <w:rsid w:val="002968CE"/>
    <w:rsid w:val="002972FE"/>
    <w:rsid w:val="002A1249"/>
    <w:rsid w:val="002A1731"/>
    <w:rsid w:val="002A1EE0"/>
    <w:rsid w:val="002A4A38"/>
    <w:rsid w:val="002A4E34"/>
    <w:rsid w:val="002A6FFF"/>
    <w:rsid w:val="002A7BB2"/>
    <w:rsid w:val="002B09B1"/>
    <w:rsid w:val="002B0D78"/>
    <w:rsid w:val="002B2DE1"/>
    <w:rsid w:val="002B4226"/>
    <w:rsid w:val="002B4448"/>
    <w:rsid w:val="002B71AB"/>
    <w:rsid w:val="002C2681"/>
    <w:rsid w:val="002C2F61"/>
    <w:rsid w:val="002C33D9"/>
    <w:rsid w:val="002C3CFD"/>
    <w:rsid w:val="002C6DC1"/>
    <w:rsid w:val="002D3BC8"/>
    <w:rsid w:val="002D4252"/>
    <w:rsid w:val="002E06F4"/>
    <w:rsid w:val="002E38A9"/>
    <w:rsid w:val="002E449D"/>
    <w:rsid w:val="002E4BD6"/>
    <w:rsid w:val="002E4DF6"/>
    <w:rsid w:val="002E6245"/>
    <w:rsid w:val="002E6C48"/>
    <w:rsid w:val="002E72BE"/>
    <w:rsid w:val="002F1075"/>
    <w:rsid w:val="002F1706"/>
    <w:rsid w:val="002F75E1"/>
    <w:rsid w:val="002F7E69"/>
    <w:rsid w:val="00300FAD"/>
    <w:rsid w:val="00300FF8"/>
    <w:rsid w:val="00301410"/>
    <w:rsid w:val="00302F9C"/>
    <w:rsid w:val="003038FF"/>
    <w:rsid w:val="00304100"/>
    <w:rsid w:val="003078A6"/>
    <w:rsid w:val="003106F2"/>
    <w:rsid w:val="0031326F"/>
    <w:rsid w:val="00313C8A"/>
    <w:rsid w:val="00314104"/>
    <w:rsid w:val="003177FE"/>
    <w:rsid w:val="003204A0"/>
    <w:rsid w:val="00320DC2"/>
    <w:rsid w:val="00320E0E"/>
    <w:rsid w:val="00322DEA"/>
    <w:rsid w:val="00323962"/>
    <w:rsid w:val="0032424A"/>
    <w:rsid w:val="003254EC"/>
    <w:rsid w:val="00327776"/>
    <w:rsid w:val="003318B9"/>
    <w:rsid w:val="0033379F"/>
    <w:rsid w:val="00334B64"/>
    <w:rsid w:val="00337247"/>
    <w:rsid w:val="003372D0"/>
    <w:rsid w:val="003375EE"/>
    <w:rsid w:val="00337849"/>
    <w:rsid w:val="00337F9B"/>
    <w:rsid w:val="003416B4"/>
    <w:rsid w:val="003424F8"/>
    <w:rsid w:val="0034349F"/>
    <w:rsid w:val="003434F8"/>
    <w:rsid w:val="003443FC"/>
    <w:rsid w:val="00344A22"/>
    <w:rsid w:val="00350913"/>
    <w:rsid w:val="00350A7E"/>
    <w:rsid w:val="0035300B"/>
    <w:rsid w:val="003539B6"/>
    <w:rsid w:val="00353A5E"/>
    <w:rsid w:val="00355305"/>
    <w:rsid w:val="00357C2C"/>
    <w:rsid w:val="00361665"/>
    <w:rsid w:val="003628F7"/>
    <w:rsid w:val="00363A6D"/>
    <w:rsid w:val="00364057"/>
    <w:rsid w:val="003703B1"/>
    <w:rsid w:val="00371338"/>
    <w:rsid w:val="00371CF7"/>
    <w:rsid w:val="00372709"/>
    <w:rsid w:val="00372C24"/>
    <w:rsid w:val="00373E8D"/>
    <w:rsid w:val="00374927"/>
    <w:rsid w:val="0037602F"/>
    <w:rsid w:val="003773A3"/>
    <w:rsid w:val="0038021B"/>
    <w:rsid w:val="00382A1F"/>
    <w:rsid w:val="0038452A"/>
    <w:rsid w:val="00384BE0"/>
    <w:rsid w:val="00391A4C"/>
    <w:rsid w:val="0039211F"/>
    <w:rsid w:val="0039281B"/>
    <w:rsid w:val="00392FBA"/>
    <w:rsid w:val="0039336F"/>
    <w:rsid w:val="0039622C"/>
    <w:rsid w:val="003A0688"/>
    <w:rsid w:val="003A1588"/>
    <w:rsid w:val="003A236B"/>
    <w:rsid w:val="003A35AC"/>
    <w:rsid w:val="003A3BB5"/>
    <w:rsid w:val="003A44F6"/>
    <w:rsid w:val="003A4C13"/>
    <w:rsid w:val="003A6DBA"/>
    <w:rsid w:val="003A7D3A"/>
    <w:rsid w:val="003B3390"/>
    <w:rsid w:val="003B3FCA"/>
    <w:rsid w:val="003B4424"/>
    <w:rsid w:val="003B4F00"/>
    <w:rsid w:val="003B5C3E"/>
    <w:rsid w:val="003B688F"/>
    <w:rsid w:val="003B7AAF"/>
    <w:rsid w:val="003C0514"/>
    <w:rsid w:val="003C15E8"/>
    <w:rsid w:val="003C298B"/>
    <w:rsid w:val="003C2B6C"/>
    <w:rsid w:val="003C36B1"/>
    <w:rsid w:val="003C58C0"/>
    <w:rsid w:val="003C7F77"/>
    <w:rsid w:val="003D1842"/>
    <w:rsid w:val="003D1BF3"/>
    <w:rsid w:val="003D3506"/>
    <w:rsid w:val="003D3723"/>
    <w:rsid w:val="003D3EB6"/>
    <w:rsid w:val="003D40B1"/>
    <w:rsid w:val="003D57BE"/>
    <w:rsid w:val="003D5EE0"/>
    <w:rsid w:val="003D7BD7"/>
    <w:rsid w:val="003E1345"/>
    <w:rsid w:val="003E24CD"/>
    <w:rsid w:val="003E27AF"/>
    <w:rsid w:val="003E290D"/>
    <w:rsid w:val="003E3F87"/>
    <w:rsid w:val="003E420F"/>
    <w:rsid w:val="003E4FCE"/>
    <w:rsid w:val="003E6935"/>
    <w:rsid w:val="003E6CDE"/>
    <w:rsid w:val="003F00FF"/>
    <w:rsid w:val="003F04C9"/>
    <w:rsid w:val="003F0A0F"/>
    <w:rsid w:val="003F1C57"/>
    <w:rsid w:val="003F2018"/>
    <w:rsid w:val="003F2B78"/>
    <w:rsid w:val="003F487A"/>
    <w:rsid w:val="003F564E"/>
    <w:rsid w:val="004002A4"/>
    <w:rsid w:val="00402DF1"/>
    <w:rsid w:val="00403CC3"/>
    <w:rsid w:val="00404299"/>
    <w:rsid w:val="004056AB"/>
    <w:rsid w:val="00405894"/>
    <w:rsid w:val="00407313"/>
    <w:rsid w:val="00407B32"/>
    <w:rsid w:val="0041150F"/>
    <w:rsid w:val="0041170B"/>
    <w:rsid w:val="00411B49"/>
    <w:rsid w:val="004140F1"/>
    <w:rsid w:val="004142B2"/>
    <w:rsid w:val="004150FC"/>
    <w:rsid w:val="00416222"/>
    <w:rsid w:val="004166CD"/>
    <w:rsid w:val="00417142"/>
    <w:rsid w:val="00417411"/>
    <w:rsid w:val="004176CB"/>
    <w:rsid w:val="0042006B"/>
    <w:rsid w:val="00422E18"/>
    <w:rsid w:val="00425716"/>
    <w:rsid w:val="0042598C"/>
    <w:rsid w:val="00427683"/>
    <w:rsid w:val="004305C9"/>
    <w:rsid w:val="00430D32"/>
    <w:rsid w:val="004334CC"/>
    <w:rsid w:val="0043478B"/>
    <w:rsid w:val="0043750E"/>
    <w:rsid w:val="00442742"/>
    <w:rsid w:val="00442AAF"/>
    <w:rsid w:val="00442DAF"/>
    <w:rsid w:val="00443088"/>
    <w:rsid w:val="00443601"/>
    <w:rsid w:val="004447FC"/>
    <w:rsid w:val="00445795"/>
    <w:rsid w:val="0044705F"/>
    <w:rsid w:val="00447FF6"/>
    <w:rsid w:val="00450503"/>
    <w:rsid w:val="00452F0B"/>
    <w:rsid w:val="00452F26"/>
    <w:rsid w:val="0045321B"/>
    <w:rsid w:val="004533DE"/>
    <w:rsid w:val="00453D8D"/>
    <w:rsid w:val="00454897"/>
    <w:rsid w:val="00457671"/>
    <w:rsid w:val="004604D7"/>
    <w:rsid w:val="00461BCD"/>
    <w:rsid w:val="00462E31"/>
    <w:rsid w:val="00464400"/>
    <w:rsid w:val="00466BC5"/>
    <w:rsid w:val="00467899"/>
    <w:rsid w:val="00467AC4"/>
    <w:rsid w:val="004702FD"/>
    <w:rsid w:val="00471358"/>
    <w:rsid w:val="00471F24"/>
    <w:rsid w:val="004723BE"/>
    <w:rsid w:val="0047299C"/>
    <w:rsid w:val="00475449"/>
    <w:rsid w:val="00475F28"/>
    <w:rsid w:val="00476DB2"/>
    <w:rsid w:val="0048522F"/>
    <w:rsid w:val="00486D88"/>
    <w:rsid w:val="004871E2"/>
    <w:rsid w:val="00487F61"/>
    <w:rsid w:val="00490393"/>
    <w:rsid w:val="00491090"/>
    <w:rsid w:val="004910DF"/>
    <w:rsid w:val="0049287D"/>
    <w:rsid w:val="0049304B"/>
    <w:rsid w:val="004941D8"/>
    <w:rsid w:val="00494509"/>
    <w:rsid w:val="0049563A"/>
    <w:rsid w:val="00495935"/>
    <w:rsid w:val="00496E41"/>
    <w:rsid w:val="004975AE"/>
    <w:rsid w:val="004A1C8E"/>
    <w:rsid w:val="004A2306"/>
    <w:rsid w:val="004A3EEE"/>
    <w:rsid w:val="004A4D5B"/>
    <w:rsid w:val="004A5209"/>
    <w:rsid w:val="004A5344"/>
    <w:rsid w:val="004A714C"/>
    <w:rsid w:val="004A7B70"/>
    <w:rsid w:val="004A7F9F"/>
    <w:rsid w:val="004B01D3"/>
    <w:rsid w:val="004B0326"/>
    <w:rsid w:val="004B0B3A"/>
    <w:rsid w:val="004B36FC"/>
    <w:rsid w:val="004B4865"/>
    <w:rsid w:val="004B5381"/>
    <w:rsid w:val="004B5C4B"/>
    <w:rsid w:val="004B63CB"/>
    <w:rsid w:val="004B6CF7"/>
    <w:rsid w:val="004C1DAA"/>
    <w:rsid w:val="004C28BA"/>
    <w:rsid w:val="004C4A0A"/>
    <w:rsid w:val="004C5245"/>
    <w:rsid w:val="004C7184"/>
    <w:rsid w:val="004C72F5"/>
    <w:rsid w:val="004D1E60"/>
    <w:rsid w:val="004D4042"/>
    <w:rsid w:val="004D4862"/>
    <w:rsid w:val="004D4ABC"/>
    <w:rsid w:val="004D4B2F"/>
    <w:rsid w:val="004D614E"/>
    <w:rsid w:val="004D75A7"/>
    <w:rsid w:val="004E1FFE"/>
    <w:rsid w:val="004E511B"/>
    <w:rsid w:val="004F2B08"/>
    <w:rsid w:val="004F35EB"/>
    <w:rsid w:val="004F4ED5"/>
    <w:rsid w:val="004F500B"/>
    <w:rsid w:val="004F7060"/>
    <w:rsid w:val="004F7D13"/>
    <w:rsid w:val="00500947"/>
    <w:rsid w:val="00501803"/>
    <w:rsid w:val="00501938"/>
    <w:rsid w:val="0050240B"/>
    <w:rsid w:val="00502C37"/>
    <w:rsid w:val="00503E40"/>
    <w:rsid w:val="005064E7"/>
    <w:rsid w:val="005070AE"/>
    <w:rsid w:val="0050786D"/>
    <w:rsid w:val="00507F3D"/>
    <w:rsid w:val="0051057F"/>
    <w:rsid w:val="00511DAB"/>
    <w:rsid w:val="005122CF"/>
    <w:rsid w:val="00512851"/>
    <w:rsid w:val="00512D1F"/>
    <w:rsid w:val="005135E1"/>
    <w:rsid w:val="00513A0F"/>
    <w:rsid w:val="005140DE"/>
    <w:rsid w:val="00517657"/>
    <w:rsid w:val="00517EE2"/>
    <w:rsid w:val="00520ECE"/>
    <w:rsid w:val="00521F07"/>
    <w:rsid w:val="00522409"/>
    <w:rsid w:val="0052299F"/>
    <w:rsid w:val="00522EEB"/>
    <w:rsid w:val="0052338A"/>
    <w:rsid w:val="00524824"/>
    <w:rsid w:val="00524A0B"/>
    <w:rsid w:val="00525C87"/>
    <w:rsid w:val="00527C87"/>
    <w:rsid w:val="005305DD"/>
    <w:rsid w:val="005317E1"/>
    <w:rsid w:val="005334D5"/>
    <w:rsid w:val="00533F26"/>
    <w:rsid w:val="00534BB5"/>
    <w:rsid w:val="00534D8E"/>
    <w:rsid w:val="005358A6"/>
    <w:rsid w:val="00537800"/>
    <w:rsid w:val="0054013B"/>
    <w:rsid w:val="00541FC3"/>
    <w:rsid w:val="00542BF3"/>
    <w:rsid w:val="00542E07"/>
    <w:rsid w:val="00543DF7"/>
    <w:rsid w:val="00544B7E"/>
    <w:rsid w:val="005455A8"/>
    <w:rsid w:val="00546063"/>
    <w:rsid w:val="00546D68"/>
    <w:rsid w:val="00547862"/>
    <w:rsid w:val="00547C10"/>
    <w:rsid w:val="00552D9B"/>
    <w:rsid w:val="00552FBB"/>
    <w:rsid w:val="005539D1"/>
    <w:rsid w:val="00554824"/>
    <w:rsid w:val="00556BAB"/>
    <w:rsid w:val="00556C5A"/>
    <w:rsid w:val="0055703C"/>
    <w:rsid w:val="00557DE2"/>
    <w:rsid w:val="00560A40"/>
    <w:rsid w:val="005611BD"/>
    <w:rsid w:val="005613B1"/>
    <w:rsid w:val="005630B6"/>
    <w:rsid w:val="005631B3"/>
    <w:rsid w:val="005633CA"/>
    <w:rsid w:val="005649E3"/>
    <w:rsid w:val="005702CE"/>
    <w:rsid w:val="005709EF"/>
    <w:rsid w:val="00570F9F"/>
    <w:rsid w:val="005712A4"/>
    <w:rsid w:val="00571864"/>
    <w:rsid w:val="005719F5"/>
    <w:rsid w:val="005733FB"/>
    <w:rsid w:val="00575169"/>
    <w:rsid w:val="00575FA8"/>
    <w:rsid w:val="0057603F"/>
    <w:rsid w:val="0057636E"/>
    <w:rsid w:val="005804B9"/>
    <w:rsid w:val="00580CDA"/>
    <w:rsid w:val="00581B97"/>
    <w:rsid w:val="00582E66"/>
    <w:rsid w:val="00585D0A"/>
    <w:rsid w:val="00586113"/>
    <w:rsid w:val="00586549"/>
    <w:rsid w:val="00587A3F"/>
    <w:rsid w:val="00590E0C"/>
    <w:rsid w:val="00591C1E"/>
    <w:rsid w:val="00592003"/>
    <w:rsid w:val="00595210"/>
    <w:rsid w:val="00597E93"/>
    <w:rsid w:val="005A0154"/>
    <w:rsid w:val="005A1A51"/>
    <w:rsid w:val="005A5068"/>
    <w:rsid w:val="005A50CE"/>
    <w:rsid w:val="005A614F"/>
    <w:rsid w:val="005A748F"/>
    <w:rsid w:val="005B0567"/>
    <w:rsid w:val="005B0598"/>
    <w:rsid w:val="005B1233"/>
    <w:rsid w:val="005B1291"/>
    <w:rsid w:val="005B1355"/>
    <w:rsid w:val="005B15D3"/>
    <w:rsid w:val="005B3242"/>
    <w:rsid w:val="005B5A32"/>
    <w:rsid w:val="005B5EE3"/>
    <w:rsid w:val="005B5FD1"/>
    <w:rsid w:val="005B6455"/>
    <w:rsid w:val="005B6F1F"/>
    <w:rsid w:val="005C055A"/>
    <w:rsid w:val="005C0779"/>
    <w:rsid w:val="005C0BD1"/>
    <w:rsid w:val="005C2338"/>
    <w:rsid w:val="005C3BE4"/>
    <w:rsid w:val="005C48D5"/>
    <w:rsid w:val="005D0746"/>
    <w:rsid w:val="005D0E91"/>
    <w:rsid w:val="005D2ECF"/>
    <w:rsid w:val="005D4F54"/>
    <w:rsid w:val="005D54BF"/>
    <w:rsid w:val="005D6966"/>
    <w:rsid w:val="005D6EA0"/>
    <w:rsid w:val="005E1536"/>
    <w:rsid w:val="005E1BD9"/>
    <w:rsid w:val="005E21FE"/>
    <w:rsid w:val="005E3D7A"/>
    <w:rsid w:val="005E48F5"/>
    <w:rsid w:val="005E58E6"/>
    <w:rsid w:val="005F1716"/>
    <w:rsid w:val="005F1F6A"/>
    <w:rsid w:val="005F244E"/>
    <w:rsid w:val="005F2A53"/>
    <w:rsid w:val="005F4825"/>
    <w:rsid w:val="005F512F"/>
    <w:rsid w:val="005F5BB0"/>
    <w:rsid w:val="005F70C0"/>
    <w:rsid w:val="005F7BC3"/>
    <w:rsid w:val="006009F8"/>
    <w:rsid w:val="00601739"/>
    <w:rsid w:val="00603EAF"/>
    <w:rsid w:val="00604DEF"/>
    <w:rsid w:val="006071D2"/>
    <w:rsid w:val="006071EE"/>
    <w:rsid w:val="0061079A"/>
    <w:rsid w:val="006121A9"/>
    <w:rsid w:val="0061452B"/>
    <w:rsid w:val="006155EA"/>
    <w:rsid w:val="006178CC"/>
    <w:rsid w:val="0062299C"/>
    <w:rsid w:val="00622F95"/>
    <w:rsid w:val="006234FC"/>
    <w:rsid w:val="00623D77"/>
    <w:rsid w:val="00624D90"/>
    <w:rsid w:val="00624E30"/>
    <w:rsid w:val="006279EB"/>
    <w:rsid w:val="0063104D"/>
    <w:rsid w:val="006316A0"/>
    <w:rsid w:val="006322FF"/>
    <w:rsid w:val="00633A01"/>
    <w:rsid w:val="00634907"/>
    <w:rsid w:val="00637381"/>
    <w:rsid w:val="0064257B"/>
    <w:rsid w:val="00642A3F"/>
    <w:rsid w:val="0064305A"/>
    <w:rsid w:val="00643ED5"/>
    <w:rsid w:val="00644A10"/>
    <w:rsid w:val="00645B4D"/>
    <w:rsid w:val="00645FE8"/>
    <w:rsid w:val="00646801"/>
    <w:rsid w:val="00646D74"/>
    <w:rsid w:val="006473F7"/>
    <w:rsid w:val="00647814"/>
    <w:rsid w:val="00651C4B"/>
    <w:rsid w:val="00652D43"/>
    <w:rsid w:val="00652EBA"/>
    <w:rsid w:val="00653362"/>
    <w:rsid w:val="0065452D"/>
    <w:rsid w:val="0065463B"/>
    <w:rsid w:val="00655781"/>
    <w:rsid w:val="00656652"/>
    <w:rsid w:val="00657344"/>
    <w:rsid w:val="00660BB3"/>
    <w:rsid w:val="006616F0"/>
    <w:rsid w:val="0066246A"/>
    <w:rsid w:val="00664AEA"/>
    <w:rsid w:val="00665286"/>
    <w:rsid w:val="00666F1B"/>
    <w:rsid w:val="0067114E"/>
    <w:rsid w:val="00671415"/>
    <w:rsid w:val="00671986"/>
    <w:rsid w:val="006726A0"/>
    <w:rsid w:val="00673FAD"/>
    <w:rsid w:val="00675EA4"/>
    <w:rsid w:val="0067628F"/>
    <w:rsid w:val="00677363"/>
    <w:rsid w:val="006776B9"/>
    <w:rsid w:val="0068008C"/>
    <w:rsid w:val="0068195F"/>
    <w:rsid w:val="00681E09"/>
    <w:rsid w:val="0068354C"/>
    <w:rsid w:val="00693CA3"/>
    <w:rsid w:val="006965BA"/>
    <w:rsid w:val="00696C9B"/>
    <w:rsid w:val="00696DB9"/>
    <w:rsid w:val="006A146C"/>
    <w:rsid w:val="006A17F2"/>
    <w:rsid w:val="006A1B26"/>
    <w:rsid w:val="006A2504"/>
    <w:rsid w:val="006A27DF"/>
    <w:rsid w:val="006A45C7"/>
    <w:rsid w:val="006A52D5"/>
    <w:rsid w:val="006A5BDC"/>
    <w:rsid w:val="006A609D"/>
    <w:rsid w:val="006A64B1"/>
    <w:rsid w:val="006A6C73"/>
    <w:rsid w:val="006A708D"/>
    <w:rsid w:val="006A7B07"/>
    <w:rsid w:val="006B02F3"/>
    <w:rsid w:val="006B1382"/>
    <w:rsid w:val="006B2BE2"/>
    <w:rsid w:val="006B3195"/>
    <w:rsid w:val="006B484C"/>
    <w:rsid w:val="006B4C28"/>
    <w:rsid w:val="006B52EC"/>
    <w:rsid w:val="006B5947"/>
    <w:rsid w:val="006C27F2"/>
    <w:rsid w:val="006C2A70"/>
    <w:rsid w:val="006C559F"/>
    <w:rsid w:val="006C6561"/>
    <w:rsid w:val="006C670C"/>
    <w:rsid w:val="006D1EF2"/>
    <w:rsid w:val="006D4815"/>
    <w:rsid w:val="006D57C2"/>
    <w:rsid w:val="006D57C9"/>
    <w:rsid w:val="006D6013"/>
    <w:rsid w:val="006D656C"/>
    <w:rsid w:val="006D7524"/>
    <w:rsid w:val="006E0D9C"/>
    <w:rsid w:val="006E1666"/>
    <w:rsid w:val="006E2821"/>
    <w:rsid w:val="006E2DA1"/>
    <w:rsid w:val="006E5455"/>
    <w:rsid w:val="006E5C28"/>
    <w:rsid w:val="006E5E49"/>
    <w:rsid w:val="006E603E"/>
    <w:rsid w:val="006E6B47"/>
    <w:rsid w:val="006E713E"/>
    <w:rsid w:val="006F0C4B"/>
    <w:rsid w:val="006F2761"/>
    <w:rsid w:val="006F4969"/>
    <w:rsid w:val="006F51AA"/>
    <w:rsid w:val="006F5BA1"/>
    <w:rsid w:val="00700016"/>
    <w:rsid w:val="00701A2C"/>
    <w:rsid w:val="00702FC7"/>
    <w:rsid w:val="00705FDE"/>
    <w:rsid w:val="0070618D"/>
    <w:rsid w:val="00710233"/>
    <w:rsid w:val="007104C1"/>
    <w:rsid w:val="0071396C"/>
    <w:rsid w:val="00713CD4"/>
    <w:rsid w:val="00714819"/>
    <w:rsid w:val="00714FCF"/>
    <w:rsid w:val="00715244"/>
    <w:rsid w:val="007178AB"/>
    <w:rsid w:val="00720D1F"/>
    <w:rsid w:val="00724A2F"/>
    <w:rsid w:val="007259E4"/>
    <w:rsid w:val="0072714A"/>
    <w:rsid w:val="007301C9"/>
    <w:rsid w:val="00730A5E"/>
    <w:rsid w:val="00731304"/>
    <w:rsid w:val="007328C5"/>
    <w:rsid w:val="007335BC"/>
    <w:rsid w:val="007339ED"/>
    <w:rsid w:val="00735817"/>
    <w:rsid w:val="00736C7B"/>
    <w:rsid w:val="007370E1"/>
    <w:rsid w:val="00737C78"/>
    <w:rsid w:val="00740C87"/>
    <w:rsid w:val="00741E07"/>
    <w:rsid w:val="00743709"/>
    <w:rsid w:val="00743DB4"/>
    <w:rsid w:val="00745DB5"/>
    <w:rsid w:val="0075149A"/>
    <w:rsid w:val="007516DF"/>
    <w:rsid w:val="007549DD"/>
    <w:rsid w:val="00754AF6"/>
    <w:rsid w:val="00756449"/>
    <w:rsid w:val="007615E3"/>
    <w:rsid w:val="00761869"/>
    <w:rsid w:val="00761C61"/>
    <w:rsid w:val="00764AFE"/>
    <w:rsid w:val="00764B88"/>
    <w:rsid w:val="007666D5"/>
    <w:rsid w:val="00774646"/>
    <w:rsid w:val="00775FA7"/>
    <w:rsid w:val="00776203"/>
    <w:rsid w:val="00782482"/>
    <w:rsid w:val="007837E3"/>
    <w:rsid w:val="00784507"/>
    <w:rsid w:val="00786C6D"/>
    <w:rsid w:val="00786DA6"/>
    <w:rsid w:val="00787E89"/>
    <w:rsid w:val="00791495"/>
    <w:rsid w:val="00793338"/>
    <w:rsid w:val="00793E83"/>
    <w:rsid w:val="00794AC1"/>
    <w:rsid w:val="007954B2"/>
    <w:rsid w:val="00795BBD"/>
    <w:rsid w:val="00796A8E"/>
    <w:rsid w:val="007974F1"/>
    <w:rsid w:val="007A1085"/>
    <w:rsid w:val="007A2284"/>
    <w:rsid w:val="007A28D6"/>
    <w:rsid w:val="007A4657"/>
    <w:rsid w:val="007A50E6"/>
    <w:rsid w:val="007B008F"/>
    <w:rsid w:val="007B1449"/>
    <w:rsid w:val="007B3E28"/>
    <w:rsid w:val="007B69EC"/>
    <w:rsid w:val="007B6DFC"/>
    <w:rsid w:val="007C04FC"/>
    <w:rsid w:val="007C0D82"/>
    <w:rsid w:val="007C1054"/>
    <w:rsid w:val="007C1481"/>
    <w:rsid w:val="007C1505"/>
    <w:rsid w:val="007C15D7"/>
    <w:rsid w:val="007C209F"/>
    <w:rsid w:val="007C20A1"/>
    <w:rsid w:val="007C3991"/>
    <w:rsid w:val="007C7524"/>
    <w:rsid w:val="007D01D0"/>
    <w:rsid w:val="007D4CF9"/>
    <w:rsid w:val="007D5472"/>
    <w:rsid w:val="007D6F07"/>
    <w:rsid w:val="007D7E4D"/>
    <w:rsid w:val="007E04FF"/>
    <w:rsid w:val="007E0BB9"/>
    <w:rsid w:val="007E0D85"/>
    <w:rsid w:val="007E159F"/>
    <w:rsid w:val="007E18F8"/>
    <w:rsid w:val="007E3276"/>
    <w:rsid w:val="007E3432"/>
    <w:rsid w:val="007E3560"/>
    <w:rsid w:val="007E4BDF"/>
    <w:rsid w:val="007E7AF0"/>
    <w:rsid w:val="007F0152"/>
    <w:rsid w:val="007F0E94"/>
    <w:rsid w:val="007F14F3"/>
    <w:rsid w:val="007F1926"/>
    <w:rsid w:val="007F3209"/>
    <w:rsid w:val="007F346C"/>
    <w:rsid w:val="007F7228"/>
    <w:rsid w:val="00800865"/>
    <w:rsid w:val="00800A59"/>
    <w:rsid w:val="00802A3E"/>
    <w:rsid w:val="00803C08"/>
    <w:rsid w:val="00807E06"/>
    <w:rsid w:val="008101E4"/>
    <w:rsid w:val="00810645"/>
    <w:rsid w:val="00810FAF"/>
    <w:rsid w:val="008123D7"/>
    <w:rsid w:val="008160D9"/>
    <w:rsid w:val="008172C0"/>
    <w:rsid w:val="00817D10"/>
    <w:rsid w:val="00817E66"/>
    <w:rsid w:val="00817F08"/>
    <w:rsid w:val="008212D0"/>
    <w:rsid w:val="00823B63"/>
    <w:rsid w:val="00824BFA"/>
    <w:rsid w:val="00825AD5"/>
    <w:rsid w:val="008313EB"/>
    <w:rsid w:val="008342D1"/>
    <w:rsid w:val="00836828"/>
    <w:rsid w:val="008378AA"/>
    <w:rsid w:val="008378BA"/>
    <w:rsid w:val="00837A4B"/>
    <w:rsid w:val="00840797"/>
    <w:rsid w:val="008409C7"/>
    <w:rsid w:val="00841C6A"/>
    <w:rsid w:val="00842621"/>
    <w:rsid w:val="008429AF"/>
    <w:rsid w:val="00843F2B"/>
    <w:rsid w:val="00846684"/>
    <w:rsid w:val="00846DB0"/>
    <w:rsid w:val="008472D2"/>
    <w:rsid w:val="008500E3"/>
    <w:rsid w:val="0085025C"/>
    <w:rsid w:val="00852AE0"/>
    <w:rsid w:val="008531FF"/>
    <w:rsid w:val="00855AE7"/>
    <w:rsid w:val="00855D77"/>
    <w:rsid w:val="00856CDD"/>
    <w:rsid w:val="008573D4"/>
    <w:rsid w:val="00860A93"/>
    <w:rsid w:val="00861225"/>
    <w:rsid w:val="0086122C"/>
    <w:rsid w:val="008627EC"/>
    <w:rsid w:val="00862D61"/>
    <w:rsid w:val="00863920"/>
    <w:rsid w:val="0086566B"/>
    <w:rsid w:val="00866A63"/>
    <w:rsid w:val="0087017D"/>
    <w:rsid w:val="0087453B"/>
    <w:rsid w:val="00874787"/>
    <w:rsid w:val="00875080"/>
    <w:rsid w:val="008758F8"/>
    <w:rsid w:val="00875BA0"/>
    <w:rsid w:val="00876B45"/>
    <w:rsid w:val="00876E08"/>
    <w:rsid w:val="00876EC6"/>
    <w:rsid w:val="00876FE2"/>
    <w:rsid w:val="00877237"/>
    <w:rsid w:val="008812C7"/>
    <w:rsid w:val="008813CF"/>
    <w:rsid w:val="00882847"/>
    <w:rsid w:val="008830BF"/>
    <w:rsid w:val="00883E8F"/>
    <w:rsid w:val="00884475"/>
    <w:rsid w:val="00885CFB"/>
    <w:rsid w:val="0088605B"/>
    <w:rsid w:val="00890FC9"/>
    <w:rsid w:val="00891D9D"/>
    <w:rsid w:val="008924AE"/>
    <w:rsid w:val="00892566"/>
    <w:rsid w:val="00893BC4"/>
    <w:rsid w:val="00893CDA"/>
    <w:rsid w:val="008943AB"/>
    <w:rsid w:val="008A0254"/>
    <w:rsid w:val="008A416A"/>
    <w:rsid w:val="008A5799"/>
    <w:rsid w:val="008A6A75"/>
    <w:rsid w:val="008B0B8D"/>
    <w:rsid w:val="008B0E2B"/>
    <w:rsid w:val="008B20D1"/>
    <w:rsid w:val="008B252C"/>
    <w:rsid w:val="008B514D"/>
    <w:rsid w:val="008B5978"/>
    <w:rsid w:val="008B75DD"/>
    <w:rsid w:val="008B7D85"/>
    <w:rsid w:val="008B7EBB"/>
    <w:rsid w:val="008C123F"/>
    <w:rsid w:val="008C3E51"/>
    <w:rsid w:val="008C4E9E"/>
    <w:rsid w:val="008C60A6"/>
    <w:rsid w:val="008D0409"/>
    <w:rsid w:val="008D170F"/>
    <w:rsid w:val="008D2F81"/>
    <w:rsid w:val="008D3E5D"/>
    <w:rsid w:val="008D46DF"/>
    <w:rsid w:val="008D5075"/>
    <w:rsid w:val="008E0F63"/>
    <w:rsid w:val="008E112E"/>
    <w:rsid w:val="008E1D14"/>
    <w:rsid w:val="008E2D92"/>
    <w:rsid w:val="008E351A"/>
    <w:rsid w:val="008E369C"/>
    <w:rsid w:val="008E3B4D"/>
    <w:rsid w:val="008E3D35"/>
    <w:rsid w:val="008E5498"/>
    <w:rsid w:val="008E5BDD"/>
    <w:rsid w:val="008E74B7"/>
    <w:rsid w:val="008E7DAC"/>
    <w:rsid w:val="008F1DE6"/>
    <w:rsid w:val="008F2FA6"/>
    <w:rsid w:val="008F3490"/>
    <w:rsid w:val="008F52A8"/>
    <w:rsid w:val="0090147C"/>
    <w:rsid w:val="00902EC9"/>
    <w:rsid w:val="00903024"/>
    <w:rsid w:val="0090406D"/>
    <w:rsid w:val="009044BB"/>
    <w:rsid w:val="0090496D"/>
    <w:rsid w:val="00905134"/>
    <w:rsid w:val="00907174"/>
    <w:rsid w:val="00907402"/>
    <w:rsid w:val="00907BAD"/>
    <w:rsid w:val="00907C45"/>
    <w:rsid w:val="00912A38"/>
    <w:rsid w:val="00913419"/>
    <w:rsid w:val="009143BB"/>
    <w:rsid w:val="0091459E"/>
    <w:rsid w:val="0091496E"/>
    <w:rsid w:val="00914DC7"/>
    <w:rsid w:val="00915D9F"/>
    <w:rsid w:val="00916CFF"/>
    <w:rsid w:val="00920705"/>
    <w:rsid w:val="00922123"/>
    <w:rsid w:val="009239D9"/>
    <w:rsid w:val="009246FD"/>
    <w:rsid w:val="00925E3E"/>
    <w:rsid w:val="009271FB"/>
    <w:rsid w:val="00927F16"/>
    <w:rsid w:val="009318AC"/>
    <w:rsid w:val="00932B7D"/>
    <w:rsid w:val="00933A27"/>
    <w:rsid w:val="00936595"/>
    <w:rsid w:val="00940C20"/>
    <w:rsid w:val="00940D73"/>
    <w:rsid w:val="009415DF"/>
    <w:rsid w:val="009427EB"/>
    <w:rsid w:val="0094465E"/>
    <w:rsid w:val="00950A18"/>
    <w:rsid w:val="00950B0C"/>
    <w:rsid w:val="00951C1F"/>
    <w:rsid w:val="00952013"/>
    <w:rsid w:val="00952D36"/>
    <w:rsid w:val="009543A7"/>
    <w:rsid w:val="009550EA"/>
    <w:rsid w:val="00955918"/>
    <w:rsid w:val="00955B25"/>
    <w:rsid w:val="00955F99"/>
    <w:rsid w:val="009560B5"/>
    <w:rsid w:val="00956333"/>
    <w:rsid w:val="00961431"/>
    <w:rsid w:val="009641E3"/>
    <w:rsid w:val="00964E03"/>
    <w:rsid w:val="00964E1F"/>
    <w:rsid w:val="00964EAB"/>
    <w:rsid w:val="00965BD4"/>
    <w:rsid w:val="009662E7"/>
    <w:rsid w:val="00967589"/>
    <w:rsid w:val="00970CFF"/>
    <w:rsid w:val="00972E56"/>
    <w:rsid w:val="00973037"/>
    <w:rsid w:val="00973978"/>
    <w:rsid w:val="009755E0"/>
    <w:rsid w:val="0097578B"/>
    <w:rsid w:val="0097657B"/>
    <w:rsid w:val="00976F17"/>
    <w:rsid w:val="009774F0"/>
    <w:rsid w:val="00980094"/>
    <w:rsid w:val="00980CED"/>
    <w:rsid w:val="00980E4B"/>
    <w:rsid w:val="00985F7F"/>
    <w:rsid w:val="009863EE"/>
    <w:rsid w:val="00990ADE"/>
    <w:rsid w:val="00991668"/>
    <w:rsid w:val="00993AD6"/>
    <w:rsid w:val="009952C4"/>
    <w:rsid w:val="0099795F"/>
    <w:rsid w:val="009979F7"/>
    <w:rsid w:val="009A0EFF"/>
    <w:rsid w:val="009A16F5"/>
    <w:rsid w:val="009A1EA6"/>
    <w:rsid w:val="009A2DEE"/>
    <w:rsid w:val="009A5A2F"/>
    <w:rsid w:val="009A6BB4"/>
    <w:rsid w:val="009B2CDB"/>
    <w:rsid w:val="009B4204"/>
    <w:rsid w:val="009B4DF6"/>
    <w:rsid w:val="009B51CF"/>
    <w:rsid w:val="009B5563"/>
    <w:rsid w:val="009B5E93"/>
    <w:rsid w:val="009C0149"/>
    <w:rsid w:val="009C0476"/>
    <w:rsid w:val="009C468D"/>
    <w:rsid w:val="009C4D4E"/>
    <w:rsid w:val="009C5BC6"/>
    <w:rsid w:val="009C639D"/>
    <w:rsid w:val="009C696C"/>
    <w:rsid w:val="009D0B24"/>
    <w:rsid w:val="009D230C"/>
    <w:rsid w:val="009D3102"/>
    <w:rsid w:val="009D3CFC"/>
    <w:rsid w:val="009D4017"/>
    <w:rsid w:val="009D4D02"/>
    <w:rsid w:val="009D506B"/>
    <w:rsid w:val="009E1677"/>
    <w:rsid w:val="009E445F"/>
    <w:rsid w:val="009E556B"/>
    <w:rsid w:val="009E6A35"/>
    <w:rsid w:val="009F047F"/>
    <w:rsid w:val="009F15C5"/>
    <w:rsid w:val="009F46AB"/>
    <w:rsid w:val="009F6096"/>
    <w:rsid w:val="009F6114"/>
    <w:rsid w:val="009F6683"/>
    <w:rsid w:val="009F71CB"/>
    <w:rsid w:val="00A00350"/>
    <w:rsid w:val="00A01CB1"/>
    <w:rsid w:val="00A03593"/>
    <w:rsid w:val="00A03872"/>
    <w:rsid w:val="00A03F4B"/>
    <w:rsid w:val="00A04D89"/>
    <w:rsid w:val="00A05517"/>
    <w:rsid w:val="00A118D0"/>
    <w:rsid w:val="00A123EA"/>
    <w:rsid w:val="00A148E6"/>
    <w:rsid w:val="00A15B63"/>
    <w:rsid w:val="00A16849"/>
    <w:rsid w:val="00A20747"/>
    <w:rsid w:val="00A22B88"/>
    <w:rsid w:val="00A24197"/>
    <w:rsid w:val="00A24935"/>
    <w:rsid w:val="00A26BB3"/>
    <w:rsid w:val="00A27A09"/>
    <w:rsid w:val="00A307A6"/>
    <w:rsid w:val="00A30843"/>
    <w:rsid w:val="00A310A8"/>
    <w:rsid w:val="00A31CA5"/>
    <w:rsid w:val="00A323D6"/>
    <w:rsid w:val="00A32BEB"/>
    <w:rsid w:val="00A330A0"/>
    <w:rsid w:val="00A332C1"/>
    <w:rsid w:val="00A33C05"/>
    <w:rsid w:val="00A34523"/>
    <w:rsid w:val="00A34E3A"/>
    <w:rsid w:val="00A36AD4"/>
    <w:rsid w:val="00A37EEE"/>
    <w:rsid w:val="00A405A2"/>
    <w:rsid w:val="00A4329F"/>
    <w:rsid w:val="00A43640"/>
    <w:rsid w:val="00A4364B"/>
    <w:rsid w:val="00A43DF9"/>
    <w:rsid w:val="00A46604"/>
    <w:rsid w:val="00A469BB"/>
    <w:rsid w:val="00A478F3"/>
    <w:rsid w:val="00A47AA0"/>
    <w:rsid w:val="00A52723"/>
    <w:rsid w:val="00A527F4"/>
    <w:rsid w:val="00A56A2D"/>
    <w:rsid w:val="00A57C82"/>
    <w:rsid w:val="00A603FD"/>
    <w:rsid w:val="00A604EF"/>
    <w:rsid w:val="00A60680"/>
    <w:rsid w:val="00A609D1"/>
    <w:rsid w:val="00A613D1"/>
    <w:rsid w:val="00A627BE"/>
    <w:rsid w:val="00A65EF4"/>
    <w:rsid w:val="00A66F98"/>
    <w:rsid w:val="00A6765B"/>
    <w:rsid w:val="00A67660"/>
    <w:rsid w:val="00A7068D"/>
    <w:rsid w:val="00A71102"/>
    <w:rsid w:val="00A724D2"/>
    <w:rsid w:val="00A73693"/>
    <w:rsid w:val="00A74372"/>
    <w:rsid w:val="00A74F4E"/>
    <w:rsid w:val="00A756EB"/>
    <w:rsid w:val="00A7629D"/>
    <w:rsid w:val="00A77AF4"/>
    <w:rsid w:val="00A802B4"/>
    <w:rsid w:val="00A815EC"/>
    <w:rsid w:val="00A8162A"/>
    <w:rsid w:val="00A817AD"/>
    <w:rsid w:val="00A81925"/>
    <w:rsid w:val="00A81CFE"/>
    <w:rsid w:val="00A824B6"/>
    <w:rsid w:val="00A83A3A"/>
    <w:rsid w:val="00A83DD1"/>
    <w:rsid w:val="00A8581B"/>
    <w:rsid w:val="00A85855"/>
    <w:rsid w:val="00A8776D"/>
    <w:rsid w:val="00A934E2"/>
    <w:rsid w:val="00A94298"/>
    <w:rsid w:val="00A94696"/>
    <w:rsid w:val="00A9586D"/>
    <w:rsid w:val="00A95F66"/>
    <w:rsid w:val="00A96B5F"/>
    <w:rsid w:val="00A9716E"/>
    <w:rsid w:val="00A97242"/>
    <w:rsid w:val="00AA0289"/>
    <w:rsid w:val="00AA1BA9"/>
    <w:rsid w:val="00AA31CA"/>
    <w:rsid w:val="00AA32C7"/>
    <w:rsid w:val="00AA4601"/>
    <w:rsid w:val="00AB019B"/>
    <w:rsid w:val="00AB056F"/>
    <w:rsid w:val="00AB09E6"/>
    <w:rsid w:val="00AB30B7"/>
    <w:rsid w:val="00AB3B96"/>
    <w:rsid w:val="00AB3F20"/>
    <w:rsid w:val="00AB59DA"/>
    <w:rsid w:val="00AB5C6E"/>
    <w:rsid w:val="00AB691F"/>
    <w:rsid w:val="00AB6EE6"/>
    <w:rsid w:val="00AB70BC"/>
    <w:rsid w:val="00AC09F0"/>
    <w:rsid w:val="00AC0E73"/>
    <w:rsid w:val="00AC18B0"/>
    <w:rsid w:val="00AC19A4"/>
    <w:rsid w:val="00AC2750"/>
    <w:rsid w:val="00AC286C"/>
    <w:rsid w:val="00AC2876"/>
    <w:rsid w:val="00AC2CCC"/>
    <w:rsid w:val="00AC3EF5"/>
    <w:rsid w:val="00AC5C40"/>
    <w:rsid w:val="00AC5C58"/>
    <w:rsid w:val="00AC62CD"/>
    <w:rsid w:val="00AC662D"/>
    <w:rsid w:val="00AC69D7"/>
    <w:rsid w:val="00AC7633"/>
    <w:rsid w:val="00AD0F42"/>
    <w:rsid w:val="00AD29CA"/>
    <w:rsid w:val="00AD34BA"/>
    <w:rsid w:val="00AD34BB"/>
    <w:rsid w:val="00AE0B70"/>
    <w:rsid w:val="00AE2D9A"/>
    <w:rsid w:val="00AE31A5"/>
    <w:rsid w:val="00AE476A"/>
    <w:rsid w:val="00AE6BE9"/>
    <w:rsid w:val="00AF01FD"/>
    <w:rsid w:val="00AF0EA5"/>
    <w:rsid w:val="00AF1D91"/>
    <w:rsid w:val="00AF1EFE"/>
    <w:rsid w:val="00B00DAA"/>
    <w:rsid w:val="00B028C8"/>
    <w:rsid w:val="00B03016"/>
    <w:rsid w:val="00B038F4"/>
    <w:rsid w:val="00B03FE3"/>
    <w:rsid w:val="00B07017"/>
    <w:rsid w:val="00B075B0"/>
    <w:rsid w:val="00B1186E"/>
    <w:rsid w:val="00B12610"/>
    <w:rsid w:val="00B13F07"/>
    <w:rsid w:val="00B15160"/>
    <w:rsid w:val="00B16A7E"/>
    <w:rsid w:val="00B16D15"/>
    <w:rsid w:val="00B16EE8"/>
    <w:rsid w:val="00B16F02"/>
    <w:rsid w:val="00B17C30"/>
    <w:rsid w:val="00B17C66"/>
    <w:rsid w:val="00B2049A"/>
    <w:rsid w:val="00B2236C"/>
    <w:rsid w:val="00B2274E"/>
    <w:rsid w:val="00B2400E"/>
    <w:rsid w:val="00B26A67"/>
    <w:rsid w:val="00B26E42"/>
    <w:rsid w:val="00B318C7"/>
    <w:rsid w:val="00B31F49"/>
    <w:rsid w:val="00B332C5"/>
    <w:rsid w:val="00B34457"/>
    <w:rsid w:val="00B379EE"/>
    <w:rsid w:val="00B406FF"/>
    <w:rsid w:val="00B4133F"/>
    <w:rsid w:val="00B4371D"/>
    <w:rsid w:val="00B43969"/>
    <w:rsid w:val="00B44A1F"/>
    <w:rsid w:val="00B54367"/>
    <w:rsid w:val="00B54418"/>
    <w:rsid w:val="00B567E3"/>
    <w:rsid w:val="00B5762C"/>
    <w:rsid w:val="00B611C0"/>
    <w:rsid w:val="00B63784"/>
    <w:rsid w:val="00B6476E"/>
    <w:rsid w:val="00B6644E"/>
    <w:rsid w:val="00B70A8C"/>
    <w:rsid w:val="00B70D3C"/>
    <w:rsid w:val="00B71FAC"/>
    <w:rsid w:val="00B73952"/>
    <w:rsid w:val="00B7670A"/>
    <w:rsid w:val="00B77706"/>
    <w:rsid w:val="00B77DFD"/>
    <w:rsid w:val="00B80104"/>
    <w:rsid w:val="00B81513"/>
    <w:rsid w:val="00B83859"/>
    <w:rsid w:val="00B84665"/>
    <w:rsid w:val="00B85000"/>
    <w:rsid w:val="00B8537D"/>
    <w:rsid w:val="00B86CDB"/>
    <w:rsid w:val="00B87880"/>
    <w:rsid w:val="00B90737"/>
    <w:rsid w:val="00B9123A"/>
    <w:rsid w:val="00B91F90"/>
    <w:rsid w:val="00B938FD"/>
    <w:rsid w:val="00B94679"/>
    <w:rsid w:val="00BA0DF5"/>
    <w:rsid w:val="00BA1FCF"/>
    <w:rsid w:val="00BA2ABF"/>
    <w:rsid w:val="00BA5079"/>
    <w:rsid w:val="00BA622C"/>
    <w:rsid w:val="00BA7E52"/>
    <w:rsid w:val="00BB0549"/>
    <w:rsid w:val="00BB0BD6"/>
    <w:rsid w:val="00BB2B97"/>
    <w:rsid w:val="00BB3040"/>
    <w:rsid w:val="00BB44FA"/>
    <w:rsid w:val="00BB6F53"/>
    <w:rsid w:val="00BB7163"/>
    <w:rsid w:val="00BC13B6"/>
    <w:rsid w:val="00BC21D0"/>
    <w:rsid w:val="00BC3B67"/>
    <w:rsid w:val="00BC5BF3"/>
    <w:rsid w:val="00BC6338"/>
    <w:rsid w:val="00BC6682"/>
    <w:rsid w:val="00BD01F6"/>
    <w:rsid w:val="00BD169A"/>
    <w:rsid w:val="00BD16A9"/>
    <w:rsid w:val="00BD21F6"/>
    <w:rsid w:val="00BD3C57"/>
    <w:rsid w:val="00BD3E45"/>
    <w:rsid w:val="00BD3ECC"/>
    <w:rsid w:val="00BD44D4"/>
    <w:rsid w:val="00BD71C1"/>
    <w:rsid w:val="00BE20A2"/>
    <w:rsid w:val="00BE2A9F"/>
    <w:rsid w:val="00BF147F"/>
    <w:rsid w:val="00BF149B"/>
    <w:rsid w:val="00BF1687"/>
    <w:rsid w:val="00BF1C63"/>
    <w:rsid w:val="00BF21E7"/>
    <w:rsid w:val="00BF220F"/>
    <w:rsid w:val="00BF3AE4"/>
    <w:rsid w:val="00BF436A"/>
    <w:rsid w:val="00BF439E"/>
    <w:rsid w:val="00BF4BCE"/>
    <w:rsid w:val="00BF55EF"/>
    <w:rsid w:val="00BF5E59"/>
    <w:rsid w:val="00BF752F"/>
    <w:rsid w:val="00C01152"/>
    <w:rsid w:val="00C01A41"/>
    <w:rsid w:val="00C0201E"/>
    <w:rsid w:val="00C06F5D"/>
    <w:rsid w:val="00C07485"/>
    <w:rsid w:val="00C1026C"/>
    <w:rsid w:val="00C10F44"/>
    <w:rsid w:val="00C11777"/>
    <w:rsid w:val="00C12240"/>
    <w:rsid w:val="00C12F6B"/>
    <w:rsid w:val="00C13DD2"/>
    <w:rsid w:val="00C1716B"/>
    <w:rsid w:val="00C17C9C"/>
    <w:rsid w:val="00C22F2A"/>
    <w:rsid w:val="00C233DB"/>
    <w:rsid w:val="00C23486"/>
    <w:rsid w:val="00C23F5E"/>
    <w:rsid w:val="00C267FB"/>
    <w:rsid w:val="00C26EE9"/>
    <w:rsid w:val="00C2730A"/>
    <w:rsid w:val="00C275A0"/>
    <w:rsid w:val="00C27E9D"/>
    <w:rsid w:val="00C30086"/>
    <w:rsid w:val="00C30385"/>
    <w:rsid w:val="00C30B18"/>
    <w:rsid w:val="00C31441"/>
    <w:rsid w:val="00C31F9C"/>
    <w:rsid w:val="00C32332"/>
    <w:rsid w:val="00C34BA3"/>
    <w:rsid w:val="00C3567A"/>
    <w:rsid w:val="00C40B43"/>
    <w:rsid w:val="00C42866"/>
    <w:rsid w:val="00C4395E"/>
    <w:rsid w:val="00C43F28"/>
    <w:rsid w:val="00C47A82"/>
    <w:rsid w:val="00C51B0B"/>
    <w:rsid w:val="00C52BE5"/>
    <w:rsid w:val="00C53912"/>
    <w:rsid w:val="00C54165"/>
    <w:rsid w:val="00C54CAF"/>
    <w:rsid w:val="00C558F1"/>
    <w:rsid w:val="00C560F0"/>
    <w:rsid w:val="00C60F4E"/>
    <w:rsid w:val="00C626FF"/>
    <w:rsid w:val="00C63308"/>
    <w:rsid w:val="00C647FB"/>
    <w:rsid w:val="00C65446"/>
    <w:rsid w:val="00C6545B"/>
    <w:rsid w:val="00C66481"/>
    <w:rsid w:val="00C70C42"/>
    <w:rsid w:val="00C7161A"/>
    <w:rsid w:val="00C71BA4"/>
    <w:rsid w:val="00C7271F"/>
    <w:rsid w:val="00C72EB4"/>
    <w:rsid w:val="00C759B5"/>
    <w:rsid w:val="00C759C6"/>
    <w:rsid w:val="00C8153F"/>
    <w:rsid w:val="00C830A4"/>
    <w:rsid w:val="00C84DE8"/>
    <w:rsid w:val="00C859B5"/>
    <w:rsid w:val="00C85FA1"/>
    <w:rsid w:val="00C861D5"/>
    <w:rsid w:val="00C87EDD"/>
    <w:rsid w:val="00C90AC6"/>
    <w:rsid w:val="00C93804"/>
    <w:rsid w:val="00C94E49"/>
    <w:rsid w:val="00C95F6D"/>
    <w:rsid w:val="00C965C7"/>
    <w:rsid w:val="00C968B2"/>
    <w:rsid w:val="00CA030C"/>
    <w:rsid w:val="00CA0448"/>
    <w:rsid w:val="00CA149C"/>
    <w:rsid w:val="00CA604D"/>
    <w:rsid w:val="00CA6E82"/>
    <w:rsid w:val="00CB1503"/>
    <w:rsid w:val="00CB1C69"/>
    <w:rsid w:val="00CB1E23"/>
    <w:rsid w:val="00CB2E17"/>
    <w:rsid w:val="00CB63DC"/>
    <w:rsid w:val="00CB7CAB"/>
    <w:rsid w:val="00CC0195"/>
    <w:rsid w:val="00CC0CCE"/>
    <w:rsid w:val="00CC1209"/>
    <w:rsid w:val="00CC1ADC"/>
    <w:rsid w:val="00CC201C"/>
    <w:rsid w:val="00CC2722"/>
    <w:rsid w:val="00CC3B27"/>
    <w:rsid w:val="00CC45B2"/>
    <w:rsid w:val="00CC6604"/>
    <w:rsid w:val="00CC7C03"/>
    <w:rsid w:val="00CD02F6"/>
    <w:rsid w:val="00CD03A5"/>
    <w:rsid w:val="00CD072D"/>
    <w:rsid w:val="00CD0F06"/>
    <w:rsid w:val="00CD3151"/>
    <w:rsid w:val="00CD4BAD"/>
    <w:rsid w:val="00CD4C72"/>
    <w:rsid w:val="00CD6EAA"/>
    <w:rsid w:val="00CE0AA7"/>
    <w:rsid w:val="00CE1107"/>
    <w:rsid w:val="00CE3DF4"/>
    <w:rsid w:val="00CE7C74"/>
    <w:rsid w:val="00CF1DE1"/>
    <w:rsid w:val="00CF217E"/>
    <w:rsid w:val="00CF2839"/>
    <w:rsid w:val="00CF464E"/>
    <w:rsid w:val="00CF5307"/>
    <w:rsid w:val="00CF5E4C"/>
    <w:rsid w:val="00CF6ACA"/>
    <w:rsid w:val="00CF78BC"/>
    <w:rsid w:val="00D02E72"/>
    <w:rsid w:val="00D03B1E"/>
    <w:rsid w:val="00D06C2A"/>
    <w:rsid w:val="00D107F1"/>
    <w:rsid w:val="00D112D8"/>
    <w:rsid w:val="00D112E2"/>
    <w:rsid w:val="00D11743"/>
    <w:rsid w:val="00D12F71"/>
    <w:rsid w:val="00D156A5"/>
    <w:rsid w:val="00D15F55"/>
    <w:rsid w:val="00D16EE7"/>
    <w:rsid w:val="00D17798"/>
    <w:rsid w:val="00D17AC8"/>
    <w:rsid w:val="00D203E3"/>
    <w:rsid w:val="00D21A99"/>
    <w:rsid w:val="00D22AD1"/>
    <w:rsid w:val="00D24F4D"/>
    <w:rsid w:val="00D2511C"/>
    <w:rsid w:val="00D2735D"/>
    <w:rsid w:val="00D279A3"/>
    <w:rsid w:val="00D308A5"/>
    <w:rsid w:val="00D313AC"/>
    <w:rsid w:val="00D3150D"/>
    <w:rsid w:val="00D32712"/>
    <w:rsid w:val="00D32972"/>
    <w:rsid w:val="00D32A64"/>
    <w:rsid w:val="00D359AE"/>
    <w:rsid w:val="00D364E2"/>
    <w:rsid w:val="00D37CE1"/>
    <w:rsid w:val="00D4221D"/>
    <w:rsid w:val="00D433C6"/>
    <w:rsid w:val="00D440CC"/>
    <w:rsid w:val="00D457D6"/>
    <w:rsid w:val="00D45F33"/>
    <w:rsid w:val="00D46D24"/>
    <w:rsid w:val="00D47547"/>
    <w:rsid w:val="00D51655"/>
    <w:rsid w:val="00D522B0"/>
    <w:rsid w:val="00D543A0"/>
    <w:rsid w:val="00D54786"/>
    <w:rsid w:val="00D61FD1"/>
    <w:rsid w:val="00D628DE"/>
    <w:rsid w:val="00D631F8"/>
    <w:rsid w:val="00D63D17"/>
    <w:rsid w:val="00D64178"/>
    <w:rsid w:val="00D64757"/>
    <w:rsid w:val="00D705E8"/>
    <w:rsid w:val="00D72871"/>
    <w:rsid w:val="00D72900"/>
    <w:rsid w:val="00D72FB8"/>
    <w:rsid w:val="00D730D6"/>
    <w:rsid w:val="00D7643F"/>
    <w:rsid w:val="00D7646C"/>
    <w:rsid w:val="00D815A5"/>
    <w:rsid w:val="00D81BC7"/>
    <w:rsid w:val="00D833B7"/>
    <w:rsid w:val="00D8529E"/>
    <w:rsid w:val="00D85EB0"/>
    <w:rsid w:val="00D85ED4"/>
    <w:rsid w:val="00D86980"/>
    <w:rsid w:val="00D86CC9"/>
    <w:rsid w:val="00D90840"/>
    <w:rsid w:val="00D92F24"/>
    <w:rsid w:val="00D93330"/>
    <w:rsid w:val="00D94621"/>
    <w:rsid w:val="00D94744"/>
    <w:rsid w:val="00D94F72"/>
    <w:rsid w:val="00D978A8"/>
    <w:rsid w:val="00DA178E"/>
    <w:rsid w:val="00DA29D9"/>
    <w:rsid w:val="00DA34FD"/>
    <w:rsid w:val="00DA5576"/>
    <w:rsid w:val="00DA59D6"/>
    <w:rsid w:val="00DA6C12"/>
    <w:rsid w:val="00DA7025"/>
    <w:rsid w:val="00DA7DA9"/>
    <w:rsid w:val="00DB18A8"/>
    <w:rsid w:val="00DB1E89"/>
    <w:rsid w:val="00DB2BCD"/>
    <w:rsid w:val="00DB42BC"/>
    <w:rsid w:val="00DB42C1"/>
    <w:rsid w:val="00DB4B61"/>
    <w:rsid w:val="00DB6453"/>
    <w:rsid w:val="00DB66AA"/>
    <w:rsid w:val="00DC0E5E"/>
    <w:rsid w:val="00DC1027"/>
    <w:rsid w:val="00DC1104"/>
    <w:rsid w:val="00DC12D5"/>
    <w:rsid w:val="00DC1C12"/>
    <w:rsid w:val="00DC47B0"/>
    <w:rsid w:val="00DC48DB"/>
    <w:rsid w:val="00DC4D51"/>
    <w:rsid w:val="00DC6A03"/>
    <w:rsid w:val="00DC7EE3"/>
    <w:rsid w:val="00DD0A59"/>
    <w:rsid w:val="00DD1CB0"/>
    <w:rsid w:val="00DD21AC"/>
    <w:rsid w:val="00DD28B3"/>
    <w:rsid w:val="00DD2AA8"/>
    <w:rsid w:val="00DD302C"/>
    <w:rsid w:val="00DD562F"/>
    <w:rsid w:val="00DD69EC"/>
    <w:rsid w:val="00DE0452"/>
    <w:rsid w:val="00DE0B26"/>
    <w:rsid w:val="00DE1D12"/>
    <w:rsid w:val="00DE1DC0"/>
    <w:rsid w:val="00DE1E92"/>
    <w:rsid w:val="00DE1E9D"/>
    <w:rsid w:val="00DE20AA"/>
    <w:rsid w:val="00DE2220"/>
    <w:rsid w:val="00DE3B64"/>
    <w:rsid w:val="00DE4999"/>
    <w:rsid w:val="00DE5219"/>
    <w:rsid w:val="00DE58F9"/>
    <w:rsid w:val="00DE6217"/>
    <w:rsid w:val="00DE647C"/>
    <w:rsid w:val="00DE7504"/>
    <w:rsid w:val="00DF4694"/>
    <w:rsid w:val="00DF64DD"/>
    <w:rsid w:val="00DF7E45"/>
    <w:rsid w:val="00E02478"/>
    <w:rsid w:val="00E03DC9"/>
    <w:rsid w:val="00E0553E"/>
    <w:rsid w:val="00E07ACF"/>
    <w:rsid w:val="00E07C58"/>
    <w:rsid w:val="00E10A11"/>
    <w:rsid w:val="00E113F8"/>
    <w:rsid w:val="00E1343E"/>
    <w:rsid w:val="00E1391E"/>
    <w:rsid w:val="00E13BAB"/>
    <w:rsid w:val="00E166B0"/>
    <w:rsid w:val="00E17F07"/>
    <w:rsid w:val="00E204A9"/>
    <w:rsid w:val="00E213C0"/>
    <w:rsid w:val="00E23533"/>
    <w:rsid w:val="00E24027"/>
    <w:rsid w:val="00E24545"/>
    <w:rsid w:val="00E25D70"/>
    <w:rsid w:val="00E25F04"/>
    <w:rsid w:val="00E27CA5"/>
    <w:rsid w:val="00E32DBD"/>
    <w:rsid w:val="00E36385"/>
    <w:rsid w:val="00E364C3"/>
    <w:rsid w:val="00E365A1"/>
    <w:rsid w:val="00E37499"/>
    <w:rsid w:val="00E409C5"/>
    <w:rsid w:val="00E40FBE"/>
    <w:rsid w:val="00E41911"/>
    <w:rsid w:val="00E4208F"/>
    <w:rsid w:val="00E442E2"/>
    <w:rsid w:val="00E462DB"/>
    <w:rsid w:val="00E52745"/>
    <w:rsid w:val="00E53176"/>
    <w:rsid w:val="00E56BCD"/>
    <w:rsid w:val="00E56C47"/>
    <w:rsid w:val="00E5738F"/>
    <w:rsid w:val="00E57908"/>
    <w:rsid w:val="00E57A93"/>
    <w:rsid w:val="00E57DAC"/>
    <w:rsid w:val="00E6583E"/>
    <w:rsid w:val="00E65E36"/>
    <w:rsid w:val="00E662E4"/>
    <w:rsid w:val="00E70C7E"/>
    <w:rsid w:val="00E75961"/>
    <w:rsid w:val="00E77122"/>
    <w:rsid w:val="00E80A2F"/>
    <w:rsid w:val="00E80A66"/>
    <w:rsid w:val="00E80C86"/>
    <w:rsid w:val="00E83ADE"/>
    <w:rsid w:val="00E83CFF"/>
    <w:rsid w:val="00E85774"/>
    <w:rsid w:val="00E85E79"/>
    <w:rsid w:val="00E8690A"/>
    <w:rsid w:val="00E86A6C"/>
    <w:rsid w:val="00E877DE"/>
    <w:rsid w:val="00E93CAD"/>
    <w:rsid w:val="00E95212"/>
    <w:rsid w:val="00E95AFA"/>
    <w:rsid w:val="00E9640B"/>
    <w:rsid w:val="00EA0A33"/>
    <w:rsid w:val="00EA0FAC"/>
    <w:rsid w:val="00EA4479"/>
    <w:rsid w:val="00EA44FA"/>
    <w:rsid w:val="00EA4A5D"/>
    <w:rsid w:val="00EA5C8D"/>
    <w:rsid w:val="00EB0523"/>
    <w:rsid w:val="00EB0B71"/>
    <w:rsid w:val="00EB1136"/>
    <w:rsid w:val="00EB4B2C"/>
    <w:rsid w:val="00EB4C8D"/>
    <w:rsid w:val="00EB53A2"/>
    <w:rsid w:val="00EB771C"/>
    <w:rsid w:val="00EC147E"/>
    <w:rsid w:val="00EC1F5C"/>
    <w:rsid w:val="00EC3152"/>
    <w:rsid w:val="00EC34D2"/>
    <w:rsid w:val="00EC38F5"/>
    <w:rsid w:val="00EC3CE3"/>
    <w:rsid w:val="00EC4294"/>
    <w:rsid w:val="00ED0509"/>
    <w:rsid w:val="00ED2C99"/>
    <w:rsid w:val="00ED30DF"/>
    <w:rsid w:val="00ED3EAE"/>
    <w:rsid w:val="00ED41AA"/>
    <w:rsid w:val="00ED41D2"/>
    <w:rsid w:val="00ED4D29"/>
    <w:rsid w:val="00ED5583"/>
    <w:rsid w:val="00ED5D66"/>
    <w:rsid w:val="00ED67AF"/>
    <w:rsid w:val="00EE2009"/>
    <w:rsid w:val="00EE2231"/>
    <w:rsid w:val="00EE2A03"/>
    <w:rsid w:val="00EE2ECE"/>
    <w:rsid w:val="00EE391A"/>
    <w:rsid w:val="00EE4AC9"/>
    <w:rsid w:val="00EE657B"/>
    <w:rsid w:val="00EE7FC4"/>
    <w:rsid w:val="00EF014D"/>
    <w:rsid w:val="00EF126A"/>
    <w:rsid w:val="00EF1991"/>
    <w:rsid w:val="00EF40A8"/>
    <w:rsid w:val="00EF5B8F"/>
    <w:rsid w:val="00EF68CB"/>
    <w:rsid w:val="00F004B3"/>
    <w:rsid w:val="00F00533"/>
    <w:rsid w:val="00F00CC4"/>
    <w:rsid w:val="00F0310C"/>
    <w:rsid w:val="00F03738"/>
    <w:rsid w:val="00F03F52"/>
    <w:rsid w:val="00F03F61"/>
    <w:rsid w:val="00F04946"/>
    <w:rsid w:val="00F04D4C"/>
    <w:rsid w:val="00F052A6"/>
    <w:rsid w:val="00F05478"/>
    <w:rsid w:val="00F102FC"/>
    <w:rsid w:val="00F12E96"/>
    <w:rsid w:val="00F14F4B"/>
    <w:rsid w:val="00F15E3D"/>
    <w:rsid w:val="00F204AA"/>
    <w:rsid w:val="00F22212"/>
    <w:rsid w:val="00F2426D"/>
    <w:rsid w:val="00F24726"/>
    <w:rsid w:val="00F24812"/>
    <w:rsid w:val="00F25C6E"/>
    <w:rsid w:val="00F25F70"/>
    <w:rsid w:val="00F30343"/>
    <w:rsid w:val="00F30B07"/>
    <w:rsid w:val="00F3123C"/>
    <w:rsid w:val="00F33978"/>
    <w:rsid w:val="00F3420B"/>
    <w:rsid w:val="00F343D0"/>
    <w:rsid w:val="00F3472A"/>
    <w:rsid w:val="00F35326"/>
    <w:rsid w:val="00F35C8E"/>
    <w:rsid w:val="00F400DD"/>
    <w:rsid w:val="00F41474"/>
    <w:rsid w:val="00F4174E"/>
    <w:rsid w:val="00F41A20"/>
    <w:rsid w:val="00F4285D"/>
    <w:rsid w:val="00F43CBD"/>
    <w:rsid w:val="00F441BE"/>
    <w:rsid w:val="00F45217"/>
    <w:rsid w:val="00F4582F"/>
    <w:rsid w:val="00F46460"/>
    <w:rsid w:val="00F46875"/>
    <w:rsid w:val="00F46F7C"/>
    <w:rsid w:val="00F50D2B"/>
    <w:rsid w:val="00F517E0"/>
    <w:rsid w:val="00F52356"/>
    <w:rsid w:val="00F52A66"/>
    <w:rsid w:val="00F52CBB"/>
    <w:rsid w:val="00F53318"/>
    <w:rsid w:val="00F53760"/>
    <w:rsid w:val="00F55440"/>
    <w:rsid w:val="00F55886"/>
    <w:rsid w:val="00F56434"/>
    <w:rsid w:val="00F56CEF"/>
    <w:rsid w:val="00F570F7"/>
    <w:rsid w:val="00F62E84"/>
    <w:rsid w:val="00F647C2"/>
    <w:rsid w:val="00F6523E"/>
    <w:rsid w:val="00F70B49"/>
    <w:rsid w:val="00F70BBE"/>
    <w:rsid w:val="00F739FA"/>
    <w:rsid w:val="00F73F4D"/>
    <w:rsid w:val="00F77BF1"/>
    <w:rsid w:val="00F81CF7"/>
    <w:rsid w:val="00F84A5F"/>
    <w:rsid w:val="00F86F4C"/>
    <w:rsid w:val="00F87A67"/>
    <w:rsid w:val="00F92BBD"/>
    <w:rsid w:val="00F952F4"/>
    <w:rsid w:val="00F95BB2"/>
    <w:rsid w:val="00F95F57"/>
    <w:rsid w:val="00F97AEC"/>
    <w:rsid w:val="00FA0C66"/>
    <w:rsid w:val="00FA1EC3"/>
    <w:rsid w:val="00FA25FC"/>
    <w:rsid w:val="00FA4E0F"/>
    <w:rsid w:val="00FA718D"/>
    <w:rsid w:val="00FA7EDB"/>
    <w:rsid w:val="00FB12C7"/>
    <w:rsid w:val="00FB13EC"/>
    <w:rsid w:val="00FB1D44"/>
    <w:rsid w:val="00FB4599"/>
    <w:rsid w:val="00FB4CEB"/>
    <w:rsid w:val="00FB68C6"/>
    <w:rsid w:val="00FB6DFD"/>
    <w:rsid w:val="00FB75EC"/>
    <w:rsid w:val="00FC1B9A"/>
    <w:rsid w:val="00FC1EB8"/>
    <w:rsid w:val="00FC2A57"/>
    <w:rsid w:val="00FC521A"/>
    <w:rsid w:val="00FC5BF6"/>
    <w:rsid w:val="00FD115C"/>
    <w:rsid w:val="00FD1723"/>
    <w:rsid w:val="00FD1FDA"/>
    <w:rsid w:val="00FD2607"/>
    <w:rsid w:val="00FD29BE"/>
    <w:rsid w:val="00FD2D86"/>
    <w:rsid w:val="00FD3A3C"/>
    <w:rsid w:val="00FD458B"/>
    <w:rsid w:val="00FD5068"/>
    <w:rsid w:val="00FD6448"/>
    <w:rsid w:val="00FD6499"/>
    <w:rsid w:val="00FD70D9"/>
    <w:rsid w:val="00FE19CB"/>
    <w:rsid w:val="00FE5E34"/>
    <w:rsid w:val="00FE69A3"/>
    <w:rsid w:val="00FF2361"/>
    <w:rsid w:val="00FF26E6"/>
    <w:rsid w:val="00FF3C19"/>
    <w:rsid w:val="00FF4629"/>
    <w:rsid w:val="00FF595E"/>
    <w:rsid w:val="00FF5D0F"/>
    <w:rsid w:val="029304DC"/>
    <w:rsid w:val="039A28E3"/>
    <w:rsid w:val="0609D55D"/>
    <w:rsid w:val="09248566"/>
    <w:rsid w:val="09743AD1"/>
    <w:rsid w:val="0B7E30CB"/>
    <w:rsid w:val="0CD07BF7"/>
    <w:rsid w:val="0CFE80A5"/>
    <w:rsid w:val="0D83C06D"/>
    <w:rsid w:val="10FDD2B5"/>
    <w:rsid w:val="1166BBD1"/>
    <w:rsid w:val="1288E972"/>
    <w:rsid w:val="12954DCD"/>
    <w:rsid w:val="14662D83"/>
    <w:rsid w:val="16931C6F"/>
    <w:rsid w:val="17E9C40B"/>
    <w:rsid w:val="182A0859"/>
    <w:rsid w:val="18DD1F73"/>
    <w:rsid w:val="19F9F52C"/>
    <w:rsid w:val="1CE93691"/>
    <w:rsid w:val="1F6DDDBF"/>
    <w:rsid w:val="209E865F"/>
    <w:rsid w:val="23815621"/>
    <w:rsid w:val="23B998A4"/>
    <w:rsid w:val="25A023F4"/>
    <w:rsid w:val="27287F05"/>
    <w:rsid w:val="2B95AB8A"/>
    <w:rsid w:val="2D510EC4"/>
    <w:rsid w:val="2EB814D4"/>
    <w:rsid w:val="2FCE83C7"/>
    <w:rsid w:val="31B64DF4"/>
    <w:rsid w:val="31CA809A"/>
    <w:rsid w:val="325AC023"/>
    <w:rsid w:val="33E1BBF0"/>
    <w:rsid w:val="37F1E1A8"/>
    <w:rsid w:val="38306CA2"/>
    <w:rsid w:val="3886D31E"/>
    <w:rsid w:val="39AFE2E2"/>
    <w:rsid w:val="3A361723"/>
    <w:rsid w:val="3C863372"/>
    <w:rsid w:val="40EF4772"/>
    <w:rsid w:val="428A447F"/>
    <w:rsid w:val="4292D640"/>
    <w:rsid w:val="4384B86F"/>
    <w:rsid w:val="44F8ABCE"/>
    <w:rsid w:val="45E25510"/>
    <w:rsid w:val="4FA5437E"/>
    <w:rsid w:val="51A32E3F"/>
    <w:rsid w:val="534D6881"/>
    <w:rsid w:val="54D991A2"/>
    <w:rsid w:val="57E389B5"/>
    <w:rsid w:val="596E1DD6"/>
    <w:rsid w:val="5C42B10A"/>
    <w:rsid w:val="5C77D91A"/>
    <w:rsid w:val="5CDD2A12"/>
    <w:rsid w:val="5FE367E3"/>
    <w:rsid w:val="615D13B3"/>
    <w:rsid w:val="6327B550"/>
    <w:rsid w:val="635F2AF4"/>
    <w:rsid w:val="64415D79"/>
    <w:rsid w:val="67636D3E"/>
    <w:rsid w:val="69B8DB42"/>
    <w:rsid w:val="6B70BCBC"/>
    <w:rsid w:val="6E95CD69"/>
    <w:rsid w:val="6F3BD48E"/>
    <w:rsid w:val="728B2690"/>
    <w:rsid w:val="748D5EA0"/>
    <w:rsid w:val="75BE6214"/>
    <w:rsid w:val="7656BE80"/>
    <w:rsid w:val="7825F49C"/>
    <w:rsid w:val="7B9770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1A44"/>
  <w15:chartTrackingRefBased/>
  <w15:docId w15:val="{32366FC7-D977-49D7-9521-87C14A23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GE"/>
    <w:qFormat/>
    <w:rsid w:val="00F84A5F"/>
    <w:pPr>
      <w:spacing w:after="120"/>
    </w:pPr>
    <w:rPr>
      <w:rFonts w:ascii="Avenir Next LT Pro" w:eastAsia="Avenir Next LT Pro" w:hAnsi="Avenir Next LT Pro" w:cs="Times New Roman"/>
      <w:color w:val="2B4159"/>
    </w:rPr>
  </w:style>
  <w:style w:type="paragraph" w:styleId="Heading1">
    <w:name w:val="heading 1"/>
    <w:basedOn w:val="Normal"/>
    <w:next w:val="Normal"/>
    <w:link w:val="Heading1Char"/>
    <w:autoRedefine/>
    <w:uiPriority w:val="9"/>
    <w:qFormat/>
    <w:rsid w:val="00542BF3"/>
    <w:pPr>
      <w:keepNext/>
      <w:keepLines/>
      <w:spacing w:before="240" w:after="360"/>
      <w:outlineLvl w:val="0"/>
    </w:pPr>
    <w:rPr>
      <w:rFonts w:ascii="Bahnschrift" w:eastAsiaTheme="majorEastAsia" w:hAnsi="Bahnschrift" w:cstheme="majorBidi"/>
      <w:b/>
      <w:noProof/>
      <w:color w:val="2B4159" w:themeColor="text1"/>
      <w:sz w:val="48"/>
      <w:szCs w:val="32"/>
    </w:rPr>
  </w:style>
  <w:style w:type="paragraph" w:styleId="Heading2">
    <w:name w:val="heading 2"/>
    <w:basedOn w:val="Normal"/>
    <w:next w:val="Normal"/>
    <w:link w:val="Heading2Char"/>
    <w:uiPriority w:val="9"/>
    <w:unhideWhenUsed/>
    <w:qFormat/>
    <w:rsid w:val="00F84A5F"/>
    <w:pPr>
      <w:keepNext/>
      <w:keepLines/>
      <w:spacing w:before="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F84A5F"/>
    <w:pPr>
      <w:keepNext/>
      <w:keepLines/>
      <w:spacing w:before="40"/>
      <w:outlineLvl w:val="2"/>
    </w:pPr>
    <w:rPr>
      <w:rFonts w:eastAsiaTheme="majorEastAsia" w:cstheme="majorBidi"/>
      <w:b/>
      <w:noProof/>
      <w:color w:val="707689" w:themeColor="accent1"/>
      <w:szCs w:val="24"/>
    </w:rPr>
  </w:style>
  <w:style w:type="paragraph" w:styleId="Heading4">
    <w:name w:val="heading 4"/>
    <w:basedOn w:val="Normal"/>
    <w:next w:val="Normal"/>
    <w:link w:val="Heading4Char"/>
    <w:autoRedefine/>
    <w:uiPriority w:val="9"/>
    <w:unhideWhenUsed/>
    <w:qFormat/>
    <w:rsid w:val="00D72FB8"/>
    <w:pPr>
      <w:keepNext/>
      <w:keepLines/>
      <w:spacing w:before="40" w:after="60"/>
      <w:outlineLvl w:val="3"/>
    </w:pPr>
    <w:rPr>
      <w:rFonts w:eastAsiaTheme="majorEastAsia" w:cstheme="majorBidi"/>
      <w:noProof/>
    </w:rPr>
  </w:style>
  <w:style w:type="paragraph" w:styleId="Heading5">
    <w:name w:val="heading 5"/>
    <w:basedOn w:val="Normal"/>
    <w:next w:val="Normal"/>
    <w:link w:val="Heading5Char"/>
    <w:autoRedefine/>
    <w:uiPriority w:val="9"/>
    <w:unhideWhenUsed/>
    <w:qFormat/>
    <w:rsid w:val="00F84A5F"/>
    <w:pPr>
      <w:keepNext/>
      <w:keepLines/>
      <w:spacing w:before="40" w:after="60"/>
      <w:outlineLvl w:val="4"/>
    </w:pPr>
    <w:rPr>
      <w:rFonts w:eastAsiaTheme="majorEastAsia" w:cstheme="majorBidi"/>
      <w:b/>
      <w:caps/>
      <w:color w:val="FE584E"/>
      <w:spacing w:val="10"/>
      <w:sz w:val="20"/>
    </w:rPr>
  </w:style>
  <w:style w:type="paragraph" w:styleId="Heading6">
    <w:name w:val="heading 6"/>
    <w:basedOn w:val="Normal"/>
    <w:next w:val="Normal"/>
    <w:link w:val="Heading6Char"/>
    <w:autoRedefine/>
    <w:uiPriority w:val="9"/>
    <w:unhideWhenUsed/>
    <w:qFormat/>
    <w:rsid w:val="00575FA8"/>
    <w:pPr>
      <w:keepNext/>
      <w:keepLines/>
      <w:spacing w:before="40" w:after="0"/>
      <w:outlineLvl w:val="5"/>
    </w:pPr>
    <w:rPr>
      <w:rFonts w:eastAsiaTheme="majorEastAsia" w:cstheme="majorBidi"/>
      <w:caps/>
      <w:spacing w:val="10"/>
      <w:sz w:val="20"/>
    </w:rPr>
  </w:style>
  <w:style w:type="paragraph" w:styleId="Heading7">
    <w:name w:val="heading 7"/>
    <w:basedOn w:val="Normal"/>
    <w:next w:val="Normal"/>
    <w:link w:val="Heading7Char"/>
    <w:autoRedefine/>
    <w:uiPriority w:val="9"/>
    <w:unhideWhenUsed/>
    <w:qFormat/>
    <w:rsid w:val="00575FA8"/>
    <w:pPr>
      <w:keepNext/>
      <w:keepLines/>
      <w:spacing w:before="40" w:after="0"/>
      <w:outlineLvl w:val="6"/>
    </w:pPr>
    <w:rPr>
      <w:rFonts w:eastAsiaTheme="majorEastAsia" w:cstheme="majorBidi"/>
      <w:b/>
      <w:i/>
      <w:iCs/>
      <w:sz w:val="20"/>
    </w:rPr>
  </w:style>
  <w:style w:type="paragraph" w:styleId="Heading8">
    <w:name w:val="heading 8"/>
    <w:basedOn w:val="Normal"/>
    <w:next w:val="Normal"/>
    <w:link w:val="Heading8Char"/>
    <w:autoRedefine/>
    <w:uiPriority w:val="9"/>
    <w:unhideWhenUsed/>
    <w:qFormat/>
    <w:rsid w:val="00575FA8"/>
    <w:pPr>
      <w:keepNext/>
      <w:keepLines/>
      <w:spacing w:before="40" w:after="0"/>
      <w:outlineLvl w:val="7"/>
    </w:pPr>
    <w:rPr>
      <w:rFonts w:eastAsiaTheme="majorEastAsia" w:cstheme="majorBidi"/>
      <w:b/>
      <w:i/>
      <w:color w:val="FE584E"/>
      <w:sz w:val="20"/>
      <w:szCs w:val="21"/>
    </w:rPr>
  </w:style>
  <w:style w:type="paragraph" w:styleId="Heading9">
    <w:name w:val="heading 9"/>
    <w:basedOn w:val="Normal"/>
    <w:next w:val="Normal"/>
    <w:link w:val="Heading9Char"/>
    <w:autoRedefine/>
    <w:uiPriority w:val="9"/>
    <w:unhideWhenUsed/>
    <w:qFormat/>
    <w:rsid w:val="00575FA8"/>
    <w:pPr>
      <w:keepNext/>
      <w:keepLines/>
      <w:spacing w:before="40" w:after="0"/>
      <w:outlineLvl w:val="8"/>
    </w:pPr>
    <w:rPr>
      <w:rFonts w:eastAsiaTheme="majorEastAsia" w:cstheme="majorBidi"/>
      <w:b/>
      <w:iCs/>
      <w:caps/>
      <w:noProof/>
      <w:spacing w:val="1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59"/>
    <w:rPr>
      <w:rFonts w:ascii="Avenir Next LT Pro" w:hAnsi="Avenir Next LT Pro"/>
    </w:rPr>
  </w:style>
  <w:style w:type="character" w:customStyle="1" w:styleId="Heading1Char">
    <w:name w:val="Heading 1 Char"/>
    <w:basedOn w:val="DefaultParagraphFont"/>
    <w:link w:val="Heading1"/>
    <w:uiPriority w:val="9"/>
    <w:rsid w:val="00542BF3"/>
    <w:rPr>
      <w:rFonts w:ascii="Bahnschrift" w:eastAsiaTheme="majorEastAsia" w:hAnsi="Bahnschrift" w:cstheme="majorBidi"/>
      <w:b/>
      <w:noProof/>
      <w:color w:val="2B4159" w:themeColor="text1"/>
      <w:sz w:val="48"/>
      <w:szCs w:val="32"/>
    </w:rPr>
  </w:style>
  <w:style w:type="character" w:customStyle="1" w:styleId="Heading2Char">
    <w:name w:val="Heading 2 Char"/>
    <w:basedOn w:val="DefaultParagraphFont"/>
    <w:link w:val="Heading2"/>
    <w:uiPriority w:val="9"/>
    <w:rsid w:val="00F84A5F"/>
    <w:rPr>
      <w:rFonts w:ascii="Avenir Next LT Pro" w:eastAsiaTheme="majorEastAsia" w:hAnsi="Avenir Next LT Pro" w:cstheme="majorBidi"/>
      <w:color w:val="2B4159"/>
      <w:sz w:val="28"/>
      <w:szCs w:val="28"/>
    </w:rPr>
  </w:style>
  <w:style w:type="paragraph" w:styleId="Title">
    <w:name w:val="Title"/>
    <w:basedOn w:val="Normal"/>
    <w:next w:val="Normal"/>
    <w:link w:val="TitleChar"/>
    <w:uiPriority w:val="10"/>
    <w:qFormat/>
    <w:rsid w:val="00E662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2E4"/>
    <w:pPr>
      <w:numPr>
        <w:ilvl w:val="1"/>
      </w:numPr>
      <w:ind w:left="1710"/>
    </w:pPr>
    <w:rPr>
      <w:rFonts w:eastAsiaTheme="minorEastAsia"/>
      <w:color w:val="5A82AF" w:themeColor="text1" w:themeTint="A5"/>
      <w:spacing w:val="15"/>
    </w:rPr>
  </w:style>
  <w:style w:type="character" w:customStyle="1" w:styleId="SubtitleChar">
    <w:name w:val="Subtitle Char"/>
    <w:basedOn w:val="DefaultParagraphFont"/>
    <w:link w:val="Subtitle"/>
    <w:uiPriority w:val="11"/>
    <w:rsid w:val="00E662E4"/>
    <w:rPr>
      <w:rFonts w:eastAsiaTheme="minorEastAsia"/>
      <w:color w:val="5A82AF" w:themeColor="text1" w:themeTint="A5"/>
      <w:spacing w:val="15"/>
    </w:rPr>
  </w:style>
  <w:style w:type="character" w:customStyle="1" w:styleId="Heading3Char">
    <w:name w:val="Heading 3 Char"/>
    <w:basedOn w:val="DefaultParagraphFont"/>
    <w:link w:val="Heading3"/>
    <w:uiPriority w:val="9"/>
    <w:rsid w:val="00F84A5F"/>
    <w:rPr>
      <w:rFonts w:ascii="Avenir Next LT Pro" w:eastAsiaTheme="majorEastAsia" w:hAnsi="Avenir Next LT Pro" w:cstheme="majorBidi"/>
      <w:b/>
      <w:noProof/>
      <w:color w:val="707689" w:themeColor="accent1"/>
      <w:szCs w:val="24"/>
    </w:rPr>
  </w:style>
  <w:style w:type="character" w:customStyle="1" w:styleId="Heading4Char">
    <w:name w:val="Heading 4 Char"/>
    <w:basedOn w:val="DefaultParagraphFont"/>
    <w:link w:val="Heading4"/>
    <w:uiPriority w:val="9"/>
    <w:rsid w:val="00F84A5F"/>
    <w:rPr>
      <w:rFonts w:ascii="Avenir Next LT Pro" w:eastAsiaTheme="majorEastAsia" w:hAnsi="Avenir Next LT Pro" w:cstheme="majorBidi"/>
      <w:noProof/>
      <w:color w:val="2B4159"/>
    </w:rPr>
  </w:style>
  <w:style w:type="character" w:customStyle="1" w:styleId="Heading5Char">
    <w:name w:val="Heading 5 Char"/>
    <w:basedOn w:val="DefaultParagraphFont"/>
    <w:link w:val="Heading5"/>
    <w:uiPriority w:val="9"/>
    <w:rsid w:val="00F84A5F"/>
    <w:rPr>
      <w:rFonts w:ascii="Avenir Next LT Pro" w:eastAsiaTheme="majorEastAsia" w:hAnsi="Avenir Next LT Pro" w:cstheme="majorBidi"/>
      <w:b/>
      <w:caps/>
      <w:color w:val="FE584E"/>
      <w:spacing w:val="10"/>
      <w:sz w:val="20"/>
    </w:rPr>
  </w:style>
  <w:style w:type="character" w:customStyle="1" w:styleId="Heading6Char">
    <w:name w:val="Heading 6 Char"/>
    <w:basedOn w:val="DefaultParagraphFont"/>
    <w:link w:val="Heading6"/>
    <w:uiPriority w:val="9"/>
    <w:rsid w:val="00575FA8"/>
    <w:rPr>
      <w:rFonts w:ascii="Avenir Next LT Pro" w:eastAsiaTheme="majorEastAsia" w:hAnsi="Avenir Next LT Pro" w:cstheme="majorBidi"/>
      <w:caps/>
      <w:color w:val="2B4159"/>
      <w:spacing w:val="10"/>
      <w:sz w:val="20"/>
    </w:rPr>
  </w:style>
  <w:style w:type="character" w:customStyle="1" w:styleId="Heading7Char">
    <w:name w:val="Heading 7 Char"/>
    <w:basedOn w:val="DefaultParagraphFont"/>
    <w:link w:val="Heading7"/>
    <w:uiPriority w:val="9"/>
    <w:rsid w:val="00575FA8"/>
    <w:rPr>
      <w:rFonts w:ascii="Avenir Next LT Pro" w:eastAsiaTheme="majorEastAsia" w:hAnsi="Avenir Next LT Pro" w:cstheme="majorBidi"/>
      <w:b/>
      <w:i/>
      <w:iCs/>
      <w:color w:val="2B4159"/>
      <w:sz w:val="20"/>
    </w:rPr>
  </w:style>
  <w:style w:type="character" w:customStyle="1" w:styleId="Heading8Char">
    <w:name w:val="Heading 8 Char"/>
    <w:basedOn w:val="DefaultParagraphFont"/>
    <w:link w:val="Heading8"/>
    <w:uiPriority w:val="9"/>
    <w:rsid w:val="00575FA8"/>
    <w:rPr>
      <w:rFonts w:ascii="Avenir Next LT Pro" w:eastAsiaTheme="majorEastAsia" w:hAnsi="Avenir Next LT Pro" w:cstheme="majorBidi"/>
      <w:b/>
      <w:i/>
      <w:color w:val="FE584E"/>
      <w:sz w:val="20"/>
      <w:szCs w:val="21"/>
    </w:rPr>
  </w:style>
  <w:style w:type="character" w:customStyle="1" w:styleId="Heading9Char">
    <w:name w:val="Heading 9 Char"/>
    <w:basedOn w:val="DefaultParagraphFont"/>
    <w:link w:val="Heading9"/>
    <w:uiPriority w:val="9"/>
    <w:rsid w:val="00575FA8"/>
    <w:rPr>
      <w:rFonts w:ascii="Avenir Next LT Pro" w:eastAsiaTheme="majorEastAsia" w:hAnsi="Avenir Next LT Pro" w:cstheme="majorBidi"/>
      <w:b/>
      <w:iCs/>
      <w:caps/>
      <w:noProof/>
      <w:color w:val="2B4159"/>
      <w:spacing w:val="10"/>
      <w:sz w:val="20"/>
      <w:szCs w:val="21"/>
    </w:rPr>
  </w:style>
  <w:style w:type="character" w:styleId="SubtleEmphasis">
    <w:name w:val="Subtle Emphasis"/>
    <w:basedOn w:val="DefaultParagraphFont"/>
    <w:uiPriority w:val="19"/>
    <w:rsid w:val="00AF1EFE"/>
    <w:rPr>
      <w:i/>
      <w:iCs/>
      <w:color w:val="4A6F98" w:themeColor="text1" w:themeTint="BF"/>
    </w:rPr>
  </w:style>
  <w:style w:type="character" w:styleId="Emphasis">
    <w:name w:val="Emphasis"/>
    <w:basedOn w:val="DefaultParagraphFont"/>
    <w:uiPriority w:val="20"/>
    <w:rsid w:val="00AF1EFE"/>
    <w:rPr>
      <w:i/>
      <w:iCs/>
    </w:rPr>
  </w:style>
  <w:style w:type="character" w:styleId="IntenseEmphasis">
    <w:name w:val="Intense Emphasis"/>
    <w:basedOn w:val="DefaultParagraphFont"/>
    <w:uiPriority w:val="21"/>
    <w:rsid w:val="00AF1EFE"/>
    <w:rPr>
      <w:i/>
      <w:iCs/>
      <w:color w:val="707689" w:themeColor="accent1"/>
    </w:rPr>
  </w:style>
  <w:style w:type="character" w:styleId="Strong">
    <w:name w:val="Strong"/>
    <w:basedOn w:val="DefaultParagraphFont"/>
    <w:uiPriority w:val="22"/>
    <w:rsid w:val="00AF1EFE"/>
    <w:rPr>
      <w:b/>
      <w:bCs/>
    </w:rPr>
  </w:style>
  <w:style w:type="paragraph" w:styleId="Quote">
    <w:name w:val="Quote"/>
    <w:basedOn w:val="Normal"/>
    <w:next w:val="Normal"/>
    <w:link w:val="QuoteChar"/>
    <w:uiPriority w:val="29"/>
    <w:qFormat/>
    <w:rsid w:val="00AF1EFE"/>
    <w:pPr>
      <w:spacing w:before="200"/>
      <w:ind w:left="864" w:right="864"/>
      <w:jc w:val="center"/>
    </w:pPr>
    <w:rPr>
      <w:i/>
      <w:iCs/>
      <w:color w:val="4A6F98" w:themeColor="text1" w:themeTint="BF"/>
    </w:rPr>
  </w:style>
  <w:style w:type="character" w:customStyle="1" w:styleId="QuoteChar">
    <w:name w:val="Quote Char"/>
    <w:basedOn w:val="DefaultParagraphFont"/>
    <w:link w:val="Quote"/>
    <w:uiPriority w:val="29"/>
    <w:rsid w:val="00AF1EFE"/>
    <w:rPr>
      <w:i/>
      <w:iCs/>
      <w:color w:val="4A6F98" w:themeColor="text1" w:themeTint="BF"/>
    </w:rPr>
  </w:style>
  <w:style w:type="paragraph" w:styleId="IntenseQuote">
    <w:name w:val="Intense Quote"/>
    <w:basedOn w:val="Normal"/>
    <w:next w:val="Normal"/>
    <w:link w:val="IntenseQuoteChar"/>
    <w:uiPriority w:val="30"/>
    <w:rsid w:val="00AF1EFE"/>
    <w:pPr>
      <w:pBdr>
        <w:top w:val="single" w:sz="4" w:space="10" w:color="707689" w:themeColor="accent1"/>
        <w:bottom w:val="single" w:sz="4" w:space="10" w:color="707689" w:themeColor="accent1"/>
      </w:pBdr>
      <w:spacing w:before="360" w:after="360"/>
      <w:ind w:left="864" w:right="864"/>
      <w:jc w:val="center"/>
    </w:pPr>
    <w:rPr>
      <w:i/>
      <w:iCs/>
      <w:color w:val="707689" w:themeColor="accent1"/>
    </w:rPr>
  </w:style>
  <w:style w:type="character" w:customStyle="1" w:styleId="IntenseQuoteChar">
    <w:name w:val="Intense Quote Char"/>
    <w:basedOn w:val="DefaultParagraphFont"/>
    <w:link w:val="IntenseQuote"/>
    <w:uiPriority w:val="30"/>
    <w:rsid w:val="00AF1EFE"/>
    <w:rPr>
      <w:i/>
      <w:iCs/>
      <w:color w:val="707689" w:themeColor="accent1"/>
    </w:rPr>
  </w:style>
  <w:style w:type="character" w:styleId="SubtleReference">
    <w:name w:val="Subtle Reference"/>
    <w:basedOn w:val="DefaultParagraphFont"/>
    <w:uiPriority w:val="31"/>
    <w:rsid w:val="00AF1EFE"/>
    <w:rPr>
      <w:smallCaps/>
      <w:color w:val="5A82AF" w:themeColor="text1" w:themeTint="A5"/>
    </w:rPr>
  </w:style>
  <w:style w:type="character" w:styleId="IntenseReference">
    <w:name w:val="Intense Reference"/>
    <w:basedOn w:val="DefaultParagraphFont"/>
    <w:uiPriority w:val="32"/>
    <w:rsid w:val="00AF1EFE"/>
    <w:rPr>
      <w:b/>
      <w:bCs/>
      <w:smallCaps/>
      <w:color w:val="707689" w:themeColor="accent1"/>
      <w:spacing w:val="5"/>
    </w:rPr>
  </w:style>
  <w:style w:type="paragraph" w:styleId="ListParagraph">
    <w:name w:val="List Paragraph"/>
    <w:aliases w:val="Resume Title,Colorful List - Accent 11,List Paragraph_Table bullets,Bullets - level 1"/>
    <w:basedOn w:val="Normal"/>
    <w:link w:val="ListParagraphChar"/>
    <w:uiPriority w:val="34"/>
    <w:qFormat/>
    <w:rsid w:val="00AF1EFE"/>
    <w:pPr>
      <w:ind w:left="720"/>
      <w:contextualSpacing/>
    </w:pPr>
  </w:style>
  <w:style w:type="character" w:customStyle="1" w:styleId="ListParagraphChar">
    <w:name w:val="List Paragraph Char"/>
    <w:aliases w:val="Resume Title Char,Colorful List - Accent 11 Char,List Paragraph_Table bullets Char,Bullets - level 1 Char"/>
    <w:basedOn w:val="DefaultParagraphFont"/>
    <w:link w:val="ListParagraph"/>
    <w:uiPriority w:val="34"/>
    <w:rsid w:val="00524A0B"/>
    <w:rPr>
      <w:rFonts w:ascii="Avenir Next LT Pro" w:hAnsi="Avenir Next LT Pro"/>
    </w:rPr>
  </w:style>
  <w:style w:type="character" w:styleId="BookTitle">
    <w:name w:val="Book Title"/>
    <w:basedOn w:val="DefaultParagraphFont"/>
    <w:uiPriority w:val="33"/>
    <w:rsid w:val="00524A0B"/>
    <w:rPr>
      <w:b/>
      <w:bCs/>
      <w:i/>
      <w:iCs/>
      <w:spacing w:val="5"/>
    </w:rPr>
  </w:style>
  <w:style w:type="paragraph" w:customStyle="1" w:styleId="Bullets">
    <w:name w:val="Bullets"/>
    <w:basedOn w:val="Normal"/>
    <w:link w:val="BulletsChar"/>
    <w:autoRedefine/>
    <w:qFormat/>
    <w:rsid w:val="003B5C3E"/>
    <w:pPr>
      <w:numPr>
        <w:numId w:val="1"/>
      </w:numPr>
    </w:pPr>
    <w:rPr>
      <w:rFonts w:eastAsiaTheme="minorHAnsi" w:cstheme="minorBidi"/>
      <w:color w:val="2B4159" w:themeColor="text1"/>
    </w:rPr>
  </w:style>
  <w:style w:type="character" w:customStyle="1" w:styleId="BulletsChar">
    <w:name w:val="Bullets Char"/>
    <w:basedOn w:val="ListParagraphChar"/>
    <w:link w:val="Bullets"/>
    <w:rsid w:val="003B5C3E"/>
    <w:rPr>
      <w:rFonts w:ascii="Avenir Next LT Pro" w:hAnsi="Avenir Next LT Pro"/>
      <w:color w:val="2B4159" w:themeColor="text1"/>
    </w:rPr>
  </w:style>
  <w:style w:type="paragraph" w:customStyle="1" w:styleId="Introcopy">
    <w:name w:val="Intro copy"/>
    <w:basedOn w:val="Normal"/>
    <w:link w:val="IntrocopyChar"/>
    <w:autoRedefine/>
    <w:qFormat/>
    <w:rsid w:val="003B5C3E"/>
    <w:rPr>
      <w:sz w:val="24"/>
    </w:rPr>
  </w:style>
  <w:style w:type="character" w:customStyle="1" w:styleId="IntrocopyChar">
    <w:name w:val="Intro copy Char"/>
    <w:basedOn w:val="DefaultParagraphFont"/>
    <w:link w:val="Introcopy"/>
    <w:rsid w:val="003B5C3E"/>
    <w:rPr>
      <w:rFonts w:ascii="Avenir Next LT Pro" w:eastAsia="Avenir Next LT Pro" w:hAnsi="Avenir Next LT Pro" w:cs="Times New Roman"/>
      <w:color w:val="2B4159"/>
      <w:sz w:val="24"/>
    </w:rPr>
  </w:style>
  <w:style w:type="paragraph" w:customStyle="1" w:styleId="Normal50">
    <w:name w:val="Normal_50"/>
    <w:qFormat/>
    <w:rsid w:val="00855D77"/>
    <w:pPr>
      <w:adjustRightInd w:val="0"/>
      <w:spacing w:after="0" w:line="240" w:lineRule="auto"/>
      <w:jc w:val="both"/>
    </w:pPr>
    <w:rPr>
      <w:rFonts w:ascii="Times New Roman" w:eastAsia="Times New Roman" w:hAnsi="Times New Roman" w:cs="Times New Roman"/>
      <w:sz w:val="24"/>
      <w:szCs w:val="24"/>
    </w:rPr>
  </w:style>
  <w:style w:type="character" w:customStyle="1" w:styleId="DeltaViewInsertion">
    <w:name w:val="DeltaView Insertion"/>
    <w:rsid w:val="00855D77"/>
    <w:rPr>
      <w:color w:val="0000FF"/>
      <w:u w:val="double"/>
    </w:rPr>
  </w:style>
  <w:style w:type="paragraph" w:styleId="BalloonText">
    <w:name w:val="Balloon Text"/>
    <w:basedOn w:val="Normal"/>
    <w:link w:val="BalloonTextChar"/>
    <w:uiPriority w:val="99"/>
    <w:semiHidden/>
    <w:unhideWhenUsed/>
    <w:rsid w:val="0085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77"/>
    <w:rPr>
      <w:rFonts w:ascii="Segoe UI" w:eastAsia="Avenir Next LT Pro" w:hAnsi="Segoe UI" w:cs="Segoe UI"/>
      <w:color w:val="2B4159"/>
      <w:sz w:val="18"/>
      <w:szCs w:val="18"/>
    </w:rPr>
  </w:style>
  <w:style w:type="paragraph" w:customStyle="1" w:styleId="Bullet">
    <w:name w:val="Bullet"/>
    <w:aliases w:val="RFP"/>
    <w:basedOn w:val="Normal"/>
    <w:rsid w:val="00855D77"/>
    <w:pPr>
      <w:numPr>
        <w:numId w:val="7"/>
      </w:numPr>
      <w:spacing w:before="40" w:after="40" w:line="240" w:lineRule="auto"/>
    </w:pPr>
    <w:rPr>
      <w:rFonts w:ascii="Palatino Linotype" w:eastAsiaTheme="minorHAnsi" w:hAnsi="Palatino Linotype" w:cs="Calibri"/>
      <w:color w:val="auto"/>
    </w:rPr>
  </w:style>
  <w:style w:type="character" w:styleId="CommentReference">
    <w:name w:val="annotation reference"/>
    <w:basedOn w:val="DefaultParagraphFont"/>
    <w:unhideWhenUsed/>
    <w:rsid w:val="003D1BF3"/>
    <w:rPr>
      <w:sz w:val="16"/>
      <w:szCs w:val="16"/>
    </w:rPr>
  </w:style>
  <w:style w:type="paragraph" w:styleId="CommentText">
    <w:name w:val="annotation text"/>
    <w:basedOn w:val="Normal"/>
    <w:link w:val="CommentTextChar"/>
    <w:unhideWhenUsed/>
    <w:rsid w:val="003D1BF3"/>
    <w:pPr>
      <w:spacing w:line="240" w:lineRule="auto"/>
    </w:pPr>
    <w:rPr>
      <w:sz w:val="20"/>
      <w:szCs w:val="20"/>
    </w:rPr>
  </w:style>
  <w:style w:type="character" w:customStyle="1" w:styleId="CommentTextChar">
    <w:name w:val="Comment Text Char"/>
    <w:basedOn w:val="DefaultParagraphFont"/>
    <w:link w:val="CommentText"/>
    <w:rsid w:val="003D1BF3"/>
    <w:rPr>
      <w:rFonts w:ascii="Avenir Next LT Pro" w:eastAsia="Avenir Next LT Pro" w:hAnsi="Avenir Next LT Pro" w:cs="Times New Roman"/>
      <w:color w:val="2B4159"/>
      <w:sz w:val="20"/>
      <w:szCs w:val="20"/>
    </w:rPr>
  </w:style>
  <w:style w:type="paragraph" w:styleId="CommentSubject">
    <w:name w:val="annotation subject"/>
    <w:basedOn w:val="CommentText"/>
    <w:next w:val="CommentText"/>
    <w:link w:val="CommentSubjectChar"/>
    <w:uiPriority w:val="99"/>
    <w:semiHidden/>
    <w:unhideWhenUsed/>
    <w:rsid w:val="003D1BF3"/>
    <w:rPr>
      <w:b/>
      <w:bCs/>
    </w:rPr>
  </w:style>
  <w:style w:type="character" w:customStyle="1" w:styleId="CommentSubjectChar">
    <w:name w:val="Comment Subject Char"/>
    <w:basedOn w:val="CommentTextChar"/>
    <w:link w:val="CommentSubject"/>
    <w:uiPriority w:val="99"/>
    <w:semiHidden/>
    <w:rsid w:val="003D1BF3"/>
    <w:rPr>
      <w:rFonts w:ascii="Avenir Next LT Pro" w:eastAsia="Avenir Next LT Pro" w:hAnsi="Avenir Next LT Pro" w:cs="Times New Roman"/>
      <w:b/>
      <w:bCs/>
      <w:color w:val="2B4159"/>
      <w:sz w:val="20"/>
      <w:szCs w:val="20"/>
    </w:rPr>
  </w:style>
  <w:style w:type="paragraph" w:styleId="FootnoteText">
    <w:name w:val="footnote text"/>
    <w:aliases w:val="Car,footnote text1"/>
    <w:basedOn w:val="Normal"/>
    <w:link w:val="FootnoteTextChar"/>
    <w:uiPriority w:val="99"/>
    <w:unhideWhenUsed/>
    <w:rsid w:val="00453D8D"/>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Car Char,footnote text1 Char"/>
    <w:basedOn w:val="DefaultParagraphFont"/>
    <w:link w:val="FootnoteText"/>
    <w:uiPriority w:val="99"/>
    <w:rsid w:val="00453D8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53D8D"/>
    <w:rPr>
      <w:vertAlign w:val="superscript"/>
    </w:rPr>
  </w:style>
  <w:style w:type="paragraph" w:styleId="Header">
    <w:name w:val="header"/>
    <w:basedOn w:val="Normal"/>
    <w:link w:val="HeaderChar"/>
    <w:uiPriority w:val="99"/>
    <w:semiHidden/>
    <w:unhideWhenUsed/>
    <w:rsid w:val="00A736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693"/>
    <w:rPr>
      <w:rFonts w:ascii="Avenir Next LT Pro" w:eastAsia="Avenir Next LT Pro" w:hAnsi="Avenir Next LT Pro" w:cs="Times New Roman"/>
      <w:color w:val="2B4159"/>
    </w:rPr>
  </w:style>
  <w:style w:type="paragraph" w:styleId="Revision">
    <w:name w:val="Revision"/>
    <w:hidden/>
    <w:uiPriority w:val="99"/>
    <w:semiHidden/>
    <w:rsid w:val="00111FA7"/>
    <w:pPr>
      <w:spacing w:after="0" w:line="240" w:lineRule="auto"/>
    </w:pPr>
    <w:rPr>
      <w:rFonts w:ascii="Avenir Next LT Pro" w:eastAsia="Avenir Next LT Pro" w:hAnsi="Avenir Next LT Pro" w:cs="Times New Roman"/>
      <w:color w:val="2B4159"/>
    </w:rPr>
  </w:style>
  <w:style w:type="character" w:styleId="Mention">
    <w:name w:val="Mention"/>
    <w:basedOn w:val="DefaultParagraphFont"/>
    <w:uiPriority w:val="99"/>
    <w:unhideWhenUsed/>
    <w:rsid w:val="00B13F07"/>
    <w:rPr>
      <w:color w:val="2B579A"/>
      <w:shd w:val="clear" w:color="auto" w:fill="E1DFDD"/>
    </w:rPr>
  </w:style>
  <w:style w:type="paragraph" w:customStyle="1" w:styleId="Default">
    <w:name w:val="Default"/>
    <w:rsid w:val="00B13F0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6D6013"/>
    <w:rPr>
      <w:color w:val="605E5C"/>
      <w:shd w:val="clear" w:color="auto" w:fill="E1DFDD"/>
    </w:rPr>
  </w:style>
  <w:style w:type="table" w:styleId="TableGrid">
    <w:name w:val="Table Grid"/>
    <w:basedOn w:val="TableNormal"/>
    <w:uiPriority w:val="39"/>
    <w:rsid w:val="00E409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s-Inside">
    <w:name w:val="Specs-Inside"/>
    <w:basedOn w:val="Normal"/>
    <w:rsid w:val="00E409C5"/>
    <w:pPr>
      <w:tabs>
        <w:tab w:val="num" w:pos="950"/>
      </w:tabs>
      <w:spacing w:after="0" w:line="240" w:lineRule="auto"/>
      <w:ind w:left="950" w:hanging="475"/>
    </w:pPr>
    <w:rPr>
      <w:rFonts w:ascii="Times New Roman" w:eastAsia="Times New Roman" w:hAnsi="Times New Roman"/>
      <w:noProof/>
      <w:color w:val="auto"/>
      <w:szCs w:val="20"/>
    </w:rPr>
  </w:style>
  <w:style w:type="paragraph" w:styleId="BodyText">
    <w:name w:val="Body Text"/>
    <w:basedOn w:val="Normal"/>
    <w:link w:val="BodyTextChar"/>
    <w:uiPriority w:val="99"/>
    <w:semiHidden/>
    <w:unhideWhenUsed/>
    <w:rsid w:val="00913419"/>
    <w:pPr>
      <w:spacing w:line="240" w:lineRule="auto"/>
    </w:pPr>
    <w:rPr>
      <w:rFonts w:ascii="Times New Roman" w:eastAsiaTheme="minorEastAsia" w:hAnsi="Times New Roman"/>
      <w:color w:val="auto"/>
      <w:sz w:val="24"/>
      <w:szCs w:val="24"/>
    </w:rPr>
  </w:style>
  <w:style w:type="character" w:customStyle="1" w:styleId="BodyTextChar">
    <w:name w:val="Body Text Char"/>
    <w:basedOn w:val="DefaultParagraphFont"/>
    <w:link w:val="BodyText"/>
    <w:uiPriority w:val="99"/>
    <w:semiHidden/>
    <w:rsid w:val="00913419"/>
    <w:rPr>
      <w:rFonts w:ascii="Times New Roman" w:eastAsiaTheme="minorEastAsia" w:hAnsi="Times New Roman" w:cs="Times New Roman"/>
      <w:sz w:val="24"/>
      <w:szCs w:val="24"/>
    </w:rPr>
  </w:style>
  <w:style w:type="character" w:customStyle="1" w:styleId="normaltextrun">
    <w:name w:val="normaltextrun"/>
    <w:basedOn w:val="DefaultParagraphFont"/>
    <w:rsid w:val="001047AB"/>
  </w:style>
  <w:style w:type="character" w:customStyle="1" w:styleId="eop">
    <w:name w:val="eop"/>
    <w:basedOn w:val="DefaultParagraphFont"/>
    <w:rsid w:val="0010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74477">
      <w:bodyDiv w:val="1"/>
      <w:marLeft w:val="0"/>
      <w:marRight w:val="0"/>
      <w:marTop w:val="0"/>
      <w:marBottom w:val="0"/>
      <w:divBdr>
        <w:top w:val="none" w:sz="0" w:space="0" w:color="auto"/>
        <w:left w:val="none" w:sz="0" w:space="0" w:color="auto"/>
        <w:bottom w:val="none" w:sz="0" w:space="0" w:color="auto"/>
        <w:right w:val="none" w:sz="0" w:space="0" w:color="auto"/>
      </w:divBdr>
      <w:divsChild>
        <w:div w:id="108202223">
          <w:marLeft w:val="0"/>
          <w:marRight w:val="0"/>
          <w:marTop w:val="0"/>
          <w:marBottom w:val="0"/>
          <w:divBdr>
            <w:top w:val="none" w:sz="0" w:space="0" w:color="auto"/>
            <w:left w:val="none" w:sz="0" w:space="0" w:color="auto"/>
            <w:bottom w:val="none" w:sz="0" w:space="0" w:color="auto"/>
            <w:right w:val="none" w:sz="0" w:space="0" w:color="auto"/>
          </w:divBdr>
        </w:div>
        <w:div w:id="298192787">
          <w:marLeft w:val="0"/>
          <w:marRight w:val="0"/>
          <w:marTop w:val="0"/>
          <w:marBottom w:val="0"/>
          <w:divBdr>
            <w:top w:val="none" w:sz="0" w:space="0" w:color="auto"/>
            <w:left w:val="none" w:sz="0" w:space="0" w:color="auto"/>
            <w:bottom w:val="none" w:sz="0" w:space="0" w:color="auto"/>
            <w:right w:val="none" w:sz="0" w:space="0" w:color="auto"/>
          </w:divBdr>
        </w:div>
        <w:div w:id="738089807">
          <w:marLeft w:val="0"/>
          <w:marRight w:val="0"/>
          <w:marTop w:val="0"/>
          <w:marBottom w:val="0"/>
          <w:divBdr>
            <w:top w:val="none" w:sz="0" w:space="0" w:color="auto"/>
            <w:left w:val="none" w:sz="0" w:space="0" w:color="auto"/>
            <w:bottom w:val="none" w:sz="0" w:space="0" w:color="auto"/>
            <w:right w:val="none" w:sz="0" w:space="0" w:color="auto"/>
          </w:divBdr>
        </w:div>
        <w:div w:id="1311399133">
          <w:marLeft w:val="0"/>
          <w:marRight w:val="0"/>
          <w:marTop w:val="0"/>
          <w:marBottom w:val="0"/>
          <w:divBdr>
            <w:top w:val="none" w:sz="0" w:space="0" w:color="auto"/>
            <w:left w:val="none" w:sz="0" w:space="0" w:color="auto"/>
            <w:bottom w:val="none" w:sz="0" w:space="0" w:color="auto"/>
            <w:right w:val="none" w:sz="0" w:space="0" w:color="auto"/>
          </w:divBdr>
        </w:div>
      </w:divsChild>
    </w:div>
    <w:div w:id="1174297623">
      <w:bodyDiv w:val="1"/>
      <w:marLeft w:val="0"/>
      <w:marRight w:val="0"/>
      <w:marTop w:val="0"/>
      <w:marBottom w:val="0"/>
      <w:divBdr>
        <w:top w:val="none" w:sz="0" w:space="0" w:color="auto"/>
        <w:left w:val="none" w:sz="0" w:space="0" w:color="auto"/>
        <w:bottom w:val="none" w:sz="0" w:space="0" w:color="auto"/>
        <w:right w:val="none" w:sz="0" w:space="0" w:color="auto"/>
      </w:divBdr>
    </w:div>
    <w:div w:id="1380786605">
      <w:bodyDiv w:val="1"/>
      <w:marLeft w:val="0"/>
      <w:marRight w:val="0"/>
      <w:marTop w:val="0"/>
      <w:marBottom w:val="0"/>
      <w:divBdr>
        <w:top w:val="none" w:sz="0" w:space="0" w:color="auto"/>
        <w:left w:val="none" w:sz="0" w:space="0" w:color="auto"/>
        <w:bottom w:val="none" w:sz="0" w:space="0" w:color="auto"/>
        <w:right w:val="none" w:sz="0" w:space="0" w:color="auto"/>
      </w:divBdr>
    </w:div>
    <w:div w:id="1469470624">
      <w:bodyDiv w:val="1"/>
      <w:marLeft w:val="0"/>
      <w:marRight w:val="0"/>
      <w:marTop w:val="0"/>
      <w:marBottom w:val="0"/>
      <w:divBdr>
        <w:top w:val="none" w:sz="0" w:space="0" w:color="auto"/>
        <w:left w:val="none" w:sz="0" w:space="0" w:color="auto"/>
        <w:bottom w:val="none" w:sz="0" w:space="0" w:color="auto"/>
        <w:right w:val="none" w:sz="0" w:space="0" w:color="auto"/>
      </w:divBdr>
    </w:div>
    <w:div w:id="1850485029">
      <w:bodyDiv w:val="1"/>
      <w:marLeft w:val="0"/>
      <w:marRight w:val="0"/>
      <w:marTop w:val="0"/>
      <w:marBottom w:val="0"/>
      <w:divBdr>
        <w:top w:val="none" w:sz="0" w:space="0" w:color="auto"/>
        <w:left w:val="none" w:sz="0" w:space="0" w:color="auto"/>
        <w:bottom w:val="none" w:sz="0" w:space="0" w:color="auto"/>
        <w:right w:val="none" w:sz="0" w:space="0" w:color="auto"/>
      </w:divBdr>
      <w:divsChild>
        <w:div w:id="17240380">
          <w:marLeft w:val="0"/>
          <w:marRight w:val="0"/>
          <w:marTop w:val="0"/>
          <w:marBottom w:val="0"/>
          <w:divBdr>
            <w:top w:val="none" w:sz="0" w:space="0" w:color="auto"/>
            <w:left w:val="none" w:sz="0" w:space="0" w:color="auto"/>
            <w:bottom w:val="none" w:sz="0" w:space="0" w:color="auto"/>
            <w:right w:val="none" w:sz="0" w:space="0" w:color="auto"/>
          </w:divBdr>
        </w:div>
        <w:div w:id="1075129806">
          <w:marLeft w:val="0"/>
          <w:marRight w:val="0"/>
          <w:marTop w:val="0"/>
          <w:marBottom w:val="0"/>
          <w:divBdr>
            <w:top w:val="none" w:sz="0" w:space="0" w:color="auto"/>
            <w:left w:val="none" w:sz="0" w:space="0" w:color="auto"/>
            <w:bottom w:val="none" w:sz="0" w:space="0" w:color="auto"/>
            <w:right w:val="none" w:sz="0" w:space="0" w:color="auto"/>
          </w:divBdr>
        </w:div>
        <w:div w:id="1356299722">
          <w:marLeft w:val="0"/>
          <w:marRight w:val="0"/>
          <w:marTop w:val="0"/>
          <w:marBottom w:val="0"/>
          <w:divBdr>
            <w:top w:val="none" w:sz="0" w:space="0" w:color="auto"/>
            <w:left w:val="none" w:sz="0" w:space="0" w:color="auto"/>
            <w:bottom w:val="none" w:sz="0" w:space="0" w:color="auto"/>
            <w:right w:val="none" w:sz="0" w:space="0" w:color="auto"/>
          </w:divBdr>
        </w:div>
        <w:div w:id="151834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GE new brand expression">
  <a:themeElements>
    <a:clrScheme name="PGE - new brand expression">
      <a:dk1>
        <a:srgbClr val="2B4159"/>
      </a:dk1>
      <a:lt1>
        <a:srgbClr val="F7F7F7"/>
      </a:lt1>
      <a:dk2>
        <a:srgbClr val="FE584E"/>
      </a:dk2>
      <a:lt2>
        <a:srgbClr val="FFFEF0"/>
      </a:lt2>
      <a:accent1>
        <a:srgbClr val="707689"/>
      </a:accent1>
      <a:accent2>
        <a:srgbClr val="F69883"/>
      </a:accent2>
      <a:accent3>
        <a:srgbClr val="0092B4"/>
      </a:accent3>
      <a:accent4>
        <a:srgbClr val="FAF49D"/>
      </a:accent4>
      <a:accent5>
        <a:srgbClr val="7AD0E2"/>
      </a:accent5>
      <a:accent6>
        <a:srgbClr val="FCF8C4"/>
      </a:accent6>
      <a:hlink>
        <a:srgbClr val="0563C1"/>
      </a:hlink>
      <a:folHlink>
        <a:srgbClr val="954F72"/>
      </a:folHlink>
    </a:clrScheme>
    <a:fontScheme name="PGE - new brand expression">
      <a:majorFont>
        <a:latin typeface="Bahnschrift"/>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GE - new brand expression" id="{4B00673B-BA60-4688-9FED-27BEDF69C76B}" vid="{C7BF8125-75FA-4446-95DA-6A98E04A22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4841846D1AC14D9A1733E44FFEC988" ma:contentTypeVersion="4" ma:contentTypeDescription="Create a new document." ma:contentTypeScope="" ma:versionID="92fe7b0d3d28872a434f3c198b3400f1">
  <xsd:schema xmlns:xsd="http://www.w3.org/2001/XMLSchema" xmlns:xs="http://www.w3.org/2001/XMLSchema" xmlns:p="http://schemas.microsoft.com/office/2006/metadata/properties" xmlns:ns2="6404f89c-0e4a-40cb-9f70-de0123f282b5" targetNamespace="http://schemas.microsoft.com/office/2006/metadata/properties" ma:root="true" ma:fieldsID="30a5fc5ddb48a227bb300b16b21f59fe" ns2:_="">
    <xsd:import namespace="6404f89c-0e4a-40cb-9f70-de0123f28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4f89c-0e4a-40cb-9f70-de0123f28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29929-1F84-4C9F-A34A-010101D2D34F}">
  <ds:schemaRefs>
    <ds:schemaRef ds:uri="http://schemas.openxmlformats.org/officeDocument/2006/bibliography"/>
  </ds:schemaRefs>
</ds:datastoreItem>
</file>

<file path=customXml/itemProps2.xml><?xml version="1.0" encoding="utf-8"?>
<ds:datastoreItem xmlns:ds="http://schemas.openxmlformats.org/officeDocument/2006/customXml" ds:itemID="{942B0A3E-E62A-4E41-938F-841A5C5532A9}">
  <ds:schemaRefs>
    <ds:schemaRef ds:uri="http://schemas.microsoft.com/sharepoint/v3/contenttype/forms"/>
  </ds:schemaRefs>
</ds:datastoreItem>
</file>

<file path=customXml/itemProps3.xml><?xml version="1.0" encoding="utf-8"?>
<ds:datastoreItem xmlns:ds="http://schemas.openxmlformats.org/officeDocument/2006/customXml" ds:itemID="{CAED918A-DE6F-4D4B-A1FE-C9D2BE2CB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C08C0B-7FE2-4334-B5E1-5BA1BFF8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4f89c-0e4a-40cb-9f70-de0123f2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5644d4-2cff-4dd6-adc8-6e0af4ec9551}" enabled="1" method="Privileged" siteId="{3bbabadf-0ad6-4f66-984b-4c0586a4ef8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Word Doc Template B</vt:lpstr>
    </vt:vector>
  </TitlesOfParts>
  <Company>Portland General Electric</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 SCA Term Sheet</dc:title>
  <dc:subject/>
  <dc:creator>PGE</dc:creator>
  <cp:keywords/>
  <dc:description/>
  <cp:lastModifiedBy>Joe Boyles (non-PGE, Contingent)</cp:lastModifiedBy>
  <cp:revision>52</cp:revision>
  <cp:lastPrinted>2025-03-09T16:05:00Z</cp:lastPrinted>
  <dcterms:created xsi:type="dcterms:W3CDTF">2025-03-07T04:30:00Z</dcterms:created>
  <dcterms:modified xsi:type="dcterms:W3CDTF">2025-07-31T14:30:00Z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0x010100B34841846D1AC14D9A1733E44FFEC988</vt:lpwstr>
  </property>
  <property fmtid="{D5CDD505-2E9C-101B-9397-08002B2CF9AE}" pid="3" name="_dlc_DocIdItemGuid">
    <vt:lpwstr>2fcaf8db-fe27-4894-ba96-7cabf232d83b</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itle">
    <vt:lpwstr>Word Doc Template B</vt:lpwstr>
  </property>
  <property fmtid="{D5CDD505-2E9C-101B-9397-08002B2CF9AE}" pid="10" name="Created">
    <vt:lpwstr>2021-05-09T21:24:00+00:00</vt:lpwstr>
  </property>
  <property fmtid="{D5CDD505-2E9C-101B-9397-08002B2CF9AE}" pid="11" name="Author">
    <vt:lpwstr>40;#PGE Legal Users</vt:lpwstr>
  </property>
  <property fmtid="{D5CDD505-2E9C-101B-9397-08002B2CF9AE}" pid="12" name="Editor">
    <vt:lpwstr>173;#Crystal Lindquist</vt:lpwstr>
  </property>
  <property fmtid="{D5CDD505-2E9C-101B-9397-08002B2CF9AE}" pid="13" name="Modified">
    <vt:lpwstr>2021-10-13T00:24:00+00:00</vt:lpwstr>
  </property>
  <property fmtid="{D5CDD505-2E9C-101B-9397-08002B2CF9AE}" pid="14" name="_UIVersionString">
    <vt:lpwstr>247.0</vt:lpwstr>
  </property>
  <property fmtid="{D5CDD505-2E9C-101B-9397-08002B2CF9AE}" pid="15" name="ContentType">
    <vt:lpwstr>DMS Document</vt:lpwstr>
  </property>
  <property fmtid="{D5CDD505-2E9C-101B-9397-08002B2CF9AE}" pid="16" name="ClientName">
    <vt:lpwstr>Commercial</vt:lpwstr>
  </property>
  <property fmtid="{D5CDD505-2E9C-101B-9397-08002B2CF9AE}" pid="17" name="ClientCode">
    <vt:lpwstr>CM</vt:lpwstr>
  </property>
  <property fmtid="{D5CDD505-2E9C-101B-9397-08002B2CF9AE}" pid="18" name="MatterName">
    <vt:lpwstr>2023 All-Source RFP - Commercial</vt:lpwstr>
  </property>
  <property fmtid="{D5CDD505-2E9C-101B-9397-08002B2CF9AE}" pid="19" name="MatterCode">
    <vt:lpwstr>2023-0013</vt:lpwstr>
  </property>
  <property fmtid="{D5CDD505-2E9C-101B-9397-08002B2CF9AE}" pid="20" name="DocumentNotes">
    <vt:lpwstr/>
  </property>
  <property fmtid="{D5CDD505-2E9C-101B-9397-08002B2CF9AE}" pid="21" name="DocumentStatus">
    <vt:lpwstr/>
  </property>
  <property fmtid="{D5CDD505-2E9C-101B-9397-08002B2CF9AE}" pid="22" name="DocumentType">
    <vt:lpwstr/>
  </property>
  <property fmtid="{D5CDD505-2E9C-101B-9397-08002B2CF9AE}" pid="23" name="baba8abb9d304c2e8d9fca7dcd5982f2">
    <vt:lpwstr/>
  </property>
  <property fmtid="{D5CDD505-2E9C-101B-9397-08002B2CF9AE}" pid="24" name="PleadingStatus">
    <vt:lpwstr/>
  </property>
  <property fmtid="{D5CDD505-2E9C-101B-9397-08002B2CF9AE}" pid="25" name="PleadingType">
    <vt:lpwstr/>
  </property>
  <property fmtid="{D5CDD505-2E9C-101B-9397-08002B2CF9AE}" pid="26" name="k8e7c7cc42674c8faac825f0cc56e3c2">
    <vt:lpwstr/>
  </property>
  <property fmtid="{D5CDD505-2E9C-101B-9397-08002B2CF9AE}" pid="27" name="ClassificationContentMarkingFooterShapeIds">
    <vt:lpwstr>5842e659,7bffa05c,48d05502</vt:lpwstr>
  </property>
  <property fmtid="{D5CDD505-2E9C-101B-9397-08002B2CF9AE}" pid="28" name="ClassificationContentMarkingFooterFontProps">
    <vt:lpwstr>#000000,10,Calibri</vt:lpwstr>
  </property>
  <property fmtid="{D5CDD505-2E9C-101B-9397-08002B2CF9AE}" pid="29" name="ClassificationContentMarkingFooterText">
    <vt:lpwstr>Public</vt:lpwstr>
  </property>
</Properties>
</file>