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D154" w14:textId="77777777" w:rsidR="005F4F30" w:rsidRDefault="005F4F30" w:rsidP="00514B73">
      <w:pPr>
        <w:spacing w:line="240" w:lineRule="auto"/>
        <w:rPr>
          <w:rFonts w:ascii="Arial" w:hAnsi="Arial" w:cs="Arial"/>
          <w:b/>
          <w:bCs/>
          <w:sz w:val="24"/>
          <w:szCs w:val="24"/>
          <w:u w:val="single"/>
        </w:rPr>
      </w:pPr>
    </w:p>
    <w:p w14:paraId="33D7881A" w14:textId="0A209195" w:rsidR="00FE41F1" w:rsidRPr="00A84B1B" w:rsidRDefault="00FE41F1" w:rsidP="00FE41F1">
      <w:pPr>
        <w:spacing w:before="2"/>
        <w:rPr>
          <w:color w:val="00B0F0"/>
          <w:sz w:val="40"/>
          <w:szCs w:val="40"/>
        </w:rPr>
      </w:pPr>
      <w:r w:rsidRPr="00A84B1B">
        <w:rPr>
          <w:color w:val="00B0F0"/>
          <w:sz w:val="40"/>
          <w:szCs w:val="40"/>
        </w:rPr>
        <w:t>Co-operative Group Limited</w:t>
      </w:r>
      <w:bookmarkStart w:id="0" w:name="RANGE!A1:H41"/>
      <w:bookmarkEnd w:id="0"/>
      <w:r>
        <w:rPr>
          <w:color w:val="00B0F0"/>
          <w:sz w:val="40"/>
          <w:szCs w:val="40"/>
        </w:rPr>
        <w:br/>
      </w:r>
      <w:r>
        <w:rPr>
          <w:color w:val="00B5DD"/>
          <w:spacing w:val="-5"/>
          <w:sz w:val="40"/>
          <w:szCs w:val="40"/>
        </w:rPr>
        <w:t>News</w:t>
      </w:r>
      <w:r>
        <w:rPr>
          <w:color w:val="00B5DD"/>
          <w:sz w:val="40"/>
          <w:szCs w:val="40"/>
        </w:rPr>
        <w:t xml:space="preserve"> </w:t>
      </w:r>
      <w:r>
        <w:rPr>
          <w:color w:val="00B5DD"/>
          <w:spacing w:val="-7"/>
          <w:sz w:val="40"/>
          <w:szCs w:val="40"/>
        </w:rPr>
        <w:t xml:space="preserve">release </w:t>
      </w:r>
    </w:p>
    <w:p w14:paraId="6E8D124D" w14:textId="77777777" w:rsidR="00FE41F1" w:rsidRDefault="00FE41F1" w:rsidP="00FE41F1">
      <w:pPr>
        <w:spacing w:before="2"/>
        <w:rPr>
          <w:rFonts w:ascii="Arial" w:hAnsi="Arial" w:cs="Arial"/>
          <w:sz w:val="24"/>
          <w:szCs w:val="24"/>
        </w:rPr>
      </w:pPr>
      <w:r>
        <w:rPr>
          <w:rFonts w:ascii="Arial" w:hAnsi="Arial" w:cs="Arial"/>
          <w:color w:val="000000"/>
          <w:sz w:val="20"/>
          <w:szCs w:val="20"/>
        </w:rPr>
        <w:t>29</w:t>
      </w:r>
      <w:r w:rsidRPr="00DD3020">
        <w:rPr>
          <w:rFonts w:ascii="Arial" w:hAnsi="Arial" w:cs="Arial"/>
          <w:color w:val="000000"/>
          <w:sz w:val="20"/>
          <w:szCs w:val="20"/>
          <w:vertAlign w:val="superscript"/>
        </w:rPr>
        <w:t>th</w:t>
      </w:r>
      <w:r>
        <w:rPr>
          <w:rFonts w:ascii="Arial" w:hAnsi="Arial" w:cs="Arial"/>
          <w:color w:val="000000"/>
          <w:sz w:val="20"/>
          <w:szCs w:val="20"/>
        </w:rPr>
        <w:t xml:space="preserve"> September 2022</w:t>
      </w:r>
    </w:p>
    <w:p w14:paraId="35041167" w14:textId="77777777" w:rsidR="00FE41F1" w:rsidRPr="00395D2C" w:rsidRDefault="00FE41F1" w:rsidP="00FE41F1">
      <w:pPr>
        <w:rPr>
          <w:rFonts w:ascii="Arial" w:eastAsia="Arial" w:hAnsi="Arial" w:cs="Arial"/>
          <w:sz w:val="19"/>
          <w:szCs w:val="19"/>
        </w:rPr>
      </w:pPr>
      <w:r w:rsidRPr="44B77115">
        <w:rPr>
          <w:rFonts w:ascii="Arial" w:hAnsi="Arial" w:cs="Arial"/>
          <w:b/>
          <w:bCs/>
          <w:color w:val="000000" w:themeColor="text1"/>
          <w:sz w:val="20"/>
          <w:szCs w:val="20"/>
        </w:rPr>
        <w:t>Interim Results Announcemen</w:t>
      </w:r>
      <w:r w:rsidRPr="002C1BE5">
        <w:rPr>
          <w:rFonts w:ascii="Arial" w:hAnsi="Arial" w:cs="Arial"/>
          <w:b/>
          <w:bCs/>
          <w:sz w:val="20"/>
          <w:szCs w:val="20"/>
        </w:rPr>
        <w:t xml:space="preserve">t: 26 weeks to </w:t>
      </w:r>
      <w:r>
        <w:rPr>
          <w:rFonts w:ascii="Arial" w:eastAsia="Arial" w:hAnsi="Arial" w:cs="Arial"/>
          <w:b/>
          <w:bCs/>
          <w:sz w:val="19"/>
          <w:szCs w:val="19"/>
        </w:rPr>
        <w:t>2</w:t>
      </w:r>
      <w:r w:rsidRPr="002C1BE5">
        <w:rPr>
          <w:rFonts w:ascii="Arial" w:eastAsia="Arial" w:hAnsi="Arial" w:cs="Arial"/>
          <w:b/>
          <w:bCs/>
          <w:sz w:val="19"/>
          <w:szCs w:val="19"/>
        </w:rPr>
        <w:t xml:space="preserve"> Ju</w:t>
      </w:r>
      <w:r>
        <w:rPr>
          <w:rFonts w:ascii="Arial" w:eastAsia="Arial" w:hAnsi="Arial" w:cs="Arial"/>
          <w:b/>
          <w:bCs/>
          <w:sz w:val="19"/>
          <w:szCs w:val="19"/>
        </w:rPr>
        <w:t>ly</w:t>
      </w:r>
      <w:r w:rsidRPr="002C1BE5">
        <w:rPr>
          <w:rFonts w:ascii="Arial" w:eastAsia="Arial" w:hAnsi="Arial" w:cs="Arial"/>
          <w:b/>
          <w:bCs/>
          <w:sz w:val="19"/>
          <w:szCs w:val="19"/>
        </w:rPr>
        <w:t xml:space="preserve"> 2022.</w:t>
      </w:r>
    </w:p>
    <w:p w14:paraId="781C78F4" w14:textId="77777777" w:rsidR="00FE41F1" w:rsidRPr="00F6653A" w:rsidRDefault="00FE41F1" w:rsidP="00FE41F1">
      <w:pPr>
        <w:pStyle w:val="ListParagraph"/>
      </w:pPr>
    </w:p>
    <w:p w14:paraId="77590EFD" w14:textId="77777777" w:rsidR="00FE41F1" w:rsidRPr="00AA5A80" w:rsidRDefault="00FE41F1" w:rsidP="00FE41F1">
      <w:pPr>
        <w:pStyle w:val="ListParagraph"/>
        <w:rPr>
          <w:rFonts w:ascii="Arial" w:hAnsi="Arial" w:cs="Arial"/>
          <w:b/>
          <w:bCs/>
          <w:color w:val="000000"/>
          <w:sz w:val="30"/>
          <w:szCs w:val="30"/>
        </w:rPr>
      </w:pPr>
      <w:r w:rsidRPr="5B95CECD">
        <w:rPr>
          <w:rFonts w:ascii="Arial" w:hAnsi="Arial" w:cs="Arial"/>
          <w:b/>
          <w:bCs/>
          <w:color w:val="000000" w:themeColor="text1"/>
          <w:sz w:val="30"/>
          <w:szCs w:val="30"/>
        </w:rPr>
        <w:t xml:space="preserve">Co-op acts to strengthen balance sheet and support members during </w:t>
      </w:r>
      <w:bookmarkStart w:id="1" w:name="_Int_uy4TR6kq"/>
      <w:proofErr w:type="gramStart"/>
      <w:r w:rsidRPr="5B95CECD">
        <w:rPr>
          <w:rFonts w:ascii="Arial" w:hAnsi="Arial" w:cs="Arial"/>
          <w:b/>
          <w:bCs/>
          <w:color w:val="000000" w:themeColor="text1"/>
          <w:sz w:val="30"/>
          <w:szCs w:val="30"/>
        </w:rPr>
        <w:t>cost of living</w:t>
      </w:r>
      <w:bookmarkEnd w:id="1"/>
      <w:proofErr w:type="gramEnd"/>
      <w:r w:rsidRPr="5B95CECD">
        <w:rPr>
          <w:rFonts w:ascii="Arial" w:hAnsi="Arial" w:cs="Arial"/>
          <w:b/>
          <w:bCs/>
          <w:color w:val="000000" w:themeColor="text1"/>
          <w:sz w:val="30"/>
          <w:szCs w:val="30"/>
        </w:rPr>
        <w:t xml:space="preserve"> crisis  </w:t>
      </w:r>
    </w:p>
    <w:p w14:paraId="2EA104E9" w14:textId="77777777" w:rsidR="00FE41F1" w:rsidRPr="00AA5A80" w:rsidRDefault="00FE41F1" w:rsidP="00FE41F1">
      <w:pPr>
        <w:pStyle w:val="ListParagraph"/>
        <w:rPr>
          <w:rFonts w:ascii="Arial" w:hAnsi="Arial" w:cs="Arial"/>
          <w:bCs/>
          <w:sz w:val="24"/>
          <w:szCs w:val="24"/>
        </w:rPr>
      </w:pPr>
    </w:p>
    <w:p w14:paraId="72462201" w14:textId="77777777" w:rsidR="00FE41F1" w:rsidRPr="006118AD" w:rsidRDefault="00FE41F1" w:rsidP="00FE41F1">
      <w:pPr>
        <w:pStyle w:val="ListParagraph"/>
        <w:numPr>
          <w:ilvl w:val="0"/>
          <w:numId w:val="26"/>
        </w:numPr>
      </w:pPr>
      <w:r w:rsidRPr="44B77115">
        <w:rPr>
          <w:rFonts w:ascii="Arial" w:hAnsi="Arial" w:cs="Arial"/>
        </w:rPr>
        <w:t xml:space="preserve">Decisive management action taken to reduce operational costs, improve operational performance and prioritise capital expenditure.       </w:t>
      </w:r>
    </w:p>
    <w:p w14:paraId="07936585" w14:textId="77777777" w:rsidR="00FE41F1" w:rsidRPr="00AA5A80" w:rsidRDefault="00FE41F1" w:rsidP="00FE41F1">
      <w:pPr>
        <w:pStyle w:val="ListParagraph"/>
        <w:numPr>
          <w:ilvl w:val="0"/>
          <w:numId w:val="26"/>
        </w:numPr>
        <w:spacing w:after="160"/>
        <w:rPr>
          <w:rFonts w:ascii="Arial" w:hAnsi="Arial" w:cs="Arial"/>
        </w:rPr>
      </w:pPr>
      <w:r w:rsidRPr="44B77115">
        <w:rPr>
          <w:rFonts w:ascii="Arial" w:hAnsi="Arial" w:cs="Arial"/>
        </w:rPr>
        <w:t xml:space="preserve">Reduced net debt position from year end through improved cashflow; sale of non-core petrol forecourt business (due in H2) set to reduce debt significantly further.  </w:t>
      </w:r>
    </w:p>
    <w:p w14:paraId="3CAA5B2F" w14:textId="77777777" w:rsidR="00FE41F1" w:rsidRDefault="00FE41F1" w:rsidP="00FE41F1">
      <w:pPr>
        <w:pStyle w:val="ListParagraph"/>
        <w:numPr>
          <w:ilvl w:val="0"/>
          <w:numId w:val="26"/>
        </w:numPr>
        <w:rPr>
          <w:rFonts w:ascii="Arial" w:hAnsi="Arial" w:cs="Arial"/>
        </w:rPr>
      </w:pPr>
      <w:r w:rsidRPr="5B95CECD">
        <w:rPr>
          <w:rFonts w:ascii="Arial" w:hAnsi="Arial" w:cs="Arial"/>
        </w:rPr>
        <w:t xml:space="preserve">Continued vision commitments </w:t>
      </w:r>
      <w:proofErr w:type="gramStart"/>
      <w:r w:rsidRPr="5B95CECD">
        <w:rPr>
          <w:rFonts w:ascii="Arial" w:hAnsi="Arial" w:cs="Arial"/>
        </w:rPr>
        <w:t>sees</w:t>
      </w:r>
      <w:proofErr w:type="gramEnd"/>
      <w:r w:rsidRPr="5B95CECD">
        <w:rPr>
          <w:rFonts w:ascii="Arial" w:hAnsi="Arial" w:cs="Arial"/>
        </w:rPr>
        <w:t xml:space="preserve"> Co-op support its colleagues, members and communities </w:t>
      </w:r>
      <w:bookmarkStart w:id="2" w:name="_Int_VVsQm4lR"/>
      <w:r w:rsidRPr="5B95CECD">
        <w:rPr>
          <w:rFonts w:ascii="Arial" w:hAnsi="Arial" w:cs="Arial"/>
        </w:rPr>
        <w:t>in light of</w:t>
      </w:r>
      <w:bookmarkEnd w:id="2"/>
      <w:r w:rsidRPr="5B95CECD">
        <w:rPr>
          <w:rFonts w:ascii="Arial" w:hAnsi="Arial" w:cs="Arial"/>
        </w:rPr>
        <w:t xml:space="preserve"> the cost-of-living crisis.  </w:t>
      </w:r>
    </w:p>
    <w:p w14:paraId="6E78F8EE" w14:textId="77777777" w:rsidR="00FE41F1" w:rsidRPr="00AA5A80" w:rsidRDefault="00FE41F1" w:rsidP="00FE41F1">
      <w:pPr>
        <w:jc w:val="both"/>
        <w:rPr>
          <w:rFonts w:ascii="Arial" w:hAnsi="Arial" w:cs="Arial"/>
        </w:rPr>
      </w:pPr>
      <w:r w:rsidRPr="00AA5A80">
        <w:rPr>
          <w:rFonts w:ascii="Arial" w:hAnsi="Arial" w:cs="Arial"/>
          <w:b/>
          <w:color w:val="000000"/>
        </w:rPr>
        <w:t xml:space="preserve">Financial &amp; Business Development Highlights   </w:t>
      </w:r>
    </w:p>
    <w:p w14:paraId="31F2C104" w14:textId="77777777" w:rsidR="00FE41F1" w:rsidRDefault="00FE41F1" w:rsidP="00FE41F1">
      <w:pPr>
        <w:pStyle w:val="ListParagraph"/>
        <w:numPr>
          <w:ilvl w:val="0"/>
          <w:numId w:val="28"/>
        </w:numPr>
        <w:rPr>
          <w:rFonts w:ascii="Arial" w:hAnsi="Arial" w:cs="Arial"/>
        </w:rPr>
      </w:pPr>
      <w:r>
        <w:rPr>
          <w:rFonts w:ascii="Arial" w:hAnsi="Arial" w:cs="Arial"/>
        </w:rPr>
        <w:t xml:space="preserve">In very challenging markets delivered a robust sales performance, with revenues broadly flat versus H1 2021. </w:t>
      </w:r>
      <w:r w:rsidRPr="00FD38D8">
        <w:rPr>
          <w:rFonts w:ascii="Arial" w:hAnsi="Arial" w:cs="Arial"/>
        </w:rPr>
        <w:t xml:space="preserve">Co-op </w:t>
      </w:r>
      <w:r>
        <w:rPr>
          <w:rFonts w:ascii="Arial" w:hAnsi="Arial" w:cs="Arial"/>
        </w:rPr>
        <w:t>F</w:t>
      </w:r>
      <w:r w:rsidRPr="00FD38D8">
        <w:rPr>
          <w:rFonts w:ascii="Arial" w:hAnsi="Arial" w:cs="Arial"/>
        </w:rPr>
        <w:t>ood has revived its market share to 6.5% (Kantar)</w:t>
      </w:r>
      <w:r w:rsidRPr="44B77115">
        <w:rPr>
          <w:rFonts w:ascii="Arial" w:hAnsi="Arial" w:cs="Arial"/>
        </w:rPr>
        <w:t xml:space="preserve"> and </w:t>
      </w:r>
      <w:r>
        <w:rPr>
          <w:rFonts w:ascii="Arial" w:hAnsi="Arial" w:cs="Arial"/>
        </w:rPr>
        <w:t>was</w:t>
      </w:r>
      <w:r w:rsidRPr="44B77115">
        <w:rPr>
          <w:rFonts w:ascii="Arial" w:hAnsi="Arial" w:cs="Arial"/>
        </w:rPr>
        <w:t xml:space="preserve"> the fastest growing retailer during the hot weather (</w:t>
      </w:r>
      <w:proofErr w:type="spellStart"/>
      <w:r w:rsidRPr="44B77115">
        <w:rPr>
          <w:rFonts w:ascii="Arial" w:hAnsi="Arial" w:cs="Arial"/>
        </w:rPr>
        <w:t>NielsenIQ</w:t>
      </w:r>
      <w:proofErr w:type="spellEnd"/>
      <w:r w:rsidRPr="44B77115">
        <w:rPr>
          <w:rFonts w:ascii="Arial" w:hAnsi="Arial" w:cs="Arial"/>
        </w:rPr>
        <w:t>).</w:t>
      </w:r>
    </w:p>
    <w:p w14:paraId="48E38859" w14:textId="77777777" w:rsidR="00FE41F1" w:rsidRDefault="00FE41F1" w:rsidP="00FE41F1">
      <w:pPr>
        <w:pStyle w:val="ListParagraph"/>
        <w:numPr>
          <w:ilvl w:val="0"/>
          <w:numId w:val="28"/>
        </w:numPr>
        <w:rPr>
          <w:rFonts w:ascii="Arial" w:hAnsi="Arial" w:cs="Arial"/>
        </w:rPr>
      </w:pPr>
      <w:r w:rsidRPr="004E4B39">
        <w:rPr>
          <w:rFonts w:ascii="Arial" w:hAnsi="Arial" w:cs="Arial"/>
        </w:rPr>
        <w:t xml:space="preserve">A clear focus on cost reduction has helped </w:t>
      </w:r>
      <w:r>
        <w:rPr>
          <w:rFonts w:ascii="Arial" w:hAnsi="Arial" w:cs="Arial"/>
        </w:rPr>
        <w:t>offset some of the</w:t>
      </w:r>
      <w:r w:rsidRPr="004E4B39">
        <w:rPr>
          <w:rFonts w:ascii="Arial" w:hAnsi="Arial" w:cs="Arial"/>
        </w:rPr>
        <w:t xml:space="preserve"> </w:t>
      </w:r>
      <w:r>
        <w:rPr>
          <w:rFonts w:ascii="Arial" w:hAnsi="Arial" w:cs="Arial"/>
        </w:rPr>
        <w:t xml:space="preserve">material </w:t>
      </w:r>
      <w:r w:rsidRPr="004E4B39">
        <w:rPr>
          <w:rFonts w:ascii="Arial" w:hAnsi="Arial" w:cs="Arial"/>
        </w:rPr>
        <w:t xml:space="preserve">external cost headwinds </w:t>
      </w:r>
      <w:r>
        <w:rPr>
          <w:rFonts w:ascii="Arial" w:hAnsi="Arial" w:cs="Arial"/>
        </w:rPr>
        <w:t>impacting</w:t>
      </w:r>
      <w:r w:rsidRPr="004E4B39">
        <w:rPr>
          <w:rFonts w:ascii="Arial" w:hAnsi="Arial" w:cs="Arial"/>
        </w:rPr>
        <w:t xml:space="preserve"> the Group. Energy and wage inflation increased costs by </w:t>
      </w:r>
      <w:r>
        <w:rPr>
          <w:rFonts w:ascii="Arial" w:hAnsi="Arial" w:cs="Arial"/>
        </w:rPr>
        <w:t xml:space="preserve">around </w:t>
      </w:r>
      <w:r w:rsidRPr="004E4B39">
        <w:rPr>
          <w:rFonts w:ascii="Arial" w:hAnsi="Arial" w:cs="Arial"/>
        </w:rPr>
        <w:t>£5</w:t>
      </w:r>
      <w:r>
        <w:rPr>
          <w:rFonts w:ascii="Arial" w:hAnsi="Arial" w:cs="Arial"/>
        </w:rPr>
        <w:t>0</w:t>
      </w:r>
      <w:r w:rsidRPr="004E4B39">
        <w:rPr>
          <w:rFonts w:ascii="Arial" w:hAnsi="Arial" w:cs="Arial"/>
        </w:rPr>
        <w:t xml:space="preserve">m </w:t>
      </w:r>
      <w:r>
        <w:rPr>
          <w:rFonts w:ascii="Arial" w:hAnsi="Arial" w:cs="Arial"/>
        </w:rPr>
        <w:t xml:space="preserve">versus H1 2021 </w:t>
      </w:r>
      <w:r w:rsidRPr="004E4B39">
        <w:rPr>
          <w:rFonts w:ascii="Arial" w:hAnsi="Arial" w:cs="Arial"/>
        </w:rPr>
        <w:t>before mitigating cost savings</w:t>
      </w:r>
      <w:r>
        <w:rPr>
          <w:rFonts w:ascii="Arial" w:hAnsi="Arial" w:cs="Arial"/>
        </w:rPr>
        <w:t>,</w:t>
      </w:r>
      <w:r w:rsidRPr="004E4B39">
        <w:rPr>
          <w:rFonts w:ascii="Arial" w:hAnsi="Arial" w:cs="Arial"/>
        </w:rPr>
        <w:t xml:space="preserve"> and rates holidays </w:t>
      </w:r>
      <w:r>
        <w:rPr>
          <w:rFonts w:ascii="Arial" w:hAnsi="Arial" w:cs="Arial"/>
        </w:rPr>
        <w:t>in H1 2021 create a further £20m adverse variance.</w:t>
      </w:r>
    </w:p>
    <w:p w14:paraId="5BF2ACA0" w14:textId="77777777" w:rsidR="00FE41F1" w:rsidRDefault="00FE41F1" w:rsidP="00FE41F1">
      <w:pPr>
        <w:pStyle w:val="ListParagraph"/>
        <w:numPr>
          <w:ilvl w:val="0"/>
          <w:numId w:val="28"/>
        </w:numPr>
        <w:rPr>
          <w:rFonts w:ascii="Arial" w:hAnsi="Arial" w:cs="Arial"/>
        </w:rPr>
      </w:pPr>
      <w:r>
        <w:rPr>
          <w:rFonts w:ascii="Arial" w:hAnsi="Arial" w:cs="Arial"/>
        </w:rPr>
        <w:t>I</w:t>
      </w:r>
      <w:r w:rsidRPr="004E4B39">
        <w:rPr>
          <w:rFonts w:ascii="Arial" w:hAnsi="Arial" w:cs="Arial"/>
        </w:rPr>
        <w:t xml:space="preserve">n year cost saving </w:t>
      </w:r>
      <w:r>
        <w:rPr>
          <w:rFonts w:ascii="Arial" w:hAnsi="Arial" w:cs="Arial"/>
        </w:rPr>
        <w:t xml:space="preserve">targets </w:t>
      </w:r>
      <w:r w:rsidRPr="004E4B39">
        <w:rPr>
          <w:rFonts w:ascii="Arial" w:hAnsi="Arial" w:cs="Arial"/>
        </w:rPr>
        <w:t xml:space="preserve">of </w:t>
      </w:r>
      <w:r>
        <w:rPr>
          <w:rFonts w:ascii="Arial" w:hAnsi="Arial" w:cs="Arial"/>
        </w:rPr>
        <w:t xml:space="preserve">circa </w:t>
      </w:r>
      <w:r w:rsidRPr="004E4B39">
        <w:rPr>
          <w:rFonts w:ascii="Arial" w:hAnsi="Arial" w:cs="Arial"/>
        </w:rPr>
        <w:t>£</w:t>
      </w:r>
      <w:r>
        <w:rPr>
          <w:rFonts w:ascii="Arial" w:hAnsi="Arial" w:cs="Arial"/>
        </w:rPr>
        <w:t>100</w:t>
      </w:r>
      <w:r w:rsidRPr="004E4B39">
        <w:rPr>
          <w:rFonts w:ascii="Arial" w:hAnsi="Arial" w:cs="Arial"/>
        </w:rPr>
        <w:t>m</w:t>
      </w:r>
      <w:r>
        <w:rPr>
          <w:rFonts w:ascii="Arial" w:hAnsi="Arial" w:cs="Arial"/>
        </w:rPr>
        <w:t xml:space="preserve"> are helping to partially mitigate these headwinds, rising to £150m in 2023 as these savings annualise.</w:t>
      </w:r>
    </w:p>
    <w:p w14:paraId="07D55E5B" w14:textId="77777777" w:rsidR="00FE41F1" w:rsidRPr="004E4B39" w:rsidRDefault="00FE41F1" w:rsidP="00FE41F1">
      <w:pPr>
        <w:pStyle w:val="ListParagraph"/>
        <w:numPr>
          <w:ilvl w:val="0"/>
          <w:numId w:val="28"/>
        </w:numPr>
        <w:rPr>
          <w:rFonts w:ascii="Arial" w:hAnsi="Arial" w:cs="Arial"/>
        </w:rPr>
      </w:pPr>
      <w:r>
        <w:rPr>
          <w:rFonts w:ascii="Arial" w:hAnsi="Arial" w:cs="Arial"/>
        </w:rPr>
        <w:t>Strong cash flow management has generated a significant improvement in cash generation, with £189m reduction in net debt versus £162m increase in net debt over same period last year.</w:t>
      </w:r>
    </w:p>
    <w:p w14:paraId="1F916F93" w14:textId="77777777" w:rsidR="00FE41F1" w:rsidRPr="003010DB" w:rsidRDefault="00FE41F1" w:rsidP="00FE41F1">
      <w:pPr>
        <w:pStyle w:val="ListParagraph"/>
        <w:numPr>
          <w:ilvl w:val="0"/>
          <w:numId w:val="28"/>
        </w:numPr>
        <w:rPr>
          <w:rFonts w:ascii="Arial" w:hAnsi="Arial" w:cs="Arial"/>
        </w:rPr>
      </w:pPr>
      <w:r>
        <w:rPr>
          <w:rFonts w:ascii="Arial" w:hAnsi="Arial" w:cs="Arial"/>
        </w:rPr>
        <w:t xml:space="preserve">The </w:t>
      </w:r>
      <w:r w:rsidRPr="44B77115">
        <w:rPr>
          <w:rFonts w:ascii="Arial" w:hAnsi="Arial" w:cs="Arial"/>
        </w:rPr>
        <w:t xml:space="preserve">sale of our non-core petrol forecourt estate (completion due H2) </w:t>
      </w:r>
      <w:r>
        <w:rPr>
          <w:rFonts w:ascii="Arial" w:hAnsi="Arial" w:cs="Arial"/>
        </w:rPr>
        <w:t xml:space="preserve">will further reduce debt and allow headroom to reinvest </w:t>
      </w:r>
      <w:r w:rsidRPr="44B77115">
        <w:rPr>
          <w:rFonts w:ascii="Arial" w:hAnsi="Arial" w:cs="Arial"/>
        </w:rPr>
        <w:t>in our core convenience business.</w:t>
      </w:r>
    </w:p>
    <w:p w14:paraId="29721BD1" w14:textId="77777777" w:rsidR="00FE41F1" w:rsidRDefault="00FE41F1" w:rsidP="00FE41F1">
      <w:pPr>
        <w:pStyle w:val="ListParagraph"/>
        <w:numPr>
          <w:ilvl w:val="0"/>
          <w:numId w:val="27"/>
        </w:numPr>
        <w:rPr>
          <w:rFonts w:ascii="Arial" w:hAnsi="Arial" w:cs="Arial"/>
        </w:rPr>
      </w:pPr>
      <w:r w:rsidRPr="002C1BE5">
        <w:rPr>
          <w:rFonts w:ascii="Arial" w:hAnsi="Arial" w:cs="Arial"/>
        </w:rPr>
        <w:t>Financial Conduct Authority</w:t>
      </w:r>
      <w:r>
        <w:rPr>
          <w:rFonts w:ascii="Arial" w:hAnsi="Arial" w:cs="Arial"/>
        </w:rPr>
        <w:t xml:space="preserve"> </w:t>
      </w:r>
      <w:r w:rsidRPr="002C1BE5">
        <w:rPr>
          <w:rFonts w:ascii="Arial" w:hAnsi="Arial" w:cs="Arial"/>
        </w:rPr>
        <w:t>(FCA) approval met to achieve regulated status for funeral plan sales - the strength and heritage of our brand puts us in a strong position for future growth.</w:t>
      </w:r>
    </w:p>
    <w:p w14:paraId="19A1EA5C" w14:textId="77777777" w:rsidR="00FE41F1" w:rsidRPr="002C1BE5" w:rsidRDefault="00FE41F1" w:rsidP="00FE41F1">
      <w:pPr>
        <w:pStyle w:val="ListParagraph"/>
        <w:rPr>
          <w:rFonts w:ascii="Arial" w:hAnsi="Arial" w:cs="Arial"/>
        </w:rPr>
      </w:pPr>
    </w:p>
    <w:p w14:paraId="73A87F32" w14:textId="77777777" w:rsidR="00FE41F1" w:rsidRPr="00AA5A80" w:rsidRDefault="00FE41F1" w:rsidP="00FE41F1">
      <w:pPr>
        <w:rPr>
          <w:rFonts w:ascii="Arial" w:hAnsi="Arial" w:cs="Arial"/>
          <w:b/>
        </w:rPr>
      </w:pPr>
      <w:r w:rsidRPr="00AA5A80">
        <w:rPr>
          <w:rFonts w:ascii="Arial" w:hAnsi="Arial" w:cs="Arial"/>
          <w:b/>
        </w:rPr>
        <w:t>Financial Highlights</w:t>
      </w:r>
    </w:p>
    <w:p w14:paraId="22248EB6" w14:textId="77777777" w:rsidR="00FE41F1" w:rsidRDefault="00FE41F1" w:rsidP="00FE41F1">
      <w:pPr>
        <w:rPr>
          <w:rFonts w:ascii="Arial" w:hAnsi="Arial" w:cs="Arial"/>
          <w:b/>
          <w:bCs/>
        </w:rPr>
      </w:pPr>
      <w:r>
        <w:rPr>
          <w:rFonts w:ascii="Arial" w:hAnsi="Arial" w:cs="Arial"/>
          <w:b/>
          <w:bCs/>
        </w:rPr>
        <w:t>H1 2022 in brief</w:t>
      </w:r>
    </w:p>
    <w:p w14:paraId="6F83A52B" w14:textId="77777777" w:rsidR="00FE41F1" w:rsidRDefault="00FE41F1" w:rsidP="00FE41F1">
      <w:pPr>
        <w:pStyle w:val="ListParagraph"/>
        <w:numPr>
          <w:ilvl w:val="0"/>
          <w:numId w:val="3"/>
        </w:numPr>
        <w:spacing w:after="160" w:line="240" w:lineRule="auto"/>
        <w:rPr>
          <w:rFonts w:ascii="Arial" w:hAnsi="Arial" w:cs="Arial"/>
          <w:b/>
          <w:bCs/>
        </w:rPr>
      </w:pPr>
      <w:r>
        <w:rPr>
          <w:rFonts w:ascii="Arial" w:hAnsi="Arial" w:cs="Arial"/>
          <w:b/>
          <w:bCs/>
        </w:rPr>
        <w:t xml:space="preserve">Revenue: £5.6bn </w:t>
      </w:r>
    </w:p>
    <w:p w14:paraId="286466A6" w14:textId="77777777" w:rsidR="00FE41F1" w:rsidRDefault="00FE41F1" w:rsidP="00FE41F1">
      <w:pPr>
        <w:pStyle w:val="ListParagraph"/>
        <w:spacing w:line="240" w:lineRule="auto"/>
        <w:rPr>
          <w:rFonts w:ascii="Arial" w:eastAsiaTheme="minorHAnsi" w:hAnsi="Arial" w:cs="Arial"/>
          <w:i/>
          <w:iCs/>
          <w:color w:val="000000"/>
        </w:rPr>
      </w:pPr>
      <w:r>
        <w:rPr>
          <w:rFonts w:ascii="Arial" w:hAnsi="Arial" w:cs="Arial"/>
          <w:i/>
          <w:iCs/>
          <w:color w:val="000000"/>
        </w:rPr>
        <w:t>Flat compared with H1 2021 (£5.6bn)</w:t>
      </w:r>
    </w:p>
    <w:p w14:paraId="2EC2A3E1" w14:textId="77777777" w:rsidR="00FE41F1" w:rsidRDefault="00FE41F1" w:rsidP="00FE41F1">
      <w:pPr>
        <w:pStyle w:val="ListParagraph"/>
        <w:spacing w:line="240" w:lineRule="auto"/>
        <w:rPr>
          <w:rFonts w:ascii="Arial" w:eastAsia="Times New Roman" w:hAnsi="Arial" w:cs="Arial"/>
          <w:i/>
          <w:iCs/>
          <w:color w:val="000000"/>
        </w:rPr>
      </w:pPr>
    </w:p>
    <w:p w14:paraId="7C15C3B4" w14:textId="77777777" w:rsidR="00FE41F1" w:rsidRDefault="00FE41F1" w:rsidP="00FE41F1">
      <w:pPr>
        <w:pStyle w:val="ListParagraph"/>
        <w:numPr>
          <w:ilvl w:val="0"/>
          <w:numId w:val="3"/>
        </w:numPr>
        <w:spacing w:after="160" w:line="252" w:lineRule="auto"/>
        <w:rPr>
          <w:rFonts w:ascii="Arial" w:hAnsi="Arial" w:cs="Arial"/>
          <w:b/>
          <w:bCs/>
        </w:rPr>
      </w:pPr>
      <w:r>
        <w:rPr>
          <w:rFonts w:ascii="Arial" w:hAnsi="Arial" w:cs="Arial"/>
          <w:b/>
          <w:bCs/>
        </w:rPr>
        <w:t>Underlying operating profit: £18m</w:t>
      </w:r>
    </w:p>
    <w:p w14:paraId="6A01CFD7" w14:textId="77777777" w:rsidR="00FE41F1" w:rsidRDefault="00FE41F1" w:rsidP="00FE41F1">
      <w:pPr>
        <w:pStyle w:val="ListParagraph"/>
        <w:spacing w:line="240" w:lineRule="auto"/>
        <w:rPr>
          <w:rFonts w:ascii="Arial" w:eastAsiaTheme="minorHAnsi" w:hAnsi="Arial" w:cs="Arial"/>
          <w:i/>
          <w:iCs/>
        </w:rPr>
      </w:pPr>
      <w:r>
        <w:rPr>
          <w:rFonts w:ascii="Arial" w:hAnsi="Arial" w:cs="Arial"/>
          <w:i/>
          <w:iCs/>
        </w:rPr>
        <w:t>Down £33m on H1 2021 (£51m)</w:t>
      </w:r>
    </w:p>
    <w:p w14:paraId="628F6A42" w14:textId="77777777" w:rsidR="00FE41F1" w:rsidRDefault="00FE41F1" w:rsidP="00FE41F1">
      <w:pPr>
        <w:pStyle w:val="ListParagraph"/>
        <w:spacing w:line="240" w:lineRule="auto"/>
        <w:rPr>
          <w:rFonts w:ascii="Arial" w:eastAsia="Times New Roman" w:hAnsi="Arial" w:cs="Arial"/>
        </w:rPr>
      </w:pPr>
    </w:p>
    <w:p w14:paraId="32EC492F" w14:textId="77777777" w:rsidR="00FE41F1" w:rsidRDefault="00FE41F1" w:rsidP="00FE41F1">
      <w:pPr>
        <w:pStyle w:val="ListParagraph"/>
        <w:numPr>
          <w:ilvl w:val="0"/>
          <w:numId w:val="3"/>
        </w:numPr>
        <w:spacing w:after="160" w:line="240" w:lineRule="auto"/>
        <w:rPr>
          <w:rFonts w:ascii="Arial" w:hAnsi="Arial" w:cs="Arial"/>
          <w:b/>
          <w:bCs/>
        </w:rPr>
      </w:pPr>
      <w:r>
        <w:rPr>
          <w:rFonts w:ascii="Arial" w:hAnsi="Arial" w:cs="Arial"/>
          <w:b/>
          <w:bCs/>
        </w:rPr>
        <w:t>Group profit before tax: £7m</w:t>
      </w:r>
      <w:r>
        <w:rPr>
          <w:rFonts w:ascii="Arial" w:hAnsi="Arial" w:cs="Arial"/>
          <w:b/>
          <w:bCs/>
          <w:i/>
          <w:iCs/>
          <w:color w:val="00B050"/>
        </w:rPr>
        <w:t xml:space="preserve"> </w:t>
      </w:r>
    </w:p>
    <w:p w14:paraId="2DC0566F" w14:textId="77777777" w:rsidR="00FE41F1" w:rsidRDefault="00FE41F1" w:rsidP="00FE41F1">
      <w:pPr>
        <w:pStyle w:val="ListParagraph"/>
        <w:spacing w:line="240" w:lineRule="auto"/>
        <w:rPr>
          <w:rFonts w:ascii="Arial" w:eastAsiaTheme="minorHAnsi" w:hAnsi="Arial" w:cs="Arial"/>
          <w:i/>
          <w:iCs/>
        </w:rPr>
      </w:pPr>
      <w:r>
        <w:rPr>
          <w:rFonts w:ascii="Arial" w:hAnsi="Arial" w:cs="Arial"/>
          <w:i/>
          <w:iCs/>
        </w:rPr>
        <w:t>Down £37m on H1 2021 (£44m)</w:t>
      </w:r>
    </w:p>
    <w:p w14:paraId="46C0A94E" w14:textId="77777777" w:rsidR="00FE41F1" w:rsidRDefault="00FE41F1" w:rsidP="00FE41F1">
      <w:pPr>
        <w:pStyle w:val="ListParagraph"/>
        <w:spacing w:line="240" w:lineRule="auto"/>
        <w:rPr>
          <w:rFonts w:ascii="Arial" w:eastAsia="Times New Roman" w:hAnsi="Arial" w:cs="Arial"/>
          <w:i/>
          <w:iCs/>
        </w:rPr>
      </w:pPr>
    </w:p>
    <w:p w14:paraId="682BEC07" w14:textId="77777777" w:rsidR="00FE41F1" w:rsidRDefault="00FE41F1" w:rsidP="00FE41F1">
      <w:pPr>
        <w:pStyle w:val="ListParagraph"/>
        <w:numPr>
          <w:ilvl w:val="0"/>
          <w:numId w:val="3"/>
        </w:numPr>
        <w:spacing w:after="160" w:line="240" w:lineRule="auto"/>
        <w:rPr>
          <w:rFonts w:ascii="Arial" w:hAnsi="Arial" w:cs="Arial"/>
          <w:b/>
          <w:bCs/>
        </w:rPr>
      </w:pPr>
      <w:r>
        <w:rPr>
          <w:rFonts w:ascii="Arial" w:hAnsi="Arial" w:cs="Arial"/>
          <w:b/>
          <w:bCs/>
        </w:rPr>
        <w:t>Underlying EBITDA: £218m</w:t>
      </w:r>
    </w:p>
    <w:p w14:paraId="780AA873" w14:textId="77777777" w:rsidR="00FE41F1" w:rsidRDefault="00FE41F1" w:rsidP="00FE41F1">
      <w:pPr>
        <w:pStyle w:val="ListParagraph"/>
        <w:spacing w:line="240" w:lineRule="auto"/>
        <w:rPr>
          <w:rFonts w:ascii="Arial" w:hAnsi="Arial" w:cs="Arial"/>
          <w:i/>
          <w:iCs/>
        </w:rPr>
      </w:pPr>
      <w:r>
        <w:rPr>
          <w:rFonts w:ascii="Arial" w:hAnsi="Arial" w:cs="Arial"/>
          <w:i/>
          <w:iCs/>
        </w:rPr>
        <w:t>Down £30m (H1 2021: £248m)</w:t>
      </w:r>
    </w:p>
    <w:p w14:paraId="4BED30CC" w14:textId="77777777" w:rsidR="00FE41F1" w:rsidRDefault="00FE41F1" w:rsidP="00FE41F1">
      <w:pPr>
        <w:pStyle w:val="ListParagraph"/>
        <w:spacing w:line="240" w:lineRule="auto"/>
        <w:rPr>
          <w:rFonts w:ascii="Arial" w:eastAsia="Times New Roman" w:hAnsi="Arial" w:cs="Arial"/>
          <w:i/>
          <w:iCs/>
        </w:rPr>
      </w:pPr>
    </w:p>
    <w:p w14:paraId="6575E709" w14:textId="77777777" w:rsidR="00FE41F1" w:rsidRPr="00AC7103" w:rsidRDefault="00FE41F1" w:rsidP="00FE41F1">
      <w:pPr>
        <w:pStyle w:val="ListParagraph"/>
        <w:numPr>
          <w:ilvl w:val="0"/>
          <w:numId w:val="3"/>
        </w:numPr>
        <w:spacing w:after="160" w:line="252" w:lineRule="auto"/>
        <w:rPr>
          <w:rFonts w:ascii="Arial" w:hAnsi="Arial" w:cs="Arial"/>
          <w:b/>
          <w:bCs/>
          <w:i/>
          <w:iCs/>
        </w:rPr>
      </w:pPr>
      <w:r w:rsidRPr="00AC7103">
        <w:rPr>
          <w:rFonts w:ascii="Arial" w:hAnsi="Arial" w:cs="Arial"/>
          <w:b/>
          <w:bCs/>
          <w:i/>
          <w:iCs/>
        </w:rPr>
        <w:t>Net cash from operating activities: £315m</w:t>
      </w:r>
    </w:p>
    <w:p w14:paraId="772D37CE" w14:textId="77777777" w:rsidR="00FE41F1" w:rsidRDefault="00FE41F1" w:rsidP="00FE41F1">
      <w:pPr>
        <w:pStyle w:val="ListParagraph"/>
        <w:rPr>
          <w:rFonts w:ascii="Arial" w:eastAsiaTheme="minorHAnsi" w:hAnsi="Arial" w:cs="Arial"/>
          <w:i/>
          <w:iCs/>
        </w:rPr>
      </w:pPr>
      <w:r>
        <w:rPr>
          <w:rFonts w:ascii="Arial" w:hAnsi="Arial" w:cs="Arial"/>
          <w:i/>
          <w:iCs/>
        </w:rPr>
        <w:t>Improves</w:t>
      </w:r>
      <w:r w:rsidRPr="002C1BE5">
        <w:rPr>
          <w:rFonts w:ascii="Arial" w:hAnsi="Arial" w:cs="Arial"/>
          <w:i/>
          <w:iCs/>
          <w:color w:val="002060"/>
        </w:rPr>
        <w:t xml:space="preserve"> </w:t>
      </w:r>
      <w:r w:rsidRPr="00AC7103">
        <w:rPr>
          <w:rFonts w:ascii="Arial" w:hAnsi="Arial" w:cs="Arial"/>
          <w:i/>
          <w:iCs/>
        </w:rPr>
        <w:t>by £153m (</w:t>
      </w:r>
      <w:r>
        <w:rPr>
          <w:rFonts w:ascii="Arial" w:hAnsi="Arial" w:cs="Arial"/>
          <w:i/>
          <w:iCs/>
        </w:rPr>
        <w:t>H1 2021: £162m)</w:t>
      </w:r>
    </w:p>
    <w:p w14:paraId="1CC2DD7D" w14:textId="77777777" w:rsidR="00FE41F1" w:rsidRDefault="00FE41F1" w:rsidP="00FE41F1">
      <w:pPr>
        <w:pStyle w:val="ListParagraph"/>
        <w:spacing w:line="240" w:lineRule="auto"/>
        <w:rPr>
          <w:rFonts w:ascii="Arial" w:eastAsia="Times New Roman" w:hAnsi="Arial" w:cs="Arial"/>
        </w:rPr>
      </w:pPr>
    </w:p>
    <w:p w14:paraId="7AB7BD6D" w14:textId="77777777" w:rsidR="00FE41F1" w:rsidRPr="00AC7103" w:rsidRDefault="00FE41F1" w:rsidP="00FE41F1">
      <w:pPr>
        <w:pStyle w:val="ListParagraph"/>
        <w:numPr>
          <w:ilvl w:val="0"/>
          <w:numId w:val="3"/>
        </w:numPr>
        <w:spacing w:after="160" w:line="240" w:lineRule="auto"/>
        <w:rPr>
          <w:rFonts w:ascii="Arial" w:hAnsi="Arial" w:cs="Arial"/>
          <w:b/>
          <w:bCs/>
          <w:i/>
          <w:iCs/>
        </w:rPr>
      </w:pPr>
      <w:r w:rsidRPr="00AC7103">
        <w:rPr>
          <w:rFonts w:ascii="Arial" w:hAnsi="Arial" w:cs="Arial"/>
          <w:b/>
          <w:bCs/>
          <w:i/>
          <w:iCs/>
        </w:rPr>
        <w:t>Reduction in net debt: £189m</w:t>
      </w:r>
    </w:p>
    <w:p w14:paraId="75EB0790" w14:textId="4BF2CC6A" w:rsidR="00FE41F1" w:rsidRPr="00AC7103" w:rsidRDefault="00FE41F1" w:rsidP="00FE41F1">
      <w:pPr>
        <w:pStyle w:val="ListParagraph"/>
        <w:spacing w:after="160" w:line="240" w:lineRule="auto"/>
        <w:rPr>
          <w:rFonts w:ascii="Arial" w:hAnsi="Arial" w:cs="Arial"/>
          <w:i/>
          <w:iCs/>
        </w:rPr>
      </w:pPr>
      <w:r>
        <w:rPr>
          <w:rFonts w:ascii="Arial" w:hAnsi="Arial" w:cs="Arial"/>
          <w:i/>
          <w:iCs/>
        </w:rPr>
        <w:t>C</w:t>
      </w:r>
      <w:r w:rsidRPr="00AC7103">
        <w:rPr>
          <w:rFonts w:ascii="Arial" w:hAnsi="Arial" w:cs="Arial"/>
          <w:i/>
          <w:iCs/>
        </w:rPr>
        <w:t>ompares to an increase in net debt of £162m H1 2021. A £351m favourable swing versus last year. Net debt down to £731m versus £920m last year</w:t>
      </w:r>
      <w:r w:rsidR="00846BAA">
        <w:rPr>
          <w:rFonts w:ascii="Arial" w:hAnsi="Arial" w:cs="Arial"/>
          <w:i/>
          <w:iCs/>
        </w:rPr>
        <w:t xml:space="preserve"> end</w:t>
      </w:r>
      <w:r w:rsidR="00373440">
        <w:rPr>
          <w:rFonts w:ascii="Arial" w:hAnsi="Arial" w:cs="Arial"/>
          <w:i/>
          <w:iCs/>
        </w:rPr>
        <w:t>.</w:t>
      </w:r>
    </w:p>
    <w:p w14:paraId="548E2103" w14:textId="77777777" w:rsidR="00FE41F1" w:rsidRPr="00AA5A80" w:rsidRDefault="00FE41F1" w:rsidP="00FE41F1">
      <w:pPr>
        <w:rPr>
          <w:rFonts w:ascii="Arial" w:hAnsi="Arial" w:cs="Arial"/>
          <w:b/>
        </w:rPr>
      </w:pPr>
    </w:p>
    <w:p w14:paraId="6B955A1C" w14:textId="77777777" w:rsidR="00FE41F1" w:rsidRPr="001634A0" w:rsidRDefault="00FE41F1" w:rsidP="00FE41F1">
      <w:pPr>
        <w:rPr>
          <w:rFonts w:ascii="Arial" w:hAnsi="Arial" w:cs="Arial"/>
          <w:b/>
        </w:rPr>
      </w:pPr>
      <w:r w:rsidRPr="00AA5A80">
        <w:rPr>
          <w:rFonts w:ascii="Arial" w:hAnsi="Arial" w:cs="Arial"/>
          <w:b/>
        </w:rPr>
        <w:t xml:space="preserve">Cost of Living &amp; Vision Commitments </w:t>
      </w:r>
    </w:p>
    <w:p w14:paraId="5BAEE532" w14:textId="77777777" w:rsidR="00FE41F1" w:rsidRPr="002C1BE5" w:rsidRDefault="00FE41F1" w:rsidP="00FE41F1">
      <w:pPr>
        <w:pStyle w:val="ListParagraph"/>
        <w:numPr>
          <w:ilvl w:val="0"/>
          <w:numId w:val="29"/>
        </w:numPr>
        <w:rPr>
          <w:rFonts w:ascii="Arial" w:hAnsi="Arial" w:cs="Arial"/>
          <w:b/>
          <w:bCs/>
        </w:rPr>
      </w:pPr>
      <w:r w:rsidRPr="002C1BE5">
        <w:rPr>
          <w:rFonts w:ascii="Arial" w:hAnsi="Arial" w:cs="Arial"/>
          <w:b/>
          <w:bCs/>
        </w:rPr>
        <w:t>Colleagues</w:t>
      </w:r>
    </w:p>
    <w:p w14:paraId="5F9BA746" w14:textId="100F0E87" w:rsidR="00FE41F1" w:rsidRDefault="002C16AB" w:rsidP="00FE41F1">
      <w:pPr>
        <w:pStyle w:val="ListParagraph"/>
        <w:numPr>
          <w:ilvl w:val="1"/>
          <w:numId w:val="29"/>
        </w:numPr>
        <w:rPr>
          <w:rFonts w:ascii="Arial" w:hAnsi="Arial" w:cs="Arial"/>
        </w:rPr>
      </w:pPr>
      <w:r>
        <w:rPr>
          <w:rFonts w:ascii="Arial" w:hAnsi="Arial" w:cs="Arial"/>
        </w:rPr>
        <w:t>I</w:t>
      </w:r>
      <w:r w:rsidR="00FE41F1">
        <w:rPr>
          <w:rFonts w:ascii="Arial" w:hAnsi="Arial" w:cs="Arial"/>
        </w:rPr>
        <w:t xml:space="preserve">mprovements to the </w:t>
      </w:r>
      <w:r w:rsidR="00FE41F1" w:rsidRPr="44B77115">
        <w:rPr>
          <w:rFonts w:ascii="Arial" w:hAnsi="Arial" w:cs="Arial"/>
        </w:rPr>
        <w:t xml:space="preserve">pay </w:t>
      </w:r>
      <w:r w:rsidR="00FE41F1">
        <w:rPr>
          <w:rFonts w:ascii="Arial" w:hAnsi="Arial" w:cs="Arial"/>
        </w:rPr>
        <w:t xml:space="preserve">of </w:t>
      </w:r>
      <w:r w:rsidR="00FE41F1" w:rsidRPr="44B77115">
        <w:rPr>
          <w:rFonts w:ascii="Arial" w:hAnsi="Arial" w:cs="Arial"/>
        </w:rPr>
        <w:t>41,000 front line colleagues of up to 5.3%, for all ages, including apprentices</w:t>
      </w:r>
      <w:r w:rsidR="00FE41F1">
        <w:rPr>
          <w:rFonts w:ascii="Arial" w:hAnsi="Arial" w:cs="Arial"/>
        </w:rPr>
        <w:t xml:space="preserve">. This is in addition </w:t>
      </w:r>
      <w:proofErr w:type="gramStart"/>
      <w:r w:rsidR="00FE41F1">
        <w:rPr>
          <w:rFonts w:ascii="Arial" w:hAnsi="Arial" w:cs="Arial"/>
        </w:rPr>
        <w:t>to :</w:t>
      </w:r>
      <w:proofErr w:type="gramEnd"/>
      <w:r w:rsidR="00FE41F1">
        <w:rPr>
          <w:rFonts w:ascii="Arial" w:hAnsi="Arial" w:cs="Arial"/>
        </w:rPr>
        <w:t xml:space="preserve">- </w:t>
      </w:r>
    </w:p>
    <w:p w14:paraId="716D08C9" w14:textId="77777777" w:rsidR="00FE41F1" w:rsidRDefault="00FE41F1" w:rsidP="00FE41F1">
      <w:pPr>
        <w:pStyle w:val="ListParagraph"/>
        <w:numPr>
          <w:ilvl w:val="2"/>
          <w:numId w:val="29"/>
        </w:numPr>
        <w:rPr>
          <w:rFonts w:ascii="Arial" w:hAnsi="Arial" w:cs="Arial"/>
        </w:rPr>
      </w:pPr>
      <w:r>
        <w:rPr>
          <w:rFonts w:ascii="Arial" w:hAnsi="Arial" w:cs="Arial"/>
        </w:rPr>
        <w:t>P</w:t>
      </w:r>
      <w:r w:rsidRPr="44B77115">
        <w:rPr>
          <w:rFonts w:ascii="Arial" w:hAnsi="Arial" w:cs="Arial"/>
        </w:rPr>
        <w:t xml:space="preserve">aid breaks and up to 10% pension contributions </w:t>
      </w:r>
      <w:r>
        <w:rPr>
          <w:rFonts w:ascii="Arial" w:hAnsi="Arial" w:cs="Arial"/>
        </w:rPr>
        <w:t>as well as up</w:t>
      </w:r>
      <w:r w:rsidRPr="44B77115">
        <w:rPr>
          <w:rFonts w:ascii="Arial" w:hAnsi="Arial" w:cs="Arial"/>
        </w:rPr>
        <w:t xml:space="preserve"> to 31 days holiday</w:t>
      </w:r>
      <w:r>
        <w:rPr>
          <w:rFonts w:ascii="Arial" w:hAnsi="Arial" w:cs="Arial"/>
        </w:rPr>
        <w:t>.</w:t>
      </w:r>
      <w:r w:rsidRPr="44B77115">
        <w:rPr>
          <w:rFonts w:ascii="Arial" w:hAnsi="Arial" w:cs="Arial"/>
        </w:rPr>
        <w:t xml:space="preserve">  </w:t>
      </w:r>
    </w:p>
    <w:p w14:paraId="7EF6F77C" w14:textId="77777777" w:rsidR="00FE41F1" w:rsidRPr="00D34B16" w:rsidRDefault="00FE41F1" w:rsidP="00FE41F1">
      <w:pPr>
        <w:pStyle w:val="ListParagraph"/>
        <w:numPr>
          <w:ilvl w:val="2"/>
          <w:numId w:val="29"/>
        </w:numPr>
        <w:rPr>
          <w:rFonts w:ascii="Arial" w:hAnsi="Arial" w:cs="Arial"/>
        </w:rPr>
      </w:pPr>
      <w:r>
        <w:rPr>
          <w:rFonts w:ascii="Arial" w:hAnsi="Arial" w:cs="Arial"/>
        </w:rPr>
        <w:t xml:space="preserve">A </w:t>
      </w:r>
      <w:r w:rsidRPr="44B77115">
        <w:rPr>
          <w:rFonts w:ascii="Arial" w:hAnsi="Arial" w:cs="Arial"/>
        </w:rPr>
        <w:t xml:space="preserve">20% food discount </w:t>
      </w:r>
      <w:r>
        <w:rPr>
          <w:rFonts w:ascii="Arial" w:hAnsi="Arial" w:cs="Arial"/>
        </w:rPr>
        <w:t xml:space="preserve">provided to colleagues. </w:t>
      </w:r>
    </w:p>
    <w:p w14:paraId="6381429C" w14:textId="77777777" w:rsidR="00FE41F1" w:rsidRPr="002C1BE5" w:rsidRDefault="00FE41F1" w:rsidP="00FE41F1">
      <w:pPr>
        <w:pStyle w:val="ListParagraph"/>
        <w:numPr>
          <w:ilvl w:val="0"/>
          <w:numId w:val="29"/>
        </w:numPr>
        <w:rPr>
          <w:rFonts w:ascii="Arial" w:hAnsi="Arial" w:cs="Arial"/>
          <w:b/>
          <w:bCs/>
        </w:rPr>
      </w:pPr>
      <w:r w:rsidRPr="002C1BE5">
        <w:rPr>
          <w:rFonts w:ascii="Arial" w:hAnsi="Arial" w:cs="Arial"/>
          <w:b/>
          <w:bCs/>
        </w:rPr>
        <w:t>Members and Customers</w:t>
      </w:r>
    </w:p>
    <w:p w14:paraId="70E55088" w14:textId="395D6A09" w:rsidR="00FE41F1" w:rsidRDefault="00FE41F1" w:rsidP="00FE41F1">
      <w:pPr>
        <w:pStyle w:val="ListParagraph"/>
        <w:numPr>
          <w:ilvl w:val="1"/>
          <w:numId w:val="29"/>
        </w:numPr>
        <w:rPr>
          <w:rFonts w:ascii="Arial" w:hAnsi="Arial" w:cs="Arial"/>
        </w:rPr>
      </w:pPr>
      <w:r>
        <w:rPr>
          <w:rFonts w:ascii="Arial" w:hAnsi="Arial" w:cs="Arial"/>
        </w:rPr>
        <w:t>£</w:t>
      </w:r>
      <w:r w:rsidR="002C16AB">
        <w:rPr>
          <w:rFonts w:ascii="Arial" w:hAnsi="Arial" w:cs="Arial"/>
        </w:rPr>
        <w:t>37</w:t>
      </w:r>
      <w:r w:rsidRPr="44B77115">
        <w:rPr>
          <w:rFonts w:ascii="Arial" w:hAnsi="Arial" w:cs="Arial"/>
        </w:rPr>
        <w:t>m price investment starting this month to lower price of 1</w:t>
      </w:r>
      <w:r w:rsidR="002C16AB">
        <w:rPr>
          <w:rFonts w:ascii="Arial" w:hAnsi="Arial" w:cs="Arial"/>
        </w:rPr>
        <w:t>2</w:t>
      </w:r>
      <w:r w:rsidRPr="44B77115">
        <w:rPr>
          <w:rFonts w:ascii="Arial" w:hAnsi="Arial" w:cs="Arial"/>
        </w:rPr>
        <w:t xml:space="preserve">0 </w:t>
      </w:r>
      <w:r>
        <w:rPr>
          <w:rFonts w:ascii="Arial" w:hAnsi="Arial" w:cs="Arial"/>
        </w:rPr>
        <w:t xml:space="preserve">key products </w:t>
      </w:r>
      <w:r w:rsidRPr="44B77115">
        <w:rPr>
          <w:rFonts w:ascii="Arial" w:hAnsi="Arial" w:cs="Arial"/>
        </w:rPr>
        <w:t>with costs to be held into the New Year.</w:t>
      </w:r>
    </w:p>
    <w:p w14:paraId="284F66E5" w14:textId="77777777" w:rsidR="00FE41F1" w:rsidRPr="00D34B16" w:rsidRDefault="00FE41F1" w:rsidP="00FE41F1">
      <w:pPr>
        <w:pStyle w:val="ListParagraph"/>
        <w:numPr>
          <w:ilvl w:val="1"/>
          <w:numId w:val="29"/>
        </w:numPr>
        <w:rPr>
          <w:rFonts w:ascii="Arial" w:hAnsi="Arial" w:cs="Arial"/>
        </w:rPr>
      </w:pPr>
      <w:r w:rsidRPr="44B77115">
        <w:rPr>
          <w:rFonts w:ascii="Arial" w:hAnsi="Arial" w:cs="Arial"/>
        </w:rPr>
        <w:t>Co-op members earned and redeemed £8.7m in personal rewards by shopping with Co-op.</w:t>
      </w:r>
    </w:p>
    <w:p w14:paraId="092B31D7" w14:textId="77777777" w:rsidR="00FE41F1" w:rsidRPr="000F4D5C" w:rsidRDefault="00FE41F1" w:rsidP="00FE41F1">
      <w:pPr>
        <w:pStyle w:val="ListParagraph"/>
        <w:numPr>
          <w:ilvl w:val="1"/>
          <w:numId w:val="29"/>
        </w:numPr>
        <w:rPr>
          <w:rFonts w:ascii="Arial" w:hAnsi="Arial" w:cs="Arial"/>
        </w:rPr>
      </w:pPr>
      <w:r w:rsidRPr="000F4D5C">
        <w:rPr>
          <w:rFonts w:ascii="Arial" w:hAnsi="Arial" w:cs="Arial"/>
        </w:rPr>
        <w:t>£50 shopping bonus to members who purchase new or renew motor insurance policies.</w:t>
      </w:r>
    </w:p>
    <w:p w14:paraId="5923C5FE" w14:textId="77777777" w:rsidR="00FE41F1" w:rsidRPr="002C1BE5" w:rsidRDefault="00FE41F1" w:rsidP="00FE41F1">
      <w:pPr>
        <w:pStyle w:val="ListParagraph"/>
        <w:numPr>
          <w:ilvl w:val="1"/>
          <w:numId w:val="29"/>
        </w:numPr>
        <w:rPr>
          <w:rFonts w:ascii="Arial" w:hAnsi="Arial" w:cs="Arial"/>
        </w:rPr>
      </w:pPr>
      <w:r w:rsidRPr="000F4D5C">
        <w:rPr>
          <w:rFonts w:ascii="Arial" w:hAnsi="Arial" w:cs="Arial"/>
        </w:rPr>
        <w:t>Affordable digital Lasting Power of Attorney service launched by Co-op Legal Services</w:t>
      </w:r>
      <w:r>
        <w:rPr>
          <w:rFonts w:ascii="Arial" w:hAnsi="Arial" w:cs="Arial"/>
        </w:rPr>
        <w:t>.</w:t>
      </w:r>
    </w:p>
    <w:p w14:paraId="4C6F86A7" w14:textId="77777777" w:rsidR="00FE41F1" w:rsidRDefault="00FE41F1" w:rsidP="00FE41F1">
      <w:pPr>
        <w:pStyle w:val="ListParagraph"/>
        <w:numPr>
          <w:ilvl w:val="0"/>
          <w:numId w:val="29"/>
        </w:numPr>
        <w:spacing w:line="240" w:lineRule="auto"/>
        <w:rPr>
          <w:rFonts w:ascii="Arial" w:hAnsi="Arial" w:cs="Arial"/>
          <w:b/>
          <w:bCs/>
        </w:rPr>
      </w:pPr>
      <w:r w:rsidRPr="002C1BE5">
        <w:rPr>
          <w:rFonts w:ascii="Arial" w:hAnsi="Arial" w:cs="Arial"/>
          <w:b/>
          <w:bCs/>
        </w:rPr>
        <w:t>Community</w:t>
      </w:r>
    </w:p>
    <w:p w14:paraId="6D8D854A" w14:textId="77777777" w:rsidR="00FE41F1" w:rsidRDefault="00FE41F1" w:rsidP="00FE41F1">
      <w:pPr>
        <w:pStyle w:val="ListParagraph"/>
        <w:numPr>
          <w:ilvl w:val="1"/>
          <w:numId w:val="29"/>
        </w:numPr>
        <w:rPr>
          <w:rFonts w:ascii="Arial" w:hAnsi="Arial" w:cs="Arial"/>
        </w:rPr>
      </w:pPr>
      <w:r w:rsidRPr="44B77115">
        <w:rPr>
          <w:rFonts w:ascii="Arial" w:hAnsi="Arial" w:cs="Arial"/>
        </w:rPr>
        <w:t>Over £14m pledged by 42 businesses towards Co-op Levy Share targets, supporting more than 1,000 apprenticeships.</w:t>
      </w:r>
    </w:p>
    <w:p w14:paraId="693F52CE" w14:textId="77777777" w:rsidR="00FE41F1" w:rsidRDefault="00FE41F1" w:rsidP="00FE41F1">
      <w:pPr>
        <w:pStyle w:val="ListParagraph"/>
        <w:numPr>
          <w:ilvl w:val="1"/>
          <w:numId w:val="29"/>
        </w:numPr>
        <w:rPr>
          <w:rFonts w:ascii="Arial" w:hAnsi="Arial" w:cs="Arial"/>
        </w:rPr>
      </w:pPr>
      <w:r w:rsidRPr="44B77115">
        <w:rPr>
          <w:rFonts w:ascii="Arial" w:hAnsi="Arial" w:cs="Arial"/>
        </w:rPr>
        <w:t xml:space="preserve">Vital support for farmers with £19m in extra funding for UK pig farmers. </w:t>
      </w:r>
      <w:r w:rsidRPr="003D7A51">
        <w:rPr>
          <w:rFonts w:ascii="Arial" w:hAnsi="Arial" w:cs="Arial"/>
        </w:rPr>
        <w:t xml:space="preserve"> </w:t>
      </w:r>
    </w:p>
    <w:p w14:paraId="3D588A78" w14:textId="77777777" w:rsidR="00FE41F1" w:rsidRPr="000D3ADE" w:rsidRDefault="00FE41F1" w:rsidP="00FE41F1">
      <w:pPr>
        <w:pStyle w:val="ListParagraph"/>
        <w:numPr>
          <w:ilvl w:val="1"/>
          <w:numId w:val="29"/>
        </w:numPr>
        <w:spacing w:after="160" w:line="240" w:lineRule="auto"/>
        <w:rPr>
          <w:rFonts w:ascii="Arial" w:hAnsi="Arial" w:cs="Arial"/>
          <w:bCs/>
        </w:rPr>
      </w:pPr>
      <w:r w:rsidRPr="000D3ADE">
        <w:rPr>
          <w:rFonts w:ascii="Arial" w:hAnsi="Arial" w:cs="Arial"/>
          <w:bCs/>
        </w:rPr>
        <w:t>More than 4,500 local causes supported by Local Community Fund in H1</w:t>
      </w:r>
      <w:r>
        <w:rPr>
          <w:rFonts w:ascii="Arial" w:hAnsi="Arial" w:cs="Arial"/>
          <w:bCs/>
        </w:rPr>
        <w:t>, sharing £1.5m</w:t>
      </w:r>
      <w:r w:rsidRPr="000D3ADE">
        <w:rPr>
          <w:rFonts w:ascii="Arial" w:hAnsi="Arial" w:cs="Arial"/>
          <w:bCs/>
        </w:rPr>
        <w:t>.</w:t>
      </w:r>
    </w:p>
    <w:p w14:paraId="08C4EB13" w14:textId="77777777" w:rsidR="00FE41F1" w:rsidRDefault="00FE41F1" w:rsidP="00FE41F1">
      <w:pPr>
        <w:pStyle w:val="ListParagraph"/>
        <w:ind w:left="1440"/>
        <w:rPr>
          <w:rFonts w:ascii="Arial" w:hAnsi="Arial" w:cs="Arial"/>
        </w:rPr>
      </w:pPr>
    </w:p>
    <w:p w14:paraId="057AE457" w14:textId="77777777" w:rsidR="00FE41F1" w:rsidRPr="002C1BE5" w:rsidRDefault="00FE41F1" w:rsidP="00FE41F1">
      <w:pPr>
        <w:pStyle w:val="ListParagraph"/>
        <w:numPr>
          <w:ilvl w:val="0"/>
          <w:numId w:val="30"/>
        </w:numPr>
        <w:spacing w:line="240" w:lineRule="auto"/>
        <w:rPr>
          <w:rFonts w:ascii="Arial" w:hAnsi="Arial" w:cs="Arial"/>
          <w:b/>
          <w:bCs/>
        </w:rPr>
      </w:pPr>
      <w:r w:rsidRPr="002C1BE5">
        <w:rPr>
          <w:rFonts w:ascii="Arial" w:hAnsi="Arial" w:cs="Arial"/>
          <w:b/>
          <w:bCs/>
        </w:rPr>
        <w:t xml:space="preserve">Sustainability and the environment </w:t>
      </w:r>
    </w:p>
    <w:p w14:paraId="56968611" w14:textId="77777777" w:rsidR="00FE41F1" w:rsidRPr="00D34B16" w:rsidRDefault="00FE41F1" w:rsidP="00FE41F1">
      <w:pPr>
        <w:pStyle w:val="ListParagraph"/>
        <w:numPr>
          <w:ilvl w:val="1"/>
          <w:numId w:val="29"/>
        </w:numPr>
        <w:rPr>
          <w:rFonts w:ascii="Arial" w:hAnsi="Arial" w:cs="Arial"/>
        </w:rPr>
      </w:pPr>
      <w:r w:rsidRPr="44B77115">
        <w:rPr>
          <w:rFonts w:ascii="Arial" w:hAnsi="Arial" w:cs="Arial"/>
        </w:rPr>
        <w:t xml:space="preserve">Co-op awarded prestigious Queen's Award for Enterprise for Sustainable Development. </w:t>
      </w:r>
    </w:p>
    <w:p w14:paraId="67A2174F" w14:textId="77777777" w:rsidR="00FE41F1" w:rsidRDefault="00FE41F1" w:rsidP="00FE41F1">
      <w:pPr>
        <w:pStyle w:val="ListParagraph"/>
        <w:numPr>
          <w:ilvl w:val="1"/>
          <w:numId w:val="29"/>
        </w:numPr>
        <w:rPr>
          <w:rFonts w:ascii="Arial" w:hAnsi="Arial" w:cs="Arial"/>
        </w:rPr>
      </w:pPr>
      <w:r w:rsidRPr="44B77115">
        <w:rPr>
          <w:rFonts w:ascii="Arial" w:hAnsi="Arial" w:cs="Arial"/>
        </w:rPr>
        <w:t>Caboodle launched – a major not-for-profit platform to tackle food waste, connecting all Co-op’s store, other supermarkets, cafes and restaurants with community groups and volunteers.</w:t>
      </w:r>
    </w:p>
    <w:p w14:paraId="5065296F" w14:textId="77777777" w:rsidR="00FE41F1" w:rsidRPr="005D54B6" w:rsidRDefault="00FE41F1" w:rsidP="00FE41F1">
      <w:pPr>
        <w:pStyle w:val="ListParagraph"/>
        <w:numPr>
          <w:ilvl w:val="1"/>
          <w:numId w:val="29"/>
        </w:numPr>
        <w:rPr>
          <w:rFonts w:ascii="Arial" w:hAnsi="Arial" w:cs="Arial"/>
        </w:rPr>
      </w:pPr>
      <w:r>
        <w:rPr>
          <w:rFonts w:ascii="Arial" w:hAnsi="Arial" w:cs="Arial"/>
        </w:rPr>
        <w:t>I</w:t>
      </w:r>
      <w:r w:rsidRPr="44B77115">
        <w:rPr>
          <w:rFonts w:ascii="Arial" w:hAnsi="Arial" w:cs="Arial"/>
        </w:rPr>
        <w:t>ndustry-first move to replace on-pack ‘use by’ guidance with ‘best before’ dates on own-brand yoghurts and ‘freeze me’ message to own brand milk.</w:t>
      </w:r>
    </w:p>
    <w:p w14:paraId="53F36B34" w14:textId="77777777" w:rsidR="00FE41F1" w:rsidRDefault="00FE41F1" w:rsidP="00FE41F1">
      <w:pPr>
        <w:pStyle w:val="ListParagraph"/>
        <w:numPr>
          <w:ilvl w:val="1"/>
          <w:numId w:val="29"/>
        </w:numPr>
        <w:rPr>
          <w:rFonts w:ascii="Arial" w:hAnsi="Arial" w:cs="Arial"/>
        </w:rPr>
      </w:pPr>
      <w:r w:rsidRPr="44B77115">
        <w:rPr>
          <w:rFonts w:ascii="Arial" w:hAnsi="Arial" w:cs="Arial"/>
        </w:rPr>
        <w:t xml:space="preserve">Continued rollout of electric hearses, as the fleet moves away from fossil fuels. </w:t>
      </w:r>
    </w:p>
    <w:p w14:paraId="3C64889A" w14:textId="77777777" w:rsidR="00FE41F1" w:rsidRPr="002C1BE5" w:rsidRDefault="00FE41F1" w:rsidP="00FE41F1">
      <w:pPr>
        <w:pStyle w:val="ListParagraph"/>
        <w:ind w:left="1440"/>
        <w:rPr>
          <w:rFonts w:ascii="Arial" w:hAnsi="Arial" w:cs="Arial"/>
        </w:rPr>
      </w:pPr>
    </w:p>
    <w:p w14:paraId="77D94632" w14:textId="77777777" w:rsidR="00FE41F1" w:rsidRPr="003973A0" w:rsidRDefault="00FE41F1" w:rsidP="00FE41F1">
      <w:pPr>
        <w:rPr>
          <w:rFonts w:ascii="Arial" w:hAnsi="Arial" w:cs="Arial"/>
          <w:b/>
          <w:bCs/>
        </w:rPr>
      </w:pPr>
      <w:r w:rsidRPr="003973A0">
        <w:rPr>
          <w:rFonts w:ascii="Arial" w:hAnsi="Arial" w:cs="Arial"/>
          <w:b/>
          <w:bCs/>
        </w:rPr>
        <w:t xml:space="preserve">Shirine Khoury-Haq, Chief Executive </w:t>
      </w:r>
      <w:r>
        <w:rPr>
          <w:rFonts w:ascii="Arial" w:hAnsi="Arial" w:cs="Arial"/>
          <w:b/>
          <w:bCs/>
        </w:rPr>
        <w:t>of the Co-op</w:t>
      </w:r>
      <w:r w:rsidRPr="003973A0">
        <w:rPr>
          <w:rFonts w:ascii="Arial" w:hAnsi="Arial" w:cs="Arial"/>
          <w:b/>
          <w:bCs/>
        </w:rPr>
        <w:t xml:space="preserve">, said: </w:t>
      </w:r>
    </w:p>
    <w:p w14:paraId="6566EC97" w14:textId="78A8C2AB" w:rsidR="00FE41F1" w:rsidRPr="00C06E7A" w:rsidRDefault="115265D0" w:rsidP="00FE41F1">
      <w:pPr>
        <w:rPr>
          <w:rFonts w:ascii="Arial" w:hAnsi="Arial" w:cs="Arial"/>
        </w:rPr>
      </w:pPr>
      <w:r w:rsidRPr="5B95CECD">
        <w:rPr>
          <w:rFonts w:ascii="Arial" w:hAnsi="Arial" w:cs="Arial"/>
        </w:rPr>
        <w:t>“Against</w:t>
      </w:r>
      <w:r w:rsidR="00FE41F1" w:rsidRPr="5B95CECD">
        <w:rPr>
          <w:rFonts w:ascii="Arial" w:hAnsi="Arial" w:cs="Arial"/>
        </w:rPr>
        <w:t xml:space="preserve"> a highly challenging economic backdrop, we have made significant progress in strengthening our balance sheet, whilst continuing to support the needs of our colleagues, members, customers and the communities in which we operate. Our clear focus on developing our businesses, whilst controlling costs, improving our cash-</w:t>
      </w:r>
      <w:proofErr w:type="gramStart"/>
      <w:r w:rsidR="00FE41F1" w:rsidRPr="5B95CECD">
        <w:rPr>
          <w:rFonts w:ascii="Arial" w:hAnsi="Arial" w:cs="Arial"/>
        </w:rPr>
        <w:t>position</w:t>
      </w:r>
      <w:proofErr w:type="gramEnd"/>
      <w:r w:rsidR="00FE41F1" w:rsidRPr="5B95CECD">
        <w:rPr>
          <w:rFonts w:ascii="Arial" w:hAnsi="Arial" w:cs="Arial"/>
        </w:rPr>
        <w:t xml:space="preserve"> and reducing debt is paying dividends.  </w:t>
      </w:r>
    </w:p>
    <w:p w14:paraId="388F4395" w14:textId="77777777" w:rsidR="00FE41F1" w:rsidRDefault="00FE41F1" w:rsidP="00FE41F1">
      <w:pPr>
        <w:rPr>
          <w:rFonts w:ascii="Arial" w:hAnsi="Arial" w:cs="Arial"/>
        </w:rPr>
      </w:pPr>
      <w:r w:rsidRPr="00C06E7A">
        <w:rPr>
          <w:rFonts w:ascii="Arial" w:hAnsi="Arial" w:cs="Arial"/>
        </w:rPr>
        <w:t xml:space="preserve">“Looking ahead, while we are mindful of the continued </w:t>
      </w:r>
      <w:r>
        <w:rPr>
          <w:rFonts w:ascii="Arial" w:hAnsi="Arial" w:cs="Arial"/>
        </w:rPr>
        <w:t xml:space="preserve">economic </w:t>
      </w:r>
      <w:r w:rsidRPr="00C06E7A">
        <w:rPr>
          <w:rFonts w:ascii="Arial" w:hAnsi="Arial" w:cs="Arial"/>
        </w:rPr>
        <w:t>challenges</w:t>
      </w:r>
      <w:r>
        <w:rPr>
          <w:rFonts w:ascii="Arial" w:hAnsi="Arial" w:cs="Arial"/>
        </w:rPr>
        <w:t xml:space="preserve">, </w:t>
      </w:r>
      <w:r w:rsidRPr="00C06E7A">
        <w:rPr>
          <w:rFonts w:ascii="Arial" w:hAnsi="Arial" w:cs="Arial"/>
        </w:rPr>
        <w:t>we have great confidence in the</w:t>
      </w:r>
      <w:r>
        <w:rPr>
          <w:rFonts w:ascii="Arial" w:hAnsi="Arial" w:cs="Arial"/>
        </w:rPr>
        <w:t xml:space="preserve"> u</w:t>
      </w:r>
      <w:r w:rsidRPr="00C06E7A">
        <w:rPr>
          <w:rFonts w:ascii="Arial" w:hAnsi="Arial" w:cs="Arial"/>
        </w:rPr>
        <w:t xml:space="preserve">nderlying strength of the Co-op and all our businesses. Having faced into some tough decisions in the first half, focused on cutting costs and improving efficiency, we ended the period stronger both operationally and financially. </w:t>
      </w:r>
    </w:p>
    <w:p w14:paraId="6B208617" w14:textId="219DEE3E" w:rsidR="00FE41F1" w:rsidRDefault="00FE41F1" w:rsidP="00FE41F1">
      <w:pPr>
        <w:rPr>
          <w:rFonts w:ascii="Arial" w:hAnsi="Arial" w:cs="Arial"/>
        </w:rPr>
      </w:pPr>
      <w:r>
        <w:rPr>
          <w:rFonts w:ascii="Arial" w:hAnsi="Arial" w:cs="Arial"/>
        </w:rPr>
        <w:t>“</w:t>
      </w:r>
      <w:r w:rsidRPr="00C06E7A">
        <w:rPr>
          <w:rFonts w:ascii="Arial" w:hAnsi="Arial" w:cs="Arial"/>
        </w:rPr>
        <w:t xml:space="preserve">Since then, we have </w:t>
      </w:r>
      <w:r>
        <w:rPr>
          <w:rFonts w:ascii="Arial" w:hAnsi="Arial" w:cs="Arial"/>
        </w:rPr>
        <w:t xml:space="preserve">progressed further </w:t>
      </w:r>
      <w:r w:rsidRPr="00C06E7A">
        <w:rPr>
          <w:rFonts w:ascii="Arial" w:hAnsi="Arial" w:cs="Arial"/>
        </w:rPr>
        <w:t xml:space="preserve">with the </w:t>
      </w:r>
      <w:r>
        <w:rPr>
          <w:rFonts w:ascii="Arial" w:hAnsi="Arial" w:cs="Arial"/>
        </w:rPr>
        <w:t xml:space="preserve">planned </w:t>
      </w:r>
      <w:r w:rsidRPr="00C06E7A">
        <w:rPr>
          <w:rFonts w:ascii="Arial" w:hAnsi="Arial" w:cs="Arial"/>
        </w:rPr>
        <w:t xml:space="preserve">sale of our non-core petrol forecourts business. This </w:t>
      </w:r>
      <w:r>
        <w:rPr>
          <w:rFonts w:ascii="Arial" w:hAnsi="Arial" w:cs="Arial"/>
        </w:rPr>
        <w:t xml:space="preserve">will strengthen us more and provide the means </w:t>
      </w:r>
      <w:r w:rsidRPr="00C06E7A">
        <w:rPr>
          <w:rFonts w:ascii="Arial" w:hAnsi="Arial" w:cs="Arial"/>
        </w:rPr>
        <w:t xml:space="preserve">to invest in our </w:t>
      </w:r>
      <w:r>
        <w:rPr>
          <w:rFonts w:ascii="Arial" w:hAnsi="Arial" w:cs="Arial"/>
        </w:rPr>
        <w:t xml:space="preserve">core </w:t>
      </w:r>
      <w:r w:rsidRPr="00C06E7A">
        <w:rPr>
          <w:rFonts w:ascii="Arial" w:hAnsi="Arial" w:cs="Arial"/>
        </w:rPr>
        <w:t>businesses</w:t>
      </w:r>
      <w:r>
        <w:rPr>
          <w:rFonts w:ascii="Arial" w:hAnsi="Arial" w:cs="Arial"/>
        </w:rPr>
        <w:t xml:space="preserve">, whilst enabling us to </w:t>
      </w:r>
      <w:r w:rsidRPr="00C06E7A">
        <w:rPr>
          <w:rFonts w:ascii="Arial" w:hAnsi="Arial" w:cs="Arial"/>
        </w:rPr>
        <w:t xml:space="preserve">support </w:t>
      </w:r>
      <w:r>
        <w:rPr>
          <w:rFonts w:ascii="Arial" w:hAnsi="Arial" w:cs="Arial"/>
        </w:rPr>
        <w:t>our members</w:t>
      </w:r>
      <w:r w:rsidRPr="00C06E7A">
        <w:rPr>
          <w:rFonts w:ascii="Arial" w:hAnsi="Arial" w:cs="Arial"/>
        </w:rPr>
        <w:t xml:space="preserve">, </w:t>
      </w:r>
      <w:r>
        <w:rPr>
          <w:rFonts w:ascii="Arial" w:hAnsi="Arial" w:cs="Arial"/>
        </w:rPr>
        <w:t xml:space="preserve">customers, </w:t>
      </w:r>
      <w:r w:rsidRPr="00C06E7A">
        <w:rPr>
          <w:rFonts w:ascii="Arial" w:hAnsi="Arial" w:cs="Arial"/>
        </w:rPr>
        <w:t>colleagues and communities through the cost-of-living crisis.”</w:t>
      </w:r>
    </w:p>
    <w:p w14:paraId="11C39E0F" w14:textId="77777777" w:rsidR="0055577D" w:rsidRDefault="0055577D" w:rsidP="0055577D">
      <w:pPr>
        <w:rPr>
          <w:rFonts w:ascii="Arial" w:hAnsi="Arial" w:cs="Arial"/>
        </w:rPr>
      </w:pPr>
      <w:r>
        <w:rPr>
          <w:rFonts w:ascii="Arial" w:hAnsi="Arial" w:cs="Arial"/>
        </w:rPr>
        <w:lastRenderedPageBreak/>
        <w:t>“I’d like to thank every single one of our colleagues for their leadership in delivering our results and vision this year.”</w:t>
      </w:r>
    </w:p>
    <w:p w14:paraId="42C9854F" w14:textId="77777777" w:rsidR="00AB2269" w:rsidRPr="00C06E7A" w:rsidRDefault="00AB2269" w:rsidP="00FE41F1">
      <w:pPr>
        <w:rPr>
          <w:rFonts w:ascii="Arial" w:hAnsi="Arial" w:cs="Arial"/>
        </w:rPr>
      </w:pPr>
    </w:p>
    <w:p w14:paraId="59C50DD3" w14:textId="77777777" w:rsidR="00FE41F1" w:rsidRPr="003973A0" w:rsidRDefault="00FE41F1" w:rsidP="00FE41F1">
      <w:pPr>
        <w:rPr>
          <w:rFonts w:ascii="Arial" w:hAnsi="Arial" w:cs="Arial"/>
          <w:b/>
          <w:bCs/>
        </w:rPr>
      </w:pPr>
      <w:r w:rsidRPr="003973A0">
        <w:rPr>
          <w:rFonts w:ascii="Arial" w:hAnsi="Arial" w:cs="Arial"/>
          <w:b/>
          <w:bCs/>
        </w:rPr>
        <w:t xml:space="preserve">Allan Leighton, Chair of the Co-op, said: </w:t>
      </w:r>
    </w:p>
    <w:p w14:paraId="77B04006" w14:textId="77777777" w:rsidR="00FE41F1" w:rsidRPr="00C06E7A" w:rsidRDefault="00FE41F1" w:rsidP="00FE41F1">
      <w:pPr>
        <w:rPr>
          <w:rFonts w:ascii="Arial" w:hAnsi="Arial" w:cs="Arial"/>
        </w:rPr>
      </w:pPr>
      <w:r w:rsidRPr="00C06E7A">
        <w:rPr>
          <w:rFonts w:ascii="Arial" w:hAnsi="Arial" w:cs="Arial"/>
        </w:rPr>
        <w:t xml:space="preserve">“The first six months of the year have been a time of challenge for us – as they have been for all businesses. I was delighted that we were able to confirm Shirine Khoury-Haq as our permanent CEO during this period. Her energy to move decisively on </w:t>
      </w:r>
      <w:r>
        <w:rPr>
          <w:rFonts w:ascii="Arial" w:hAnsi="Arial" w:cs="Arial"/>
        </w:rPr>
        <w:t xml:space="preserve">improving our financial position, focusing on core business development, whilst still delivering on our vision commitments, </w:t>
      </w:r>
      <w:r w:rsidRPr="00C06E7A">
        <w:rPr>
          <w:rFonts w:ascii="Arial" w:hAnsi="Arial" w:cs="Arial"/>
        </w:rPr>
        <w:t>is helping us move forwards</w:t>
      </w:r>
      <w:r>
        <w:rPr>
          <w:rFonts w:ascii="Arial" w:hAnsi="Arial" w:cs="Arial"/>
        </w:rPr>
        <w:t xml:space="preserve"> with pace and purpose</w:t>
      </w:r>
      <w:r w:rsidRPr="00C06E7A">
        <w:rPr>
          <w:rFonts w:ascii="Arial" w:hAnsi="Arial" w:cs="Arial"/>
        </w:rPr>
        <w:t xml:space="preserve">. </w:t>
      </w:r>
    </w:p>
    <w:p w14:paraId="3F95275B" w14:textId="77777777" w:rsidR="00FE41F1" w:rsidRPr="00AA5A80" w:rsidRDefault="00FE41F1" w:rsidP="00FE41F1">
      <w:pPr>
        <w:rPr>
          <w:rFonts w:ascii="Arial" w:hAnsi="Arial" w:cs="Arial"/>
          <w:u w:val="single"/>
        </w:rPr>
      </w:pPr>
      <w:r w:rsidRPr="00C06E7A">
        <w:rPr>
          <w:rFonts w:ascii="Arial" w:hAnsi="Arial" w:cs="Arial"/>
        </w:rPr>
        <w:t xml:space="preserve">“We know that the current testing conditions will not ease in the second half, and we will continue to face into the challenges, </w:t>
      </w:r>
      <w:r>
        <w:rPr>
          <w:rFonts w:ascii="Arial" w:hAnsi="Arial" w:cs="Arial"/>
        </w:rPr>
        <w:t xml:space="preserve">by remaining focused and by </w:t>
      </w:r>
      <w:r w:rsidRPr="00C06E7A">
        <w:rPr>
          <w:rFonts w:ascii="Arial" w:hAnsi="Arial" w:cs="Arial"/>
        </w:rPr>
        <w:t xml:space="preserve">building </w:t>
      </w:r>
      <w:r>
        <w:rPr>
          <w:rFonts w:ascii="Arial" w:hAnsi="Arial" w:cs="Arial"/>
        </w:rPr>
        <w:t>upo</w:t>
      </w:r>
      <w:r w:rsidRPr="00C06E7A">
        <w:rPr>
          <w:rFonts w:ascii="Arial" w:hAnsi="Arial" w:cs="Arial"/>
        </w:rPr>
        <w:t xml:space="preserve">n our incredible </w:t>
      </w:r>
      <w:r>
        <w:rPr>
          <w:rFonts w:ascii="Arial" w:hAnsi="Arial" w:cs="Arial"/>
        </w:rPr>
        <w:t xml:space="preserve">co-operative </w:t>
      </w:r>
      <w:r w:rsidRPr="00C06E7A">
        <w:rPr>
          <w:rFonts w:ascii="Arial" w:hAnsi="Arial" w:cs="Arial"/>
        </w:rPr>
        <w:t>heritage. I would like to thank all our colleagues for their hard work and dedication in these extraordinary times.”</w:t>
      </w:r>
    </w:p>
    <w:p w14:paraId="5813AD97" w14:textId="77777777" w:rsidR="00FE41F1" w:rsidRDefault="00FE41F1" w:rsidP="00FE41F1">
      <w:pPr>
        <w:rPr>
          <w:rFonts w:ascii="Arial" w:hAnsi="Arial" w:cs="Arial"/>
          <w:b/>
          <w:bCs/>
          <w:u w:val="single"/>
        </w:rPr>
      </w:pPr>
    </w:p>
    <w:p w14:paraId="05F76A67" w14:textId="77777777" w:rsidR="00FE41F1" w:rsidRPr="001634A0" w:rsidRDefault="00FE41F1" w:rsidP="00FE41F1">
      <w:pPr>
        <w:rPr>
          <w:rFonts w:ascii="Arial" w:hAnsi="Arial" w:cs="Arial"/>
          <w:b/>
          <w:bCs/>
          <w:u w:val="single"/>
        </w:rPr>
      </w:pPr>
      <w:r w:rsidRPr="00AA5A80">
        <w:rPr>
          <w:rFonts w:ascii="Arial" w:hAnsi="Arial" w:cs="Arial"/>
          <w:b/>
          <w:bCs/>
          <w:u w:val="single"/>
        </w:rPr>
        <w:t>Business Unit Performance &amp; Highlights</w:t>
      </w:r>
    </w:p>
    <w:p w14:paraId="7FB99E26" w14:textId="77777777" w:rsidR="00FE41F1" w:rsidRDefault="00FE41F1" w:rsidP="00FE41F1">
      <w:pPr>
        <w:rPr>
          <w:rFonts w:ascii="Arial" w:hAnsi="Arial" w:cs="Arial"/>
          <w:u w:val="single"/>
        </w:rPr>
      </w:pPr>
      <w:r w:rsidRPr="00AA5A80">
        <w:rPr>
          <w:rFonts w:ascii="Arial" w:hAnsi="Arial" w:cs="Arial"/>
          <w:u w:val="single"/>
        </w:rPr>
        <w:t>Food</w:t>
      </w:r>
    </w:p>
    <w:p w14:paraId="0EF50282" w14:textId="77777777" w:rsidR="00FE41F1" w:rsidRPr="003973A0" w:rsidRDefault="00FE41F1" w:rsidP="00FE41F1">
      <w:pPr>
        <w:pStyle w:val="ListParagraph"/>
        <w:numPr>
          <w:ilvl w:val="0"/>
          <w:numId w:val="32"/>
        </w:numPr>
        <w:rPr>
          <w:rFonts w:ascii="Arial" w:hAnsi="Arial" w:cs="Arial"/>
          <w:iCs/>
          <w:u w:val="single"/>
        </w:rPr>
      </w:pPr>
      <w:r w:rsidRPr="003973A0">
        <w:rPr>
          <w:rFonts w:ascii="Arial" w:hAnsi="Arial" w:cs="Arial"/>
        </w:rPr>
        <w:t>Continued to outperform our competitors in the UK convenience sector and to invest in our business, including with the opening of a new regional distribution centre</w:t>
      </w:r>
      <w:r>
        <w:rPr>
          <w:rFonts w:ascii="Arial" w:hAnsi="Arial" w:cs="Arial"/>
        </w:rPr>
        <w:t>.</w:t>
      </w:r>
    </w:p>
    <w:p w14:paraId="686DDB83" w14:textId="77777777" w:rsidR="00FE41F1" w:rsidRPr="003973A0" w:rsidRDefault="00FE41F1" w:rsidP="00FE41F1">
      <w:pPr>
        <w:pStyle w:val="ListParagraph"/>
        <w:numPr>
          <w:ilvl w:val="0"/>
          <w:numId w:val="32"/>
        </w:numPr>
        <w:rPr>
          <w:rFonts w:ascii="Arial" w:hAnsi="Arial" w:cs="Arial"/>
          <w:iCs/>
        </w:rPr>
      </w:pPr>
      <w:r w:rsidRPr="003973A0">
        <w:rPr>
          <w:rFonts w:ascii="Arial" w:hAnsi="Arial" w:cs="Arial"/>
          <w:iCs/>
        </w:rPr>
        <w:t>Co-op's grocery sales grew period-on-period throughout H1 2022 driven by an increase in the shopping frequency – 16 million shoppers use Co-op stores each week.</w:t>
      </w:r>
    </w:p>
    <w:p w14:paraId="598B29D3" w14:textId="77777777" w:rsidR="00FE41F1" w:rsidRDefault="00FE41F1" w:rsidP="00FE41F1">
      <w:pPr>
        <w:pStyle w:val="ListParagraph"/>
        <w:numPr>
          <w:ilvl w:val="0"/>
          <w:numId w:val="32"/>
        </w:numPr>
        <w:rPr>
          <w:rFonts w:ascii="Arial" w:hAnsi="Arial" w:cs="Arial"/>
        </w:rPr>
      </w:pPr>
      <w:r w:rsidRPr="003973A0">
        <w:rPr>
          <w:rFonts w:ascii="Arial" w:hAnsi="Arial" w:cs="Arial"/>
        </w:rPr>
        <w:t xml:space="preserve">Overall revenue increased 1% year-on-year </w:t>
      </w:r>
      <w:r>
        <w:rPr>
          <w:rFonts w:ascii="Arial" w:hAnsi="Arial" w:cs="Arial"/>
        </w:rPr>
        <w:t xml:space="preserve">to £3.91bn </w:t>
      </w:r>
      <w:r w:rsidRPr="003973A0">
        <w:rPr>
          <w:rFonts w:ascii="Arial" w:hAnsi="Arial" w:cs="Arial"/>
        </w:rPr>
        <w:t>while</w:t>
      </w:r>
      <w:r w:rsidRPr="008276F7">
        <w:t xml:space="preserve"> </w:t>
      </w:r>
      <w:r w:rsidRPr="008276F7">
        <w:rPr>
          <w:rFonts w:ascii="Arial" w:hAnsi="Arial" w:cs="Arial"/>
        </w:rPr>
        <w:t>underlying operating profits of £4</w:t>
      </w:r>
      <w:r>
        <w:rPr>
          <w:rFonts w:ascii="Arial" w:hAnsi="Arial" w:cs="Arial"/>
        </w:rPr>
        <w:t>1</w:t>
      </w:r>
      <w:r w:rsidRPr="008276F7">
        <w:rPr>
          <w:rFonts w:ascii="Arial" w:hAnsi="Arial" w:cs="Arial"/>
        </w:rPr>
        <w:t xml:space="preserve">m </w:t>
      </w:r>
      <w:r>
        <w:rPr>
          <w:rFonts w:ascii="Arial" w:hAnsi="Arial" w:cs="Arial"/>
        </w:rPr>
        <w:t xml:space="preserve">were down </w:t>
      </w:r>
      <w:r w:rsidRPr="008276F7">
        <w:rPr>
          <w:rFonts w:ascii="Arial" w:hAnsi="Arial" w:cs="Arial"/>
        </w:rPr>
        <w:t xml:space="preserve">versus H1 </w:t>
      </w:r>
      <w:r>
        <w:rPr>
          <w:rFonts w:ascii="Arial" w:hAnsi="Arial" w:cs="Arial"/>
        </w:rPr>
        <w:t>2021 (£68m) due to</w:t>
      </w:r>
      <w:r w:rsidRPr="003973A0">
        <w:rPr>
          <w:rFonts w:ascii="Arial" w:hAnsi="Arial" w:cs="Arial"/>
        </w:rPr>
        <w:t xml:space="preserve"> inflation</w:t>
      </w:r>
      <w:r>
        <w:rPr>
          <w:rFonts w:ascii="Arial" w:hAnsi="Arial" w:cs="Arial"/>
        </w:rPr>
        <w:t>ary pressures</w:t>
      </w:r>
      <w:r w:rsidRPr="003973A0">
        <w:rPr>
          <w:rFonts w:ascii="Arial" w:hAnsi="Arial" w:cs="Arial"/>
        </w:rPr>
        <w:t xml:space="preserve"> which ha</w:t>
      </w:r>
      <w:r>
        <w:rPr>
          <w:rFonts w:ascii="Arial" w:hAnsi="Arial" w:cs="Arial"/>
        </w:rPr>
        <w:t>ve</w:t>
      </w:r>
      <w:r w:rsidRPr="003973A0">
        <w:rPr>
          <w:rFonts w:ascii="Arial" w:hAnsi="Arial" w:cs="Arial"/>
        </w:rPr>
        <w:t xml:space="preserve"> increased the cost to deliver our proposition to customers and hit its highest level of 8.3% in June 2022 since 2009.</w:t>
      </w:r>
    </w:p>
    <w:p w14:paraId="4AD05972" w14:textId="4652771C" w:rsidR="00FE41F1" w:rsidRPr="003C5293" w:rsidRDefault="00FE41F1" w:rsidP="5B95CECD">
      <w:pPr>
        <w:pStyle w:val="ListParagraph"/>
        <w:numPr>
          <w:ilvl w:val="0"/>
          <w:numId w:val="32"/>
        </w:numPr>
        <w:rPr>
          <w:rFonts w:ascii="Arial" w:hAnsi="Arial" w:cs="Arial"/>
          <w:b/>
          <w:bCs/>
        </w:rPr>
      </w:pPr>
      <w:r w:rsidRPr="5B95CECD">
        <w:rPr>
          <w:rFonts w:ascii="Arial" w:hAnsi="Arial" w:cs="Arial"/>
        </w:rPr>
        <w:t>Improvements in food availability seen throughout Q2, returning to pre-pandemic levels.</w:t>
      </w:r>
    </w:p>
    <w:p w14:paraId="3604436E" w14:textId="77777777" w:rsidR="00FE41F1" w:rsidRDefault="00FE41F1" w:rsidP="00FE41F1">
      <w:pPr>
        <w:pStyle w:val="ListParagraph"/>
        <w:numPr>
          <w:ilvl w:val="0"/>
          <w:numId w:val="32"/>
        </w:numPr>
        <w:rPr>
          <w:rFonts w:ascii="Arial" w:hAnsi="Arial" w:cs="Arial"/>
        </w:rPr>
      </w:pPr>
      <w:r w:rsidRPr="0093137B">
        <w:rPr>
          <w:rFonts w:ascii="Arial" w:hAnsi="Arial" w:cs="Arial"/>
        </w:rPr>
        <w:t>Our Wholesale business</w:t>
      </w:r>
      <w:r>
        <w:rPr>
          <w:rFonts w:ascii="Arial" w:hAnsi="Arial" w:cs="Arial"/>
        </w:rPr>
        <w:t xml:space="preserve"> </w:t>
      </w:r>
      <w:r w:rsidRPr="0093137B">
        <w:rPr>
          <w:rFonts w:ascii="Arial" w:hAnsi="Arial" w:cs="Arial"/>
        </w:rPr>
        <w:t xml:space="preserve">generated </w:t>
      </w:r>
      <w:r>
        <w:rPr>
          <w:rFonts w:ascii="Arial" w:hAnsi="Arial" w:cs="Arial"/>
        </w:rPr>
        <w:t xml:space="preserve">a solid sales performance </w:t>
      </w:r>
      <w:r w:rsidRPr="0093137B">
        <w:rPr>
          <w:rFonts w:ascii="Arial" w:hAnsi="Arial" w:cs="Arial"/>
        </w:rPr>
        <w:t xml:space="preserve">of £0.7 billion </w:t>
      </w:r>
      <w:r>
        <w:rPr>
          <w:rFonts w:ascii="Arial" w:hAnsi="Arial" w:cs="Arial"/>
        </w:rPr>
        <w:t>against challenging</w:t>
      </w:r>
      <w:r w:rsidRPr="0093137B">
        <w:rPr>
          <w:rFonts w:ascii="Arial" w:hAnsi="Arial" w:cs="Arial"/>
        </w:rPr>
        <w:t xml:space="preserve"> economic headwinds impacting all retailers.</w:t>
      </w:r>
      <w:r>
        <w:rPr>
          <w:rFonts w:ascii="Arial" w:hAnsi="Arial" w:cs="Arial"/>
        </w:rPr>
        <w:t xml:space="preserve"> U</w:t>
      </w:r>
      <w:r w:rsidRPr="0093137B">
        <w:rPr>
          <w:rFonts w:ascii="Arial" w:hAnsi="Arial" w:cs="Arial"/>
        </w:rPr>
        <w:t xml:space="preserve">nderlying profit </w:t>
      </w:r>
      <w:r>
        <w:rPr>
          <w:rFonts w:ascii="Arial" w:hAnsi="Arial" w:cs="Arial"/>
        </w:rPr>
        <w:t xml:space="preserve">was up to </w:t>
      </w:r>
      <w:r w:rsidRPr="0093137B">
        <w:rPr>
          <w:rFonts w:ascii="Arial" w:hAnsi="Arial" w:cs="Arial"/>
        </w:rPr>
        <w:t xml:space="preserve">£4 million </w:t>
      </w:r>
      <w:r>
        <w:rPr>
          <w:rFonts w:ascii="Arial" w:hAnsi="Arial" w:cs="Arial"/>
        </w:rPr>
        <w:t>recognising the shared</w:t>
      </w:r>
      <w:r w:rsidRPr="0093137B">
        <w:rPr>
          <w:rFonts w:ascii="Arial" w:hAnsi="Arial" w:cs="Arial"/>
        </w:rPr>
        <w:t xml:space="preserve"> benefits that can be passed through to Nisa customers</w:t>
      </w:r>
      <w:r>
        <w:rPr>
          <w:rFonts w:ascii="Arial" w:hAnsi="Arial" w:cs="Arial"/>
        </w:rPr>
        <w:t xml:space="preserve"> with consistent availability and a strong product range and offer</w:t>
      </w:r>
      <w:r w:rsidRPr="0093137B">
        <w:rPr>
          <w:rFonts w:ascii="Arial" w:hAnsi="Arial" w:cs="Arial"/>
        </w:rPr>
        <w:t xml:space="preserve">.  </w:t>
      </w:r>
    </w:p>
    <w:p w14:paraId="5C9BA4B5" w14:textId="77777777" w:rsidR="00FE41F1" w:rsidRPr="003973A0" w:rsidRDefault="00FE41F1" w:rsidP="00FE41F1">
      <w:pPr>
        <w:pStyle w:val="ListParagraph"/>
        <w:rPr>
          <w:rFonts w:ascii="Arial" w:hAnsi="Arial" w:cs="Arial"/>
        </w:rPr>
      </w:pPr>
    </w:p>
    <w:p w14:paraId="5A0A941C" w14:textId="77777777" w:rsidR="00FE41F1" w:rsidRPr="00AA5A80" w:rsidRDefault="00FE41F1" w:rsidP="00FE41F1">
      <w:pPr>
        <w:rPr>
          <w:rFonts w:ascii="Arial" w:hAnsi="Arial" w:cs="Arial"/>
          <w:iCs/>
          <w:u w:val="single"/>
        </w:rPr>
      </w:pPr>
      <w:r w:rsidRPr="00AA5A80">
        <w:rPr>
          <w:rFonts w:ascii="Arial" w:hAnsi="Arial" w:cs="Arial"/>
          <w:iCs/>
          <w:u w:val="single"/>
        </w:rPr>
        <w:t xml:space="preserve">Funeralcare  </w:t>
      </w:r>
    </w:p>
    <w:p w14:paraId="62E0E6A3" w14:textId="77777777" w:rsidR="00FE41F1" w:rsidRDefault="00FE41F1" w:rsidP="00FE41F1">
      <w:pPr>
        <w:pStyle w:val="ListParagraph"/>
        <w:numPr>
          <w:ilvl w:val="0"/>
          <w:numId w:val="31"/>
        </w:numPr>
        <w:rPr>
          <w:rFonts w:ascii="Arial" w:hAnsi="Arial" w:cs="Arial"/>
          <w:iCs/>
        </w:rPr>
      </w:pPr>
      <w:r w:rsidRPr="003973A0">
        <w:rPr>
          <w:rFonts w:ascii="Arial" w:hAnsi="Arial" w:cs="Arial"/>
        </w:rPr>
        <w:t xml:space="preserve">Growth in market share in </w:t>
      </w:r>
      <w:r>
        <w:rPr>
          <w:rFonts w:ascii="Arial" w:hAnsi="Arial" w:cs="Arial"/>
        </w:rPr>
        <w:t xml:space="preserve">H1 </w:t>
      </w:r>
      <w:r w:rsidRPr="003973A0">
        <w:rPr>
          <w:rFonts w:ascii="Arial" w:hAnsi="Arial" w:cs="Arial"/>
        </w:rPr>
        <w:t>2022</w:t>
      </w:r>
      <w:r>
        <w:rPr>
          <w:rFonts w:ascii="Arial" w:hAnsi="Arial" w:cs="Arial"/>
        </w:rPr>
        <w:t xml:space="preserve">, but revenue fell </w:t>
      </w:r>
      <w:r w:rsidRPr="001223D7">
        <w:rPr>
          <w:rFonts w:ascii="Arial" w:hAnsi="Arial" w:cs="Arial"/>
        </w:rPr>
        <w:t>by £3m (H1 2022: £139m, H1 2021 £142m)</w:t>
      </w:r>
      <w:r w:rsidRPr="001223D7">
        <w:rPr>
          <w:rFonts w:ascii="Arial" w:hAnsi="Arial" w:cs="Arial"/>
          <w:iCs/>
        </w:rPr>
        <w:t>, driven by</w:t>
      </w:r>
      <w:r w:rsidRPr="00F230F2">
        <w:rPr>
          <w:rFonts w:ascii="Arial" w:hAnsi="Arial" w:cs="Arial"/>
          <w:iCs/>
        </w:rPr>
        <w:t xml:space="preserve"> </w:t>
      </w:r>
      <w:r>
        <w:rPr>
          <w:rFonts w:ascii="Arial" w:hAnsi="Arial" w:cs="Arial"/>
          <w:iCs/>
        </w:rPr>
        <w:t xml:space="preserve">falling </w:t>
      </w:r>
      <w:r w:rsidRPr="00F230F2">
        <w:rPr>
          <w:rFonts w:ascii="Arial" w:hAnsi="Arial" w:cs="Arial"/>
          <w:iCs/>
        </w:rPr>
        <w:t>mortality rates post-pandemic</w:t>
      </w:r>
      <w:r>
        <w:rPr>
          <w:rFonts w:ascii="Arial" w:hAnsi="Arial" w:cs="Arial"/>
          <w:iCs/>
        </w:rPr>
        <w:t>.</w:t>
      </w:r>
    </w:p>
    <w:p w14:paraId="68FCEDB4" w14:textId="09B92190" w:rsidR="00FE41F1" w:rsidRDefault="00FE41F1" w:rsidP="5B95CECD">
      <w:pPr>
        <w:pStyle w:val="ListParagraph"/>
        <w:numPr>
          <w:ilvl w:val="0"/>
          <w:numId w:val="31"/>
        </w:numPr>
        <w:rPr>
          <w:rFonts w:ascii="Arial" w:eastAsia="Arial" w:hAnsi="Arial" w:cs="Arial"/>
        </w:rPr>
      </w:pPr>
      <w:r w:rsidRPr="5B95CECD">
        <w:rPr>
          <w:rFonts w:ascii="Arial" w:hAnsi="Arial" w:cs="Arial"/>
        </w:rPr>
        <w:t>Rising energy costs and industry regulatory changes saw underlying operating profit decline by £6m</w:t>
      </w:r>
      <w:r w:rsidRPr="5B95CECD">
        <w:rPr>
          <w:rFonts w:ascii="Arial" w:eastAsia="Arial" w:hAnsi="Arial" w:cs="Arial"/>
        </w:rPr>
        <w:t xml:space="preserve"> </w:t>
      </w:r>
      <w:r w:rsidR="00EA13BA" w:rsidRPr="5B95CECD">
        <w:rPr>
          <w:rFonts w:ascii="Arial" w:eastAsia="Arial" w:hAnsi="Arial" w:cs="Arial"/>
        </w:rPr>
        <w:t>(</w:t>
      </w:r>
      <w:r w:rsidRPr="5B95CECD">
        <w:rPr>
          <w:rFonts w:ascii="Arial" w:eastAsia="Arial" w:hAnsi="Arial" w:cs="Arial"/>
        </w:rPr>
        <w:t>H1 2022:  £11m, H1 2021: £17m</w:t>
      </w:r>
      <w:r w:rsidR="008C77B6" w:rsidRPr="5B95CECD">
        <w:rPr>
          <w:rFonts w:ascii="Arial" w:eastAsia="Arial" w:hAnsi="Arial" w:cs="Arial"/>
        </w:rPr>
        <w:t>)</w:t>
      </w:r>
    </w:p>
    <w:p w14:paraId="4A380136" w14:textId="77777777" w:rsidR="00FE41F1" w:rsidRPr="00D002F8" w:rsidRDefault="00FE41F1" w:rsidP="00FE41F1">
      <w:pPr>
        <w:pStyle w:val="ListParagraph"/>
        <w:numPr>
          <w:ilvl w:val="0"/>
          <w:numId w:val="31"/>
        </w:numPr>
        <w:rPr>
          <w:rFonts w:ascii="Arial" w:hAnsi="Arial" w:cs="Arial"/>
          <w:b/>
          <w:iCs/>
        </w:rPr>
      </w:pPr>
      <w:r w:rsidRPr="00D002F8">
        <w:rPr>
          <w:rFonts w:ascii="Arial" w:hAnsi="Arial" w:cs="Arial"/>
          <w:bCs/>
        </w:rPr>
        <w:t>Achieved regulated status as a funeral plan provider from the FCA</w:t>
      </w:r>
      <w:r>
        <w:rPr>
          <w:rFonts w:ascii="Arial" w:hAnsi="Arial" w:cs="Arial"/>
          <w:bCs/>
        </w:rPr>
        <w:t>.</w:t>
      </w:r>
      <w:r w:rsidRPr="00D002F8">
        <w:rPr>
          <w:rFonts w:ascii="Arial" w:hAnsi="Arial" w:cs="Arial"/>
          <w:bCs/>
        </w:rPr>
        <w:t xml:space="preserve"> </w:t>
      </w:r>
    </w:p>
    <w:p w14:paraId="619340E4" w14:textId="77777777" w:rsidR="00FE41F1" w:rsidRDefault="00FE41F1" w:rsidP="00FE41F1">
      <w:pPr>
        <w:pStyle w:val="ListParagraph"/>
        <w:rPr>
          <w:rFonts w:ascii="Arial" w:hAnsi="Arial" w:cs="Arial"/>
          <w:iCs/>
        </w:rPr>
      </w:pPr>
    </w:p>
    <w:p w14:paraId="692D6795" w14:textId="77777777" w:rsidR="00FE41F1" w:rsidRPr="00AA5A80" w:rsidRDefault="00FE41F1" w:rsidP="00FE41F1">
      <w:pPr>
        <w:rPr>
          <w:rFonts w:ascii="Arial" w:hAnsi="Arial" w:cs="Arial"/>
          <w:u w:val="single"/>
        </w:rPr>
      </w:pPr>
      <w:r w:rsidRPr="00AA5A80">
        <w:rPr>
          <w:rFonts w:ascii="Arial" w:hAnsi="Arial" w:cs="Arial"/>
          <w:u w:val="single"/>
        </w:rPr>
        <w:t xml:space="preserve">Insurance  </w:t>
      </w:r>
    </w:p>
    <w:p w14:paraId="0DEBA988" w14:textId="77777777" w:rsidR="00FE41F1" w:rsidRPr="009A125A" w:rsidRDefault="00FE41F1" w:rsidP="00FE41F1">
      <w:pPr>
        <w:pStyle w:val="ListParagraph"/>
        <w:numPr>
          <w:ilvl w:val="0"/>
          <w:numId w:val="33"/>
        </w:numPr>
        <w:rPr>
          <w:rFonts w:ascii="Arial" w:hAnsi="Arial" w:cs="Arial"/>
        </w:rPr>
      </w:pPr>
      <w:r w:rsidRPr="009A125A">
        <w:rPr>
          <w:rFonts w:ascii="Arial" w:hAnsi="Arial" w:cs="Arial"/>
        </w:rPr>
        <w:t xml:space="preserve">Performed in line with forecast, </w:t>
      </w:r>
      <w:r>
        <w:rPr>
          <w:rFonts w:ascii="Arial" w:hAnsi="Arial" w:cs="Arial"/>
        </w:rPr>
        <w:t>with r</w:t>
      </w:r>
      <w:r w:rsidRPr="009A125A">
        <w:rPr>
          <w:rFonts w:ascii="Arial" w:hAnsi="Arial" w:cs="Arial"/>
        </w:rPr>
        <w:t xml:space="preserve">educed revenue planned to bed in new </w:t>
      </w:r>
      <w:proofErr w:type="spellStart"/>
      <w:r w:rsidRPr="009A125A">
        <w:rPr>
          <w:rFonts w:ascii="Arial" w:hAnsi="Arial" w:cs="Arial"/>
        </w:rPr>
        <w:t>Markerstudy</w:t>
      </w:r>
      <w:proofErr w:type="spellEnd"/>
      <w:r w:rsidRPr="009A125A">
        <w:rPr>
          <w:rFonts w:ascii="Arial" w:hAnsi="Arial" w:cs="Arial"/>
        </w:rPr>
        <w:t xml:space="preserve"> distribution business model and ways of working (Insurance income H1 2022: £11m; H1 2021: £18m.)</w:t>
      </w:r>
    </w:p>
    <w:p w14:paraId="24D37730" w14:textId="77777777" w:rsidR="00FE41F1" w:rsidRDefault="00FE41F1" w:rsidP="00FE41F1">
      <w:pPr>
        <w:pStyle w:val="ListParagraph"/>
        <w:numPr>
          <w:ilvl w:val="0"/>
          <w:numId w:val="33"/>
        </w:numPr>
        <w:rPr>
          <w:rFonts w:ascii="Arial" w:hAnsi="Arial" w:cs="Arial"/>
        </w:rPr>
      </w:pPr>
      <w:r>
        <w:rPr>
          <w:rFonts w:ascii="Arial" w:hAnsi="Arial" w:cs="Arial"/>
        </w:rPr>
        <w:t xml:space="preserve">Strong </w:t>
      </w:r>
      <w:r w:rsidRPr="0075715D">
        <w:rPr>
          <w:rFonts w:ascii="Arial" w:hAnsi="Arial" w:cs="Arial"/>
        </w:rPr>
        <w:t xml:space="preserve">pet insurance </w:t>
      </w:r>
      <w:r>
        <w:rPr>
          <w:rFonts w:ascii="Arial" w:hAnsi="Arial" w:cs="Arial"/>
        </w:rPr>
        <w:t>sales following new product launch, including cover for rescue dogs and cats.</w:t>
      </w:r>
    </w:p>
    <w:p w14:paraId="5F90296D" w14:textId="77777777" w:rsidR="00FE41F1" w:rsidRPr="008313DF" w:rsidRDefault="00FE41F1" w:rsidP="00FE41F1">
      <w:pPr>
        <w:pStyle w:val="ListParagraph"/>
        <w:numPr>
          <w:ilvl w:val="0"/>
          <w:numId w:val="33"/>
        </w:numPr>
        <w:rPr>
          <w:rFonts w:ascii="Arial" w:hAnsi="Arial" w:cs="Arial"/>
        </w:rPr>
      </w:pPr>
      <w:r>
        <w:rPr>
          <w:rFonts w:ascii="Arial" w:hAnsi="Arial" w:cs="Arial"/>
        </w:rPr>
        <w:t>N</w:t>
      </w:r>
      <w:r w:rsidRPr="008313DF">
        <w:rPr>
          <w:rFonts w:ascii="Arial" w:hAnsi="Arial" w:cs="Arial"/>
        </w:rPr>
        <w:t>ew van insurance</w:t>
      </w:r>
      <w:r>
        <w:rPr>
          <w:rFonts w:ascii="Arial" w:hAnsi="Arial" w:cs="Arial"/>
        </w:rPr>
        <w:t xml:space="preserve"> product</w:t>
      </w:r>
      <w:r w:rsidRPr="008313DF">
        <w:rPr>
          <w:rFonts w:ascii="Arial" w:hAnsi="Arial" w:cs="Arial"/>
        </w:rPr>
        <w:t xml:space="preserve"> to deliver further choice and value to its members and customers.</w:t>
      </w:r>
    </w:p>
    <w:p w14:paraId="35A674EC" w14:textId="33B26F17" w:rsidR="00FE41F1" w:rsidRPr="003F1559" w:rsidRDefault="00FE41F1" w:rsidP="003F1559">
      <w:pPr>
        <w:pStyle w:val="ListParagraph"/>
        <w:numPr>
          <w:ilvl w:val="0"/>
          <w:numId w:val="33"/>
        </w:numPr>
        <w:rPr>
          <w:rFonts w:ascii="Arial" w:hAnsi="Arial" w:cs="Arial"/>
        </w:rPr>
      </w:pPr>
      <w:r w:rsidRPr="5B95CECD">
        <w:rPr>
          <w:rFonts w:ascii="Arial" w:hAnsi="Arial" w:cs="Arial"/>
        </w:rPr>
        <w:t>New ‘equity release’ later life mortgage options to homeowners over the age of 55 launched in partnership with Legal &amp; General.</w:t>
      </w:r>
    </w:p>
    <w:p w14:paraId="4DE05A99" w14:textId="77777777" w:rsidR="00FE41F1" w:rsidRPr="00AA5A80" w:rsidRDefault="00FE41F1" w:rsidP="00FE41F1">
      <w:pPr>
        <w:rPr>
          <w:rFonts w:ascii="Arial" w:hAnsi="Arial" w:cs="Arial"/>
          <w:u w:val="single"/>
        </w:rPr>
      </w:pPr>
      <w:r w:rsidRPr="00AA5A80">
        <w:rPr>
          <w:rFonts w:ascii="Arial" w:hAnsi="Arial" w:cs="Arial"/>
          <w:u w:val="single"/>
        </w:rPr>
        <w:t xml:space="preserve">Legal </w:t>
      </w:r>
    </w:p>
    <w:p w14:paraId="330089C2" w14:textId="77777777" w:rsidR="00FE41F1" w:rsidRDefault="00FE41F1" w:rsidP="00FE41F1">
      <w:pPr>
        <w:pStyle w:val="ListParagraph"/>
        <w:numPr>
          <w:ilvl w:val="0"/>
          <w:numId w:val="31"/>
        </w:numPr>
        <w:rPr>
          <w:rFonts w:ascii="Arial" w:hAnsi="Arial" w:cs="Arial"/>
        </w:rPr>
      </w:pPr>
      <w:r w:rsidRPr="00CD0A52">
        <w:rPr>
          <w:rFonts w:ascii="Arial" w:hAnsi="Arial" w:cs="Arial"/>
        </w:rPr>
        <w:lastRenderedPageBreak/>
        <w:t>Revenue up more than 10% at £22m, driven by continued growth of our market-leading probate business and an expansion of our digital capabilities</w:t>
      </w:r>
      <w:r>
        <w:rPr>
          <w:rFonts w:ascii="Arial" w:hAnsi="Arial" w:cs="Arial"/>
        </w:rPr>
        <w:t>.</w:t>
      </w:r>
      <w:r w:rsidRPr="00CD0A52">
        <w:rPr>
          <w:rFonts w:ascii="Arial" w:hAnsi="Arial" w:cs="Arial"/>
        </w:rPr>
        <w:t xml:space="preserve"> </w:t>
      </w:r>
    </w:p>
    <w:p w14:paraId="36B199B7" w14:textId="77777777" w:rsidR="00FE41F1" w:rsidRDefault="00FE41F1" w:rsidP="00FE41F1">
      <w:pPr>
        <w:pStyle w:val="ListParagraph"/>
        <w:numPr>
          <w:ilvl w:val="0"/>
          <w:numId w:val="31"/>
        </w:numPr>
        <w:rPr>
          <w:rFonts w:ascii="Arial" w:hAnsi="Arial" w:cs="Arial"/>
        </w:rPr>
      </w:pPr>
      <w:r>
        <w:rPr>
          <w:rFonts w:ascii="Arial" w:hAnsi="Arial" w:cs="Arial"/>
        </w:rPr>
        <w:t>Growing digital presence with half of all clients using online tools to seek support.</w:t>
      </w:r>
    </w:p>
    <w:p w14:paraId="270C46EA" w14:textId="79BDD194" w:rsidR="00FE41F1" w:rsidRPr="003F1559" w:rsidRDefault="00FE41F1" w:rsidP="00FE41F1">
      <w:pPr>
        <w:pStyle w:val="ListParagraph"/>
        <w:numPr>
          <w:ilvl w:val="0"/>
          <w:numId w:val="31"/>
        </w:numPr>
        <w:rPr>
          <w:rFonts w:ascii="Arial" w:hAnsi="Arial" w:cs="Arial"/>
        </w:rPr>
      </w:pPr>
      <w:r>
        <w:rPr>
          <w:rFonts w:ascii="Arial" w:hAnsi="Arial" w:cs="Arial"/>
        </w:rPr>
        <w:t xml:space="preserve">Over 100 new colleagues, including apprentices, recruited to handle </w:t>
      </w:r>
      <w:r w:rsidRPr="0059230D">
        <w:rPr>
          <w:rFonts w:ascii="Arial" w:hAnsi="Arial" w:cs="Arial"/>
        </w:rPr>
        <w:t>increased case volumes</w:t>
      </w:r>
      <w:r>
        <w:rPr>
          <w:rFonts w:ascii="Arial" w:hAnsi="Arial" w:cs="Arial"/>
        </w:rPr>
        <w:t>.</w:t>
      </w:r>
    </w:p>
    <w:p w14:paraId="1D094A50" w14:textId="77777777" w:rsidR="00FE41F1" w:rsidRPr="00AA5A80" w:rsidRDefault="00FE41F1" w:rsidP="00FE41F1">
      <w:pPr>
        <w:rPr>
          <w:rFonts w:ascii="Arial" w:hAnsi="Arial" w:cs="Arial"/>
          <w:b/>
        </w:rPr>
      </w:pPr>
      <w:r w:rsidRPr="00AA5A80">
        <w:rPr>
          <w:rFonts w:ascii="Arial" w:hAnsi="Arial" w:cs="Arial"/>
          <w:b/>
        </w:rPr>
        <w:t>Outlook</w:t>
      </w:r>
    </w:p>
    <w:p w14:paraId="0874A799" w14:textId="77777777" w:rsidR="00FE41F1" w:rsidRDefault="00FE41F1" w:rsidP="00FE41F1">
      <w:pPr>
        <w:pStyle w:val="ListParagraph"/>
        <w:numPr>
          <w:ilvl w:val="0"/>
          <w:numId w:val="34"/>
        </w:numPr>
        <w:rPr>
          <w:rFonts w:ascii="Arial" w:hAnsi="Arial" w:cs="Arial"/>
          <w:bCs/>
        </w:rPr>
      </w:pPr>
      <w:r w:rsidRPr="00D25629">
        <w:rPr>
          <w:rFonts w:ascii="Arial" w:hAnsi="Arial" w:cs="Arial"/>
          <w:bCs/>
        </w:rPr>
        <w:t xml:space="preserve">Looking ahead, Co-op expects to face continued challenges during the year, given </w:t>
      </w:r>
      <w:r>
        <w:rPr>
          <w:rFonts w:ascii="Arial" w:hAnsi="Arial" w:cs="Arial"/>
          <w:bCs/>
        </w:rPr>
        <w:t xml:space="preserve">the persistent </w:t>
      </w:r>
      <w:r w:rsidRPr="00D25629">
        <w:rPr>
          <w:rFonts w:ascii="Arial" w:hAnsi="Arial" w:cs="Arial"/>
          <w:bCs/>
        </w:rPr>
        <w:t xml:space="preserve">inflationary pressures, which </w:t>
      </w:r>
      <w:r>
        <w:rPr>
          <w:rFonts w:ascii="Arial" w:hAnsi="Arial" w:cs="Arial"/>
          <w:bCs/>
        </w:rPr>
        <w:t>is likely to prolong</w:t>
      </w:r>
      <w:r w:rsidRPr="00D25629">
        <w:rPr>
          <w:rFonts w:ascii="Arial" w:hAnsi="Arial" w:cs="Arial"/>
          <w:bCs/>
        </w:rPr>
        <w:t xml:space="preserve"> economic uncertainty </w:t>
      </w:r>
      <w:r>
        <w:rPr>
          <w:rFonts w:ascii="Arial" w:hAnsi="Arial" w:cs="Arial"/>
          <w:bCs/>
        </w:rPr>
        <w:t>amongst consumers and businesses alike</w:t>
      </w:r>
      <w:r w:rsidRPr="00D25629">
        <w:rPr>
          <w:rFonts w:ascii="Arial" w:hAnsi="Arial" w:cs="Arial"/>
          <w:bCs/>
        </w:rPr>
        <w:t>.</w:t>
      </w:r>
    </w:p>
    <w:p w14:paraId="7E4E4576" w14:textId="77777777" w:rsidR="00FE41F1" w:rsidRPr="00D25629" w:rsidRDefault="00FE41F1" w:rsidP="00FE41F1">
      <w:pPr>
        <w:pStyle w:val="ListParagraph"/>
        <w:numPr>
          <w:ilvl w:val="0"/>
          <w:numId w:val="34"/>
        </w:numPr>
        <w:rPr>
          <w:rFonts w:ascii="Arial" w:hAnsi="Arial" w:cs="Arial"/>
          <w:bCs/>
        </w:rPr>
      </w:pPr>
      <w:r>
        <w:rPr>
          <w:rFonts w:ascii="Arial" w:hAnsi="Arial" w:cs="Arial"/>
          <w:bCs/>
        </w:rPr>
        <w:t xml:space="preserve">We are, however, due to the management actions taken in H1 better equipped to weather the effects of these immediate pressures, whilst equally confident in our underlying business strength and longer-term prospects.     </w:t>
      </w:r>
    </w:p>
    <w:p w14:paraId="1BCBB881" w14:textId="77777777" w:rsidR="00FE41F1" w:rsidRPr="00D25629" w:rsidRDefault="00FE41F1" w:rsidP="00FE41F1">
      <w:pPr>
        <w:pStyle w:val="ListParagraph"/>
        <w:numPr>
          <w:ilvl w:val="0"/>
          <w:numId w:val="34"/>
        </w:numPr>
        <w:rPr>
          <w:rFonts w:ascii="Arial" w:hAnsi="Arial" w:cs="Arial"/>
          <w:bCs/>
        </w:rPr>
      </w:pPr>
      <w:r w:rsidRPr="00D25629">
        <w:rPr>
          <w:rFonts w:ascii="Arial" w:hAnsi="Arial" w:cs="Arial"/>
          <w:bCs/>
        </w:rPr>
        <w:t xml:space="preserve">Post </w:t>
      </w:r>
      <w:r>
        <w:rPr>
          <w:rFonts w:ascii="Arial" w:hAnsi="Arial" w:cs="Arial"/>
          <w:bCs/>
        </w:rPr>
        <w:t>half year</w:t>
      </w:r>
      <w:r w:rsidRPr="00D25629">
        <w:rPr>
          <w:rFonts w:ascii="Arial" w:hAnsi="Arial" w:cs="Arial"/>
          <w:bCs/>
        </w:rPr>
        <w:t xml:space="preserve">, Co-op has agreed the sales of its non-core petrol forecourt business for an enterprise value of £600m. Proceeds will be used to reinvest into core businesses, price for consumers and reduce net debt. Post completion of the deal, expected in Q4 2022, it is anticipated that </w:t>
      </w:r>
      <w:r>
        <w:rPr>
          <w:rFonts w:ascii="Arial" w:hAnsi="Arial" w:cs="Arial"/>
          <w:bCs/>
        </w:rPr>
        <w:t xml:space="preserve">debt will fall to approximately 1 x EBITDA. </w:t>
      </w:r>
    </w:p>
    <w:p w14:paraId="7171F16C" w14:textId="77777777" w:rsidR="00FE41F1" w:rsidRDefault="00FE41F1" w:rsidP="00FE41F1">
      <w:pPr>
        <w:pStyle w:val="ListParagraph"/>
        <w:numPr>
          <w:ilvl w:val="0"/>
          <w:numId w:val="34"/>
        </w:numPr>
        <w:rPr>
          <w:rFonts w:ascii="Arial" w:hAnsi="Arial" w:cs="Arial"/>
          <w:bCs/>
        </w:rPr>
      </w:pPr>
      <w:r w:rsidRPr="007263C5">
        <w:rPr>
          <w:rFonts w:ascii="Arial" w:hAnsi="Arial" w:cs="Arial"/>
          <w:bCs/>
        </w:rPr>
        <w:t>The Board remains confident in the strategy, with a focus on driving growth through our established routes to market</w:t>
      </w:r>
      <w:r>
        <w:rPr>
          <w:rFonts w:ascii="Arial" w:hAnsi="Arial" w:cs="Arial"/>
          <w:bCs/>
        </w:rPr>
        <w:t>, maintaining financial discipline and</w:t>
      </w:r>
      <w:r w:rsidRPr="007263C5">
        <w:rPr>
          <w:rFonts w:ascii="Arial" w:hAnsi="Arial" w:cs="Arial"/>
          <w:bCs/>
        </w:rPr>
        <w:t xml:space="preserve"> continuing to deliver against </w:t>
      </w:r>
      <w:r>
        <w:rPr>
          <w:rFonts w:ascii="Arial" w:hAnsi="Arial" w:cs="Arial"/>
          <w:bCs/>
        </w:rPr>
        <w:t>our v</w:t>
      </w:r>
      <w:r w:rsidRPr="007263C5">
        <w:rPr>
          <w:rFonts w:ascii="Arial" w:hAnsi="Arial" w:cs="Arial"/>
          <w:bCs/>
        </w:rPr>
        <w:t>ision of co</w:t>
      </w:r>
      <w:r>
        <w:rPr>
          <w:rFonts w:ascii="Arial" w:hAnsi="Arial" w:cs="Arial"/>
          <w:bCs/>
        </w:rPr>
        <w:t>-</w:t>
      </w:r>
      <w:r w:rsidRPr="007263C5">
        <w:rPr>
          <w:rFonts w:ascii="Arial" w:hAnsi="Arial" w:cs="Arial"/>
          <w:bCs/>
        </w:rPr>
        <w:t xml:space="preserve">operating for a fairer world. </w:t>
      </w:r>
    </w:p>
    <w:p w14:paraId="3B479DCB" w14:textId="021E1534" w:rsidR="00FE41F1" w:rsidRDefault="00FE41F1" w:rsidP="00FE41F1">
      <w:pPr>
        <w:rPr>
          <w:rFonts w:ascii="Arial" w:hAnsi="Arial" w:cs="Arial"/>
          <w:b/>
        </w:rPr>
      </w:pPr>
    </w:p>
    <w:p w14:paraId="457D3B67" w14:textId="5EB55BB1" w:rsidR="00FE41F1" w:rsidRDefault="00FE41F1" w:rsidP="00FE41F1">
      <w:pPr>
        <w:rPr>
          <w:rFonts w:ascii="Arial" w:hAnsi="Arial" w:cs="Arial"/>
        </w:rPr>
      </w:pPr>
    </w:p>
    <w:p w14:paraId="00D1A728" w14:textId="57AB4136" w:rsidR="005D370B" w:rsidRDefault="005D370B" w:rsidP="5B95CECD">
      <w:pPr>
        <w:rPr>
          <w:rFonts w:ascii="Arial" w:hAnsi="Arial" w:cs="Arial"/>
          <w:b/>
          <w:bCs/>
        </w:rPr>
      </w:pPr>
      <w:r>
        <w:rPr>
          <w:rFonts w:ascii="Arial" w:hAnsi="Arial" w:cs="Arial"/>
          <w:b/>
          <w:bCs/>
        </w:rPr>
        <w:t>Media Enquiries:</w:t>
      </w:r>
    </w:p>
    <w:p w14:paraId="69BD910C" w14:textId="4422A99C" w:rsidR="485074DF" w:rsidRDefault="485074DF" w:rsidP="5B95CECD">
      <w:pPr>
        <w:rPr>
          <w:rFonts w:ascii="Arial" w:hAnsi="Arial" w:cs="Arial"/>
          <w:b/>
          <w:bCs/>
        </w:rPr>
      </w:pPr>
      <w:r w:rsidRPr="5B95CECD">
        <w:rPr>
          <w:rFonts w:ascii="Arial" w:hAnsi="Arial" w:cs="Arial"/>
          <w:b/>
          <w:bCs/>
        </w:rPr>
        <w:t>Co-op</w:t>
      </w:r>
    </w:p>
    <w:p w14:paraId="6035C510" w14:textId="49E8D1C3" w:rsidR="485074DF" w:rsidRDefault="485074DF" w:rsidP="5B95CECD">
      <w:pPr>
        <w:spacing w:line="257" w:lineRule="auto"/>
        <w:rPr>
          <w:rFonts w:ascii="Arial" w:eastAsia="Arial" w:hAnsi="Arial" w:cs="Arial"/>
        </w:rPr>
      </w:pPr>
      <w:r w:rsidRPr="5B95CECD">
        <w:rPr>
          <w:rFonts w:ascii="Arial" w:eastAsia="Arial" w:hAnsi="Arial" w:cs="Arial"/>
        </w:rPr>
        <w:t xml:space="preserve">Russ Brady, </w:t>
      </w:r>
      <w:r w:rsidRPr="5B95CECD">
        <w:rPr>
          <w:rFonts w:ascii="Arial" w:eastAsia="Arial" w:hAnsi="Arial" w:cs="Arial"/>
          <w:color w:val="282828"/>
        </w:rPr>
        <w:t xml:space="preserve">07880 784442, </w:t>
      </w:r>
      <w:hyperlink r:id="rId10">
        <w:r w:rsidRPr="5B95CECD">
          <w:rPr>
            <w:rStyle w:val="Hyperlink"/>
            <w:rFonts w:ascii="Arial" w:eastAsia="Arial" w:hAnsi="Arial" w:cs="Arial"/>
          </w:rPr>
          <w:t>russ.brady@coop.co.uk</w:t>
        </w:r>
      </w:hyperlink>
    </w:p>
    <w:p w14:paraId="49135905" w14:textId="67D9135E" w:rsidR="485074DF" w:rsidRDefault="485074DF" w:rsidP="5B95CECD">
      <w:pPr>
        <w:spacing w:line="257" w:lineRule="auto"/>
        <w:rPr>
          <w:rFonts w:ascii="Arial" w:eastAsia="Arial" w:hAnsi="Arial" w:cs="Arial"/>
        </w:rPr>
      </w:pPr>
      <w:r w:rsidRPr="5B95CECD">
        <w:rPr>
          <w:rFonts w:ascii="Arial" w:eastAsia="Arial" w:hAnsi="Arial" w:cs="Arial"/>
          <w:color w:val="282828"/>
        </w:rPr>
        <w:t xml:space="preserve">Cat Turner, 07834 090783, </w:t>
      </w:r>
      <w:hyperlink r:id="rId11">
        <w:r w:rsidRPr="5B95CECD">
          <w:rPr>
            <w:rStyle w:val="Hyperlink"/>
            <w:rFonts w:ascii="Arial" w:eastAsia="Arial" w:hAnsi="Arial" w:cs="Arial"/>
          </w:rPr>
          <w:t>catherine.turner@coop.co.uk</w:t>
        </w:r>
      </w:hyperlink>
    </w:p>
    <w:p w14:paraId="0492A7D0" w14:textId="596BD365" w:rsidR="485074DF" w:rsidRDefault="485074DF" w:rsidP="5B95CECD">
      <w:pPr>
        <w:spacing w:line="257" w:lineRule="auto"/>
        <w:rPr>
          <w:rFonts w:ascii="Arial" w:eastAsia="Arial" w:hAnsi="Arial" w:cs="Arial"/>
        </w:rPr>
      </w:pPr>
      <w:r w:rsidRPr="5B95CECD">
        <w:rPr>
          <w:rFonts w:ascii="Arial" w:eastAsia="Arial" w:hAnsi="Arial" w:cs="Arial"/>
        </w:rPr>
        <w:t xml:space="preserve">Craig Noonan, 07702 505439, </w:t>
      </w:r>
      <w:hyperlink r:id="rId12">
        <w:r w:rsidRPr="5B95CECD">
          <w:rPr>
            <w:rStyle w:val="Hyperlink"/>
            <w:rFonts w:ascii="Arial" w:eastAsia="Arial" w:hAnsi="Arial" w:cs="Arial"/>
          </w:rPr>
          <w:t>craig.noonan@coop.co.uk</w:t>
        </w:r>
      </w:hyperlink>
    </w:p>
    <w:p w14:paraId="6523B4B0" w14:textId="6B180A44" w:rsidR="485074DF" w:rsidRDefault="485074DF" w:rsidP="5B95CECD">
      <w:pPr>
        <w:spacing w:line="257" w:lineRule="auto"/>
        <w:rPr>
          <w:rFonts w:ascii="Arial" w:eastAsia="Arial" w:hAnsi="Arial" w:cs="Arial"/>
          <w:b/>
          <w:bCs/>
        </w:rPr>
      </w:pPr>
      <w:r w:rsidRPr="5B95CECD">
        <w:rPr>
          <w:rFonts w:ascii="Arial" w:eastAsia="Arial" w:hAnsi="Arial" w:cs="Arial"/>
          <w:b/>
          <w:bCs/>
        </w:rPr>
        <w:t>Headland</w:t>
      </w:r>
    </w:p>
    <w:p w14:paraId="5DA8982B" w14:textId="22D688E4" w:rsidR="485074DF" w:rsidRDefault="485074DF" w:rsidP="5B95CECD">
      <w:pPr>
        <w:spacing w:line="257" w:lineRule="auto"/>
        <w:rPr>
          <w:rFonts w:ascii="Arial" w:eastAsia="Arial" w:hAnsi="Arial" w:cs="Arial"/>
        </w:rPr>
      </w:pPr>
      <w:r w:rsidRPr="5B95CECD">
        <w:rPr>
          <w:rFonts w:ascii="Arial" w:eastAsia="Arial" w:hAnsi="Arial" w:cs="Arial"/>
        </w:rPr>
        <w:t xml:space="preserve">Susanna Voyle, </w:t>
      </w:r>
      <w:r w:rsidR="5EFB9E01" w:rsidRPr="5B95CECD">
        <w:rPr>
          <w:rFonts w:ascii="Arial" w:eastAsia="Arial" w:hAnsi="Arial" w:cs="Arial"/>
        </w:rPr>
        <w:t xml:space="preserve">07980 894557, </w:t>
      </w:r>
      <w:hyperlink r:id="rId13">
        <w:r w:rsidR="5EFB9E01" w:rsidRPr="5B95CECD">
          <w:rPr>
            <w:rStyle w:val="Hyperlink"/>
            <w:rFonts w:ascii="Arial" w:eastAsia="Arial" w:hAnsi="Arial" w:cs="Arial"/>
          </w:rPr>
          <w:t>svoyle@headlandconsultancy.com</w:t>
        </w:r>
      </w:hyperlink>
    </w:p>
    <w:p w14:paraId="705CC345" w14:textId="77777777" w:rsidR="00FE41F1" w:rsidRPr="00AA5A80" w:rsidRDefault="00FE41F1" w:rsidP="00FE41F1">
      <w:pPr>
        <w:shd w:val="clear" w:color="auto" w:fill="FFFFFF"/>
        <w:rPr>
          <w:rFonts w:ascii="Arial" w:hAnsi="Arial" w:cs="Arial"/>
          <w:b/>
          <w:bCs/>
          <w:lang w:val="en" w:eastAsia="en-GB"/>
        </w:rPr>
      </w:pPr>
    </w:p>
    <w:p w14:paraId="31BC1AA4" w14:textId="28E17220" w:rsidR="00FE41F1" w:rsidRDefault="00FE41F1" w:rsidP="5B95CECD">
      <w:pPr>
        <w:shd w:val="clear" w:color="auto" w:fill="FFFFFF" w:themeFill="background1"/>
        <w:rPr>
          <w:rFonts w:ascii="Arial" w:hAnsi="Arial" w:cs="Arial"/>
          <w:b/>
          <w:bCs/>
          <w:lang w:val="en" w:eastAsia="en-GB"/>
        </w:rPr>
      </w:pPr>
      <w:r w:rsidRPr="5B95CECD">
        <w:rPr>
          <w:rFonts w:ascii="Arial" w:hAnsi="Arial" w:cs="Arial"/>
          <w:b/>
          <w:bCs/>
          <w:lang w:val="en" w:eastAsia="en-GB"/>
        </w:rPr>
        <w:t>About the Co-op:</w:t>
      </w:r>
    </w:p>
    <w:p w14:paraId="27183B11" w14:textId="77777777" w:rsidR="00FC261C" w:rsidRDefault="00FC261C" w:rsidP="00FC261C">
      <w:pPr>
        <w:rPr>
          <w:rFonts w:ascii="Arial" w:eastAsia="Arial" w:hAnsi="Arial" w:cs="Arial"/>
          <w:color w:val="000000" w:themeColor="text1"/>
          <w:lang w:val="en"/>
        </w:rPr>
      </w:pPr>
      <w:r w:rsidRPr="5B95CECD">
        <w:rPr>
          <w:rFonts w:ascii="Arial" w:eastAsia="Arial" w:hAnsi="Arial" w:cs="Arial"/>
          <w:color w:val="000000" w:themeColor="text1"/>
          <w:lang w:val="en"/>
        </w:rPr>
        <w:t xml:space="preserve">Co-op is one of the world’s largest consumer co-operatives with interests across food, funerals, </w:t>
      </w:r>
      <w:proofErr w:type="gramStart"/>
      <w:r w:rsidRPr="5B95CECD">
        <w:rPr>
          <w:rFonts w:ascii="Arial" w:eastAsia="Arial" w:hAnsi="Arial" w:cs="Arial"/>
          <w:color w:val="000000" w:themeColor="text1"/>
          <w:lang w:val="en"/>
        </w:rPr>
        <w:t>insurance</w:t>
      </w:r>
      <w:proofErr w:type="gramEnd"/>
      <w:r w:rsidRPr="5B95CECD">
        <w:rPr>
          <w:rFonts w:ascii="Arial" w:eastAsia="Arial" w:hAnsi="Arial" w:cs="Arial"/>
          <w:color w:val="000000" w:themeColor="text1"/>
          <w:lang w:val="en"/>
        </w:rPr>
        <w:t xml:space="preserve"> and legal services. Owned by millions of UK consumers, the Co-op operates over 2,500 food stores, over 800 funeral homes and provides products to over 5,000 other stores, including those run by independent co-operative societies and through its wholesale business, Nisa Retail Limited.  </w:t>
      </w:r>
    </w:p>
    <w:p w14:paraId="679ED35D" w14:textId="77777777" w:rsidR="00FC261C" w:rsidRDefault="00FC261C" w:rsidP="00FC261C">
      <w:pPr>
        <w:rPr>
          <w:rFonts w:ascii="Arial" w:eastAsia="Arial" w:hAnsi="Arial" w:cs="Arial"/>
          <w:color w:val="000000" w:themeColor="text1"/>
          <w:lang w:val="en"/>
        </w:rPr>
      </w:pPr>
      <w:r w:rsidRPr="5B95CECD">
        <w:rPr>
          <w:rFonts w:ascii="Arial" w:eastAsia="Arial" w:hAnsi="Arial" w:cs="Arial"/>
          <w:color w:val="000000" w:themeColor="text1"/>
          <w:lang w:val="en"/>
        </w:rPr>
        <w:t xml:space="preserve"> Employing almost 60,000 people, the Co-op has an annual turnover of over £11billion and is a </w:t>
      </w:r>
      <w:proofErr w:type="spellStart"/>
      <w:r w:rsidRPr="5B95CECD">
        <w:rPr>
          <w:rFonts w:ascii="Arial" w:eastAsia="Arial" w:hAnsi="Arial" w:cs="Arial"/>
          <w:color w:val="000000" w:themeColor="text1"/>
          <w:lang w:val="en"/>
        </w:rPr>
        <w:t>recognised</w:t>
      </w:r>
      <w:proofErr w:type="spellEnd"/>
      <w:r w:rsidRPr="5B95CECD">
        <w:rPr>
          <w:rFonts w:ascii="Arial" w:eastAsia="Arial" w:hAnsi="Arial" w:cs="Arial"/>
          <w:color w:val="000000" w:themeColor="text1"/>
          <w:lang w:val="en"/>
        </w:rPr>
        <w:t xml:space="preserve"> leader for its social goals and community-led </w:t>
      </w:r>
      <w:proofErr w:type="spellStart"/>
      <w:r w:rsidRPr="5B95CECD">
        <w:rPr>
          <w:rFonts w:ascii="Arial" w:eastAsia="Arial" w:hAnsi="Arial" w:cs="Arial"/>
          <w:color w:val="000000" w:themeColor="text1"/>
          <w:lang w:val="en"/>
        </w:rPr>
        <w:t>programmes</w:t>
      </w:r>
      <w:proofErr w:type="spellEnd"/>
      <w:r w:rsidRPr="5B95CECD">
        <w:rPr>
          <w:rFonts w:ascii="Arial" w:eastAsia="Arial" w:hAnsi="Arial" w:cs="Arial"/>
          <w:color w:val="000000" w:themeColor="text1"/>
          <w:lang w:val="en"/>
        </w:rPr>
        <w:t xml:space="preserve">. The Co-op exists to meet members’ needs and stand up for the things they believe in.    </w:t>
      </w:r>
    </w:p>
    <w:p w14:paraId="6BE40ECA" w14:textId="77777777" w:rsidR="00FC261C" w:rsidRDefault="00FC261C" w:rsidP="5B95CECD">
      <w:pPr>
        <w:shd w:val="clear" w:color="auto" w:fill="FFFFFF" w:themeFill="background1"/>
        <w:rPr>
          <w:rFonts w:ascii="Arial" w:hAnsi="Arial" w:cs="Arial"/>
          <w:b/>
          <w:bCs/>
          <w:lang w:val="en" w:eastAsia="en-GB"/>
        </w:rPr>
      </w:pPr>
    </w:p>
    <w:p w14:paraId="618D8CC9" w14:textId="622C5257" w:rsidR="00514B73" w:rsidRDefault="00514B73" w:rsidP="00514B73">
      <w:pPr>
        <w:spacing w:line="240" w:lineRule="auto"/>
        <w:rPr>
          <w:rFonts w:ascii="Arial" w:hAnsi="Arial" w:cs="Arial"/>
          <w:b/>
          <w:bCs/>
          <w:sz w:val="24"/>
          <w:szCs w:val="24"/>
          <w:u w:val="single"/>
        </w:rPr>
      </w:pPr>
      <w:r w:rsidRPr="00EC543F">
        <w:rPr>
          <w:rFonts w:ascii="Arial" w:hAnsi="Arial" w:cs="Arial"/>
          <w:b/>
          <w:bCs/>
          <w:sz w:val="24"/>
          <w:szCs w:val="24"/>
          <w:u w:val="single"/>
        </w:rPr>
        <w:t>Co-op</w:t>
      </w:r>
      <w:r>
        <w:rPr>
          <w:rFonts w:ascii="Arial" w:hAnsi="Arial" w:cs="Arial"/>
          <w:b/>
          <w:bCs/>
          <w:sz w:val="24"/>
          <w:szCs w:val="24"/>
          <w:u w:val="single"/>
        </w:rPr>
        <w:t>erating for a Fairer World</w:t>
      </w:r>
    </w:p>
    <w:p w14:paraId="0E5EF2FC" w14:textId="77777777" w:rsidR="00514B73" w:rsidRDefault="00514B73" w:rsidP="00514B73">
      <w:pPr>
        <w:spacing w:line="240" w:lineRule="auto"/>
        <w:rPr>
          <w:rFonts w:ascii="Arial" w:hAnsi="Arial" w:cs="Arial"/>
          <w:b/>
        </w:rPr>
      </w:pPr>
      <w:r>
        <w:rPr>
          <w:rFonts w:ascii="Arial" w:hAnsi="Arial" w:cs="Arial"/>
          <w:b/>
        </w:rPr>
        <w:t>H1 2022 in brief</w:t>
      </w:r>
    </w:p>
    <w:p w14:paraId="6B9C6511" w14:textId="77777777" w:rsidR="00514B73" w:rsidRPr="00D42FFD" w:rsidRDefault="00514B73" w:rsidP="00514B73">
      <w:pPr>
        <w:pStyle w:val="ListParagraph"/>
        <w:numPr>
          <w:ilvl w:val="0"/>
          <w:numId w:val="3"/>
        </w:numPr>
        <w:spacing w:after="160" w:line="240" w:lineRule="auto"/>
        <w:rPr>
          <w:rFonts w:ascii="Arial" w:hAnsi="Arial" w:cs="Arial"/>
          <w:b/>
          <w:bCs/>
        </w:rPr>
      </w:pPr>
      <w:r w:rsidRPr="00D42FFD">
        <w:rPr>
          <w:rFonts w:ascii="Arial" w:hAnsi="Arial" w:cs="Arial"/>
          <w:b/>
          <w:bCs/>
        </w:rPr>
        <w:t>£</w:t>
      </w:r>
      <w:r w:rsidRPr="00A66413">
        <w:rPr>
          <w:rFonts w:ascii="Arial" w:hAnsi="Arial" w:cs="Arial"/>
          <w:b/>
          <w:bCs/>
        </w:rPr>
        <w:t>5.</w:t>
      </w:r>
      <w:r>
        <w:rPr>
          <w:rFonts w:ascii="Arial" w:hAnsi="Arial" w:cs="Arial"/>
          <w:b/>
          <w:bCs/>
        </w:rPr>
        <w:t>6</w:t>
      </w:r>
      <w:r w:rsidRPr="00D42FFD">
        <w:rPr>
          <w:rFonts w:ascii="Arial" w:hAnsi="Arial" w:cs="Arial"/>
          <w:b/>
          <w:bCs/>
        </w:rPr>
        <w:t xml:space="preserve">bn </w:t>
      </w:r>
    </w:p>
    <w:p w14:paraId="69DE2DDE" w14:textId="77777777" w:rsidR="00514B73" w:rsidRDefault="00514B73" w:rsidP="00514B73">
      <w:pPr>
        <w:pStyle w:val="ListParagraph"/>
        <w:spacing w:line="240" w:lineRule="auto"/>
        <w:rPr>
          <w:rFonts w:ascii="Arial" w:hAnsi="Arial" w:cs="Arial"/>
          <w:i/>
          <w:iCs/>
          <w:color w:val="000000" w:themeColor="text1"/>
        </w:rPr>
      </w:pPr>
      <w:r>
        <w:rPr>
          <w:rFonts w:ascii="Arial" w:hAnsi="Arial" w:cs="Arial"/>
          <w:i/>
          <w:iCs/>
          <w:color w:val="000000" w:themeColor="text1"/>
        </w:rPr>
        <w:t>Revenue flat compared with H1 2021 (£5.6bn)</w:t>
      </w:r>
    </w:p>
    <w:p w14:paraId="0B927EAF" w14:textId="77777777" w:rsidR="00514B73" w:rsidRDefault="00514B73" w:rsidP="00514B73">
      <w:pPr>
        <w:pStyle w:val="ListParagraph"/>
        <w:spacing w:line="240" w:lineRule="auto"/>
        <w:rPr>
          <w:rFonts w:ascii="Arial" w:hAnsi="Arial" w:cs="Arial"/>
          <w:i/>
          <w:iCs/>
          <w:color w:val="000000" w:themeColor="text1"/>
        </w:rPr>
      </w:pPr>
    </w:p>
    <w:p w14:paraId="0E12BBAC" w14:textId="77777777" w:rsidR="00514B73" w:rsidRPr="006108C9" w:rsidRDefault="00514B73" w:rsidP="00514B73">
      <w:pPr>
        <w:pStyle w:val="ListParagraph"/>
        <w:numPr>
          <w:ilvl w:val="0"/>
          <w:numId w:val="3"/>
        </w:numPr>
        <w:spacing w:after="160" w:line="259" w:lineRule="auto"/>
        <w:rPr>
          <w:rFonts w:ascii="Arial" w:hAnsi="Arial" w:cs="Arial"/>
          <w:b/>
          <w:bCs/>
        </w:rPr>
      </w:pPr>
      <w:r w:rsidRPr="006108C9">
        <w:rPr>
          <w:rFonts w:ascii="Arial" w:hAnsi="Arial" w:cs="Arial"/>
          <w:b/>
          <w:bCs/>
        </w:rPr>
        <w:t>£18m</w:t>
      </w:r>
    </w:p>
    <w:p w14:paraId="7FB65C85" w14:textId="77777777" w:rsidR="00514B73" w:rsidRPr="00D54C22" w:rsidRDefault="00514B73" w:rsidP="00514B73">
      <w:pPr>
        <w:pStyle w:val="ListParagraph"/>
        <w:spacing w:line="240" w:lineRule="auto"/>
      </w:pPr>
      <w:r w:rsidRPr="006108C9">
        <w:rPr>
          <w:rFonts w:ascii="Arial" w:hAnsi="Arial" w:cs="Arial"/>
          <w:i/>
          <w:iCs/>
        </w:rPr>
        <w:t>Underlying operating profit, down £33m on H1 2021 (£51m</w:t>
      </w:r>
      <w:r w:rsidRPr="00A03D6E">
        <w:rPr>
          <w:rFonts w:ascii="Arial" w:hAnsi="Arial" w:cs="Arial"/>
          <w:i/>
          <w:iCs/>
        </w:rPr>
        <w:t>*</w:t>
      </w:r>
      <w:r w:rsidRPr="006108C9">
        <w:rPr>
          <w:rFonts w:ascii="Arial" w:hAnsi="Arial" w:cs="Arial"/>
          <w:i/>
          <w:iCs/>
        </w:rPr>
        <w:t>)</w:t>
      </w:r>
      <w:r>
        <w:rPr>
          <w:rFonts w:ascii="Arial" w:hAnsi="Arial" w:cs="Arial"/>
          <w:i/>
          <w:iCs/>
        </w:rPr>
        <w:br/>
      </w:r>
    </w:p>
    <w:p w14:paraId="12084C83" w14:textId="77777777" w:rsidR="00514B73" w:rsidRPr="00D42FFD" w:rsidRDefault="00514B73" w:rsidP="00514B73">
      <w:pPr>
        <w:pStyle w:val="ListParagraph"/>
        <w:numPr>
          <w:ilvl w:val="0"/>
          <w:numId w:val="3"/>
        </w:numPr>
        <w:spacing w:after="160" w:line="240" w:lineRule="auto"/>
        <w:rPr>
          <w:rFonts w:ascii="Arial" w:hAnsi="Arial" w:cs="Arial"/>
          <w:b/>
          <w:bCs/>
        </w:rPr>
      </w:pPr>
      <w:r w:rsidRPr="00D42FFD">
        <w:rPr>
          <w:rFonts w:ascii="Arial" w:hAnsi="Arial" w:cs="Arial"/>
          <w:b/>
          <w:bCs/>
        </w:rPr>
        <w:t>£</w:t>
      </w:r>
      <w:r>
        <w:rPr>
          <w:rFonts w:ascii="Arial" w:hAnsi="Arial" w:cs="Arial"/>
          <w:b/>
          <w:bCs/>
        </w:rPr>
        <w:t>7</w:t>
      </w:r>
      <w:r w:rsidRPr="00D42FFD">
        <w:rPr>
          <w:rFonts w:ascii="Arial" w:hAnsi="Arial" w:cs="Arial"/>
          <w:b/>
          <w:bCs/>
        </w:rPr>
        <w:t>m</w:t>
      </w:r>
      <w:r w:rsidRPr="00D42FFD">
        <w:rPr>
          <w:rFonts w:ascii="Arial" w:hAnsi="Arial" w:cs="Arial"/>
          <w:b/>
          <w:bCs/>
          <w:i/>
          <w:iCs/>
          <w:color w:val="00B050"/>
        </w:rPr>
        <w:t xml:space="preserve"> </w:t>
      </w:r>
    </w:p>
    <w:p w14:paraId="636BEA2C" w14:textId="77777777" w:rsidR="00514B73" w:rsidRPr="00D54C22" w:rsidRDefault="00514B73" w:rsidP="00514B73">
      <w:pPr>
        <w:pStyle w:val="ListParagraph"/>
        <w:spacing w:line="240" w:lineRule="auto"/>
      </w:pPr>
      <w:r w:rsidRPr="00137897">
        <w:rPr>
          <w:rFonts w:ascii="Arial" w:hAnsi="Arial" w:cs="Arial"/>
          <w:i/>
          <w:iCs/>
        </w:rPr>
        <w:t xml:space="preserve">Group profit before tax </w:t>
      </w:r>
      <w:r>
        <w:rPr>
          <w:rFonts w:ascii="Arial" w:hAnsi="Arial" w:cs="Arial"/>
          <w:i/>
          <w:iCs/>
        </w:rPr>
        <w:t>down £37</w:t>
      </w:r>
      <w:r w:rsidRPr="00137897">
        <w:rPr>
          <w:rFonts w:ascii="Arial" w:hAnsi="Arial" w:cs="Arial"/>
          <w:i/>
          <w:iCs/>
        </w:rPr>
        <w:t>m on H1 2021 (£44m</w:t>
      </w:r>
      <w:r>
        <w:rPr>
          <w:rFonts w:ascii="Arial" w:hAnsi="Arial" w:cs="Arial"/>
          <w:i/>
          <w:iCs/>
        </w:rPr>
        <w:t>**</w:t>
      </w:r>
      <w:r w:rsidRPr="00137897">
        <w:rPr>
          <w:rFonts w:ascii="Arial" w:hAnsi="Arial" w:cs="Arial"/>
          <w:i/>
          <w:iCs/>
        </w:rPr>
        <w:t>)</w:t>
      </w:r>
    </w:p>
    <w:p w14:paraId="3E0376BF" w14:textId="77777777" w:rsidR="00514B73" w:rsidRDefault="00514B73" w:rsidP="00514B73">
      <w:pPr>
        <w:pStyle w:val="ListParagraph"/>
        <w:spacing w:line="240" w:lineRule="auto"/>
        <w:rPr>
          <w:rFonts w:ascii="Arial" w:hAnsi="Arial" w:cs="Arial"/>
          <w:b/>
          <w:bCs/>
        </w:rPr>
      </w:pPr>
    </w:p>
    <w:p w14:paraId="25EF5248" w14:textId="77777777" w:rsidR="00514B73" w:rsidRPr="002172C4" w:rsidRDefault="00514B73" w:rsidP="00514B73">
      <w:pPr>
        <w:pStyle w:val="ListParagraph"/>
        <w:numPr>
          <w:ilvl w:val="0"/>
          <w:numId w:val="3"/>
        </w:numPr>
        <w:spacing w:after="160" w:line="240" w:lineRule="auto"/>
        <w:rPr>
          <w:rFonts w:ascii="Arial" w:hAnsi="Arial" w:cs="Arial"/>
          <w:b/>
          <w:bCs/>
        </w:rPr>
      </w:pPr>
      <w:r w:rsidRPr="002172C4">
        <w:rPr>
          <w:rFonts w:ascii="Arial" w:hAnsi="Arial" w:cs="Arial"/>
          <w:b/>
          <w:bCs/>
        </w:rPr>
        <w:t>£218m</w:t>
      </w:r>
    </w:p>
    <w:p w14:paraId="69346647" w14:textId="77777777" w:rsidR="00514B73" w:rsidRDefault="00514B73" w:rsidP="00514B73">
      <w:pPr>
        <w:pStyle w:val="ListParagraph"/>
        <w:spacing w:line="240" w:lineRule="auto"/>
        <w:rPr>
          <w:rFonts w:ascii="Arial" w:hAnsi="Arial" w:cs="Arial"/>
          <w:i/>
          <w:iCs/>
        </w:rPr>
      </w:pPr>
      <w:r w:rsidRPr="002172C4">
        <w:rPr>
          <w:rFonts w:ascii="Arial" w:hAnsi="Arial" w:cs="Arial"/>
          <w:i/>
          <w:iCs/>
        </w:rPr>
        <w:t>Underlying</w:t>
      </w:r>
      <w:r>
        <w:rPr>
          <w:rFonts w:ascii="Arial" w:hAnsi="Arial" w:cs="Arial"/>
          <w:i/>
          <w:iCs/>
        </w:rPr>
        <w:t xml:space="preserve"> EBITDA</w:t>
      </w:r>
      <w:r w:rsidRPr="002172C4">
        <w:rPr>
          <w:rFonts w:ascii="Arial" w:hAnsi="Arial" w:cs="Arial"/>
          <w:i/>
          <w:iCs/>
        </w:rPr>
        <w:t xml:space="preserve"> down £30m (H1 2021: £248m)</w:t>
      </w:r>
      <w:r>
        <w:br/>
      </w:r>
    </w:p>
    <w:p w14:paraId="4A4BC8E5" w14:textId="77777777" w:rsidR="00905196" w:rsidRDefault="00905196" w:rsidP="00905196">
      <w:pPr>
        <w:pStyle w:val="ListParagraph"/>
        <w:numPr>
          <w:ilvl w:val="0"/>
          <w:numId w:val="3"/>
        </w:numPr>
        <w:spacing w:after="160" w:line="252" w:lineRule="auto"/>
        <w:rPr>
          <w:rFonts w:ascii="Arial" w:hAnsi="Arial" w:cs="Arial"/>
          <w:b/>
          <w:bCs/>
        </w:rPr>
      </w:pPr>
      <w:r>
        <w:rPr>
          <w:rFonts w:ascii="Arial" w:hAnsi="Arial" w:cs="Arial"/>
          <w:b/>
          <w:bCs/>
        </w:rPr>
        <w:t>£315m</w:t>
      </w:r>
    </w:p>
    <w:p w14:paraId="5866D640" w14:textId="77777777" w:rsidR="00905196" w:rsidRPr="004B6DFF" w:rsidRDefault="00905196" w:rsidP="00905196">
      <w:pPr>
        <w:pStyle w:val="ListParagraph"/>
        <w:rPr>
          <w:rFonts w:ascii="Arial" w:hAnsi="Arial" w:cs="Arial"/>
          <w:i/>
          <w:iCs/>
        </w:rPr>
      </w:pPr>
      <w:r>
        <w:rPr>
          <w:rFonts w:ascii="Arial" w:hAnsi="Arial" w:cs="Arial"/>
          <w:i/>
          <w:iCs/>
        </w:rPr>
        <w:t xml:space="preserve">Net cash from operating activities </w:t>
      </w:r>
      <w:r w:rsidRPr="004B6DFF">
        <w:rPr>
          <w:rFonts w:ascii="Arial" w:hAnsi="Arial" w:cs="Arial"/>
          <w:i/>
          <w:iCs/>
        </w:rPr>
        <w:t>improves by £</w:t>
      </w:r>
      <w:r>
        <w:rPr>
          <w:rFonts w:ascii="Arial" w:hAnsi="Arial" w:cs="Arial"/>
          <w:i/>
          <w:iCs/>
        </w:rPr>
        <w:t>153</w:t>
      </w:r>
      <w:r w:rsidRPr="004B6DFF">
        <w:rPr>
          <w:rFonts w:ascii="Arial" w:hAnsi="Arial" w:cs="Arial"/>
          <w:i/>
          <w:iCs/>
        </w:rPr>
        <w:t xml:space="preserve">m </w:t>
      </w:r>
      <w:r w:rsidRPr="00D54C22">
        <w:rPr>
          <w:rFonts w:ascii="Arial" w:hAnsi="Arial" w:cs="Arial"/>
          <w:i/>
          <w:iCs/>
        </w:rPr>
        <w:t xml:space="preserve">(H1 </w:t>
      </w:r>
      <w:r>
        <w:rPr>
          <w:rFonts w:ascii="Arial" w:hAnsi="Arial" w:cs="Arial"/>
          <w:i/>
          <w:iCs/>
        </w:rPr>
        <w:t>2021: £162m)</w:t>
      </w:r>
    </w:p>
    <w:p w14:paraId="239B54B3" w14:textId="77777777" w:rsidR="00514B73" w:rsidRPr="006108C9" w:rsidRDefault="00514B73" w:rsidP="00514B73">
      <w:pPr>
        <w:pStyle w:val="ListParagraph"/>
        <w:spacing w:line="240" w:lineRule="auto"/>
        <w:rPr>
          <w:rFonts w:ascii="Arial" w:hAnsi="Arial" w:cs="Arial"/>
        </w:rPr>
      </w:pPr>
    </w:p>
    <w:p w14:paraId="190D0DE1" w14:textId="77777777" w:rsidR="00514B73" w:rsidRPr="00A03D6E" w:rsidRDefault="00514B73" w:rsidP="00514B73">
      <w:pPr>
        <w:pStyle w:val="ListParagraph"/>
        <w:numPr>
          <w:ilvl w:val="0"/>
          <w:numId w:val="3"/>
        </w:numPr>
        <w:spacing w:after="160" w:line="240" w:lineRule="auto"/>
        <w:rPr>
          <w:rFonts w:ascii="Arial" w:hAnsi="Arial" w:cs="Arial"/>
        </w:rPr>
      </w:pPr>
      <w:r w:rsidRPr="00A03D6E">
        <w:rPr>
          <w:rFonts w:ascii="Arial" w:hAnsi="Arial" w:cs="Arial"/>
          <w:b/>
          <w:bCs/>
        </w:rPr>
        <w:t xml:space="preserve">Group net debt down to £731m from £920m at </w:t>
      </w:r>
      <w:proofErr w:type="gramStart"/>
      <w:r w:rsidRPr="00A03D6E">
        <w:rPr>
          <w:rFonts w:ascii="Arial" w:hAnsi="Arial" w:cs="Arial"/>
          <w:b/>
          <w:bCs/>
        </w:rPr>
        <w:t>2021 year</w:t>
      </w:r>
      <w:proofErr w:type="gramEnd"/>
      <w:r w:rsidRPr="00A03D6E">
        <w:rPr>
          <w:rFonts w:ascii="Arial" w:hAnsi="Arial" w:cs="Arial"/>
          <w:b/>
          <w:bCs/>
        </w:rPr>
        <w:t xml:space="preserve"> end</w:t>
      </w:r>
    </w:p>
    <w:p w14:paraId="24DA22B8" w14:textId="77777777" w:rsidR="00514B73" w:rsidRPr="00A03D6E" w:rsidRDefault="00514B73" w:rsidP="00514B73">
      <w:pPr>
        <w:pStyle w:val="ListParagraph"/>
        <w:spacing w:line="240" w:lineRule="auto"/>
        <w:rPr>
          <w:rFonts w:ascii="Arial" w:hAnsi="Arial" w:cs="Arial"/>
          <w:i/>
          <w:iCs/>
        </w:rPr>
      </w:pPr>
      <w:r w:rsidRPr="00A03D6E">
        <w:rPr>
          <w:rFonts w:ascii="Arial" w:hAnsi="Arial" w:cs="Arial"/>
          <w:i/>
          <w:iCs/>
        </w:rPr>
        <w:t>Represents a £189m improvement/reduction (H1 2021: debt increased by £162m). Net debt set to reduce further in H2 2022, following the sale of petrol forecourt sites</w:t>
      </w:r>
    </w:p>
    <w:p w14:paraId="5F72A63D" w14:textId="77777777" w:rsidR="00514B73" w:rsidRDefault="00514B73" w:rsidP="00514B73">
      <w:pPr>
        <w:pStyle w:val="NormalWeb"/>
        <w:spacing w:after="0" w:line="240" w:lineRule="auto"/>
        <w:rPr>
          <w:rFonts w:ascii="Arial" w:hAnsi="Arial" w:cs="Arial"/>
          <w:i/>
          <w:iCs/>
          <w:sz w:val="16"/>
          <w:szCs w:val="16"/>
        </w:rPr>
      </w:pPr>
    </w:p>
    <w:p w14:paraId="4C60513E" w14:textId="77777777" w:rsidR="00514B73" w:rsidRPr="00A03D6E" w:rsidRDefault="00514B73" w:rsidP="00514B73">
      <w:pPr>
        <w:pStyle w:val="NormalWeb"/>
        <w:spacing w:after="0" w:line="240" w:lineRule="auto"/>
        <w:ind w:left="709"/>
        <w:rPr>
          <w:rFonts w:ascii="Arial" w:hAnsi="Arial" w:cs="Arial"/>
          <w:i/>
          <w:iCs/>
          <w:sz w:val="16"/>
          <w:szCs w:val="16"/>
        </w:rPr>
      </w:pPr>
      <w:r w:rsidRPr="00A03D6E">
        <w:rPr>
          <w:rFonts w:ascii="Arial" w:hAnsi="Arial" w:cs="Arial"/>
          <w:i/>
          <w:iCs/>
          <w:sz w:val="16"/>
          <w:szCs w:val="16"/>
        </w:rPr>
        <w:t xml:space="preserve">* H1 2021 included the benefit of £20m of Government assistance through rates relief in relation to the pandemic.   </w:t>
      </w:r>
    </w:p>
    <w:p w14:paraId="40CD2D38" w14:textId="206551E3" w:rsidR="00514B73" w:rsidRPr="003F1559" w:rsidRDefault="00514B73" w:rsidP="003F1559">
      <w:pPr>
        <w:pStyle w:val="NormalWeb"/>
        <w:spacing w:after="0" w:line="240" w:lineRule="auto"/>
        <w:ind w:left="709"/>
        <w:rPr>
          <w:rFonts w:ascii="Arial" w:hAnsi="Arial" w:cs="Arial"/>
          <w:i/>
          <w:iCs/>
          <w:sz w:val="16"/>
          <w:szCs w:val="16"/>
        </w:rPr>
      </w:pPr>
      <w:r w:rsidRPr="00A03D6E">
        <w:rPr>
          <w:rFonts w:ascii="Arial" w:hAnsi="Arial" w:cs="Arial"/>
          <w:i/>
          <w:iCs/>
          <w:sz w:val="16"/>
          <w:szCs w:val="16"/>
        </w:rPr>
        <w:t>*</w:t>
      </w:r>
      <w:r>
        <w:rPr>
          <w:rFonts w:ascii="Arial" w:hAnsi="Arial" w:cs="Arial"/>
          <w:i/>
          <w:iCs/>
          <w:sz w:val="16"/>
          <w:szCs w:val="16"/>
        </w:rPr>
        <w:t>*</w:t>
      </w:r>
      <w:r w:rsidRPr="00A03D6E">
        <w:rPr>
          <w:rFonts w:ascii="Arial" w:hAnsi="Arial" w:cs="Arial"/>
          <w:i/>
          <w:iCs/>
          <w:sz w:val="16"/>
          <w:szCs w:val="16"/>
        </w:rPr>
        <w:t xml:space="preserve"> H1 2021 included the benefit of a one-off gain of £99m following the early settlement of a </w:t>
      </w:r>
      <w:proofErr w:type="gramStart"/>
      <w:r w:rsidRPr="00A03D6E">
        <w:rPr>
          <w:rFonts w:ascii="Arial" w:hAnsi="Arial" w:cs="Arial"/>
          <w:i/>
          <w:iCs/>
          <w:sz w:val="16"/>
          <w:szCs w:val="16"/>
        </w:rPr>
        <w:t>long term</w:t>
      </w:r>
      <w:proofErr w:type="gramEnd"/>
      <w:r w:rsidRPr="00A03D6E">
        <w:rPr>
          <w:rFonts w:ascii="Arial" w:hAnsi="Arial" w:cs="Arial"/>
          <w:i/>
          <w:iCs/>
          <w:sz w:val="16"/>
          <w:szCs w:val="16"/>
        </w:rPr>
        <w:t xml:space="preserve"> liability.</w:t>
      </w:r>
      <w:r>
        <w:br/>
      </w:r>
    </w:p>
    <w:p w14:paraId="1A4CA5CC" w14:textId="77777777" w:rsidR="00514B73" w:rsidRPr="000D3ADE" w:rsidRDefault="00514B73" w:rsidP="00514B73">
      <w:pPr>
        <w:pStyle w:val="ListParagraph"/>
        <w:numPr>
          <w:ilvl w:val="0"/>
          <w:numId w:val="19"/>
        </w:numPr>
        <w:spacing w:after="160" w:line="240" w:lineRule="auto"/>
        <w:rPr>
          <w:rFonts w:ascii="Arial" w:hAnsi="Arial" w:cs="Arial"/>
          <w:bCs/>
        </w:rPr>
      </w:pPr>
      <w:r w:rsidRPr="000D3ADE">
        <w:rPr>
          <w:rFonts w:ascii="Arial" w:hAnsi="Arial" w:cs="Arial"/>
          <w:bCs/>
        </w:rPr>
        <w:t>More than 4,500 local causes supported by Local Community Fund in H1, with £16m earned by members for themselves and their communities.</w:t>
      </w:r>
    </w:p>
    <w:p w14:paraId="09813E88" w14:textId="77777777" w:rsidR="00514B73" w:rsidRPr="000D3ADE" w:rsidRDefault="00514B73" w:rsidP="00514B73">
      <w:pPr>
        <w:pStyle w:val="ListParagraph"/>
        <w:spacing w:line="240" w:lineRule="auto"/>
        <w:rPr>
          <w:rFonts w:ascii="Arial" w:hAnsi="Arial" w:cs="Arial"/>
          <w:b/>
        </w:rPr>
      </w:pPr>
    </w:p>
    <w:p w14:paraId="3E489C75" w14:textId="77777777" w:rsidR="00514B73" w:rsidRPr="00AC2684" w:rsidRDefault="00514B73" w:rsidP="00514B73">
      <w:pPr>
        <w:pStyle w:val="ListParagraph"/>
        <w:numPr>
          <w:ilvl w:val="0"/>
          <w:numId w:val="19"/>
        </w:numPr>
        <w:spacing w:after="160" w:line="240" w:lineRule="auto"/>
        <w:rPr>
          <w:rFonts w:ascii="Arial" w:hAnsi="Arial" w:cs="Arial"/>
          <w:b/>
        </w:rPr>
      </w:pPr>
      <w:r>
        <w:rPr>
          <w:rFonts w:ascii="Arial" w:hAnsi="Arial" w:cs="Arial"/>
          <w:bCs/>
        </w:rPr>
        <w:t>By the end of H1, more than 42 businesses had pledged over £14m towards Co-op Levy Share targets, which will support more than 1,000 apprentices</w:t>
      </w:r>
    </w:p>
    <w:p w14:paraId="02A6FF10" w14:textId="77777777" w:rsidR="00514B73" w:rsidRPr="00D42D64" w:rsidRDefault="00514B73" w:rsidP="00514B73">
      <w:pPr>
        <w:pStyle w:val="ListParagraph"/>
        <w:spacing w:line="240" w:lineRule="auto"/>
        <w:rPr>
          <w:rFonts w:ascii="Arial" w:hAnsi="Arial" w:cs="Arial"/>
          <w:b/>
        </w:rPr>
      </w:pPr>
    </w:p>
    <w:p w14:paraId="5B93B206" w14:textId="034ED024" w:rsidR="00514B73" w:rsidRPr="00AC2684" w:rsidRDefault="00D8292F" w:rsidP="00514B73">
      <w:pPr>
        <w:pStyle w:val="ListParagraph"/>
        <w:numPr>
          <w:ilvl w:val="0"/>
          <w:numId w:val="19"/>
        </w:numPr>
        <w:spacing w:after="160" w:line="240" w:lineRule="auto"/>
        <w:rPr>
          <w:rFonts w:ascii="Arial" w:hAnsi="Arial" w:cs="Arial"/>
          <w:b/>
        </w:rPr>
      </w:pPr>
      <w:r>
        <w:rPr>
          <w:rFonts w:ascii="Arial" w:hAnsi="Arial" w:cs="Arial"/>
          <w:bCs/>
        </w:rPr>
        <w:t>Just under</w:t>
      </w:r>
      <w:r w:rsidR="00514B73">
        <w:rPr>
          <w:rFonts w:ascii="Arial" w:hAnsi="Arial" w:cs="Arial"/>
          <w:bCs/>
        </w:rPr>
        <w:t xml:space="preserve"> £5.4 million accessed by colleagues through </w:t>
      </w:r>
      <w:proofErr w:type="spellStart"/>
      <w:r w:rsidR="00514B73">
        <w:rPr>
          <w:rFonts w:ascii="Arial" w:hAnsi="Arial" w:cs="Arial"/>
          <w:bCs/>
        </w:rPr>
        <w:t>Wagestream</w:t>
      </w:r>
      <w:proofErr w:type="spellEnd"/>
      <w:r w:rsidR="00514B73">
        <w:rPr>
          <w:rFonts w:ascii="Arial" w:hAnsi="Arial" w:cs="Arial"/>
          <w:bCs/>
        </w:rPr>
        <w:t>, at times where they really needed it</w:t>
      </w:r>
      <w:r w:rsidR="00514B73">
        <w:rPr>
          <w:rFonts w:ascii="Arial" w:hAnsi="Arial" w:cs="Arial"/>
          <w:bCs/>
        </w:rPr>
        <w:br/>
      </w:r>
    </w:p>
    <w:p w14:paraId="4C216646" w14:textId="77777777" w:rsidR="00514B73" w:rsidRPr="006144BA" w:rsidRDefault="00514B73" w:rsidP="00514B73">
      <w:pPr>
        <w:pStyle w:val="ListParagraph"/>
        <w:numPr>
          <w:ilvl w:val="0"/>
          <w:numId w:val="19"/>
        </w:numPr>
        <w:spacing w:after="160" w:line="240" w:lineRule="auto"/>
        <w:rPr>
          <w:rFonts w:ascii="Arial" w:hAnsi="Arial" w:cs="Arial"/>
          <w:b/>
        </w:rPr>
      </w:pPr>
      <w:r>
        <w:rPr>
          <w:rFonts w:ascii="Arial" w:hAnsi="Arial" w:cs="Arial"/>
          <w:bCs/>
        </w:rPr>
        <w:t>Caboodle launched – a major not-for-profit platform to tackle food waste, connecting supermarkets, cafes and restaurants with community groups and volunteers</w:t>
      </w:r>
      <w:r>
        <w:rPr>
          <w:rFonts w:ascii="Arial" w:hAnsi="Arial" w:cs="Arial"/>
          <w:bCs/>
        </w:rPr>
        <w:br/>
      </w:r>
    </w:p>
    <w:p w14:paraId="385D70F5" w14:textId="4698D2DC" w:rsidR="00514B73" w:rsidRPr="00AB2269" w:rsidRDefault="00514B73" w:rsidP="00514B73">
      <w:pPr>
        <w:pStyle w:val="ListParagraph"/>
        <w:numPr>
          <w:ilvl w:val="0"/>
          <w:numId w:val="19"/>
        </w:numPr>
        <w:spacing w:after="160" w:line="240" w:lineRule="auto"/>
        <w:rPr>
          <w:rFonts w:ascii="Arial" w:hAnsi="Arial" w:cs="Arial"/>
          <w:b/>
        </w:rPr>
      </w:pPr>
      <w:r>
        <w:rPr>
          <w:rFonts w:ascii="Arial" w:hAnsi="Arial" w:cs="Arial"/>
          <w:bCs/>
        </w:rPr>
        <w:t>Queen’s Award for Enterprise and Sustainable Development achieved, in recognition of Co-op’s impact across carbon emissions, recycling and sustainable pension investment</w:t>
      </w:r>
    </w:p>
    <w:p w14:paraId="6FDE135E" w14:textId="3599E7FF" w:rsidR="00AB2269" w:rsidRDefault="00AB2269" w:rsidP="00AB2269">
      <w:pPr>
        <w:pStyle w:val="ListParagraph"/>
        <w:spacing w:after="160" w:line="240" w:lineRule="auto"/>
        <w:rPr>
          <w:rFonts w:ascii="Arial" w:hAnsi="Arial" w:cs="Arial"/>
          <w:bCs/>
        </w:rPr>
      </w:pPr>
    </w:p>
    <w:p w14:paraId="6C65FC5F" w14:textId="77777777" w:rsidR="00AB2269" w:rsidRPr="005265AB" w:rsidRDefault="00AB2269" w:rsidP="00AB2269">
      <w:pPr>
        <w:pStyle w:val="ListParagraph"/>
        <w:spacing w:after="160" w:line="240" w:lineRule="auto"/>
        <w:rPr>
          <w:rFonts w:ascii="Arial" w:hAnsi="Arial" w:cs="Arial"/>
          <w:b/>
        </w:rPr>
      </w:pPr>
    </w:p>
    <w:p w14:paraId="255087FF" w14:textId="4B7D2CFF" w:rsidR="00514B73" w:rsidRPr="00CC1F05" w:rsidRDefault="00514B73" w:rsidP="00514B73">
      <w:pPr>
        <w:spacing w:line="240" w:lineRule="auto"/>
        <w:rPr>
          <w:rFonts w:ascii="Arial" w:hAnsi="Arial" w:cs="Arial"/>
          <w:b/>
          <w:bCs/>
        </w:rPr>
      </w:pPr>
      <w:r w:rsidRPr="001619B8">
        <w:rPr>
          <w:rFonts w:ascii="Arial" w:hAnsi="Arial" w:cs="Arial"/>
          <w:b/>
          <w:bCs/>
          <w:sz w:val="24"/>
          <w:szCs w:val="24"/>
        </w:rPr>
        <w:t>CHAIR’S INTRODUCTION</w:t>
      </w:r>
    </w:p>
    <w:p w14:paraId="1D7DFDA8" w14:textId="77777777" w:rsidR="00514B73" w:rsidRPr="00833CD1" w:rsidRDefault="00514B73" w:rsidP="00514B73">
      <w:pPr>
        <w:spacing w:line="240" w:lineRule="auto"/>
        <w:rPr>
          <w:rFonts w:ascii="Arial" w:hAnsi="Arial" w:cs="Arial"/>
        </w:rPr>
      </w:pPr>
      <w:r w:rsidRPr="00833CD1">
        <w:rPr>
          <w:rFonts w:ascii="Arial" w:hAnsi="Arial" w:cs="Arial"/>
        </w:rPr>
        <w:t>Our Co-op has been in existence for almost 180 years and throughout that time we have had to face into many large</w:t>
      </w:r>
      <w:r>
        <w:rPr>
          <w:rFonts w:ascii="Arial" w:hAnsi="Arial" w:cs="Arial"/>
        </w:rPr>
        <w:t>-</w:t>
      </w:r>
      <w:r w:rsidRPr="00833CD1">
        <w:rPr>
          <w:rFonts w:ascii="Arial" w:hAnsi="Arial" w:cs="Arial"/>
        </w:rPr>
        <w:t>scale challenges, impact</w:t>
      </w:r>
      <w:r>
        <w:rPr>
          <w:rFonts w:ascii="Arial" w:hAnsi="Arial" w:cs="Arial"/>
        </w:rPr>
        <w:t>ing</w:t>
      </w:r>
      <w:r w:rsidRPr="00833CD1">
        <w:rPr>
          <w:rFonts w:ascii="Arial" w:hAnsi="Arial" w:cs="Arial"/>
        </w:rPr>
        <w:t xml:space="preserve"> the lives of our colleagues, our </w:t>
      </w:r>
      <w:proofErr w:type="gramStart"/>
      <w:r w:rsidRPr="00833CD1">
        <w:rPr>
          <w:rFonts w:ascii="Arial" w:hAnsi="Arial" w:cs="Arial"/>
        </w:rPr>
        <w:t>members</w:t>
      </w:r>
      <w:proofErr w:type="gramEnd"/>
      <w:r w:rsidRPr="00833CD1">
        <w:rPr>
          <w:rFonts w:ascii="Arial" w:hAnsi="Arial" w:cs="Arial"/>
        </w:rPr>
        <w:t xml:space="preserve"> and our other key stakeholders.</w:t>
      </w:r>
      <w:r>
        <w:rPr>
          <w:rFonts w:ascii="Arial" w:hAnsi="Arial" w:cs="Arial"/>
        </w:rPr>
        <w:t xml:space="preserve"> </w:t>
      </w:r>
      <w:r w:rsidRPr="00833CD1">
        <w:rPr>
          <w:rFonts w:ascii="Arial" w:hAnsi="Arial" w:cs="Arial"/>
        </w:rPr>
        <w:t xml:space="preserve">Our ability to </w:t>
      </w:r>
      <w:r>
        <w:rPr>
          <w:rFonts w:ascii="Arial" w:hAnsi="Arial" w:cs="Arial"/>
        </w:rPr>
        <w:t>address</w:t>
      </w:r>
      <w:r w:rsidRPr="00833CD1">
        <w:rPr>
          <w:rFonts w:ascii="Arial" w:hAnsi="Arial" w:cs="Arial"/>
        </w:rPr>
        <w:t xml:space="preserve"> these challenges and to come out the other side, stronger and more resilient </w:t>
      </w:r>
      <w:r>
        <w:rPr>
          <w:rFonts w:ascii="Arial" w:hAnsi="Arial" w:cs="Arial"/>
        </w:rPr>
        <w:t>is</w:t>
      </w:r>
      <w:r w:rsidRPr="00833CD1">
        <w:rPr>
          <w:rFonts w:ascii="Arial" w:hAnsi="Arial" w:cs="Arial"/>
        </w:rPr>
        <w:t xml:space="preserve"> why we are </w:t>
      </w:r>
      <w:r w:rsidRPr="00021664">
        <w:rPr>
          <w:rFonts w:ascii="Arial" w:hAnsi="Arial" w:cs="Arial"/>
        </w:rPr>
        <w:t xml:space="preserve">well trusted and well recognised in the UK, as </w:t>
      </w:r>
      <w:r>
        <w:rPr>
          <w:rFonts w:ascii="Arial" w:hAnsi="Arial" w:cs="Arial"/>
        </w:rPr>
        <w:t xml:space="preserve">our </w:t>
      </w:r>
      <w:r w:rsidRPr="00021664">
        <w:rPr>
          <w:rFonts w:ascii="Arial" w:hAnsi="Arial" w:cs="Arial"/>
        </w:rPr>
        <w:t xml:space="preserve">market research confirms. </w:t>
      </w:r>
      <w:r w:rsidRPr="00833CD1">
        <w:rPr>
          <w:rFonts w:ascii="Arial" w:hAnsi="Arial" w:cs="Arial"/>
        </w:rPr>
        <w:t xml:space="preserve">It is also the reason why </w:t>
      </w:r>
      <w:r>
        <w:rPr>
          <w:rFonts w:ascii="Arial" w:hAnsi="Arial" w:cs="Arial"/>
        </w:rPr>
        <w:t>our</w:t>
      </w:r>
      <w:r w:rsidRPr="00833CD1">
        <w:rPr>
          <w:rFonts w:ascii="Arial" w:hAnsi="Arial" w:cs="Arial"/>
        </w:rPr>
        <w:t xml:space="preserve"> Co-op</w:t>
      </w:r>
      <w:r>
        <w:rPr>
          <w:rFonts w:ascii="Arial" w:hAnsi="Arial" w:cs="Arial"/>
        </w:rPr>
        <w:t>’s</w:t>
      </w:r>
      <w:r w:rsidRPr="00833CD1">
        <w:rPr>
          <w:rFonts w:ascii="Arial" w:hAnsi="Arial" w:cs="Arial"/>
        </w:rPr>
        <w:t xml:space="preserve"> business model is so important globally</w:t>
      </w:r>
      <w:r>
        <w:rPr>
          <w:rFonts w:ascii="Arial" w:hAnsi="Arial" w:cs="Arial"/>
        </w:rPr>
        <w:t>,</w:t>
      </w:r>
      <w:r w:rsidRPr="00833CD1">
        <w:rPr>
          <w:rFonts w:ascii="Arial" w:hAnsi="Arial" w:cs="Arial"/>
        </w:rPr>
        <w:t xml:space="preserve"> at times of need and heightened pressure.</w:t>
      </w:r>
    </w:p>
    <w:p w14:paraId="0578DC78" w14:textId="77777777" w:rsidR="00514B73" w:rsidRDefault="00514B73" w:rsidP="00514B73">
      <w:pPr>
        <w:spacing w:line="240" w:lineRule="auto"/>
        <w:rPr>
          <w:rFonts w:ascii="Arial" w:hAnsi="Arial" w:cs="Arial"/>
        </w:rPr>
      </w:pPr>
      <w:r w:rsidRPr="00833CD1">
        <w:rPr>
          <w:rFonts w:ascii="Arial" w:hAnsi="Arial" w:cs="Arial"/>
        </w:rPr>
        <w:t>We are not immune</w:t>
      </w:r>
      <w:r>
        <w:rPr>
          <w:rFonts w:ascii="Arial" w:hAnsi="Arial" w:cs="Arial"/>
        </w:rPr>
        <w:t>,</w:t>
      </w:r>
      <w:r w:rsidRPr="00833CD1">
        <w:rPr>
          <w:rFonts w:ascii="Arial" w:hAnsi="Arial" w:cs="Arial"/>
        </w:rPr>
        <w:t xml:space="preserve"> of course</w:t>
      </w:r>
      <w:r>
        <w:rPr>
          <w:rFonts w:ascii="Arial" w:hAnsi="Arial" w:cs="Arial"/>
        </w:rPr>
        <w:t>,</w:t>
      </w:r>
      <w:r w:rsidRPr="00833CD1">
        <w:rPr>
          <w:rFonts w:ascii="Arial" w:hAnsi="Arial" w:cs="Arial"/>
        </w:rPr>
        <w:t xml:space="preserve"> </w:t>
      </w:r>
      <w:r>
        <w:rPr>
          <w:rFonts w:ascii="Arial" w:hAnsi="Arial" w:cs="Arial"/>
        </w:rPr>
        <w:t>to</w:t>
      </w:r>
      <w:r w:rsidRPr="00833CD1">
        <w:rPr>
          <w:rFonts w:ascii="Arial" w:hAnsi="Arial" w:cs="Arial"/>
        </w:rPr>
        <w:t xml:space="preserve"> the stark realities </w:t>
      </w:r>
      <w:r>
        <w:rPr>
          <w:rFonts w:ascii="Arial" w:hAnsi="Arial" w:cs="Arial"/>
        </w:rPr>
        <w:t>surrounding</w:t>
      </w:r>
      <w:r w:rsidRPr="00833CD1">
        <w:rPr>
          <w:rFonts w:ascii="Arial" w:hAnsi="Arial" w:cs="Arial"/>
        </w:rPr>
        <w:t xml:space="preserve"> all consumer</w:t>
      </w:r>
      <w:r>
        <w:rPr>
          <w:rFonts w:ascii="Arial" w:hAnsi="Arial" w:cs="Arial"/>
        </w:rPr>
        <w:t>-</w:t>
      </w:r>
      <w:r w:rsidRPr="00833CD1">
        <w:rPr>
          <w:rFonts w:ascii="Arial" w:hAnsi="Arial" w:cs="Arial"/>
        </w:rPr>
        <w:t>facing businesses</w:t>
      </w:r>
      <w:r>
        <w:rPr>
          <w:rFonts w:ascii="Arial" w:hAnsi="Arial" w:cs="Arial"/>
        </w:rPr>
        <w:t>;</w:t>
      </w:r>
      <w:r w:rsidRPr="00833CD1">
        <w:rPr>
          <w:rFonts w:ascii="Arial" w:hAnsi="Arial" w:cs="Arial"/>
        </w:rPr>
        <w:t xml:space="preserve"> </w:t>
      </w:r>
      <w:proofErr w:type="gramStart"/>
      <w:r w:rsidRPr="00833CD1">
        <w:rPr>
          <w:rFonts w:ascii="Arial" w:hAnsi="Arial" w:cs="Arial"/>
        </w:rPr>
        <w:t>in particular the</w:t>
      </w:r>
      <w:proofErr w:type="gramEnd"/>
      <w:r w:rsidRPr="00833CD1">
        <w:rPr>
          <w:rFonts w:ascii="Arial" w:hAnsi="Arial" w:cs="Arial"/>
        </w:rPr>
        <w:t xml:space="preserve"> spectre of double</w:t>
      </w:r>
      <w:r>
        <w:rPr>
          <w:rFonts w:ascii="Arial" w:hAnsi="Arial" w:cs="Arial"/>
        </w:rPr>
        <w:t>-</w:t>
      </w:r>
      <w:r w:rsidRPr="00833CD1">
        <w:rPr>
          <w:rFonts w:ascii="Arial" w:hAnsi="Arial" w:cs="Arial"/>
        </w:rPr>
        <w:t>digit inflation</w:t>
      </w:r>
      <w:r>
        <w:rPr>
          <w:rFonts w:ascii="Arial" w:hAnsi="Arial" w:cs="Arial"/>
        </w:rPr>
        <w:t xml:space="preserve">, which is being directly fuelled by the devastating and tragic war in Ukraine.      </w:t>
      </w:r>
    </w:p>
    <w:p w14:paraId="08AE912F" w14:textId="77777777" w:rsidR="00514B73" w:rsidRPr="00833CD1" w:rsidRDefault="00514B73" w:rsidP="00514B73">
      <w:pPr>
        <w:spacing w:line="240" w:lineRule="auto"/>
        <w:rPr>
          <w:rFonts w:ascii="Arial" w:hAnsi="Arial" w:cs="Arial"/>
        </w:rPr>
      </w:pPr>
      <w:r w:rsidRPr="00833CD1">
        <w:rPr>
          <w:rFonts w:ascii="Arial" w:hAnsi="Arial" w:cs="Arial"/>
        </w:rPr>
        <w:t xml:space="preserve">We must be capable of reacting to this so that our Co-op remains financially strong and relevant for our colleagues, </w:t>
      </w:r>
      <w:proofErr w:type="gramStart"/>
      <w:r w:rsidRPr="00833CD1">
        <w:rPr>
          <w:rFonts w:ascii="Arial" w:hAnsi="Arial" w:cs="Arial"/>
        </w:rPr>
        <w:t>members</w:t>
      </w:r>
      <w:proofErr w:type="gramEnd"/>
      <w:r w:rsidRPr="00833CD1">
        <w:rPr>
          <w:rFonts w:ascii="Arial" w:hAnsi="Arial" w:cs="Arial"/>
        </w:rPr>
        <w:t xml:space="preserve"> and customers. This will ensure that the value we generate can also extend wider into supporting local communities and </w:t>
      </w:r>
      <w:r>
        <w:rPr>
          <w:rFonts w:ascii="Arial" w:hAnsi="Arial" w:cs="Arial"/>
        </w:rPr>
        <w:t>delivering our Vision.</w:t>
      </w:r>
      <w:r w:rsidRPr="00833CD1">
        <w:rPr>
          <w:rFonts w:ascii="Arial" w:hAnsi="Arial" w:cs="Arial"/>
        </w:rPr>
        <w:t xml:space="preserve"> </w:t>
      </w:r>
    </w:p>
    <w:p w14:paraId="2C046449" w14:textId="6D7A5F79" w:rsidR="00514B73" w:rsidRPr="00833CD1" w:rsidRDefault="00514B73" w:rsidP="00514B73">
      <w:pPr>
        <w:spacing w:line="240" w:lineRule="auto"/>
        <w:rPr>
          <w:rFonts w:ascii="Arial" w:hAnsi="Arial" w:cs="Arial"/>
        </w:rPr>
      </w:pPr>
      <w:r w:rsidRPr="00833CD1">
        <w:rPr>
          <w:rFonts w:ascii="Arial" w:hAnsi="Arial" w:cs="Arial"/>
        </w:rPr>
        <w:t>It is also vital during periods of change that we retain strong leadership within our Co-op</w:t>
      </w:r>
      <w:r>
        <w:rPr>
          <w:rFonts w:ascii="Arial" w:hAnsi="Arial" w:cs="Arial"/>
        </w:rPr>
        <w:t>. In Ma</w:t>
      </w:r>
      <w:r w:rsidR="00FB776E">
        <w:rPr>
          <w:rFonts w:ascii="Arial" w:hAnsi="Arial" w:cs="Arial"/>
        </w:rPr>
        <w:t>rch</w:t>
      </w:r>
      <w:r w:rsidRPr="00833CD1">
        <w:rPr>
          <w:rFonts w:ascii="Arial" w:hAnsi="Arial" w:cs="Arial"/>
        </w:rPr>
        <w:t xml:space="preserve">, </w:t>
      </w:r>
      <w:r>
        <w:rPr>
          <w:rFonts w:ascii="Arial" w:hAnsi="Arial" w:cs="Arial"/>
        </w:rPr>
        <w:t>we</w:t>
      </w:r>
      <w:r w:rsidRPr="00833CD1">
        <w:rPr>
          <w:rFonts w:ascii="Arial" w:hAnsi="Arial" w:cs="Arial"/>
        </w:rPr>
        <w:t xml:space="preserve"> announced that Shirine Khoury-Haq was to be our Interim Group </w:t>
      </w:r>
      <w:proofErr w:type="gramStart"/>
      <w:r w:rsidRPr="00833CD1">
        <w:rPr>
          <w:rFonts w:ascii="Arial" w:hAnsi="Arial" w:cs="Arial"/>
        </w:rPr>
        <w:t>CEO</w:t>
      </w:r>
      <w:proofErr w:type="gramEnd"/>
      <w:r>
        <w:rPr>
          <w:rFonts w:ascii="Arial" w:hAnsi="Arial" w:cs="Arial"/>
        </w:rPr>
        <w:t xml:space="preserve"> and, in August, I was delighted to announce her as our permanent CEO, but also our first female Chief Exec</w:t>
      </w:r>
      <w:r w:rsidRPr="00833CD1">
        <w:rPr>
          <w:rFonts w:ascii="Arial" w:hAnsi="Arial" w:cs="Arial"/>
        </w:rPr>
        <w:t>.</w:t>
      </w:r>
      <w:r>
        <w:rPr>
          <w:rFonts w:ascii="Arial" w:hAnsi="Arial" w:cs="Arial"/>
        </w:rPr>
        <w:t xml:space="preserve"> </w:t>
      </w:r>
      <w:r w:rsidRPr="00833CD1">
        <w:rPr>
          <w:rFonts w:ascii="Arial" w:hAnsi="Arial" w:cs="Arial"/>
        </w:rPr>
        <w:t>Shirine has made an immediate impact with both the Board and the wider business in her new role</w:t>
      </w:r>
      <w:r>
        <w:rPr>
          <w:rFonts w:ascii="Arial" w:hAnsi="Arial" w:cs="Arial"/>
        </w:rPr>
        <w:t>, and we value the insight she offers from her diverse background</w:t>
      </w:r>
      <w:r w:rsidRPr="00833CD1">
        <w:rPr>
          <w:rFonts w:ascii="Arial" w:hAnsi="Arial" w:cs="Arial"/>
        </w:rPr>
        <w:t>.</w:t>
      </w:r>
      <w:r>
        <w:rPr>
          <w:rFonts w:ascii="Arial" w:hAnsi="Arial" w:cs="Arial"/>
        </w:rPr>
        <w:t xml:space="preserve"> </w:t>
      </w:r>
      <w:r w:rsidRPr="00833CD1">
        <w:rPr>
          <w:rFonts w:ascii="Arial" w:hAnsi="Arial" w:cs="Arial"/>
        </w:rPr>
        <w:t>Her energy to move decisively on things</w:t>
      </w:r>
      <w:r>
        <w:rPr>
          <w:rFonts w:ascii="Arial" w:hAnsi="Arial" w:cs="Arial"/>
        </w:rPr>
        <w:t>,</w:t>
      </w:r>
      <w:r w:rsidRPr="00833CD1">
        <w:rPr>
          <w:rFonts w:ascii="Arial" w:hAnsi="Arial" w:cs="Arial"/>
        </w:rPr>
        <w:t xml:space="preserve"> whilst staying true to her own values and those of our Co-op</w:t>
      </w:r>
      <w:r>
        <w:rPr>
          <w:rFonts w:ascii="Arial" w:hAnsi="Arial" w:cs="Arial"/>
        </w:rPr>
        <w:t>,</w:t>
      </w:r>
      <w:r w:rsidRPr="00833CD1">
        <w:rPr>
          <w:rFonts w:ascii="Arial" w:hAnsi="Arial" w:cs="Arial"/>
        </w:rPr>
        <w:t xml:space="preserve"> is infectious and is already seeing us move forwards in a highly positive and </w:t>
      </w:r>
      <w:r w:rsidRPr="00833CD1">
        <w:rPr>
          <w:rFonts w:ascii="Arial" w:hAnsi="Arial" w:cs="Arial"/>
        </w:rPr>
        <w:lastRenderedPageBreak/>
        <w:t>progressive way.</w:t>
      </w:r>
      <w:r>
        <w:rPr>
          <w:rFonts w:ascii="Arial" w:hAnsi="Arial" w:cs="Arial"/>
        </w:rPr>
        <w:t xml:space="preserve"> It was a real testament to her integrity and passion to see her recognised in </w:t>
      </w:r>
      <w:proofErr w:type="spellStart"/>
      <w:r>
        <w:rPr>
          <w:rFonts w:ascii="Arial" w:hAnsi="Arial" w:cs="Arial"/>
        </w:rPr>
        <w:t>EMPower’s</w:t>
      </w:r>
      <w:proofErr w:type="spellEnd"/>
      <w:r>
        <w:rPr>
          <w:rFonts w:ascii="Arial" w:hAnsi="Arial" w:cs="Arial"/>
        </w:rPr>
        <w:t xml:space="preserve"> list of Top 100 Executives this year, as a leading advocate for diversity and inclusion for people of colour within global business. </w:t>
      </w:r>
    </w:p>
    <w:p w14:paraId="3F87FE71" w14:textId="77777777" w:rsidR="00514B73" w:rsidRDefault="00514B73" w:rsidP="00514B73">
      <w:pPr>
        <w:spacing w:line="240" w:lineRule="auto"/>
        <w:rPr>
          <w:rFonts w:ascii="Arial" w:hAnsi="Arial" w:cs="Arial"/>
        </w:rPr>
      </w:pPr>
      <w:r w:rsidRPr="00833CD1">
        <w:rPr>
          <w:rFonts w:ascii="Arial" w:hAnsi="Arial" w:cs="Arial"/>
        </w:rPr>
        <w:t xml:space="preserve">Shirine articulated </w:t>
      </w:r>
      <w:r>
        <w:rPr>
          <w:rFonts w:ascii="Arial" w:hAnsi="Arial" w:cs="Arial"/>
        </w:rPr>
        <w:t xml:space="preserve">three </w:t>
      </w:r>
      <w:r w:rsidRPr="00833CD1">
        <w:rPr>
          <w:rFonts w:ascii="Arial" w:hAnsi="Arial" w:cs="Arial"/>
        </w:rPr>
        <w:t>immediate priorities for the business, which she will talk about in more detail within her own</w:t>
      </w:r>
      <w:r>
        <w:rPr>
          <w:rFonts w:ascii="Arial" w:hAnsi="Arial" w:cs="Arial"/>
        </w:rPr>
        <w:t xml:space="preserve"> section of this report</w:t>
      </w:r>
      <w:r w:rsidRPr="00833CD1">
        <w:rPr>
          <w:rFonts w:ascii="Arial" w:hAnsi="Arial" w:cs="Arial"/>
        </w:rPr>
        <w:t>.</w:t>
      </w:r>
      <w:r>
        <w:rPr>
          <w:rFonts w:ascii="Arial" w:hAnsi="Arial" w:cs="Arial"/>
        </w:rPr>
        <w:t xml:space="preserve"> </w:t>
      </w:r>
      <w:r w:rsidRPr="00833CD1">
        <w:rPr>
          <w:rFonts w:ascii="Arial" w:hAnsi="Arial" w:cs="Arial"/>
        </w:rPr>
        <w:t xml:space="preserve">One of these was to significantly reduce our operational cost base and to refocus our capital expenditure more acutely into areas that will generate clear top and </w:t>
      </w:r>
      <w:proofErr w:type="gramStart"/>
      <w:r w:rsidRPr="00833CD1">
        <w:rPr>
          <w:rFonts w:ascii="Arial" w:hAnsi="Arial" w:cs="Arial"/>
        </w:rPr>
        <w:t>bottom</w:t>
      </w:r>
      <w:r>
        <w:rPr>
          <w:rFonts w:ascii="Arial" w:hAnsi="Arial" w:cs="Arial"/>
        </w:rPr>
        <w:t xml:space="preserve"> </w:t>
      </w:r>
      <w:r w:rsidRPr="00833CD1">
        <w:rPr>
          <w:rFonts w:ascii="Arial" w:hAnsi="Arial" w:cs="Arial"/>
        </w:rPr>
        <w:t>line</w:t>
      </w:r>
      <w:proofErr w:type="gramEnd"/>
      <w:r w:rsidRPr="00833CD1">
        <w:rPr>
          <w:rFonts w:ascii="Arial" w:hAnsi="Arial" w:cs="Arial"/>
        </w:rPr>
        <w:t xml:space="preserve"> benefit.</w:t>
      </w:r>
      <w:r>
        <w:rPr>
          <w:rFonts w:ascii="Arial" w:hAnsi="Arial" w:cs="Arial"/>
        </w:rPr>
        <w:t xml:space="preserve"> </w:t>
      </w:r>
      <w:r w:rsidRPr="00833CD1">
        <w:rPr>
          <w:rFonts w:ascii="Arial" w:hAnsi="Arial" w:cs="Arial"/>
        </w:rPr>
        <w:t>Over the past few years</w:t>
      </w:r>
      <w:r>
        <w:rPr>
          <w:rFonts w:ascii="Arial" w:hAnsi="Arial" w:cs="Arial"/>
        </w:rPr>
        <w:t>,</w:t>
      </w:r>
      <w:r w:rsidRPr="00833CD1">
        <w:rPr>
          <w:rFonts w:ascii="Arial" w:hAnsi="Arial" w:cs="Arial"/>
        </w:rPr>
        <w:t xml:space="preserve"> whilst we’ve made clear strides forward in so many areas, we haven’t</w:t>
      </w:r>
      <w:r>
        <w:rPr>
          <w:rFonts w:ascii="Arial" w:hAnsi="Arial" w:cs="Arial"/>
        </w:rPr>
        <w:t xml:space="preserve"> </w:t>
      </w:r>
      <w:r w:rsidRPr="00833CD1">
        <w:rPr>
          <w:rFonts w:ascii="Arial" w:hAnsi="Arial" w:cs="Arial"/>
        </w:rPr>
        <w:t xml:space="preserve">faced into our cost base as forcibly as we’ve needed to. </w:t>
      </w:r>
    </w:p>
    <w:p w14:paraId="5F38F82F" w14:textId="77777777" w:rsidR="00514B73" w:rsidRPr="00833CD1" w:rsidRDefault="00514B73" w:rsidP="00514B73">
      <w:pPr>
        <w:spacing w:line="240" w:lineRule="auto"/>
        <w:rPr>
          <w:rFonts w:ascii="Arial" w:hAnsi="Arial" w:cs="Arial"/>
        </w:rPr>
      </w:pPr>
      <w:r w:rsidRPr="00833CD1">
        <w:rPr>
          <w:rFonts w:ascii="Arial" w:hAnsi="Arial" w:cs="Arial"/>
        </w:rPr>
        <w:t>Shirine and her management team have taken the steps necessary to reduce our central overheads, refocus our capital expenditure and embed a more sustainable cost</w:t>
      </w:r>
      <w:r>
        <w:rPr>
          <w:rFonts w:ascii="Arial" w:hAnsi="Arial" w:cs="Arial"/>
        </w:rPr>
        <w:t>-</w:t>
      </w:r>
      <w:r w:rsidRPr="00833CD1">
        <w:rPr>
          <w:rFonts w:ascii="Arial" w:hAnsi="Arial" w:cs="Arial"/>
        </w:rPr>
        <w:t xml:space="preserve">conscious environment. </w:t>
      </w:r>
    </w:p>
    <w:p w14:paraId="279619B0" w14:textId="77777777" w:rsidR="00514B73" w:rsidRPr="00833CD1" w:rsidRDefault="00514B73" w:rsidP="00514B73">
      <w:pPr>
        <w:spacing w:line="240" w:lineRule="auto"/>
        <w:rPr>
          <w:rFonts w:ascii="Arial" w:hAnsi="Arial" w:cs="Arial"/>
        </w:rPr>
      </w:pPr>
      <w:r w:rsidRPr="00833CD1">
        <w:rPr>
          <w:rFonts w:ascii="Arial" w:hAnsi="Arial" w:cs="Arial"/>
        </w:rPr>
        <w:t xml:space="preserve">This has meant taking tough but necessary decisions to help secure the </w:t>
      </w:r>
      <w:proofErr w:type="gramStart"/>
      <w:r w:rsidRPr="00833CD1">
        <w:rPr>
          <w:rFonts w:ascii="Arial" w:hAnsi="Arial" w:cs="Arial"/>
        </w:rPr>
        <w:t>long</w:t>
      </w:r>
      <w:r>
        <w:rPr>
          <w:rFonts w:ascii="Arial" w:hAnsi="Arial" w:cs="Arial"/>
        </w:rPr>
        <w:t xml:space="preserve"> </w:t>
      </w:r>
      <w:r w:rsidRPr="00833CD1">
        <w:rPr>
          <w:rFonts w:ascii="Arial" w:hAnsi="Arial" w:cs="Arial"/>
        </w:rPr>
        <w:t>term</w:t>
      </w:r>
      <w:proofErr w:type="gramEnd"/>
      <w:r w:rsidRPr="00833CD1">
        <w:rPr>
          <w:rFonts w:ascii="Arial" w:hAnsi="Arial" w:cs="Arial"/>
        </w:rPr>
        <w:t xml:space="preserve"> financial security of our Co-op</w:t>
      </w:r>
      <w:r>
        <w:rPr>
          <w:rFonts w:ascii="Arial" w:hAnsi="Arial" w:cs="Arial"/>
        </w:rPr>
        <w:t>. W</w:t>
      </w:r>
      <w:r w:rsidRPr="00833CD1">
        <w:rPr>
          <w:rFonts w:ascii="Arial" w:hAnsi="Arial" w:cs="Arial"/>
        </w:rPr>
        <w:t xml:space="preserve">hilst some role reductions in our support areas have occurred, the wellbeing </w:t>
      </w:r>
      <w:r>
        <w:rPr>
          <w:rFonts w:ascii="Arial" w:hAnsi="Arial" w:cs="Arial"/>
        </w:rPr>
        <w:t xml:space="preserve">of </w:t>
      </w:r>
      <w:r w:rsidRPr="00833CD1">
        <w:rPr>
          <w:rFonts w:ascii="Arial" w:hAnsi="Arial" w:cs="Arial"/>
        </w:rPr>
        <w:t>and support for our colleagues ha</w:t>
      </w:r>
      <w:r>
        <w:rPr>
          <w:rFonts w:ascii="Arial" w:hAnsi="Arial" w:cs="Arial"/>
        </w:rPr>
        <w:t>ve</w:t>
      </w:r>
      <w:r w:rsidRPr="00833CD1">
        <w:rPr>
          <w:rFonts w:ascii="Arial" w:hAnsi="Arial" w:cs="Arial"/>
        </w:rPr>
        <w:t xml:space="preserve"> continued to be of primary importance.</w:t>
      </w:r>
      <w:r>
        <w:rPr>
          <w:rFonts w:ascii="Arial" w:hAnsi="Arial" w:cs="Arial"/>
        </w:rPr>
        <w:t xml:space="preserve">    </w:t>
      </w:r>
      <w:r w:rsidRPr="00833CD1">
        <w:rPr>
          <w:rFonts w:ascii="Arial" w:hAnsi="Arial" w:cs="Arial"/>
        </w:rPr>
        <w:t xml:space="preserve"> </w:t>
      </w:r>
    </w:p>
    <w:p w14:paraId="44643D05" w14:textId="77777777" w:rsidR="00514B73" w:rsidRPr="00833CD1" w:rsidRDefault="00514B73" w:rsidP="00514B73">
      <w:pPr>
        <w:spacing w:line="240" w:lineRule="auto"/>
        <w:rPr>
          <w:rFonts w:ascii="Arial" w:hAnsi="Arial" w:cs="Arial"/>
        </w:rPr>
      </w:pPr>
      <w:r w:rsidRPr="00833CD1">
        <w:rPr>
          <w:rFonts w:ascii="Arial" w:hAnsi="Arial" w:cs="Arial"/>
        </w:rPr>
        <w:t xml:space="preserve">This interim report will illustrate that we are now taking the measures necessary to ensure we have a </w:t>
      </w:r>
      <w:r>
        <w:rPr>
          <w:rFonts w:ascii="Arial" w:hAnsi="Arial" w:cs="Arial"/>
        </w:rPr>
        <w:t>c</w:t>
      </w:r>
      <w:r w:rsidRPr="00833CD1">
        <w:rPr>
          <w:rFonts w:ascii="Arial" w:hAnsi="Arial" w:cs="Arial"/>
        </w:rPr>
        <w:t>o-op</w:t>
      </w:r>
      <w:r>
        <w:rPr>
          <w:rFonts w:ascii="Arial" w:hAnsi="Arial" w:cs="Arial"/>
        </w:rPr>
        <w:t>erative</w:t>
      </w:r>
      <w:r w:rsidRPr="00833CD1">
        <w:rPr>
          <w:rFonts w:ascii="Arial" w:hAnsi="Arial" w:cs="Arial"/>
        </w:rPr>
        <w:t xml:space="preserve"> capable of winning in our chosen markets, which is operating efficiently and effectively within the parameters set by the Board</w:t>
      </w:r>
      <w:r>
        <w:rPr>
          <w:rFonts w:ascii="Arial" w:hAnsi="Arial" w:cs="Arial"/>
        </w:rPr>
        <w:t>,</w:t>
      </w:r>
      <w:r w:rsidRPr="00833CD1">
        <w:rPr>
          <w:rFonts w:ascii="Arial" w:hAnsi="Arial" w:cs="Arial"/>
        </w:rPr>
        <w:t xml:space="preserve"> and still delivers upon </w:t>
      </w:r>
      <w:r>
        <w:rPr>
          <w:rFonts w:ascii="Arial" w:hAnsi="Arial" w:cs="Arial"/>
        </w:rPr>
        <w:t>our Vision</w:t>
      </w:r>
      <w:r w:rsidRPr="00833CD1">
        <w:rPr>
          <w:rFonts w:ascii="Arial" w:hAnsi="Arial" w:cs="Arial"/>
        </w:rPr>
        <w:t>.</w:t>
      </w:r>
    </w:p>
    <w:p w14:paraId="5485B89D" w14:textId="77777777" w:rsidR="00514B73" w:rsidRPr="00E36C3D" w:rsidRDefault="00514B73" w:rsidP="00514B73">
      <w:pPr>
        <w:spacing w:line="240" w:lineRule="auto"/>
        <w:rPr>
          <w:rFonts w:ascii="Arial" w:hAnsi="Arial" w:cs="Arial"/>
        </w:rPr>
      </w:pPr>
      <w:r w:rsidRPr="00833CD1">
        <w:rPr>
          <w:rFonts w:ascii="Arial" w:hAnsi="Arial" w:cs="Arial"/>
        </w:rPr>
        <w:t xml:space="preserve">Our democracy </w:t>
      </w:r>
      <w:r>
        <w:rPr>
          <w:rFonts w:ascii="Arial" w:hAnsi="Arial" w:cs="Arial"/>
        </w:rPr>
        <w:t>remains fundamental in ensuring we remain true to our founding Values and Principles</w:t>
      </w:r>
      <w:r w:rsidRPr="00E36C3D">
        <w:rPr>
          <w:rFonts w:ascii="Arial" w:hAnsi="Arial" w:cs="Arial"/>
        </w:rPr>
        <w:t>.</w:t>
      </w:r>
      <w:r w:rsidRPr="00E36C3D">
        <w:t xml:space="preserve"> </w:t>
      </w:r>
      <w:r w:rsidRPr="00E36C3D">
        <w:rPr>
          <w:rFonts w:ascii="Arial" w:hAnsi="Arial" w:cs="Arial"/>
        </w:rPr>
        <w:t>In May, we were delighted to be able to welcome members to our AGM in person for the first time since 2019, while we also streamed proceedings online, making the most of both worlds to engage as many members as possible. Motions were passed on member participation, climate change and inequality, reflecting our unique</w:t>
      </w:r>
      <w:r>
        <w:rPr>
          <w:rFonts w:ascii="Arial" w:hAnsi="Arial" w:cs="Arial"/>
        </w:rPr>
        <w:t>,</w:t>
      </w:r>
      <w:r w:rsidRPr="00E36C3D">
        <w:rPr>
          <w:rFonts w:ascii="Arial" w:hAnsi="Arial" w:cs="Arial"/>
        </w:rPr>
        <w:t xml:space="preserve"> better way of doing business and supporting our Vision of </w:t>
      </w:r>
      <w:r w:rsidRPr="00E36C3D">
        <w:rPr>
          <w:rFonts w:ascii="Arial" w:hAnsi="Arial" w:cs="Arial"/>
          <w:i/>
          <w:iCs/>
        </w:rPr>
        <w:t>‘Co-operating for a Fairer World</w:t>
      </w:r>
      <w:r>
        <w:rPr>
          <w:rFonts w:ascii="Arial" w:hAnsi="Arial" w:cs="Arial"/>
          <w:i/>
          <w:iCs/>
        </w:rPr>
        <w:t>’</w:t>
      </w:r>
      <w:r w:rsidRPr="00E36C3D">
        <w:rPr>
          <w:rFonts w:ascii="Arial" w:hAnsi="Arial" w:cs="Arial"/>
          <w:i/>
          <w:iCs/>
        </w:rPr>
        <w:t>.</w:t>
      </w:r>
      <w:r w:rsidRPr="00E36C3D">
        <w:rPr>
          <w:rFonts w:ascii="Arial" w:hAnsi="Arial" w:cs="Arial"/>
        </w:rPr>
        <w:t xml:space="preserve"> </w:t>
      </w:r>
    </w:p>
    <w:p w14:paraId="29084A09" w14:textId="77777777" w:rsidR="00514B73" w:rsidRPr="00E36C3D" w:rsidRDefault="00514B73" w:rsidP="00514B73">
      <w:pPr>
        <w:spacing w:line="240" w:lineRule="auto"/>
        <w:rPr>
          <w:rFonts w:ascii="Arial" w:hAnsi="Arial" w:cs="Arial"/>
        </w:rPr>
      </w:pPr>
      <w:r w:rsidRPr="00E36C3D">
        <w:rPr>
          <w:rFonts w:ascii="Arial" w:hAnsi="Arial" w:cs="Arial"/>
        </w:rPr>
        <w:t>It has also been wonderful to return to in</w:t>
      </w:r>
      <w:r>
        <w:rPr>
          <w:rFonts w:ascii="Arial" w:hAnsi="Arial" w:cs="Arial"/>
        </w:rPr>
        <w:t>-</w:t>
      </w:r>
      <w:r w:rsidRPr="00E36C3D">
        <w:rPr>
          <w:rFonts w:ascii="Arial" w:hAnsi="Arial" w:cs="Arial"/>
        </w:rPr>
        <w:t>person meetings of our Members’ Council and Board. I was particularly pleased to be able to meet the Council members who have joined since Covid face</w:t>
      </w:r>
      <w:r>
        <w:rPr>
          <w:rFonts w:ascii="Arial" w:hAnsi="Arial" w:cs="Arial"/>
        </w:rPr>
        <w:t>-</w:t>
      </w:r>
      <w:r w:rsidRPr="00E36C3D">
        <w:rPr>
          <w:rFonts w:ascii="Arial" w:hAnsi="Arial" w:cs="Arial"/>
        </w:rPr>
        <w:t>to</w:t>
      </w:r>
      <w:r>
        <w:rPr>
          <w:rFonts w:ascii="Arial" w:hAnsi="Arial" w:cs="Arial"/>
        </w:rPr>
        <w:t>-</w:t>
      </w:r>
      <w:r w:rsidRPr="00E36C3D">
        <w:rPr>
          <w:rFonts w:ascii="Arial" w:hAnsi="Arial" w:cs="Arial"/>
        </w:rPr>
        <w:t xml:space="preserve">face for the first time. It has been inspiring to see our new members engaging with such energy and enthusiasm alongside our </w:t>
      </w:r>
      <w:r>
        <w:rPr>
          <w:rFonts w:ascii="Arial" w:hAnsi="Arial" w:cs="Arial"/>
        </w:rPr>
        <w:t xml:space="preserve">more </w:t>
      </w:r>
      <w:proofErr w:type="gramStart"/>
      <w:r w:rsidRPr="00E36C3D">
        <w:rPr>
          <w:rFonts w:ascii="Arial" w:hAnsi="Arial" w:cs="Arial"/>
        </w:rPr>
        <w:t>long</w:t>
      </w:r>
      <w:r>
        <w:rPr>
          <w:rFonts w:ascii="Arial" w:hAnsi="Arial" w:cs="Arial"/>
        </w:rPr>
        <w:t xml:space="preserve"> </w:t>
      </w:r>
      <w:r w:rsidRPr="00E36C3D">
        <w:rPr>
          <w:rFonts w:ascii="Arial" w:hAnsi="Arial" w:cs="Arial"/>
        </w:rPr>
        <w:t>standing</w:t>
      </w:r>
      <w:proofErr w:type="gramEnd"/>
      <w:r w:rsidRPr="00E36C3D">
        <w:rPr>
          <w:rFonts w:ascii="Arial" w:hAnsi="Arial" w:cs="Arial"/>
        </w:rPr>
        <w:t xml:space="preserve"> Council members, performing their critical role in our governance and democracy. </w:t>
      </w:r>
    </w:p>
    <w:p w14:paraId="3E0CFD6F" w14:textId="77777777" w:rsidR="00514B73" w:rsidRDefault="00514B73" w:rsidP="00514B73">
      <w:pPr>
        <w:spacing w:line="240" w:lineRule="auto"/>
        <w:rPr>
          <w:rFonts w:ascii="Arial" w:hAnsi="Arial" w:cs="Arial"/>
        </w:rPr>
      </w:pPr>
      <w:r w:rsidRPr="00E36C3D">
        <w:rPr>
          <w:rFonts w:ascii="Arial" w:hAnsi="Arial" w:cs="Arial"/>
        </w:rPr>
        <w:t>We have also continued to consider our role in the wider co-operative movement, working with Co-operatives UK and other co-operative bodies and societies</w:t>
      </w:r>
      <w:r>
        <w:rPr>
          <w:rFonts w:ascii="Arial" w:hAnsi="Arial" w:cs="Arial"/>
        </w:rPr>
        <w:t>. Together, we have</w:t>
      </w:r>
      <w:r w:rsidRPr="00E36C3D">
        <w:rPr>
          <w:rFonts w:ascii="Arial" w:hAnsi="Arial" w:cs="Arial"/>
        </w:rPr>
        <w:t xml:space="preserve"> drive</w:t>
      </w:r>
      <w:r>
        <w:rPr>
          <w:rFonts w:ascii="Arial" w:hAnsi="Arial" w:cs="Arial"/>
        </w:rPr>
        <w:t>n</w:t>
      </w:r>
      <w:r w:rsidRPr="00E36C3D">
        <w:rPr>
          <w:rFonts w:ascii="Arial" w:hAnsi="Arial" w:cs="Arial"/>
        </w:rPr>
        <w:t xml:space="preserve"> a progressive and forward</w:t>
      </w:r>
      <w:r>
        <w:rPr>
          <w:rFonts w:ascii="Arial" w:hAnsi="Arial" w:cs="Arial"/>
        </w:rPr>
        <w:t>-</w:t>
      </w:r>
      <w:r w:rsidRPr="00E36C3D">
        <w:rPr>
          <w:rFonts w:ascii="Arial" w:hAnsi="Arial" w:cs="Arial"/>
        </w:rPr>
        <w:t xml:space="preserve">looking co-operative movement that can play a vital role for members and communities as we face into economic uncertainty and the </w:t>
      </w:r>
      <w:proofErr w:type="gramStart"/>
      <w:r w:rsidRPr="00E36C3D">
        <w:rPr>
          <w:rFonts w:ascii="Arial" w:hAnsi="Arial" w:cs="Arial"/>
        </w:rPr>
        <w:t>cost of living</w:t>
      </w:r>
      <w:proofErr w:type="gramEnd"/>
      <w:r w:rsidRPr="00E36C3D">
        <w:rPr>
          <w:rFonts w:ascii="Arial" w:hAnsi="Arial" w:cs="Arial"/>
        </w:rPr>
        <w:t xml:space="preserve"> crisis</w:t>
      </w:r>
      <w:r>
        <w:rPr>
          <w:rFonts w:ascii="Arial" w:hAnsi="Arial" w:cs="Arial"/>
        </w:rPr>
        <w:t xml:space="preserve"> alongside each other</w:t>
      </w:r>
      <w:r w:rsidRPr="00E36C3D">
        <w:rPr>
          <w:rFonts w:ascii="Arial" w:hAnsi="Arial" w:cs="Arial"/>
        </w:rPr>
        <w:t xml:space="preserve">.  </w:t>
      </w:r>
    </w:p>
    <w:p w14:paraId="13634DB7" w14:textId="77777777" w:rsidR="00514B73" w:rsidRPr="00EC2DD2" w:rsidRDefault="00514B73" w:rsidP="00514B73">
      <w:pPr>
        <w:spacing w:line="240" w:lineRule="auto"/>
        <w:rPr>
          <w:rFonts w:ascii="Arial" w:hAnsi="Arial" w:cs="Arial"/>
        </w:rPr>
      </w:pPr>
      <w:r w:rsidRPr="00EC2DD2">
        <w:rPr>
          <w:rFonts w:ascii="Arial" w:hAnsi="Arial" w:cs="Arial"/>
        </w:rPr>
        <w:t>And</w:t>
      </w:r>
      <w:r>
        <w:rPr>
          <w:rFonts w:ascii="Arial" w:hAnsi="Arial" w:cs="Arial"/>
        </w:rPr>
        <w:t>,</w:t>
      </w:r>
      <w:r w:rsidRPr="00EC2DD2">
        <w:rPr>
          <w:rFonts w:ascii="Arial" w:hAnsi="Arial" w:cs="Arial"/>
        </w:rPr>
        <w:t xml:space="preserve"> of course</w:t>
      </w:r>
      <w:r>
        <w:rPr>
          <w:rFonts w:ascii="Arial" w:hAnsi="Arial" w:cs="Arial"/>
        </w:rPr>
        <w:t>,</w:t>
      </w:r>
      <w:r w:rsidRPr="00EC2DD2">
        <w:rPr>
          <w:rFonts w:ascii="Arial" w:hAnsi="Arial" w:cs="Arial"/>
        </w:rPr>
        <w:t xml:space="preserve"> we couldn’t </w:t>
      </w:r>
      <w:r>
        <w:rPr>
          <w:rFonts w:ascii="Arial" w:hAnsi="Arial" w:cs="Arial"/>
        </w:rPr>
        <w:t xml:space="preserve">fulfil this role for our own members without </w:t>
      </w:r>
      <w:r w:rsidRPr="00EC2DD2">
        <w:rPr>
          <w:rFonts w:ascii="Arial" w:hAnsi="Arial" w:cs="Arial"/>
        </w:rPr>
        <w:t>the dedication, hard work and commitment of our 59,000 leaders and colleagues. Each day, despite the challenges the current climate brings them personally, they continue to show up</w:t>
      </w:r>
      <w:r>
        <w:rPr>
          <w:rFonts w:ascii="Arial" w:hAnsi="Arial" w:cs="Arial"/>
        </w:rPr>
        <w:t xml:space="preserve"> as</w:t>
      </w:r>
      <w:r w:rsidRPr="00EC2DD2">
        <w:rPr>
          <w:rFonts w:ascii="Arial" w:hAnsi="Arial" w:cs="Arial"/>
        </w:rPr>
        <w:t xml:space="preserve"> their best selves and ensure that our Co-op is delivering great products and services, </w:t>
      </w:r>
      <w:r>
        <w:rPr>
          <w:rFonts w:ascii="Arial" w:hAnsi="Arial" w:cs="Arial"/>
        </w:rPr>
        <w:t>as well as its Vision</w:t>
      </w:r>
      <w:r w:rsidRPr="00EC2DD2">
        <w:rPr>
          <w:rFonts w:ascii="Arial" w:hAnsi="Arial" w:cs="Arial"/>
        </w:rPr>
        <w:t xml:space="preserve">. My heartfelt thanks and gratitude </w:t>
      </w:r>
      <w:proofErr w:type="gramStart"/>
      <w:r w:rsidRPr="00EC2DD2">
        <w:rPr>
          <w:rFonts w:ascii="Arial" w:hAnsi="Arial" w:cs="Arial"/>
        </w:rPr>
        <w:t>goes</w:t>
      </w:r>
      <w:proofErr w:type="gramEnd"/>
      <w:r w:rsidRPr="00EC2DD2">
        <w:rPr>
          <w:rFonts w:ascii="Arial" w:hAnsi="Arial" w:cs="Arial"/>
        </w:rPr>
        <w:t xml:space="preserve"> out to each and every one of them. </w:t>
      </w:r>
    </w:p>
    <w:p w14:paraId="63A91668" w14:textId="77777777" w:rsidR="00514B73" w:rsidRPr="00833CD1" w:rsidRDefault="00514B73" w:rsidP="00514B73">
      <w:pPr>
        <w:spacing w:line="240" w:lineRule="auto"/>
        <w:rPr>
          <w:rFonts w:ascii="Arial" w:hAnsi="Arial" w:cs="Arial"/>
        </w:rPr>
      </w:pPr>
      <w:r w:rsidRPr="00833CD1">
        <w:rPr>
          <w:rFonts w:ascii="Arial" w:hAnsi="Arial" w:cs="Arial"/>
        </w:rPr>
        <w:t>Finally,</w:t>
      </w:r>
      <w:r>
        <w:rPr>
          <w:rFonts w:ascii="Arial" w:hAnsi="Arial" w:cs="Arial"/>
        </w:rPr>
        <w:t xml:space="preserve"> </w:t>
      </w:r>
      <w:r w:rsidRPr="00833CD1">
        <w:rPr>
          <w:rFonts w:ascii="Arial" w:hAnsi="Arial" w:cs="Arial"/>
        </w:rPr>
        <w:t>looking forward</w:t>
      </w:r>
      <w:r>
        <w:rPr>
          <w:rFonts w:ascii="Arial" w:hAnsi="Arial" w:cs="Arial"/>
        </w:rPr>
        <w:t>,</w:t>
      </w:r>
      <w:r w:rsidRPr="00833CD1">
        <w:rPr>
          <w:rFonts w:ascii="Arial" w:hAnsi="Arial" w:cs="Arial"/>
        </w:rPr>
        <w:t xml:space="preserve"> we are clear on our short</w:t>
      </w:r>
      <w:r>
        <w:rPr>
          <w:rFonts w:ascii="Arial" w:hAnsi="Arial" w:cs="Arial"/>
        </w:rPr>
        <w:t>-</w:t>
      </w:r>
      <w:r w:rsidRPr="00833CD1">
        <w:rPr>
          <w:rFonts w:ascii="Arial" w:hAnsi="Arial" w:cs="Arial"/>
        </w:rPr>
        <w:t>term priorities as we face into the eye of an external storm</w:t>
      </w:r>
      <w:r>
        <w:rPr>
          <w:rFonts w:ascii="Arial" w:hAnsi="Arial" w:cs="Arial"/>
        </w:rPr>
        <w:t>. W</w:t>
      </w:r>
      <w:r w:rsidRPr="00833CD1">
        <w:rPr>
          <w:rFonts w:ascii="Arial" w:hAnsi="Arial" w:cs="Arial"/>
        </w:rPr>
        <w:t>e have</w:t>
      </w:r>
      <w:r>
        <w:rPr>
          <w:rFonts w:ascii="Arial" w:hAnsi="Arial" w:cs="Arial"/>
        </w:rPr>
        <w:t xml:space="preserve"> </w:t>
      </w:r>
      <w:r w:rsidRPr="00833CD1">
        <w:rPr>
          <w:rFonts w:ascii="Arial" w:hAnsi="Arial" w:cs="Arial"/>
        </w:rPr>
        <w:t xml:space="preserve">great confidence in the fundamental underlying strengths of our business – </w:t>
      </w:r>
      <w:r>
        <w:rPr>
          <w:rFonts w:ascii="Arial" w:hAnsi="Arial" w:cs="Arial"/>
        </w:rPr>
        <w:t xml:space="preserve">our members, </w:t>
      </w:r>
      <w:r w:rsidRPr="00833CD1">
        <w:rPr>
          <w:rFonts w:ascii="Arial" w:hAnsi="Arial" w:cs="Arial"/>
        </w:rPr>
        <w:t xml:space="preserve">our colleagues, our core businesses in Food and Life Services, our differentiated business </w:t>
      </w:r>
      <w:proofErr w:type="gramStart"/>
      <w:r w:rsidRPr="00833CD1">
        <w:rPr>
          <w:rFonts w:ascii="Arial" w:hAnsi="Arial" w:cs="Arial"/>
        </w:rPr>
        <w:t>model</w:t>
      </w:r>
      <w:proofErr w:type="gramEnd"/>
      <w:r w:rsidRPr="00833CD1">
        <w:rPr>
          <w:rFonts w:ascii="Arial" w:hAnsi="Arial" w:cs="Arial"/>
        </w:rPr>
        <w:t xml:space="preserve"> and our Vision of </w:t>
      </w:r>
      <w:r>
        <w:rPr>
          <w:rFonts w:ascii="Arial" w:hAnsi="Arial" w:cs="Arial"/>
        </w:rPr>
        <w:t>‘</w:t>
      </w:r>
      <w:r w:rsidRPr="00EC2DD2">
        <w:rPr>
          <w:rFonts w:ascii="Arial" w:hAnsi="Arial" w:cs="Arial"/>
          <w:i/>
          <w:iCs/>
        </w:rPr>
        <w:t>Co-operating for a Fairer World’</w:t>
      </w:r>
      <w:r>
        <w:rPr>
          <w:rFonts w:ascii="Arial" w:hAnsi="Arial" w:cs="Arial"/>
          <w:i/>
          <w:iCs/>
        </w:rPr>
        <w:t>.</w:t>
      </w:r>
      <w:r>
        <w:rPr>
          <w:rFonts w:ascii="Arial" w:hAnsi="Arial" w:cs="Arial"/>
        </w:rPr>
        <w:t xml:space="preserve"> </w:t>
      </w:r>
      <w:r w:rsidRPr="00833CD1">
        <w:rPr>
          <w:rFonts w:ascii="Arial" w:hAnsi="Arial" w:cs="Arial"/>
        </w:rPr>
        <w:t xml:space="preserve">Together we will come through this challenging period and our Co-op will continue to deliver for our members, their </w:t>
      </w:r>
      <w:proofErr w:type="gramStart"/>
      <w:r w:rsidRPr="00833CD1">
        <w:rPr>
          <w:rFonts w:ascii="Arial" w:hAnsi="Arial" w:cs="Arial"/>
        </w:rPr>
        <w:t>communities</w:t>
      </w:r>
      <w:proofErr w:type="gramEnd"/>
      <w:r w:rsidRPr="00833CD1">
        <w:rPr>
          <w:rFonts w:ascii="Arial" w:hAnsi="Arial" w:cs="Arial"/>
        </w:rPr>
        <w:t xml:space="preserve"> and the planet.</w:t>
      </w:r>
      <w:r>
        <w:rPr>
          <w:rFonts w:ascii="Arial" w:hAnsi="Arial" w:cs="Arial"/>
        </w:rPr>
        <w:t xml:space="preserve">   </w:t>
      </w:r>
      <w:r w:rsidRPr="00833CD1">
        <w:rPr>
          <w:rFonts w:ascii="Arial" w:hAnsi="Arial" w:cs="Arial"/>
        </w:rPr>
        <w:t xml:space="preserve"> </w:t>
      </w:r>
    </w:p>
    <w:p w14:paraId="68CD8512" w14:textId="77777777" w:rsidR="00514B73" w:rsidRDefault="00514B73" w:rsidP="00514B73">
      <w:pPr>
        <w:spacing w:line="240" w:lineRule="auto"/>
        <w:rPr>
          <w:rFonts w:ascii="Arial" w:hAnsi="Arial" w:cs="Arial"/>
          <w:i/>
          <w:iCs/>
        </w:rPr>
      </w:pPr>
      <w:r>
        <w:rPr>
          <w:rFonts w:ascii="Arial" w:hAnsi="Arial" w:cs="Arial"/>
          <w:i/>
          <w:iCs/>
          <w:color w:val="C00000"/>
        </w:rPr>
        <w:t xml:space="preserve"> </w:t>
      </w:r>
      <w:r>
        <w:rPr>
          <w:rFonts w:ascii="Arial" w:hAnsi="Arial" w:cs="Arial"/>
          <w:i/>
          <w:iCs/>
        </w:rPr>
        <w:t xml:space="preserve">    </w:t>
      </w:r>
    </w:p>
    <w:p w14:paraId="2F76F5F5" w14:textId="77777777" w:rsidR="00514B73" w:rsidRDefault="00514B73" w:rsidP="00514B73">
      <w:pPr>
        <w:spacing w:line="240" w:lineRule="auto"/>
        <w:rPr>
          <w:rFonts w:ascii="Arial" w:hAnsi="Arial" w:cs="Arial"/>
          <w:b/>
        </w:rPr>
      </w:pPr>
      <w:r>
        <w:rPr>
          <w:rFonts w:ascii="Arial" w:hAnsi="Arial" w:cs="Arial"/>
          <w:b/>
        </w:rPr>
        <w:t xml:space="preserve">Allan Leighton </w:t>
      </w:r>
    </w:p>
    <w:p w14:paraId="72FA465D" w14:textId="77777777" w:rsidR="00CC1F05" w:rsidRDefault="00514B73" w:rsidP="00514B73">
      <w:pPr>
        <w:spacing w:line="240" w:lineRule="auto"/>
        <w:rPr>
          <w:rFonts w:ascii="Arial" w:hAnsi="Arial" w:cs="Arial"/>
          <w:iCs/>
        </w:rPr>
      </w:pPr>
      <w:r>
        <w:rPr>
          <w:rFonts w:ascii="Arial" w:hAnsi="Arial" w:cs="Arial"/>
          <w:b/>
        </w:rPr>
        <w:t xml:space="preserve">Chair, The Co-op Group </w:t>
      </w:r>
    </w:p>
    <w:p w14:paraId="36A7E70F" w14:textId="77777777" w:rsidR="00CC1F05" w:rsidRDefault="00CC1F05" w:rsidP="00514B73">
      <w:pPr>
        <w:spacing w:line="240" w:lineRule="auto"/>
        <w:rPr>
          <w:rFonts w:ascii="Arial" w:hAnsi="Arial" w:cs="Arial"/>
          <w:iCs/>
        </w:rPr>
      </w:pPr>
    </w:p>
    <w:p w14:paraId="362FA72C" w14:textId="066A4A0F" w:rsidR="00514B73" w:rsidRPr="00CC1F05" w:rsidRDefault="00514B73" w:rsidP="00514B73">
      <w:pPr>
        <w:spacing w:line="240" w:lineRule="auto"/>
        <w:rPr>
          <w:rFonts w:ascii="Arial" w:hAnsi="Arial" w:cs="Arial"/>
          <w:iCs/>
        </w:rPr>
      </w:pPr>
      <w:r w:rsidRPr="001619B8">
        <w:rPr>
          <w:rFonts w:ascii="Arial" w:hAnsi="Arial" w:cs="Arial"/>
          <w:b/>
          <w:sz w:val="24"/>
          <w:szCs w:val="24"/>
        </w:rPr>
        <w:t>CHIEF EXECUTIVE’S REPORT</w:t>
      </w:r>
    </w:p>
    <w:p w14:paraId="5D2D1901" w14:textId="77777777" w:rsidR="00514B73" w:rsidRDefault="00514B73" w:rsidP="00514B73">
      <w:pPr>
        <w:spacing w:line="240" w:lineRule="auto"/>
        <w:rPr>
          <w:rFonts w:ascii="Arial" w:hAnsi="Arial" w:cs="Arial"/>
        </w:rPr>
      </w:pPr>
      <w:r w:rsidRPr="0035783B">
        <w:rPr>
          <w:rFonts w:ascii="Arial" w:hAnsi="Arial" w:cs="Arial"/>
        </w:rPr>
        <w:t xml:space="preserve">This is my first interim report as CEO, and I must start </w:t>
      </w:r>
      <w:r>
        <w:rPr>
          <w:rFonts w:ascii="Arial" w:hAnsi="Arial" w:cs="Arial"/>
        </w:rPr>
        <w:t>by</w:t>
      </w:r>
      <w:r w:rsidRPr="0035783B">
        <w:rPr>
          <w:rFonts w:ascii="Arial" w:hAnsi="Arial" w:cs="Arial"/>
        </w:rPr>
        <w:t xml:space="preserve"> saying how </w:t>
      </w:r>
      <w:r>
        <w:rPr>
          <w:rFonts w:ascii="Arial" w:hAnsi="Arial" w:cs="Arial"/>
        </w:rPr>
        <w:t>delighted</w:t>
      </w:r>
      <w:r w:rsidRPr="0035783B">
        <w:rPr>
          <w:rFonts w:ascii="Arial" w:hAnsi="Arial" w:cs="Arial"/>
        </w:rPr>
        <w:t xml:space="preserve"> I am to be given the opportunity to lead our Co-op. </w:t>
      </w:r>
    </w:p>
    <w:p w14:paraId="262519ED" w14:textId="77777777" w:rsidR="00514B73" w:rsidRDefault="00514B73" w:rsidP="00514B73">
      <w:pPr>
        <w:spacing w:line="240" w:lineRule="auto"/>
        <w:rPr>
          <w:rFonts w:ascii="Arial" w:hAnsi="Arial" w:cs="Arial"/>
        </w:rPr>
      </w:pPr>
      <w:r w:rsidRPr="0035783B">
        <w:rPr>
          <w:rFonts w:ascii="Arial" w:hAnsi="Arial" w:cs="Arial"/>
        </w:rPr>
        <w:lastRenderedPageBreak/>
        <w:t xml:space="preserve">It’s a privilege for me to introduce this report, which represents the amazing efforts of all 59,000 of </w:t>
      </w:r>
      <w:r>
        <w:rPr>
          <w:rFonts w:ascii="Arial" w:hAnsi="Arial" w:cs="Arial"/>
        </w:rPr>
        <w:t>my</w:t>
      </w:r>
      <w:r w:rsidRPr="0035783B">
        <w:rPr>
          <w:rFonts w:ascii="Arial" w:hAnsi="Arial" w:cs="Arial"/>
        </w:rPr>
        <w:t xml:space="preserve"> colleagues. I want to thank them for everything we’ve achieved </w:t>
      </w:r>
      <w:r>
        <w:rPr>
          <w:rFonts w:ascii="Arial" w:hAnsi="Arial" w:cs="Arial"/>
        </w:rPr>
        <w:t xml:space="preserve">so far this year. </w:t>
      </w:r>
    </w:p>
    <w:p w14:paraId="78605569" w14:textId="77777777" w:rsidR="00514B73" w:rsidRDefault="00514B73" w:rsidP="00514B73">
      <w:pPr>
        <w:spacing w:line="240" w:lineRule="auto"/>
        <w:rPr>
          <w:rFonts w:ascii="Arial" w:hAnsi="Arial" w:cs="Arial"/>
        </w:rPr>
      </w:pPr>
      <w:r>
        <w:rPr>
          <w:rFonts w:ascii="Arial" w:hAnsi="Arial" w:cs="Arial"/>
        </w:rPr>
        <w:t xml:space="preserve">We have faced, and we will continue to face challenges. I am confident about the </w:t>
      </w:r>
      <w:proofErr w:type="gramStart"/>
      <w:r>
        <w:rPr>
          <w:rFonts w:ascii="Arial" w:hAnsi="Arial" w:cs="Arial"/>
        </w:rPr>
        <w:t>long term</w:t>
      </w:r>
      <w:proofErr w:type="gramEnd"/>
      <w:r>
        <w:rPr>
          <w:rFonts w:ascii="Arial" w:hAnsi="Arial" w:cs="Arial"/>
        </w:rPr>
        <w:t xml:space="preserve"> future of our organisation. This confidence is fuelled by the underlying strength of our portfolio of businesses, the power of our Vision, the talent we possess across our Co-op and our willingness to prioritise, make tough but necessary </w:t>
      </w:r>
      <w:proofErr w:type="gramStart"/>
      <w:r>
        <w:rPr>
          <w:rFonts w:ascii="Arial" w:hAnsi="Arial" w:cs="Arial"/>
        </w:rPr>
        <w:t>decisions</w:t>
      </w:r>
      <w:proofErr w:type="gramEnd"/>
      <w:r>
        <w:rPr>
          <w:rFonts w:ascii="Arial" w:hAnsi="Arial" w:cs="Arial"/>
        </w:rPr>
        <w:t xml:space="preserve"> and create resilience in volatile times.     </w:t>
      </w:r>
    </w:p>
    <w:p w14:paraId="22B9A5D1" w14:textId="77777777" w:rsidR="00514B73" w:rsidRPr="0035783B" w:rsidRDefault="00514B73" w:rsidP="00514B73">
      <w:pPr>
        <w:spacing w:line="240" w:lineRule="auto"/>
        <w:rPr>
          <w:rFonts w:ascii="Arial" w:hAnsi="Arial" w:cs="Arial"/>
        </w:rPr>
      </w:pPr>
      <w:r w:rsidRPr="0035783B">
        <w:rPr>
          <w:rFonts w:ascii="Arial" w:hAnsi="Arial" w:cs="Arial"/>
        </w:rPr>
        <w:t xml:space="preserve">And all these strengths, together with our Vision, </w:t>
      </w:r>
      <w:r w:rsidRPr="0035783B">
        <w:rPr>
          <w:rFonts w:ascii="Arial" w:hAnsi="Arial" w:cs="Arial"/>
          <w:i/>
          <w:iCs/>
        </w:rPr>
        <w:t>‘Co-operating for a Fairer World’</w:t>
      </w:r>
      <w:r w:rsidRPr="0035783B">
        <w:rPr>
          <w:rFonts w:ascii="Arial" w:hAnsi="Arial" w:cs="Arial"/>
        </w:rPr>
        <w:t xml:space="preserve">, </w:t>
      </w:r>
      <w:r>
        <w:rPr>
          <w:rFonts w:ascii="Arial" w:hAnsi="Arial" w:cs="Arial"/>
        </w:rPr>
        <w:t>are</w:t>
      </w:r>
      <w:r w:rsidRPr="0035783B">
        <w:rPr>
          <w:rFonts w:ascii="Arial" w:hAnsi="Arial" w:cs="Arial"/>
        </w:rPr>
        <w:t xml:space="preserve"> allowing us to continue </w:t>
      </w:r>
      <w:r>
        <w:rPr>
          <w:rFonts w:ascii="Arial" w:hAnsi="Arial" w:cs="Arial"/>
        </w:rPr>
        <w:t xml:space="preserve">to </w:t>
      </w:r>
      <w:r w:rsidRPr="0035783B">
        <w:rPr>
          <w:rFonts w:ascii="Arial" w:hAnsi="Arial" w:cs="Arial"/>
        </w:rPr>
        <w:t xml:space="preserve">make a real and tangible difference for our members, </w:t>
      </w:r>
      <w:r>
        <w:rPr>
          <w:rFonts w:ascii="Arial" w:hAnsi="Arial" w:cs="Arial"/>
        </w:rPr>
        <w:t xml:space="preserve">colleagues, </w:t>
      </w:r>
      <w:proofErr w:type="gramStart"/>
      <w:r w:rsidRPr="0035783B">
        <w:rPr>
          <w:rFonts w:ascii="Arial" w:hAnsi="Arial" w:cs="Arial"/>
        </w:rPr>
        <w:t>communities</w:t>
      </w:r>
      <w:proofErr w:type="gramEnd"/>
      <w:r w:rsidRPr="0035783B">
        <w:rPr>
          <w:rFonts w:ascii="Arial" w:hAnsi="Arial" w:cs="Arial"/>
        </w:rPr>
        <w:t xml:space="preserve"> and the planet.</w:t>
      </w:r>
    </w:p>
    <w:p w14:paraId="471B0264" w14:textId="77777777" w:rsidR="00514B73" w:rsidRPr="0035783B" w:rsidRDefault="00514B73" w:rsidP="00514B73">
      <w:pPr>
        <w:spacing w:line="240" w:lineRule="auto"/>
        <w:rPr>
          <w:rFonts w:ascii="Arial" w:hAnsi="Arial" w:cs="Arial"/>
        </w:rPr>
      </w:pPr>
      <w:r w:rsidRPr="0035783B">
        <w:rPr>
          <w:rFonts w:ascii="Arial" w:hAnsi="Arial" w:cs="Arial"/>
        </w:rPr>
        <w:t>Our Co-op wouldn’t exist without our members, including our Members’ Council and Member Pioneers, all of whom co-operate daily alongside us, contributing to the success of our businesses and our ability to deliver our Vision. My thanks and gratitude go to them all.</w:t>
      </w:r>
    </w:p>
    <w:p w14:paraId="72378A65" w14:textId="77777777" w:rsidR="00514B73" w:rsidRPr="0035783B" w:rsidRDefault="00514B73" w:rsidP="00514B73">
      <w:pPr>
        <w:spacing w:line="240" w:lineRule="auto"/>
        <w:rPr>
          <w:rFonts w:ascii="Arial" w:hAnsi="Arial" w:cs="Arial"/>
        </w:rPr>
      </w:pPr>
      <w:r>
        <w:rPr>
          <w:rFonts w:ascii="Arial" w:hAnsi="Arial" w:cs="Arial"/>
        </w:rPr>
        <w:t>We</w:t>
      </w:r>
      <w:r w:rsidRPr="0035783B">
        <w:rPr>
          <w:rFonts w:ascii="Arial" w:hAnsi="Arial" w:cs="Arial"/>
        </w:rPr>
        <w:t xml:space="preserve"> have so much to be proud of together in the first half of 2022</w:t>
      </w:r>
      <w:r>
        <w:rPr>
          <w:rFonts w:ascii="Arial" w:hAnsi="Arial" w:cs="Arial"/>
        </w:rPr>
        <w:t>. However</w:t>
      </w:r>
      <w:r w:rsidRPr="0035783B">
        <w:rPr>
          <w:rFonts w:ascii="Arial" w:hAnsi="Arial" w:cs="Arial"/>
        </w:rPr>
        <w:t xml:space="preserve">, as you’ll see from this report, the challenges that are affecting the global economy, our </w:t>
      </w:r>
      <w:r>
        <w:rPr>
          <w:rFonts w:ascii="Arial" w:hAnsi="Arial" w:cs="Arial"/>
        </w:rPr>
        <w:t xml:space="preserve">members, </w:t>
      </w:r>
      <w:proofErr w:type="gramStart"/>
      <w:r w:rsidRPr="0035783B">
        <w:rPr>
          <w:rFonts w:ascii="Arial" w:hAnsi="Arial" w:cs="Arial"/>
        </w:rPr>
        <w:t>colleagues</w:t>
      </w:r>
      <w:proofErr w:type="gramEnd"/>
      <w:r w:rsidRPr="0035783B">
        <w:rPr>
          <w:rFonts w:ascii="Arial" w:hAnsi="Arial" w:cs="Arial"/>
        </w:rPr>
        <w:t xml:space="preserve"> and communities also impact</w:t>
      </w:r>
      <w:r>
        <w:rPr>
          <w:rFonts w:ascii="Arial" w:hAnsi="Arial" w:cs="Arial"/>
        </w:rPr>
        <w:t>ed</w:t>
      </w:r>
      <w:r w:rsidRPr="0035783B">
        <w:rPr>
          <w:rFonts w:ascii="Arial" w:hAnsi="Arial" w:cs="Arial"/>
        </w:rPr>
        <w:t xml:space="preserve"> our businesses. </w:t>
      </w:r>
    </w:p>
    <w:p w14:paraId="57C53D40" w14:textId="77777777" w:rsidR="00514B73" w:rsidRDefault="00514B73" w:rsidP="00514B73">
      <w:pPr>
        <w:spacing w:line="240" w:lineRule="auto"/>
        <w:rPr>
          <w:rFonts w:ascii="Arial" w:hAnsi="Arial" w:cs="Arial"/>
        </w:rPr>
      </w:pPr>
      <w:r>
        <w:rPr>
          <w:rFonts w:ascii="Arial" w:hAnsi="Arial" w:cs="Arial"/>
        </w:rPr>
        <w:t>While</w:t>
      </w:r>
      <w:r w:rsidRPr="0035783B">
        <w:rPr>
          <w:rFonts w:ascii="Arial" w:hAnsi="Arial" w:cs="Arial"/>
        </w:rPr>
        <w:t xml:space="preserve"> 2021 provided us with some unexpected headwinds, the first six months of this year have prove</w:t>
      </w:r>
      <w:r>
        <w:rPr>
          <w:rFonts w:ascii="Arial" w:hAnsi="Arial" w:cs="Arial"/>
        </w:rPr>
        <w:t>n</w:t>
      </w:r>
      <w:r w:rsidRPr="0035783B">
        <w:rPr>
          <w:rFonts w:ascii="Arial" w:hAnsi="Arial" w:cs="Arial"/>
        </w:rPr>
        <w:t xml:space="preserve"> to be even more challenging. We began 2022 continuing to recover from the effects of the pandemic</w:t>
      </w:r>
      <w:r>
        <w:rPr>
          <w:rFonts w:ascii="Arial" w:hAnsi="Arial" w:cs="Arial"/>
        </w:rPr>
        <w:t xml:space="preserve"> while</w:t>
      </w:r>
      <w:r w:rsidRPr="0035783B">
        <w:rPr>
          <w:rFonts w:ascii="Arial" w:hAnsi="Arial" w:cs="Arial"/>
        </w:rPr>
        <w:t xml:space="preserve"> facing further economic uncertainty</w:t>
      </w:r>
      <w:r>
        <w:rPr>
          <w:rFonts w:ascii="Arial" w:hAnsi="Arial" w:cs="Arial"/>
        </w:rPr>
        <w:t xml:space="preserve">, as well as </w:t>
      </w:r>
      <w:r w:rsidRPr="0035783B">
        <w:rPr>
          <w:rFonts w:ascii="Arial" w:hAnsi="Arial" w:cs="Arial"/>
        </w:rPr>
        <w:t>global availability challenges. This was exacerbated by</w:t>
      </w:r>
      <w:r>
        <w:rPr>
          <w:rFonts w:ascii="Arial" w:hAnsi="Arial" w:cs="Arial"/>
        </w:rPr>
        <w:t xml:space="preserve"> the war in</w:t>
      </w:r>
      <w:r w:rsidRPr="0035783B">
        <w:rPr>
          <w:rFonts w:ascii="Arial" w:hAnsi="Arial" w:cs="Arial"/>
        </w:rPr>
        <w:t xml:space="preserve"> Ukraine and a</w:t>
      </w:r>
      <w:r>
        <w:rPr>
          <w:rFonts w:ascii="Arial" w:hAnsi="Arial" w:cs="Arial"/>
        </w:rPr>
        <w:t>n inflationary</w:t>
      </w:r>
      <w:r w:rsidRPr="0035783B">
        <w:rPr>
          <w:rFonts w:ascii="Arial" w:hAnsi="Arial" w:cs="Arial"/>
        </w:rPr>
        <w:t xml:space="preserve"> cost of living crisis facing members, customers, clients, </w:t>
      </w:r>
      <w:proofErr w:type="gramStart"/>
      <w:r w:rsidRPr="0035783B">
        <w:rPr>
          <w:rFonts w:ascii="Arial" w:hAnsi="Arial" w:cs="Arial"/>
        </w:rPr>
        <w:t>colleagues</w:t>
      </w:r>
      <w:proofErr w:type="gramEnd"/>
      <w:r w:rsidRPr="0035783B">
        <w:rPr>
          <w:rFonts w:ascii="Arial" w:hAnsi="Arial" w:cs="Arial"/>
        </w:rPr>
        <w:t xml:space="preserve"> and those communities and causes that rely on us for support. </w:t>
      </w:r>
    </w:p>
    <w:p w14:paraId="44CBA421" w14:textId="77777777" w:rsidR="00514B73" w:rsidRPr="0035783B" w:rsidRDefault="00514B73" w:rsidP="00514B73">
      <w:pPr>
        <w:spacing w:line="240" w:lineRule="auto"/>
        <w:rPr>
          <w:rFonts w:ascii="Arial" w:hAnsi="Arial" w:cs="Arial"/>
        </w:rPr>
      </w:pPr>
      <w:r w:rsidRPr="0035783B">
        <w:rPr>
          <w:rFonts w:ascii="Arial" w:hAnsi="Arial" w:cs="Arial"/>
        </w:rPr>
        <w:t xml:space="preserve">The rising cost of commodities, such as food, </w:t>
      </w:r>
      <w:proofErr w:type="gramStart"/>
      <w:r w:rsidRPr="0035783B">
        <w:rPr>
          <w:rFonts w:ascii="Arial" w:hAnsi="Arial" w:cs="Arial"/>
        </w:rPr>
        <w:t>fuel</w:t>
      </w:r>
      <w:proofErr w:type="gramEnd"/>
      <w:r w:rsidRPr="0035783B">
        <w:rPr>
          <w:rFonts w:ascii="Arial" w:hAnsi="Arial" w:cs="Arial"/>
        </w:rPr>
        <w:t xml:space="preserve"> and energy</w:t>
      </w:r>
      <w:r>
        <w:rPr>
          <w:rFonts w:ascii="Arial" w:hAnsi="Arial" w:cs="Arial"/>
        </w:rPr>
        <w:t xml:space="preserve">, has created a more difficult business environment </w:t>
      </w:r>
      <w:r w:rsidRPr="0035783B">
        <w:rPr>
          <w:rFonts w:ascii="Arial" w:hAnsi="Arial" w:cs="Arial"/>
        </w:rPr>
        <w:t xml:space="preserve">now than at the beginning of 2021. </w:t>
      </w:r>
    </w:p>
    <w:p w14:paraId="536464B2" w14:textId="77777777" w:rsidR="00514B73" w:rsidRDefault="00514B73" w:rsidP="00514B73">
      <w:pPr>
        <w:spacing w:line="240" w:lineRule="auto"/>
        <w:rPr>
          <w:rFonts w:ascii="Arial" w:hAnsi="Arial" w:cs="Arial"/>
        </w:rPr>
      </w:pPr>
      <w:r w:rsidRPr="0035783B">
        <w:rPr>
          <w:rFonts w:ascii="Arial" w:hAnsi="Arial" w:cs="Arial"/>
        </w:rPr>
        <w:t xml:space="preserve">There’s no doubt that a unique set of circumstances contributed to our performance in the first six months of this year. </w:t>
      </w:r>
      <w:r>
        <w:rPr>
          <w:rFonts w:ascii="Arial" w:hAnsi="Arial" w:cs="Arial"/>
        </w:rPr>
        <w:t>Ou</w:t>
      </w:r>
      <w:r w:rsidRPr="0035783B">
        <w:rPr>
          <w:rFonts w:ascii="Arial" w:hAnsi="Arial" w:cs="Arial"/>
        </w:rPr>
        <w:t>r revenue remain</w:t>
      </w:r>
      <w:r>
        <w:rPr>
          <w:rFonts w:ascii="Arial" w:hAnsi="Arial" w:cs="Arial"/>
        </w:rPr>
        <w:t>ed</w:t>
      </w:r>
      <w:r w:rsidRPr="0035783B">
        <w:rPr>
          <w:rFonts w:ascii="Arial" w:hAnsi="Arial" w:cs="Arial"/>
        </w:rPr>
        <w:t xml:space="preserve"> stable at £5.6bn compared to the same period in 2021</w:t>
      </w:r>
      <w:r>
        <w:rPr>
          <w:rFonts w:ascii="Arial" w:hAnsi="Arial" w:cs="Arial"/>
        </w:rPr>
        <w:t xml:space="preserve">. </w:t>
      </w:r>
      <w:r w:rsidRPr="000D3ADE">
        <w:rPr>
          <w:rFonts w:ascii="Arial" w:hAnsi="Arial" w:cs="Arial"/>
        </w:rPr>
        <w:t xml:space="preserve">However, economic headwinds and the increased cost to serve members and customers have affected our performance, and our EBITDA, operating profit, and profit before tax are all down in comparison to </w:t>
      </w:r>
      <w:r>
        <w:rPr>
          <w:rFonts w:ascii="Arial" w:hAnsi="Arial" w:cs="Arial"/>
        </w:rPr>
        <w:t xml:space="preserve">the </w:t>
      </w:r>
      <w:r w:rsidRPr="000D3ADE">
        <w:rPr>
          <w:rFonts w:ascii="Arial" w:hAnsi="Arial" w:cs="Arial"/>
        </w:rPr>
        <w:t>same period last year.</w:t>
      </w:r>
    </w:p>
    <w:p w14:paraId="4D77F148" w14:textId="77777777" w:rsidR="00514B73" w:rsidRPr="0035783B" w:rsidRDefault="00514B73" w:rsidP="00514B73">
      <w:pPr>
        <w:spacing w:line="240" w:lineRule="auto"/>
        <w:rPr>
          <w:rFonts w:ascii="Arial" w:hAnsi="Arial" w:cs="Arial"/>
        </w:rPr>
      </w:pPr>
      <w:r>
        <w:rPr>
          <w:rFonts w:ascii="Arial" w:hAnsi="Arial" w:cs="Arial"/>
        </w:rPr>
        <w:t>This has meant that we have had to make difficult decisions in managing our Co-op, including reducing our cost base and some planned investment. It has also meant that we have focused clearly on cash generation and reducing</w:t>
      </w:r>
      <w:r w:rsidRPr="0035783B">
        <w:rPr>
          <w:rFonts w:ascii="Arial" w:hAnsi="Arial" w:cs="Arial"/>
        </w:rPr>
        <w:t xml:space="preserve"> our </w:t>
      </w:r>
      <w:r>
        <w:rPr>
          <w:rFonts w:ascii="Arial" w:hAnsi="Arial" w:cs="Arial"/>
        </w:rPr>
        <w:t xml:space="preserve">net </w:t>
      </w:r>
      <w:r w:rsidRPr="0035783B">
        <w:rPr>
          <w:rFonts w:ascii="Arial" w:hAnsi="Arial" w:cs="Arial"/>
        </w:rPr>
        <w:t xml:space="preserve">debt, which </w:t>
      </w:r>
      <w:r>
        <w:rPr>
          <w:rFonts w:ascii="Arial" w:hAnsi="Arial" w:cs="Arial"/>
        </w:rPr>
        <w:t xml:space="preserve">we did, and by over 20%, </w:t>
      </w:r>
      <w:r w:rsidRPr="0035783B">
        <w:rPr>
          <w:rFonts w:ascii="Arial" w:hAnsi="Arial" w:cs="Arial"/>
        </w:rPr>
        <w:t>down to £731m from £920m at the end of H2 2021.</w:t>
      </w:r>
    </w:p>
    <w:p w14:paraId="0D703139" w14:textId="77777777" w:rsidR="00514B73" w:rsidRPr="0035783B" w:rsidRDefault="00514B73" w:rsidP="00514B73">
      <w:pPr>
        <w:spacing w:line="240" w:lineRule="auto"/>
        <w:rPr>
          <w:rFonts w:ascii="Arial" w:hAnsi="Arial" w:cs="Arial"/>
        </w:rPr>
      </w:pPr>
      <w:r w:rsidRPr="0035783B">
        <w:rPr>
          <w:rFonts w:ascii="Arial" w:hAnsi="Arial" w:cs="Arial"/>
        </w:rPr>
        <w:t>Our new Interim Chief Financial Officer Mike Hazell will go into this in more detail as part of his Financial Overview</w:t>
      </w:r>
      <w:r>
        <w:rPr>
          <w:rFonts w:ascii="Arial" w:hAnsi="Arial" w:cs="Arial"/>
        </w:rPr>
        <w:t>.</w:t>
      </w:r>
    </w:p>
    <w:p w14:paraId="241D17EC" w14:textId="77777777" w:rsidR="00514B73" w:rsidRPr="0035783B" w:rsidRDefault="00514B73" w:rsidP="00514B73">
      <w:pPr>
        <w:spacing w:line="240" w:lineRule="auto"/>
        <w:rPr>
          <w:rFonts w:ascii="Arial" w:hAnsi="Arial" w:cs="Arial"/>
        </w:rPr>
      </w:pPr>
      <w:r w:rsidRPr="0035783B">
        <w:rPr>
          <w:rFonts w:ascii="Arial" w:hAnsi="Arial" w:cs="Arial"/>
        </w:rPr>
        <w:t>To continue to achieve the commercial sustainability that allows us to deliver our Vision, we must have a common understanding of the issues and our operating environment, we must have clear goals, we must act and make decisions well, but also at pace, we must do fewer things, and do them better, and as one Co-op.</w:t>
      </w:r>
      <w:r>
        <w:rPr>
          <w:rFonts w:ascii="Arial" w:hAnsi="Arial" w:cs="Arial"/>
        </w:rPr>
        <w:t xml:space="preserve"> This has resulted in very different ways of working in our Co-op and is a significant step toward a change in our culture. I am very grateful to every one of my colleagues across </w:t>
      </w:r>
      <w:proofErr w:type="gramStart"/>
      <w:r>
        <w:rPr>
          <w:rFonts w:ascii="Arial" w:hAnsi="Arial" w:cs="Arial"/>
        </w:rPr>
        <w:t>all of</w:t>
      </w:r>
      <w:proofErr w:type="gramEnd"/>
      <w:r>
        <w:rPr>
          <w:rFonts w:ascii="Arial" w:hAnsi="Arial" w:cs="Arial"/>
        </w:rPr>
        <w:t xml:space="preserve"> our businesses for embracing and leading these efforts so enthusiastically – and for giving me their honest feedback along the way. </w:t>
      </w:r>
    </w:p>
    <w:p w14:paraId="0B2B85C4" w14:textId="77777777" w:rsidR="00514B73" w:rsidRPr="0035783B" w:rsidRDefault="00514B73" w:rsidP="00514B73">
      <w:pPr>
        <w:spacing w:line="240" w:lineRule="auto"/>
        <w:rPr>
          <w:rFonts w:ascii="Arial" w:hAnsi="Arial" w:cs="Arial"/>
        </w:rPr>
      </w:pPr>
      <w:r w:rsidRPr="0035783B">
        <w:rPr>
          <w:rFonts w:ascii="Arial" w:hAnsi="Arial" w:cs="Arial"/>
        </w:rPr>
        <w:t xml:space="preserve">This unified approach is </w:t>
      </w:r>
      <w:r>
        <w:rPr>
          <w:rFonts w:ascii="Arial" w:hAnsi="Arial" w:cs="Arial"/>
        </w:rPr>
        <w:t>delivering results,</w:t>
      </w:r>
      <w:r w:rsidRPr="0035783B">
        <w:rPr>
          <w:rFonts w:ascii="Arial" w:hAnsi="Arial" w:cs="Arial"/>
        </w:rPr>
        <w:t xml:space="preserve"> as we s</w:t>
      </w:r>
      <w:r>
        <w:rPr>
          <w:rFonts w:ascii="Arial" w:hAnsi="Arial" w:cs="Arial"/>
        </w:rPr>
        <w:t>aw</w:t>
      </w:r>
      <w:r w:rsidRPr="0035783B">
        <w:rPr>
          <w:rFonts w:ascii="Arial" w:hAnsi="Arial" w:cs="Arial"/>
        </w:rPr>
        <w:t xml:space="preserve"> some </w:t>
      </w:r>
      <w:r>
        <w:rPr>
          <w:rFonts w:ascii="Arial" w:hAnsi="Arial" w:cs="Arial"/>
        </w:rPr>
        <w:t>wonderful</w:t>
      </w:r>
      <w:r w:rsidRPr="0035783B">
        <w:rPr>
          <w:rFonts w:ascii="Arial" w:hAnsi="Arial" w:cs="Arial"/>
        </w:rPr>
        <w:t xml:space="preserve"> innovation and commercial headway made in H1 across all our businesses. </w:t>
      </w:r>
    </w:p>
    <w:p w14:paraId="1FB75931" w14:textId="77777777" w:rsidR="00514B73" w:rsidRPr="0035783B" w:rsidRDefault="00514B73" w:rsidP="00514B73">
      <w:pPr>
        <w:spacing w:line="240" w:lineRule="auto"/>
        <w:rPr>
          <w:rFonts w:ascii="Arial" w:hAnsi="Arial" w:cs="Arial"/>
        </w:rPr>
      </w:pPr>
      <w:r w:rsidRPr="0035783B">
        <w:rPr>
          <w:rFonts w:ascii="Arial" w:hAnsi="Arial" w:cs="Arial"/>
        </w:rPr>
        <w:t>Our strategic priorities have remained tightly focused on three main areas.</w:t>
      </w:r>
    </w:p>
    <w:p w14:paraId="57E56DFD" w14:textId="77777777" w:rsidR="00514B73" w:rsidRPr="0035783B" w:rsidRDefault="00514B73" w:rsidP="00514B73">
      <w:pPr>
        <w:pStyle w:val="ListParagraph"/>
        <w:numPr>
          <w:ilvl w:val="0"/>
          <w:numId w:val="24"/>
        </w:numPr>
        <w:spacing w:after="160" w:line="240" w:lineRule="auto"/>
        <w:rPr>
          <w:rFonts w:ascii="Arial" w:hAnsi="Arial" w:cs="Arial"/>
          <w:b/>
          <w:bCs/>
        </w:rPr>
      </w:pPr>
      <w:r w:rsidRPr="0035783B">
        <w:rPr>
          <w:rFonts w:ascii="Arial" w:hAnsi="Arial" w:cs="Arial"/>
          <w:b/>
          <w:bCs/>
        </w:rPr>
        <w:t xml:space="preserve">Ensuring our businesses continue to </w:t>
      </w:r>
      <w:r>
        <w:rPr>
          <w:rFonts w:ascii="Arial" w:hAnsi="Arial" w:cs="Arial"/>
          <w:b/>
          <w:bCs/>
        </w:rPr>
        <w:t>deliver to our customers’ and members’ expectations</w:t>
      </w:r>
      <w:r w:rsidRPr="0035783B">
        <w:rPr>
          <w:rFonts w:ascii="Arial" w:hAnsi="Arial" w:cs="Arial"/>
          <w:b/>
          <w:bCs/>
        </w:rPr>
        <w:t xml:space="preserve"> in the current climate, and </w:t>
      </w:r>
      <w:r>
        <w:rPr>
          <w:rFonts w:ascii="Arial" w:hAnsi="Arial" w:cs="Arial"/>
          <w:b/>
          <w:bCs/>
        </w:rPr>
        <w:t xml:space="preserve">outperform </w:t>
      </w:r>
      <w:r w:rsidRPr="0035783B">
        <w:rPr>
          <w:rFonts w:ascii="Arial" w:hAnsi="Arial" w:cs="Arial"/>
          <w:b/>
          <w:bCs/>
        </w:rPr>
        <w:t xml:space="preserve">within their respective markets </w:t>
      </w:r>
    </w:p>
    <w:p w14:paraId="17B95DCD" w14:textId="77777777" w:rsidR="00514B73" w:rsidRPr="0035783B" w:rsidRDefault="00514B73" w:rsidP="00514B73">
      <w:pPr>
        <w:spacing w:line="240" w:lineRule="auto"/>
        <w:ind w:left="360"/>
        <w:rPr>
          <w:rFonts w:ascii="Arial" w:hAnsi="Arial" w:cs="Arial"/>
        </w:rPr>
      </w:pPr>
      <w:r w:rsidRPr="0035783B">
        <w:rPr>
          <w:rFonts w:ascii="Arial" w:hAnsi="Arial" w:cs="Arial"/>
        </w:rPr>
        <w:t>This has included addressing availability challenges and stabilising the performance of SAP in Food</w:t>
      </w:r>
      <w:r>
        <w:rPr>
          <w:rFonts w:ascii="Arial" w:hAnsi="Arial" w:cs="Arial"/>
        </w:rPr>
        <w:t xml:space="preserve"> while delivering the ethical, quality products our customers and members expect from us</w:t>
      </w:r>
      <w:r w:rsidRPr="0035783B">
        <w:rPr>
          <w:rFonts w:ascii="Arial" w:hAnsi="Arial" w:cs="Arial"/>
        </w:rPr>
        <w:t xml:space="preserve">. In January we opened our brand new Biggleswade depot - our largest regional distribution centre, servicing our Food business. </w:t>
      </w:r>
    </w:p>
    <w:p w14:paraId="3D50419D" w14:textId="77777777" w:rsidR="00514B73" w:rsidRPr="0035783B" w:rsidRDefault="00514B73" w:rsidP="00514B73">
      <w:pPr>
        <w:spacing w:line="240" w:lineRule="auto"/>
        <w:ind w:left="360"/>
        <w:rPr>
          <w:rFonts w:ascii="Arial" w:hAnsi="Arial" w:cs="Arial"/>
        </w:rPr>
      </w:pPr>
      <w:r w:rsidRPr="0035783B">
        <w:rPr>
          <w:rFonts w:ascii="Arial" w:hAnsi="Arial" w:cs="Arial"/>
        </w:rPr>
        <w:lastRenderedPageBreak/>
        <w:t xml:space="preserve">And in Life Services we’ve been continuing to strengthen our propositions by preparing our </w:t>
      </w:r>
      <w:r>
        <w:rPr>
          <w:rFonts w:ascii="Arial" w:hAnsi="Arial" w:cs="Arial"/>
        </w:rPr>
        <w:t>funeral plans</w:t>
      </w:r>
      <w:r w:rsidRPr="0035783B">
        <w:rPr>
          <w:rFonts w:ascii="Arial" w:hAnsi="Arial" w:cs="Arial"/>
        </w:rPr>
        <w:t xml:space="preserve"> business to achieve</w:t>
      </w:r>
      <w:r>
        <w:rPr>
          <w:rFonts w:ascii="Arial" w:hAnsi="Arial" w:cs="Arial"/>
        </w:rPr>
        <w:t xml:space="preserve"> FCA</w:t>
      </w:r>
      <w:r w:rsidRPr="0035783B">
        <w:rPr>
          <w:rFonts w:ascii="Arial" w:hAnsi="Arial" w:cs="Arial"/>
        </w:rPr>
        <w:t xml:space="preserve"> regulated status and develop</w:t>
      </w:r>
      <w:r>
        <w:rPr>
          <w:rFonts w:ascii="Arial" w:hAnsi="Arial" w:cs="Arial"/>
        </w:rPr>
        <w:t>ing</w:t>
      </w:r>
      <w:r w:rsidRPr="0035783B">
        <w:rPr>
          <w:rFonts w:ascii="Arial" w:hAnsi="Arial" w:cs="Arial"/>
        </w:rPr>
        <w:t xml:space="preserve"> our </w:t>
      </w:r>
      <w:r>
        <w:rPr>
          <w:rFonts w:ascii="Arial" w:hAnsi="Arial" w:cs="Arial"/>
        </w:rPr>
        <w:t xml:space="preserve">services, </w:t>
      </w:r>
      <w:r w:rsidRPr="0035783B">
        <w:rPr>
          <w:rFonts w:ascii="Arial" w:hAnsi="Arial" w:cs="Arial"/>
        </w:rPr>
        <w:t>digital propositions</w:t>
      </w:r>
      <w:r>
        <w:rPr>
          <w:rFonts w:ascii="Arial" w:hAnsi="Arial" w:cs="Arial"/>
        </w:rPr>
        <w:t>, partnerships</w:t>
      </w:r>
      <w:r w:rsidRPr="0035783B">
        <w:rPr>
          <w:rFonts w:ascii="Arial" w:hAnsi="Arial" w:cs="Arial"/>
        </w:rPr>
        <w:t xml:space="preserve"> and </w:t>
      </w:r>
      <w:r>
        <w:rPr>
          <w:rFonts w:ascii="Arial" w:hAnsi="Arial" w:cs="Arial"/>
        </w:rPr>
        <w:t>new products</w:t>
      </w:r>
      <w:r w:rsidRPr="0035783B">
        <w:rPr>
          <w:rFonts w:ascii="Arial" w:hAnsi="Arial" w:cs="Arial"/>
        </w:rPr>
        <w:t xml:space="preserve"> in Legal Services and Insurance. </w:t>
      </w:r>
    </w:p>
    <w:p w14:paraId="4AF1EA18" w14:textId="77777777" w:rsidR="00514B73" w:rsidRPr="0035783B" w:rsidRDefault="00514B73" w:rsidP="00514B73">
      <w:pPr>
        <w:pStyle w:val="ListParagraph"/>
        <w:numPr>
          <w:ilvl w:val="0"/>
          <w:numId w:val="24"/>
        </w:numPr>
        <w:spacing w:after="160" w:line="240" w:lineRule="auto"/>
        <w:rPr>
          <w:rFonts w:ascii="Arial" w:hAnsi="Arial" w:cs="Arial"/>
          <w:b/>
          <w:bCs/>
        </w:rPr>
      </w:pPr>
      <w:r>
        <w:rPr>
          <w:rFonts w:ascii="Arial" w:hAnsi="Arial" w:cs="Arial"/>
          <w:b/>
          <w:bCs/>
        </w:rPr>
        <w:t>Improving operational efficiency</w:t>
      </w:r>
    </w:p>
    <w:p w14:paraId="3DAE6E30" w14:textId="77777777" w:rsidR="00514B73" w:rsidRPr="0035783B" w:rsidRDefault="00514B73" w:rsidP="00514B73">
      <w:pPr>
        <w:spacing w:line="240" w:lineRule="auto"/>
        <w:ind w:left="360"/>
        <w:rPr>
          <w:rFonts w:ascii="Arial" w:hAnsi="Arial" w:cs="Arial"/>
        </w:rPr>
      </w:pPr>
      <w:r w:rsidRPr="0035783B">
        <w:rPr>
          <w:rFonts w:ascii="Arial" w:hAnsi="Arial" w:cs="Arial"/>
        </w:rPr>
        <w:t>We have continued to take steps to create a more cost</w:t>
      </w:r>
      <w:r>
        <w:rPr>
          <w:rFonts w:ascii="Arial" w:hAnsi="Arial" w:cs="Arial"/>
        </w:rPr>
        <w:t>-</w:t>
      </w:r>
      <w:r w:rsidRPr="0035783B">
        <w:rPr>
          <w:rFonts w:ascii="Arial" w:hAnsi="Arial" w:cs="Arial"/>
        </w:rPr>
        <w:t>effective</w:t>
      </w:r>
      <w:r>
        <w:rPr>
          <w:rFonts w:ascii="Arial" w:hAnsi="Arial" w:cs="Arial"/>
        </w:rPr>
        <w:t xml:space="preserve">, </w:t>
      </w:r>
      <w:proofErr w:type="gramStart"/>
      <w:r>
        <w:rPr>
          <w:rFonts w:ascii="Arial" w:hAnsi="Arial" w:cs="Arial"/>
        </w:rPr>
        <w:t>efficient</w:t>
      </w:r>
      <w:proofErr w:type="gramEnd"/>
      <w:r w:rsidRPr="0035783B">
        <w:rPr>
          <w:rFonts w:ascii="Arial" w:hAnsi="Arial" w:cs="Arial"/>
        </w:rPr>
        <w:t xml:space="preserve"> and financially sustainable Co-op. At times, this has meant taking the difficult decisions necessary to improve our cash management and reduce our operating and capital expenditure</w:t>
      </w:r>
      <w:r>
        <w:rPr>
          <w:rFonts w:ascii="Arial" w:hAnsi="Arial" w:cs="Arial"/>
        </w:rPr>
        <w:t>, which combined has helped see the marked improvement in our net debt position from year end, which I referred to earlier.</w:t>
      </w:r>
    </w:p>
    <w:p w14:paraId="67C60E9D" w14:textId="77777777" w:rsidR="00514B73" w:rsidRPr="0035783B" w:rsidRDefault="00514B73" w:rsidP="00514B73">
      <w:pPr>
        <w:spacing w:line="240" w:lineRule="auto"/>
        <w:ind w:left="360"/>
        <w:rPr>
          <w:rFonts w:ascii="Arial" w:hAnsi="Arial" w:cs="Arial"/>
          <w:shd w:val="clear" w:color="auto" w:fill="FFFFFF"/>
        </w:rPr>
      </w:pPr>
      <w:r w:rsidRPr="0035783B">
        <w:rPr>
          <w:rFonts w:ascii="Arial" w:hAnsi="Arial" w:cs="Arial"/>
        </w:rPr>
        <w:t xml:space="preserve">Part of this work has also included </w:t>
      </w:r>
      <w:r w:rsidRPr="0035783B">
        <w:rPr>
          <w:rFonts w:ascii="Arial" w:hAnsi="Arial" w:cs="Arial"/>
          <w:shd w:val="clear" w:color="auto" w:fill="FFFFFF"/>
        </w:rPr>
        <w:t xml:space="preserve">proposals to restructure our support centre </w:t>
      </w:r>
      <w:r>
        <w:rPr>
          <w:rFonts w:ascii="Arial" w:hAnsi="Arial" w:cs="Arial"/>
          <w:shd w:val="clear" w:color="auto" w:fill="FFFFFF"/>
        </w:rPr>
        <w:t xml:space="preserve">team </w:t>
      </w:r>
      <w:r w:rsidRPr="0035783B">
        <w:rPr>
          <w:rFonts w:ascii="Arial" w:hAnsi="Arial" w:cs="Arial"/>
          <w:shd w:val="clear" w:color="auto" w:fill="FFFFFF"/>
        </w:rPr>
        <w:t>and field</w:t>
      </w:r>
      <w:r>
        <w:rPr>
          <w:rFonts w:ascii="Arial" w:hAnsi="Arial" w:cs="Arial"/>
          <w:shd w:val="clear" w:color="auto" w:fill="FFFFFF"/>
        </w:rPr>
        <w:t>-</w:t>
      </w:r>
      <w:r w:rsidRPr="0035783B">
        <w:rPr>
          <w:rFonts w:ascii="Arial" w:hAnsi="Arial" w:cs="Arial"/>
          <w:shd w:val="clear" w:color="auto" w:fill="FFFFFF"/>
        </w:rPr>
        <w:t>based teams in H2, which has been such an incredibly difficult step to take. We’ve worked hard to support those affected by these decisions</w:t>
      </w:r>
      <w:r>
        <w:rPr>
          <w:rFonts w:ascii="Arial" w:hAnsi="Arial" w:cs="Arial"/>
          <w:shd w:val="clear" w:color="auto" w:fill="FFFFFF"/>
        </w:rPr>
        <w:t xml:space="preserve"> -</w:t>
      </w:r>
      <w:r w:rsidRPr="0035783B">
        <w:rPr>
          <w:rFonts w:ascii="Arial" w:hAnsi="Arial" w:cs="Arial"/>
          <w:shd w:val="clear" w:color="auto" w:fill="FFFFFF"/>
        </w:rPr>
        <w:t xml:space="preserve"> support for the wellbeing of all our colleagues will remain our top priority this year.</w:t>
      </w:r>
    </w:p>
    <w:p w14:paraId="342B7B72" w14:textId="77777777" w:rsidR="00514B73" w:rsidRPr="0035783B" w:rsidRDefault="00514B73" w:rsidP="00514B73">
      <w:pPr>
        <w:pStyle w:val="ListParagraph"/>
        <w:numPr>
          <w:ilvl w:val="0"/>
          <w:numId w:val="24"/>
        </w:numPr>
        <w:spacing w:after="160" w:line="240" w:lineRule="auto"/>
        <w:rPr>
          <w:rFonts w:ascii="Arial" w:hAnsi="Arial" w:cs="Arial"/>
          <w:b/>
          <w:bCs/>
        </w:rPr>
      </w:pPr>
      <w:r w:rsidRPr="0035783B">
        <w:rPr>
          <w:rFonts w:ascii="Arial" w:hAnsi="Arial" w:cs="Arial"/>
          <w:b/>
          <w:bCs/>
        </w:rPr>
        <w:t xml:space="preserve">Delivering our Vision – </w:t>
      </w:r>
      <w:r w:rsidRPr="0035783B">
        <w:rPr>
          <w:rFonts w:ascii="Arial" w:hAnsi="Arial" w:cs="Arial"/>
          <w:b/>
          <w:bCs/>
          <w:i/>
          <w:iCs/>
        </w:rPr>
        <w:t>‘Co-operating for a Fairer World’</w:t>
      </w:r>
      <w:r w:rsidRPr="0035783B">
        <w:rPr>
          <w:rFonts w:ascii="Arial" w:hAnsi="Arial" w:cs="Arial"/>
          <w:b/>
          <w:bCs/>
        </w:rPr>
        <w:t xml:space="preserve"> </w:t>
      </w:r>
    </w:p>
    <w:p w14:paraId="032B9929" w14:textId="77777777" w:rsidR="00514B73" w:rsidRPr="00EF6E56" w:rsidRDefault="00514B73" w:rsidP="00514B73">
      <w:pPr>
        <w:spacing w:line="240" w:lineRule="auto"/>
        <w:ind w:left="360"/>
      </w:pPr>
      <w:r>
        <w:rPr>
          <w:rFonts w:ascii="Arial" w:hAnsi="Arial" w:cs="Arial"/>
        </w:rPr>
        <w:t>E</w:t>
      </w:r>
      <w:r w:rsidRPr="0035783B">
        <w:rPr>
          <w:rFonts w:ascii="Arial" w:hAnsi="Arial" w:cs="Arial"/>
        </w:rPr>
        <w:t>verything we do support</w:t>
      </w:r>
      <w:r>
        <w:rPr>
          <w:rFonts w:ascii="Arial" w:hAnsi="Arial" w:cs="Arial"/>
        </w:rPr>
        <w:t>s the</w:t>
      </w:r>
      <w:r w:rsidRPr="0035783B">
        <w:rPr>
          <w:rFonts w:ascii="Arial" w:hAnsi="Arial" w:cs="Arial"/>
        </w:rPr>
        <w:t xml:space="preserve"> continu</w:t>
      </w:r>
      <w:r>
        <w:rPr>
          <w:rFonts w:ascii="Arial" w:hAnsi="Arial" w:cs="Arial"/>
        </w:rPr>
        <w:t>ed</w:t>
      </w:r>
      <w:r w:rsidRPr="0035783B">
        <w:rPr>
          <w:rFonts w:ascii="Arial" w:hAnsi="Arial" w:cs="Arial"/>
        </w:rPr>
        <w:t xml:space="preserve"> deliver</w:t>
      </w:r>
      <w:r>
        <w:rPr>
          <w:rFonts w:ascii="Arial" w:hAnsi="Arial" w:cs="Arial"/>
        </w:rPr>
        <w:t>y of</w:t>
      </w:r>
      <w:r w:rsidRPr="0035783B">
        <w:rPr>
          <w:rFonts w:ascii="Arial" w:hAnsi="Arial" w:cs="Arial"/>
        </w:rPr>
        <w:t xml:space="preserve"> our Vision</w:t>
      </w:r>
      <w:r>
        <w:rPr>
          <w:rFonts w:ascii="Arial" w:hAnsi="Arial" w:cs="Arial"/>
        </w:rPr>
        <w:t xml:space="preserve"> for the benefit of our colleagues, members, </w:t>
      </w:r>
      <w:proofErr w:type="gramStart"/>
      <w:r>
        <w:rPr>
          <w:rFonts w:ascii="Arial" w:hAnsi="Arial" w:cs="Arial"/>
        </w:rPr>
        <w:t>communities</w:t>
      </w:r>
      <w:proofErr w:type="gramEnd"/>
      <w:r>
        <w:rPr>
          <w:rFonts w:ascii="Arial" w:hAnsi="Arial" w:cs="Arial"/>
        </w:rPr>
        <w:t xml:space="preserve"> and the planet. As this report will show, we continued to deliver ‘value with Values’ and stepped up to the role our Co-op has to play.</w:t>
      </w:r>
    </w:p>
    <w:p w14:paraId="3A9F7E14" w14:textId="77777777" w:rsidR="00514B73" w:rsidRDefault="00514B73" w:rsidP="00514B73">
      <w:pPr>
        <w:pStyle w:val="ListParagraph"/>
        <w:numPr>
          <w:ilvl w:val="0"/>
          <w:numId w:val="16"/>
        </w:numPr>
        <w:spacing w:after="160" w:line="240" w:lineRule="auto"/>
        <w:rPr>
          <w:rFonts w:ascii="Arial" w:hAnsi="Arial" w:cs="Arial"/>
        </w:rPr>
      </w:pPr>
      <w:r w:rsidRPr="00FE7A78">
        <w:rPr>
          <w:rFonts w:ascii="Arial" w:hAnsi="Arial" w:cs="Arial"/>
        </w:rPr>
        <w:t>At our</w:t>
      </w:r>
      <w:r>
        <w:rPr>
          <w:rFonts w:ascii="Arial" w:hAnsi="Arial" w:cs="Arial"/>
        </w:rPr>
        <w:t xml:space="preserve"> May</w:t>
      </w:r>
      <w:r w:rsidRPr="00FE7A78">
        <w:rPr>
          <w:rFonts w:ascii="Arial" w:hAnsi="Arial" w:cs="Arial"/>
        </w:rPr>
        <w:t xml:space="preserve"> AGM</w:t>
      </w:r>
      <w:r>
        <w:rPr>
          <w:rFonts w:ascii="Arial" w:hAnsi="Arial" w:cs="Arial"/>
        </w:rPr>
        <w:t xml:space="preserve">, </w:t>
      </w:r>
      <w:r w:rsidRPr="00FE7A78">
        <w:rPr>
          <w:rFonts w:ascii="Arial" w:hAnsi="Arial" w:cs="Arial"/>
        </w:rPr>
        <w:t xml:space="preserve">we shared that our Food business </w:t>
      </w:r>
      <w:r>
        <w:rPr>
          <w:rFonts w:ascii="Arial" w:hAnsi="Arial" w:cs="Arial"/>
        </w:rPr>
        <w:t>was trialling</w:t>
      </w:r>
      <w:r w:rsidRPr="00FE7A78">
        <w:rPr>
          <w:rFonts w:ascii="Arial" w:hAnsi="Arial" w:cs="Arial"/>
        </w:rPr>
        <w:t xml:space="preserve"> ‘Caboodle’ - a platform founded by Co-op </w:t>
      </w:r>
      <w:r>
        <w:rPr>
          <w:rFonts w:ascii="Arial" w:hAnsi="Arial" w:cs="Arial"/>
        </w:rPr>
        <w:t xml:space="preserve">and Microsoft, with support from </w:t>
      </w:r>
      <w:r w:rsidRPr="00FE7A78">
        <w:rPr>
          <w:rFonts w:ascii="Arial" w:hAnsi="Arial" w:cs="Arial"/>
        </w:rPr>
        <w:t>BJSS</w:t>
      </w:r>
      <w:r>
        <w:rPr>
          <w:rFonts w:ascii="Arial" w:hAnsi="Arial" w:cs="Arial"/>
        </w:rPr>
        <w:t xml:space="preserve"> and</w:t>
      </w:r>
      <w:r w:rsidRPr="00FE7A78">
        <w:rPr>
          <w:rFonts w:ascii="Arial" w:hAnsi="Arial" w:cs="Arial"/>
        </w:rPr>
        <w:t xml:space="preserve"> Team ITG</w:t>
      </w:r>
      <w:r>
        <w:rPr>
          <w:rFonts w:ascii="Arial" w:hAnsi="Arial" w:cs="Arial"/>
        </w:rPr>
        <w:t>. It</w:t>
      </w:r>
      <w:r w:rsidRPr="00FE7A78">
        <w:rPr>
          <w:rFonts w:ascii="Arial" w:hAnsi="Arial" w:cs="Arial"/>
        </w:rPr>
        <w:t xml:space="preserve"> allow</w:t>
      </w:r>
      <w:r>
        <w:rPr>
          <w:rFonts w:ascii="Arial" w:hAnsi="Arial" w:cs="Arial"/>
        </w:rPr>
        <w:t xml:space="preserve">s </w:t>
      </w:r>
      <w:r w:rsidRPr="00FE7A78">
        <w:rPr>
          <w:rFonts w:ascii="Arial" w:hAnsi="Arial" w:cs="Arial"/>
        </w:rPr>
        <w:t xml:space="preserve">supermarkets, </w:t>
      </w:r>
      <w:proofErr w:type="gramStart"/>
      <w:r w:rsidRPr="00FE7A78">
        <w:rPr>
          <w:rFonts w:ascii="Arial" w:hAnsi="Arial" w:cs="Arial"/>
        </w:rPr>
        <w:t>cafés</w:t>
      </w:r>
      <w:proofErr w:type="gramEnd"/>
      <w:r w:rsidRPr="00FE7A78">
        <w:rPr>
          <w:rFonts w:ascii="Arial" w:hAnsi="Arial" w:cs="Arial"/>
        </w:rPr>
        <w:t xml:space="preserve"> and restaurants to connect with community groups and volunteers, to redistribute surplus food. </w:t>
      </w:r>
      <w:r>
        <w:rPr>
          <w:rFonts w:ascii="Arial" w:hAnsi="Arial" w:cs="Arial"/>
        </w:rPr>
        <w:t xml:space="preserve">By the end of June, </w:t>
      </w:r>
      <w:r w:rsidRPr="00FE7A78">
        <w:rPr>
          <w:rFonts w:ascii="Arial" w:hAnsi="Arial" w:cs="Arial"/>
        </w:rPr>
        <w:t xml:space="preserve">we </w:t>
      </w:r>
      <w:r>
        <w:rPr>
          <w:rFonts w:ascii="Arial" w:hAnsi="Arial" w:cs="Arial"/>
        </w:rPr>
        <w:t>had successfully completed a trial in 100 Food stores, which supported over 50 community groups, in preparation for sharing Caboodle with all Co-op Food stores,</w:t>
      </w:r>
      <w:r w:rsidRPr="000D3ADE">
        <w:rPr>
          <w:rFonts w:ascii="Arial" w:hAnsi="Arial" w:cs="Arial"/>
          <w:color w:val="00B050"/>
        </w:rPr>
        <w:t xml:space="preserve"> </w:t>
      </w:r>
      <w:r w:rsidRPr="000D3ADE">
        <w:rPr>
          <w:rFonts w:ascii="Arial" w:hAnsi="Arial" w:cs="Arial"/>
        </w:rPr>
        <w:t xml:space="preserve">allowing us to schedule thousands of </w:t>
      </w:r>
      <w:r>
        <w:rPr>
          <w:rFonts w:ascii="Arial" w:hAnsi="Arial" w:cs="Arial"/>
        </w:rPr>
        <w:t xml:space="preserve">surplus food </w:t>
      </w:r>
      <w:r w:rsidRPr="000D3ADE">
        <w:rPr>
          <w:rFonts w:ascii="Arial" w:hAnsi="Arial" w:cs="Arial"/>
        </w:rPr>
        <w:t>collections each month into early H2.</w:t>
      </w:r>
    </w:p>
    <w:p w14:paraId="13B4AA59" w14:textId="77777777" w:rsidR="00514B73" w:rsidRPr="006C5221" w:rsidRDefault="00514B73" w:rsidP="00514B73">
      <w:pPr>
        <w:pStyle w:val="ListParagraph"/>
        <w:numPr>
          <w:ilvl w:val="0"/>
          <w:numId w:val="16"/>
        </w:numPr>
        <w:spacing w:after="160" w:line="240" w:lineRule="auto"/>
        <w:rPr>
          <w:rFonts w:ascii="Arial" w:hAnsi="Arial" w:cs="Arial"/>
        </w:rPr>
      </w:pPr>
      <w:r w:rsidRPr="001E4351">
        <w:rPr>
          <w:rFonts w:ascii="Arial" w:hAnsi="Arial" w:cs="Arial"/>
        </w:rPr>
        <w:t xml:space="preserve">Our Legal Services business introduced new apprenticeships, saving our first intake of </w:t>
      </w:r>
      <w:r>
        <w:rPr>
          <w:rFonts w:ascii="Arial" w:hAnsi="Arial" w:cs="Arial"/>
        </w:rPr>
        <w:t xml:space="preserve">candidates </w:t>
      </w:r>
      <w:r w:rsidRPr="001E4351">
        <w:rPr>
          <w:rFonts w:ascii="Arial" w:hAnsi="Arial" w:cs="Arial"/>
        </w:rPr>
        <w:t xml:space="preserve">thousands in university tuition fees, as part of their journey to becoming a solicitor. </w:t>
      </w:r>
    </w:p>
    <w:p w14:paraId="14F7E416" w14:textId="77777777" w:rsidR="00514B73" w:rsidRPr="006C5221" w:rsidRDefault="00514B73" w:rsidP="00514B73">
      <w:pPr>
        <w:pStyle w:val="ListParagraph"/>
        <w:numPr>
          <w:ilvl w:val="0"/>
          <w:numId w:val="16"/>
        </w:numPr>
        <w:spacing w:after="160" w:line="240" w:lineRule="auto"/>
        <w:rPr>
          <w:rFonts w:ascii="Arial" w:hAnsi="Arial" w:cs="Arial"/>
        </w:rPr>
      </w:pPr>
      <w:r w:rsidRPr="001E4351">
        <w:rPr>
          <w:rFonts w:ascii="Arial" w:hAnsi="Arial" w:cs="Arial"/>
        </w:rPr>
        <w:t>Our Funeralcare business has trialled a series of new, sustainable initiatives, which includes planting a tree for certain funerals arranged.</w:t>
      </w:r>
    </w:p>
    <w:p w14:paraId="04F5EBF9" w14:textId="77777777" w:rsidR="00514B73" w:rsidRPr="00CB61E9" w:rsidRDefault="00514B73" w:rsidP="00514B73">
      <w:pPr>
        <w:pStyle w:val="ListParagraph"/>
        <w:numPr>
          <w:ilvl w:val="0"/>
          <w:numId w:val="16"/>
        </w:numPr>
        <w:spacing w:after="160" w:line="240" w:lineRule="auto"/>
        <w:rPr>
          <w:rFonts w:ascii="Arial" w:hAnsi="Arial" w:cs="Arial"/>
        </w:rPr>
      </w:pPr>
      <w:r>
        <w:rPr>
          <w:rFonts w:ascii="Arial" w:hAnsi="Arial" w:cs="Arial"/>
        </w:rPr>
        <w:t>T</w:t>
      </w:r>
      <w:r w:rsidRPr="00CB61E9">
        <w:rPr>
          <w:rFonts w:ascii="Arial" w:hAnsi="Arial" w:cs="Arial"/>
        </w:rPr>
        <w:t>ogether, we were honoured to receive the Queen’s Award for Enterprise for Sustainable Development in April, in acknowledgement of everything our Co-op does to be fairer for our planet.</w:t>
      </w:r>
    </w:p>
    <w:p w14:paraId="696A69F9" w14:textId="77777777" w:rsidR="00514B73" w:rsidRPr="00F079B2" w:rsidRDefault="00514B73" w:rsidP="00514B73">
      <w:pPr>
        <w:pStyle w:val="ListParagraph"/>
        <w:numPr>
          <w:ilvl w:val="0"/>
          <w:numId w:val="16"/>
        </w:numPr>
        <w:spacing w:after="160" w:line="240" w:lineRule="auto"/>
        <w:rPr>
          <w:rFonts w:ascii="Arial" w:hAnsi="Arial" w:cs="Arial"/>
        </w:rPr>
      </w:pPr>
      <w:r>
        <w:rPr>
          <w:rFonts w:ascii="Arial" w:hAnsi="Arial" w:cs="Arial"/>
        </w:rPr>
        <w:t>We’re also</w:t>
      </w:r>
      <w:r w:rsidRPr="00CB61E9">
        <w:rPr>
          <w:rFonts w:ascii="Arial" w:hAnsi="Arial" w:cs="Arial"/>
        </w:rPr>
        <w:t xml:space="preserve"> delighted that through the power of our colleagues, members, </w:t>
      </w:r>
      <w:proofErr w:type="gramStart"/>
      <w:r w:rsidRPr="00CB61E9">
        <w:rPr>
          <w:rFonts w:ascii="Arial" w:hAnsi="Arial" w:cs="Arial"/>
        </w:rPr>
        <w:t>customers</w:t>
      </w:r>
      <w:proofErr w:type="gramEnd"/>
      <w:r w:rsidRPr="00CB61E9">
        <w:rPr>
          <w:rFonts w:ascii="Arial" w:hAnsi="Arial" w:cs="Arial"/>
        </w:rPr>
        <w:t xml:space="preserve"> and communities working together, our fundraising efforts for our charity partners Mind, Inspire and S</w:t>
      </w:r>
      <w:r>
        <w:rPr>
          <w:rFonts w:ascii="Arial" w:hAnsi="Arial" w:cs="Arial"/>
        </w:rPr>
        <w:t>AM</w:t>
      </w:r>
      <w:r w:rsidRPr="00CB61E9">
        <w:rPr>
          <w:rFonts w:ascii="Arial" w:hAnsi="Arial" w:cs="Arial"/>
        </w:rPr>
        <w:t xml:space="preserve">H made incredible progress towards achieving our £8m target in H2.  </w:t>
      </w:r>
    </w:p>
    <w:p w14:paraId="32707057" w14:textId="77777777" w:rsidR="00514B73" w:rsidRPr="00F079B2" w:rsidRDefault="00514B73" w:rsidP="00514B73">
      <w:pPr>
        <w:pStyle w:val="ListParagraph"/>
        <w:numPr>
          <w:ilvl w:val="0"/>
          <w:numId w:val="16"/>
        </w:numPr>
        <w:spacing w:after="160" w:line="240" w:lineRule="auto"/>
        <w:rPr>
          <w:rFonts w:ascii="Arial" w:hAnsi="Arial" w:cs="Arial"/>
        </w:rPr>
      </w:pPr>
      <w:r w:rsidRPr="00CB61E9">
        <w:rPr>
          <w:rFonts w:ascii="Arial" w:eastAsia="Times New Roman" w:hAnsi="Arial" w:cs="Arial"/>
          <w:color w:val="242424"/>
          <w:lang w:eastAsia="en-GB"/>
        </w:rPr>
        <w:t>Our apprentices</w:t>
      </w:r>
      <w:r>
        <w:rPr>
          <w:rFonts w:ascii="Arial" w:eastAsia="Times New Roman" w:hAnsi="Arial" w:cs="Arial"/>
          <w:color w:val="242424"/>
          <w:lang w:eastAsia="en-GB"/>
        </w:rPr>
        <w:t xml:space="preserve">, of all ages, </w:t>
      </w:r>
      <w:r w:rsidRPr="00CB61E9">
        <w:rPr>
          <w:rFonts w:ascii="Arial" w:eastAsia="Times New Roman" w:hAnsi="Arial" w:cs="Arial"/>
          <w:color w:val="242424"/>
          <w:lang w:eastAsia="en-GB"/>
        </w:rPr>
        <w:t>go from strength</w:t>
      </w:r>
      <w:r>
        <w:rPr>
          <w:rFonts w:ascii="Arial" w:eastAsia="Times New Roman" w:hAnsi="Arial" w:cs="Arial"/>
          <w:color w:val="242424"/>
          <w:lang w:eastAsia="en-GB"/>
        </w:rPr>
        <w:t>-</w:t>
      </w:r>
      <w:r w:rsidRPr="00CB61E9">
        <w:rPr>
          <w:rFonts w:ascii="Arial" w:eastAsia="Times New Roman" w:hAnsi="Arial" w:cs="Arial"/>
          <w:color w:val="242424"/>
          <w:lang w:eastAsia="en-GB"/>
        </w:rPr>
        <w:t>to</w:t>
      </w:r>
      <w:r>
        <w:rPr>
          <w:rFonts w:ascii="Arial" w:eastAsia="Times New Roman" w:hAnsi="Arial" w:cs="Arial"/>
          <w:color w:val="242424"/>
          <w:lang w:eastAsia="en-GB"/>
        </w:rPr>
        <w:t>-</w:t>
      </w:r>
      <w:r w:rsidRPr="00CB61E9">
        <w:rPr>
          <w:rFonts w:ascii="Arial" w:eastAsia="Times New Roman" w:hAnsi="Arial" w:cs="Arial"/>
          <w:color w:val="242424"/>
          <w:lang w:eastAsia="en-GB"/>
        </w:rPr>
        <w:t>strength and it’s fantastic to see them rating their experiences with our Co-op during H1. </w:t>
      </w:r>
      <w:r>
        <w:rPr>
          <w:rFonts w:ascii="Arial" w:eastAsia="Times New Roman" w:hAnsi="Arial" w:cs="Arial"/>
          <w:color w:val="242424"/>
          <w:lang w:eastAsia="en-GB"/>
        </w:rPr>
        <w:t xml:space="preserve">We had more than 560 in situ within our Co-op by the end of H2 2022. </w:t>
      </w:r>
      <w:r w:rsidRPr="00CB61E9">
        <w:rPr>
          <w:rFonts w:ascii="Arial" w:eastAsia="Times New Roman" w:hAnsi="Arial" w:cs="Arial"/>
          <w:color w:val="242424"/>
          <w:lang w:eastAsia="en-GB"/>
        </w:rPr>
        <w:t>Their words and our efforts combined s</w:t>
      </w:r>
      <w:r>
        <w:rPr>
          <w:rFonts w:ascii="Arial" w:eastAsia="Times New Roman" w:hAnsi="Arial" w:cs="Arial"/>
          <w:color w:val="242424"/>
          <w:lang w:eastAsia="en-GB"/>
        </w:rPr>
        <w:t xml:space="preserve">aw us </w:t>
      </w:r>
      <w:r w:rsidRPr="00CB61E9">
        <w:rPr>
          <w:rFonts w:ascii="Arial" w:eastAsia="Times New Roman" w:hAnsi="Arial" w:cs="Arial"/>
          <w:color w:val="242424"/>
          <w:lang w:eastAsia="en-GB"/>
        </w:rPr>
        <w:t>acknowledged within the National Apprentice Service Top 100 Employers in June</w:t>
      </w:r>
      <w:r>
        <w:rPr>
          <w:rFonts w:ascii="Arial" w:eastAsia="Times New Roman" w:hAnsi="Arial" w:cs="Arial"/>
          <w:color w:val="242424"/>
          <w:lang w:eastAsia="en-GB"/>
        </w:rPr>
        <w:t>.</w:t>
      </w:r>
    </w:p>
    <w:p w14:paraId="1E928F40" w14:textId="77777777" w:rsidR="00514B73" w:rsidRPr="00F079B2" w:rsidRDefault="00514B73" w:rsidP="00514B73">
      <w:pPr>
        <w:pStyle w:val="ListParagraph"/>
        <w:numPr>
          <w:ilvl w:val="0"/>
          <w:numId w:val="16"/>
        </w:numPr>
        <w:spacing w:after="160" w:line="240" w:lineRule="auto"/>
        <w:rPr>
          <w:rFonts w:ascii="Arial" w:hAnsi="Arial" w:cs="Arial"/>
        </w:rPr>
      </w:pPr>
      <w:r w:rsidRPr="00F079B2">
        <w:rPr>
          <w:rFonts w:ascii="Arial" w:hAnsi="Arial" w:cs="Arial"/>
        </w:rPr>
        <w:t>We continue to make our Co-op a more diverse and inclusive place to work. Using colleague data</w:t>
      </w:r>
      <w:r>
        <w:rPr>
          <w:rFonts w:ascii="Arial" w:hAnsi="Arial" w:cs="Arial"/>
        </w:rPr>
        <w:t>,</w:t>
      </w:r>
      <w:r w:rsidRPr="00F079B2">
        <w:rPr>
          <w:rFonts w:ascii="Arial" w:hAnsi="Arial" w:cs="Arial"/>
        </w:rPr>
        <w:t xml:space="preserve"> we’ve been able to produce our first ethnicity pay gap report, highlighting </w:t>
      </w:r>
      <w:r>
        <w:rPr>
          <w:rFonts w:ascii="Arial" w:hAnsi="Arial" w:cs="Arial"/>
        </w:rPr>
        <w:t xml:space="preserve">not only the </w:t>
      </w:r>
      <w:r w:rsidRPr="00F079B2">
        <w:rPr>
          <w:rFonts w:ascii="Arial" w:hAnsi="Arial" w:cs="Arial"/>
        </w:rPr>
        <w:t>differences in average pay</w:t>
      </w:r>
      <w:r>
        <w:rPr>
          <w:rFonts w:ascii="Arial" w:hAnsi="Arial" w:cs="Arial"/>
        </w:rPr>
        <w:t xml:space="preserve">, but what we need to do </w:t>
      </w:r>
      <w:proofErr w:type="gramStart"/>
      <w:r>
        <w:rPr>
          <w:rFonts w:ascii="Arial" w:hAnsi="Arial" w:cs="Arial"/>
        </w:rPr>
        <w:t>in order to</w:t>
      </w:r>
      <w:proofErr w:type="gramEnd"/>
      <w:r>
        <w:rPr>
          <w:rFonts w:ascii="Arial" w:hAnsi="Arial" w:cs="Arial"/>
        </w:rPr>
        <w:t xml:space="preserve"> address disparity</w:t>
      </w:r>
      <w:r w:rsidRPr="00F079B2">
        <w:rPr>
          <w:rFonts w:ascii="Arial" w:hAnsi="Arial" w:cs="Arial"/>
        </w:rPr>
        <w:t xml:space="preserve">. We’ve also updated how we collect diversity data using colleague feedback and best practice. </w:t>
      </w:r>
    </w:p>
    <w:p w14:paraId="778E5553" w14:textId="77777777" w:rsidR="00514B73" w:rsidRPr="0035783B" w:rsidRDefault="00514B73" w:rsidP="00514B73">
      <w:pPr>
        <w:spacing w:line="240" w:lineRule="auto"/>
        <w:rPr>
          <w:rFonts w:ascii="Arial" w:hAnsi="Arial" w:cs="Arial"/>
        </w:rPr>
      </w:pPr>
      <w:r w:rsidRPr="0035783B">
        <w:rPr>
          <w:rFonts w:ascii="Arial" w:hAnsi="Arial" w:cs="Arial"/>
        </w:rPr>
        <w:t xml:space="preserve">More detail on all our businesses </w:t>
      </w:r>
      <w:r>
        <w:rPr>
          <w:rFonts w:ascii="Arial" w:hAnsi="Arial" w:cs="Arial"/>
        </w:rPr>
        <w:t>is</w:t>
      </w:r>
      <w:r w:rsidRPr="0035783B">
        <w:rPr>
          <w:rFonts w:ascii="Arial" w:hAnsi="Arial" w:cs="Arial"/>
        </w:rPr>
        <w:t xml:space="preserve"> available further on in this report</w:t>
      </w:r>
      <w:r>
        <w:rPr>
          <w:rFonts w:ascii="Arial" w:hAnsi="Arial" w:cs="Arial"/>
        </w:rPr>
        <w:t>. W</w:t>
      </w:r>
      <w:r w:rsidRPr="0035783B">
        <w:rPr>
          <w:rFonts w:ascii="Arial" w:hAnsi="Arial" w:cs="Arial"/>
        </w:rPr>
        <w:t>e’ll</w:t>
      </w:r>
      <w:r>
        <w:rPr>
          <w:rFonts w:ascii="Arial" w:hAnsi="Arial" w:cs="Arial"/>
        </w:rPr>
        <w:t xml:space="preserve"> outline our</w:t>
      </w:r>
      <w:r w:rsidRPr="0035783B">
        <w:rPr>
          <w:rFonts w:ascii="Arial" w:hAnsi="Arial" w:cs="Arial"/>
        </w:rPr>
        <w:t xml:space="preserve"> progress against all strategic and commercial </w:t>
      </w:r>
      <w:r>
        <w:rPr>
          <w:rFonts w:ascii="Arial" w:hAnsi="Arial" w:cs="Arial"/>
        </w:rPr>
        <w:t>priorities</w:t>
      </w:r>
      <w:r w:rsidRPr="0035783B">
        <w:rPr>
          <w:rFonts w:ascii="Arial" w:hAnsi="Arial" w:cs="Arial"/>
        </w:rPr>
        <w:t xml:space="preserve"> and, of course, delivery of our Vision more completely in our </w:t>
      </w:r>
      <w:r>
        <w:rPr>
          <w:rFonts w:ascii="Arial" w:hAnsi="Arial" w:cs="Arial"/>
        </w:rPr>
        <w:t xml:space="preserve">full </w:t>
      </w:r>
      <w:r w:rsidRPr="0035783B">
        <w:rPr>
          <w:rFonts w:ascii="Arial" w:hAnsi="Arial" w:cs="Arial"/>
        </w:rPr>
        <w:t xml:space="preserve">2022 Annual Report and Accounts. </w:t>
      </w:r>
    </w:p>
    <w:p w14:paraId="2A6C5182" w14:textId="77777777" w:rsidR="00514B73" w:rsidRPr="000D3ADE" w:rsidRDefault="00514B73" w:rsidP="00514B73">
      <w:pPr>
        <w:spacing w:line="240" w:lineRule="auto"/>
        <w:rPr>
          <w:rFonts w:ascii="Arial" w:hAnsi="Arial" w:cs="Arial"/>
          <w:b/>
          <w:bCs/>
        </w:rPr>
      </w:pPr>
      <w:r w:rsidRPr="000D3ADE">
        <w:rPr>
          <w:rFonts w:ascii="Arial" w:hAnsi="Arial" w:cs="Arial"/>
          <w:b/>
          <w:bCs/>
        </w:rPr>
        <w:t xml:space="preserve">Looking </w:t>
      </w:r>
      <w:r>
        <w:rPr>
          <w:rFonts w:ascii="Arial" w:hAnsi="Arial" w:cs="Arial"/>
          <w:b/>
          <w:bCs/>
        </w:rPr>
        <w:t>a</w:t>
      </w:r>
      <w:r w:rsidRPr="000D3ADE">
        <w:rPr>
          <w:rFonts w:ascii="Arial" w:hAnsi="Arial" w:cs="Arial"/>
          <w:b/>
          <w:bCs/>
        </w:rPr>
        <w:t>head</w:t>
      </w:r>
    </w:p>
    <w:p w14:paraId="187FA18D" w14:textId="77777777" w:rsidR="00514B73" w:rsidRDefault="00514B73" w:rsidP="00514B73">
      <w:pPr>
        <w:spacing w:line="240" w:lineRule="auto"/>
        <w:rPr>
          <w:rFonts w:ascii="Arial" w:hAnsi="Arial" w:cs="Arial"/>
        </w:rPr>
      </w:pPr>
      <w:r w:rsidRPr="0035783B">
        <w:rPr>
          <w:rFonts w:ascii="Arial" w:hAnsi="Arial" w:cs="Arial"/>
        </w:rPr>
        <w:t xml:space="preserve">As we look ahead to the rest of the year, we will </w:t>
      </w:r>
      <w:r>
        <w:rPr>
          <w:rFonts w:ascii="Arial" w:hAnsi="Arial" w:cs="Arial"/>
        </w:rPr>
        <w:t xml:space="preserve">continue to apply the same discipline which has seen us respond positively to the key priorities I set out on becoming the Interim CEO, while reviewing our strategic response to the changing trading and broader economic environment and creating more agility in our central and frontline </w:t>
      </w:r>
      <w:r w:rsidRPr="00BF6335">
        <w:rPr>
          <w:rFonts w:ascii="Arial" w:hAnsi="Arial" w:cs="Arial"/>
        </w:rPr>
        <w:t xml:space="preserve">operations. </w:t>
      </w:r>
      <w:r>
        <w:rPr>
          <w:rFonts w:ascii="Arial" w:hAnsi="Arial" w:cs="Arial"/>
        </w:rPr>
        <w:t xml:space="preserve">We will continue to maintain this momentum while, as a true purpose-led organisation and a proud co-operative, we remain true to our Co-op Purpose, despite the external challenges we are navigating. </w:t>
      </w:r>
    </w:p>
    <w:p w14:paraId="73654FF9" w14:textId="77777777" w:rsidR="00514B73" w:rsidRDefault="00514B73" w:rsidP="00514B73">
      <w:pPr>
        <w:rPr>
          <w:rFonts w:ascii="Arial" w:hAnsi="Arial" w:cs="Arial"/>
        </w:rPr>
      </w:pPr>
      <w:r>
        <w:rPr>
          <w:rFonts w:ascii="Arial" w:hAnsi="Arial" w:cs="Arial"/>
        </w:rPr>
        <w:lastRenderedPageBreak/>
        <w:t xml:space="preserve">The sale of our petrol forecourts, which was announced in August, is part of our strategy to </w:t>
      </w:r>
      <w:r w:rsidRPr="001B2B78">
        <w:rPr>
          <w:rFonts w:ascii="Arial" w:hAnsi="Arial" w:cs="Arial"/>
        </w:rPr>
        <w:t xml:space="preserve">focus on our core convenience offer and our four routes to market, </w:t>
      </w:r>
      <w:proofErr w:type="gramStart"/>
      <w:r w:rsidRPr="001B2B78">
        <w:rPr>
          <w:rFonts w:ascii="Arial" w:hAnsi="Arial" w:cs="Arial"/>
        </w:rPr>
        <w:t>in order to</w:t>
      </w:r>
      <w:proofErr w:type="gramEnd"/>
      <w:r w:rsidRPr="001B2B78">
        <w:rPr>
          <w:rFonts w:ascii="Arial" w:hAnsi="Arial" w:cs="Arial"/>
        </w:rPr>
        <w:t xml:space="preserve"> best meet the needs of our customers and members</w:t>
      </w:r>
      <w:r>
        <w:rPr>
          <w:rFonts w:ascii="Arial" w:hAnsi="Arial" w:cs="Arial"/>
        </w:rPr>
        <w:t>.</w:t>
      </w:r>
    </w:p>
    <w:p w14:paraId="10B9F4AD" w14:textId="77777777" w:rsidR="00514B73" w:rsidRDefault="00514B73" w:rsidP="00514B73">
      <w:pPr>
        <w:spacing w:line="240" w:lineRule="auto"/>
        <w:rPr>
          <w:rFonts w:ascii="Arial" w:hAnsi="Arial" w:cs="Arial"/>
        </w:rPr>
      </w:pPr>
      <w:r>
        <w:rPr>
          <w:rFonts w:ascii="Arial" w:hAnsi="Arial" w:cs="Arial"/>
        </w:rPr>
        <w:t xml:space="preserve">We will also continue to be there for our colleagues, </w:t>
      </w:r>
      <w:proofErr w:type="gramStart"/>
      <w:r>
        <w:rPr>
          <w:rFonts w:ascii="Arial" w:hAnsi="Arial" w:cs="Arial"/>
        </w:rPr>
        <w:t>members</w:t>
      </w:r>
      <w:proofErr w:type="gramEnd"/>
      <w:r>
        <w:rPr>
          <w:rFonts w:ascii="Arial" w:hAnsi="Arial" w:cs="Arial"/>
        </w:rPr>
        <w:t xml:space="preserve"> and customers through what will remain a highly challenging period. Our Co-op will support their financial and mental wellbeing through the </w:t>
      </w:r>
      <w:proofErr w:type="gramStart"/>
      <w:r>
        <w:rPr>
          <w:rFonts w:ascii="Arial" w:hAnsi="Arial" w:cs="Arial"/>
        </w:rPr>
        <w:t>high quality</w:t>
      </w:r>
      <w:proofErr w:type="gramEnd"/>
      <w:r>
        <w:rPr>
          <w:rFonts w:ascii="Arial" w:hAnsi="Arial" w:cs="Arial"/>
        </w:rPr>
        <w:t xml:space="preserve"> products and services we offer and also through the extended community programmes we directly support.  </w:t>
      </w:r>
    </w:p>
    <w:p w14:paraId="48EC5602" w14:textId="77777777" w:rsidR="00514B73" w:rsidRDefault="00514B73" w:rsidP="00514B73">
      <w:pPr>
        <w:spacing w:line="240" w:lineRule="auto"/>
        <w:rPr>
          <w:rFonts w:ascii="Arial" w:hAnsi="Arial" w:cs="Arial"/>
        </w:rPr>
      </w:pPr>
      <w:r>
        <w:rPr>
          <w:rFonts w:ascii="Arial" w:hAnsi="Arial" w:cs="Arial"/>
        </w:rPr>
        <w:t xml:space="preserve">I want to extend my heartfelt thanks to our members, customers, our Members’ Council, our Board, our Member </w:t>
      </w:r>
      <w:proofErr w:type="gramStart"/>
      <w:r>
        <w:rPr>
          <w:rFonts w:ascii="Arial" w:hAnsi="Arial" w:cs="Arial"/>
        </w:rPr>
        <w:t>Pioneers</w:t>
      </w:r>
      <w:proofErr w:type="gramEnd"/>
      <w:r>
        <w:rPr>
          <w:rFonts w:ascii="Arial" w:hAnsi="Arial" w:cs="Arial"/>
        </w:rPr>
        <w:t xml:space="preserve"> and our partners for their continued support as we deliver this year. </w:t>
      </w:r>
    </w:p>
    <w:p w14:paraId="2DAC574E" w14:textId="77777777" w:rsidR="00514B73" w:rsidRDefault="00514B73" w:rsidP="00514B73">
      <w:pPr>
        <w:spacing w:line="240" w:lineRule="auto"/>
        <w:rPr>
          <w:rFonts w:ascii="Arial" w:hAnsi="Arial" w:cs="Arial"/>
        </w:rPr>
      </w:pPr>
      <w:r>
        <w:rPr>
          <w:rFonts w:ascii="Arial" w:hAnsi="Arial" w:cs="Arial"/>
        </w:rPr>
        <w:t>I want to thank my amazing colleagues, whose dedication to our Co-op is exemplary. I am so grateful for their unwavering focus on delivering to our members’ and customers’ needs and for going beyond the day job every day to also deliver to our communities while caring for each other. I have loved getting to know so many of them as I’ve taken on my new role and am in awe daily of what they do and how they do it.</w:t>
      </w:r>
    </w:p>
    <w:p w14:paraId="479E173D" w14:textId="77777777" w:rsidR="00514B73" w:rsidRDefault="00514B73" w:rsidP="00514B73">
      <w:pPr>
        <w:spacing w:line="240" w:lineRule="auto"/>
        <w:rPr>
          <w:rFonts w:ascii="Arial" w:hAnsi="Arial" w:cs="Arial"/>
        </w:rPr>
      </w:pPr>
      <w:r>
        <w:rPr>
          <w:rFonts w:ascii="Arial" w:hAnsi="Arial" w:cs="Arial"/>
        </w:rPr>
        <w:t xml:space="preserve">Finally, I want to thank my incredible leadership team who have dealt with a great deal of change over the last couple of years, and in the last few months. They have absolutely grabbed the challenge and led it together in a way that leaves me very honoured to be working with them. </w:t>
      </w:r>
    </w:p>
    <w:p w14:paraId="16EE5914" w14:textId="77777777" w:rsidR="00514B73" w:rsidRDefault="00514B73" w:rsidP="00514B73">
      <w:pPr>
        <w:spacing w:after="0" w:line="240" w:lineRule="auto"/>
        <w:rPr>
          <w:rFonts w:ascii="Arial" w:hAnsi="Arial" w:cs="Arial"/>
          <w:b/>
          <w:bCs/>
        </w:rPr>
      </w:pPr>
    </w:p>
    <w:p w14:paraId="50DC068B" w14:textId="77777777" w:rsidR="00514B73" w:rsidRDefault="00514B73" w:rsidP="00514B73">
      <w:pPr>
        <w:spacing w:after="0" w:line="240" w:lineRule="auto"/>
        <w:rPr>
          <w:rFonts w:ascii="Arial" w:hAnsi="Arial" w:cs="Arial"/>
          <w:b/>
          <w:bCs/>
        </w:rPr>
      </w:pPr>
    </w:p>
    <w:p w14:paraId="23F3D7C4" w14:textId="77777777" w:rsidR="00514B73" w:rsidRPr="0035783B" w:rsidRDefault="00514B73" w:rsidP="00514B73">
      <w:pPr>
        <w:spacing w:after="0" w:line="240" w:lineRule="auto"/>
        <w:rPr>
          <w:rFonts w:ascii="Arial" w:hAnsi="Arial" w:cs="Arial"/>
          <w:b/>
          <w:bCs/>
        </w:rPr>
      </w:pPr>
    </w:p>
    <w:p w14:paraId="5CA948CD" w14:textId="77777777" w:rsidR="00514B73" w:rsidRPr="0035783B" w:rsidRDefault="00514B73" w:rsidP="00514B73">
      <w:pPr>
        <w:spacing w:line="240" w:lineRule="auto"/>
        <w:rPr>
          <w:rFonts w:ascii="Arial" w:hAnsi="Arial" w:cs="Arial"/>
          <w:b/>
          <w:bCs/>
        </w:rPr>
      </w:pPr>
      <w:r w:rsidRPr="0035783B">
        <w:rPr>
          <w:rFonts w:ascii="Arial" w:hAnsi="Arial" w:cs="Arial"/>
          <w:b/>
          <w:bCs/>
        </w:rPr>
        <w:t>Shirine Khoury-Haq</w:t>
      </w:r>
    </w:p>
    <w:p w14:paraId="33F608C5" w14:textId="77777777" w:rsidR="00CC1F05" w:rsidRDefault="00514B73" w:rsidP="00514B73">
      <w:pPr>
        <w:spacing w:line="240" w:lineRule="auto"/>
        <w:rPr>
          <w:rFonts w:ascii="Arial" w:hAnsi="Arial" w:cs="Arial"/>
        </w:rPr>
      </w:pPr>
      <w:r w:rsidRPr="0035783B">
        <w:rPr>
          <w:rFonts w:ascii="Arial" w:hAnsi="Arial" w:cs="Arial"/>
          <w:b/>
          <w:bCs/>
        </w:rPr>
        <w:t>CEO, Co-op Group</w:t>
      </w:r>
    </w:p>
    <w:p w14:paraId="2A75E08D" w14:textId="77777777" w:rsidR="00CC1F05" w:rsidRDefault="00CC1F05" w:rsidP="00514B73">
      <w:pPr>
        <w:spacing w:line="240" w:lineRule="auto"/>
        <w:rPr>
          <w:rFonts w:ascii="Arial" w:hAnsi="Arial" w:cs="Arial"/>
        </w:rPr>
      </w:pPr>
    </w:p>
    <w:p w14:paraId="67C69CE9" w14:textId="00BB3F3E" w:rsidR="00514B73" w:rsidRPr="00CC1F05" w:rsidRDefault="00514B73" w:rsidP="00514B73">
      <w:pPr>
        <w:spacing w:line="240" w:lineRule="auto"/>
        <w:rPr>
          <w:rFonts w:ascii="Arial" w:hAnsi="Arial" w:cs="Arial"/>
        </w:rPr>
      </w:pPr>
      <w:r w:rsidRPr="00816E85">
        <w:rPr>
          <w:rFonts w:ascii="Arial" w:hAnsi="Arial" w:cs="Arial"/>
          <w:b/>
          <w:sz w:val="24"/>
          <w:szCs w:val="24"/>
        </w:rPr>
        <w:t>FINANCIAL OVERVIEW – FROM MIKE HAZELL, INTERIM CHIEF FINANCIAL OFFICER</w:t>
      </w:r>
    </w:p>
    <w:p w14:paraId="497E7966" w14:textId="77777777" w:rsidR="00514B73" w:rsidRDefault="00514B73" w:rsidP="00514B73">
      <w:pPr>
        <w:spacing w:line="240" w:lineRule="auto"/>
        <w:rPr>
          <w:rFonts w:ascii="Arial" w:hAnsi="Arial" w:cs="Arial"/>
        </w:rPr>
      </w:pPr>
      <w:r w:rsidRPr="000D3ADE">
        <w:rPr>
          <w:rFonts w:ascii="Arial" w:hAnsi="Arial" w:cs="Arial"/>
        </w:rPr>
        <w:t>Following a difficult year in 2021, the lasting effects of the pandemic and its economic consequences continue to be felt in 2022. This combined with the wide-ranging effects of the war in Ukraine has led to an inflationary crisis driving up costs for consumers and businesses alike. </w:t>
      </w:r>
    </w:p>
    <w:p w14:paraId="14042755" w14:textId="77777777" w:rsidR="00514B73" w:rsidRDefault="00514B73" w:rsidP="00514B73">
      <w:pPr>
        <w:spacing w:line="240" w:lineRule="auto"/>
        <w:rPr>
          <w:rFonts w:ascii="Arial" w:hAnsi="Arial" w:cs="Arial"/>
        </w:rPr>
      </w:pPr>
      <w:r w:rsidRPr="000D3ADE">
        <w:rPr>
          <w:rFonts w:ascii="Arial" w:hAnsi="Arial" w:cs="Arial"/>
        </w:rPr>
        <w:t>Despite this challenging backdrop</w:t>
      </w:r>
      <w:r>
        <w:rPr>
          <w:rFonts w:ascii="Arial" w:hAnsi="Arial" w:cs="Arial"/>
        </w:rPr>
        <w:t>,</w:t>
      </w:r>
      <w:r w:rsidRPr="000D3ADE">
        <w:rPr>
          <w:rFonts w:ascii="Arial" w:hAnsi="Arial" w:cs="Arial"/>
        </w:rPr>
        <w:t xml:space="preserve"> we worked hard to maintain our sales performance, and year</w:t>
      </w:r>
      <w:r>
        <w:rPr>
          <w:rFonts w:ascii="Arial" w:hAnsi="Arial" w:cs="Arial"/>
        </w:rPr>
        <w:t>-</w:t>
      </w:r>
      <w:r w:rsidRPr="000D3ADE">
        <w:rPr>
          <w:rFonts w:ascii="Arial" w:hAnsi="Arial" w:cs="Arial"/>
        </w:rPr>
        <w:t>on</w:t>
      </w:r>
      <w:r>
        <w:rPr>
          <w:rFonts w:ascii="Arial" w:hAnsi="Arial" w:cs="Arial"/>
        </w:rPr>
        <w:t>-</w:t>
      </w:r>
      <w:r w:rsidRPr="000D3ADE">
        <w:rPr>
          <w:rFonts w:ascii="Arial" w:hAnsi="Arial" w:cs="Arial"/>
        </w:rPr>
        <w:t xml:space="preserve">year total revenue across the group was £5.6bn; consistent with our first half performance last year. </w:t>
      </w:r>
    </w:p>
    <w:p w14:paraId="7E65A338" w14:textId="77777777" w:rsidR="00514B73" w:rsidRDefault="00514B73" w:rsidP="00514B73">
      <w:pPr>
        <w:spacing w:line="240" w:lineRule="auto"/>
        <w:rPr>
          <w:rFonts w:ascii="Arial" w:hAnsi="Arial" w:cs="Arial"/>
        </w:rPr>
      </w:pPr>
      <w:r w:rsidRPr="000D3ADE">
        <w:rPr>
          <w:rFonts w:ascii="Arial" w:hAnsi="Arial" w:cs="Arial"/>
        </w:rPr>
        <w:t xml:space="preserve">These revenues translated to underlying </w:t>
      </w:r>
      <w:r>
        <w:rPr>
          <w:rFonts w:ascii="Arial" w:hAnsi="Arial" w:cs="Arial"/>
        </w:rPr>
        <w:t xml:space="preserve">earnings before interest, taxes, </w:t>
      </w:r>
      <w:proofErr w:type="gramStart"/>
      <w:r>
        <w:rPr>
          <w:rFonts w:ascii="Arial" w:hAnsi="Arial" w:cs="Arial"/>
        </w:rPr>
        <w:t>depreciation</w:t>
      </w:r>
      <w:proofErr w:type="gramEnd"/>
      <w:r>
        <w:rPr>
          <w:rFonts w:ascii="Arial" w:hAnsi="Arial" w:cs="Arial"/>
        </w:rPr>
        <w:t xml:space="preserve"> and amortization (</w:t>
      </w:r>
      <w:r w:rsidRPr="000D3ADE">
        <w:rPr>
          <w:rFonts w:ascii="Arial" w:hAnsi="Arial" w:cs="Arial"/>
        </w:rPr>
        <w:t>EBITDA</w:t>
      </w:r>
      <w:r>
        <w:rPr>
          <w:rFonts w:ascii="Arial" w:hAnsi="Arial" w:cs="Arial"/>
        </w:rPr>
        <w:t>)</w:t>
      </w:r>
      <w:r w:rsidRPr="000D3ADE">
        <w:rPr>
          <w:rFonts w:ascii="Arial" w:hAnsi="Arial" w:cs="Arial"/>
        </w:rPr>
        <w:t xml:space="preserve"> of £218</w:t>
      </w:r>
      <w:r>
        <w:rPr>
          <w:rFonts w:ascii="Arial" w:hAnsi="Arial" w:cs="Arial"/>
        </w:rPr>
        <w:t xml:space="preserve"> </w:t>
      </w:r>
      <w:r w:rsidRPr="000D3ADE">
        <w:rPr>
          <w:rFonts w:ascii="Arial" w:hAnsi="Arial" w:cs="Arial"/>
        </w:rPr>
        <w:t>m</w:t>
      </w:r>
      <w:r>
        <w:rPr>
          <w:rFonts w:ascii="Arial" w:hAnsi="Arial" w:cs="Arial"/>
        </w:rPr>
        <w:t>illion</w:t>
      </w:r>
      <w:r w:rsidRPr="000D3ADE">
        <w:rPr>
          <w:rFonts w:ascii="Arial" w:hAnsi="Arial" w:cs="Arial"/>
        </w:rPr>
        <w:t xml:space="preserve"> for the half year</w:t>
      </w:r>
      <w:r>
        <w:rPr>
          <w:rFonts w:ascii="Arial" w:hAnsi="Arial" w:cs="Arial"/>
        </w:rPr>
        <w:t>,</w:t>
      </w:r>
      <w:r w:rsidRPr="000D3ADE">
        <w:rPr>
          <w:rFonts w:ascii="Arial" w:hAnsi="Arial" w:cs="Arial"/>
        </w:rPr>
        <w:t xml:space="preserve"> compared to £248</w:t>
      </w:r>
      <w:r>
        <w:rPr>
          <w:rFonts w:ascii="Arial" w:hAnsi="Arial" w:cs="Arial"/>
        </w:rPr>
        <w:t xml:space="preserve"> </w:t>
      </w:r>
      <w:r w:rsidRPr="000D3ADE">
        <w:rPr>
          <w:rFonts w:ascii="Arial" w:hAnsi="Arial" w:cs="Arial"/>
        </w:rPr>
        <w:t>m</w:t>
      </w:r>
      <w:r>
        <w:rPr>
          <w:rFonts w:ascii="Arial" w:hAnsi="Arial" w:cs="Arial"/>
        </w:rPr>
        <w:t>illion</w:t>
      </w:r>
      <w:r w:rsidRPr="000D3ADE">
        <w:rPr>
          <w:rFonts w:ascii="Arial" w:hAnsi="Arial" w:cs="Arial"/>
        </w:rPr>
        <w:t xml:space="preserve"> </w:t>
      </w:r>
      <w:r>
        <w:rPr>
          <w:rFonts w:ascii="Arial" w:hAnsi="Arial" w:cs="Arial"/>
        </w:rPr>
        <w:t xml:space="preserve">in H1 </w:t>
      </w:r>
      <w:r w:rsidRPr="000D3ADE">
        <w:rPr>
          <w:rFonts w:ascii="Arial" w:hAnsi="Arial" w:cs="Arial"/>
        </w:rPr>
        <w:t>last year</w:t>
      </w:r>
      <w:r>
        <w:rPr>
          <w:rFonts w:ascii="Arial" w:hAnsi="Arial" w:cs="Arial"/>
        </w:rPr>
        <w:t>.</w:t>
      </w:r>
      <w:r w:rsidRPr="000D3ADE">
        <w:rPr>
          <w:rFonts w:ascii="Arial" w:hAnsi="Arial" w:cs="Arial"/>
          <w:color w:val="00B050"/>
        </w:rPr>
        <w:t xml:space="preserve"> </w:t>
      </w:r>
      <w:r w:rsidRPr="000D3ADE">
        <w:rPr>
          <w:rFonts w:ascii="Arial" w:hAnsi="Arial" w:cs="Arial"/>
        </w:rPr>
        <w:t xml:space="preserve">The fall in underlying EBITDA has been driven by the significant inflationary pressures that most businesses are having to face this year. </w:t>
      </w:r>
    </w:p>
    <w:p w14:paraId="1C339627" w14:textId="77777777" w:rsidR="00514B73" w:rsidRPr="000D3ADE" w:rsidRDefault="00514B73" w:rsidP="00514B73">
      <w:pPr>
        <w:spacing w:line="240" w:lineRule="auto"/>
        <w:rPr>
          <w:rFonts w:ascii="Arial" w:hAnsi="Arial" w:cs="Arial"/>
        </w:rPr>
      </w:pPr>
      <w:r w:rsidRPr="000D3ADE">
        <w:rPr>
          <w:rFonts w:ascii="Arial" w:hAnsi="Arial" w:cs="Arial"/>
        </w:rPr>
        <w:t xml:space="preserve">The Group’s energy costs increased from £41m in </w:t>
      </w:r>
      <w:r w:rsidRPr="00EC24D4">
        <w:rPr>
          <w:rFonts w:ascii="Arial" w:hAnsi="Arial" w:cs="Arial"/>
        </w:rPr>
        <w:t>H1 2021</w:t>
      </w:r>
      <w:r w:rsidRPr="000D3ADE">
        <w:rPr>
          <w:rFonts w:ascii="Arial" w:hAnsi="Arial" w:cs="Arial"/>
        </w:rPr>
        <w:t xml:space="preserve"> to £59m </w:t>
      </w:r>
      <w:r w:rsidRPr="00EC24D4">
        <w:rPr>
          <w:rFonts w:ascii="Arial" w:hAnsi="Arial" w:cs="Arial"/>
        </w:rPr>
        <w:t xml:space="preserve">in the first six months of </w:t>
      </w:r>
      <w:r w:rsidRPr="000D3ADE">
        <w:rPr>
          <w:rFonts w:ascii="Arial" w:hAnsi="Arial" w:cs="Arial"/>
        </w:rPr>
        <w:t xml:space="preserve">this year, driven by the ongoing unprecedented rise in energy commodity prices. </w:t>
      </w:r>
      <w:r w:rsidRPr="00EC24D4">
        <w:rPr>
          <w:rFonts w:ascii="Arial" w:hAnsi="Arial" w:cs="Arial"/>
        </w:rPr>
        <w:t>H1</w:t>
      </w:r>
      <w:r w:rsidRPr="000D3ADE">
        <w:rPr>
          <w:rFonts w:ascii="Arial" w:hAnsi="Arial" w:cs="Arial"/>
        </w:rPr>
        <w:t xml:space="preserve"> 2021 </w:t>
      </w:r>
      <w:r w:rsidRPr="00EC24D4">
        <w:rPr>
          <w:rFonts w:ascii="Arial" w:hAnsi="Arial" w:cs="Arial"/>
        </w:rPr>
        <w:t>also included</w:t>
      </w:r>
      <w:r w:rsidRPr="000D3ADE">
        <w:rPr>
          <w:rFonts w:ascii="Arial" w:hAnsi="Arial" w:cs="Arial"/>
        </w:rPr>
        <w:t xml:space="preserve"> the end of the government rates holiday (business rates relief H1 2022: £0m, H1 2021: £20m)</w:t>
      </w:r>
      <w:r>
        <w:rPr>
          <w:rFonts w:ascii="Arial" w:hAnsi="Arial" w:cs="Arial"/>
        </w:rPr>
        <w:t>,</w:t>
      </w:r>
      <w:r w:rsidRPr="000D3ADE">
        <w:rPr>
          <w:rFonts w:ascii="Arial" w:hAnsi="Arial" w:cs="Arial"/>
        </w:rPr>
        <w:t xml:space="preserve"> impacting this year’s costs relative to last year.</w:t>
      </w:r>
    </w:p>
    <w:p w14:paraId="021424EC" w14:textId="77777777" w:rsidR="00514B73" w:rsidRPr="000D3ADE" w:rsidRDefault="00514B73" w:rsidP="00514B73">
      <w:pPr>
        <w:spacing w:line="240" w:lineRule="auto"/>
        <w:rPr>
          <w:rFonts w:ascii="Arial" w:hAnsi="Arial" w:cs="Arial"/>
        </w:rPr>
      </w:pPr>
      <w:r w:rsidRPr="000D3ADE">
        <w:rPr>
          <w:rFonts w:ascii="Arial" w:hAnsi="Arial" w:cs="Arial"/>
        </w:rPr>
        <w:t>After non-cash depreciation and amortisation of £200m, our underlying operating profit was £18m</w:t>
      </w:r>
      <w:r>
        <w:rPr>
          <w:rFonts w:ascii="Arial" w:hAnsi="Arial" w:cs="Arial"/>
        </w:rPr>
        <w:t xml:space="preserve"> in H1 2022</w:t>
      </w:r>
      <w:r w:rsidRPr="000D3ADE">
        <w:rPr>
          <w:rFonts w:ascii="Arial" w:hAnsi="Arial" w:cs="Arial"/>
        </w:rPr>
        <w:t xml:space="preserve">, down from £51m at the end of </w:t>
      </w:r>
      <w:r>
        <w:rPr>
          <w:rFonts w:ascii="Arial" w:hAnsi="Arial" w:cs="Arial"/>
        </w:rPr>
        <w:t xml:space="preserve">H1 </w:t>
      </w:r>
      <w:r w:rsidRPr="000D3ADE">
        <w:rPr>
          <w:rFonts w:ascii="Arial" w:hAnsi="Arial" w:cs="Arial"/>
        </w:rPr>
        <w:t>2021.</w:t>
      </w:r>
    </w:p>
    <w:p w14:paraId="59D9218A" w14:textId="77777777" w:rsidR="00514B73" w:rsidRDefault="00514B73" w:rsidP="00514B73">
      <w:pPr>
        <w:spacing w:line="240" w:lineRule="auto"/>
        <w:rPr>
          <w:rFonts w:ascii="Arial" w:hAnsi="Arial" w:cs="Arial"/>
        </w:rPr>
      </w:pPr>
      <w:r w:rsidRPr="000D3ADE">
        <w:rPr>
          <w:rFonts w:ascii="Arial" w:hAnsi="Arial" w:cs="Arial"/>
        </w:rPr>
        <w:t>Profit before tax was £7m for the half year (H1 2021: £44m). H1 2021 included a one-off gain of £99m</w:t>
      </w:r>
      <w:r>
        <w:rPr>
          <w:rFonts w:ascii="Arial" w:hAnsi="Arial" w:cs="Arial"/>
        </w:rPr>
        <w:t xml:space="preserve"> </w:t>
      </w:r>
      <w:r w:rsidRPr="002965AF">
        <w:rPr>
          <w:rFonts w:ascii="Arial" w:hAnsi="Arial" w:cs="Arial"/>
        </w:rPr>
        <w:t>in relation to the discount on the early settlement of the Group Relief creditor owed to the Co-operative Bank P</w:t>
      </w:r>
      <w:r>
        <w:rPr>
          <w:rFonts w:ascii="Arial" w:hAnsi="Arial" w:cs="Arial"/>
        </w:rPr>
        <w:t>LC</w:t>
      </w:r>
      <w:r w:rsidRPr="000D3ADE">
        <w:rPr>
          <w:rFonts w:ascii="Arial" w:hAnsi="Arial" w:cs="Arial"/>
        </w:rPr>
        <w:t>, driving the year</w:t>
      </w:r>
      <w:r>
        <w:rPr>
          <w:rFonts w:ascii="Arial" w:hAnsi="Arial" w:cs="Arial"/>
        </w:rPr>
        <w:t>-</w:t>
      </w:r>
      <w:r w:rsidRPr="000D3ADE">
        <w:rPr>
          <w:rFonts w:ascii="Arial" w:hAnsi="Arial" w:cs="Arial"/>
        </w:rPr>
        <w:t>on</w:t>
      </w:r>
      <w:r>
        <w:rPr>
          <w:rFonts w:ascii="Arial" w:hAnsi="Arial" w:cs="Arial"/>
        </w:rPr>
        <w:t>-</w:t>
      </w:r>
      <w:r w:rsidRPr="000D3ADE">
        <w:rPr>
          <w:rFonts w:ascii="Arial" w:hAnsi="Arial" w:cs="Arial"/>
        </w:rPr>
        <w:t>year adverse movement</w:t>
      </w:r>
      <w:r>
        <w:rPr>
          <w:rFonts w:ascii="Arial" w:hAnsi="Arial" w:cs="Arial"/>
        </w:rPr>
        <w:t>. However,</w:t>
      </w:r>
      <w:r w:rsidRPr="000D3ADE">
        <w:rPr>
          <w:rFonts w:ascii="Arial" w:hAnsi="Arial" w:cs="Arial"/>
        </w:rPr>
        <w:t xml:space="preserve"> </w:t>
      </w:r>
      <w:r>
        <w:rPr>
          <w:rFonts w:ascii="Arial" w:hAnsi="Arial" w:cs="Arial"/>
        </w:rPr>
        <w:t>it was</w:t>
      </w:r>
      <w:r w:rsidRPr="000D3ADE">
        <w:rPr>
          <w:rFonts w:ascii="Arial" w:hAnsi="Arial" w:cs="Arial"/>
        </w:rPr>
        <w:t xml:space="preserve"> partially offset by the favourable </w:t>
      </w:r>
      <w:r>
        <w:rPr>
          <w:rFonts w:ascii="Arial" w:hAnsi="Arial" w:cs="Arial"/>
        </w:rPr>
        <w:t xml:space="preserve">mark to </w:t>
      </w:r>
      <w:r w:rsidRPr="000D3ADE">
        <w:rPr>
          <w:rFonts w:ascii="Arial" w:hAnsi="Arial" w:cs="Arial"/>
        </w:rPr>
        <w:t>market movements this year.</w:t>
      </w:r>
    </w:p>
    <w:p w14:paraId="79E880A0" w14:textId="77777777" w:rsidR="00514B73" w:rsidRPr="00E03EA8" w:rsidRDefault="00514B73" w:rsidP="00514B73">
      <w:pPr>
        <w:spacing w:line="240" w:lineRule="auto"/>
        <w:rPr>
          <w:rFonts w:ascii="Arial" w:hAnsi="Arial" w:cs="Arial"/>
        </w:rPr>
      </w:pPr>
      <w:r w:rsidRPr="00E03EA8">
        <w:rPr>
          <w:rFonts w:ascii="Arial" w:hAnsi="Arial" w:cs="Arial"/>
        </w:rPr>
        <w:t xml:space="preserve">Our profit before tax takes into consideration several other non-underlying impacts that are unique to 2022. At the half year, we have reduced or ‘impaired’ the value of the assets that we hold at around 50 of our Food stores by £21m, where our forecasts for profitability do not support the asset values we were carrying. This is more significant than in previous periods, as we have adjusted our expectations to reflect the tough trading conditions and associated squeeze on profitability that we are facing into. </w:t>
      </w:r>
    </w:p>
    <w:p w14:paraId="679B74A1" w14:textId="77777777" w:rsidR="00514B73" w:rsidRPr="00E03EA8" w:rsidRDefault="00514B73" w:rsidP="00514B73">
      <w:pPr>
        <w:spacing w:line="240" w:lineRule="auto"/>
        <w:rPr>
          <w:rFonts w:ascii="Arial" w:hAnsi="Arial" w:cs="Arial"/>
        </w:rPr>
      </w:pPr>
      <w:r w:rsidRPr="00E03EA8">
        <w:rPr>
          <w:rFonts w:ascii="Arial" w:hAnsi="Arial" w:cs="Arial"/>
        </w:rPr>
        <w:lastRenderedPageBreak/>
        <w:t xml:space="preserve">Furthermore, we have impaired the value of the leased asset that we hold against our main support centre office space at </w:t>
      </w:r>
      <w:r>
        <w:rPr>
          <w:rFonts w:ascii="Arial" w:hAnsi="Arial" w:cs="Arial"/>
        </w:rPr>
        <w:t>One</w:t>
      </w:r>
      <w:r w:rsidRPr="00E03EA8">
        <w:rPr>
          <w:rFonts w:ascii="Arial" w:hAnsi="Arial" w:cs="Arial"/>
        </w:rPr>
        <w:t xml:space="preserve"> Angel Square by £25m. This </w:t>
      </w:r>
      <w:r>
        <w:rPr>
          <w:rFonts w:ascii="Arial" w:hAnsi="Arial" w:cs="Arial"/>
        </w:rPr>
        <w:t>reflects</w:t>
      </w:r>
      <w:r w:rsidRPr="00E03EA8">
        <w:rPr>
          <w:rFonts w:ascii="Arial" w:hAnsi="Arial" w:cs="Arial"/>
        </w:rPr>
        <w:t xml:space="preserve"> the significant change in working patterns for our support centre colleagues following the pandemic, including more flexible and hybrid working solutions. This change reduced how we utilise the Angel Square site which, under accounting rules, requires us to reduce the value of the leased asset that we hold. </w:t>
      </w:r>
    </w:p>
    <w:p w14:paraId="51D64417" w14:textId="77777777" w:rsidR="00514B73" w:rsidRPr="000D3ADE" w:rsidRDefault="00514B73" w:rsidP="00514B73">
      <w:pPr>
        <w:spacing w:line="240" w:lineRule="auto"/>
        <w:rPr>
          <w:rFonts w:ascii="Arial" w:hAnsi="Arial" w:cs="Arial"/>
        </w:rPr>
      </w:pPr>
      <w:r w:rsidRPr="00E03EA8">
        <w:rPr>
          <w:rFonts w:ascii="Arial" w:hAnsi="Arial" w:cs="Arial"/>
        </w:rPr>
        <w:t>Offsetting these losses, we have benefitted from net gains of £51m within finance income, driven by favourable market movements on the diesel positions we hold and the market valuation of our Eurobond debt.</w:t>
      </w:r>
    </w:p>
    <w:p w14:paraId="23FF0D02" w14:textId="77777777" w:rsidR="00514B73" w:rsidRPr="000D3ADE" w:rsidRDefault="00514B73" w:rsidP="00514B73">
      <w:pPr>
        <w:spacing w:line="240" w:lineRule="auto"/>
        <w:rPr>
          <w:rFonts w:ascii="Arial" w:hAnsi="Arial" w:cs="Arial"/>
        </w:rPr>
      </w:pPr>
      <w:r w:rsidRPr="000D3ADE">
        <w:rPr>
          <w:rFonts w:ascii="Arial" w:hAnsi="Arial" w:cs="Arial"/>
        </w:rPr>
        <w:t xml:space="preserve">Tight control of cashflows, effective working capital management and a more disciplined approach to capital expenditure all combined to help significantly reduce our net debt during the first </w:t>
      </w:r>
      <w:r>
        <w:rPr>
          <w:rFonts w:ascii="Arial" w:hAnsi="Arial" w:cs="Arial"/>
        </w:rPr>
        <w:t>six months of the year, taking us</w:t>
      </w:r>
      <w:r w:rsidRPr="000D3ADE">
        <w:rPr>
          <w:rFonts w:ascii="Arial" w:hAnsi="Arial" w:cs="Arial"/>
        </w:rPr>
        <w:t xml:space="preserve"> from £920m at </w:t>
      </w:r>
      <w:proofErr w:type="gramStart"/>
      <w:r w:rsidRPr="000D3ADE">
        <w:rPr>
          <w:rFonts w:ascii="Arial" w:hAnsi="Arial" w:cs="Arial"/>
        </w:rPr>
        <w:t>2021 year</w:t>
      </w:r>
      <w:proofErr w:type="gramEnd"/>
      <w:r w:rsidRPr="000D3ADE">
        <w:rPr>
          <w:rFonts w:ascii="Arial" w:hAnsi="Arial" w:cs="Arial"/>
        </w:rPr>
        <w:t xml:space="preserve"> end, to £73</w:t>
      </w:r>
      <w:r>
        <w:rPr>
          <w:rFonts w:ascii="Arial" w:hAnsi="Arial" w:cs="Arial"/>
        </w:rPr>
        <w:t>1</w:t>
      </w:r>
      <w:r w:rsidRPr="000D3ADE">
        <w:rPr>
          <w:rFonts w:ascii="Arial" w:hAnsi="Arial" w:cs="Arial"/>
        </w:rPr>
        <w:t>m at H1 2022.</w:t>
      </w:r>
      <w:r>
        <w:rPr>
          <w:rFonts w:ascii="Arial" w:hAnsi="Arial" w:cs="Arial"/>
        </w:rPr>
        <w:t xml:space="preserve"> This £189m improvement (reduction) in net debt compares to an increase of £162m over the same period last year.</w:t>
      </w:r>
    </w:p>
    <w:p w14:paraId="0AA2D9BA" w14:textId="77777777" w:rsidR="00514B73" w:rsidRDefault="00514B73" w:rsidP="00514B73">
      <w:pPr>
        <w:spacing w:line="240" w:lineRule="auto"/>
        <w:rPr>
          <w:rFonts w:ascii="Arial" w:hAnsi="Arial" w:cs="Arial"/>
        </w:rPr>
      </w:pPr>
      <w:r w:rsidRPr="000D3ADE">
        <w:rPr>
          <w:rFonts w:ascii="Arial" w:hAnsi="Arial" w:cs="Arial"/>
        </w:rPr>
        <w:t>Likewise, as you will see from the following commercial updates our individual businesses have all been working hard to tackle the challenging market conditions. Our Food and Wholesale business saw revenues increase by 1% year</w:t>
      </w:r>
      <w:r>
        <w:rPr>
          <w:rFonts w:ascii="Arial" w:hAnsi="Arial" w:cs="Arial"/>
        </w:rPr>
        <w:t>-</w:t>
      </w:r>
      <w:r w:rsidRPr="000D3ADE">
        <w:rPr>
          <w:rFonts w:ascii="Arial" w:hAnsi="Arial" w:cs="Arial"/>
        </w:rPr>
        <w:t>on</w:t>
      </w:r>
      <w:r>
        <w:rPr>
          <w:rFonts w:ascii="Arial" w:hAnsi="Arial" w:cs="Arial"/>
        </w:rPr>
        <w:t>-</w:t>
      </w:r>
      <w:r w:rsidRPr="000D3ADE">
        <w:rPr>
          <w:rFonts w:ascii="Arial" w:hAnsi="Arial" w:cs="Arial"/>
        </w:rPr>
        <w:t xml:space="preserve">year (H1 2022 £4.59bn, H1 2021 £4.55bn) resulting in underlying operating profits of £45m versus £70m </w:t>
      </w:r>
      <w:r>
        <w:rPr>
          <w:rFonts w:ascii="Arial" w:hAnsi="Arial" w:cs="Arial"/>
        </w:rPr>
        <w:t xml:space="preserve">in H1 </w:t>
      </w:r>
      <w:r w:rsidRPr="000D3ADE">
        <w:rPr>
          <w:rFonts w:ascii="Arial" w:hAnsi="Arial" w:cs="Arial"/>
        </w:rPr>
        <w:t>last year</w:t>
      </w:r>
      <w:r>
        <w:rPr>
          <w:rFonts w:ascii="Arial" w:hAnsi="Arial" w:cs="Arial"/>
        </w:rPr>
        <w:t xml:space="preserve"> </w:t>
      </w:r>
      <w:r w:rsidRPr="000D3ADE">
        <w:rPr>
          <w:rFonts w:ascii="Arial" w:hAnsi="Arial" w:cs="Arial"/>
        </w:rPr>
        <w:t xml:space="preserve">after the impact of the inflationary pressures outlined above. </w:t>
      </w:r>
    </w:p>
    <w:p w14:paraId="24875970" w14:textId="1BAF65D7" w:rsidR="00514B73" w:rsidRPr="000D3ADE" w:rsidRDefault="00514B73" w:rsidP="00514B73">
      <w:pPr>
        <w:spacing w:line="240" w:lineRule="auto"/>
        <w:rPr>
          <w:rFonts w:ascii="Arial" w:hAnsi="Arial" w:cs="Arial"/>
        </w:rPr>
      </w:pPr>
      <w:r w:rsidRPr="000D3ADE">
        <w:rPr>
          <w:rFonts w:ascii="Arial" w:hAnsi="Arial" w:cs="Arial"/>
        </w:rPr>
        <w:t>As mortality rates normalise post-pandemic</w:t>
      </w:r>
      <w:r>
        <w:rPr>
          <w:rFonts w:ascii="Arial" w:hAnsi="Arial" w:cs="Arial"/>
        </w:rPr>
        <w:t>,</w:t>
      </w:r>
      <w:r w:rsidRPr="000D3ADE">
        <w:rPr>
          <w:rFonts w:ascii="Arial" w:hAnsi="Arial" w:cs="Arial"/>
        </w:rPr>
        <w:t xml:space="preserve"> our Funeralcare business </w:t>
      </w:r>
      <w:r>
        <w:rPr>
          <w:rFonts w:ascii="Arial" w:hAnsi="Arial" w:cs="Arial"/>
        </w:rPr>
        <w:t>saw</w:t>
      </w:r>
      <w:r w:rsidRPr="000D3ADE">
        <w:rPr>
          <w:rFonts w:ascii="Arial" w:hAnsi="Arial" w:cs="Arial"/>
        </w:rPr>
        <w:t xml:space="preserve"> a small re</w:t>
      </w:r>
      <w:r>
        <w:rPr>
          <w:rFonts w:ascii="Arial" w:hAnsi="Arial" w:cs="Arial"/>
        </w:rPr>
        <w:t>duction</w:t>
      </w:r>
      <w:r w:rsidRPr="000D3ADE">
        <w:rPr>
          <w:rFonts w:ascii="Arial" w:hAnsi="Arial" w:cs="Arial"/>
        </w:rPr>
        <w:t xml:space="preserve"> in sales year</w:t>
      </w:r>
      <w:r>
        <w:rPr>
          <w:rFonts w:ascii="Arial" w:hAnsi="Arial" w:cs="Arial"/>
        </w:rPr>
        <w:t>-</w:t>
      </w:r>
      <w:r w:rsidRPr="000D3ADE">
        <w:rPr>
          <w:rFonts w:ascii="Arial" w:hAnsi="Arial" w:cs="Arial"/>
        </w:rPr>
        <w:t>on</w:t>
      </w:r>
      <w:r>
        <w:rPr>
          <w:rFonts w:ascii="Arial" w:hAnsi="Arial" w:cs="Arial"/>
        </w:rPr>
        <w:t>-</w:t>
      </w:r>
      <w:r w:rsidRPr="000D3ADE">
        <w:rPr>
          <w:rFonts w:ascii="Arial" w:hAnsi="Arial" w:cs="Arial"/>
        </w:rPr>
        <w:t>year (</w:t>
      </w:r>
      <w:r w:rsidRPr="000D3ADE">
        <w:rPr>
          <w:rFonts w:ascii="Arial" w:hAnsi="Arial" w:cs="Arial"/>
          <w:shd w:val="clear" w:color="auto" w:fill="FFFFFF"/>
        </w:rPr>
        <w:t>H1 2022: £139m, H1 2021</w:t>
      </w:r>
      <w:r w:rsidR="00D8292F">
        <w:rPr>
          <w:rFonts w:ascii="Arial" w:hAnsi="Arial" w:cs="Arial"/>
          <w:shd w:val="clear" w:color="auto" w:fill="FFFFFF"/>
        </w:rPr>
        <w:t>:</w:t>
      </w:r>
      <w:r w:rsidRPr="000D3ADE">
        <w:rPr>
          <w:rFonts w:ascii="Arial" w:hAnsi="Arial" w:cs="Arial"/>
          <w:shd w:val="clear" w:color="auto" w:fill="FFFFFF"/>
        </w:rPr>
        <w:t xml:space="preserve"> £142m). This combined with energy costs and regulatory changes in the industry </w:t>
      </w:r>
      <w:r>
        <w:rPr>
          <w:rFonts w:ascii="Arial" w:hAnsi="Arial" w:cs="Arial"/>
          <w:shd w:val="clear" w:color="auto" w:fill="FFFFFF"/>
        </w:rPr>
        <w:t>saw</w:t>
      </w:r>
      <w:r w:rsidRPr="000D3ADE">
        <w:rPr>
          <w:rFonts w:ascii="Arial" w:hAnsi="Arial" w:cs="Arial"/>
          <w:shd w:val="clear" w:color="auto" w:fill="FFFFFF"/>
        </w:rPr>
        <w:t xml:space="preserve"> underlying operating profit decline from £17m </w:t>
      </w:r>
      <w:r>
        <w:rPr>
          <w:rFonts w:ascii="Arial" w:hAnsi="Arial" w:cs="Arial"/>
          <w:shd w:val="clear" w:color="auto" w:fill="FFFFFF"/>
        </w:rPr>
        <w:t xml:space="preserve">in H1 </w:t>
      </w:r>
      <w:r w:rsidRPr="000D3ADE">
        <w:rPr>
          <w:rFonts w:ascii="Arial" w:hAnsi="Arial" w:cs="Arial"/>
          <w:shd w:val="clear" w:color="auto" w:fill="FFFFFF"/>
        </w:rPr>
        <w:t xml:space="preserve">last year to £11m </w:t>
      </w:r>
      <w:r>
        <w:rPr>
          <w:rFonts w:ascii="Arial" w:hAnsi="Arial" w:cs="Arial"/>
          <w:shd w:val="clear" w:color="auto" w:fill="FFFFFF"/>
        </w:rPr>
        <w:t>in the first half of</w:t>
      </w:r>
      <w:r w:rsidRPr="000D3ADE">
        <w:rPr>
          <w:rFonts w:ascii="Arial" w:hAnsi="Arial" w:cs="Arial"/>
          <w:shd w:val="clear" w:color="auto" w:fill="FFFFFF"/>
        </w:rPr>
        <w:t xml:space="preserve"> this year. Our Legal Services business continue</w:t>
      </w:r>
      <w:r>
        <w:rPr>
          <w:rFonts w:ascii="Arial" w:hAnsi="Arial" w:cs="Arial"/>
          <w:shd w:val="clear" w:color="auto" w:fill="FFFFFF"/>
        </w:rPr>
        <w:t>d</w:t>
      </w:r>
      <w:r w:rsidRPr="000D3ADE">
        <w:rPr>
          <w:rFonts w:ascii="Arial" w:hAnsi="Arial" w:cs="Arial"/>
          <w:shd w:val="clear" w:color="auto" w:fill="FFFFFF"/>
        </w:rPr>
        <w:t xml:space="preserve"> to perform strongly, </w:t>
      </w:r>
      <w:r>
        <w:rPr>
          <w:rFonts w:ascii="Arial" w:hAnsi="Arial" w:cs="Arial"/>
          <w:shd w:val="clear" w:color="auto" w:fill="FFFFFF"/>
        </w:rPr>
        <w:t xml:space="preserve">after </w:t>
      </w:r>
      <w:r w:rsidRPr="000D3ADE">
        <w:rPr>
          <w:rFonts w:ascii="Arial" w:hAnsi="Arial" w:cs="Arial"/>
          <w:shd w:val="clear" w:color="auto" w:fill="FFFFFF"/>
        </w:rPr>
        <w:t>growing revenues 10% year</w:t>
      </w:r>
      <w:r>
        <w:rPr>
          <w:rFonts w:ascii="Arial" w:hAnsi="Arial" w:cs="Arial"/>
          <w:shd w:val="clear" w:color="auto" w:fill="FFFFFF"/>
        </w:rPr>
        <w:t>-</w:t>
      </w:r>
      <w:r w:rsidRPr="000D3ADE">
        <w:rPr>
          <w:rFonts w:ascii="Arial" w:hAnsi="Arial" w:cs="Arial"/>
          <w:shd w:val="clear" w:color="auto" w:fill="FFFFFF"/>
        </w:rPr>
        <w:t>on</w:t>
      </w:r>
      <w:r>
        <w:rPr>
          <w:rFonts w:ascii="Arial" w:hAnsi="Arial" w:cs="Arial"/>
          <w:shd w:val="clear" w:color="auto" w:fill="FFFFFF"/>
        </w:rPr>
        <w:t>-</w:t>
      </w:r>
      <w:r w:rsidRPr="000D3ADE">
        <w:rPr>
          <w:rFonts w:ascii="Arial" w:hAnsi="Arial" w:cs="Arial"/>
          <w:shd w:val="clear" w:color="auto" w:fill="FFFFFF"/>
        </w:rPr>
        <w:t xml:space="preserve">year </w:t>
      </w:r>
      <w:r w:rsidRPr="000D3ADE">
        <w:rPr>
          <w:rFonts w:ascii="Arial" w:hAnsi="Arial" w:cs="Arial"/>
        </w:rPr>
        <w:t>(H1 2022: £22m, H1 2021: £20m)</w:t>
      </w:r>
      <w:r>
        <w:rPr>
          <w:rFonts w:ascii="Arial" w:hAnsi="Arial" w:cs="Arial"/>
        </w:rPr>
        <w:t>, which resulted</w:t>
      </w:r>
      <w:r w:rsidRPr="000D3ADE">
        <w:rPr>
          <w:rFonts w:ascii="Arial" w:hAnsi="Arial" w:cs="Arial"/>
        </w:rPr>
        <w:t xml:space="preserve"> in an underlying operating profit of £</w:t>
      </w:r>
      <w:r w:rsidR="002F3498">
        <w:rPr>
          <w:rFonts w:ascii="Arial" w:hAnsi="Arial" w:cs="Arial"/>
        </w:rPr>
        <w:t>4</w:t>
      </w:r>
      <w:r w:rsidRPr="000D3ADE">
        <w:rPr>
          <w:rFonts w:ascii="Arial" w:hAnsi="Arial" w:cs="Arial"/>
        </w:rPr>
        <w:t xml:space="preserve">m for the half </w:t>
      </w:r>
      <w:r>
        <w:rPr>
          <w:rFonts w:ascii="Arial" w:hAnsi="Arial" w:cs="Arial"/>
        </w:rPr>
        <w:t xml:space="preserve">year </w:t>
      </w:r>
      <w:r w:rsidRPr="000D3ADE">
        <w:rPr>
          <w:rFonts w:ascii="Arial" w:hAnsi="Arial" w:cs="Arial"/>
        </w:rPr>
        <w:t>(H1 2021: £2m).</w:t>
      </w:r>
      <w:r>
        <w:rPr>
          <w:rFonts w:ascii="Arial" w:hAnsi="Arial" w:cs="Arial"/>
        </w:rPr>
        <w:t xml:space="preserve"> </w:t>
      </w:r>
    </w:p>
    <w:p w14:paraId="26ABC220" w14:textId="77777777" w:rsidR="00CC1F05" w:rsidRDefault="00CC1F05" w:rsidP="00514B73">
      <w:pPr>
        <w:spacing w:line="240" w:lineRule="auto"/>
        <w:rPr>
          <w:rFonts w:ascii="Arial" w:hAnsi="Arial" w:cs="Arial"/>
          <w:color w:val="00B050"/>
        </w:rPr>
      </w:pPr>
    </w:p>
    <w:p w14:paraId="259C33B5" w14:textId="4F811913" w:rsidR="00514B73" w:rsidRPr="00CC1F05" w:rsidRDefault="00514B73" w:rsidP="00514B73">
      <w:pPr>
        <w:spacing w:line="240" w:lineRule="auto"/>
        <w:rPr>
          <w:rFonts w:ascii="Arial" w:hAnsi="Arial" w:cs="Arial"/>
          <w:color w:val="00B050"/>
        </w:rPr>
      </w:pPr>
      <w:r w:rsidRPr="00816E85">
        <w:rPr>
          <w:rFonts w:ascii="Arial" w:hAnsi="Arial" w:cs="Arial"/>
          <w:b/>
          <w:color w:val="000000" w:themeColor="text1"/>
          <w:sz w:val="24"/>
          <w:szCs w:val="24"/>
        </w:rPr>
        <w:t>COMMERCIAL UPDATE</w:t>
      </w:r>
    </w:p>
    <w:p w14:paraId="7478611F" w14:textId="77777777" w:rsidR="00514B73" w:rsidRDefault="00514B73" w:rsidP="00514B73">
      <w:pPr>
        <w:spacing w:line="240" w:lineRule="auto"/>
        <w:rPr>
          <w:rFonts w:ascii="Arial" w:hAnsi="Arial" w:cs="Arial"/>
          <w:bCs/>
          <w:sz w:val="24"/>
          <w:szCs w:val="24"/>
        </w:rPr>
      </w:pPr>
      <w:r>
        <w:rPr>
          <w:rFonts w:ascii="Arial" w:hAnsi="Arial" w:cs="Arial"/>
          <w:b/>
          <w:sz w:val="24"/>
          <w:szCs w:val="24"/>
        </w:rPr>
        <w:t xml:space="preserve">Food </w:t>
      </w:r>
    </w:p>
    <w:p w14:paraId="4932CF35" w14:textId="77777777" w:rsidR="00514B73" w:rsidRPr="0092532D" w:rsidRDefault="00514B73" w:rsidP="00514B73">
      <w:pPr>
        <w:spacing w:line="240" w:lineRule="auto"/>
        <w:rPr>
          <w:rFonts w:ascii="Arial" w:hAnsi="Arial" w:cs="Arial"/>
        </w:rPr>
      </w:pPr>
      <w:r w:rsidRPr="0092532D">
        <w:rPr>
          <w:rFonts w:ascii="Arial" w:hAnsi="Arial" w:cs="Arial"/>
        </w:rPr>
        <w:t>Our Food business continue</w:t>
      </w:r>
      <w:r>
        <w:rPr>
          <w:rFonts w:ascii="Arial" w:hAnsi="Arial" w:cs="Arial"/>
        </w:rPr>
        <w:t>d</w:t>
      </w:r>
      <w:r w:rsidRPr="0092532D">
        <w:rPr>
          <w:rFonts w:ascii="Arial" w:hAnsi="Arial" w:cs="Arial"/>
        </w:rPr>
        <w:t xml:space="preserve"> to operate </w:t>
      </w:r>
      <w:r>
        <w:rPr>
          <w:rFonts w:ascii="Arial" w:hAnsi="Arial" w:cs="Arial"/>
        </w:rPr>
        <w:t>through</w:t>
      </w:r>
      <w:r w:rsidRPr="0092532D">
        <w:rPr>
          <w:rFonts w:ascii="Arial" w:hAnsi="Arial" w:cs="Arial"/>
        </w:rPr>
        <w:t xml:space="preserve"> an extremely tough economic climate</w:t>
      </w:r>
      <w:r>
        <w:rPr>
          <w:rFonts w:ascii="Arial" w:hAnsi="Arial" w:cs="Arial"/>
        </w:rPr>
        <w:t xml:space="preserve"> in H1 2022, facing </w:t>
      </w:r>
      <w:r w:rsidRPr="0092532D">
        <w:rPr>
          <w:rFonts w:ascii="Arial" w:hAnsi="Arial" w:cs="Arial"/>
        </w:rPr>
        <w:t>global availability challenges exacerbated by heart</w:t>
      </w:r>
      <w:r>
        <w:rPr>
          <w:rFonts w:ascii="Arial" w:hAnsi="Arial" w:cs="Arial"/>
        </w:rPr>
        <w:t>-</w:t>
      </w:r>
      <w:r w:rsidRPr="0092532D">
        <w:rPr>
          <w:rFonts w:ascii="Arial" w:hAnsi="Arial" w:cs="Arial"/>
        </w:rPr>
        <w:t xml:space="preserve">breaking developments in Ukraine and a </w:t>
      </w:r>
      <w:proofErr w:type="gramStart"/>
      <w:r w:rsidRPr="0092532D">
        <w:rPr>
          <w:rFonts w:ascii="Arial" w:hAnsi="Arial" w:cs="Arial"/>
        </w:rPr>
        <w:t>cost</w:t>
      </w:r>
      <w:r>
        <w:rPr>
          <w:rFonts w:ascii="Arial" w:hAnsi="Arial" w:cs="Arial"/>
        </w:rPr>
        <w:t xml:space="preserve"> </w:t>
      </w:r>
      <w:r w:rsidRPr="0092532D">
        <w:rPr>
          <w:rFonts w:ascii="Arial" w:hAnsi="Arial" w:cs="Arial"/>
        </w:rPr>
        <w:t>of</w:t>
      </w:r>
      <w:r>
        <w:rPr>
          <w:rFonts w:ascii="Arial" w:hAnsi="Arial" w:cs="Arial"/>
        </w:rPr>
        <w:t xml:space="preserve"> </w:t>
      </w:r>
      <w:r w:rsidRPr="0092532D">
        <w:rPr>
          <w:rFonts w:ascii="Arial" w:hAnsi="Arial" w:cs="Arial"/>
        </w:rPr>
        <w:t>living</w:t>
      </w:r>
      <w:proofErr w:type="gramEnd"/>
      <w:r w:rsidRPr="0092532D">
        <w:rPr>
          <w:rFonts w:ascii="Arial" w:hAnsi="Arial" w:cs="Arial"/>
        </w:rPr>
        <w:t xml:space="preserve"> crisis affecting our members, customers and our business.  </w:t>
      </w:r>
    </w:p>
    <w:p w14:paraId="3D44024A" w14:textId="77777777" w:rsidR="00514B73" w:rsidRDefault="00514B73" w:rsidP="00514B73">
      <w:pPr>
        <w:spacing w:line="240" w:lineRule="auto"/>
        <w:rPr>
          <w:rFonts w:ascii="Arial" w:hAnsi="Arial" w:cs="Arial"/>
        </w:rPr>
      </w:pPr>
      <w:r w:rsidRPr="0092532D">
        <w:rPr>
          <w:rFonts w:ascii="Arial" w:hAnsi="Arial" w:cs="Arial"/>
        </w:rPr>
        <w:t xml:space="preserve">While we believe </w:t>
      </w:r>
      <w:r>
        <w:rPr>
          <w:rFonts w:ascii="Arial" w:hAnsi="Arial" w:cs="Arial"/>
        </w:rPr>
        <w:t>our trading environment will continue to adjust over</w:t>
      </w:r>
      <w:r w:rsidRPr="0092532D">
        <w:rPr>
          <w:rFonts w:ascii="Arial" w:hAnsi="Arial" w:cs="Arial"/>
        </w:rPr>
        <w:t xml:space="preserve"> time, it affected our sales </w:t>
      </w:r>
      <w:r>
        <w:rPr>
          <w:rFonts w:ascii="Arial" w:hAnsi="Arial" w:cs="Arial"/>
        </w:rPr>
        <w:t xml:space="preserve">and profitability </w:t>
      </w:r>
      <w:r w:rsidRPr="0092532D">
        <w:rPr>
          <w:rFonts w:ascii="Arial" w:hAnsi="Arial" w:cs="Arial"/>
        </w:rPr>
        <w:t>in H</w:t>
      </w:r>
      <w:r>
        <w:rPr>
          <w:rFonts w:ascii="Arial" w:hAnsi="Arial" w:cs="Arial"/>
        </w:rPr>
        <w:t>1</w:t>
      </w:r>
      <w:r w:rsidRPr="0092532D">
        <w:rPr>
          <w:rFonts w:ascii="Arial" w:hAnsi="Arial" w:cs="Arial"/>
        </w:rPr>
        <w:t xml:space="preserve"> and, in turn, put pressure on profit for the wider group, even though </w:t>
      </w:r>
      <w:r>
        <w:rPr>
          <w:rFonts w:ascii="Arial" w:hAnsi="Arial" w:cs="Arial"/>
        </w:rPr>
        <w:t>we continued</w:t>
      </w:r>
      <w:r w:rsidRPr="0092532D">
        <w:rPr>
          <w:rFonts w:ascii="Arial" w:hAnsi="Arial" w:cs="Arial"/>
        </w:rPr>
        <w:t xml:space="preserve"> to outperform </w:t>
      </w:r>
      <w:r w:rsidRPr="003C2BEC">
        <w:rPr>
          <w:rFonts w:ascii="Arial" w:hAnsi="Arial" w:cs="Arial"/>
        </w:rPr>
        <w:t>the convenience market in terms of growth in the last 12 weeks</w:t>
      </w:r>
      <w:r>
        <w:rPr>
          <w:rFonts w:ascii="Arial" w:hAnsi="Arial" w:cs="Arial"/>
        </w:rPr>
        <w:t xml:space="preserve"> of the half year</w:t>
      </w:r>
      <w:r w:rsidRPr="003C2BEC">
        <w:rPr>
          <w:rFonts w:ascii="Arial" w:hAnsi="Arial" w:cs="Arial"/>
        </w:rPr>
        <w:t xml:space="preserve"> (</w:t>
      </w:r>
      <w:r>
        <w:rPr>
          <w:rFonts w:ascii="Arial" w:hAnsi="Arial" w:cs="Arial"/>
        </w:rPr>
        <w:t xml:space="preserve">source: </w:t>
      </w:r>
      <w:r w:rsidRPr="003C2BEC">
        <w:rPr>
          <w:rFonts w:ascii="Arial" w:hAnsi="Arial" w:cs="Arial"/>
        </w:rPr>
        <w:t>IRI convenience market YoY value data to 2 Jul 2022).</w:t>
      </w:r>
    </w:p>
    <w:p w14:paraId="7518A925" w14:textId="77777777" w:rsidR="00514B73" w:rsidRDefault="00514B73" w:rsidP="00514B73">
      <w:pPr>
        <w:spacing w:line="240" w:lineRule="auto"/>
        <w:rPr>
          <w:rFonts w:ascii="Arial" w:hAnsi="Arial" w:cs="Arial"/>
        </w:rPr>
      </w:pPr>
      <w:r w:rsidRPr="0092532D">
        <w:rPr>
          <w:rFonts w:ascii="Arial" w:hAnsi="Arial" w:cs="Arial"/>
        </w:rPr>
        <w:t>In the first half of this year, we</w:t>
      </w:r>
      <w:r>
        <w:rPr>
          <w:rFonts w:ascii="Arial" w:hAnsi="Arial" w:cs="Arial"/>
        </w:rPr>
        <w:t xml:space="preserve"> saw</w:t>
      </w:r>
      <w:r w:rsidRPr="0092532D">
        <w:rPr>
          <w:rFonts w:ascii="Arial" w:hAnsi="Arial" w:cs="Arial"/>
        </w:rPr>
        <w:t xml:space="preserve"> a 1% year</w:t>
      </w:r>
      <w:r>
        <w:rPr>
          <w:rFonts w:ascii="Arial" w:hAnsi="Arial" w:cs="Arial"/>
        </w:rPr>
        <w:t>-</w:t>
      </w:r>
      <w:r w:rsidRPr="0092532D">
        <w:rPr>
          <w:rFonts w:ascii="Arial" w:hAnsi="Arial" w:cs="Arial"/>
        </w:rPr>
        <w:t>on</w:t>
      </w:r>
      <w:r>
        <w:rPr>
          <w:rFonts w:ascii="Arial" w:hAnsi="Arial" w:cs="Arial"/>
        </w:rPr>
        <w:t>-</w:t>
      </w:r>
      <w:r w:rsidRPr="0092532D">
        <w:rPr>
          <w:rFonts w:ascii="Arial" w:hAnsi="Arial" w:cs="Arial"/>
        </w:rPr>
        <w:t xml:space="preserve">year increase in revenue (H1 2022: £3.91bn, H1 2021: £3.86bn). However, </w:t>
      </w:r>
      <w:r>
        <w:rPr>
          <w:rFonts w:ascii="Arial" w:hAnsi="Arial" w:cs="Arial"/>
        </w:rPr>
        <w:t>it’s worth noting:</w:t>
      </w:r>
    </w:p>
    <w:p w14:paraId="4E1DEF98" w14:textId="77777777" w:rsidR="00514B73" w:rsidRPr="00D41A35" w:rsidRDefault="00514B73" w:rsidP="00514B73">
      <w:pPr>
        <w:pStyle w:val="ListParagraph"/>
        <w:numPr>
          <w:ilvl w:val="0"/>
          <w:numId w:val="20"/>
        </w:numPr>
        <w:spacing w:after="160" w:line="240" w:lineRule="auto"/>
        <w:rPr>
          <w:rFonts w:ascii="Arial" w:hAnsi="Arial" w:cs="Arial"/>
        </w:rPr>
      </w:pPr>
      <w:r>
        <w:rPr>
          <w:rFonts w:ascii="Arial" w:hAnsi="Arial" w:cs="Arial"/>
          <w:color w:val="000000"/>
        </w:rPr>
        <w:t>F</w:t>
      </w:r>
      <w:r w:rsidRPr="0058384E">
        <w:rPr>
          <w:rFonts w:ascii="Arial" w:hAnsi="Arial" w:cs="Arial"/>
          <w:color w:val="000000"/>
        </w:rPr>
        <w:t>uel sales increased by just over £100 million (up 45%)</w:t>
      </w:r>
      <w:r>
        <w:rPr>
          <w:rFonts w:ascii="Arial" w:hAnsi="Arial" w:cs="Arial"/>
          <w:color w:val="000000"/>
        </w:rPr>
        <w:t xml:space="preserve"> and this was</w:t>
      </w:r>
      <w:r w:rsidRPr="0058384E">
        <w:rPr>
          <w:rFonts w:ascii="Arial" w:hAnsi="Arial" w:cs="Arial"/>
          <w:color w:val="000000"/>
        </w:rPr>
        <w:t xml:space="preserve"> primarily driven by rising</w:t>
      </w:r>
      <w:r>
        <w:rPr>
          <w:rFonts w:ascii="Arial" w:hAnsi="Arial" w:cs="Arial"/>
          <w:color w:val="000000"/>
        </w:rPr>
        <w:t xml:space="preserve"> cost</w:t>
      </w:r>
      <w:r w:rsidRPr="0058384E">
        <w:rPr>
          <w:rFonts w:ascii="Arial" w:hAnsi="Arial" w:cs="Arial"/>
          <w:color w:val="000000"/>
        </w:rPr>
        <w:t xml:space="preserve"> prices </w:t>
      </w:r>
      <w:r>
        <w:rPr>
          <w:rFonts w:ascii="Arial" w:hAnsi="Arial" w:cs="Arial"/>
          <w:color w:val="000000"/>
        </w:rPr>
        <w:t>across the market, including those paid by our Co-op</w:t>
      </w:r>
      <w:r w:rsidRPr="0058384E">
        <w:rPr>
          <w:rFonts w:ascii="Arial" w:hAnsi="Arial" w:cs="Arial"/>
          <w:color w:val="000000"/>
        </w:rPr>
        <w:t>.</w:t>
      </w:r>
    </w:p>
    <w:p w14:paraId="6D7D7D7F" w14:textId="77777777" w:rsidR="00514B73" w:rsidRDefault="00514B73" w:rsidP="00514B73">
      <w:pPr>
        <w:pStyle w:val="ListParagraph"/>
        <w:numPr>
          <w:ilvl w:val="0"/>
          <w:numId w:val="20"/>
        </w:numPr>
        <w:spacing w:after="160" w:line="240" w:lineRule="auto"/>
        <w:rPr>
          <w:rFonts w:ascii="Arial" w:hAnsi="Arial" w:cs="Arial"/>
        </w:rPr>
      </w:pPr>
      <w:r>
        <w:rPr>
          <w:rFonts w:ascii="Arial" w:hAnsi="Arial" w:cs="Arial"/>
        </w:rPr>
        <w:t>Rapid inflation increased other costs across the market, which impacted our Group as we worked to serve our members and customers.</w:t>
      </w:r>
    </w:p>
    <w:p w14:paraId="024464D5" w14:textId="77777777" w:rsidR="00514B73" w:rsidRPr="00D41A35" w:rsidRDefault="00514B73" w:rsidP="00514B73">
      <w:pPr>
        <w:pStyle w:val="ListParagraph"/>
        <w:numPr>
          <w:ilvl w:val="0"/>
          <w:numId w:val="20"/>
        </w:numPr>
        <w:spacing w:after="160" w:line="240" w:lineRule="auto"/>
        <w:rPr>
          <w:rFonts w:ascii="Arial" w:hAnsi="Arial" w:cs="Arial"/>
        </w:rPr>
      </w:pPr>
      <w:r>
        <w:rPr>
          <w:rFonts w:ascii="Arial" w:hAnsi="Arial" w:cs="Arial"/>
        </w:rPr>
        <w:t>When we consider our year-on-year comparisons, H1 2021 included a third national lockdown, which positively impacted our financial performance, with more members and customers relying on our stores instead of eating out at pubs and restaurants.</w:t>
      </w:r>
    </w:p>
    <w:p w14:paraId="14DCDDE1" w14:textId="77777777" w:rsidR="00514B73" w:rsidRDefault="00514B73" w:rsidP="00514B73">
      <w:pPr>
        <w:spacing w:line="240" w:lineRule="auto"/>
        <w:rPr>
          <w:rFonts w:ascii="Arial" w:hAnsi="Arial" w:cs="Arial"/>
        </w:rPr>
      </w:pPr>
      <w:r>
        <w:rPr>
          <w:rFonts w:ascii="Arial" w:hAnsi="Arial" w:cs="Arial"/>
        </w:rPr>
        <w:t>Therefore, o</w:t>
      </w:r>
      <w:r w:rsidRPr="0092532D">
        <w:rPr>
          <w:rFonts w:ascii="Arial" w:hAnsi="Arial" w:cs="Arial"/>
        </w:rPr>
        <w:t>ur profitability fell</w:t>
      </w:r>
      <w:r>
        <w:rPr>
          <w:rFonts w:ascii="Arial" w:hAnsi="Arial" w:cs="Arial"/>
        </w:rPr>
        <w:t xml:space="preserve"> in H1 this year</w:t>
      </w:r>
      <w:r w:rsidRPr="0092532D">
        <w:rPr>
          <w:rFonts w:ascii="Arial" w:hAnsi="Arial" w:cs="Arial"/>
        </w:rPr>
        <w:t>, with an underlying profit of £41 million (</w:t>
      </w:r>
      <w:r>
        <w:rPr>
          <w:rFonts w:ascii="Arial" w:hAnsi="Arial" w:cs="Arial"/>
        </w:rPr>
        <w:t xml:space="preserve">H1 </w:t>
      </w:r>
      <w:r w:rsidRPr="0092532D">
        <w:rPr>
          <w:rFonts w:ascii="Arial" w:hAnsi="Arial" w:cs="Arial"/>
        </w:rPr>
        <w:t>2021: £68 million)</w:t>
      </w:r>
      <w:r>
        <w:rPr>
          <w:rFonts w:ascii="Arial" w:hAnsi="Arial" w:cs="Arial"/>
        </w:rPr>
        <w:t>.</w:t>
      </w:r>
      <w:r w:rsidRPr="0092532D">
        <w:rPr>
          <w:rFonts w:ascii="Arial" w:hAnsi="Arial" w:cs="Arial"/>
        </w:rPr>
        <w:t xml:space="preserve"> </w:t>
      </w:r>
    </w:p>
    <w:p w14:paraId="7838B171" w14:textId="77777777" w:rsidR="00514B73" w:rsidRDefault="00514B73" w:rsidP="00514B73">
      <w:pPr>
        <w:spacing w:line="240" w:lineRule="auto"/>
        <w:rPr>
          <w:rFonts w:ascii="Arial" w:hAnsi="Arial" w:cs="Arial"/>
        </w:rPr>
      </w:pPr>
      <w:r w:rsidRPr="29059151">
        <w:rPr>
          <w:rFonts w:ascii="Arial" w:hAnsi="Arial" w:cs="Arial"/>
        </w:rPr>
        <w:t xml:space="preserve">The </w:t>
      </w:r>
      <w:proofErr w:type="gramStart"/>
      <w:r w:rsidRPr="29059151">
        <w:rPr>
          <w:rFonts w:ascii="Arial" w:hAnsi="Arial" w:cs="Arial"/>
        </w:rPr>
        <w:t>cost</w:t>
      </w:r>
      <w:r>
        <w:rPr>
          <w:rFonts w:ascii="Arial" w:hAnsi="Arial" w:cs="Arial"/>
        </w:rPr>
        <w:t xml:space="preserve"> </w:t>
      </w:r>
      <w:r w:rsidRPr="29059151">
        <w:rPr>
          <w:rFonts w:ascii="Arial" w:hAnsi="Arial" w:cs="Arial"/>
        </w:rPr>
        <w:t>of</w:t>
      </w:r>
      <w:r>
        <w:rPr>
          <w:rFonts w:ascii="Arial" w:hAnsi="Arial" w:cs="Arial"/>
        </w:rPr>
        <w:t xml:space="preserve"> </w:t>
      </w:r>
      <w:r w:rsidRPr="29059151">
        <w:rPr>
          <w:rFonts w:ascii="Arial" w:hAnsi="Arial" w:cs="Arial"/>
        </w:rPr>
        <w:t>living</w:t>
      </w:r>
      <w:proofErr w:type="gramEnd"/>
      <w:r w:rsidRPr="29059151">
        <w:rPr>
          <w:rFonts w:ascii="Arial" w:hAnsi="Arial" w:cs="Arial"/>
        </w:rPr>
        <w:t xml:space="preserve"> crisis </w:t>
      </w:r>
      <w:r>
        <w:rPr>
          <w:rFonts w:ascii="Arial" w:hAnsi="Arial" w:cs="Arial"/>
        </w:rPr>
        <w:t>is also a contributing factor in the</w:t>
      </w:r>
      <w:r w:rsidRPr="29059151">
        <w:rPr>
          <w:rFonts w:ascii="Arial" w:hAnsi="Arial" w:cs="Arial"/>
        </w:rPr>
        <w:t xml:space="preserve"> fall in profitability</w:t>
      </w:r>
      <w:r>
        <w:rPr>
          <w:rFonts w:ascii="Arial" w:hAnsi="Arial" w:cs="Arial"/>
        </w:rPr>
        <w:t xml:space="preserve"> in H1 2022</w:t>
      </w:r>
      <w:r w:rsidRPr="29059151">
        <w:rPr>
          <w:rFonts w:ascii="Arial" w:hAnsi="Arial" w:cs="Arial"/>
        </w:rPr>
        <w:t xml:space="preserve">, </w:t>
      </w:r>
      <w:r>
        <w:rPr>
          <w:rFonts w:ascii="Arial" w:hAnsi="Arial" w:cs="Arial"/>
        </w:rPr>
        <w:t xml:space="preserve">as </w:t>
      </w:r>
      <w:r w:rsidRPr="29059151">
        <w:rPr>
          <w:rFonts w:ascii="Arial" w:hAnsi="Arial" w:cs="Arial"/>
        </w:rPr>
        <w:t>customers adjust</w:t>
      </w:r>
      <w:r>
        <w:rPr>
          <w:rFonts w:ascii="Arial" w:hAnsi="Arial" w:cs="Arial"/>
        </w:rPr>
        <w:t>ed</w:t>
      </w:r>
      <w:r w:rsidRPr="29059151">
        <w:rPr>
          <w:rFonts w:ascii="Arial" w:hAnsi="Arial" w:cs="Arial"/>
        </w:rPr>
        <w:t xml:space="preserve"> how they work, live and shop. </w:t>
      </w:r>
      <w:r>
        <w:rPr>
          <w:rFonts w:ascii="Arial" w:hAnsi="Arial" w:cs="Arial"/>
        </w:rPr>
        <w:t>C</w:t>
      </w:r>
      <w:r w:rsidRPr="29059151">
        <w:rPr>
          <w:rFonts w:ascii="Arial" w:hAnsi="Arial" w:cs="Arial"/>
        </w:rPr>
        <w:t xml:space="preserve">ustomers </w:t>
      </w:r>
      <w:r>
        <w:rPr>
          <w:rFonts w:ascii="Arial" w:hAnsi="Arial" w:cs="Arial"/>
        </w:rPr>
        <w:t>sought to economise by choosing</w:t>
      </w:r>
      <w:r w:rsidRPr="29059151">
        <w:rPr>
          <w:rFonts w:ascii="Arial" w:hAnsi="Arial" w:cs="Arial"/>
        </w:rPr>
        <w:t xml:space="preserve"> products </w:t>
      </w:r>
      <w:r>
        <w:rPr>
          <w:rFonts w:ascii="Arial" w:hAnsi="Arial" w:cs="Arial"/>
        </w:rPr>
        <w:t>in our stores at</w:t>
      </w:r>
      <w:r w:rsidRPr="29059151">
        <w:rPr>
          <w:rFonts w:ascii="Arial" w:hAnsi="Arial" w:cs="Arial"/>
        </w:rPr>
        <w:t xml:space="preserve"> lower price points</w:t>
      </w:r>
      <w:r>
        <w:rPr>
          <w:rFonts w:ascii="Arial" w:hAnsi="Arial" w:cs="Arial"/>
        </w:rPr>
        <w:t>, including o</w:t>
      </w:r>
      <w:r w:rsidRPr="29059151">
        <w:rPr>
          <w:rFonts w:ascii="Arial" w:hAnsi="Arial" w:cs="Arial"/>
        </w:rPr>
        <w:t>ur Honest Value brand</w:t>
      </w:r>
      <w:r>
        <w:rPr>
          <w:rFonts w:ascii="Arial" w:hAnsi="Arial" w:cs="Arial"/>
        </w:rPr>
        <w:t xml:space="preserve">. </w:t>
      </w:r>
    </w:p>
    <w:p w14:paraId="31FC2F71" w14:textId="77777777" w:rsidR="00514B73" w:rsidRDefault="00514B73" w:rsidP="00514B73">
      <w:pPr>
        <w:spacing w:line="240" w:lineRule="auto"/>
        <w:rPr>
          <w:rFonts w:ascii="Arial" w:hAnsi="Arial" w:cs="Arial"/>
        </w:rPr>
      </w:pPr>
      <w:r>
        <w:rPr>
          <w:rFonts w:ascii="Arial" w:hAnsi="Arial" w:cs="Arial"/>
        </w:rPr>
        <w:t>U</w:t>
      </w:r>
      <w:r w:rsidRPr="29059151">
        <w:rPr>
          <w:rFonts w:ascii="Arial" w:hAnsi="Arial" w:cs="Arial"/>
        </w:rPr>
        <w:t>nderstandably, we also s</w:t>
      </w:r>
      <w:r>
        <w:rPr>
          <w:rFonts w:ascii="Arial" w:hAnsi="Arial" w:cs="Arial"/>
        </w:rPr>
        <w:t>aw</w:t>
      </w:r>
      <w:r w:rsidRPr="29059151">
        <w:rPr>
          <w:rFonts w:ascii="Arial" w:hAnsi="Arial" w:cs="Arial"/>
        </w:rPr>
        <w:t xml:space="preserve"> an overall reduction in basket </w:t>
      </w:r>
      <w:proofErr w:type="gramStart"/>
      <w:r w:rsidRPr="29059151">
        <w:rPr>
          <w:rFonts w:ascii="Arial" w:hAnsi="Arial" w:cs="Arial"/>
        </w:rPr>
        <w:t>sizes</w:t>
      </w:r>
      <w:proofErr w:type="gramEnd"/>
      <w:r>
        <w:rPr>
          <w:rFonts w:ascii="Arial" w:hAnsi="Arial" w:cs="Arial"/>
        </w:rPr>
        <w:t xml:space="preserve"> and w</w:t>
      </w:r>
      <w:r w:rsidRPr="29059151">
        <w:rPr>
          <w:rFonts w:ascii="Arial" w:hAnsi="Arial" w:cs="Arial"/>
        </w:rPr>
        <w:t>e absorb</w:t>
      </w:r>
      <w:r>
        <w:rPr>
          <w:rFonts w:ascii="Arial" w:hAnsi="Arial" w:cs="Arial"/>
        </w:rPr>
        <w:t>ed</w:t>
      </w:r>
      <w:r w:rsidRPr="29059151">
        <w:rPr>
          <w:rFonts w:ascii="Arial" w:hAnsi="Arial" w:cs="Arial"/>
        </w:rPr>
        <w:t xml:space="preserve"> significant energy inflation across our organisation</w:t>
      </w:r>
      <w:r>
        <w:rPr>
          <w:rFonts w:ascii="Arial" w:hAnsi="Arial" w:cs="Arial"/>
        </w:rPr>
        <w:t xml:space="preserve"> in H1, to shield our members and customers from increased costs where we could. We also</w:t>
      </w:r>
      <w:r>
        <w:rPr>
          <w:rFonts w:eastAsia="Times New Roman"/>
        </w:rPr>
        <w:t xml:space="preserve"> </w:t>
      </w:r>
      <w:r w:rsidRPr="00D41A35">
        <w:rPr>
          <w:rFonts w:ascii="Arial" w:eastAsia="Times New Roman" w:hAnsi="Arial" w:cs="Arial"/>
        </w:rPr>
        <w:t>held or reduced prices on around 4,000 food products in the first half of 2022.</w:t>
      </w:r>
    </w:p>
    <w:p w14:paraId="32B4D167" w14:textId="77777777" w:rsidR="00514B73" w:rsidRPr="0092532D" w:rsidRDefault="00514B73" w:rsidP="00514B73">
      <w:pPr>
        <w:spacing w:line="240" w:lineRule="auto"/>
        <w:rPr>
          <w:rFonts w:ascii="Arial" w:hAnsi="Arial" w:cs="Arial"/>
        </w:rPr>
      </w:pPr>
      <w:r>
        <w:rPr>
          <w:rFonts w:ascii="Arial" w:hAnsi="Arial" w:cs="Arial"/>
        </w:rPr>
        <w:lastRenderedPageBreak/>
        <w:t>Profitability was</w:t>
      </w:r>
      <w:r w:rsidRPr="00595AF2">
        <w:rPr>
          <w:rFonts w:ascii="Arial" w:hAnsi="Arial" w:cs="Arial"/>
        </w:rPr>
        <w:t xml:space="preserve"> partly </w:t>
      </w:r>
      <w:r>
        <w:rPr>
          <w:rFonts w:ascii="Arial" w:hAnsi="Arial" w:cs="Arial"/>
        </w:rPr>
        <w:t>affected by</w:t>
      </w:r>
      <w:r w:rsidRPr="00595AF2">
        <w:rPr>
          <w:rFonts w:ascii="Arial" w:hAnsi="Arial" w:cs="Arial"/>
        </w:rPr>
        <w:t xml:space="preserve"> the rollout of our new SAP supply chain systems, as we continued to feel the effects of a global pandemic and supply chain crisis in H1 2022. As with any new software solution, we needed time and resource to embed the systems and realise their potential over the first six months of the year</w:t>
      </w:r>
      <w:r>
        <w:rPr>
          <w:rFonts w:ascii="Arial" w:hAnsi="Arial" w:cs="Arial"/>
        </w:rPr>
        <w:t>,</w:t>
      </w:r>
      <w:r w:rsidRPr="00595AF2">
        <w:rPr>
          <w:rFonts w:ascii="Arial" w:hAnsi="Arial" w:cs="Arial"/>
        </w:rPr>
        <w:t xml:space="preserve"> after introducing them during challenging circumstances. The </w:t>
      </w:r>
      <w:r>
        <w:rPr>
          <w:rFonts w:ascii="Arial" w:hAnsi="Arial" w:cs="Arial"/>
        </w:rPr>
        <w:t>good</w:t>
      </w:r>
      <w:r w:rsidRPr="00595AF2">
        <w:rPr>
          <w:rFonts w:ascii="Arial" w:hAnsi="Arial" w:cs="Arial"/>
        </w:rPr>
        <w:t xml:space="preserve"> news is that we start</w:t>
      </w:r>
      <w:r>
        <w:rPr>
          <w:rFonts w:ascii="Arial" w:hAnsi="Arial" w:cs="Arial"/>
        </w:rPr>
        <w:t>ed</w:t>
      </w:r>
      <w:r w:rsidRPr="00595AF2">
        <w:rPr>
          <w:rFonts w:ascii="Arial" w:hAnsi="Arial" w:cs="Arial"/>
        </w:rPr>
        <w:t xml:space="preserve"> to see encouraging improvements throughout Q2, with availability returning to </w:t>
      </w:r>
      <w:r>
        <w:rPr>
          <w:rFonts w:ascii="Arial" w:hAnsi="Arial" w:cs="Arial"/>
        </w:rPr>
        <w:t xml:space="preserve">pre-Covid </w:t>
      </w:r>
      <w:r w:rsidRPr="00595AF2">
        <w:rPr>
          <w:rFonts w:ascii="Arial" w:hAnsi="Arial" w:cs="Arial"/>
        </w:rPr>
        <w:t xml:space="preserve">levels. </w:t>
      </w:r>
    </w:p>
    <w:p w14:paraId="5DD21D9B" w14:textId="77777777" w:rsidR="00514B73" w:rsidRDefault="00514B73" w:rsidP="00514B73">
      <w:pPr>
        <w:spacing w:line="240" w:lineRule="auto"/>
        <w:rPr>
          <w:rFonts w:ascii="Arial" w:hAnsi="Arial" w:cs="Arial"/>
        </w:rPr>
      </w:pPr>
      <w:r>
        <w:rPr>
          <w:rFonts w:ascii="Arial" w:hAnsi="Arial" w:cs="Arial"/>
        </w:rPr>
        <w:t xml:space="preserve">Also, at an industry level, </w:t>
      </w:r>
      <w:r w:rsidRPr="003C2BEC">
        <w:rPr>
          <w:rFonts w:ascii="Arial" w:hAnsi="Arial" w:cs="Arial"/>
        </w:rPr>
        <w:t>the convenience channel share of the overall UK grocery market reached 12.2% in June. It</w:t>
      </w:r>
      <w:r>
        <w:rPr>
          <w:rFonts w:ascii="Arial" w:hAnsi="Arial" w:cs="Arial"/>
        </w:rPr>
        <w:t xml:space="preserve"> was</w:t>
      </w:r>
      <w:r w:rsidRPr="003C2BEC">
        <w:rPr>
          <w:rFonts w:ascii="Arial" w:hAnsi="Arial" w:cs="Arial"/>
        </w:rPr>
        <w:t xml:space="preserve"> the first time since 2020 that this has been over 12%, and the first time it</w:t>
      </w:r>
      <w:r>
        <w:rPr>
          <w:rFonts w:ascii="Arial" w:hAnsi="Arial" w:cs="Arial"/>
        </w:rPr>
        <w:t xml:space="preserve"> had</w:t>
      </w:r>
      <w:r w:rsidRPr="003C2BEC">
        <w:rPr>
          <w:rFonts w:ascii="Arial" w:hAnsi="Arial" w:cs="Arial"/>
        </w:rPr>
        <w:t xml:space="preserve"> been ahead of the online channel in two years. Co-op's grocery sales </w:t>
      </w:r>
      <w:r>
        <w:rPr>
          <w:rFonts w:ascii="Arial" w:hAnsi="Arial" w:cs="Arial"/>
        </w:rPr>
        <w:t>grew</w:t>
      </w:r>
      <w:r w:rsidRPr="003C2BEC">
        <w:rPr>
          <w:rFonts w:ascii="Arial" w:hAnsi="Arial" w:cs="Arial"/>
        </w:rPr>
        <w:t xml:space="preserve"> period</w:t>
      </w:r>
      <w:r>
        <w:rPr>
          <w:rFonts w:ascii="Arial" w:hAnsi="Arial" w:cs="Arial"/>
        </w:rPr>
        <w:t>-</w:t>
      </w:r>
      <w:r w:rsidRPr="003C2BEC">
        <w:rPr>
          <w:rFonts w:ascii="Arial" w:hAnsi="Arial" w:cs="Arial"/>
        </w:rPr>
        <w:t>on</w:t>
      </w:r>
      <w:r>
        <w:rPr>
          <w:rFonts w:ascii="Arial" w:hAnsi="Arial" w:cs="Arial"/>
        </w:rPr>
        <w:t>-</w:t>
      </w:r>
      <w:r w:rsidRPr="003C2BEC">
        <w:rPr>
          <w:rFonts w:ascii="Arial" w:hAnsi="Arial" w:cs="Arial"/>
        </w:rPr>
        <w:t>period throughout H1 2022, and we're one of the only retailers for whom this was the case</w:t>
      </w:r>
      <w:r>
        <w:rPr>
          <w:rFonts w:ascii="Arial" w:hAnsi="Arial" w:cs="Arial"/>
        </w:rPr>
        <w:t xml:space="preserve"> (using Kantar’s periodic data, where a period equals 4 weeks)</w:t>
      </w:r>
      <w:r w:rsidRPr="003C2BEC">
        <w:rPr>
          <w:rFonts w:ascii="Arial" w:hAnsi="Arial" w:cs="Arial"/>
        </w:rPr>
        <w:t xml:space="preserve">. </w:t>
      </w:r>
    </w:p>
    <w:p w14:paraId="60C69E32" w14:textId="77777777" w:rsidR="00514B73" w:rsidRPr="0092532D" w:rsidRDefault="00514B73" w:rsidP="00514B73">
      <w:pPr>
        <w:spacing w:line="240" w:lineRule="auto"/>
        <w:rPr>
          <w:rFonts w:ascii="Arial" w:hAnsi="Arial" w:cs="Arial"/>
        </w:rPr>
      </w:pPr>
      <w:r w:rsidRPr="003C2BEC">
        <w:rPr>
          <w:rFonts w:ascii="Arial" w:hAnsi="Arial" w:cs="Arial"/>
        </w:rPr>
        <w:t xml:space="preserve">This growth </w:t>
      </w:r>
      <w:r>
        <w:rPr>
          <w:rFonts w:ascii="Arial" w:hAnsi="Arial" w:cs="Arial"/>
        </w:rPr>
        <w:t>was</w:t>
      </w:r>
      <w:r w:rsidRPr="003C2BEC">
        <w:rPr>
          <w:rFonts w:ascii="Arial" w:hAnsi="Arial" w:cs="Arial"/>
        </w:rPr>
        <w:t xml:space="preserve"> driven partly by an increase in the shopping frequency of Co-op shoppers and partly by price inflation, which affected the entire grocery market in H1. </w:t>
      </w:r>
      <w:r w:rsidRPr="00786282">
        <w:rPr>
          <w:rFonts w:ascii="Arial" w:hAnsi="Arial" w:cs="Arial"/>
        </w:rPr>
        <w:t>Grocery inflation climb</w:t>
      </w:r>
      <w:r>
        <w:rPr>
          <w:rFonts w:ascii="Arial" w:hAnsi="Arial" w:cs="Arial"/>
        </w:rPr>
        <w:t>ed</w:t>
      </w:r>
      <w:r w:rsidRPr="00786282">
        <w:rPr>
          <w:rFonts w:ascii="Arial" w:hAnsi="Arial" w:cs="Arial"/>
        </w:rPr>
        <w:t xml:space="preserve"> steadily for 16 consecutive periods, reaching +8.3% in June 2022, its highest level since 2009 (Data source: Kantar Worldpanel take-home grocery sales 4 weeks to 12 June 2022).</w:t>
      </w:r>
    </w:p>
    <w:p w14:paraId="3EAFCAAB" w14:textId="77777777" w:rsidR="00514B73" w:rsidRPr="00523225" w:rsidRDefault="00514B73" w:rsidP="00514B73">
      <w:pPr>
        <w:spacing w:line="240" w:lineRule="auto"/>
        <w:rPr>
          <w:rFonts w:ascii="Arial" w:hAnsi="Arial" w:cs="Arial"/>
        </w:rPr>
      </w:pPr>
      <w:r w:rsidRPr="00523225">
        <w:rPr>
          <w:rFonts w:ascii="Arial" w:hAnsi="Arial" w:cs="Arial"/>
        </w:rPr>
        <w:t>Our Wholesale business</w:t>
      </w:r>
      <w:r>
        <w:rPr>
          <w:rFonts w:ascii="Arial" w:hAnsi="Arial" w:cs="Arial"/>
        </w:rPr>
        <w:t xml:space="preserve">, </w:t>
      </w:r>
      <w:r w:rsidRPr="00523225">
        <w:rPr>
          <w:rFonts w:ascii="Arial" w:hAnsi="Arial" w:cs="Arial"/>
        </w:rPr>
        <w:t>covering the former Nisa wholesale business and our emerging franchise operations</w:t>
      </w:r>
      <w:r>
        <w:rPr>
          <w:rFonts w:ascii="Arial" w:hAnsi="Arial" w:cs="Arial"/>
        </w:rPr>
        <w:t>,</w:t>
      </w:r>
      <w:r w:rsidRPr="00523225">
        <w:rPr>
          <w:rFonts w:ascii="Arial" w:hAnsi="Arial" w:cs="Arial"/>
        </w:rPr>
        <w:t xml:space="preserve"> generated sales of £0.7 billion</w:t>
      </w:r>
      <w:r>
        <w:rPr>
          <w:rFonts w:ascii="Arial" w:hAnsi="Arial" w:cs="Arial"/>
        </w:rPr>
        <w:t xml:space="preserve"> in H1 2022</w:t>
      </w:r>
      <w:r w:rsidRPr="00523225">
        <w:rPr>
          <w:rFonts w:ascii="Arial" w:hAnsi="Arial" w:cs="Arial"/>
        </w:rPr>
        <w:t xml:space="preserve">, </w:t>
      </w:r>
      <w:r>
        <w:rPr>
          <w:rFonts w:ascii="Arial" w:hAnsi="Arial" w:cs="Arial"/>
        </w:rPr>
        <w:t xml:space="preserve">broadly </w:t>
      </w:r>
      <w:r w:rsidRPr="00523225">
        <w:rPr>
          <w:rFonts w:ascii="Arial" w:hAnsi="Arial" w:cs="Arial"/>
        </w:rPr>
        <w:t xml:space="preserve">in line with </w:t>
      </w:r>
      <w:r>
        <w:rPr>
          <w:rFonts w:ascii="Arial" w:hAnsi="Arial" w:cs="Arial"/>
        </w:rPr>
        <w:t xml:space="preserve">the same period in </w:t>
      </w:r>
      <w:r w:rsidRPr="00523225">
        <w:rPr>
          <w:rFonts w:ascii="Arial" w:hAnsi="Arial" w:cs="Arial"/>
        </w:rPr>
        <w:t xml:space="preserve">2021. This reflects a solid performance </w:t>
      </w:r>
      <w:proofErr w:type="gramStart"/>
      <w:r w:rsidRPr="00523225">
        <w:rPr>
          <w:rFonts w:ascii="Arial" w:hAnsi="Arial" w:cs="Arial"/>
        </w:rPr>
        <w:t>in light of</w:t>
      </w:r>
      <w:proofErr w:type="gramEnd"/>
      <w:r w:rsidRPr="00523225">
        <w:rPr>
          <w:rFonts w:ascii="Arial" w:hAnsi="Arial" w:cs="Arial"/>
        </w:rPr>
        <w:t xml:space="preserve"> the bigger economic headwinds impacting all retailers. The underlying profit of £4 million continues the upward trend of improving profitability for Wholesale</w:t>
      </w:r>
      <w:r>
        <w:rPr>
          <w:rFonts w:ascii="Arial" w:hAnsi="Arial" w:cs="Arial"/>
        </w:rPr>
        <w:t>,</w:t>
      </w:r>
      <w:r w:rsidRPr="00523225">
        <w:rPr>
          <w:rFonts w:ascii="Arial" w:hAnsi="Arial" w:cs="Arial"/>
        </w:rPr>
        <w:t xml:space="preserve"> demonstrating the underlying strength of the collaboration between Co-op and Nisa and the associated benefits that can be passed through to Nisa customers.  </w:t>
      </w:r>
    </w:p>
    <w:p w14:paraId="78FEC82D" w14:textId="77777777" w:rsidR="00514B73" w:rsidRPr="00816E85" w:rsidRDefault="00514B73" w:rsidP="00514B73">
      <w:pPr>
        <w:pStyle w:val="ListParagraph"/>
        <w:numPr>
          <w:ilvl w:val="0"/>
          <w:numId w:val="25"/>
        </w:numPr>
        <w:spacing w:after="160" w:line="240" w:lineRule="auto"/>
        <w:rPr>
          <w:rFonts w:ascii="Arial" w:hAnsi="Arial" w:cs="Arial"/>
        </w:rPr>
      </w:pPr>
      <w:r w:rsidRPr="00816E85">
        <w:rPr>
          <w:rFonts w:ascii="Arial" w:hAnsi="Arial" w:cs="Arial"/>
          <w:b/>
          <w:bCs/>
        </w:rPr>
        <w:t>Our progress so far this year</w:t>
      </w:r>
    </w:p>
    <w:p w14:paraId="6152602E" w14:textId="77777777" w:rsidR="00514B73" w:rsidRPr="00523225" w:rsidRDefault="00514B73" w:rsidP="00514B73">
      <w:pPr>
        <w:spacing w:line="240" w:lineRule="auto"/>
        <w:rPr>
          <w:rFonts w:ascii="Arial" w:hAnsi="Arial" w:cs="Arial"/>
        </w:rPr>
      </w:pPr>
      <w:r w:rsidRPr="00523225">
        <w:rPr>
          <w:rFonts w:ascii="Arial" w:hAnsi="Arial" w:cs="Arial"/>
        </w:rPr>
        <w:t xml:space="preserve">Over the last few years, we've continued to invest in our estate, </w:t>
      </w:r>
      <w:proofErr w:type="gramStart"/>
      <w:r w:rsidRPr="00523225">
        <w:rPr>
          <w:rFonts w:ascii="Arial" w:hAnsi="Arial" w:cs="Arial"/>
        </w:rPr>
        <w:t>infrastructure</w:t>
      </w:r>
      <w:proofErr w:type="gramEnd"/>
      <w:r w:rsidRPr="00523225">
        <w:rPr>
          <w:rFonts w:ascii="Arial" w:hAnsi="Arial" w:cs="Arial"/>
        </w:rPr>
        <w:t xml:space="preserve"> and people. Our</w:t>
      </w:r>
      <w:r>
        <w:rPr>
          <w:rFonts w:ascii="Arial" w:hAnsi="Arial" w:cs="Arial"/>
        </w:rPr>
        <w:t xml:space="preserve"> focus on convenience </w:t>
      </w:r>
      <w:r w:rsidRPr="00523225">
        <w:rPr>
          <w:rFonts w:ascii="Arial" w:hAnsi="Arial" w:cs="Arial"/>
        </w:rPr>
        <w:t xml:space="preserve">has </w:t>
      </w:r>
      <w:r>
        <w:rPr>
          <w:rFonts w:ascii="Arial" w:hAnsi="Arial" w:cs="Arial"/>
        </w:rPr>
        <w:t xml:space="preserve">in turn </w:t>
      </w:r>
      <w:r w:rsidRPr="00523225">
        <w:rPr>
          <w:rFonts w:ascii="Arial" w:hAnsi="Arial" w:cs="Arial"/>
        </w:rPr>
        <w:t>powered up our proposition, extending our reach through our four routes to market - Retail, Online, Wholesale and Franchise - to get closer to where people are. </w:t>
      </w:r>
    </w:p>
    <w:p w14:paraId="3040AC0A" w14:textId="77777777" w:rsidR="00514B73" w:rsidRPr="00523225" w:rsidRDefault="00514B73" w:rsidP="00514B73">
      <w:pPr>
        <w:spacing w:line="240" w:lineRule="auto"/>
        <w:rPr>
          <w:rFonts w:ascii="Arial" w:hAnsi="Arial" w:cs="Arial"/>
        </w:rPr>
      </w:pPr>
      <w:r w:rsidRPr="00CF0718">
        <w:rPr>
          <w:rFonts w:ascii="Arial" w:hAnsi="Arial" w:cs="Arial"/>
        </w:rPr>
        <w:t xml:space="preserve">In January this year, we began repositioning our fresh, </w:t>
      </w:r>
      <w:proofErr w:type="gramStart"/>
      <w:r w:rsidRPr="00CF0718">
        <w:rPr>
          <w:rFonts w:ascii="Arial" w:hAnsi="Arial" w:cs="Arial"/>
        </w:rPr>
        <w:t>chilled</w:t>
      </w:r>
      <w:proofErr w:type="gramEnd"/>
      <w:r w:rsidRPr="00CF0718">
        <w:rPr>
          <w:rFonts w:ascii="Arial" w:hAnsi="Arial" w:cs="Arial"/>
        </w:rPr>
        <w:t xml:space="preserve"> and frozen meals, bringing them together consistently across all our stores so customers could quickly shop our meal offers and easily identify our new offers</w:t>
      </w:r>
      <w:r>
        <w:rPr>
          <w:rFonts w:ascii="Arial" w:hAnsi="Arial" w:cs="Arial"/>
        </w:rPr>
        <w:t>.</w:t>
      </w:r>
    </w:p>
    <w:p w14:paraId="3C14C19E" w14:textId="77777777" w:rsidR="00514B73" w:rsidRPr="00523225" w:rsidRDefault="00514B73" w:rsidP="00514B73">
      <w:pPr>
        <w:spacing w:line="240" w:lineRule="auto"/>
        <w:rPr>
          <w:rFonts w:ascii="Arial" w:hAnsi="Arial" w:cs="Arial"/>
        </w:rPr>
      </w:pPr>
      <w:r w:rsidRPr="00523225">
        <w:rPr>
          <w:rFonts w:ascii="Arial" w:hAnsi="Arial" w:cs="Arial"/>
        </w:rPr>
        <w:t>These changes set up the foundations to help us comply with the Government's new High in Fat, Sugar and Salt</w:t>
      </w:r>
      <w:r>
        <w:rPr>
          <w:rFonts w:ascii="Arial" w:hAnsi="Arial" w:cs="Arial"/>
        </w:rPr>
        <w:t xml:space="preserve"> (HFSS)</w:t>
      </w:r>
      <w:r w:rsidRPr="00523225">
        <w:rPr>
          <w:rFonts w:ascii="Arial" w:hAnsi="Arial" w:cs="Arial"/>
        </w:rPr>
        <w:t xml:space="preserve"> regulation, which comes into force </w:t>
      </w:r>
      <w:r>
        <w:rPr>
          <w:rFonts w:ascii="Arial" w:hAnsi="Arial" w:cs="Arial"/>
        </w:rPr>
        <w:t>for</w:t>
      </w:r>
      <w:r w:rsidRPr="00523225">
        <w:rPr>
          <w:rFonts w:ascii="Arial" w:hAnsi="Arial" w:cs="Arial"/>
        </w:rPr>
        <w:t xml:space="preserve"> England</w:t>
      </w:r>
      <w:r>
        <w:rPr>
          <w:rFonts w:ascii="Arial" w:hAnsi="Arial" w:cs="Arial"/>
        </w:rPr>
        <w:t>-based</w:t>
      </w:r>
      <w:r w:rsidRPr="00523225">
        <w:rPr>
          <w:rFonts w:ascii="Arial" w:hAnsi="Arial" w:cs="Arial"/>
        </w:rPr>
        <w:t xml:space="preserve"> stores </w:t>
      </w:r>
      <w:r>
        <w:rPr>
          <w:rFonts w:ascii="Arial" w:hAnsi="Arial" w:cs="Arial"/>
        </w:rPr>
        <w:t>of</w:t>
      </w:r>
      <w:r w:rsidRPr="00523225">
        <w:rPr>
          <w:rFonts w:ascii="Arial" w:hAnsi="Arial" w:cs="Arial"/>
        </w:rPr>
        <w:t xml:space="preserve"> over 2,000 </w:t>
      </w:r>
      <w:proofErr w:type="spellStart"/>
      <w:r w:rsidRPr="00523225">
        <w:rPr>
          <w:rFonts w:ascii="Arial" w:hAnsi="Arial" w:cs="Arial"/>
        </w:rPr>
        <w:t>sqft</w:t>
      </w:r>
      <w:proofErr w:type="spellEnd"/>
      <w:r w:rsidRPr="00523225">
        <w:rPr>
          <w:rFonts w:ascii="Arial" w:hAnsi="Arial" w:cs="Arial"/>
        </w:rPr>
        <w:t xml:space="preserve"> from October 2022, restricting the way HFSS food and drink products are promoted and displayed in stores and </w:t>
      </w:r>
      <w:r>
        <w:rPr>
          <w:rFonts w:ascii="Arial" w:hAnsi="Arial" w:cs="Arial"/>
        </w:rPr>
        <w:t>ecommerce channels</w:t>
      </w:r>
      <w:r w:rsidRPr="00523225">
        <w:rPr>
          <w:rFonts w:ascii="Arial" w:hAnsi="Arial" w:cs="Arial"/>
        </w:rPr>
        <w:t xml:space="preserve">. </w:t>
      </w:r>
      <w:r>
        <w:rPr>
          <w:rFonts w:ascii="Arial" w:hAnsi="Arial" w:cs="Arial"/>
        </w:rPr>
        <w:t>During H1, we</w:t>
      </w:r>
      <w:r w:rsidRPr="00523225">
        <w:rPr>
          <w:rFonts w:ascii="Arial" w:hAnsi="Arial" w:cs="Arial"/>
        </w:rPr>
        <w:t xml:space="preserve"> beg</w:t>
      </w:r>
      <w:r>
        <w:rPr>
          <w:rFonts w:ascii="Arial" w:hAnsi="Arial" w:cs="Arial"/>
        </w:rPr>
        <w:t>a</w:t>
      </w:r>
      <w:r w:rsidRPr="00523225">
        <w:rPr>
          <w:rFonts w:ascii="Arial" w:hAnsi="Arial" w:cs="Arial"/>
        </w:rPr>
        <w:t xml:space="preserve">n </w:t>
      </w:r>
      <w:r>
        <w:rPr>
          <w:rFonts w:ascii="Arial" w:hAnsi="Arial" w:cs="Arial"/>
        </w:rPr>
        <w:t>to alter the layout of</w:t>
      </w:r>
      <w:r w:rsidRPr="00523225">
        <w:rPr>
          <w:rFonts w:ascii="Arial" w:hAnsi="Arial" w:cs="Arial"/>
        </w:rPr>
        <w:t xml:space="preserve"> over 1,500 stores and </w:t>
      </w:r>
      <w:r>
        <w:rPr>
          <w:rFonts w:ascii="Arial" w:hAnsi="Arial" w:cs="Arial"/>
        </w:rPr>
        <w:t xml:space="preserve">our </w:t>
      </w:r>
      <w:r w:rsidRPr="00523225">
        <w:rPr>
          <w:rFonts w:ascii="Arial" w:hAnsi="Arial" w:cs="Arial"/>
        </w:rPr>
        <w:t xml:space="preserve">online </w:t>
      </w:r>
      <w:r>
        <w:rPr>
          <w:rFonts w:ascii="Arial" w:hAnsi="Arial" w:cs="Arial"/>
        </w:rPr>
        <w:t xml:space="preserve">equivalent </w:t>
      </w:r>
      <w:r w:rsidRPr="00523225">
        <w:rPr>
          <w:rFonts w:ascii="Arial" w:hAnsi="Arial" w:cs="Arial"/>
        </w:rPr>
        <w:t>to comply with the new rules</w:t>
      </w:r>
      <w:r>
        <w:rPr>
          <w:rFonts w:ascii="Arial" w:hAnsi="Arial" w:cs="Arial"/>
        </w:rPr>
        <w:t>. In H2</w:t>
      </w:r>
      <w:r w:rsidRPr="00523225">
        <w:rPr>
          <w:rFonts w:ascii="Arial" w:hAnsi="Arial" w:cs="Arial"/>
        </w:rPr>
        <w:t xml:space="preserve"> we'll provide HFSS training to all our store colleagues in readiness for October. </w:t>
      </w:r>
    </w:p>
    <w:p w14:paraId="035496E7" w14:textId="77777777" w:rsidR="00514B73" w:rsidRPr="00523225" w:rsidRDefault="00514B73" w:rsidP="00514B73">
      <w:pPr>
        <w:spacing w:line="240" w:lineRule="auto"/>
        <w:rPr>
          <w:rFonts w:ascii="Arial" w:hAnsi="Arial" w:cs="Arial"/>
        </w:rPr>
      </w:pPr>
      <w:r w:rsidRPr="00523225">
        <w:rPr>
          <w:rFonts w:ascii="Arial" w:hAnsi="Arial" w:cs="Arial"/>
        </w:rPr>
        <w:t xml:space="preserve">In January, we opened our new Biggleswade depot, our largest regional distribution centre (660,000 </w:t>
      </w:r>
      <w:proofErr w:type="spellStart"/>
      <w:r w:rsidRPr="00523225">
        <w:rPr>
          <w:rFonts w:ascii="Arial" w:hAnsi="Arial" w:cs="Arial"/>
        </w:rPr>
        <w:t>sqft</w:t>
      </w:r>
      <w:proofErr w:type="spellEnd"/>
      <w:r w:rsidRPr="00523225">
        <w:rPr>
          <w:rFonts w:ascii="Arial" w:hAnsi="Arial" w:cs="Arial"/>
        </w:rPr>
        <w:t xml:space="preserve">). The depot </w:t>
      </w:r>
      <w:r>
        <w:rPr>
          <w:rFonts w:ascii="Arial" w:hAnsi="Arial" w:cs="Arial"/>
        </w:rPr>
        <w:t>became</w:t>
      </w:r>
      <w:r w:rsidRPr="00523225">
        <w:rPr>
          <w:rFonts w:ascii="Arial" w:hAnsi="Arial" w:cs="Arial"/>
        </w:rPr>
        <w:t xml:space="preserve"> fully operational</w:t>
      </w:r>
      <w:r>
        <w:rPr>
          <w:rFonts w:ascii="Arial" w:hAnsi="Arial" w:cs="Arial"/>
        </w:rPr>
        <w:t xml:space="preserve"> in H1, as</w:t>
      </w:r>
      <w:r w:rsidRPr="00523225">
        <w:rPr>
          <w:rFonts w:ascii="Arial" w:hAnsi="Arial" w:cs="Arial"/>
        </w:rPr>
        <w:t xml:space="preserve"> the most sustainable and environmentally friendly depot in our network, handling over two million cases of frozen, </w:t>
      </w:r>
      <w:proofErr w:type="gramStart"/>
      <w:r w:rsidRPr="00523225">
        <w:rPr>
          <w:rFonts w:ascii="Arial" w:hAnsi="Arial" w:cs="Arial"/>
        </w:rPr>
        <w:t>ambient</w:t>
      </w:r>
      <w:proofErr w:type="gramEnd"/>
      <w:r w:rsidRPr="00523225">
        <w:rPr>
          <w:rFonts w:ascii="Arial" w:hAnsi="Arial" w:cs="Arial"/>
        </w:rPr>
        <w:t xml:space="preserve"> and fresh products a week. This depot br</w:t>
      </w:r>
      <w:r>
        <w:rPr>
          <w:rFonts w:ascii="Arial" w:hAnsi="Arial" w:cs="Arial"/>
        </w:rPr>
        <w:t>ought</w:t>
      </w:r>
      <w:r w:rsidRPr="00523225">
        <w:rPr>
          <w:rFonts w:ascii="Arial" w:hAnsi="Arial" w:cs="Arial"/>
        </w:rPr>
        <w:t xml:space="preserve"> thousands of products closer to communities across the </w:t>
      </w:r>
      <w:r>
        <w:rPr>
          <w:rFonts w:ascii="Arial" w:hAnsi="Arial" w:cs="Arial"/>
        </w:rPr>
        <w:t xml:space="preserve">South and </w:t>
      </w:r>
      <w:proofErr w:type="gramStart"/>
      <w:r w:rsidRPr="00523225">
        <w:rPr>
          <w:rFonts w:ascii="Arial" w:hAnsi="Arial" w:cs="Arial"/>
        </w:rPr>
        <w:t>South East</w:t>
      </w:r>
      <w:proofErr w:type="gramEnd"/>
      <w:r w:rsidRPr="00523225">
        <w:rPr>
          <w:rFonts w:ascii="Arial" w:hAnsi="Arial" w:cs="Arial"/>
        </w:rPr>
        <w:t>. </w:t>
      </w:r>
    </w:p>
    <w:p w14:paraId="5F2DE0DA" w14:textId="77777777" w:rsidR="00514B73" w:rsidRPr="00523225" w:rsidRDefault="00514B73" w:rsidP="00514B73">
      <w:pPr>
        <w:spacing w:line="240" w:lineRule="auto"/>
        <w:rPr>
          <w:rFonts w:ascii="Arial" w:hAnsi="Arial" w:cs="Arial"/>
        </w:rPr>
      </w:pPr>
      <w:r w:rsidRPr="00523225">
        <w:rPr>
          <w:rFonts w:ascii="Arial" w:hAnsi="Arial" w:cs="Arial"/>
        </w:rPr>
        <w:t>In April, we also began to extend and enhance our Newhouse distribution centre as we continue</w:t>
      </w:r>
      <w:r>
        <w:rPr>
          <w:rFonts w:ascii="Arial" w:hAnsi="Arial" w:cs="Arial"/>
        </w:rPr>
        <w:t>d</w:t>
      </w:r>
      <w:r w:rsidRPr="00523225">
        <w:rPr>
          <w:rFonts w:ascii="Arial" w:hAnsi="Arial" w:cs="Arial"/>
        </w:rPr>
        <w:t xml:space="preserve"> </w:t>
      </w:r>
      <w:r>
        <w:rPr>
          <w:rFonts w:ascii="Arial" w:hAnsi="Arial" w:cs="Arial"/>
        </w:rPr>
        <w:t xml:space="preserve">to </w:t>
      </w:r>
      <w:r w:rsidRPr="00523225">
        <w:rPr>
          <w:rFonts w:ascii="Arial" w:hAnsi="Arial" w:cs="Arial"/>
        </w:rPr>
        <w:t xml:space="preserve">strengthen our existing logistics network </w:t>
      </w:r>
      <w:r>
        <w:rPr>
          <w:rFonts w:ascii="Arial" w:hAnsi="Arial" w:cs="Arial"/>
        </w:rPr>
        <w:t xml:space="preserve">in H1, </w:t>
      </w:r>
      <w:r w:rsidRPr="00523225">
        <w:rPr>
          <w:rFonts w:ascii="Arial" w:hAnsi="Arial" w:cs="Arial"/>
        </w:rPr>
        <w:t>ensur</w:t>
      </w:r>
      <w:r>
        <w:rPr>
          <w:rFonts w:ascii="Arial" w:hAnsi="Arial" w:cs="Arial"/>
        </w:rPr>
        <w:t>ing</w:t>
      </w:r>
      <w:r w:rsidRPr="00523225">
        <w:rPr>
          <w:rFonts w:ascii="Arial" w:hAnsi="Arial" w:cs="Arial"/>
        </w:rPr>
        <w:t xml:space="preserve"> we have the right distribution facilities to deliver improved services and access to food conveniently for our communities in</w:t>
      </w:r>
      <w:r>
        <w:rPr>
          <w:rFonts w:ascii="Arial" w:hAnsi="Arial" w:cs="Arial"/>
        </w:rPr>
        <w:t>to</w:t>
      </w:r>
      <w:r w:rsidRPr="00523225">
        <w:rPr>
          <w:rFonts w:ascii="Arial" w:hAnsi="Arial" w:cs="Arial"/>
        </w:rPr>
        <w:t xml:space="preserve"> the future.</w:t>
      </w:r>
    </w:p>
    <w:p w14:paraId="7E17E93B" w14:textId="77777777" w:rsidR="00514B73" w:rsidRDefault="00514B73" w:rsidP="00514B73">
      <w:pPr>
        <w:spacing w:line="240" w:lineRule="auto"/>
        <w:rPr>
          <w:rFonts w:ascii="Arial" w:hAnsi="Arial" w:cs="Arial"/>
        </w:rPr>
      </w:pPr>
      <w:r w:rsidRPr="29059151">
        <w:rPr>
          <w:rFonts w:ascii="Arial" w:hAnsi="Arial" w:cs="Arial"/>
        </w:rPr>
        <w:t xml:space="preserve">We also began an 18-month programme to revamp every category in our shops to ensure real customer value through our four levers of price, promotions, </w:t>
      </w:r>
      <w:proofErr w:type="gramStart"/>
      <w:r w:rsidRPr="29059151">
        <w:rPr>
          <w:rFonts w:ascii="Arial" w:hAnsi="Arial" w:cs="Arial"/>
        </w:rPr>
        <w:t>range</w:t>
      </w:r>
      <w:proofErr w:type="gramEnd"/>
      <w:r w:rsidRPr="29059151">
        <w:rPr>
          <w:rFonts w:ascii="Arial" w:hAnsi="Arial" w:cs="Arial"/>
        </w:rPr>
        <w:t xml:space="preserve"> and quality</w:t>
      </w:r>
      <w:r>
        <w:rPr>
          <w:rFonts w:ascii="Arial" w:hAnsi="Arial" w:cs="Arial"/>
        </w:rPr>
        <w:t>. I</w:t>
      </w:r>
      <w:r w:rsidRPr="29059151">
        <w:rPr>
          <w:rFonts w:ascii="Arial" w:hAnsi="Arial" w:cs="Arial"/>
        </w:rPr>
        <w:t>n May, we relaunched our Food</w:t>
      </w:r>
      <w:r>
        <w:rPr>
          <w:rFonts w:ascii="Arial" w:hAnsi="Arial" w:cs="Arial"/>
        </w:rPr>
        <w:t>-</w:t>
      </w:r>
      <w:r w:rsidRPr="29059151">
        <w:rPr>
          <w:rFonts w:ascii="Arial" w:hAnsi="Arial" w:cs="Arial"/>
        </w:rPr>
        <w:t>To</w:t>
      </w:r>
      <w:r>
        <w:rPr>
          <w:rFonts w:ascii="Arial" w:hAnsi="Arial" w:cs="Arial"/>
        </w:rPr>
        <w:t>-</w:t>
      </w:r>
      <w:r w:rsidRPr="29059151">
        <w:rPr>
          <w:rFonts w:ascii="Arial" w:hAnsi="Arial" w:cs="Arial"/>
        </w:rPr>
        <w:t>Go range in time for summer, with sushi taking centre stage. To make the range as sustainable as possible, we've removed a significant amount of packaging</w:t>
      </w:r>
      <w:r>
        <w:rPr>
          <w:rFonts w:ascii="Arial" w:hAnsi="Arial" w:cs="Arial"/>
        </w:rPr>
        <w:t xml:space="preserve"> from our sandwiches and salads and replaced </w:t>
      </w:r>
      <w:r w:rsidRPr="000F1C0F">
        <w:rPr>
          <w:rFonts w:ascii="Arial" w:hAnsi="Arial" w:cs="Arial"/>
        </w:rPr>
        <w:t>all single</w:t>
      </w:r>
      <w:r>
        <w:rPr>
          <w:rFonts w:ascii="Arial" w:hAnsi="Arial" w:cs="Arial"/>
        </w:rPr>
        <w:t xml:space="preserve"> </w:t>
      </w:r>
      <w:r w:rsidRPr="000F1C0F">
        <w:rPr>
          <w:rFonts w:ascii="Arial" w:hAnsi="Arial" w:cs="Arial"/>
        </w:rPr>
        <w:t>use cutlery in favour of wooden.</w:t>
      </w:r>
    </w:p>
    <w:p w14:paraId="765B6BB3" w14:textId="77777777" w:rsidR="00514B73" w:rsidRPr="00816E85" w:rsidRDefault="00514B73" w:rsidP="00514B73">
      <w:pPr>
        <w:pStyle w:val="ListParagraph"/>
        <w:numPr>
          <w:ilvl w:val="0"/>
          <w:numId w:val="25"/>
        </w:numPr>
        <w:spacing w:after="160" w:line="240" w:lineRule="auto"/>
        <w:rPr>
          <w:rFonts w:ascii="Arial" w:hAnsi="Arial" w:cs="Arial"/>
        </w:rPr>
      </w:pPr>
      <w:r w:rsidRPr="00816E85">
        <w:rPr>
          <w:rFonts w:ascii="Arial" w:hAnsi="Arial" w:cs="Arial"/>
          <w:b/>
          <w:bCs/>
        </w:rPr>
        <w:t>Improving our customers’ shopping experience</w:t>
      </w:r>
    </w:p>
    <w:p w14:paraId="2C3FA831" w14:textId="77777777" w:rsidR="00514B73" w:rsidRPr="00523225" w:rsidRDefault="00514B73" w:rsidP="00514B73">
      <w:pPr>
        <w:spacing w:line="240" w:lineRule="auto"/>
        <w:rPr>
          <w:rFonts w:ascii="Arial" w:hAnsi="Arial" w:cs="Arial"/>
        </w:rPr>
      </w:pPr>
      <w:r>
        <w:rPr>
          <w:rFonts w:ascii="Arial" w:hAnsi="Arial" w:cs="Arial"/>
        </w:rPr>
        <w:t>In the first half of the year, we remained</w:t>
      </w:r>
      <w:r w:rsidRPr="00523225">
        <w:rPr>
          <w:rFonts w:ascii="Arial" w:hAnsi="Arial" w:cs="Arial"/>
        </w:rPr>
        <w:t xml:space="preserve"> focus</w:t>
      </w:r>
      <w:r>
        <w:rPr>
          <w:rFonts w:ascii="Arial" w:hAnsi="Arial" w:cs="Arial"/>
        </w:rPr>
        <w:t>ed</w:t>
      </w:r>
      <w:r w:rsidRPr="00523225">
        <w:rPr>
          <w:rFonts w:ascii="Arial" w:hAnsi="Arial" w:cs="Arial"/>
        </w:rPr>
        <w:t xml:space="preserve"> on improving our customers’ shopping experience to make it simple, </w:t>
      </w:r>
      <w:proofErr w:type="gramStart"/>
      <w:r w:rsidRPr="00523225">
        <w:rPr>
          <w:rFonts w:ascii="Arial" w:hAnsi="Arial" w:cs="Arial"/>
        </w:rPr>
        <w:t>efficient</w:t>
      </w:r>
      <w:proofErr w:type="gramEnd"/>
      <w:r w:rsidRPr="00523225">
        <w:rPr>
          <w:rFonts w:ascii="Arial" w:hAnsi="Arial" w:cs="Arial"/>
        </w:rPr>
        <w:t xml:space="preserve"> and consistent every time, whilst personalising our offers and our resonance with local communities.</w:t>
      </w:r>
    </w:p>
    <w:p w14:paraId="21242483" w14:textId="77777777" w:rsidR="00514B73" w:rsidRDefault="00514B73" w:rsidP="00514B73">
      <w:pPr>
        <w:spacing w:line="240" w:lineRule="auto"/>
        <w:rPr>
          <w:rFonts w:ascii="Arial" w:hAnsi="Arial" w:cs="Arial"/>
        </w:rPr>
      </w:pPr>
      <w:r w:rsidRPr="004F3573">
        <w:rPr>
          <w:rFonts w:ascii="Arial" w:hAnsi="Arial" w:cs="Arial"/>
        </w:rPr>
        <w:lastRenderedPageBreak/>
        <w:t xml:space="preserve">We rapidly scaled our online offer through our online shop – </w:t>
      </w:r>
      <w:hyperlink r:id="rId14" w:history="1">
        <w:r w:rsidRPr="00826962">
          <w:rPr>
            <w:rStyle w:val="Hyperlink"/>
            <w:rFonts w:ascii="Arial" w:hAnsi="Arial" w:cs="Arial"/>
          </w:rPr>
          <w:t>www.coop.co.uk/shop</w:t>
        </w:r>
      </w:hyperlink>
      <w:r>
        <w:rPr>
          <w:rFonts w:ascii="Arial" w:hAnsi="Arial" w:cs="Arial"/>
        </w:rPr>
        <w:t xml:space="preserve"> </w:t>
      </w:r>
      <w:r w:rsidRPr="004F3573">
        <w:rPr>
          <w:rFonts w:ascii="Arial" w:hAnsi="Arial" w:cs="Arial"/>
        </w:rPr>
        <w:t xml:space="preserve">– and with partners including Deliveroo, Amazon Prime and autonomous robot deliveries with </w:t>
      </w:r>
      <w:proofErr w:type="spellStart"/>
      <w:r w:rsidRPr="004F3573">
        <w:rPr>
          <w:rFonts w:ascii="Arial" w:hAnsi="Arial" w:cs="Arial"/>
        </w:rPr>
        <w:t>Starship</w:t>
      </w:r>
      <w:proofErr w:type="spellEnd"/>
      <w:r w:rsidRPr="004F3573">
        <w:rPr>
          <w:rFonts w:ascii="Arial" w:hAnsi="Arial" w:cs="Arial"/>
        </w:rPr>
        <w:t xml:space="preserve"> Technologies. By the end of H1 2022, our online delivery services were available in 1,794 stores across 852 locations, and Deliveroo was available in 1,215 stores across 447 locations</w:t>
      </w:r>
      <w:r>
        <w:rPr>
          <w:rFonts w:ascii="Arial" w:hAnsi="Arial" w:cs="Arial"/>
        </w:rPr>
        <w:t xml:space="preserve"> -</w:t>
      </w:r>
      <w:r w:rsidRPr="004F3573">
        <w:rPr>
          <w:rFonts w:ascii="Arial" w:hAnsi="Arial" w:cs="Arial"/>
        </w:rPr>
        <w:t xml:space="preserve"> that's almost a 50% increase on H1 2021</w:t>
      </w:r>
      <w:r>
        <w:rPr>
          <w:rFonts w:ascii="Arial" w:hAnsi="Arial" w:cs="Arial"/>
        </w:rPr>
        <w:t>. Of those customers purchasing food products from coop.co.uk, more than 46% were our members.</w:t>
      </w:r>
    </w:p>
    <w:p w14:paraId="02997EB9" w14:textId="6A032636" w:rsidR="00514B73" w:rsidRDefault="00514B73" w:rsidP="00514B73">
      <w:pPr>
        <w:spacing w:line="240" w:lineRule="auto"/>
        <w:rPr>
          <w:rFonts w:ascii="Arial" w:hAnsi="Arial" w:cs="Arial"/>
        </w:rPr>
      </w:pPr>
      <w:r w:rsidRPr="002E70B2">
        <w:rPr>
          <w:rFonts w:ascii="Arial" w:hAnsi="Arial" w:cs="Arial"/>
        </w:rPr>
        <w:t xml:space="preserve">Making shopping quick, </w:t>
      </w:r>
      <w:proofErr w:type="gramStart"/>
      <w:r w:rsidRPr="002E70B2">
        <w:rPr>
          <w:rFonts w:ascii="Arial" w:hAnsi="Arial" w:cs="Arial"/>
        </w:rPr>
        <w:t>easy</w:t>
      </w:r>
      <w:proofErr w:type="gramEnd"/>
      <w:r w:rsidRPr="002E70B2">
        <w:rPr>
          <w:rFonts w:ascii="Arial" w:hAnsi="Arial" w:cs="Arial"/>
        </w:rPr>
        <w:t xml:space="preserve"> and convenient for our members and customers is at the very heart of our approach. We aim to be the most convenient home delivery service as we continue to innovate to meet our customers' needs</w:t>
      </w:r>
      <w:r w:rsidRPr="00523225">
        <w:rPr>
          <w:rFonts w:ascii="Arial" w:hAnsi="Arial" w:cs="Arial"/>
        </w:rPr>
        <w:t>. </w:t>
      </w:r>
    </w:p>
    <w:p w14:paraId="559F3D79" w14:textId="77777777" w:rsidR="00514B73" w:rsidRPr="00816E85" w:rsidRDefault="00514B73" w:rsidP="00514B73">
      <w:pPr>
        <w:pStyle w:val="ListParagraph"/>
        <w:numPr>
          <w:ilvl w:val="0"/>
          <w:numId w:val="25"/>
        </w:numPr>
        <w:spacing w:after="160" w:line="240" w:lineRule="auto"/>
        <w:rPr>
          <w:rFonts w:ascii="Arial" w:hAnsi="Arial" w:cs="Arial"/>
        </w:rPr>
      </w:pPr>
      <w:r w:rsidRPr="00816E85">
        <w:rPr>
          <w:rFonts w:ascii="Arial" w:hAnsi="Arial" w:cs="Arial"/>
          <w:b/>
          <w:bCs/>
        </w:rPr>
        <w:t>Helping food go further and reducing waste</w:t>
      </w:r>
    </w:p>
    <w:p w14:paraId="590622A0" w14:textId="77777777" w:rsidR="00514B73" w:rsidRPr="003D58DB" w:rsidRDefault="00514B73" w:rsidP="00514B73">
      <w:pPr>
        <w:spacing w:line="240" w:lineRule="auto"/>
        <w:rPr>
          <w:rFonts w:ascii="Arial" w:hAnsi="Arial" w:cs="Arial"/>
        </w:rPr>
      </w:pPr>
      <w:r>
        <w:rPr>
          <w:rFonts w:ascii="Arial" w:hAnsi="Arial" w:cs="Arial"/>
        </w:rPr>
        <w:t>According to data from food waste charity WRAP, o</w:t>
      </w:r>
      <w:r w:rsidRPr="003D58DB">
        <w:rPr>
          <w:rFonts w:ascii="Arial" w:hAnsi="Arial" w:cs="Arial"/>
        </w:rPr>
        <w:t>nly 80,000 tonnes of edible surplus food in the UK is shared with charities and community groups</w:t>
      </w:r>
      <w:r>
        <w:rPr>
          <w:rFonts w:ascii="Arial" w:hAnsi="Arial" w:cs="Arial"/>
        </w:rPr>
        <w:t xml:space="preserve"> out of more than 9.5m tonnes (Food surplus and waste in the UK study, October 2021) and we want to see that improve.</w:t>
      </w:r>
    </w:p>
    <w:p w14:paraId="5B6B3289" w14:textId="77777777" w:rsidR="00514B73" w:rsidRPr="003D58DB" w:rsidRDefault="00514B73" w:rsidP="00514B73">
      <w:pPr>
        <w:spacing w:line="240" w:lineRule="auto"/>
        <w:rPr>
          <w:rFonts w:ascii="Arial" w:hAnsi="Arial" w:cs="Arial"/>
        </w:rPr>
      </w:pPr>
      <w:r w:rsidRPr="00CF0718">
        <w:rPr>
          <w:rFonts w:ascii="Arial" w:hAnsi="Arial" w:cs="Arial"/>
        </w:rPr>
        <w:t>In April, we were the first convenience retailer in the UK to replace on-pack use by guidance with best before dates on our entire range of own</w:t>
      </w:r>
      <w:r>
        <w:rPr>
          <w:rFonts w:ascii="Arial" w:hAnsi="Arial" w:cs="Arial"/>
        </w:rPr>
        <w:t xml:space="preserve"> </w:t>
      </w:r>
      <w:r w:rsidRPr="00CF0718">
        <w:rPr>
          <w:rFonts w:ascii="Arial" w:hAnsi="Arial" w:cs="Arial"/>
        </w:rPr>
        <w:t>brand yoghurts</w:t>
      </w:r>
      <w:r>
        <w:rPr>
          <w:rFonts w:ascii="Arial" w:hAnsi="Arial" w:cs="Arial"/>
        </w:rPr>
        <w:t>,</w:t>
      </w:r>
      <w:r w:rsidRPr="00CF0718">
        <w:rPr>
          <w:rFonts w:ascii="Arial" w:hAnsi="Arial" w:cs="Arial"/>
        </w:rPr>
        <w:t xml:space="preserve"> to reduce food waste and help combat the 42,000 tonnes of edible yoghurt thrown away in British homes each year because it is out of date, according to WRAP.</w:t>
      </w:r>
    </w:p>
    <w:p w14:paraId="3A7E8684" w14:textId="77777777" w:rsidR="00514B73" w:rsidRDefault="00514B73" w:rsidP="00514B73">
      <w:pPr>
        <w:spacing w:line="240" w:lineRule="auto"/>
      </w:pPr>
      <w:r w:rsidRPr="0059146A">
        <w:rPr>
          <w:rFonts w:ascii="Arial" w:hAnsi="Arial" w:cs="Arial"/>
        </w:rPr>
        <w:t>We firmly believe that co</w:t>
      </w:r>
      <w:r>
        <w:rPr>
          <w:rFonts w:ascii="Arial" w:hAnsi="Arial" w:cs="Arial"/>
        </w:rPr>
        <w:t>-</w:t>
      </w:r>
      <w:r w:rsidRPr="0059146A">
        <w:rPr>
          <w:rFonts w:ascii="Arial" w:hAnsi="Arial" w:cs="Arial"/>
        </w:rPr>
        <w:t>operation is crucial in helping tackle food poverty and</w:t>
      </w:r>
      <w:r>
        <w:rPr>
          <w:rFonts w:ascii="Arial" w:hAnsi="Arial" w:cs="Arial"/>
        </w:rPr>
        <w:t>,</w:t>
      </w:r>
      <w:r w:rsidRPr="0059146A">
        <w:rPr>
          <w:rFonts w:ascii="Arial" w:hAnsi="Arial" w:cs="Arial"/>
        </w:rPr>
        <w:t xml:space="preserve"> in </w:t>
      </w:r>
      <w:r w:rsidRPr="003D58DB">
        <w:rPr>
          <w:rFonts w:ascii="Arial" w:hAnsi="Arial" w:cs="Arial"/>
        </w:rPr>
        <w:t>June this year, we launched a new digital platform called Caboodle in partnership with Microsoft,</w:t>
      </w:r>
      <w:r>
        <w:rPr>
          <w:rFonts w:ascii="Arial" w:hAnsi="Arial" w:cs="Arial"/>
        </w:rPr>
        <w:t xml:space="preserve"> and with support from</w:t>
      </w:r>
      <w:r w:rsidRPr="003D58DB">
        <w:rPr>
          <w:rFonts w:ascii="Arial" w:hAnsi="Arial" w:cs="Arial"/>
        </w:rPr>
        <w:t xml:space="preserve"> ITG and BJSS. Caboodle enables supermarkets, </w:t>
      </w:r>
      <w:proofErr w:type="gramStart"/>
      <w:r w:rsidRPr="003D58DB">
        <w:rPr>
          <w:rFonts w:ascii="Arial" w:hAnsi="Arial" w:cs="Arial"/>
        </w:rPr>
        <w:t>cafes</w:t>
      </w:r>
      <w:proofErr w:type="gramEnd"/>
      <w:r w:rsidRPr="003D58DB">
        <w:rPr>
          <w:rFonts w:ascii="Arial" w:hAnsi="Arial" w:cs="Arial"/>
        </w:rPr>
        <w:t xml:space="preserve"> and restaurants to share surplus food online, using live notifications to alert community groups, volunteers and charities when slots are available. We started </w:t>
      </w:r>
      <w:r>
        <w:rPr>
          <w:rFonts w:ascii="Arial" w:hAnsi="Arial" w:cs="Arial"/>
        </w:rPr>
        <w:t xml:space="preserve">the </w:t>
      </w:r>
      <w:r w:rsidRPr="003D58DB">
        <w:rPr>
          <w:rFonts w:ascii="Arial" w:hAnsi="Arial" w:cs="Arial"/>
        </w:rPr>
        <w:t xml:space="preserve">roll out </w:t>
      </w:r>
      <w:r>
        <w:rPr>
          <w:rFonts w:ascii="Arial" w:hAnsi="Arial" w:cs="Arial"/>
        </w:rPr>
        <w:t xml:space="preserve">of </w:t>
      </w:r>
      <w:r w:rsidRPr="003D58DB">
        <w:rPr>
          <w:rFonts w:ascii="Arial" w:hAnsi="Arial" w:cs="Arial"/>
        </w:rPr>
        <w:t>Caboodle to all 2,500 Co-op stores</w:t>
      </w:r>
      <w:r>
        <w:rPr>
          <w:rFonts w:ascii="Arial" w:hAnsi="Arial" w:cs="Arial"/>
        </w:rPr>
        <w:t xml:space="preserve"> in H1.</w:t>
      </w:r>
    </w:p>
    <w:p w14:paraId="1AF235CC" w14:textId="77777777" w:rsidR="00514B73" w:rsidRDefault="00514B73" w:rsidP="00514B73">
      <w:pPr>
        <w:spacing w:line="240" w:lineRule="auto"/>
        <w:rPr>
          <w:rFonts w:ascii="Arial" w:hAnsi="Arial" w:cs="Arial"/>
          <w:b/>
          <w:sz w:val="24"/>
          <w:szCs w:val="24"/>
        </w:rPr>
      </w:pPr>
      <w:r>
        <w:rPr>
          <w:rFonts w:ascii="Arial" w:hAnsi="Arial" w:cs="Arial"/>
          <w:b/>
          <w:sz w:val="24"/>
          <w:szCs w:val="24"/>
        </w:rPr>
        <w:t>Funeralcare</w:t>
      </w:r>
    </w:p>
    <w:p w14:paraId="590687DC" w14:textId="77777777" w:rsidR="00514B73" w:rsidRDefault="00514B73" w:rsidP="00514B73">
      <w:pPr>
        <w:pStyle w:val="xxxmsonormal"/>
        <w:spacing w:before="0" w:beforeAutospacing="0" w:after="0" w:afterAutospacing="0"/>
        <w:rPr>
          <w:rFonts w:ascii="Arial" w:hAnsi="Arial" w:cs="Arial"/>
        </w:rPr>
      </w:pPr>
      <w:r>
        <w:rPr>
          <w:rFonts w:ascii="Arial" w:hAnsi="Arial" w:cs="Arial"/>
        </w:rPr>
        <w:t xml:space="preserve">As economic and cost of living challenges continue to affect all parts of our Co-op, members and customers have continued to lean towards simpler and more economical options in Funeralcare too, with more clients opting for our direct cremation and essential funeral services than in previous years. </w:t>
      </w:r>
    </w:p>
    <w:p w14:paraId="6A96D7F7" w14:textId="77777777" w:rsidR="00514B73" w:rsidRDefault="00514B73" w:rsidP="00514B73">
      <w:pPr>
        <w:pStyle w:val="xxxmsonormal"/>
        <w:spacing w:before="0" w:beforeAutospacing="0" w:after="0" w:afterAutospacing="0"/>
        <w:rPr>
          <w:rFonts w:ascii="Arial" w:hAnsi="Arial" w:cs="Arial"/>
        </w:rPr>
      </w:pPr>
    </w:p>
    <w:p w14:paraId="37E7FECA" w14:textId="77777777" w:rsidR="00514B73" w:rsidRDefault="00514B73" w:rsidP="00514B73">
      <w:pPr>
        <w:pStyle w:val="xxxmsonormal"/>
        <w:spacing w:before="0" w:beforeAutospacing="0" w:after="0" w:afterAutospacing="0"/>
        <w:rPr>
          <w:rFonts w:ascii="Arial" w:hAnsi="Arial" w:cs="Arial"/>
        </w:rPr>
      </w:pPr>
      <w:r>
        <w:rPr>
          <w:rFonts w:ascii="Arial" w:hAnsi="Arial" w:cs="Arial"/>
        </w:rPr>
        <w:t>We have worked hard to shield our clients from wider inflationary impacts and proactively reduced the price of our direct cremation funeral option in September 2021 by over 28%, by removing fees that were no longer necessary and making further discounts. We also commenced a strong new marketing campaign profiling our range of services and the personalisation offered by Co-op Funeralcare. This led to a growth in our funeral market share in the first half of 2022 – meaning that more clients are choosing Co-op Funeralcare to support them when they need us the most.</w:t>
      </w:r>
    </w:p>
    <w:p w14:paraId="5A265FFA" w14:textId="77777777" w:rsidR="00514B73" w:rsidRDefault="00514B73" w:rsidP="00514B73">
      <w:pPr>
        <w:pStyle w:val="xxxmsonormal"/>
        <w:spacing w:before="0" w:beforeAutospacing="0" w:after="0" w:afterAutospacing="0"/>
        <w:rPr>
          <w:rFonts w:ascii="Arial" w:hAnsi="Arial" w:cs="Arial"/>
        </w:rPr>
      </w:pPr>
    </w:p>
    <w:p w14:paraId="0D3CD66F" w14:textId="77777777" w:rsidR="00514B73" w:rsidRPr="000E1EB6" w:rsidRDefault="00514B73" w:rsidP="00514B73">
      <w:pPr>
        <w:spacing w:line="240" w:lineRule="auto"/>
        <w:rPr>
          <w:rFonts w:ascii="Arial" w:hAnsi="Arial" w:cs="Arial"/>
          <w:lang w:eastAsia="en-GB"/>
        </w:rPr>
      </w:pPr>
      <w:r w:rsidRPr="000E1EB6">
        <w:rPr>
          <w:rFonts w:ascii="Arial" w:hAnsi="Arial" w:cs="Arial"/>
          <w:lang w:eastAsia="en-GB"/>
        </w:rPr>
        <w:t xml:space="preserve">We have also seen greater volatility in the number of deaths across 2022, which added further challenges to our Funeralcare business across the first half of the year. In the first quarter, deaths were 2.8% below historic averages, increasing in </w:t>
      </w:r>
      <w:r>
        <w:rPr>
          <w:rFonts w:ascii="Arial" w:hAnsi="Arial" w:cs="Arial"/>
          <w:lang w:eastAsia="en-GB"/>
        </w:rPr>
        <w:t xml:space="preserve">the </w:t>
      </w:r>
      <w:r w:rsidRPr="000E1EB6">
        <w:rPr>
          <w:rFonts w:ascii="Arial" w:hAnsi="Arial" w:cs="Arial"/>
          <w:lang w:eastAsia="en-GB"/>
        </w:rPr>
        <w:t>following months s</w:t>
      </w:r>
      <w:r>
        <w:rPr>
          <w:rFonts w:ascii="Arial" w:hAnsi="Arial" w:cs="Arial"/>
          <w:lang w:eastAsia="en-GB"/>
        </w:rPr>
        <w:t>o</w:t>
      </w:r>
      <w:r w:rsidRPr="000E1EB6">
        <w:rPr>
          <w:rFonts w:ascii="Arial" w:hAnsi="Arial" w:cs="Arial"/>
          <w:lang w:eastAsia="en-GB"/>
        </w:rPr>
        <w:t xml:space="preserve"> that </w:t>
      </w:r>
      <w:r>
        <w:rPr>
          <w:rFonts w:ascii="Arial" w:hAnsi="Arial" w:cs="Arial"/>
          <w:lang w:eastAsia="en-GB"/>
        </w:rPr>
        <w:t xml:space="preserve">deaths </w:t>
      </w:r>
      <w:r w:rsidRPr="000E1EB6">
        <w:rPr>
          <w:rFonts w:ascii="Arial" w:hAnsi="Arial" w:cs="Arial"/>
          <w:lang w:eastAsia="en-GB"/>
        </w:rPr>
        <w:t>across the half year were 1.5% higher than pre</w:t>
      </w:r>
      <w:r>
        <w:rPr>
          <w:rFonts w:ascii="Arial" w:hAnsi="Arial" w:cs="Arial"/>
          <w:lang w:eastAsia="en-GB"/>
        </w:rPr>
        <w:t>-</w:t>
      </w:r>
      <w:r w:rsidRPr="000E1EB6">
        <w:rPr>
          <w:rFonts w:ascii="Arial" w:hAnsi="Arial" w:cs="Arial"/>
          <w:lang w:eastAsia="en-GB"/>
        </w:rPr>
        <w:t xml:space="preserve">Covid </w:t>
      </w:r>
      <w:proofErr w:type="gramStart"/>
      <w:r w:rsidRPr="000E1EB6">
        <w:rPr>
          <w:rFonts w:ascii="Arial" w:hAnsi="Arial" w:cs="Arial"/>
          <w:lang w:eastAsia="en-GB"/>
        </w:rPr>
        <w:t>five year</w:t>
      </w:r>
      <w:proofErr w:type="gramEnd"/>
      <w:r w:rsidRPr="000E1EB6">
        <w:rPr>
          <w:rFonts w:ascii="Arial" w:hAnsi="Arial" w:cs="Arial"/>
          <w:lang w:eastAsia="en-GB"/>
        </w:rPr>
        <w:t xml:space="preserve"> averages (albeit 6.3% lower than 2021 due to the impact of Covid in that year). </w:t>
      </w:r>
    </w:p>
    <w:p w14:paraId="71FB2747" w14:textId="77777777" w:rsidR="00514B73" w:rsidRPr="00357C3D" w:rsidRDefault="00514B73" w:rsidP="00514B73">
      <w:pPr>
        <w:pStyle w:val="xxxmsonormal"/>
        <w:spacing w:before="0" w:beforeAutospacing="0" w:after="0" w:afterAutospacing="0"/>
        <w:rPr>
          <w:rFonts w:ascii="Arial" w:hAnsi="Arial" w:cs="Arial"/>
        </w:rPr>
      </w:pPr>
      <w:r w:rsidRPr="00357C3D">
        <w:rPr>
          <w:rFonts w:ascii="Arial" w:hAnsi="Arial" w:cs="Arial"/>
        </w:rPr>
        <w:t>Within that context, year</w:t>
      </w:r>
      <w:r>
        <w:rPr>
          <w:rFonts w:ascii="Arial" w:hAnsi="Arial" w:cs="Arial"/>
        </w:rPr>
        <w:t>-</w:t>
      </w:r>
      <w:r w:rsidRPr="00357C3D">
        <w:rPr>
          <w:rFonts w:ascii="Arial" w:hAnsi="Arial" w:cs="Arial"/>
        </w:rPr>
        <w:t>on</w:t>
      </w:r>
      <w:r>
        <w:rPr>
          <w:rFonts w:ascii="Arial" w:hAnsi="Arial" w:cs="Arial"/>
        </w:rPr>
        <w:t>-</w:t>
      </w:r>
      <w:r w:rsidRPr="00357C3D">
        <w:rPr>
          <w:rFonts w:ascii="Arial" w:hAnsi="Arial" w:cs="Arial"/>
        </w:rPr>
        <w:t xml:space="preserve">year revenues were lower in H1 2022 </w:t>
      </w:r>
      <w:r w:rsidRPr="00E71BCA">
        <w:rPr>
          <w:rFonts w:ascii="Arial" w:hAnsi="Arial" w:cs="Arial"/>
          <w:color w:val="242424"/>
          <w:shd w:val="clear" w:color="auto" w:fill="FFFFFF"/>
        </w:rPr>
        <w:t>(H1 2022: £139m, H1 2021</w:t>
      </w:r>
      <w:r>
        <w:rPr>
          <w:rFonts w:ascii="Arial" w:hAnsi="Arial" w:cs="Arial"/>
          <w:color w:val="242424"/>
          <w:shd w:val="clear" w:color="auto" w:fill="FFFFFF"/>
        </w:rPr>
        <w:t>:</w:t>
      </w:r>
      <w:r w:rsidRPr="00E71BCA">
        <w:rPr>
          <w:rFonts w:ascii="Arial" w:hAnsi="Arial" w:cs="Arial"/>
          <w:color w:val="242424"/>
          <w:shd w:val="clear" w:color="auto" w:fill="FFFFFF"/>
        </w:rPr>
        <w:t xml:space="preserve"> £142m)</w:t>
      </w:r>
      <w:r w:rsidRPr="00357C3D">
        <w:rPr>
          <w:rFonts w:ascii="Arial" w:hAnsi="Arial" w:cs="Arial"/>
          <w:color w:val="00B050"/>
        </w:rPr>
        <w:t xml:space="preserve"> </w:t>
      </w:r>
      <w:r w:rsidRPr="00357C3D">
        <w:rPr>
          <w:rFonts w:ascii="Arial" w:hAnsi="Arial" w:cs="Arial"/>
        </w:rPr>
        <w:t xml:space="preserve">and we also saw a reduction in underlying profit in the same period </w:t>
      </w:r>
      <w:r w:rsidRPr="00E71BCA">
        <w:rPr>
          <w:rFonts w:ascii="Arial" w:hAnsi="Arial" w:cs="Arial"/>
          <w:color w:val="242424"/>
          <w:shd w:val="clear" w:color="auto" w:fill="FFFFFF"/>
        </w:rPr>
        <w:t>(H1 2022: £11m, H1 2021: £17m)</w:t>
      </w:r>
      <w:r w:rsidRPr="00357C3D">
        <w:rPr>
          <w:rStyle w:val="xxxapple-converted-space"/>
          <w:rFonts w:ascii="Arial" w:hAnsi="Arial" w:cs="Arial"/>
        </w:rPr>
        <w:t xml:space="preserve">. </w:t>
      </w:r>
      <w:r w:rsidRPr="00357C3D">
        <w:rPr>
          <w:rFonts w:ascii="Arial" w:hAnsi="Arial" w:cs="Arial"/>
        </w:rPr>
        <w:t xml:space="preserve">We’ve also incurred costs in the application and preparation for </w:t>
      </w:r>
      <w:r>
        <w:rPr>
          <w:rFonts w:ascii="Arial" w:hAnsi="Arial" w:cs="Arial"/>
        </w:rPr>
        <w:t>Financial Conduct Authority (</w:t>
      </w:r>
      <w:r w:rsidRPr="00357C3D">
        <w:rPr>
          <w:rFonts w:ascii="Arial" w:hAnsi="Arial" w:cs="Arial"/>
        </w:rPr>
        <w:t>FCA</w:t>
      </w:r>
      <w:r>
        <w:rPr>
          <w:rFonts w:ascii="Arial" w:hAnsi="Arial" w:cs="Arial"/>
        </w:rPr>
        <w:t>)</w:t>
      </w:r>
      <w:r w:rsidRPr="00357C3D">
        <w:rPr>
          <w:rFonts w:ascii="Arial" w:hAnsi="Arial" w:cs="Arial"/>
        </w:rPr>
        <w:t xml:space="preserve"> regulation</w:t>
      </w:r>
      <w:r>
        <w:rPr>
          <w:rFonts w:ascii="Arial" w:hAnsi="Arial" w:cs="Arial"/>
        </w:rPr>
        <w:t xml:space="preserve"> of our funeral plans business</w:t>
      </w:r>
      <w:r w:rsidRPr="00357C3D">
        <w:rPr>
          <w:rFonts w:ascii="Arial" w:hAnsi="Arial" w:cs="Arial"/>
        </w:rPr>
        <w:t>.</w:t>
      </w:r>
    </w:p>
    <w:p w14:paraId="4B1ECF85" w14:textId="77777777" w:rsidR="00514B73" w:rsidRDefault="00514B73" w:rsidP="00514B73">
      <w:pPr>
        <w:pStyle w:val="xxxmsonormal"/>
        <w:spacing w:before="0" w:beforeAutospacing="0" w:after="0" w:afterAutospacing="0"/>
        <w:rPr>
          <w:rFonts w:ascii="Arial" w:hAnsi="Arial" w:cs="Arial"/>
        </w:rPr>
      </w:pPr>
      <w:r>
        <w:rPr>
          <w:rFonts w:ascii="Arial" w:hAnsi="Arial" w:cs="Arial"/>
        </w:rPr>
        <w:t> </w:t>
      </w:r>
    </w:p>
    <w:p w14:paraId="780BFD8D" w14:textId="77777777" w:rsidR="00514B73" w:rsidRDefault="00514B73" w:rsidP="00514B73">
      <w:pPr>
        <w:pStyle w:val="xxxmsonormal"/>
        <w:spacing w:before="0" w:beforeAutospacing="0" w:after="0" w:afterAutospacing="0"/>
        <w:rPr>
          <w:rFonts w:ascii="Arial" w:hAnsi="Arial" w:cs="Arial"/>
        </w:rPr>
      </w:pPr>
      <w:r>
        <w:rPr>
          <w:rFonts w:ascii="Arial" w:hAnsi="Arial" w:cs="Arial"/>
        </w:rPr>
        <w:t xml:space="preserve">As the leading provider of funeral plans in the UK, we’re proud to have worked closely with the FCA as part of our journey to become regulated in H2 this year. We recognise the </w:t>
      </w:r>
      <w:proofErr w:type="gramStart"/>
      <w:r>
        <w:rPr>
          <w:rFonts w:ascii="Arial" w:hAnsi="Arial" w:cs="Arial"/>
        </w:rPr>
        <w:t>much needed</w:t>
      </w:r>
      <w:proofErr w:type="gramEnd"/>
      <w:r>
        <w:rPr>
          <w:rFonts w:ascii="Arial" w:hAnsi="Arial" w:cs="Arial"/>
        </w:rPr>
        <w:t xml:space="preserve"> confidence it will give our consumers, offering valuable protection at a time when they might feel most vulnerable.</w:t>
      </w:r>
    </w:p>
    <w:p w14:paraId="7F0AFB10" w14:textId="77777777" w:rsidR="00514B73" w:rsidRDefault="00514B73" w:rsidP="00514B73">
      <w:pPr>
        <w:pStyle w:val="xxxmsonormal"/>
        <w:spacing w:before="0" w:beforeAutospacing="0" w:after="0" w:afterAutospacing="0"/>
        <w:rPr>
          <w:rFonts w:ascii="Arial" w:hAnsi="Arial" w:cs="Arial"/>
        </w:rPr>
      </w:pPr>
      <w:r>
        <w:rPr>
          <w:rFonts w:ascii="Arial" w:hAnsi="Arial" w:cs="Arial"/>
        </w:rPr>
        <w:t> </w:t>
      </w:r>
    </w:p>
    <w:p w14:paraId="634E83EE" w14:textId="77777777" w:rsidR="00514B73" w:rsidRDefault="00514B73" w:rsidP="00514B73">
      <w:pPr>
        <w:pStyle w:val="xxxmsonormal"/>
        <w:spacing w:before="0" w:beforeAutospacing="0" w:after="0" w:afterAutospacing="0"/>
        <w:rPr>
          <w:rFonts w:ascii="Arial" w:hAnsi="Arial" w:cs="Arial"/>
        </w:rPr>
      </w:pPr>
      <w:r>
        <w:rPr>
          <w:rFonts w:ascii="Arial" w:hAnsi="Arial" w:cs="Arial"/>
        </w:rPr>
        <w:t xml:space="preserve">Market demand for funeral plans has understandably been subdued over the first half of 2022 due to significant changes in the market and the failure of several other </w:t>
      </w:r>
      <w:proofErr w:type="gramStart"/>
      <w:r>
        <w:rPr>
          <w:rFonts w:ascii="Arial" w:hAnsi="Arial" w:cs="Arial"/>
        </w:rPr>
        <w:t>providers  ahead</w:t>
      </w:r>
      <w:proofErr w:type="gramEnd"/>
      <w:r>
        <w:rPr>
          <w:rFonts w:ascii="Arial" w:hAnsi="Arial" w:cs="Arial"/>
        </w:rPr>
        <w:t xml:space="preserve"> of regulation. However, we anticipate consumer confidence returning across the second half of 2022 and then into future years. We believe the strength and heritage of our Co-op brand, alongside our award-winning funeral plans, places us in a strong position for future growth. </w:t>
      </w:r>
    </w:p>
    <w:p w14:paraId="562829AF" w14:textId="77777777" w:rsidR="00514B73" w:rsidRDefault="00514B73" w:rsidP="00514B73">
      <w:pPr>
        <w:pStyle w:val="xxxmsonormal"/>
        <w:spacing w:before="0" w:beforeAutospacing="0" w:after="0" w:afterAutospacing="0"/>
        <w:rPr>
          <w:rFonts w:ascii="Arial" w:hAnsi="Arial" w:cs="Arial"/>
        </w:rPr>
      </w:pPr>
      <w:r>
        <w:rPr>
          <w:rFonts w:ascii="Arial" w:hAnsi="Arial" w:cs="Arial"/>
        </w:rPr>
        <w:t> </w:t>
      </w:r>
    </w:p>
    <w:p w14:paraId="5DD411D0" w14:textId="77777777" w:rsidR="00514B73" w:rsidRDefault="00514B73" w:rsidP="00514B73">
      <w:pPr>
        <w:pStyle w:val="xxxmsonormal"/>
        <w:spacing w:before="0" w:beforeAutospacing="0" w:after="0" w:afterAutospacing="0"/>
        <w:rPr>
          <w:rFonts w:ascii="Arial" w:hAnsi="Arial" w:cs="Arial"/>
        </w:rPr>
      </w:pPr>
      <w:r>
        <w:rPr>
          <w:rFonts w:ascii="Arial" w:hAnsi="Arial" w:cs="Arial"/>
        </w:rPr>
        <w:lastRenderedPageBreak/>
        <w:t>Our commitment to help our clients say their best goodbye remains at the heart of everything we do, and we know that this goes far beyond the day of the funeral. At the start of the year, we launched a new partnership with Cruse Bereavement Care, helping communities to care for the grieving and encouraging people to talk about death and grief more openly.</w:t>
      </w:r>
    </w:p>
    <w:p w14:paraId="2BBC4057" w14:textId="77777777" w:rsidR="00514B73" w:rsidRDefault="00514B73" w:rsidP="00514B73">
      <w:pPr>
        <w:pStyle w:val="xxxmsonormal"/>
        <w:spacing w:before="0" w:beforeAutospacing="0" w:after="0" w:afterAutospacing="0"/>
        <w:rPr>
          <w:rFonts w:ascii="Arial" w:hAnsi="Arial" w:cs="Arial"/>
        </w:rPr>
      </w:pPr>
    </w:p>
    <w:p w14:paraId="6FFD1308" w14:textId="0A659F68" w:rsidR="00514B73" w:rsidRDefault="00514B73" w:rsidP="00514B73">
      <w:pPr>
        <w:pStyle w:val="xxxmsonormal"/>
        <w:spacing w:before="0" w:beforeAutospacing="0" w:after="0" w:afterAutospacing="0"/>
        <w:rPr>
          <w:rFonts w:ascii="Arial" w:hAnsi="Arial" w:cs="Arial"/>
        </w:rPr>
      </w:pPr>
      <w:r>
        <w:rPr>
          <w:rFonts w:ascii="Arial" w:hAnsi="Arial" w:cs="Arial"/>
        </w:rPr>
        <w:t xml:space="preserve">And, as part of our </w:t>
      </w:r>
      <w:r>
        <w:rPr>
          <w:rFonts w:ascii="Arial" w:hAnsi="Arial" w:cs="Arial"/>
          <w:i/>
          <w:iCs/>
        </w:rPr>
        <w:t>‘Co-operating for a Fairer World’</w:t>
      </w:r>
      <w:r>
        <w:rPr>
          <w:rFonts w:ascii="Arial" w:hAnsi="Arial" w:cs="Arial"/>
        </w:rPr>
        <w:t xml:space="preserve"> Vision, we are working hard to do our bit for the planet. Earlier this year we trialled several eco funeral options, such as planting a tree for certain funerals arranged, and we continue to invest in electric vehicles and sustainable product options, setting ourselves up for a greener future. We’re proud to be one of the first UK funeral directors to trial the fully electronic Tesla hearse and </w:t>
      </w:r>
      <w:r w:rsidR="007E11A7">
        <w:rPr>
          <w:rFonts w:ascii="Arial" w:hAnsi="Arial" w:cs="Arial"/>
        </w:rPr>
        <w:t>add</w:t>
      </w:r>
      <w:r>
        <w:rPr>
          <w:rFonts w:ascii="Arial" w:hAnsi="Arial" w:cs="Arial"/>
        </w:rPr>
        <w:t xml:space="preserve"> the electronic Nissan hearse to the trial later in July. </w:t>
      </w:r>
      <w:r w:rsidRPr="00D41A35">
        <w:rPr>
          <w:rFonts w:ascii="Arial" w:hAnsi="Arial" w:cs="Arial"/>
        </w:rPr>
        <w:t>We also began a trial of the</w:t>
      </w:r>
      <w:r w:rsidRPr="00ED3641">
        <w:rPr>
          <w:rFonts w:ascii="Arial" w:hAnsi="Arial" w:cs="Arial"/>
        </w:rPr>
        <w:t xml:space="preserve"> Maxus electric ambulance</w:t>
      </w:r>
      <w:r>
        <w:rPr>
          <w:rFonts w:ascii="Arial" w:hAnsi="Arial" w:cs="Arial"/>
        </w:rPr>
        <w:t xml:space="preserve"> in February this year.  </w:t>
      </w:r>
    </w:p>
    <w:p w14:paraId="5AD01A68" w14:textId="77777777" w:rsidR="00514B73" w:rsidRDefault="00514B73" w:rsidP="00514B73">
      <w:pPr>
        <w:pStyle w:val="xxxmsonormal"/>
        <w:spacing w:before="0" w:beforeAutospacing="0" w:after="0" w:afterAutospacing="0"/>
        <w:rPr>
          <w:rFonts w:ascii="Arial" w:hAnsi="Arial" w:cs="Arial"/>
        </w:rPr>
      </w:pPr>
      <w:r>
        <w:rPr>
          <w:rFonts w:ascii="Arial" w:hAnsi="Arial" w:cs="Arial"/>
        </w:rPr>
        <w:t> </w:t>
      </w:r>
    </w:p>
    <w:p w14:paraId="7C91F566" w14:textId="77777777" w:rsidR="00514B73" w:rsidRDefault="00514B73" w:rsidP="00514B73">
      <w:pPr>
        <w:pStyle w:val="xmsonormal"/>
        <w:rPr>
          <w:rFonts w:ascii="Arial" w:hAnsi="Arial" w:cs="Arial"/>
        </w:rPr>
      </w:pPr>
      <w:r>
        <w:rPr>
          <w:rFonts w:ascii="Arial" w:hAnsi="Arial" w:cs="Arial"/>
        </w:rPr>
        <w:t>We’ve continued to develop our website and telephony channels to improve client accessibility and ease across all our services. As more of our clients are choosing to start their funeral arrangement and initial research outside of a funeral home, we have been using a programme of continuous improvement to ensure a seamless and consistent experience across telephony, online and our branch network. During H1, we developed a new website for launch in H2 to support clients buying one of our regulated funeral plans, as well as new digital bereavement content to complement the 1-to-1 support clients receive in our funeral homes. </w:t>
      </w:r>
    </w:p>
    <w:p w14:paraId="0680404C" w14:textId="77777777" w:rsidR="00514B73" w:rsidRDefault="00514B73" w:rsidP="00514B73">
      <w:pPr>
        <w:pStyle w:val="xmsonormal"/>
        <w:rPr>
          <w:rFonts w:ascii="Arial" w:hAnsi="Arial" w:cs="Arial"/>
        </w:rPr>
      </w:pPr>
      <w:r>
        <w:rPr>
          <w:rFonts w:ascii="Arial" w:hAnsi="Arial" w:cs="Arial"/>
        </w:rPr>
        <w:t> </w:t>
      </w:r>
    </w:p>
    <w:p w14:paraId="012F4901" w14:textId="77777777" w:rsidR="00514B73" w:rsidRDefault="00514B73" w:rsidP="00514B73">
      <w:pPr>
        <w:pStyle w:val="xxxmsonormal"/>
        <w:spacing w:before="0" w:beforeAutospacing="0" w:after="0" w:afterAutospacing="0"/>
        <w:rPr>
          <w:rFonts w:ascii="Arial" w:hAnsi="Arial" w:cs="Arial"/>
        </w:rPr>
      </w:pPr>
      <w:r>
        <w:rPr>
          <w:rFonts w:ascii="Arial" w:hAnsi="Arial" w:cs="Arial"/>
        </w:rPr>
        <w:t xml:space="preserve">While we take all these steps, at the heart of our funeral services business is our people. We are incredibly fortunate to have the most professional and caring team of colleagues who deliver beautiful and unique funerals for our clients and assist with their funeral planning requirements every single day. As a team, we pride ourselves on providing the highest levels of service and care to the bereaved and the deceased, at a time when it is needed the most. The H1 client satisfaction metrics for our funeral services therefore represent continued excellence in this vital space with a </w:t>
      </w:r>
      <w:r w:rsidRPr="00D41A35">
        <w:rPr>
          <w:rFonts w:ascii="Arial" w:hAnsi="Arial" w:cs="Arial"/>
        </w:rPr>
        <w:t xml:space="preserve">97.4% </w:t>
      </w:r>
      <w:r>
        <w:rPr>
          <w:rFonts w:ascii="Arial" w:hAnsi="Arial" w:cs="Arial"/>
        </w:rPr>
        <w:t>satisfaction score.</w:t>
      </w:r>
    </w:p>
    <w:p w14:paraId="07133774" w14:textId="77777777" w:rsidR="00CC1F05" w:rsidRDefault="00CC1F05" w:rsidP="00514B73">
      <w:pPr>
        <w:spacing w:line="240" w:lineRule="auto"/>
        <w:rPr>
          <w:rFonts w:ascii="Arial" w:hAnsi="Arial" w:cs="Arial"/>
          <w:b/>
          <w:sz w:val="24"/>
          <w:szCs w:val="24"/>
        </w:rPr>
      </w:pPr>
    </w:p>
    <w:p w14:paraId="22FF67B5" w14:textId="5B5FD8F6" w:rsidR="00514B73" w:rsidRDefault="00514B73" w:rsidP="00514B73">
      <w:pPr>
        <w:spacing w:line="240" w:lineRule="auto"/>
        <w:rPr>
          <w:rFonts w:ascii="Arial" w:hAnsi="Arial" w:cs="Arial"/>
          <w:b/>
          <w:sz w:val="24"/>
          <w:szCs w:val="24"/>
        </w:rPr>
      </w:pPr>
      <w:r w:rsidRPr="00A77266">
        <w:rPr>
          <w:rFonts w:ascii="Arial" w:hAnsi="Arial" w:cs="Arial"/>
          <w:b/>
          <w:sz w:val="24"/>
          <w:szCs w:val="24"/>
        </w:rPr>
        <w:t>Insurance</w:t>
      </w:r>
      <w:r>
        <w:rPr>
          <w:rFonts w:ascii="Arial" w:hAnsi="Arial" w:cs="Arial"/>
          <w:b/>
          <w:sz w:val="24"/>
          <w:szCs w:val="24"/>
        </w:rPr>
        <w:t xml:space="preserve"> </w:t>
      </w:r>
    </w:p>
    <w:p w14:paraId="3B3A4469" w14:textId="77777777" w:rsidR="00514B73" w:rsidRPr="00E71BCA" w:rsidRDefault="00514B73" w:rsidP="00514B73">
      <w:pPr>
        <w:spacing w:line="240" w:lineRule="auto"/>
        <w:rPr>
          <w:rFonts w:ascii="Arial" w:hAnsi="Arial" w:cs="Arial"/>
        </w:rPr>
      </w:pPr>
      <w:r w:rsidRPr="00E71BCA">
        <w:rPr>
          <w:rFonts w:ascii="Arial" w:hAnsi="Arial" w:cs="Arial"/>
        </w:rPr>
        <w:t xml:space="preserve">So far this year, our insurance business has performed in line with our forecast, despite the challenging conditions experienced by the </w:t>
      </w:r>
      <w:r>
        <w:rPr>
          <w:rFonts w:ascii="Arial" w:hAnsi="Arial" w:cs="Arial"/>
        </w:rPr>
        <w:t>G</w:t>
      </w:r>
      <w:r w:rsidRPr="00E71BCA">
        <w:rPr>
          <w:rFonts w:ascii="Arial" w:hAnsi="Arial" w:cs="Arial"/>
        </w:rPr>
        <w:t xml:space="preserve">roup overall. We predicted a reduced revenue this year whilst our relationship with </w:t>
      </w:r>
      <w:proofErr w:type="spellStart"/>
      <w:r w:rsidRPr="00E71BCA">
        <w:rPr>
          <w:rFonts w:ascii="Arial" w:hAnsi="Arial" w:cs="Arial"/>
        </w:rPr>
        <w:t>Markerstudy</w:t>
      </w:r>
      <w:proofErr w:type="spellEnd"/>
      <w:r w:rsidRPr="00E71BCA">
        <w:rPr>
          <w:rFonts w:ascii="Arial" w:hAnsi="Arial" w:cs="Arial"/>
        </w:rPr>
        <w:t xml:space="preserve"> continues to be embedded and we settle into our new distribution business model and ways of working (Insurance </w:t>
      </w:r>
      <w:r>
        <w:rPr>
          <w:rFonts w:ascii="Arial" w:hAnsi="Arial" w:cs="Arial"/>
        </w:rPr>
        <w:t>income</w:t>
      </w:r>
      <w:r w:rsidRPr="00E71BCA">
        <w:rPr>
          <w:rFonts w:ascii="Arial" w:hAnsi="Arial" w:cs="Arial"/>
        </w:rPr>
        <w:t xml:space="preserve"> H1 2022: £11m; H1 2021: £18m</w:t>
      </w:r>
      <w:r>
        <w:rPr>
          <w:rFonts w:ascii="Arial" w:hAnsi="Arial" w:cs="Arial"/>
        </w:rPr>
        <w:t>.</w:t>
      </w:r>
      <w:r w:rsidRPr="00E71BCA">
        <w:rPr>
          <w:rFonts w:ascii="Arial" w:hAnsi="Arial" w:cs="Arial"/>
        </w:rPr>
        <w:t>)</w:t>
      </w:r>
    </w:p>
    <w:p w14:paraId="455F5470" w14:textId="77777777" w:rsidR="00514B73" w:rsidRPr="00B36FD0" w:rsidRDefault="00514B73" w:rsidP="00514B73">
      <w:pPr>
        <w:pStyle w:val="ListParagraph"/>
        <w:numPr>
          <w:ilvl w:val="0"/>
          <w:numId w:val="25"/>
        </w:numPr>
        <w:spacing w:after="160" w:line="240" w:lineRule="auto"/>
        <w:rPr>
          <w:rFonts w:ascii="Arial" w:hAnsi="Arial" w:cs="Arial"/>
          <w:b/>
          <w:bCs/>
        </w:rPr>
      </w:pPr>
      <w:r w:rsidRPr="00B36FD0">
        <w:rPr>
          <w:rFonts w:ascii="Arial" w:hAnsi="Arial" w:cs="Arial"/>
          <w:b/>
          <w:bCs/>
        </w:rPr>
        <w:t xml:space="preserve">H1 performance </w:t>
      </w:r>
    </w:p>
    <w:p w14:paraId="75371836" w14:textId="77777777" w:rsidR="00514B73" w:rsidRPr="00E71BCA" w:rsidRDefault="00514B73" w:rsidP="00514B73">
      <w:pPr>
        <w:spacing w:line="240" w:lineRule="auto"/>
        <w:rPr>
          <w:rFonts w:ascii="Arial" w:hAnsi="Arial" w:cs="Arial"/>
          <w:color w:val="00B050"/>
        </w:rPr>
      </w:pPr>
      <w:r w:rsidRPr="00E71BCA">
        <w:rPr>
          <w:rFonts w:ascii="Arial" w:hAnsi="Arial" w:cs="Arial"/>
        </w:rPr>
        <w:t xml:space="preserve">It’s been a mixed year so far across our product range. The changes to </w:t>
      </w:r>
      <w:r>
        <w:rPr>
          <w:rFonts w:ascii="Arial" w:hAnsi="Arial" w:cs="Arial"/>
        </w:rPr>
        <w:t>c</w:t>
      </w:r>
      <w:r w:rsidRPr="00E71BCA">
        <w:rPr>
          <w:rFonts w:ascii="Arial" w:hAnsi="Arial" w:cs="Arial"/>
        </w:rPr>
        <w:t xml:space="preserve">ar and </w:t>
      </w:r>
      <w:r>
        <w:rPr>
          <w:rFonts w:ascii="Arial" w:hAnsi="Arial" w:cs="Arial"/>
        </w:rPr>
        <w:t>h</w:t>
      </w:r>
      <w:r w:rsidRPr="00E71BCA">
        <w:rPr>
          <w:rFonts w:ascii="Arial" w:hAnsi="Arial" w:cs="Arial"/>
        </w:rPr>
        <w:t>ome insurance</w:t>
      </w:r>
      <w:r>
        <w:rPr>
          <w:rFonts w:ascii="Arial" w:hAnsi="Arial" w:cs="Arial"/>
        </w:rPr>
        <w:t>,</w:t>
      </w:r>
      <w:r w:rsidRPr="00E71BCA">
        <w:rPr>
          <w:rFonts w:ascii="Arial" w:hAnsi="Arial" w:cs="Arial"/>
        </w:rPr>
        <w:t xml:space="preserve"> brought about by the General Insurance Pricing and Practices regulations introduced at the start of the year, which ensures loyal customers are treated the same as new customers, have impacted the whole market. We’ve seen a real change in consumer behaviour as a result. Many customers are now seeing no change or even a price decrease </w:t>
      </w:r>
      <w:r>
        <w:rPr>
          <w:rFonts w:ascii="Arial" w:hAnsi="Arial" w:cs="Arial"/>
        </w:rPr>
        <w:t>in</w:t>
      </w:r>
      <w:r w:rsidRPr="00E71BCA">
        <w:rPr>
          <w:rFonts w:ascii="Arial" w:hAnsi="Arial" w:cs="Arial"/>
        </w:rPr>
        <w:t xml:space="preserve"> their insurance at renewal, which has resulted in fewer customers shopping around, using price comparison </w:t>
      </w:r>
      <w:proofErr w:type="gramStart"/>
      <w:r w:rsidRPr="00E71BCA">
        <w:rPr>
          <w:rFonts w:ascii="Arial" w:hAnsi="Arial" w:cs="Arial"/>
        </w:rPr>
        <w:t>websites</w:t>
      </w:r>
      <w:proofErr w:type="gramEnd"/>
      <w:r w:rsidRPr="00E71BCA">
        <w:rPr>
          <w:rFonts w:ascii="Arial" w:hAnsi="Arial" w:cs="Arial"/>
        </w:rPr>
        <w:t xml:space="preserve"> or switching suppliers at renewal. The car insurance market has also contracted at the same time</w:t>
      </w:r>
      <w:r>
        <w:rPr>
          <w:rFonts w:ascii="Arial" w:hAnsi="Arial" w:cs="Arial"/>
        </w:rPr>
        <w:t>,</w:t>
      </w:r>
      <w:r w:rsidRPr="00E71BCA">
        <w:rPr>
          <w:rFonts w:ascii="Arial" w:hAnsi="Arial" w:cs="Arial"/>
        </w:rPr>
        <w:t xml:space="preserve"> as new car sales across the UK have hit a 25</w:t>
      </w:r>
      <w:r>
        <w:rPr>
          <w:rFonts w:ascii="Arial" w:hAnsi="Arial" w:cs="Arial"/>
        </w:rPr>
        <w:t>-</w:t>
      </w:r>
      <w:r w:rsidRPr="00E71BCA">
        <w:rPr>
          <w:rFonts w:ascii="Arial" w:hAnsi="Arial" w:cs="Arial"/>
        </w:rPr>
        <w:t xml:space="preserve">year low, impacting the number of customers in the market for new cover. We are also starting to see shortages in the supply chain for spare parts, which is </w:t>
      </w:r>
      <w:r>
        <w:rPr>
          <w:rFonts w:ascii="Arial" w:hAnsi="Arial" w:cs="Arial"/>
        </w:rPr>
        <w:t>beginning</w:t>
      </w:r>
      <w:r w:rsidRPr="00E71BCA">
        <w:rPr>
          <w:rFonts w:ascii="Arial" w:hAnsi="Arial" w:cs="Arial"/>
        </w:rPr>
        <w:t xml:space="preserve"> to impact vehicle repair times for our customers, and the added </w:t>
      </w:r>
      <w:proofErr w:type="gramStart"/>
      <w:r w:rsidRPr="00E71BCA">
        <w:rPr>
          <w:rFonts w:ascii="Arial" w:hAnsi="Arial" w:cs="Arial"/>
        </w:rPr>
        <w:t>knock on</w:t>
      </w:r>
      <w:proofErr w:type="gramEnd"/>
      <w:r w:rsidRPr="00E71BCA">
        <w:rPr>
          <w:rFonts w:ascii="Arial" w:hAnsi="Arial" w:cs="Arial"/>
        </w:rPr>
        <w:t xml:space="preserve"> effect of inflation on claims costs. </w:t>
      </w:r>
    </w:p>
    <w:p w14:paraId="5DA8D36A" w14:textId="77777777" w:rsidR="00514B73" w:rsidRPr="00E71BCA" w:rsidRDefault="00514B73" w:rsidP="00514B73">
      <w:pPr>
        <w:spacing w:line="240" w:lineRule="auto"/>
        <w:rPr>
          <w:rFonts w:ascii="Arial" w:hAnsi="Arial" w:cs="Arial"/>
        </w:rPr>
      </w:pPr>
      <w:r w:rsidRPr="00E71BCA">
        <w:rPr>
          <w:rFonts w:ascii="Arial" w:hAnsi="Arial" w:cs="Arial"/>
        </w:rPr>
        <w:t xml:space="preserve">In contrast, our </w:t>
      </w:r>
      <w:proofErr w:type="gramStart"/>
      <w:r w:rsidRPr="00E71BCA">
        <w:rPr>
          <w:rFonts w:ascii="Arial" w:hAnsi="Arial" w:cs="Arial"/>
        </w:rPr>
        <w:t>Pet</w:t>
      </w:r>
      <w:proofErr w:type="gramEnd"/>
      <w:r w:rsidRPr="00E71BCA">
        <w:rPr>
          <w:rFonts w:ascii="Arial" w:hAnsi="Arial" w:cs="Arial"/>
        </w:rPr>
        <w:t xml:space="preserve"> insurance sales </w:t>
      </w:r>
      <w:r>
        <w:rPr>
          <w:rFonts w:ascii="Arial" w:hAnsi="Arial" w:cs="Arial"/>
        </w:rPr>
        <w:t>were</w:t>
      </w:r>
      <w:r w:rsidRPr="00E71BCA">
        <w:rPr>
          <w:rFonts w:ascii="Arial" w:hAnsi="Arial" w:cs="Arial"/>
        </w:rPr>
        <w:t xml:space="preserve"> very strong through the first half of 2022. In January, we launched our new and refreshed Pet insurance product. The new features of this proposition, like giving a discount for adopted pets and offering cover to older animals, provides the sort of product you would expect from </w:t>
      </w:r>
      <w:r>
        <w:rPr>
          <w:rFonts w:ascii="Arial" w:hAnsi="Arial" w:cs="Arial"/>
        </w:rPr>
        <w:t xml:space="preserve">our </w:t>
      </w:r>
      <w:r w:rsidRPr="00E71BCA">
        <w:rPr>
          <w:rFonts w:ascii="Arial" w:hAnsi="Arial" w:cs="Arial"/>
        </w:rPr>
        <w:t xml:space="preserve">Co-op and has supported its success. </w:t>
      </w:r>
    </w:p>
    <w:p w14:paraId="30C376D4" w14:textId="77777777" w:rsidR="00514B73" w:rsidRPr="00E71BCA" w:rsidRDefault="00514B73" w:rsidP="00514B73">
      <w:pPr>
        <w:spacing w:line="240" w:lineRule="auto"/>
        <w:rPr>
          <w:rFonts w:ascii="Arial" w:hAnsi="Arial" w:cs="Arial"/>
        </w:rPr>
      </w:pPr>
      <w:r w:rsidRPr="00E71BCA">
        <w:rPr>
          <w:rFonts w:ascii="Arial" w:hAnsi="Arial" w:cs="Arial"/>
        </w:rPr>
        <w:t xml:space="preserve">The travel market opening again has also seen many customers come to us for </w:t>
      </w:r>
      <w:r>
        <w:rPr>
          <w:rFonts w:ascii="Arial" w:hAnsi="Arial" w:cs="Arial"/>
        </w:rPr>
        <w:t>T</w:t>
      </w:r>
      <w:r w:rsidRPr="00E71BCA">
        <w:rPr>
          <w:rFonts w:ascii="Arial" w:hAnsi="Arial" w:cs="Arial"/>
        </w:rPr>
        <w:t>ravel insurance products to protect them whilst they make their first trips in several years. After the unprecedented effect of Covid on the travel industry, many consumers are recognising the importance of a product with a high level of protection from a brand they can trust - our product is ideally placed to offer this. We continue to offer cover for any age and any condition with 24/7 on</w:t>
      </w:r>
      <w:r>
        <w:rPr>
          <w:rFonts w:ascii="Arial" w:hAnsi="Arial" w:cs="Arial"/>
        </w:rPr>
        <w:t>-</w:t>
      </w:r>
      <w:r w:rsidRPr="00E71BCA">
        <w:rPr>
          <w:rFonts w:ascii="Arial" w:hAnsi="Arial" w:cs="Arial"/>
        </w:rPr>
        <w:t xml:space="preserve">call support from a doctor, for those times when members and customers need urgent </w:t>
      </w:r>
      <w:r>
        <w:rPr>
          <w:rFonts w:ascii="Arial" w:hAnsi="Arial" w:cs="Arial"/>
        </w:rPr>
        <w:t>help</w:t>
      </w:r>
      <w:r w:rsidRPr="00E71BCA">
        <w:rPr>
          <w:rFonts w:ascii="Arial" w:hAnsi="Arial" w:cs="Arial"/>
        </w:rPr>
        <w:t xml:space="preserve">.  </w:t>
      </w:r>
    </w:p>
    <w:p w14:paraId="55B27D61" w14:textId="77777777" w:rsidR="00514B73" w:rsidRPr="00E71BCA" w:rsidRDefault="00514B73" w:rsidP="00514B73">
      <w:pPr>
        <w:spacing w:line="240" w:lineRule="auto"/>
        <w:rPr>
          <w:rFonts w:ascii="Arial" w:hAnsi="Arial" w:cs="Arial"/>
        </w:rPr>
      </w:pPr>
      <w:r w:rsidRPr="00E71BCA">
        <w:rPr>
          <w:rFonts w:ascii="Arial" w:hAnsi="Arial" w:cs="Arial"/>
        </w:rPr>
        <w:lastRenderedPageBreak/>
        <w:t>Our Commercial insurance product has also seen an improved performance this year</w:t>
      </w:r>
      <w:r>
        <w:rPr>
          <w:rFonts w:ascii="Arial" w:hAnsi="Arial" w:cs="Arial"/>
        </w:rPr>
        <w:t>. T</w:t>
      </w:r>
      <w:r w:rsidRPr="00E71BCA">
        <w:rPr>
          <w:rFonts w:ascii="Arial" w:hAnsi="Arial" w:cs="Arial"/>
        </w:rPr>
        <w:t>hanks to our work</w:t>
      </w:r>
      <w:r>
        <w:rPr>
          <w:rFonts w:ascii="Arial" w:hAnsi="Arial" w:cs="Arial"/>
        </w:rPr>
        <w:t>ing</w:t>
      </w:r>
      <w:r w:rsidRPr="00E71BCA">
        <w:rPr>
          <w:rFonts w:ascii="Arial" w:hAnsi="Arial" w:cs="Arial"/>
        </w:rPr>
        <w:t xml:space="preserve"> partnership </w:t>
      </w:r>
      <w:r>
        <w:rPr>
          <w:rFonts w:ascii="Arial" w:hAnsi="Arial" w:cs="Arial"/>
        </w:rPr>
        <w:t xml:space="preserve">with Nisa, we’re </w:t>
      </w:r>
      <w:r w:rsidRPr="00E71BCA">
        <w:rPr>
          <w:rFonts w:ascii="Arial" w:hAnsi="Arial" w:cs="Arial"/>
        </w:rPr>
        <w:t>offering our services and products to our Nisa partners, demonstrating a great opportunity for us to add value through the whole Co-op Group and hopefully help partners offset some of their increasing cost challenges.</w:t>
      </w:r>
    </w:p>
    <w:p w14:paraId="3B80CE53" w14:textId="77777777" w:rsidR="00514B73" w:rsidRPr="00E71BCA" w:rsidRDefault="00514B73" w:rsidP="00514B73">
      <w:pPr>
        <w:spacing w:line="240" w:lineRule="auto"/>
        <w:rPr>
          <w:rFonts w:ascii="Arial" w:hAnsi="Arial" w:cs="Arial"/>
        </w:rPr>
      </w:pPr>
      <w:r w:rsidRPr="00E71BCA">
        <w:rPr>
          <w:rFonts w:ascii="Arial" w:hAnsi="Arial" w:cs="Arial"/>
        </w:rPr>
        <w:t xml:space="preserve">Our Life insurance products have performed in line with our predictions so far this year. </w:t>
      </w:r>
    </w:p>
    <w:p w14:paraId="5778290E" w14:textId="77777777" w:rsidR="00514B73" w:rsidRPr="00E71BCA" w:rsidRDefault="00514B73" w:rsidP="00514B73">
      <w:pPr>
        <w:spacing w:line="240" w:lineRule="auto"/>
        <w:rPr>
          <w:rFonts w:ascii="Arial" w:hAnsi="Arial" w:cs="Arial"/>
        </w:rPr>
      </w:pPr>
      <w:r w:rsidRPr="00E71BCA">
        <w:rPr>
          <w:rFonts w:ascii="Arial" w:hAnsi="Arial" w:cs="Arial"/>
        </w:rPr>
        <w:t xml:space="preserve">Over the past couple of years, we’ve worked incredibly hard </w:t>
      </w:r>
      <w:r>
        <w:rPr>
          <w:rFonts w:ascii="Arial" w:hAnsi="Arial" w:cs="Arial"/>
        </w:rPr>
        <w:t xml:space="preserve">to </w:t>
      </w:r>
      <w:r w:rsidRPr="00E71BCA">
        <w:rPr>
          <w:rFonts w:ascii="Arial" w:hAnsi="Arial" w:cs="Arial"/>
        </w:rPr>
        <w:t xml:space="preserve">improve all our products, making sure they’re relevant for members and customers and offer a real Co-op difference. We’ve also focused on our customer experience and </w:t>
      </w:r>
      <w:r>
        <w:rPr>
          <w:rFonts w:ascii="Arial" w:hAnsi="Arial" w:cs="Arial"/>
        </w:rPr>
        <w:t xml:space="preserve">the </w:t>
      </w:r>
      <w:r w:rsidRPr="00E71BCA">
        <w:rPr>
          <w:rFonts w:ascii="Arial" w:hAnsi="Arial" w:cs="Arial"/>
        </w:rPr>
        <w:t xml:space="preserve">accessibility of our products and </w:t>
      </w:r>
      <w:r>
        <w:rPr>
          <w:rFonts w:ascii="Arial" w:hAnsi="Arial" w:cs="Arial"/>
        </w:rPr>
        <w:t>services</w:t>
      </w:r>
      <w:r w:rsidRPr="00E71BCA">
        <w:rPr>
          <w:rFonts w:ascii="Arial" w:hAnsi="Arial" w:cs="Arial"/>
        </w:rPr>
        <w:t>. We continued to build on this during the first half o</w:t>
      </w:r>
      <w:r>
        <w:rPr>
          <w:rFonts w:ascii="Arial" w:hAnsi="Arial" w:cs="Arial"/>
        </w:rPr>
        <w:t>f</w:t>
      </w:r>
      <w:r w:rsidRPr="00E71BCA">
        <w:rPr>
          <w:rFonts w:ascii="Arial" w:hAnsi="Arial" w:cs="Arial"/>
        </w:rPr>
        <w:t xml:space="preserve"> 2022</w:t>
      </w:r>
      <w:r>
        <w:rPr>
          <w:rFonts w:ascii="Arial" w:hAnsi="Arial" w:cs="Arial"/>
        </w:rPr>
        <w:t>, to</w:t>
      </w:r>
      <w:r w:rsidRPr="00E71BCA">
        <w:rPr>
          <w:rFonts w:ascii="Arial" w:hAnsi="Arial" w:cs="Arial"/>
        </w:rPr>
        <w:t xml:space="preserve"> have some of our best customer satisfaction results </w:t>
      </w:r>
      <w:r>
        <w:rPr>
          <w:rFonts w:ascii="Arial" w:hAnsi="Arial" w:cs="Arial"/>
        </w:rPr>
        <w:t>since we introduced our touchpoint survey two years ago</w:t>
      </w:r>
      <w:r w:rsidRPr="00E71BCA">
        <w:rPr>
          <w:rFonts w:ascii="Arial" w:hAnsi="Arial" w:cs="Arial"/>
        </w:rPr>
        <w:t xml:space="preserve">.  </w:t>
      </w:r>
    </w:p>
    <w:p w14:paraId="37CBF54C" w14:textId="77777777" w:rsidR="00514B73" w:rsidRPr="0035783B" w:rsidRDefault="00514B73" w:rsidP="00514B73">
      <w:pPr>
        <w:spacing w:line="240" w:lineRule="auto"/>
        <w:rPr>
          <w:rFonts w:ascii="Arial" w:hAnsi="Arial" w:cs="Arial"/>
        </w:rPr>
      </w:pPr>
      <w:r w:rsidRPr="0035783B">
        <w:rPr>
          <w:rFonts w:ascii="Arial" w:hAnsi="Arial" w:cs="Arial"/>
        </w:rPr>
        <w:t xml:space="preserve">During the first half of this year, we have launched the most accessible experience for members and customers when it comes to engaging with our refreshed Pet insurance product online. We worked closely with Fable to assess the accessibility of our experience, </w:t>
      </w:r>
      <w:proofErr w:type="gramStart"/>
      <w:r w:rsidRPr="0035783B">
        <w:rPr>
          <w:rFonts w:ascii="Arial" w:hAnsi="Arial" w:cs="Arial"/>
        </w:rPr>
        <w:t>and also</w:t>
      </w:r>
      <w:proofErr w:type="gramEnd"/>
      <w:r w:rsidRPr="0035783B">
        <w:rPr>
          <w:rFonts w:ascii="Arial" w:hAnsi="Arial" w:cs="Arial"/>
        </w:rPr>
        <w:t xml:space="preserve"> sought the opinion of disabled users. We will be using key learnings from this project to further improve our website’s accessibility, ensuring everyone can use our online services.</w:t>
      </w:r>
    </w:p>
    <w:p w14:paraId="268E3E13" w14:textId="77777777" w:rsidR="00514B73" w:rsidRPr="0035783B" w:rsidRDefault="00514B73" w:rsidP="00514B73">
      <w:pPr>
        <w:spacing w:line="240" w:lineRule="auto"/>
        <w:rPr>
          <w:rFonts w:ascii="Arial" w:hAnsi="Arial" w:cs="Arial"/>
        </w:rPr>
      </w:pPr>
      <w:r w:rsidRPr="0035783B">
        <w:rPr>
          <w:rFonts w:ascii="Arial" w:hAnsi="Arial" w:cs="Arial"/>
        </w:rPr>
        <w:t>We have continued to focus on simplifying insurance experiences by making digital journeys and communications easier to understand. These improvements have meant more users completing their online journey with us.</w:t>
      </w:r>
    </w:p>
    <w:p w14:paraId="39F03419" w14:textId="77777777" w:rsidR="00514B73" w:rsidRPr="00E71BCA" w:rsidRDefault="00514B73" w:rsidP="00514B73">
      <w:pPr>
        <w:spacing w:line="240" w:lineRule="auto"/>
        <w:rPr>
          <w:rFonts w:ascii="Arial" w:hAnsi="Arial" w:cs="Arial"/>
          <w:color w:val="00B050"/>
        </w:rPr>
      </w:pPr>
      <w:r w:rsidRPr="0035783B">
        <w:rPr>
          <w:rFonts w:ascii="Arial" w:hAnsi="Arial" w:cs="Arial"/>
        </w:rPr>
        <w:t>We also launched an improved online claims experience for our Car insurance customers to make managing their claim</w:t>
      </w:r>
      <w:r>
        <w:rPr>
          <w:rFonts w:ascii="Arial" w:hAnsi="Arial" w:cs="Arial"/>
        </w:rPr>
        <w:t>s</w:t>
      </w:r>
      <w:r w:rsidRPr="0035783B">
        <w:rPr>
          <w:rFonts w:ascii="Arial" w:hAnsi="Arial" w:cs="Arial"/>
        </w:rPr>
        <w:t xml:space="preserve"> even easier.</w:t>
      </w:r>
      <w:r w:rsidRPr="0035783B" w:rsidDel="00160606">
        <w:rPr>
          <w:rFonts w:ascii="Arial" w:hAnsi="Arial" w:cs="Arial"/>
        </w:rPr>
        <w:t xml:space="preserve"> </w:t>
      </w:r>
    </w:p>
    <w:p w14:paraId="4F0B6AB6" w14:textId="77777777" w:rsidR="00514B73" w:rsidRDefault="00514B73" w:rsidP="00514B73">
      <w:pPr>
        <w:spacing w:line="240" w:lineRule="auto"/>
        <w:rPr>
          <w:rFonts w:ascii="Arial" w:hAnsi="Arial" w:cs="Arial"/>
          <w:color w:val="282828"/>
          <w:shd w:val="clear" w:color="auto" w:fill="FFFFFF"/>
        </w:rPr>
      </w:pPr>
      <w:r w:rsidRPr="00E71BCA">
        <w:rPr>
          <w:rFonts w:ascii="Arial" w:hAnsi="Arial" w:cs="Arial"/>
        </w:rPr>
        <w:t>As part of our wider Co-op ambitions to provide support and help to members and customer</w:t>
      </w:r>
      <w:r>
        <w:rPr>
          <w:rFonts w:ascii="Arial" w:hAnsi="Arial" w:cs="Arial"/>
        </w:rPr>
        <w:t>s</w:t>
      </w:r>
      <w:r w:rsidRPr="00E71BCA">
        <w:rPr>
          <w:rFonts w:ascii="Arial" w:hAnsi="Arial" w:cs="Arial"/>
        </w:rPr>
        <w:t xml:space="preserve"> in their later life, we started a new trial with our partners Legal &amp; General to offer lifetime mortgage products. This marks a milestone for us</w:t>
      </w:r>
      <w:r>
        <w:rPr>
          <w:rFonts w:ascii="Arial" w:hAnsi="Arial" w:cs="Arial"/>
        </w:rPr>
        <w:t>,</w:t>
      </w:r>
      <w:r w:rsidRPr="00E71BCA">
        <w:rPr>
          <w:rFonts w:ascii="Arial" w:hAnsi="Arial" w:cs="Arial"/>
        </w:rPr>
        <w:t xml:space="preserve"> as it’s the first time we’ve offered a non-mainstream insurance product in C</w:t>
      </w:r>
      <w:r>
        <w:rPr>
          <w:rFonts w:ascii="Arial" w:hAnsi="Arial" w:cs="Arial"/>
        </w:rPr>
        <w:t>o-op Insurance Services (CISL)</w:t>
      </w:r>
      <w:r w:rsidRPr="00E71BCA">
        <w:rPr>
          <w:rFonts w:ascii="Arial" w:hAnsi="Arial" w:cs="Arial"/>
        </w:rPr>
        <w:t xml:space="preserve">. </w:t>
      </w:r>
      <w:r>
        <w:rPr>
          <w:rFonts w:ascii="Arial" w:hAnsi="Arial" w:cs="Arial"/>
        </w:rPr>
        <w:t>T</w:t>
      </w:r>
      <w:r w:rsidRPr="00E71BCA">
        <w:rPr>
          <w:rFonts w:ascii="Arial" w:hAnsi="Arial" w:cs="Arial"/>
        </w:rPr>
        <w:t xml:space="preserve">here are so many lifetime mortgage products out there, but our trusted Co-op brand along with a market leading partner in Legal &amp; General will help our members and customers find the right product for them. Legal &amp; General is an expert provider in this area </w:t>
      </w:r>
      <w:r>
        <w:rPr>
          <w:rFonts w:ascii="Arial" w:hAnsi="Arial" w:cs="Arial"/>
        </w:rPr>
        <w:t>that doesn’t</w:t>
      </w:r>
      <w:r w:rsidRPr="00E71BCA">
        <w:rPr>
          <w:rFonts w:ascii="Arial" w:hAnsi="Arial" w:cs="Arial"/>
        </w:rPr>
        <w:t xml:space="preserve"> </w:t>
      </w:r>
      <w:r w:rsidRPr="00E71BCA">
        <w:rPr>
          <w:rFonts w:ascii="Arial" w:hAnsi="Arial" w:cs="Arial"/>
          <w:color w:val="282828"/>
          <w:shd w:val="clear" w:color="auto" w:fill="FFFFFF"/>
        </w:rPr>
        <w:t xml:space="preserve">pay commission directly to </w:t>
      </w:r>
      <w:r>
        <w:rPr>
          <w:rFonts w:ascii="Arial" w:hAnsi="Arial" w:cs="Arial"/>
          <w:color w:val="282828"/>
          <w:shd w:val="clear" w:color="auto" w:fill="FFFFFF"/>
        </w:rPr>
        <w:t>its</w:t>
      </w:r>
      <w:r w:rsidRPr="00E71BCA">
        <w:rPr>
          <w:rFonts w:ascii="Arial" w:hAnsi="Arial" w:cs="Arial"/>
          <w:color w:val="282828"/>
          <w:shd w:val="clear" w:color="auto" w:fill="FFFFFF"/>
        </w:rPr>
        <w:t xml:space="preserve"> advisors and </w:t>
      </w:r>
      <w:r>
        <w:rPr>
          <w:rFonts w:ascii="Arial" w:hAnsi="Arial" w:cs="Arial"/>
          <w:color w:val="282828"/>
          <w:shd w:val="clear" w:color="auto" w:fill="FFFFFF"/>
        </w:rPr>
        <w:t>is</w:t>
      </w:r>
      <w:r w:rsidRPr="00E71BCA">
        <w:rPr>
          <w:rFonts w:ascii="Arial" w:hAnsi="Arial" w:cs="Arial"/>
          <w:color w:val="282828"/>
          <w:shd w:val="clear" w:color="auto" w:fill="FFFFFF"/>
        </w:rPr>
        <w:t xml:space="preserve"> committed to getting the right outcome for customers. </w:t>
      </w:r>
    </w:p>
    <w:p w14:paraId="04515ABE" w14:textId="77777777" w:rsidR="00514B73" w:rsidRDefault="00514B73" w:rsidP="00514B73">
      <w:pPr>
        <w:spacing w:line="240" w:lineRule="auto"/>
        <w:rPr>
          <w:rFonts w:ascii="Arial" w:hAnsi="Arial" w:cs="Arial"/>
          <w:b/>
          <w:sz w:val="24"/>
          <w:szCs w:val="24"/>
        </w:rPr>
      </w:pPr>
      <w:r>
        <w:rPr>
          <w:rFonts w:ascii="Arial" w:hAnsi="Arial" w:cs="Arial"/>
          <w:b/>
          <w:sz w:val="24"/>
          <w:szCs w:val="24"/>
        </w:rPr>
        <w:t>Legal Services</w:t>
      </w:r>
    </w:p>
    <w:p w14:paraId="4012EAF0" w14:textId="77777777" w:rsidR="00514B73" w:rsidRPr="00F81A86" w:rsidRDefault="00514B73" w:rsidP="00514B73">
      <w:pPr>
        <w:spacing w:line="240" w:lineRule="auto"/>
        <w:rPr>
          <w:rFonts w:ascii="Arial" w:hAnsi="Arial" w:cs="Arial"/>
        </w:rPr>
      </w:pPr>
      <w:r w:rsidRPr="00F81A86">
        <w:rPr>
          <w:rFonts w:ascii="Arial" w:hAnsi="Arial" w:cs="Arial"/>
        </w:rPr>
        <w:t xml:space="preserve">Our </w:t>
      </w:r>
      <w:r>
        <w:rPr>
          <w:rFonts w:ascii="Arial" w:hAnsi="Arial" w:cs="Arial"/>
        </w:rPr>
        <w:t>L</w:t>
      </w:r>
      <w:r w:rsidRPr="00F81A86">
        <w:rPr>
          <w:rFonts w:ascii="Arial" w:hAnsi="Arial" w:cs="Arial"/>
        </w:rPr>
        <w:t xml:space="preserve">egal </w:t>
      </w:r>
      <w:r>
        <w:rPr>
          <w:rFonts w:ascii="Arial" w:hAnsi="Arial" w:cs="Arial"/>
        </w:rPr>
        <w:t>S</w:t>
      </w:r>
      <w:r w:rsidRPr="00F81A86">
        <w:rPr>
          <w:rFonts w:ascii="Arial" w:hAnsi="Arial" w:cs="Arial"/>
        </w:rPr>
        <w:t>ervices business had an excellent start to the year</w:t>
      </w:r>
      <w:r>
        <w:rPr>
          <w:rFonts w:ascii="Arial" w:hAnsi="Arial" w:cs="Arial"/>
        </w:rPr>
        <w:t>. D</w:t>
      </w:r>
      <w:r w:rsidRPr="00F81A86">
        <w:rPr>
          <w:rFonts w:ascii="Arial" w:hAnsi="Arial" w:cs="Arial"/>
        </w:rPr>
        <w:t xml:space="preserve">espite a challenging economic climate for the wider group and other </w:t>
      </w:r>
      <w:r>
        <w:rPr>
          <w:rFonts w:ascii="Arial" w:hAnsi="Arial" w:cs="Arial"/>
        </w:rPr>
        <w:t>L</w:t>
      </w:r>
      <w:r w:rsidRPr="00F81A86">
        <w:rPr>
          <w:rFonts w:ascii="Arial" w:hAnsi="Arial" w:cs="Arial"/>
        </w:rPr>
        <w:t xml:space="preserve">ife </w:t>
      </w:r>
      <w:r>
        <w:rPr>
          <w:rFonts w:ascii="Arial" w:hAnsi="Arial" w:cs="Arial"/>
        </w:rPr>
        <w:t>S</w:t>
      </w:r>
      <w:r w:rsidRPr="00F81A86">
        <w:rPr>
          <w:rFonts w:ascii="Arial" w:hAnsi="Arial" w:cs="Arial"/>
        </w:rPr>
        <w:t xml:space="preserve">ervices businesses, Co-op Legal Services </w:t>
      </w:r>
      <w:r>
        <w:rPr>
          <w:rFonts w:ascii="Arial" w:hAnsi="Arial" w:cs="Arial"/>
        </w:rPr>
        <w:t xml:space="preserve">(CLS) </w:t>
      </w:r>
      <w:r w:rsidRPr="00F81A86">
        <w:rPr>
          <w:rFonts w:ascii="Arial" w:hAnsi="Arial" w:cs="Arial"/>
        </w:rPr>
        <w:t xml:space="preserve">increased revenue by 11% </w:t>
      </w:r>
      <w:r>
        <w:rPr>
          <w:rFonts w:ascii="Arial" w:hAnsi="Arial" w:cs="Arial"/>
        </w:rPr>
        <w:t xml:space="preserve">in H1 2022, </w:t>
      </w:r>
      <w:r w:rsidRPr="00F81A86">
        <w:rPr>
          <w:rFonts w:ascii="Arial" w:hAnsi="Arial" w:cs="Arial"/>
        </w:rPr>
        <w:t>year</w:t>
      </w:r>
      <w:r>
        <w:rPr>
          <w:rFonts w:ascii="Arial" w:hAnsi="Arial" w:cs="Arial"/>
        </w:rPr>
        <w:t>-</w:t>
      </w:r>
      <w:r w:rsidRPr="00F81A86">
        <w:rPr>
          <w:rFonts w:ascii="Arial" w:hAnsi="Arial" w:cs="Arial"/>
        </w:rPr>
        <w:t>on</w:t>
      </w:r>
      <w:r>
        <w:rPr>
          <w:rFonts w:ascii="Arial" w:hAnsi="Arial" w:cs="Arial"/>
        </w:rPr>
        <w:t>-</w:t>
      </w:r>
      <w:r w:rsidRPr="00F81A86">
        <w:rPr>
          <w:rFonts w:ascii="Arial" w:hAnsi="Arial" w:cs="Arial"/>
        </w:rPr>
        <w:t>year</w:t>
      </w:r>
      <w:r>
        <w:rPr>
          <w:rFonts w:ascii="Arial" w:hAnsi="Arial" w:cs="Arial"/>
        </w:rPr>
        <w:t>.</w:t>
      </w:r>
    </w:p>
    <w:p w14:paraId="30CBD0B4" w14:textId="77777777" w:rsidR="00514B73" w:rsidRPr="00F81A86" w:rsidRDefault="00514B73" w:rsidP="00514B73">
      <w:pPr>
        <w:spacing w:line="240" w:lineRule="auto"/>
        <w:rPr>
          <w:rFonts w:ascii="Arial" w:hAnsi="Arial" w:cs="Arial"/>
        </w:rPr>
      </w:pPr>
      <w:r w:rsidRPr="00F81A86">
        <w:rPr>
          <w:rFonts w:ascii="Arial" w:hAnsi="Arial" w:cs="Arial"/>
        </w:rPr>
        <w:t>All our practice areas contributed to this strong business performance, particularly our market</w:t>
      </w:r>
      <w:r>
        <w:rPr>
          <w:rFonts w:ascii="Arial" w:hAnsi="Arial" w:cs="Arial"/>
        </w:rPr>
        <w:t>-</w:t>
      </w:r>
      <w:r w:rsidRPr="00F81A86">
        <w:rPr>
          <w:rFonts w:ascii="Arial" w:hAnsi="Arial" w:cs="Arial"/>
        </w:rPr>
        <w:t xml:space="preserve">leading </w:t>
      </w:r>
      <w:r>
        <w:rPr>
          <w:rFonts w:ascii="Arial" w:hAnsi="Arial" w:cs="Arial"/>
        </w:rPr>
        <w:t>P</w:t>
      </w:r>
      <w:r w:rsidRPr="00F81A86">
        <w:rPr>
          <w:rFonts w:ascii="Arial" w:hAnsi="Arial" w:cs="Arial"/>
        </w:rPr>
        <w:t>robate business</w:t>
      </w:r>
      <w:r>
        <w:rPr>
          <w:rFonts w:ascii="Arial" w:hAnsi="Arial" w:cs="Arial"/>
        </w:rPr>
        <w:t>,</w:t>
      </w:r>
      <w:r w:rsidRPr="00F81A86">
        <w:rPr>
          <w:rFonts w:ascii="Arial" w:hAnsi="Arial" w:cs="Arial"/>
        </w:rPr>
        <w:t xml:space="preserve"> in which we opened 23% more cases </w:t>
      </w:r>
      <w:r>
        <w:rPr>
          <w:rFonts w:ascii="Arial" w:hAnsi="Arial" w:cs="Arial"/>
        </w:rPr>
        <w:t>in H1 2022 compared to H1 2021</w:t>
      </w:r>
      <w:r w:rsidRPr="00F81A86">
        <w:rPr>
          <w:rFonts w:ascii="Arial" w:hAnsi="Arial" w:cs="Arial"/>
        </w:rPr>
        <w:t xml:space="preserve">. </w:t>
      </w:r>
    </w:p>
    <w:p w14:paraId="1612693A" w14:textId="77777777" w:rsidR="00514B73" w:rsidRPr="00F81A86" w:rsidRDefault="00514B73" w:rsidP="00514B73">
      <w:pPr>
        <w:spacing w:line="240" w:lineRule="auto"/>
        <w:rPr>
          <w:rFonts w:ascii="Arial" w:hAnsi="Arial" w:cs="Arial"/>
        </w:rPr>
      </w:pPr>
      <w:r w:rsidRPr="00F81A86">
        <w:rPr>
          <w:rFonts w:ascii="Arial" w:hAnsi="Arial" w:cs="Arial"/>
        </w:rPr>
        <w:t xml:space="preserve">The advances we’ve made in the digital space over the last few years and </w:t>
      </w:r>
      <w:r>
        <w:rPr>
          <w:rFonts w:ascii="Arial" w:hAnsi="Arial" w:cs="Arial"/>
        </w:rPr>
        <w:t xml:space="preserve">the </w:t>
      </w:r>
      <w:r w:rsidRPr="00F81A86">
        <w:rPr>
          <w:rFonts w:ascii="Arial" w:hAnsi="Arial" w:cs="Arial"/>
        </w:rPr>
        <w:t xml:space="preserve">number of partners we are now working closely with have contributed to this success. Nearly 50% of our clients </w:t>
      </w:r>
      <w:r>
        <w:rPr>
          <w:rFonts w:ascii="Arial" w:hAnsi="Arial" w:cs="Arial"/>
        </w:rPr>
        <w:t>came to us through digital channels in the first half of 2022. Our</w:t>
      </w:r>
      <w:r w:rsidRPr="00F81A86">
        <w:rPr>
          <w:rFonts w:ascii="Arial" w:hAnsi="Arial" w:cs="Arial"/>
        </w:rPr>
        <w:t xml:space="preserve"> growing library of digital tools, support and contact channels is helping us support more clients in wh</w:t>
      </w:r>
      <w:r>
        <w:rPr>
          <w:rFonts w:ascii="Arial" w:hAnsi="Arial" w:cs="Arial"/>
        </w:rPr>
        <w:t>ich</w:t>
      </w:r>
      <w:r w:rsidRPr="00F81A86">
        <w:rPr>
          <w:rFonts w:ascii="Arial" w:hAnsi="Arial" w:cs="Arial"/>
        </w:rPr>
        <w:t>ever way works for them. We’re also seeing more and more clients come to us from partner referrals</w:t>
      </w:r>
      <w:r>
        <w:rPr>
          <w:rFonts w:ascii="Arial" w:hAnsi="Arial" w:cs="Arial"/>
        </w:rPr>
        <w:t>. In H1 2022 the number of organisations we partner with grew and, by the end of the half year, we had over 50 partnerships in place.</w:t>
      </w:r>
    </w:p>
    <w:p w14:paraId="5B5B95C2" w14:textId="77777777" w:rsidR="00514B73" w:rsidRPr="00F81A86" w:rsidRDefault="00514B73" w:rsidP="00514B73">
      <w:pPr>
        <w:spacing w:line="240" w:lineRule="auto"/>
        <w:rPr>
          <w:rFonts w:ascii="Arial" w:hAnsi="Arial" w:cs="Arial"/>
        </w:rPr>
      </w:pPr>
      <w:r w:rsidRPr="00F81A86">
        <w:rPr>
          <w:rFonts w:ascii="Arial" w:hAnsi="Arial" w:cs="Arial"/>
        </w:rPr>
        <w:t xml:space="preserve">To support our increased case </w:t>
      </w:r>
      <w:proofErr w:type="gramStart"/>
      <w:r w:rsidRPr="00F81A86">
        <w:rPr>
          <w:rFonts w:ascii="Arial" w:hAnsi="Arial" w:cs="Arial"/>
        </w:rPr>
        <w:t>volumes</w:t>
      </w:r>
      <w:proofErr w:type="gramEnd"/>
      <w:r w:rsidRPr="00F81A86">
        <w:rPr>
          <w:rFonts w:ascii="Arial" w:hAnsi="Arial" w:cs="Arial"/>
        </w:rPr>
        <w:t xml:space="preserve"> we’ve been growing our team</w:t>
      </w:r>
      <w:r>
        <w:rPr>
          <w:rFonts w:ascii="Arial" w:hAnsi="Arial" w:cs="Arial"/>
        </w:rPr>
        <w:t xml:space="preserve"> - </w:t>
      </w:r>
      <w:r w:rsidRPr="00F81A86">
        <w:rPr>
          <w:rFonts w:ascii="Arial" w:hAnsi="Arial" w:cs="Arial"/>
        </w:rPr>
        <w:t>over 100 new colleagues start</w:t>
      </w:r>
      <w:r>
        <w:rPr>
          <w:rFonts w:ascii="Arial" w:hAnsi="Arial" w:cs="Arial"/>
        </w:rPr>
        <w:t>ed</w:t>
      </w:r>
      <w:r w:rsidRPr="00F81A86">
        <w:rPr>
          <w:rFonts w:ascii="Arial" w:hAnsi="Arial" w:cs="Arial"/>
        </w:rPr>
        <w:t xml:space="preserve"> in the first </w:t>
      </w:r>
      <w:r>
        <w:rPr>
          <w:rFonts w:ascii="Arial" w:hAnsi="Arial" w:cs="Arial"/>
        </w:rPr>
        <w:t>six</w:t>
      </w:r>
      <w:r w:rsidRPr="00F81A86">
        <w:rPr>
          <w:rFonts w:ascii="Arial" w:hAnsi="Arial" w:cs="Arial"/>
        </w:rPr>
        <w:t xml:space="preserve"> months of this year. </w:t>
      </w:r>
    </w:p>
    <w:p w14:paraId="638D1C73" w14:textId="77777777" w:rsidR="00514B73" w:rsidRDefault="00514B73" w:rsidP="00514B73">
      <w:pPr>
        <w:spacing w:line="240" w:lineRule="auto"/>
        <w:rPr>
          <w:rFonts w:ascii="Arial" w:hAnsi="Arial" w:cs="Arial"/>
        </w:rPr>
      </w:pPr>
      <w:r w:rsidRPr="00F81A86">
        <w:rPr>
          <w:rFonts w:ascii="Arial" w:hAnsi="Arial" w:cs="Arial"/>
        </w:rPr>
        <w:t xml:space="preserve">In 2021, </w:t>
      </w:r>
      <w:r>
        <w:rPr>
          <w:rFonts w:ascii="Arial" w:hAnsi="Arial" w:cs="Arial"/>
        </w:rPr>
        <w:t xml:space="preserve">we </w:t>
      </w:r>
      <w:r w:rsidRPr="00F81A86">
        <w:rPr>
          <w:rFonts w:ascii="Arial" w:hAnsi="Arial" w:cs="Arial"/>
        </w:rPr>
        <w:t xml:space="preserve">streamlined our assessment processes to offer new routes into the legal profession. By doing this, we </w:t>
      </w:r>
      <w:proofErr w:type="gramStart"/>
      <w:r w:rsidRPr="00F81A86">
        <w:rPr>
          <w:rFonts w:ascii="Arial" w:hAnsi="Arial" w:cs="Arial"/>
        </w:rPr>
        <w:t>open</w:t>
      </w:r>
      <w:r>
        <w:rPr>
          <w:rFonts w:ascii="Arial" w:hAnsi="Arial" w:cs="Arial"/>
        </w:rPr>
        <w:t>ed</w:t>
      </w:r>
      <w:r w:rsidRPr="00F81A86">
        <w:rPr>
          <w:rFonts w:ascii="Arial" w:hAnsi="Arial" w:cs="Arial"/>
        </w:rPr>
        <w:t xml:space="preserve"> up</w:t>
      </w:r>
      <w:proofErr w:type="gramEnd"/>
      <w:r w:rsidRPr="00F81A86">
        <w:rPr>
          <w:rFonts w:ascii="Arial" w:hAnsi="Arial" w:cs="Arial"/>
        </w:rPr>
        <w:t xml:space="preserve"> legal careers to a wider range of colleagues from non-traditional backgrounds</w:t>
      </w:r>
      <w:r>
        <w:rPr>
          <w:rFonts w:ascii="Arial" w:hAnsi="Arial" w:cs="Arial"/>
        </w:rPr>
        <w:t>, as sector specific experience was no longer a requirement to join our team.</w:t>
      </w:r>
      <w:r w:rsidRPr="00F81A86">
        <w:rPr>
          <w:rFonts w:ascii="Arial" w:hAnsi="Arial" w:cs="Arial"/>
        </w:rPr>
        <w:t xml:space="preserve"> </w:t>
      </w:r>
      <w:r>
        <w:rPr>
          <w:rFonts w:ascii="Arial" w:hAnsi="Arial" w:cs="Arial"/>
        </w:rPr>
        <w:t>W</w:t>
      </w:r>
      <w:r w:rsidRPr="00F81A86">
        <w:rPr>
          <w:rFonts w:ascii="Arial" w:hAnsi="Arial" w:cs="Arial"/>
        </w:rPr>
        <w:t xml:space="preserve">e continued to hone and develop our essential criteria for recruitment </w:t>
      </w:r>
      <w:r>
        <w:rPr>
          <w:rFonts w:ascii="Arial" w:hAnsi="Arial" w:cs="Arial"/>
        </w:rPr>
        <w:t>in 2022, which helped us recruit this high number of new colleagues.</w:t>
      </w:r>
    </w:p>
    <w:p w14:paraId="378953FA" w14:textId="77777777" w:rsidR="00514B73" w:rsidRPr="004406B9" w:rsidRDefault="00514B73" w:rsidP="00514B73">
      <w:pPr>
        <w:spacing w:line="240" w:lineRule="auto"/>
        <w:rPr>
          <w:rFonts w:ascii="Arial" w:hAnsi="Arial" w:cs="Arial"/>
        </w:rPr>
      </w:pPr>
      <w:r w:rsidRPr="004406B9">
        <w:rPr>
          <w:rFonts w:ascii="Arial" w:hAnsi="Arial" w:cs="Arial"/>
        </w:rPr>
        <w:t xml:space="preserve">We also introduced new apprenticeships </w:t>
      </w:r>
      <w:r>
        <w:rPr>
          <w:rFonts w:ascii="Arial" w:hAnsi="Arial" w:cs="Arial"/>
        </w:rPr>
        <w:t xml:space="preserve">in the first half of </w:t>
      </w:r>
      <w:r w:rsidRPr="004406B9">
        <w:rPr>
          <w:rFonts w:ascii="Arial" w:hAnsi="Arial" w:cs="Arial"/>
        </w:rPr>
        <w:t>this year</w:t>
      </w:r>
      <w:r>
        <w:rPr>
          <w:rFonts w:ascii="Arial" w:hAnsi="Arial" w:cs="Arial"/>
        </w:rPr>
        <w:t xml:space="preserve"> -</w:t>
      </w:r>
      <w:r w:rsidRPr="004406B9">
        <w:rPr>
          <w:rFonts w:ascii="Arial" w:hAnsi="Arial" w:cs="Arial"/>
        </w:rPr>
        <w:t xml:space="preserve"> we’ll be offering apprentice solicitor roles with full training and a qualification at the end</w:t>
      </w:r>
      <w:r>
        <w:rPr>
          <w:rFonts w:ascii="Arial" w:hAnsi="Arial" w:cs="Arial"/>
        </w:rPr>
        <w:t>. Candidates will achieve a</w:t>
      </w:r>
      <w:r w:rsidRPr="00D56D39">
        <w:rPr>
          <w:rFonts w:ascii="Arial" w:hAnsi="Arial" w:cs="Arial"/>
        </w:rPr>
        <w:t xml:space="preserve"> legal career without the university fees, </w:t>
      </w:r>
      <w:r>
        <w:rPr>
          <w:rFonts w:ascii="Arial" w:hAnsi="Arial" w:cs="Arial"/>
        </w:rPr>
        <w:t xml:space="preserve">creating new routes </w:t>
      </w:r>
      <w:proofErr w:type="gramStart"/>
      <w:r>
        <w:rPr>
          <w:rFonts w:ascii="Arial" w:hAnsi="Arial" w:cs="Arial"/>
        </w:rPr>
        <w:t>in to</w:t>
      </w:r>
      <w:proofErr w:type="gramEnd"/>
      <w:r>
        <w:rPr>
          <w:rFonts w:ascii="Arial" w:hAnsi="Arial" w:cs="Arial"/>
        </w:rPr>
        <w:t xml:space="preserve"> the profession for some students who might have previously found it challenging. </w:t>
      </w:r>
    </w:p>
    <w:p w14:paraId="2A675C63" w14:textId="77777777" w:rsidR="00514B73" w:rsidRPr="00F81A86" w:rsidRDefault="00514B73" w:rsidP="00514B73">
      <w:pPr>
        <w:spacing w:line="240" w:lineRule="auto"/>
        <w:rPr>
          <w:rFonts w:ascii="Arial" w:hAnsi="Arial" w:cs="Arial"/>
        </w:rPr>
      </w:pPr>
      <w:r w:rsidRPr="00F81A86">
        <w:rPr>
          <w:rFonts w:ascii="Arial" w:hAnsi="Arial" w:cs="Arial"/>
        </w:rPr>
        <w:lastRenderedPageBreak/>
        <w:t xml:space="preserve">When it comes to attracting and hiring more great people from a range of sectors and backgrounds, we have already started to see positive impacts on </w:t>
      </w:r>
      <w:r>
        <w:rPr>
          <w:rFonts w:ascii="Arial" w:hAnsi="Arial" w:cs="Arial"/>
        </w:rPr>
        <w:t xml:space="preserve">the </w:t>
      </w:r>
      <w:r w:rsidRPr="00F81A86">
        <w:rPr>
          <w:rFonts w:ascii="Arial" w:hAnsi="Arial" w:cs="Arial"/>
        </w:rPr>
        <w:t>representation of colleagues identifying as disabled</w:t>
      </w:r>
      <w:r>
        <w:rPr>
          <w:rFonts w:ascii="Arial" w:hAnsi="Arial" w:cs="Arial"/>
        </w:rPr>
        <w:t xml:space="preserve"> (increased to 17% in Q1 2022, compared to 5.4% Jan- Oct 2021)</w:t>
      </w:r>
      <w:r w:rsidRPr="00F81A86">
        <w:rPr>
          <w:rFonts w:ascii="Arial" w:hAnsi="Arial" w:cs="Arial"/>
        </w:rPr>
        <w:t xml:space="preserve"> or LGBTQ+ </w:t>
      </w:r>
      <w:r>
        <w:rPr>
          <w:rFonts w:ascii="Arial" w:hAnsi="Arial" w:cs="Arial"/>
        </w:rPr>
        <w:t>(increased to 17% in Q1 2022, compared to 10% Jan-Oct 2021)</w:t>
      </w:r>
      <w:r w:rsidRPr="00F81A86">
        <w:rPr>
          <w:rFonts w:ascii="Arial" w:hAnsi="Arial" w:cs="Arial"/>
        </w:rPr>
        <w:t xml:space="preserve">. We believe these new </w:t>
      </w:r>
      <w:r>
        <w:rPr>
          <w:rFonts w:ascii="Arial" w:hAnsi="Arial" w:cs="Arial"/>
        </w:rPr>
        <w:t>routes to</w:t>
      </w:r>
      <w:r w:rsidRPr="00F81A86">
        <w:rPr>
          <w:rFonts w:ascii="Arial" w:hAnsi="Arial" w:cs="Arial"/>
        </w:rPr>
        <w:t xml:space="preserve"> recruiting have contributed to this. </w:t>
      </w:r>
    </w:p>
    <w:p w14:paraId="5A500F24" w14:textId="77777777" w:rsidR="00514B73" w:rsidRPr="00F81A86" w:rsidRDefault="00514B73" w:rsidP="00514B73">
      <w:pPr>
        <w:spacing w:line="240" w:lineRule="auto"/>
        <w:rPr>
          <w:rFonts w:ascii="Arial" w:hAnsi="Arial" w:cs="Arial"/>
        </w:rPr>
      </w:pPr>
      <w:r w:rsidRPr="00F81A86">
        <w:rPr>
          <w:rFonts w:ascii="Arial" w:hAnsi="Arial" w:cs="Arial"/>
        </w:rPr>
        <w:t xml:space="preserve">Once our new colleagues </w:t>
      </w:r>
      <w:r>
        <w:rPr>
          <w:rFonts w:ascii="Arial" w:hAnsi="Arial" w:cs="Arial"/>
        </w:rPr>
        <w:t>begin working with us</w:t>
      </w:r>
      <w:r w:rsidRPr="00F81A86">
        <w:rPr>
          <w:rFonts w:ascii="Arial" w:hAnsi="Arial" w:cs="Arial"/>
        </w:rPr>
        <w:t xml:space="preserve">, training and development programmes are key in making </w:t>
      </w:r>
      <w:r>
        <w:rPr>
          <w:rFonts w:ascii="Arial" w:hAnsi="Arial" w:cs="Arial"/>
        </w:rPr>
        <w:t>L</w:t>
      </w:r>
      <w:r w:rsidRPr="00F81A86">
        <w:rPr>
          <w:rFonts w:ascii="Arial" w:hAnsi="Arial" w:cs="Arial"/>
        </w:rPr>
        <w:t xml:space="preserve">egal </w:t>
      </w:r>
      <w:r>
        <w:rPr>
          <w:rFonts w:ascii="Arial" w:hAnsi="Arial" w:cs="Arial"/>
        </w:rPr>
        <w:t>S</w:t>
      </w:r>
      <w:r w:rsidRPr="00F81A86">
        <w:rPr>
          <w:rFonts w:ascii="Arial" w:hAnsi="Arial" w:cs="Arial"/>
        </w:rPr>
        <w:t>ervices</w:t>
      </w:r>
      <w:r>
        <w:rPr>
          <w:rFonts w:ascii="Arial" w:hAnsi="Arial" w:cs="Arial"/>
        </w:rPr>
        <w:t xml:space="preserve"> </w:t>
      </w:r>
      <w:r w:rsidRPr="00F81A86">
        <w:rPr>
          <w:rFonts w:ascii="Arial" w:hAnsi="Arial" w:cs="Arial"/>
        </w:rPr>
        <w:t xml:space="preserve">a great place to grow a legal career. We give our new colleagues </w:t>
      </w:r>
      <w:r>
        <w:rPr>
          <w:rFonts w:ascii="Arial" w:hAnsi="Arial" w:cs="Arial"/>
        </w:rPr>
        <w:t>a great start in our business,</w:t>
      </w:r>
      <w:r w:rsidRPr="00F81A86">
        <w:rPr>
          <w:rFonts w:ascii="Arial" w:hAnsi="Arial" w:cs="Arial"/>
        </w:rPr>
        <w:t xml:space="preserve"> as well as a love of all things legal</w:t>
      </w:r>
      <w:r>
        <w:rPr>
          <w:rFonts w:ascii="Arial" w:hAnsi="Arial" w:cs="Arial"/>
        </w:rPr>
        <w:t>;</w:t>
      </w:r>
      <w:r w:rsidRPr="00F81A86">
        <w:rPr>
          <w:rFonts w:ascii="Arial" w:hAnsi="Arial" w:cs="Arial"/>
        </w:rPr>
        <w:t xml:space="preserve"> existing colleagues </w:t>
      </w:r>
      <w:r>
        <w:rPr>
          <w:rFonts w:ascii="Arial" w:hAnsi="Arial" w:cs="Arial"/>
        </w:rPr>
        <w:t xml:space="preserve">also get </w:t>
      </w:r>
      <w:r w:rsidRPr="00F81A86">
        <w:rPr>
          <w:rFonts w:ascii="Arial" w:hAnsi="Arial" w:cs="Arial"/>
        </w:rPr>
        <w:t xml:space="preserve">the chance to grow. We created new roles in our structure and </w:t>
      </w:r>
      <w:r>
        <w:rPr>
          <w:rFonts w:ascii="Arial" w:hAnsi="Arial" w:cs="Arial"/>
        </w:rPr>
        <w:t xml:space="preserve">training </w:t>
      </w:r>
      <w:r w:rsidRPr="00F81A86">
        <w:rPr>
          <w:rFonts w:ascii="Arial" w:hAnsi="Arial" w:cs="Arial"/>
        </w:rPr>
        <w:t>programmes to give our colleagues the skills and experience they need to thrive with us</w:t>
      </w:r>
      <w:r>
        <w:rPr>
          <w:rFonts w:ascii="Arial" w:hAnsi="Arial" w:cs="Arial"/>
        </w:rPr>
        <w:t>.</w:t>
      </w:r>
      <w:r w:rsidRPr="00F81A86">
        <w:rPr>
          <w:rFonts w:ascii="Arial" w:hAnsi="Arial" w:cs="Arial"/>
        </w:rPr>
        <w:t xml:space="preserve"> 30% of roles in CLS were filled by internal candidates in H1.</w:t>
      </w:r>
    </w:p>
    <w:p w14:paraId="4C61B55D" w14:textId="77777777" w:rsidR="00514B73" w:rsidRDefault="00514B73" w:rsidP="00514B73">
      <w:pPr>
        <w:spacing w:line="240" w:lineRule="auto"/>
        <w:rPr>
          <w:rFonts w:ascii="Arial" w:hAnsi="Arial" w:cs="Arial"/>
        </w:rPr>
      </w:pPr>
      <w:r w:rsidRPr="00F81A86">
        <w:rPr>
          <w:rFonts w:ascii="Arial" w:hAnsi="Arial" w:cs="Arial"/>
        </w:rPr>
        <w:t>Although many aspects of our business are changing and evolving, something that will always remain the same is our desire to give clients a great experience</w:t>
      </w:r>
      <w:r>
        <w:rPr>
          <w:rFonts w:ascii="Arial" w:hAnsi="Arial" w:cs="Arial"/>
        </w:rPr>
        <w:t xml:space="preserve">, regardless of whether </w:t>
      </w:r>
      <w:r w:rsidRPr="00F81A86">
        <w:rPr>
          <w:rFonts w:ascii="Arial" w:hAnsi="Arial" w:cs="Arial"/>
        </w:rPr>
        <w:t>they’re interacting with us online, in their own homes or through our digital tools. We’re delighted that our customer service scores continued to increase</w:t>
      </w:r>
      <w:r>
        <w:rPr>
          <w:rFonts w:ascii="Arial" w:hAnsi="Arial" w:cs="Arial"/>
        </w:rPr>
        <w:t>. O</w:t>
      </w:r>
      <w:r w:rsidRPr="00F81A86">
        <w:rPr>
          <w:rFonts w:ascii="Arial" w:hAnsi="Arial" w:cs="Arial"/>
        </w:rPr>
        <w:t xml:space="preserve">ur </w:t>
      </w:r>
      <w:r>
        <w:rPr>
          <w:rFonts w:ascii="Arial" w:hAnsi="Arial" w:cs="Arial"/>
        </w:rPr>
        <w:t>customer satisfaction</w:t>
      </w:r>
      <w:r w:rsidRPr="00F81A86">
        <w:rPr>
          <w:rFonts w:ascii="Arial" w:hAnsi="Arial" w:cs="Arial"/>
        </w:rPr>
        <w:t xml:space="preserve"> score for H1 </w:t>
      </w:r>
      <w:r>
        <w:rPr>
          <w:rFonts w:ascii="Arial" w:hAnsi="Arial" w:cs="Arial"/>
        </w:rPr>
        <w:t>was</w:t>
      </w:r>
      <w:r w:rsidRPr="00F81A86">
        <w:rPr>
          <w:rFonts w:ascii="Arial" w:hAnsi="Arial" w:cs="Arial"/>
        </w:rPr>
        <w:t xml:space="preserve"> at 87.2%</w:t>
      </w:r>
      <w:r>
        <w:rPr>
          <w:rFonts w:ascii="Arial" w:hAnsi="Arial" w:cs="Arial"/>
        </w:rPr>
        <w:t xml:space="preserve">, </w:t>
      </w:r>
      <w:r w:rsidRPr="00F81A86">
        <w:rPr>
          <w:rFonts w:ascii="Arial" w:hAnsi="Arial" w:cs="Arial"/>
        </w:rPr>
        <w:t xml:space="preserve">an increase of 1.7% compared the same period last year. We’re also </w:t>
      </w:r>
      <w:proofErr w:type="gramStart"/>
      <w:r w:rsidRPr="00F81A86">
        <w:rPr>
          <w:rFonts w:ascii="Arial" w:hAnsi="Arial" w:cs="Arial"/>
        </w:rPr>
        <w:t>really proud</w:t>
      </w:r>
      <w:proofErr w:type="gramEnd"/>
      <w:r w:rsidRPr="00F81A86">
        <w:rPr>
          <w:rFonts w:ascii="Arial" w:hAnsi="Arial" w:cs="Arial"/>
        </w:rPr>
        <w:t xml:space="preserve"> of our Trust</w:t>
      </w:r>
      <w:r>
        <w:rPr>
          <w:rFonts w:ascii="Arial" w:hAnsi="Arial" w:cs="Arial"/>
        </w:rPr>
        <w:t>p</w:t>
      </w:r>
      <w:r w:rsidRPr="00F81A86">
        <w:rPr>
          <w:rFonts w:ascii="Arial" w:hAnsi="Arial" w:cs="Arial"/>
        </w:rPr>
        <w:t>ilot scores, which continue</w:t>
      </w:r>
      <w:r>
        <w:rPr>
          <w:rFonts w:ascii="Arial" w:hAnsi="Arial" w:cs="Arial"/>
        </w:rPr>
        <w:t>d</w:t>
      </w:r>
      <w:r w:rsidRPr="00F81A86">
        <w:rPr>
          <w:rFonts w:ascii="Arial" w:hAnsi="Arial" w:cs="Arial"/>
        </w:rPr>
        <w:t xml:space="preserve"> to improve. Client reviews increased our score to 4.</w:t>
      </w:r>
      <w:r>
        <w:rPr>
          <w:rFonts w:ascii="Arial" w:hAnsi="Arial" w:cs="Arial"/>
        </w:rPr>
        <w:t>8 during the first half of this year</w:t>
      </w:r>
      <w:r w:rsidRPr="00F81A86">
        <w:rPr>
          <w:rFonts w:ascii="Arial" w:hAnsi="Arial" w:cs="Arial"/>
        </w:rPr>
        <w:t xml:space="preserve"> - which mean</w:t>
      </w:r>
      <w:r>
        <w:rPr>
          <w:rFonts w:ascii="Arial" w:hAnsi="Arial" w:cs="Arial"/>
        </w:rPr>
        <w:t>t</w:t>
      </w:r>
      <w:r w:rsidRPr="00F81A86">
        <w:rPr>
          <w:rFonts w:ascii="Arial" w:hAnsi="Arial" w:cs="Arial"/>
        </w:rPr>
        <w:t xml:space="preserve"> </w:t>
      </w:r>
      <w:r>
        <w:rPr>
          <w:rFonts w:ascii="Arial" w:hAnsi="Arial" w:cs="Arial"/>
        </w:rPr>
        <w:t>a</w:t>
      </w:r>
      <w:r w:rsidRPr="00F81A86">
        <w:rPr>
          <w:rFonts w:ascii="Arial" w:hAnsi="Arial" w:cs="Arial"/>
        </w:rPr>
        <w:t xml:space="preserve"> rank </w:t>
      </w:r>
      <w:r>
        <w:rPr>
          <w:rFonts w:ascii="Arial" w:hAnsi="Arial" w:cs="Arial"/>
        </w:rPr>
        <w:t>of</w:t>
      </w:r>
      <w:r w:rsidRPr="00F81A86">
        <w:rPr>
          <w:rFonts w:ascii="Arial" w:hAnsi="Arial" w:cs="Arial"/>
        </w:rPr>
        <w:t xml:space="preserve"> five fully green stars on the site</w:t>
      </w:r>
      <w:r>
        <w:rPr>
          <w:rFonts w:ascii="Arial" w:hAnsi="Arial" w:cs="Arial"/>
        </w:rPr>
        <w:t>,</w:t>
      </w:r>
      <w:r w:rsidRPr="00F81A86">
        <w:rPr>
          <w:rFonts w:ascii="Arial" w:hAnsi="Arial" w:cs="Arial"/>
        </w:rPr>
        <w:t xml:space="preserve"> giving clients confidence and trust in our services based on real customer reviews. </w:t>
      </w:r>
    </w:p>
    <w:p w14:paraId="14DFC45C" w14:textId="77777777" w:rsidR="00514B73" w:rsidRPr="00B36FD0" w:rsidRDefault="00514B73" w:rsidP="00514B73">
      <w:pPr>
        <w:spacing w:line="240" w:lineRule="auto"/>
        <w:rPr>
          <w:rFonts w:ascii="Arial" w:hAnsi="Arial" w:cs="Arial"/>
          <w:b/>
          <w:color w:val="000000" w:themeColor="text1"/>
          <w:sz w:val="24"/>
          <w:szCs w:val="24"/>
        </w:rPr>
      </w:pPr>
      <w:r w:rsidRPr="00B36FD0">
        <w:rPr>
          <w:rFonts w:ascii="Arial" w:hAnsi="Arial" w:cs="Arial"/>
          <w:b/>
          <w:color w:val="000000" w:themeColor="text1"/>
          <w:sz w:val="24"/>
          <w:szCs w:val="24"/>
        </w:rPr>
        <w:t>VISION UPDATE</w:t>
      </w:r>
    </w:p>
    <w:p w14:paraId="677CB684" w14:textId="77777777" w:rsidR="00514B73" w:rsidRPr="009E3CDE" w:rsidRDefault="00514B73" w:rsidP="00514B73">
      <w:pPr>
        <w:spacing w:after="0" w:line="240" w:lineRule="auto"/>
        <w:textAlignment w:val="baseline"/>
        <w:rPr>
          <w:rFonts w:ascii="Arial" w:eastAsia="Times New Roman" w:hAnsi="Arial" w:cs="Arial"/>
          <w:lang w:eastAsia="en-GB"/>
        </w:rPr>
      </w:pPr>
      <w:r w:rsidRPr="009E3CDE">
        <w:rPr>
          <w:rFonts w:ascii="Arial" w:eastAsia="Times New Roman" w:hAnsi="Arial" w:cs="Arial"/>
          <w:lang w:eastAsia="en-GB"/>
        </w:rPr>
        <w:t xml:space="preserve">When we articulated our Vision of </w:t>
      </w:r>
      <w:r w:rsidRPr="009E3CDE">
        <w:rPr>
          <w:rFonts w:ascii="Arial" w:eastAsia="Times New Roman" w:hAnsi="Arial" w:cs="Arial"/>
          <w:i/>
          <w:iCs/>
          <w:lang w:eastAsia="en-GB"/>
        </w:rPr>
        <w:t xml:space="preserve">‘Co-operating for a Fairer World’ </w:t>
      </w:r>
      <w:r w:rsidRPr="009E3CDE">
        <w:rPr>
          <w:rFonts w:ascii="Arial" w:eastAsia="Times New Roman" w:hAnsi="Arial" w:cs="Arial"/>
          <w:lang w:eastAsia="en-GB"/>
        </w:rPr>
        <w:t>a few years ago, little did we know that its importance would increase so much because of a chain of events</w:t>
      </w:r>
      <w:r>
        <w:rPr>
          <w:rFonts w:ascii="Arial" w:eastAsia="Times New Roman" w:hAnsi="Arial" w:cs="Arial"/>
          <w:lang w:eastAsia="en-GB"/>
        </w:rPr>
        <w:t xml:space="preserve"> that</w:t>
      </w:r>
      <w:r w:rsidRPr="009E3CDE">
        <w:rPr>
          <w:rFonts w:ascii="Arial" w:eastAsia="Times New Roman" w:hAnsi="Arial" w:cs="Arial"/>
          <w:lang w:eastAsia="en-GB"/>
        </w:rPr>
        <w:t xml:space="preserve"> simply could not have been predicted.</w:t>
      </w:r>
      <w:r>
        <w:rPr>
          <w:rFonts w:ascii="Arial" w:eastAsia="Times New Roman" w:hAnsi="Arial" w:cs="Arial"/>
          <w:lang w:eastAsia="en-GB"/>
        </w:rPr>
        <w:t xml:space="preserve"> Our activity to help make things fairer for our members and communities, fairer for our colleagues and fairer for our planet is as relevant now as it ever was.  </w:t>
      </w:r>
      <w:r w:rsidRPr="009E3CDE">
        <w:rPr>
          <w:rFonts w:ascii="Arial" w:eastAsia="Times New Roman" w:hAnsi="Arial" w:cs="Arial"/>
          <w:lang w:eastAsia="en-GB"/>
        </w:rPr>
        <w:t xml:space="preserve"> </w:t>
      </w:r>
    </w:p>
    <w:p w14:paraId="3672CF87" w14:textId="77777777" w:rsidR="00514B73" w:rsidRPr="009E3CDE" w:rsidRDefault="00514B73" w:rsidP="00514B73">
      <w:pPr>
        <w:spacing w:after="0" w:line="240" w:lineRule="auto"/>
        <w:textAlignment w:val="baseline"/>
        <w:rPr>
          <w:rFonts w:ascii="Arial" w:eastAsia="Times New Roman" w:hAnsi="Arial" w:cs="Arial"/>
          <w:lang w:eastAsia="en-GB"/>
        </w:rPr>
      </w:pPr>
    </w:p>
    <w:p w14:paraId="6D904542" w14:textId="77777777" w:rsidR="00514B73" w:rsidRPr="009E3CDE" w:rsidRDefault="00514B73" w:rsidP="00514B73">
      <w:pPr>
        <w:spacing w:after="0" w:line="240" w:lineRule="auto"/>
        <w:textAlignment w:val="baseline"/>
        <w:rPr>
          <w:rFonts w:ascii="Arial" w:eastAsia="Times New Roman" w:hAnsi="Arial" w:cs="Arial"/>
          <w:lang w:eastAsia="en-GB"/>
        </w:rPr>
      </w:pPr>
      <w:r w:rsidRPr="009E3CDE">
        <w:rPr>
          <w:rFonts w:ascii="Arial" w:eastAsia="Times New Roman" w:hAnsi="Arial" w:cs="Arial"/>
          <w:lang w:eastAsia="en-GB"/>
        </w:rPr>
        <w:t xml:space="preserve">The worsening economic and political picture impacted </w:t>
      </w:r>
      <w:r>
        <w:rPr>
          <w:rFonts w:ascii="Arial" w:eastAsia="Times New Roman" w:hAnsi="Arial" w:cs="Arial"/>
          <w:lang w:eastAsia="en-GB"/>
        </w:rPr>
        <w:t xml:space="preserve">everyone our Co-op </w:t>
      </w:r>
      <w:proofErr w:type="gramStart"/>
      <w:r>
        <w:rPr>
          <w:rFonts w:ascii="Arial" w:eastAsia="Times New Roman" w:hAnsi="Arial" w:cs="Arial"/>
          <w:lang w:eastAsia="en-GB"/>
        </w:rPr>
        <w:t>serves</w:t>
      </w:r>
      <w:proofErr w:type="gramEnd"/>
      <w:r>
        <w:rPr>
          <w:rFonts w:ascii="Arial" w:eastAsia="Times New Roman" w:hAnsi="Arial" w:cs="Arial"/>
          <w:lang w:eastAsia="en-GB"/>
        </w:rPr>
        <w:t xml:space="preserve"> </w:t>
      </w:r>
      <w:r w:rsidRPr="009E3CDE">
        <w:rPr>
          <w:rFonts w:ascii="Arial" w:eastAsia="Times New Roman" w:hAnsi="Arial" w:cs="Arial"/>
          <w:lang w:eastAsia="en-GB"/>
        </w:rPr>
        <w:t>and</w:t>
      </w:r>
      <w:r>
        <w:rPr>
          <w:rFonts w:ascii="Arial" w:eastAsia="Times New Roman" w:hAnsi="Arial" w:cs="Arial"/>
          <w:lang w:eastAsia="en-GB"/>
        </w:rPr>
        <w:t>,</w:t>
      </w:r>
      <w:r w:rsidRPr="009E3CDE">
        <w:rPr>
          <w:rFonts w:ascii="Arial" w:eastAsia="Times New Roman" w:hAnsi="Arial" w:cs="Arial"/>
          <w:lang w:eastAsia="en-GB"/>
        </w:rPr>
        <w:t xml:space="preserve"> during the </w:t>
      </w:r>
      <w:r>
        <w:rPr>
          <w:rFonts w:ascii="Arial" w:eastAsia="Times New Roman" w:hAnsi="Arial" w:cs="Arial"/>
          <w:lang w:eastAsia="en-GB"/>
        </w:rPr>
        <w:t>first</w:t>
      </w:r>
      <w:r w:rsidRPr="009E3CDE">
        <w:rPr>
          <w:rFonts w:ascii="Arial" w:eastAsia="Times New Roman" w:hAnsi="Arial" w:cs="Arial"/>
          <w:lang w:eastAsia="en-GB"/>
        </w:rPr>
        <w:t xml:space="preserve"> six months</w:t>
      </w:r>
      <w:r>
        <w:rPr>
          <w:rFonts w:ascii="Arial" w:eastAsia="Times New Roman" w:hAnsi="Arial" w:cs="Arial"/>
          <w:lang w:eastAsia="en-GB"/>
        </w:rPr>
        <w:t xml:space="preserve"> of the year,</w:t>
      </w:r>
      <w:r w:rsidRPr="009E3CDE">
        <w:rPr>
          <w:rFonts w:ascii="Arial" w:eastAsia="Times New Roman" w:hAnsi="Arial" w:cs="Arial"/>
          <w:lang w:eastAsia="en-GB"/>
        </w:rPr>
        <w:t xml:space="preserve"> we</w:t>
      </w:r>
      <w:r>
        <w:rPr>
          <w:rFonts w:ascii="Arial" w:eastAsia="Times New Roman" w:hAnsi="Arial" w:cs="Arial"/>
          <w:lang w:eastAsia="en-GB"/>
        </w:rPr>
        <w:t xml:space="preserve"> </w:t>
      </w:r>
      <w:r w:rsidRPr="009E3CDE">
        <w:rPr>
          <w:rFonts w:ascii="Arial" w:eastAsia="Times New Roman" w:hAnsi="Arial" w:cs="Arial"/>
          <w:lang w:eastAsia="en-GB"/>
        </w:rPr>
        <w:t>factored that carefully</w:t>
      </w:r>
      <w:r>
        <w:rPr>
          <w:rFonts w:ascii="Arial" w:eastAsia="Times New Roman" w:hAnsi="Arial" w:cs="Arial"/>
          <w:lang w:eastAsia="en-GB"/>
        </w:rPr>
        <w:t xml:space="preserve"> </w:t>
      </w:r>
      <w:r w:rsidRPr="009E3CDE">
        <w:rPr>
          <w:rFonts w:ascii="Arial" w:eastAsia="Times New Roman" w:hAnsi="Arial" w:cs="Arial"/>
          <w:lang w:eastAsia="en-GB"/>
        </w:rPr>
        <w:t>into how we deliver</w:t>
      </w:r>
      <w:r>
        <w:rPr>
          <w:rFonts w:ascii="Arial" w:eastAsia="Times New Roman" w:hAnsi="Arial" w:cs="Arial"/>
          <w:lang w:eastAsia="en-GB"/>
        </w:rPr>
        <w:t>ed</w:t>
      </w:r>
      <w:r w:rsidRPr="009E3CDE">
        <w:rPr>
          <w:rFonts w:ascii="Arial" w:eastAsia="Times New Roman" w:hAnsi="Arial" w:cs="Arial"/>
          <w:lang w:eastAsia="en-GB"/>
        </w:rPr>
        <w:t xml:space="preserve"> our Vision. </w:t>
      </w:r>
    </w:p>
    <w:p w14:paraId="52BDDF4D" w14:textId="77777777" w:rsidR="00514B73" w:rsidRPr="009E3CDE" w:rsidRDefault="00514B73" w:rsidP="00514B73">
      <w:pPr>
        <w:spacing w:after="0" w:line="240" w:lineRule="auto"/>
        <w:textAlignment w:val="baseline"/>
        <w:rPr>
          <w:rFonts w:ascii="Arial" w:eastAsia="Times New Roman" w:hAnsi="Arial" w:cs="Arial"/>
          <w:lang w:eastAsia="en-GB"/>
        </w:rPr>
      </w:pPr>
    </w:p>
    <w:p w14:paraId="592C5D38" w14:textId="77777777" w:rsidR="00514B73" w:rsidRDefault="00514B73" w:rsidP="00514B73">
      <w:r w:rsidRPr="009E3CDE">
        <w:rPr>
          <w:rFonts w:ascii="Arial" w:eastAsia="Times New Roman" w:hAnsi="Arial" w:cs="Arial"/>
          <w:lang w:eastAsia="en-GB"/>
        </w:rPr>
        <w:t xml:space="preserve">Our members, </w:t>
      </w:r>
      <w:proofErr w:type="gramStart"/>
      <w:r w:rsidRPr="009E3CDE">
        <w:rPr>
          <w:rFonts w:ascii="Arial" w:eastAsia="Times New Roman" w:hAnsi="Arial" w:cs="Arial"/>
          <w:lang w:eastAsia="en-GB"/>
        </w:rPr>
        <w:t>colleagues</w:t>
      </w:r>
      <w:proofErr w:type="gramEnd"/>
      <w:r w:rsidRPr="009E3CDE">
        <w:rPr>
          <w:rFonts w:ascii="Arial" w:eastAsia="Times New Roman" w:hAnsi="Arial" w:cs="Arial"/>
          <w:lang w:eastAsia="en-GB"/>
        </w:rPr>
        <w:t xml:space="preserve"> and customers, as ever</w:t>
      </w:r>
      <w:r>
        <w:rPr>
          <w:rFonts w:ascii="Arial" w:eastAsia="Times New Roman" w:hAnsi="Arial" w:cs="Arial"/>
          <w:lang w:eastAsia="en-GB"/>
        </w:rPr>
        <w:t>,</w:t>
      </w:r>
      <w:r w:rsidRPr="009E3CDE">
        <w:rPr>
          <w:rFonts w:ascii="Arial" w:eastAsia="Times New Roman" w:hAnsi="Arial" w:cs="Arial"/>
          <w:lang w:eastAsia="en-GB"/>
        </w:rPr>
        <w:t xml:space="preserve"> ha</w:t>
      </w:r>
      <w:r>
        <w:rPr>
          <w:rFonts w:ascii="Arial" w:eastAsia="Times New Roman" w:hAnsi="Arial" w:cs="Arial"/>
          <w:lang w:eastAsia="en-GB"/>
        </w:rPr>
        <w:t>d</w:t>
      </w:r>
      <w:r w:rsidRPr="009E3CDE">
        <w:rPr>
          <w:rFonts w:ascii="Arial" w:eastAsia="Times New Roman" w:hAnsi="Arial" w:cs="Arial"/>
          <w:lang w:eastAsia="en-GB"/>
        </w:rPr>
        <w:t xml:space="preserve"> been at the heart of this activity</w:t>
      </w:r>
      <w:r>
        <w:rPr>
          <w:rFonts w:ascii="Arial" w:eastAsia="Times New Roman" w:hAnsi="Arial" w:cs="Arial"/>
          <w:lang w:eastAsia="en-GB"/>
        </w:rPr>
        <w:t xml:space="preserve">. Their </w:t>
      </w:r>
      <w:r w:rsidRPr="009E3CDE">
        <w:rPr>
          <w:rFonts w:ascii="Arial" w:eastAsia="Times New Roman" w:hAnsi="Arial" w:cs="Arial"/>
          <w:lang w:eastAsia="en-GB"/>
        </w:rPr>
        <w:t>incredible support was in evidence when they raised over £1</w:t>
      </w:r>
      <w:r>
        <w:rPr>
          <w:rFonts w:ascii="Arial" w:eastAsia="Times New Roman" w:hAnsi="Arial" w:cs="Arial"/>
          <w:lang w:eastAsia="en-GB"/>
        </w:rPr>
        <w:t>.2</w:t>
      </w:r>
      <w:r w:rsidRPr="009E3CDE">
        <w:rPr>
          <w:rFonts w:ascii="Arial" w:eastAsia="Times New Roman" w:hAnsi="Arial" w:cs="Arial"/>
          <w:lang w:eastAsia="en-GB"/>
        </w:rPr>
        <w:t xml:space="preserve"> million via till, text, online member reward channels</w:t>
      </w:r>
      <w:r>
        <w:rPr>
          <w:rFonts w:ascii="Arial" w:eastAsia="Times New Roman" w:hAnsi="Arial" w:cs="Arial"/>
          <w:lang w:eastAsia="en-GB"/>
        </w:rPr>
        <w:t xml:space="preserve"> and Co-op Foundation,</w:t>
      </w:r>
      <w:r w:rsidRPr="009E3CDE">
        <w:rPr>
          <w:rFonts w:ascii="Arial" w:eastAsia="Times New Roman" w:hAnsi="Arial" w:cs="Arial"/>
          <w:lang w:eastAsia="en-GB"/>
        </w:rPr>
        <w:t xml:space="preserve"> in support of </w:t>
      </w:r>
      <w:r>
        <w:rPr>
          <w:rFonts w:ascii="Arial" w:eastAsia="Times New Roman" w:hAnsi="Arial" w:cs="Arial"/>
          <w:lang w:eastAsia="en-GB"/>
        </w:rPr>
        <w:t>t</w:t>
      </w:r>
      <w:r w:rsidRPr="009E3CDE">
        <w:rPr>
          <w:rFonts w:ascii="Arial" w:eastAsia="Times New Roman" w:hAnsi="Arial" w:cs="Arial"/>
          <w:lang w:eastAsia="en-GB"/>
        </w:rPr>
        <w:t>he DEC appeal for Ukraine</w:t>
      </w:r>
      <w:r>
        <w:rPr>
          <w:rFonts w:ascii="Arial" w:eastAsia="Times New Roman" w:hAnsi="Arial" w:cs="Arial"/>
          <w:lang w:eastAsia="en-GB"/>
        </w:rPr>
        <w:t xml:space="preserve"> in H1</w:t>
      </w:r>
      <w:r w:rsidRPr="009E3CDE">
        <w:rPr>
          <w:rFonts w:ascii="Arial" w:eastAsia="Times New Roman" w:hAnsi="Arial" w:cs="Arial"/>
          <w:lang w:eastAsia="en-GB"/>
        </w:rPr>
        <w:t>.</w:t>
      </w:r>
      <w:r>
        <w:rPr>
          <w:rFonts w:ascii="Arial" w:eastAsia="Times New Roman" w:hAnsi="Arial" w:cs="Arial"/>
          <w:lang w:eastAsia="en-GB"/>
        </w:rPr>
        <w:t xml:space="preserve"> </w:t>
      </w:r>
      <w:r w:rsidRPr="009E3CDE">
        <w:rPr>
          <w:rFonts w:ascii="Arial" w:eastAsia="Times New Roman" w:hAnsi="Arial" w:cs="Arial"/>
          <w:lang w:eastAsia="en-GB"/>
        </w:rPr>
        <w:t xml:space="preserve">This </w:t>
      </w:r>
      <w:r>
        <w:rPr>
          <w:rFonts w:ascii="Arial" w:eastAsia="Times New Roman" w:hAnsi="Arial" w:cs="Arial"/>
          <w:lang w:eastAsia="en-GB"/>
        </w:rPr>
        <w:t>m</w:t>
      </w:r>
      <w:r w:rsidRPr="009E3CDE">
        <w:rPr>
          <w:rFonts w:ascii="Arial" w:eastAsia="Times New Roman" w:hAnsi="Arial" w:cs="Arial"/>
          <w:lang w:eastAsia="en-GB"/>
        </w:rPr>
        <w:t xml:space="preserve">oney will go to </w:t>
      </w:r>
      <w:r>
        <w:rPr>
          <w:rFonts w:ascii="Arial" w:eastAsia="Times New Roman" w:hAnsi="Arial" w:cs="Arial"/>
          <w:lang w:eastAsia="en-GB"/>
        </w:rPr>
        <w:t xml:space="preserve">meet the ongoing needs of people affected by the conflict over the next three years. </w:t>
      </w:r>
      <w:r w:rsidRPr="00D54E11">
        <w:rPr>
          <w:rFonts w:ascii="Arial" w:hAnsi="Arial" w:cs="Arial"/>
          <w:lang w:eastAsia="en-GB"/>
        </w:rPr>
        <w:t xml:space="preserve">Also, our Local Community Fund, generated by our members’ spending, shared around </w:t>
      </w:r>
      <w:r w:rsidRPr="006108C9">
        <w:rPr>
          <w:rFonts w:ascii="Arial" w:hAnsi="Arial" w:cs="Arial"/>
          <w:lang w:eastAsia="en-GB"/>
        </w:rPr>
        <w:t>£1.5 million</w:t>
      </w:r>
      <w:r w:rsidRPr="00D54E11">
        <w:rPr>
          <w:rFonts w:ascii="Arial" w:hAnsi="Arial" w:cs="Arial"/>
          <w:color w:val="00B050"/>
          <w:lang w:eastAsia="en-GB"/>
        </w:rPr>
        <w:t xml:space="preserve"> </w:t>
      </w:r>
      <w:r w:rsidRPr="00D54E11">
        <w:rPr>
          <w:rFonts w:ascii="Arial" w:hAnsi="Arial" w:cs="Arial"/>
          <w:lang w:eastAsia="en-GB"/>
        </w:rPr>
        <w:t xml:space="preserve">with more than 4,500 local causes </w:t>
      </w:r>
      <w:r w:rsidRPr="006108C9">
        <w:rPr>
          <w:rFonts w:ascii="Arial" w:hAnsi="Arial" w:cs="Arial"/>
          <w:lang w:eastAsia="en-GB"/>
        </w:rPr>
        <w:t>in April.</w:t>
      </w:r>
    </w:p>
    <w:p w14:paraId="16011BCA" w14:textId="77777777" w:rsidR="00514B73" w:rsidRPr="009E3CDE" w:rsidRDefault="00514B73" w:rsidP="00514B73">
      <w:pPr>
        <w:spacing w:line="240" w:lineRule="auto"/>
        <w:rPr>
          <w:rFonts w:ascii="Arial" w:eastAsia="Arial" w:hAnsi="Arial" w:cs="Arial"/>
        </w:rPr>
      </w:pPr>
      <w:r w:rsidRPr="009E3CDE">
        <w:rPr>
          <w:rFonts w:ascii="Arial" w:eastAsia="Arial" w:hAnsi="Arial" w:cs="Arial"/>
        </w:rPr>
        <w:t>Our Wellbeing team has</w:t>
      </w:r>
      <w:r>
        <w:rPr>
          <w:rFonts w:ascii="Arial" w:eastAsia="Arial" w:hAnsi="Arial" w:cs="Arial"/>
        </w:rPr>
        <w:t xml:space="preserve"> </w:t>
      </w:r>
      <w:r w:rsidRPr="009E3CDE">
        <w:rPr>
          <w:rFonts w:ascii="Arial" w:eastAsia="Arial" w:hAnsi="Arial" w:cs="Arial"/>
        </w:rPr>
        <w:t>developed a wide range of colleague benefits that can all positively impact our colleagues</w:t>
      </w:r>
      <w:r>
        <w:rPr>
          <w:rFonts w:ascii="Arial" w:eastAsia="Arial" w:hAnsi="Arial" w:cs="Arial"/>
        </w:rPr>
        <w:t>’</w:t>
      </w:r>
      <w:r w:rsidRPr="009E3CDE">
        <w:rPr>
          <w:rFonts w:ascii="Arial" w:eastAsia="Arial" w:hAnsi="Arial" w:cs="Arial"/>
        </w:rPr>
        <w:t xml:space="preserve"> lives. Insight, however, told us that not enough </w:t>
      </w:r>
      <w:r>
        <w:rPr>
          <w:rFonts w:ascii="Arial" w:eastAsia="Arial" w:hAnsi="Arial" w:cs="Arial"/>
        </w:rPr>
        <w:t xml:space="preserve">of them </w:t>
      </w:r>
      <w:r w:rsidRPr="009E3CDE">
        <w:rPr>
          <w:rFonts w:ascii="Arial" w:eastAsia="Arial" w:hAnsi="Arial" w:cs="Arial"/>
        </w:rPr>
        <w:t xml:space="preserve">knew about the offer and what </w:t>
      </w:r>
      <w:r>
        <w:rPr>
          <w:rFonts w:ascii="Arial" w:eastAsia="Arial" w:hAnsi="Arial" w:cs="Arial"/>
        </w:rPr>
        <w:t>support they</w:t>
      </w:r>
      <w:r w:rsidRPr="009E3CDE">
        <w:rPr>
          <w:rFonts w:ascii="Arial" w:eastAsia="Arial" w:hAnsi="Arial" w:cs="Arial"/>
        </w:rPr>
        <w:t xml:space="preserve"> can </w:t>
      </w:r>
      <w:r>
        <w:rPr>
          <w:rFonts w:ascii="Arial" w:eastAsia="Arial" w:hAnsi="Arial" w:cs="Arial"/>
        </w:rPr>
        <w:t>expect,</w:t>
      </w:r>
      <w:r w:rsidRPr="009E3CDE">
        <w:rPr>
          <w:rFonts w:ascii="Arial" w:eastAsia="Arial" w:hAnsi="Arial" w:cs="Arial"/>
        </w:rPr>
        <w:t xml:space="preserve"> simply </w:t>
      </w:r>
      <w:r>
        <w:rPr>
          <w:rFonts w:ascii="Arial" w:eastAsia="Arial" w:hAnsi="Arial" w:cs="Arial"/>
        </w:rPr>
        <w:t>by</w:t>
      </w:r>
      <w:r w:rsidRPr="009E3CDE">
        <w:rPr>
          <w:rFonts w:ascii="Arial" w:eastAsia="Arial" w:hAnsi="Arial" w:cs="Arial"/>
        </w:rPr>
        <w:t xml:space="preserve"> being a Co-op colleague</w:t>
      </w:r>
      <w:r>
        <w:rPr>
          <w:rFonts w:ascii="Arial" w:eastAsia="Arial" w:hAnsi="Arial" w:cs="Arial"/>
        </w:rPr>
        <w:t xml:space="preserve">. </w:t>
      </w:r>
      <w:proofErr w:type="gramStart"/>
      <w:r>
        <w:rPr>
          <w:rFonts w:ascii="Arial" w:eastAsia="Arial" w:hAnsi="Arial" w:cs="Arial"/>
        </w:rPr>
        <w:t xml:space="preserve">This </w:t>
      </w:r>
      <w:r w:rsidRPr="009E3CDE">
        <w:rPr>
          <w:rFonts w:ascii="Arial" w:eastAsia="Arial" w:hAnsi="Arial" w:cs="Arial"/>
        </w:rPr>
        <w:t>is why</w:t>
      </w:r>
      <w:proofErr w:type="gramEnd"/>
      <w:r w:rsidRPr="009E3CDE">
        <w:rPr>
          <w:rFonts w:ascii="Arial" w:eastAsia="Arial" w:hAnsi="Arial" w:cs="Arial"/>
        </w:rPr>
        <w:t xml:space="preserve"> the Co-op </w:t>
      </w:r>
      <w:r>
        <w:rPr>
          <w:rFonts w:ascii="Arial" w:eastAsia="Arial" w:hAnsi="Arial" w:cs="Arial"/>
        </w:rPr>
        <w:t>‘</w:t>
      </w:r>
      <w:r w:rsidRPr="009E3CDE">
        <w:rPr>
          <w:rFonts w:ascii="Arial" w:eastAsia="Arial" w:hAnsi="Arial" w:cs="Arial"/>
        </w:rPr>
        <w:t>Wellbeing and Benefits</w:t>
      </w:r>
      <w:r>
        <w:rPr>
          <w:rFonts w:ascii="Arial" w:eastAsia="Arial" w:hAnsi="Arial" w:cs="Arial"/>
        </w:rPr>
        <w:t>’</w:t>
      </w:r>
      <w:r w:rsidRPr="009E3CDE">
        <w:rPr>
          <w:rFonts w:ascii="Arial" w:eastAsia="Arial" w:hAnsi="Arial" w:cs="Arial"/>
        </w:rPr>
        <w:t xml:space="preserve"> campaign was created and rolled out at </w:t>
      </w:r>
      <w:proofErr w:type="spellStart"/>
      <w:r w:rsidRPr="009E3CDE">
        <w:rPr>
          <w:rFonts w:ascii="Arial" w:eastAsia="Arial" w:hAnsi="Arial" w:cs="Arial"/>
        </w:rPr>
        <w:t>mid</w:t>
      </w:r>
      <w:r>
        <w:rPr>
          <w:rFonts w:ascii="Arial" w:eastAsia="Arial" w:hAnsi="Arial" w:cs="Arial"/>
        </w:rPr>
        <w:t xml:space="preserve"> </w:t>
      </w:r>
      <w:r w:rsidRPr="009E3CDE">
        <w:rPr>
          <w:rFonts w:ascii="Arial" w:eastAsia="Arial" w:hAnsi="Arial" w:cs="Arial"/>
        </w:rPr>
        <w:t>year</w:t>
      </w:r>
      <w:proofErr w:type="spellEnd"/>
      <w:r w:rsidRPr="009E3CDE">
        <w:rPr>
          <w:rFonts w:ascii="Arial" w:eastAsia="Arial" w:hAnsi="Arial" w:cs="Arial"/>
        </w:rPr>
        <w:t xml:space="preserve">. </w:t>
      </w:r>
    </w:p>
    <w:p w14:paraId="4393E42E" w14:textId="77777777" w:rsidR="00514B73" w:rsidRDefault="00514B73" w:rsidP="00514B73">
      <w:pPr>
        <w:spacing w:line="240" w:lineRule="auto"/>
        <w:rPr>
          <w:rFonts w:ascii="Arial" w:eastAsia="Arial" w:hAnsi="Arial" w:cs="Arial"/>
        </w:rPr>
      </w:pPr>
      <w:r w:rsidRPr="009E3CDE">
        <w:rPr>
          <w:rFonts w:ascii="Arial" w:eastAsia="Arial" w:hAnsi="Arial" w:cs="Arial"/>
        </w:rPr>
        <w:t>The campaign saw us launch our first ever financial wellbeing survey to all colleagues, creat</w:t>
      </w:r>
      <w:r>
        <w:rPr>
          <w:rFonts w:ascii="Arial" w:eastAsia="Arial" w:hAnsi="Arial" w:cs="Arial"/>
        </w:rPr>
        <w:t>ing</w:t>
      </w:r>
      <w:r w:rsidRPr="009E3CDE">
        <w:rPr>
          <w:rFonts w:ascii="Arial" w:eastAsia="Arial" w:hAnsi="Arial" w:cs="Arial"/>
        </w:rPr>
        <w:t xml:space="preserve"> a bespoke </w:t>
      </w:r>
      <w:r>
        <w:rPr>
          <w:rFonts w:ascii="Arial" w:eastAsia="Arial" w:hAnsi="Arial" w:cs="Arial"/>
        </w:rPr>
        <w:t>n</w:t>
      </w:r>
      <w:r w:rsidRPr="009E3CDE">
        <w:rPr>
          <w:rFonts w:ascii="Arial" w:eastAsia="Arial" w:hAnsi="Arial" w:cs="Arial"/>
        </w:rPr>
        <w:t>ewsletter focused on benefits and wellbeing</w:t>
      </w:r>
      <w:r>
        <w:rPr>
          <w:rFonts w:ascii="Arial" w:eastAsia="Arial" w:hAnsi="Arial" w:cs="Arial"/>
        </w:rPr>
        <w:t>,</w:t>
      </w:r>
      <w:r w:rsidRPr="009E3CDE">
        <w:rPr>
          <w:rFonts w:ascii="Arial" w:eastAsia="Arial" w:hAnsi="Arial" w:cs="Arial"/>
        </w:rPr>
        <w:t xml:space="preserve"> and a small concertina card outlining all these colleague benefits, which was sent to over 20,000 frontline colleagues.</w:t>
      </w:r>
    </w:p>
    <w:p w14:paraId="1BA5A3B6" w14:textId="77777777" w:rsidR="00514B73" w:rsidRPr="000D3ADE" w:rsidRDefault="00514B73" w:rsidP="00514B73">
      <w:pPr>
        <w:spacing w:line="240" w:lineRule="auto"/>
        <w:rPr>
          <w:rFonts w:ascii="Arial" w:hAnsi="Arial" w:cs="Arial"/>
        </w:rPr>
      </w:pPr>
      <w:bookmarkStart w:id="3" w:name="_Hlk111705361"/>
      <w:r w:rsidRPr="000D3ADE">
        <w:rPr>
          <w:rFonts w:ascii="Arial" w:hAnsi="Arial" w:cs="Arial"/>
        </w:rPr>
        <w:t>We also ran face</w:t>
      </w:r>
      <w:r>
        <w:rPr>
          <w:rFonts w:ascii="Arial" w:hAnsi="Arial" w:cs="Arial"/>
        </w:rPr>
        <w:t>-</w:t>
      </w:r>
      <w:r w:rsidRPr="000D3ADE">
        <w:rPr>
          <w:rFonts w:ascii="Arial" w:hAnsi="Arial" w:cs="Arial"/>
        </w:rPr>
        <w:t>to</w:t>
      </w:r>
      <w:r>
        <w:rPr>
          <w:rFonts w:ascii="Arial" w:hAnsi="Arial" w:cs="Arial"/>
        </w:rPr>
        <w:t>-</w:t>
      </w:r>
      <w:r w:rsidRPr="000D3ADE">
        <w:rPr>
          <w:rFonts w:ascii="Arial" w:hAnsi="Arial" w:cs="Arial"/>
        </w:rPr>
        <w:t xml:space="preserve">face benefits roadshows, meeting thousands of colleagues to discuss benefits available to them </w:t>
      </w:r>
      <w:r>
        <w:rPr>
          <w:rFonts w:ascii="Arial" w:hAnsi="Arial" w:cs="Arial"/>
        </w:rPr>
        <w:t>from</w:t>
      </w:r>
      <w:r w:rsidRPr="000D3ADE">
        <w:rPr>
          <w:rFonts w:ascii="Arial" w:hAnsi="Arial" w:cs="Arial"/>
        </w:rPr>
        <w:t xml:space="preserve"> channels and advisors such as Salary Finance (previously </w:t>
      </w:r>
      <w:proofErr w:type="spellStart"/>
      <w:r w:rsidRPr="000D3ADE">
        <w:rPr>
          <w:rFonts w:ascii="Arial" w:hAnsi="Arial" w:cs="Arial"/>
        </w:rPr>
        <w:t>Neyber</w:t>
      </w:r>
      <w:proofErr w:type="spellEnd"/>
      <w:r w:rsidRPr="000D3ADE">
        <w:rPr>
          <w:rFonts w:ascii="Arial" w:hAnsi="Arial" w:cs="Arial"/>
        </w:rPr>
        <w:t xml:space="preserve">) and our credit unions. In the first half of the year, we also helped </w:t>
      </w:r>
      <w:r>
        <w:rPr>
          <w:rFonts w:ascii="Arial" w:hAnsi="Arial" w:cs="Arial"/>
        </w:rPr>
        <w:t xml:space="preserve">more than </w:t>
      </w:r>
      <w:r w:rsidRPr="000D3ADE">
        <w:rPr>
          <w:rFonts w:ascii="Arial" w:hAnsi="Arial" w:cs="Arial"/>
        </w:rPr>
        <w:t>2,</w:t>
      </w:r>
      <w:r>
        <w:rPr>
          <w:rFonts w:ascii="Arial" w:hAnsi="Arial" w:cs="Arial"/>
        </w:rPr>
        <w:t>2</w:t>
      </w:r>
      <w:r w:rsidRPr="000D3ADE">
        <w:rPr>
          <w:rFonts w:ascii="Arial" w:hAnsi="Arial" w:cs="Arial"/>
        </w:rPr>
        <w:t xml:space="preserve">00 colleagues check their state benefit entitlement, to ensure they were receiving everything they were entitled to. </w:t>
      </w:r>
    </w:p>
    <w:p w14:paraId="3C863F48" w14:textId="77777777" w:rsidR="00514B73" w:rsidRPr="000D3ADE" w:rsidRDefault="00514B73" w:rsidP="00514B73">
      <w:pPr>
        <w:spacing w:line="240" w:lineRule="auto"/>
        <w:rPr>
          <w:rFonts w:ascii="Arial" w:hAnsi="Arial" w:cs="Arial"/>
        </w:rPr>
      </w:pPr>
      <w:r w:rsidRPr="000D3ADE">
        <w:rPr>
          <w:rFonts w:ascii="Arial" w:hAnsi="Arial" w:cs="Arial"/>
        </w:rPr>
        <w:t xml:space="preserve">Via the </w:t>
      </w:r>
      <w:proofErr w:type="spellStart"/>
      <w:r w:rsidRPr="000D3ADE">
        <w:rPr>
          <w:rFonts w:ascii="Arial" w:hAnsi="Arial" w:cs="Arial"/>
        </w:rPr>
        <w:t>Wagestream</w:t>
      </w:r>
      <w:proofErr w:type="spellEnd"/>
      <w:r w:rsidRPr="000D3ADE">
        <w:rPr>
          <w:rFonts w:ascii="Arial" w:hAnsi="Arial" w:cs="Arial"/>
        </w:rPr>
        <w:t xml:space="preserve"> app, which allows colleagues to access earned pay between pay days and open a savings account paying 5% interest – colleagues accessed nearly £5.4 million during H1, at times where they really needed it</w:t>
      </w:r>
      <w:r>
        <w:rPr>
          <w:rFonts w:ascii="Arial" w:hAnsi="Arial" w:cs="Arial"/>
        </w:rPr>
        <w:t>.</w:t>
      </w:r>
    </w:p>
    <w:bookmarkEnd w:id="3"/>
    <w:p w14:paraId="05366F8C" w14:textId="77777777" w:rsidR="00514B73" w:rsidRPr="009E3CDE" w:rsidRDefault="00514B73" w:rsidP="00514B73">
      <w:pPr>
        <w:spacing w:after="0" w:line="240" w:lineRule="auto"/>
        <w:rPr>
          <w:rFonts w:ascii="Arial" w:eastAsia="Times New Roman" w:hAnsi="Arial" w:cs="Arial"/>
          <w:lang w:eastAsia="en-GB"/>
        </w:rPr>
      </w:pPr>
      <w:r w:rsidRPr="009E3CDE">
        <w:rPr>
          <w:rFonts w:ascii="Arial" w:eastAsia="Times New Roman" w:hAnsi="Arial" w:cs="Arial"/>
          <w:lang w:eastAsia="en-GB"/>
        </w:rPr>
        <w:t xml:space="preserve">Progressing our Diversity </w:t>
      </w:r>
      <w:r>
        <w:rPr>
          <w:rFonts w:ascii="Arial" w:eastAsia="Times New Roman" w:hAnsi="Arial" w:cs="Arial"/>
          <w:lang w:eastAsia="en-GB"/>
        </w:rPr>
        <w:t>and</w:t>
      </w:r>
      <w:r w:rsidRPr="009E3CDE">
        <w:rPr>
          <w:rFonts w:ascii="Arial" w:eastAsia="Times New Roman" w:hAnsi="Arial" w:cs="Arial"/>
          <w:lang w:eastAsia="en-GB"/>
        </w:rPr>
        <w:t xml:space="preserve"> Inclusion agenda remained another key focus area during the first six months</w:t>
      </w:r>
      <w:r>
        <w:rPr>
          <w:rFonts w:ascii="Arial" w:eastAsia="Times New Roman" w:hAnsi="Arial" w:cs="Arial"/>
          <w:lang w:eastAsia="en-GB"/>
        </w:rPr>
        <w:t>, with</w:t>
      </w:r>
      <w:r w:rsidRPr="009E3CDE">
        <w:rPr>
          <w:rFonts w:ascii="Arial" w:eastAsia="Times New Roman" w:hAnsi="Arial" w:cs="Arial"/>
          <w:lang w:eastAsia="en-GB"/>
        </w:rPr>
        <w:t xml:space="preserve"> new initiatives underpinn</w:t>
      </w:r>
      <w:r>
        <w:rPr>
          <w:rFonts w:ascii="Arial" w:eastAsia="Times New Roman" w:hAnsi="Arial" w:cs="Arial"/>
          <w:lang w:eastAsia="en-GB"/>
        </w:rPr>
        <w:t>ing</w:t>
      </w:r>
      <w:r w:rsidRPr="009E3CDE">
        <w:rPr>
          <w:rFonts w:ascii="Arial" w:eastAsia="Times New Roman" w:hAnsi="Arial" w:cs="Arial"/>
          <w:lang w:eastAsia="en-GB"/>
        </w:rPr>
        <w:t xml:space="preserve"> </w:t>
      </w:r>
      <w:r>
        <w:rPr>
          <w:rFonts w:ascii="Arial" w:eastAsia="Times New Roman" w:hAnsi="Arial" w:cs="Arial"/>
          <w:lang w:eastAsia="en-GB"/>
        </w:rPr>
        <w:t>us, making things</w:t>
      </w:r>
      <w:r w:rsidRPr="009E3CDE">
        <w:rPr>
          <w:rFonts w:ascii="Arial" w:eastAsia="Times New Roman" w:hAnsi="Arial" w:cs="Arial"/>
          <w:lang w:eastAsia="en-GB"/>
        </w:rPr>
        <w:t xml:space="preserve"> fairer for colleagues, </w:t>
      </w:r>
      <w:proofErr w:type="gramStart"/>
      <w:r w:rsidRPr="009E3CDE">
        <w:rPr>
          <w:rFonts w:ascii="Arial" w:eastAsia="Times New Roman" w:hAnsi="Arial" w:cs="Arial"/>
          <w:lang w:eastAsia="en-GB"/>
        </w:rPr>
        <w:t>members</w:t>
      </w:r>
      <w:proofErr w:type="gramEnd"/>
      <w:r w:rsidRPr="009E3CDE">
        <w:rPr>
          <w:rFonts w:ascii="Arial" w:eastAsia="Times New Roman" w:hAnsi="Arial" w:cs="Arial"/>
          <w:lang w:eastAsia="en-GB"/>
        </w:rPr>
        <w:t xml:space="preserve"> and communit</w:t>
      </w:r>
      <w:r>
        <w:rPr>
          <w:rFonts w:ascii="Arial" w:eastAsia="Times New Roman" w:hAnsi="Arial" w:cs="Arial"/>
          <w:lang w:eastAsia="en-GB"/>
        </w:rPr>
        <w:t>ies</w:t>
      </w:r>
      <w:r w:rsidRPr="009E3CDE">
        <w:rPr>
          <w:rFonts w:ascii="Arial" w:eastAsia="Times New Roman" w:hAnsi="Arial" w:cs="Arial"/>
          <w:lang w:eastAsia="en-GB"/>
        </w:rPr>
        <w:t>.</w:t>
      </w:r>
      <w:r>
        <w:rPr>
          <w:rFonts w:ascii="Arial" w:eastAsia="Times New Roman" w:hAnsi="Arial" w:cs="Arial"/>
          <w:lang w:eastAsia="en-GB"/>
        </w:rPr>
        <w:t xml:space="preserve">    </w:t>
      </w:r>
    </w:p>
    <w:p w14:paraId="1461FECA" w14:textId="77777777" w:rsidR="00514B73" w:rsidRPr="009E3CDE" w:rsidRDefault="00514B73" w:rsidP="00514B73">
      <w:pPr>
        <w:spacing w:after="0" w:line="240" w:lineRule="auto"/>
        <w:rPr>
          <w:rFonts w:ascii="Arial" w:eastAsia="Times New Roman" w:hAnsi="Arial" w:cs="Arial"/>
          <w:lang w:eastAsia="en-GB"/>
        </w:rPr>
      </w:pPr>
    </w:p>
    <w:p w14:paraId="0E785651" w14:textId="77777777" w:rsidR="00514B73" w:rsidRPr="009E3CDE" w:rsidRDefault="00514B73" w:rsidP="00514B73">
      <w:pPr>
        <w:spacing w:line="240" w:lineRule="auto"/>
        <w:rPr>
          <w:rFonts w:ascii="Arial" w:eastAsia="Arial" w:hAnsi="Arial" w:cs="Arial"/>
          <w:color w:val="242424"/>
        </w:rPr>
      </w:pPr>
      <w:r w:rsidRPr="009E3CDE">
        <w:rPr>
          <w:rFonts w:ascii="Arial" w:eastAsia="Arial" w:hAnsi="Arial" w:cs="Arial"/>
          <w:color w:val="242424"/>
        </w:rPr>
        <w:t>As part of our</w:t>
      </w:r>
      <w:r>
        <w:rPr>
          <w:rFonts w:ascii="Arial" w:eastAsia="Arial" w:hAnsi="Arial" w:cs="Arial"/>
          <w:color w:val="242424"/>
        </w:rPr>
        <w:t xml:space="preserve"> focus on</w:t>
      </w:r>
      <w:r w:rsidRPr="009E3CDE">
        <w:rPr>
          <w:rFonts w:ascii="Arial" w:eastAsia="Arial" w:hAnsi="Arial" w:cs="Arial"/>
          <w:color w:val="242424"/>
        </w:rPr>
        <w:t xml:space="preserve"> driving racial equality and inclusion, we published our Ethnicity Pay Gap Report</w:t>
      </w:r>
      <w:r>
        <w:rPr>
          <w:rFonts w:ascii="Arial" w:eastAsia="Arial" w:hAnsi="Arial" w:cs="Arial"/>
          <w:color w:val="242424"/>
        </w:rPr>
        <w:t xml:space="preserve"> for the first time in H1. This</w:t>
      </w:r>
      <w:r w:rsidRPr="009E3CDE">
        <w:rPr>
          <w:rFonts w:ascii="Arial" w:eastAsia="Arial" w:hAnsi="Arial" w:cs="Arial"/>
          <w:color w:val="242424"/>
        </w:rPr>
        <w:t xml:space="preserve"> showed the 2021 mean pay gap for colleagues from ethnic minorities was -3.1%</w:t>
      </w:r>
      <w:r>
        <w:rPr>
          <w:rFonts w:ascii="Arial" w:eastAsia="Arial" w:hAnsi="Arial" w:cs="Arial"/>
          <w:color w:val="242424"/>
        </w:rPr>
        <w:t xml:space="preserve"> compared to their white colleagues, </w:t>
      </w:r>
      <w:r w:rsidRPr="009E0F0B">
        <w:rPr>
          <w:rFonts w:ascii="Arial" w:eastAsia="Arial" w:hAnsi="Arial" w:cs="Arial"/>
          <w:color w:val="242424"/>
        </w:rPr>
        <w:t xml:space="preserve">telling us that </w:t>
      </w:r>
      <w:r>
        <w:rPr>
          <w:rFonts w:ascii="Arial" w:eastAsia="Arial" w:hAnsi="Arial" w:cs="Arial"/>
          <w:color w:val="242424"/>
        </w:rPr>
        <w:t>they earn less on average</w:t>
      </w:r>
      <w:r w:rsidRPr="009E3CDE">
        <w:rPr>
          <w:rFonts w:ascii="Arial" w:eastAsia="Arial" w:hAnsi="Arial" w:cs="Arial"/>
          <w:color w:val="242424"/>
        </w:rPr>
        <w:t>.</w:t>
      </w:r>
    </w:p>
    <w:p w14:paraId="3994071E" w14:textId="77777777" w:rsidR="00514B73" w:rsidRPr="009E3CDE" w:rsidRDefault="00514B73" w:rsidP="00514B73">
      <w:pPr>
        <w:spacing w:line="240" w:lineRule="auto"/>
        <w:rPr>
          <w:rFonts w:ascii="Arial" w:eastAsia="Arial" w:hAnsi="Arial" w:cs="Arial"/>
          <w:color w:val="242424"/>
        </w:rPr>
      </w:pPr>
      <w:r>
        <w:rPr>
          <w:rFonts w:ascii="Arial" w:eastAsia="Arial" w:hAnsi="Arial" w:cs="Arial"/>
          <w:color w:val="242424"/>
        </w:rPr>
        <w:lastRenderedPageBreak/>
        <w:t>I</w:t>
      </w:r>
      <w:r w:rsidRPr="009E3CDE">
        <w:rPr>
          <w:rFonts w:ascii="Arial" w:eastAsia="Arial" w:hAnsi="Arial" w:cs="Arial"/>
          <w:color w:val="242424"/>
        </w:rPr>
        <w:t xml:space="preserve">nsights </w:t>
      </w:r>
      <w:r>
        <w:rPr>
          <w:rFonts w:ascii="Arial" w:eastAsia="Arial" w:hAnsi="Arial" w:cs="Arial"/>
          <w:color w:val="242424"/>
        </w:rPr>
        <w:t xml:space="preserve">like these </w:t>
      </w:r>
      <w:r w:rsidRPr="009E3CDE">
        <w:rPr>
          <w:rFonts w:ascii="Arial" w:eastAsia="Arial" w:hAnsi="Arial" w:cs="Arial"/>
          <w:color w:val="242424"/>
        </w:rPr>
        <w:t xml:space="preserve">are powerful </w:t>
      </w:r>
      <w:proofErr w:type="gramStart"/>
      <w:r w:rsidRPr="009E3CDE">
        <w:rPr>
          <w:rFonts w:ascii="Arial" w:eastAsia="Arial" w:hAnsi="Arial" w:cs="Arial"/>
          <w:color w:val="242424"/>
        </w:rPr>
        <w:t>and</w:t>
      </w:r>
      <w:r>
        <w:rPr>
          <w:rFonts w:ascii="Arial" w:eastAsia="Arial" w:hAnsi="Arial" w:cs="Arial"/>
          <w:color w:val="242424"/>
        </w:rPr>
        <w:t xml:space="preserve"> </w:t>
      </w:r>
      <w:r w:rsidRPr="009E3CDE">
        <w:rPr>
          <w:rFonts w:ascii="Arial" w:eastAsia="Arial" w:hAnsi="Arial" w:cs="Arial"/>
          <w:color w:val="242424"/>
        </w:rPr>
        <w:t>also</w:t>
      </w:r>
      <w:proofErr w:type="gramEnd"/>
      <w:r w:rsidRPr="009E3CDE">
        <w:rPr>
          <w:rFonts w:ascii="Arial" w:eastAsia="Arial" w:hAnsi="Arial" w:cs="Arial"/>
          <w:color w:val="242424"/>
        </w:rPr>
        <w:t xml:space="preserve"> motivat</w:t>
      </w:r>
      <w:r>
        <w:rPr>
          <w:rFonts w:ascii="Arial" w:eastAsia="Arial" w:hAnsi="Arial" w:cs="Arial"/>
          <w:color w:val="242424"/>
        </w:rPr>
        <w:t>e</w:t>
      </w:r>
      <w:r w:rsidRPr="009E3CDE">
        <w:rPr>
          <w:rFonts w:ascii="Arial" w:eastAsia="Arial" w:hAnsi="Arial" w:cs="Arial"/>
          <w:color w:val="242424"/>
        </w:rPr>
        <w:t xml:space="preserve"> us to think what more we can, and should, be doing to make </w:t>
      </w:r>
      <w:r>
        <w:rPr>
          <w:rFonts w:ascii="Arial" w:eastAsia="Arial" w:hAnsi="Arial" w:cs="Arial"/>
          <w:color w:val="242424"/>
        </w:rPr>
        <w:t xml:space="preserve">our </w:t>
      </w:r>
      <w:r w:rsidRPr="009E3CDE">
        <w:rPr>
          <w:rFonts w:ascii="Arial" w:eastAsia="Arial" w:hAnsi="Arial" w:cs="Arial"/>
          <w:color w:val="242424"/>
        </w:rPr>
        <w:t>Co-op a truly inclusive place to work.</w:t>
      </w:r>
    </w:p>
    <w:p w14:paraId="7EE1CB62" w14:textId="77777777" w:rsidR="00514B73" w:rsidRDefault="00514B73" w:rsidP="00514B73">
      <w:pPr>
        <w:spacing w:line="240" w:lineRule="auto"/>
        <w:rPr>
          <w:rFonts w:ascii="Arial" w:eastAsia="Arial" w:hAnsi="Arial" w:cs="Arial"/>
          <w:color w:val="242424"/>
        </w:rPr>
      </w:pPr>
      <w:r>
        <w:rPr>
          <w:rFonts w:ascii="Arial" w:eastAsia="Arial" w:hAnsi="Arial" w:cs="Arial"/>
          <w:color w:val="242424"/>
        </w:rPr>
        <w:t>The report also identified important learnings, which we are keen to share</w:t>
      </w:r>
      <w:r w:rsidRPr="009E3CDE">
        <w:rPr>
          <w:rFonts w:ascii="Arial" w:eastAsia="Arial" w:hAnsi="Arial" w:cs="Arial"/>
          <w:color w:val="242424"/>
        </w:rPr>
        <w:t xml:space="preserve"> with the Government and other businesses to help increase transparency and attain a uniform approach to mak</w:t>
      </w:r>
      <w:r>
        <w:rPr>
          <w:rFonts w:ascii="Arial" w:eastAsia="Arial" w:hAnsi="Arial" w:cs="Arial"/>
          <w:color w:val="242424"/>
        </w:rPr>
        <w:t>ing</w:t>
      </w:r>
      <w:r w:rsidRPr="009E3CDE">
        <w:rPr>
          <w:rFonts w:ascii="Arial" w:eastAsia="Arial" w:hAnsi="Arial" w:cs="Arial"/>
          <w:color w:val="242424"/>
        </w:rPr>
        <w:t xml:space="preserve"> the necessary changes. We have also written to Government officials</w:t>
      </w:r>
      <w:r>
        <w:rPr>
          <w:rFonts w:ascii="Arial" w:eastAsia="Arial" w:hAnsi="Arial" w:cs="Arial"/>
          <w:color w:val="242424"/>
        </w:rPr>
        <w:t>,</w:t>
      </w:r>
      <w:r w:rsidRPr="009E3CDE">
        <w:rPr>
          <w:rFonts w:ascii="Arial" w:eastAsia="Arial" w:hAnsi="Arial" w:cs="Arial"/>
          <w:color w:val="242424"/>
        </w:rPr>
        <w:t xml:space="preserve"> calling for ethnicity pay gap reporting to be made mandatory.</w:t>
      </w:r>
    </w:p>
    <w:p w14:paraId="3744655D" w14:textId="77777777" w:rsidR="00514B73" w:rsidRDefault="00514B73" w:rsidP="00514B73">
      <w:pPr>
        <w:spacing w:after="0" w:line="240" w:lineRule="auto"/>
        <w:rPr>
          <w:rFonts w:ascii="Arial" w:eastAsia="Times New Roman" w:hAnsi="Arial" w:cs="Arial"/>
          <w:lang w:eastAsia="en-GB"/>
        </w:rPr>
      </w:pPr>
      <w:r w:rsidRPr="009E3CDE">
        <w:rPr>
          <w:rFonts w:ascii="Arial" w:eastAsia="Times New Roman" w:hAnsi="Arial" w:cs="Arial"/>
          <w:lang w:eastAsia="en-GB"/>
        </w:rPr>
        <w:t>In April, following colleague feedback</w:t>
      </w:r>
      <w:r>
        <w:rPr>
          <w:rFonts w:ascii="Arial" w:eastAsia="Times New Roman" w:hAnsi="Arial" w:cs="Arial"/>
          <w:lang w:eastAsia="en-GB"/>
        </w:rPr>
        <w:t>,</w:t>
      </w:r>
      <w:r w:rsidRPr="009E3CDE">
        <w:rPr>
          <w:rFonts w:ascii="Arial" w:eastAsia="Times New Roman" w:hAnsi="Arial" w:cs="Arial"/>
          <w:lang w:eastAsia="en-GB"/>
        </w:rPr>
        <w:t xml:space="preserve"> we enhanced our existing menopause policy with a series of initiatives designed to help more colleagues access the support they need in the workplace.</w:t>
      </w:r>
      <w:r>
        <w:rPr>
          <w:rFonts w:ascii="Arial" w:eastAsia="Times New Roman" w:hAnsi="Arial" w:cs="Arial"/>
          <w:lang w:eastAsia="en-GB"/>
        </w:rPr>
        <w:t xml:space="preserve"> </w:t>
      </w:r>
      <w:r w:rsidRPr="009E3CDE">
        <w:rPr>
          <w:rFonts w:ascii="Arial" w:eastAsia="Times New Roman" w:hAnsi="Arial" w:cs="Arial"/>
          <w:lang w:eastAsia="en-GB"/>
        </w:rPr>
        <w:t xml:space="preserve">Central to this was the creation of a guide produced in partnership with our unions </w:t>
      </w:r>
      <w:proofErr w:type="spellStart"/>
      <w:r w:rsidRPr="009E3CDE">
        <w:rPr>
          <w:rFonts w:ascii="Arial" w:eastAsia="Times New Roman" w:hAnsi="Arial" w:cs="Arial"/>
          <w:lang w:eastAsia="en-GB"/>
        </w:rPr>
        <w:t>Usdaw</w:t>
      </w:r>
      <w:proofErr w:type="spellEnd"/>
      <w:r w:rsidRPr="009E3CDE">
        <w:rPr>
          <w:rFonts w:ascii="Arial" w:eastAsia="Times New Roman" w:hAnsi="Arial" w:cs="Arial"/>
          <w:lang w:eastAsia="en-GB"/>
        </w:rPr>
        <w:t xml:space="preserve"> and Unite, </w:t>
      </w:r>
      <w:r>
        <w:rPr>
          <w:rFonts w:ascii="Arial" w:eastAsia="Times New Roman" w:hAnsi="Arial" w:cs="Arial"/>
          <w:lang w:eastAsia="en-GB"/>
        </w:rPr>
        <w:t xml:space="preserve">designed to help </w:t>
      </w:r>
      <w:r w:rsidRPr="009E3CDE">
        <w:rPr>
          <w:rFonts w:ascii="Arial" w:eastAsia="Times New Roman" w:hAnsi="Arial" w:cs="Arial"/>
          <w:lang w:eastAsia="en-GB"/>
        </w:rPr>
        <w:t xml:space="preserve">managers provide dedicated support </w:t>
      </w:r>
      <w:r>
        <w:rPr>
          <w:rFonts w:ascii="Arial" w:eastAsia="Times New Roman" w:hAnsi="Arial" w:cs="Arial"/>
          <w:lang w:eastAsia="en-GB"/>
        </w:rPr>
        <w:t xml:space="preserve">for </w:t>
      </w:r>
      <w:r w:rsidRPr="009E3CDE">
        <w:rPr>
          <w:rFonts w:ascii="Arial" w:eastAsia="Times New Roman" w:hAnsi="Arial" w:cs="Arial"/>
          <w:lang w:eastAsia="en-GB"/>
        </w:rPr>
        <w:t>their team members.</w:t>
      </w:r>
      <w:r>
        <w:rPr>
          <w:rFonts w:ascii="Arial" w:eastAsia="Times New Roman" w:hAnsi="Arial" w:cs="Arial"/>
          <w:lang w:eastAsia="en-GB"/>
        </w:rPr>
        <w:t xml:space="preserve"> </w:t>
      </w:r>
      <w:r w:rsidRPr="009E3CDE">
        <w:rPr>
          <w:rFonts w:ascii="Arial" w:eastAsia="Times New Roman" w:hAnsi="Arial" w:cs="Arial"/>
          <w:lang w:eastAsia="en-GB"/>
        </w:rPr>
        <w:t>The guide</w:t>
      </w:r>
      <w:r>
        <w:rPr>
          <w:rFonts w:ascii="Arial" w:eastAsia="Times New Roman" w:hAnsi="Arial" w:cs="Arial"/>
          <w:lang w:eastAsia="en-GB"/>
        </w:rPr>
        <w:t xml:space="preserve"> </w:t>
      </w:r>
      <w:r w:rsidRPr="009E3CDE">
        <w:rPr>
          <w:rFonts w:ascii="Arial" w:eastAsia="Times New Roman" w:hAnsi="Arial" w:cs="Arial"/>
          <w:lang w:eastAsia="en-GB"/>
        </w:rPr>
        <w:t xml:space="preserve">has </w:t>
      </w:r>
      <w:r>
        <w:rPr>
          <w:rFonts w:ascii="Arial" w:eastAsia="Times New Roman" w:hAnsi="Arial" w:cs="Arial"/>
          <w:lang w:eastAsia="en-GB"/>
        </w:rPr>
        <w:t xml:space="preserve">attracted a lot of interest from the media and other employers, to whom we have made it </w:t>
      </w:r>
      <w:r w:rsidRPr="009E3CDE">
        <w:rPr>
          <w:rFonts w:ascii="Arial" w:eastAsia="Times New Roman" w:hAnsi="Arial" w:cs="Arial"/>
          <w:lang w:eastAsia="en-GB"/>
        </w:rPr>
        <w:t>available free of charge.</w:t>
      </w:r>
    </w:p>
    <w:p w14:paraId="55F176E0" w14:textId="77777777" w:rsidR="00514B73" w:rsidRPr="009E3CDE" w:rsidRDefault="00514B73" w:rsidP="00514B73">
      <w:pPr>
        <w:spacing w:after="0" w:line="240" w:lineRule="auto"/>
        <w:rPr>
          <w:rFonts w:ascii="Arial" w:eastAsia="Times New Roman" w:hAnsi="Arial" w:cs="Arial"/>
          <w:lang w:eastAsia="en-GB"/>
        </w:rPr>
      </w:pPr>
    </w:p>
    <w:p w14:paraId="2B6A6444" w14:textId="77777777" w:rsidR="00514B73" w:rsidRPr="009E3CDE" w:rsidRDefault="00514B73" w:rsidP="00514B73">
      <w:pPr>
        <w:spacing w:line="240" w:lineRule="auto"/>
        <w:rPr>
          <w:rFonts w:ascii="Arial" w:eastAsia="Times New Roman" w:hAnsi="Arial" w:cs="Arial"/>
          <w:lang w:eastAsia="en-GB"/>
        </w:rPr>
      </w:pPr>
      <w:r>
        <w:rPr>
          <w:rFonts w:ascii="Arial" w:eastAsia="Times New Roman" w:hAnsi="Arial" w:cs="Arial"/>
          <w:lang w:eastAsia="en-GB"/>
        </w:rPr>
        <w:t>I</w:t>
      </w:r>
      <w:r w:rsidRPr="00974AA1">
        <w:rPr>
          <w:rFonts w:ascii="Arial" w:eastAsia="Times New Roman" w:hAnsi="Arial" w:cs="Arial"/>
          <w:lang w:eastAsia="en-GB"/>
        </w:rPr>
        <w:t>n April 2021, we aligned our minimum hourly rates to the Real Living Wage</w:t>
      </w:r>
      <w:r>
        <w:rPr>
          <w:rFonts w:ascii="Arial" w:eastAsia="Times New Roman" w:hAnsi="Arial" w:cs="Arial"/>
          <w:lang w:eastAsia="en-GB"/>
        </w:rPr>
        <w:t>,</w:t>
      </w:r>
      <w:r w:rsidRPr="00974AA1">
        <w:rPr>
          <w:rFonts w:ascii="Arial" w:eastAsia="Times New Roman" w:hAnsi="Arial" w:cs="Arial"/>
          <w:lang w:eastAsia="en-GB"/>
        </w:rPr>
        <w:t xml:space="preserve"> as set by the Living Wage Foundation (</w:t>
      </w:r>
      <w:hyperlink r:id="rId15" w:history="1">
        <w:r w:rsidRPr="00A70326">
          <w:rPr>
            <w:rStyle w:val="Hyperlink"/>
            <w:rFonts w:ascii="Arial" w:eastAsia="Times New Roman" w:hAnsi="Arial" w:cs="Arial"/>
            <w:lang w:eastAsia="en-GB"/>
          </w:rPr>
          <w:t>www.livingwage.org.uk</w:t>
        </w:r>
      </w:hyperlink>
      <w:r w:rsidRPr="00974AA1">
        <w:rPr>
          <w:rFonts w:ascii="Arial" w:eastAsia="Times New Roman" w:hAnsi="Arial" w:cs="Arial"/>
          <w:lang w:eastAsia="en-GB"/>
        </w:rPr>
        <w:t>), and we</w:t>
      </w:r>
      <w:r>
        <w:rPr>
          <w:rFonts w:ascii="Arial" w:eastAsia="Times New Roman" w:hAnsi="Arial" w:cs="Arial"/>
          <w:lang w:eastAsia="en-GB"/>
        </w:rPr>
        <w:t xml:space="preserve"> subsequently</w:t>
      </w:r>
      <w:r w:rsidRPr="00974AA1">
        <w:rPr>
          <w:rFonts w:ascii="Arial" w:eastAsia="Times New Roman" w:hAnsi="Arial" w:cs="Arial"/>
          <w:lang w:eastAsia="en-GB"/>
        </w:rPr>
        <w:t xml:space="preserve"> aligned t</w:t>
      </w:r>
      <w:r>
        <w:rPr>
          <w:rFonts w:ascii="Arial" w:eastAsia="Times New Roman" w:hAnsi="Arial" w:cs="Arial"/>
          <w:lang w:eastAsia="en-GB"/>
        </w:rPr>
        <w:t xml:space="preserve">hem to the </w:t>
      </w:r>
      <w:r w:rsidRPr="00974AA1">
        <w:rPr>
          <w:rFonts w:ascii="Arial" w:eastAsia="Times New Roman" w:hAnsi="Arial" w:cs="Arial"/>
          <w:lang w:eastAsia="en-GB"/>
        </w:rPr>
        <w:t xml:space="preserve">new rate from April 2022. For Customer Team Members (CTMs) in our Food stores, this resulted in a 4.2% pay rise. We also increased the pay rate differential between CTM and Team Leader roles. </w:t>
      </w:r>
      <w:r>
        <w:rPr>
          <w:rFonts w:ascii="Arial" w:eastAsia="Times New Roman" w:hAnsi="Arial" w:cs="Arial"/>
          <w:lang w:eastAsia="en-GB"/>
        </w:rPr>
        <w:t>O</w:t>
      </w:r>
      <w:r w:rsidRPr="00974AA1">
        <w:rPr>
          <w:rFonts w:ascii="Arial" w:eastAsia="Times New Roman" w:hAnsi="Arial" w:cs="Arial"/>
          <w:lang w:eastAsia="en-GB"/>
        </w:rPr>
        <w:t>ur hourly pay rates apply to all colleagues, including younger colleagues and apprentices.</w:t>
      </w:r>
    </w:p>
    <w:p w14:paraId="2B9545F8" w14:textId="77777777" w:rsidR="00514B73" w:rsidRDefault="00514B73" w:rsidP="00514B73">
      <w:pPr>
        <w:spacing w:after="0" w:line="240" w:lineRule="auto"/>
        <w:rPr>
          <w:rFonts w:ascii="Arial" w:eastAsia="Times New Roman" w:hAnsi="Arial" w:cs="Arial"/>
          <w:lang w:eastAsia="en-GB"/>
        </w:rPr>
      </w:pPr>
      <w:r w:rsidRPr="009E3CDE">
        <w:rPr>
          <w:rFonts w:ascii="Arial" w:eastAsia="Times New Roman" w:hAnsi="Arial" w:cs="Arial"/>
          <w:lang w:eastAsia="en-GB"/>
        </w:rPr>
        <w:t xml:space="preserve">During the course of the </w:t>
      </w:r>
      <w:proofErr w:type="gramStart"/>
      <w:r w:rsidRPr="009E3CDE">
        <w:rPr>
          <w:rFonts w:ascii="Arial" w:eastAsia="Times New Roman" w:hAnsi="Arial" w:cs="Arial"/>
          <w:lang w:eastAsia="en-GB"/>
        </w:rPr>
        <w:t>year</w:t>
      </w:r>
      <w:proofErr w:type="gramEnd"/>
      <w:r w:rsidRPr="009E3CDE">
        <w:rPr>
          <w:rFonts w:ascii="Arial" w:eastAsia="Times New Roman" w:hAnsi="Arial" w:cs="Arial"/>
          <w:lang w:eastAsia="en-GB"/>
        </w:rPr>
        <w:t xml:space="preserve"> we have also continued to progress one of our key community missions in support</w:t>
      </w:r>
      <w:r>
        <w:rPr>
          <w:rFonts w:ascii="Arial" w:eastAsia="Times New Roman" w:hAnsi="Arial" w:cs="Arial"/>
          <w:lang w:eastAsia="en-GB"/>
        </w:rPr>
        <w:t xml:space="preserve"> of education, skills and opportunities</w:t>
      </w:r>
      <w:r w:rsidRPr="009E3CDE">
        <w:rPr>
          <w:rFonts w:ascii="Arial" w:eastAsia="Times New Roman" w:hAnsi="Arial" w:cs="Arial"/>
          <w:lang w:eastAsia="en-GB"/>
        </w:rPr>
        <w:t>. By the end of H1</w:t>
      </w:r>
      <w:r>
        <w:rPr>
          <w:rFonts w:ascii="Arial" w:eastAsia="Times New Roman" w:hAnsi="Arial" w:cs="Arial"/>
          <w:lang w:eastAsia="en-GB"/>
        </w:rPr>
        <w:t xml:space="preserve"> 2022</w:t>
      </w:r>
      <w:r w:rsidRPr="009E3CDE">
        <w:rPr>
          <w:rFonts w:ascii="Arial" w:eastAsia="Times New Roman" w:hAnsi="Arial" w:cs="Arial"/>
          <w:lang w:eastAsia="en-GB"/>
        </w:rPr>
        <w:t xml:space="preserve">, more than 42 businesses had pledged over £14m towards Co-op Levy </w:t>
      </w:r>
      <w:r>
        <w:rPr>
          <w:rFonts w:ascii="Arial" w:eastAsia="Times New Roman" w:hAnsi="Arial" w:cs="Arial"/>
          <w:lang w:eastAsia="en-GB"/>
        </w:rPr>
        <w:t>S</w:t>
      </w:r>
      <w:r w:rsidRPr="009E3CDE">
        <w:rPr>
          <w:rFonts w:ascii="Arial" w:eastAsia="Times New Roman" w:hAnsi="Arial" w:cs="Arial"/>
          <w:lang w:eastAsia="en-GB"/>
        </w:rPr>
        <w:t>hare</w:t>
      </w:r>
      <w:r>
        <w:rPr>
          <w:rFonts w:ascii="Arial" w:eastAsia="Times New Roman" w:hAnsi="Arial" w:cs="Arial"/>
          <w:lang w:eastAsia="en-GB"/>
        </w:rPr>
        <w:t xml:space="preserve"> targets</w:t>
      </w:r>
      <w:r w:rsidRPr="009E3CDE">
        <w:rPr>
          <w:rFonts w:ascii="Arial" w:eastAsia="Times New Roman" w:hAnsi="Arial" w:cs="Arial"/>
          <w:lang w:eastAsia="en-GB"/>
        </w:rPr>
        <w:t xml:space="preserve">, which will support </w:t>
      </w:r>
      <w:r>
        <w:rPr>
          <w:rFonts w:ascii="Arial" w:eastAsia="Times New Roman" w:hAnsi="Arial" w:cs="Arial"/>
          <w:lang w:eastAsia="en-GB"/>
        </w:rPr>
        <w:t>more than</w:t>
      </w:r>
      <w:r w:rsidRPr="009E3CDE">
        <w:rPr>
          <w:rFonts w:ascii="Arial" w:eastAsia="Times New Roman" w:hAnsi="Arial" w:cs="Arial"/>
          <w:lang w:eastAsia="en-GB"/>
        </w:rPr>
        <w:t xml:space="preserve"> 1</w:t>
      </w:r>
      <w:r>
        <w:rPr>
          <w:rFonts w:ascii="Arial" w:eastAsia="Times New Roman" w:hAnsi="Arial" w:cs="Arial"/>
          <w:lang w:eastAsia="en-GB"/>
        </w:rPr>
        <w:t>,</w:t>
      </w:r>
      <w:r w:rsidRPr="009E3CDE">
        <w:rPr>
          <w:rFonts w:ascii="Arial" w:eastAsia="Times New Roman" w:hAnsi="Arial" w:cs="Arial"/>
          <w:lang w:eastAsia="en-GB"/>
        </w:rPr>
        <w:t>00</w:t>
      </w:r>
      <w:r>
        <w:rPr>
          <w:rFonts w:ascii="Arial" w:eastAsia="Times New Roman" w:hAnsi="Arial" w:cs="Arial"/>
          <w:lang w:eastAsia="en-GB"/>
        </w:rPr>
        <w:t>0</w:t>
      </w:r>
      <w:r w:rsidRPr="009E3CDE">
        <w:rPr>
          <w:rFonts w:ascii="Arial" w:eastAsia="Times New Roman" w:hAnsi="Arial" w:cs="Arial"/>
          <w:lang w:eastAsia="en-GB"/>
        </w:rPr>
        <w:t xml:space="preserve"> apprentices. This pioneering initiative support</w:t>
      </w:r>
      <w:r>
        <w:rPr>
          <w:rFonts w:ascii="Arial" w:eastAsia="Times New Roman" w:hAnsi="Arial" w:cs="Arial"/>
          <w:lang w:eastAsia="en-GB"/>
        </w:rPr>
        <w:t>ed</w:t>
      </w:r>
      <w:r w:rsidRPr="009E3CDE">
        <w:rPr>
          <w:rFonts w:ascii="Arial" w:eastAsia="Times New Roman" w:hAnsi="Arial" w:cs="Arial"/>
          <w:lang w:eastAsia="en-GB"/>
        </w:rPr>
        <w:t xml:space="preserve"> apprenticeships across 30 different occupations by the beginning of July</w:t>
      </w:r>
      <w:r>
        <w:rPr>
          <w:rFonts w:ascii="Arial" w:eastAsia="Times New Roman" w:hAnsi="Arial" w:cs="Arial"/>
          <w:lang w:eastAsia="en-GB"/>
        </w:rPr>
        <w:t>,</w:t>
      </w:r>
      <w:r w:rsidRPr="009E3CDE">
        <w:rPr>
          <w:rFonts w:ascii="Arial" w:eastAsia="Times New Roman" w:hAnsi="Arial" w:cs="Arial"/>
          <w:lang w:eastAsia="en-GB"/>
        </w:rPr>
        <w:t xml:space="preserve"> providing life chances for many individuals who quite simply would not have had that opportunity or access previously.</w:t>
      </w:r>
      <w:r>
        <w:rPr>
          <w:rFonts w:ascii="Arial" w:eastAsia="Times New Roman" w:hAnsi="Arial" w:cs="Arial"/>
          <w:lang w:eastAsia="en-GB"/>
        </w:rPr>
        <w:t xml:space="preserve"> </w:t>
      </w:r>
      <w:hyperlink r:id="rId16" w:history="1">
        <w:r w:rsidRPr="00625054">
          <w:rPr>
            <w:rStyle w:val="Hyperlink"/>
            <w:rFonts w:ascii="Arial" w:eastAsia="Times New Roman" w:hAnsi="Arial" w:cs="Arial"/>
            <w:lang w:eastAsia="en-GB"/>
          </w:rPr>
          <w:t>www.cooplevyshare.co.uk</w:t>
        </w:r>
      </w:hyperlink>
      <w:r>
        <w:rPr>
          <w:rFonts w:ascii="Arial" w:eastAsia="Times New Roman" w:hAnsi="Arial" w:cs="Arial"/>
          <w:lang w:eastAsia="en-GB"/>
        </w:rPr>
        <w:t xml:space="preserve"> </w:t>
      </w:r>
      <w:r w:rsidRPr="009E3CDE">
        <w:rPr>
          <w:rFonts w:ascii="Arial" w:eastAsia="Times New Roman" w:hAnsi="Arial" w:cs="Arial"/>
          <w:lang w:eastAsia="en-GB"/>
        </w:rPr>
        <w:t xml:space="preserve">is just one example of the innovative thinking required if we are to truly </w:t>
      </w:r>
      <w:r>
        <w:rPr>
          <w:rFonts w:ascii="Arial" w:eastAsia="Times New Roman" w:hAnsi="Arial" w:cs="Arial"/>
          <w:lang w:eastAsia="en-GB"/>
        </w:rPr>
        <w:t>‘</w:t>
      </w:r>
      <w:r w:rsidRPr="009E3CDE">
        <w:rPr>
          <w:rFonts w:ascii="Arial" w:eastAsia="Times New Roman" w:hAnsi="Arial" w:cs="Arial"/>
          <w:lang w:eastAsia="en-GB"/>
        </w:rPr>
        <w:t>level</w:t>
      </w:r>
      <w:r>
        <w:rPr>
          <w:rFonts w:ascii="Arial" w:eastAsia="Times New Roman" w:hAnsi="Arial" w:cs="Arial"/>
          <w:lang w:eastAsia="en-GB"/>
        </w:rPr>
        <w:t xml:space="preserve"> </w:t>
      </w:r>
      <w:r w:rsidRPr="009E3CDE">
        <w:rPr>
          <w:rFonts w:ascii="Arial" w:eastAsia="Times New Roman" w:hAnsi="Arial" w:cs="Arial"/>
          <w:lang w:eastAsia="en-GB"/>
        </w:rPr>
        <w:t>up</w:t>
      </w:r>
      <w:r>
        <w:rPr>
          <w:rFonts w:ascii="Arial" w:eastAsia="Times New Roman" w:hAnsi="Arial" w:cs="Arial"/>
          <w:lang w:eastAsia="en-GB"/>
        </w:rPr>
        <w:t>’</w:t>
      </w:r>
      <w:r w:rsidRPr="009E3CDE">
        <w:rPr>
          <w:rFonts w:ascii="Arial" w:eastAsia="Times New Roman" w:hAnsi="Arial" w:cs="Arial"/>
          <w:lang w:eastAsia="en-GB"/>
        </w:rPr>
        <w:t xml:space="preserve"> the opportunities available for so many across the UK.</w:t>
      </w:r>
    </w:p>
    <w:p w14:paraId="18A9F697" w14:textId="77777777" w:rsidR="00514B73" w:rsidRPr="009E3CDE" w:rsidRDefault="00514B73" w:rsidP="00514B73">
      <w:pPr>
        <w:spacing w:after="0" w:line="240" w:lineRule="auto"/>
        <w:rPr>
          <w:rFonts w:ascii="Arial" w:eastAsia="Times New Roman" w:hAnsi="Arial" w:cs="Arial"/>
          <w:color w:val="FF0000"/>
          <w:lang w:eastAsia="en-GB"/>
        </w:rPr>
      </w:pPr>
    </w:p>
    <w:p w14:paraId="4B65BADF" w14:textId="77777777" w:rsidR="00514B73" w:rsidRPr="000D3ADE" w:rsidRDefault="00514B73" w:rsidP="00514B73">
      <w:pPr>
        <w:spacing w:after="0" w:line="240" w:lineRule="auto"/>
        <w:rPr>
          <w:rFonts w:ascii="Arial" w:eastAsia="Times New Roman" w:hAnsi="Arial" w:cs="Arial"/>
          <w:color w:val="00B050"/>
          <w:lang w:eastAsia="en-GB"/>
        </w:rPr>
      </w:pPr>
      <w:r w:rsidRPr="000D3ADE">
        <w:rPr>
          <w:rFonts w:ascii="Arial" w:eastAsia="Times New Roman" w:hAnsi="Arial" w:cs="Arial"/>
          <w:lang w:eastAsia="en-GB"/>
        </w:rPr>
        <w:t xml:space="preserve">And we remained open to what more we could do to support communities. We worked closely with </w:t>
      </w:r>
      <w:r w:rsidRPr="000D3ADE">
        <w:rPr>
          <w:rFonts w:ascii="Arial" w:hAnsi="Arial" w:cs="Arial"/>
        </w:rPr>
        <w:t xml:space="preserve">the Purpose Coalition </w:t>
      </w:r>
      <w:r>
        <w:rPr>
          <w:rFonts w:ascii="Arial" w:hAnsi="Arial" w:cs="Arial"/>
        </w:rPr>
        <w:t>throughout</w:t>
      </w:r>
      <w:r w:rsidRPr="000D3ADE">
        <w:rPr>
          <w:rFonts w:ascii="Arial" w:hAnsi="Arial" w:cs="Arial"/>
        </w:rPr>
        <w:t xml:space="preserve"> H1 on an evaluation of our Co-op and its missions. Th</w:t>
      </w:r>
      <w:r>
        <w:rPr>
          <w:rFonts w:ascii="Arial" w:hAnsi="Arial" w:cs="Arial"/>
        </w:rPr>
        <w:t>is</w:t>
      </w:r>
      <w:r w:rsidRPr="000D3ADE">
        <w:rPr>
          <w:rFonts w:ascii="Arial" w:hAnsi="Arial" w:cs="Arial"/>
        </w:rPr>
        <w:t xml:space="preserve"> independent group</w:t>
      </w:r>
      <w:r>
        <w:rPr>
          <w:rFonts w:ascii="Arial" w:hAnsi="Arial" w:cs="Arial"/>
        </w:rPr>
        <w:t>,</w:t>
      </w:r>
      <w:r w:rsidRPr="000D3ADE">
        <w:rPr>
          <w:rFonts w:ascii="Arial" w:hAnsi="Arial" w:cs="Arial"/>
        </w:rPr>
        <w:t xml:space="preserve"> led by the Right Honourable Justine Greening</w:t>
      </w:r>
      <w:r>
        <w:rPr>
          <w:rFonts w:ascii="Arial" w:hAnsi="Arial" w:cs="Arial"/>
        </w:rPr>
        <w:t>,</w:t>
      </w:r>
      <w:r w:rsidRPr="000D3ADE">
        <w:rPr>
          <w:rFonts w:ascii="Arial" w:hAnsi="Arial" w:cs="Arial"/>
        </w:rPr>
        <w:t xml:space="preserve"> prepared a ‘This is Purpose’ report</w:t>
      </w:r>
      <w:r>
        <w:rPr>
          <w:rFonts w:ascii="Arial" w:hAnsi="Arial" w:cs="Arial"/>
        </w:rPr>
        <w:t>,</w:t>
      </w:r>
      <w:r w:rsidRPr="000D3ADE">
        <w:rPr>
          <w:rFonts w:ascii="Arial" w:hAnsi="Arial" w:cs="Arial"/>
        </w:rPr>
        <w:t xml:space="preserve"> </w:t>
      </w:r>
      <w:r>
        <w:rPr>
          <w:rFonts w:ascii="Arial" w:hAnsi="Arial" w:cs="Arial"/>
        </w:rPr>
        <w:t xml:space="preserve">focused on our Co-op, in the first half of the year, ready </w:t>
      </w:r>
      <w:r w:rsidRPr="000D3ADE">
        <w:rPr>
          <w:rFonts w:ascii="Arial" w:hAnsi="Arial" w:cs="Arial"/>
        </w:rPr>
        <w:t xml:space="preserve">for publication and presentation </w:t>
      </w:r>
      <w:r>
        <w:rPr>
          <w:rFonts w:ascii="Arial" w:hAnsi="Arial" w:cs="Arial"/>
        </w:rPr>
        <w:t>to the House of Commons</w:t>
      </w:r>
      <w:r w:rsidRPr="000D3ADE">
        <w:rPr>
          <w:rFonts w:ascii="Arial" w:hAnsi="Arial" w:cs="Arial"/>
        </w:rPr>
        <w:t xml:space="preserve"> in H2</w:t>
      </w:r>
      <w:r>
        <w:rPr>
          <w:rFonts w:ascii="Arial" w:hAnsi="Arial" w:cs="Arial"/>
        </w:rPr>
        <w:t>. The report considers</w:t>
      </w:r>
      <w:r w:rsidRPr="000D3ADE">
        <w:rPr>
          <w:rFonts w:ascii="Arial" w:hAnsi="Arial" w:cs="Arial"/>
        </w:rPr>
        <w:t xml:space="preserve"> our Co-op</w:t>
      </w:r>
      <w:r>
        <w:rPr>
          <w:rFonts w:ascii="Arial" w:hAnsi="Arial" w:cs="Arial"/>
        </w:rPr>
        <w:t xml:space="preserve">, </w:t>
      </w:r>
      <w:r w:rsidRPr="000D3ADE">
        <w:rPr>
          <w:rFonts w:ascii="Arial" w:hAnsi="Arial" w:cs="Arial"/>
        </w:rPr>
        <w:t>its missions</w:t>
      </w:r>
      <w:r>
        <w:rPr>
          <w:rFonts w:ascii="Arial" w:hAnsi="Arial" w:cs="Arial"/>
        </w:rPr>
        <w:t xml:space="preserve"> and what more we can</w:t>
      </w:r>
      <w:r w:rsidRPr="000D3ADE">
        <w:rPr>
          <w:rFonts w:ascii="Arial" w:hAnsi="Arial" w:cs="Arial"/>
        </w:rPr>
        <w:t xml:space="preserve"> do </w:t>
      </w:r>
      <w:r>
        <w:rPr>
          <w:rFonts w:ascii="Arial" w:hAnsi="Arial" w:cs="Arial"/>
        </w:rPr>
        <w:t>for communities,</w:t>
      </w:r>
      <w:r w:rsidRPr="000D3ADE">
        <w:rPr>
          <w:rFonts w:ascii="Arial" w:hAnsi="Arial" w:cs="Arial"/>
        </w:rPr>
        <w:t xml:space="preserve"> and </w:t>
      </w:r>
      <w:r>
        <w:rPr>
          <w:rFonts w:ascii="Arial" w:hAnsi="Arial" w:cs="Arial"/>
        </w:rPr>
        <w:t>the</w:t>
      </w:r>
      <w:r w:rsidRPr="000D3ADE">
        <w:rPr>
          <w:rFonts w:ascii="Arial" w:hAnsi="Arial" w:cs="Arial"/>
        </w:rPr>
        <w:t xml:space="preserve"> partnerships </w:t>
      </w:r>
      <w:r>
        <w:rPr>
          <w:rFonts w:ascii="Arial" w:hAnsi="Arial" w:cs="Arial"/>
        </w:rPr>
        <w:t xml:space="preserve">we can create </w:t>
      </w:r>
      <w:r w:rsidRPr="000D3ADE">
        <w:rPr>
          <w:rFonts w:ascii="Arial" w:hAnsi="Arial" w:cs="Arial"/>
        </w:rPr>
        <w:t xml:space="preserve">that </w:t>
      </w:r>
      <w:r>
        <w:rPr>
          <w:rFonts w:ascii="Arial" w:hAnsi="Arial" w:cs="Arial"/>
        </w:rPr>
        <w:t>will</w:t>
      </w:r>
      <w:r w:rsidRPr="000D3ADE">
        <w:rPr>
          <w:rFonts w:ascii="Arial" w:hAnsi="Arial" w:cs="Arial"/>
        </w:rPr>
        <w:t xml:space="preserve"> make a difference.</w:t>
      </w:r>
    </w:p>
    <w:p w14:paraId="18BEE9CF" w14:textId="77777777" w:rsidR="00514B73" w:rsidRDefault="00514B73" w:rsidP="00514B73">
      <w:pPr>
        <w:spacing w:after="0" w:line="240" w:lineRule="auto"/>
        <w:rPr>
          <w:rFonts w:ascii="Arial" w:eastAsia="Times New Roman" w:hAnsi="Arial" w:cs="Arial"/>
          <w:lang w:eastAsia="en-GB"/>
        </w:rPr>
      </w:pPr>
    </w:p>
    <w:p w14:paraId="6F1C7A25" w14:textId="77777777" w:rsidR="00514B73" w:rsidRDefault="00514B73" w:rsidP="00514B73">
      <w:pPr>
        <w:spacing w:after="0" w:line="240" w:lineRule="auto"/>
        <w:rPr>
          <w:rFonts w:ascii="Arial" w:eastAsia="Times New Roman" w:hAnsi="Arial" w:cs="Arial"/>
          <w:lang w:eastAsia="en-GB"/>
        </w:rPr>
      </w:pPr>
      <w:r w:rsidRPr="009E3CDE">
        <w:rPr>
          <w:rFonts w:ascii="Arial" w:eastAsia="Times New Roman" w:hAnsi="Arial" w:cs="Arial"/>
          <w:lang w:eastAsia="en-GB"/>
        </w:rPr>
        <w:t>In May</w:t>
      </w:r>
      <w:r>
        <w:rPr>
          <w:rFonts w:ascii="Arial" w:eastAsia="Times New Roman" w:hAnsi="Arial" w:cs="Arial"/>
          <w:lang w:eastAsia="en-GB"/>
        </w:rPr>
        <w:t>,</w:t>
      </w:r>
      <w:r w:rsidRPr="009E3CDE">
        <w:rPr>
          <w:rFonts w:ascii="Arial" w:eastAsia="Times New Roman" w:hAnsi="Arial" w:cs="Arial"/>
          <w:lang w:eastAsia="en-GB"/>
        </w:rPr>
        <w:t xml:space="preserve"> we published a detailed report entitled </w:t>
      </w:r>
      <w:r>
        <w:rPr>
          <w:rFonts w:ascii="Arial" w:eastAsia="Times New Roman" w:hAnsi="Arial" w:cs="Arial"/>
          <w:lang w:eastAsia="en-GB"/>
        </w:rPr>
        <w:t>’</w:t>
      </w:r>
      <w:proofErr w:type="spellStart"/>
      <w:r w:rsidRPr="009E3CDE">
        <w:rPr>
          <w:rFonts w:ascii="Arial" w:eastAsia="Times New Roman" w:hAnsi="Arial" w:cs="Arial"/>
          <w:lang w:eastAsia="en-GB"/>
        </w:rPr>
        <w:t>Unfairy</w:t>
      </w:r>
      <w:proofErr w:type="spellEnd"/>
      <w:r w:rsidRPr="009E3CDE">
        <w:rPr>
          <w:rFonts w:ascii="Arial" w:eastAsia="Times New Roman" w:hAnsi="Arial" w:cs="Arial"/>
          <w:lang w:eastAsia="en-GB"/>
        </w:rPr>
        <w:t xml:space="preserve"> Tales</w:t>
      </w:r>
      <w:r>
        <w:rPr>
          <w:rFonts w:ascii="Arial" w:eastAsia="Times New Roman" w:hAnsi="Arial" w:cs="Arial"/>
          <w:lang w:eastAsia="en-GB"/>
        </w:rPr>
        <w:t>’,</w:t>
      </w:r>
      <w:r w:rsidRPr="009E3CDE">
        <w:rPr>
          <w:rFonts w:ascii="Arial" w:eastAsia="Times New Roman" w:hAnsi="Arial" w:cs="Arial"/>
          <w:lang w:eastAsia="en-GB"/>
        </w:rPr>
        <w:t xml:space="preserve"> which highlighted some stark home truths occupying the minds of our younger generation.</w:t>
      </w:r>
      <w:r>
        <w:rPr>
          <w:rFonts w:ascii="Arial" w:eastAsia="Times New Roman" w:hAnsi="Arial" w:cs="Arial"/>
          <w:lang w:eastAsia="en-GB"/>
        </w:rPr>
        <w:t xml:space="preserve"> </w:t>
      </w:r>
      <w:r w:rsidRPr="009E3CDE">
        <w:rPr>
          <w:rFonts w:ascii="Arial" w:eastAsia="Times New Roman" w:hAnsi="Arial" w:cs="Arial"/>
          <w:lang w:eastAsia="en-GB"/>
        </w:rPr>
        <w:t xml:space="preserve">Children as young as </w:t>
      </w:r>
      <w:r>
        <w:rPr>
          <w:rFonts w:ascii="Arial" w:eastAsia="Times New Roman" w:hAnsi="Arial" w:cs="Arial"/>
          <w:lang w:eastAsia="en-GB"/>
        </w:rPr>
        <w:t>ten</w:t>
      </w:r>
      <w:r w:rsidRPr="009E3CDE">
        <w:rPr>
          <w:rFonts w:ascii="Arial" w:eastAsia="Times New Roman" w:hAnsi="Arial" w:cs="Arial"/>
          <w:lang w:eastAsia="en-GB"/>
        </w:rPr>
        <w:t xml:space="preserve"> were already thinking they’d need to move away from their local area in the future to achieve a better quality of life, whilst a third of the audience surveyed were acutely aware of the rising cost of living and the impact this would have upon </w:t>
      </w:r>
      <w:r>
        <w:rPr>
          <w:rFonts w:ascii="Arial" w:eastAsia="Times New Roman" w:hAnsi="Arial" w:cs="Arial"/>
          <w:lang w:eastAsia="en-GB"/>
        </w:rPr>
        <w:t>them</w:t>
      </w:r>
      <w:r w:rsidRPr="009E3CDE">
        <w:rPr>
          <w:rFonts w:ascii="Arial" w:eastAsia="Times New Roman" w:hAnsi="Arial" w:cs="Arial"/>
          <w:lang w:eastAsia="en-GB"/>
        </w:rPr>
        <w:t>.</w:t>
      </w:r>
    </w:p>
    <w:p w14:paraId="3286D660" w14:textId="77777777" w:rsidR="00514B73" w:rsidRDefault="00514B73" w:rsidP="00514B73">
      <w:pPr>
        <w:spacing w:after="0" w:line="240" w:lineRule="auto"/>
        <w:rPr>
          <w:rFonts w:ascii="Arial" w:eastAsia="Times New Roman" w:hAnsi="Arial" w:cs="Arial"/>
          <w:lang w:eastAsia="en-GB"/>
        </w:rPr>
      </w:pPr>
    </w:p>
    <w:p w14:paraId="79DB014E" w14:textId="77777777" w:rsidR="00514B73" w:rsidRPr="009E3CDE" w:rsidRDefault="00514B73" w:rsidP="00514B73">
      <w:pPr>
        <w:spacing w:after="0" w:line="240" w:lineRule="auto"/>
        <w:rPr>
          <w:rFonts w:ascii="Arial" w:eastAsia="Times New Roman" w:hAnsi="Arial" w:cs="Arial"/>
          <w:color w:val="FF0000"/>
          <w:lang w:eastAsia="en-GB"/>
        </w:rPr>
      </w:pPr>
      <w:r w:rsidRPr="009E3CDE">
        <w:rPr>
          <w:rFonts w:ascii="Arial" w:eastAsia="Times New Roman" w:hAnsi="Arial" w:cs="Arial"/>
          <w:lang w:eastAsia="en-GB"/>
        </w:rPr>
        <w:t xml:space="preserve">A key part of our community activity this year has been to channel our support into programmes </w:t>
      </w:r>
      <w:r>
        <w:rPr>
          <w:rFonts w:ascii="Arial" w:eastAsia="Times New Roman" w:hAnsi="Arial" w:cs="Arial"/>
          <w:lang w:eastAsia="en-GB"/>
        </w:rPr>
        <w:t xml:space="preserve">and issues </w:t>
      </w:r>
      <w:r w:rsidRPr="009E3CDE">
        <w:rPr>
          <w:rFonts w:ascii="Arial" w:eastAsia="Times New Roman" w:hAnsi="Arial" w:cs="Arial"/>
          <w:lang w:eastAsia="en-GB"/>
        </w:rPr>
        <w:t xml:space="preserve">which not only align with our </w:t>
      </w:r>
      <w:proofErr w:type="gramStart"/>
      <w:r w:rsidRPr="009E3CDE">
        <w:rPr>
          <w:rFonts w:ascii="Arial" w:eastAsia="Times New Roman" w:hAnsi="Arial" w:cs="Arial"/>
          <w:lang w:eastAsia="en-GB"/>
        </w:rPr>
        <w:t>Vision, but</w:t>
      </w:r>
      <w:proofErr w:type="gramEnd"/>
      <w:r w:rsidRPr="009E3CDE">
        <w:rPr>
          <w:rFonts w:ascii="Arial" w:eastAsia="Times New Roman" w:hAnsi="Arial" w:cs="Arial"/>
          <w:lang w:eastAsia="en-GB"/>
        </w:rPr>
        <w:t xml:space="preserve"> have been </w:t>
      </w:r>
      <w:r>
        <w:rPr>
          <w:rFonts w:ascii="Arial" w:eastAsia="Times New Roman" w:hAnsi="Arial" w:cs="Arial"/>
          <w:lang w:eastAsia="en-GB"/>
        </w:rPr>
        <w:t xml:space="preserve">further </w:t>
      </w:r>
      <w:r w:rsidRPr="009E3CDE">
        <w:rPr>
          <w:rFonts w:ascii="Arial" w:eastAsia="Times New Roman" w:hAnsi="Arial" w:cs="Arial"/>
          <w:lang w:eastAsia="en-GB"/>
        </w:rPr>
        <w:t>exposed by the pandemic.</w:t>
      </w:r>
      <w:r>
        <w:rPr>
          <w:rFonts w:ascii="Arial" w:eastAsia="Times New Roman" w:hAnsi="Arial" w:cs="Arial"/>
          <w:lang w:eastAsia="en-GB"/>
        </w:rPr>
        <w:t xml:space="preserve"> </w:t>
      </w:r>
      <w:r w:rsidRPr="009E3CDE">
        <w:rPr>
          <w:rFonts w:ascii="Arial" w:eastAsia="Times New Roman" w:hAnsi="Arial" w:cs="Arial"/>
          <w:lang w:eastAsia="en-GB"/>
        </w:rPr>
        <w:t>One such area was bereavement support</w:t>
      </w:r>
      <w:r>
        <w:rPr>
          <w:rFonts w:ascii="Arial" w:eastAsia="Times New Roman" w:hAnsi="Arial" w:cs="Arial"/>
          <w:lang w:eastAsia="en-GB"/>
        </w:rPr>
        <w:t>. I</w:t>
      </w:r>
      <w:r w:rsidRPr="009E3CDE">
        <w:rPr>
          <w:rFonts w:ascii="Arial" w:eastAsia="Times New Roman" w:hAnsi="Arial" w:cs="Arial"/>
          <w:lang w:eastAsia="en-GB"/>
        </w:rPr>
        <w:t>n January</w:t>
      </w:r>
      <w:r>
        <w:rPr>
          <w:rFonts w:ascii="Arial" w:eastAsia="Times New Roman" w:hAnsi="Arial" w:cs="Arial"/>
          <w:lang w:eastAsia="en-GB"/>
        </w:rPr>
        <w:t>,</w:t>
      </w:r>
      <w:r w:rsidRPr="009E3CDE">
        <w:rPr>
          <w:rFonts w:ascii="Arial" w:eastAsia="Times New Roman" w:hAnsi="Arial" w:cs="Arial"/>
          <w:lang w:eastAsia="en-GB"/>
        </w:rPr>
        <w:t xml:space="preserve"> we announced a new partnership with Cruse to provide a series of online services to help communities talk more openly about loss and grief.</w:t>
      </w:r>
      <w:r>
        <w:rPr>
          <w:rFonts w:ascii="Arial" w:eastAsia="Times New Roman" w:hAnsi="Arial" w:cs="Arial"/>
          <w:lang w:eastAsia="en-GB"/>
        </w:rPr>
        <w:t xml:space="preserve"> </w:t>
      </w:r>
    </w:p>
    <w:p w14:paraId="61CE04C5" w14:textId="77777777" w:rsidR="00514B73" w:rsidRPr="009E3CDE" w:rsidRDefault="00514B73" w:rsidP="00514B73">
      <w:pPr>
        <w:spacing w:after="0" w:line="240" w:lineRule="auto"/>
        <w:rPr>
          <w:rFonts w:ascii="Arial" w:eastAsia="Times New Roman" w:hAnsi="Arial" w:cs="Arial"/>
          <w:color w:val="FF0000"/>
          <w:lang w:eastAsia="en-GB"/>
        </w:rPr>
      </w:pPr>
    </w:p>
    <w:p w14:paraId="3799E816" w14:textId="77777777" w:rsidR="00514B73" w:rsidRDefault="00514B73" w:rsidP="00514B73">
      <w:pPr>
        <w:spacing w:after="0" w:line="240" w:lineRule="auto"/>
        <w:textAlignment w:val="baseline"/>
        <w:rPr>
          <w:rFonts w:ascii="Arial" w:eastAsia="Times New Roman" w:hAnsi="Arial" w:cs="Arial"/>
          <w:lang w:eastAsia="en-GB"/>
        </w:rPr>
      </w:pPr>
      <w:r w:rsidRPr="009E3CDE">
        <w:rPr>
          <w:rFonts w:ascii="Arial" w:eastAsia="Times New Roman" w:hAnsi="Arial" w:cs="Arial"/>
          <w:lang w:eastAsia="en-GB"/>
        </w:rPr>
        <w:t>This joined</w:t>
      </w:r>
      <w:r>
        <w:rPr>
          <w:rFonts w:ascii="Arial" w:eastAsia="Times New Roman" w:hAnsi="Arial" w:cs="Arial"/>
          <w:lang w:eastAsia="en-GB"/>
        </w:rPr>
        <w:t>-</w:t>
      </w:r>
      <w:r w:rsidRPr="009E3CDE">
        <w:rPr>
          <w:rFonts w:ascii="Arial" w:eastAsia="Times New Roman" w:hAnsi="Arial" w:cs="Arial"/>
          <w:lang w:eastAsia="en-GB"/>
        </w:rPr>
        <w:t>up community thinking was also at the heart of Caboodle – a major not</w:t>
      </w:r>
      <w:r>
        <w:rPr>
          <w:rFonts w:ascii="Arial" w:eastAsia="Times New Roman" w:hAnsi="Arial" w:cs="Arial"/>
          <w:lang w:eastAsia="en-GB"/>
        </w:rPr>
        <w:t>-</w:t>
      </w:r>
      <w:r w:rsidRPr="009E3CDE">
        <w:rPr>
          <w:rFonts w:ascii="Arial" w:eastAsia="Times New Roman" w:hAnsi="Arial" w:cs="Arial"/>
          <w:lang w:eastAsia="en-GB"/>
        </w:rPr>
        <w:t>for</w:t>
      </w:r>
      <w:r>
        <w:rPr>
          <w:rFonts w:ascii="Arial" w:eastAsia="Times New Roman" w:hAnsi="Arial" w:cs="Arial"/>
          <w:lang w:eastAsia="en-GB"/>
        </w:rPr>
        <w:t>-</w:t>
      </w:r>
      <w:r w:rsidRPr="009E3CDE">
        <w:rPr>
          <w:rFonts w:ascii="Arial" w:eastAsia="Times New Roman" w:hAnsi="Arial" w:cs="Arial"/>
          <w:lang w:eastAsia="en-GB"/>
        </w:rPr>
        <w:t>profit platform</w:t>
      </w:r>
      <w:r>
        <w:rPr>
          <w:rFonts w:ascii="Arial" w:eastAsia="Times New Roman" w:hAnsi="Arial" w:cs="Arial"/>
          <w:lang w:eastAsia="en-GB"/>
        </w:rPr>
        <w:t xml:space="preserve"> that</w:t>
      </w:r>
      <w:r w:rsidRPr="009E3CDE">
        <w:rPr>
          <w:rFonts w:ascii="Arial" w:eastAsia="Times New Roman" w:hAnsi="Arial" w:cs="Arial"/>
          <w:lang w:eastAsia="en-GB"/>
        </w:rPr>
        <w:t xml:space="preserve"> launched in June</w:t>
      </w:r>
      <w:r>
        <w:rPr>
          <w:rFonts w:ascii="Arial" w:eastAsia="Times New Roman" w:hAnsi="Arial" w:cs="Arial"/>
          <w:lang w:eastAsia="en-GB"/>
        </w:rPr>
        <w:t xml:space="preserve"> </w:t>
      </w:r>
      <w:r w:rsidRPr="009E3CDE">
        <w:rPr>
          <w:rFonts w:ascii="Arial" w:eastAsia="Times New Roman" w:hAnsi="Arial" w:cs="Arial"/>
          <w:lang w:eastAsia="en-GB"/>
        </w:rPr>
        <w:t xml:space="preserve">to help </w:t>
      </w:r>
      <w:r>
        <w:rPr>
          <w:rFonts w:ascii="Arial" w:eastAsia="Times New Roman" w:hAnsi="Arial" w:cs="Arial"/>
          <w:lang w:eastAsia="en-GB"/>
        </w:rPr>
        <w:t>support our</w:t>
      </w:r>
      <w:r w:rsidRPr="009E3CDE">
        <w:rPr>
          <w:rFonts w:ascii="Arial" w:eastAsia="Times New Roman" w:hAnsi="Arial" w:cs="Arial"/>
          <w:lang w:eastAsia="en-GB"/>
        </w:rPr>
        <w:t xml:space="preserve"> fight on food waste.</w:t>
      </w:r>
      <w:r>
        <w:rPr>
          <w:rFonts w:ascii="Arial" w:eastAsia="Times New Roman" w:hAnsi="Arial" w:cs="Arial"/>
          <w:lang w:eastAsia="en-GB"/>
        </w:rPr>
        <w:t xml:space="preserve"> </w:t>
      </w:r>
      <w:r w:rsidRPr="009E3CDE">
        <w:rPr>
          <w:rFonts w:ascii="Arial" w:eastAsia="Times New Roman" w:hAnsi="Arial" w:cs="Arial"/>
          <w:lang w:eastAsia="en-GB"/>
        </w:rPr>
        <w:t xml:space="preserve">With our founding partner Microsoft, supported by technology consultancy BJSS and Team ITG, Caboodle enables supermarkets, </w:t>
      </w:r>
      <w:proofErr w:type="gramStart"/>
      <w:r w:rsidRPr="009E3CDE">
        <w:rPr>
          <w:rFonts w:ascii="Arial" w:eastAsia="Times New Roman" w:hAnsi="Arial" w:cs="Arial"/>
          <w:lang w:eastAsia="en-GB"/>
        </w:rPr>
        <w:t>cafes</w:t>
      </w:r>
      <w:proofErr w:type="gramEnd"/>
      <w:r w:rsidRPr="009E3CDE">
        <w:rPr>
          <w:rFonts w:ascii="Arial" w:eastAsia="Times New Roman" w:hAnsi="Arial" w:cs="Arial"/>
          <w:lang w:eastAsia="en-GB"/>
        </w:rPr>
        <w:t xml:space="preserve"> and restaurants to connect with community groups and volunteers to redistribute surplus food.</w:t>
      </w:r>
      <w:r>
        <w:rPr>
          <w:rFonts w:ascii="Arial" w:eastAsia="Times New Roman" w:hAnsi="Arial" w:cs="Arial"/>
          <w:lang w:eastAsia="en-GB"/>
        </w:rPr>
        <w:t xml:space="preserve"> </w:t>
      </w:r>
    </w:p>
    <w:p w14:paraId="26696AC3" w14:textId="77777777" w:rsidR="00514B73" w:rsidRDefault="00514B73" w:rsidP="00514B73">
      <w:pPr>
        <w:spacing w:after="0" w:line="240" w:lineRule="auto"/>
        <w:textAlignment w:val="baseline"/>
        <w:rPr>
          <w:rFonts w:ascii="Arial" w:eastAsia="Times New Roman" w:hAnsi="Arial" w:cs="Arial"/>
          <w:lang w:eastAsia="en-GB"/>
        </w:rPr>
      </w:pPr>
    </w:p>
    <w:p w14:paraId="35317B5B" w14:textId="77777777" w:rsidR="00514B73" w:rsidRPr="00581B26" w:rsidRDefault="00514B73" w:rsidP="00514B73">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Our colleagues also made an incredible effort in the first half of the year towards achieving an £8m target for our mental wellbeing partnership with Mind, SAMH and Inspire in H2, creating new services in local communities. </w:t>
      </w:r>
      <w:r>
        <w:rPr>
          <w:rFonts w:ascii="Arial" w:eastAsia="Times New Roman" w:hAnsi="Arial" w:cs="Arial"/>
          <w:lang w:eastAsia="en-GB"/>
        </w:rPr>
        <w:br/>
      </w:r>
    </w:p>
    <w:p w14:paraId="46561498" w14:textId="77777777" w:rsidR="00514B73" w:rsidRDefault="00514B73" w:rsidP="00514B73">
      <w:pPr>
        <w:spacing w:after="0" w:line="240" w:lineRule="auto"/>
        <w:textAlignment w:val="baseline"/>
        <w:rPr>
          <w:rFonts w:ascii="Arial" w:eastAsia="Times New Roman" w:hAnsi="Arial" w:cs="Arial"/>
          <w:lang w:eastAsia="en-GB"/>
        </w:rPr>
      </w:pPr>
      <w:r w:rsidRPr="009E3CDE">
        <w:rPr>
          <w:rFonts w:ascii="Arial" w:eastAsia="Times New Roman" w:hAnsi="Arial" w:cs="Arial"/>
          <w:lang w:eastAsia="en-GB"/>
        </w:rPr>
        <w:t>Whilst supporting our local communities has been a clear priority</w:t>
      </w:r>
      <w:r>
        <w:rPr>
          <w:rFonts w:ascii="Arial" w:eastAsia="Times New Roman" w:hAnsi="Arial" w:cs="Arial"/>
          <w:lang w:eastAsia="en-GB"/>
        </w:rPr>
        <w:t>,</w:t>
      </w:r>
      <w:r w:rsidRPr="009E3CDE">
        <w:rPr>
          <w:rFonts w:ascii="Arial" w:eastAsia="Times New Roman" w:hAnsi="Arial" w:cs="Arial"/>
          <w:lang w:eastAsia="en-GB"/>
        </w:rPr>
        <w:t xml:space="preserve"> it hasn’t been at the expense of us </w:t>
      </w:r>
      <w:r>
        <w:rPr>
          <w:rFonts w:ascii="Arial" w:eastAsia="Times New Roman" w:hAnsi="Arial" w:cs="Arial"/>
          <w:lang w:eastAsia="en-GB"/>
        </w:rPr>
        <w:t>focusing upon</w:t>
      </w:r>
      <w:r w:rsidRPr="009E3CDE">
        <w:rPr>
          <w:rFonts w:ascii="Arial" w:eastAsia="Times New Roman" w:hAnsi="Arial" w:cs="Arial"/>
          <w:lang w:eastAsia="en-GB"/>
        </w:rPr>
        <w:t xml:space="preserve"> wider international and environmental </w:t>
      </w:r>
      <w:r>
        <w:rPr>
          <w:rFonts w:ascii="Arial" w:eastAsia="Times New Roman" w:hAnsi="Arial" w:cs="Arial"/>
          <w:lang w:eastAsia="en-GB"/>
        </w:rPr>
        <w:t>issues</w:t>
      </w:r>
      <w:r w:rsidRPr="009E3CDE">
        <w:rPr>
          <w:rFonts w:ascii="Arial" w:eastAsia="Times New Roman" w:hAnsi="Arial" w:cs="Arial"/>
          <w:lang w:eastAsia="en-GB"/>
        </w:rPr>
        <w:t>.</w:t>
      </w:r>
      <w:r>
        <w:rPr>
          <w:rFonts w:ascii="Arial" w:eastAsia="Times New Roman" w:hAnsi="Arial" w:cs="Arial"/>
          <w:lang w:eastAsia="en-GB"/>
        </w:rPr>
        <w:t xml:space="preserve"> </w:t>
      </w:r>
      <w:r w:rsidRPr="009E3CDE">
        <w:rPr>
          <w:rFonts w:ascii="Arial" w:eastAsia="Times New Roman" w:hAnsi="Arial" w:cs="Arial"/>
          <w:lang w:eastAsia="en-GB"/>
        </w:rPr>
        <w:t>In April</w:t>
      </w:r>
      <w:r>
        <w:rPr>
          <w:rFonts w:ascii="Arial" w:eastAsia="Times New Roman" w:hAnsi="Arial" w:cs="Arial"/>
          <w:lang w:eastAsia="en-GB"/>
        </w:rPr>
        <w:t>,</w:t>
      </w:r>
      <w:r w:rsidRPr="009E3CDE">
        <w:rPr>
          <w:rFonts w:ascii="Arial" w:eastAsia="Times New Roman" w:hAnsi="Arial" w:cs="Arial"/>
          <w:lang w:eastAsia="en-GB"/>
        </w:rPr>
        <w:t xml:space="preserve"> our Co-op was honoured with a Queen’s Award for Enterprise for Sustainable Development.</w:t>
      </w:r>
      <w:r>
        <w:rPr>
          <w:rFonts w:ascii="Arial" w:eastAsia="Times New Roman" w:hAnsi="Arial" w:cs="Arial"/>
          <w:lang w:eastAsia="en-GB"/>
        </w:rPr>
        <w:t xml:space="preserve"> </w:t>
      </w:r>
      <w:r w:rsidRPr="009E3CDE">
        <w:rPr>
          <w:rFonts w:ascii="Arial" w:eastAsia="Times New Roman" w:hAnsi="Arial" w:cs="Arial"/>
          <w:lang w:eastAsia="en-GB"/>
        </w:rPr>
        <w:t>The award recognised the reach and depth of our work on reducing the impact of our operations in areas such as carbon</w:t>
      </w:r>
      <w:r>
        <w:rPr>
          <w:rFonts w:ascii="Arial" w:eastAsia="Times New Roman" w:hAnsi="Arial" w:cs="Arial"/>
          <w:lang w:eastAsia="en-GB"/>
        </w:rPr>
        <w:t xml:space="preserve"> </w:t>
      </w:r>
      <w:r w:rsidRPr="009E3CDE">
        <w:rPr>
          <w:rFonts w:ascii="Arial" w:eastAsia="Times New Roman" w:hAnsi="Arial" w:cs="Arial"/>
          <w:lang w:eastAsia="en-GB"/>
        </w:rPr>
        <w:t xml:space="preserve">emissions, </w:t>
      </w:r>
      <w:proofErr w:type="gramStart"/>
      <w:r w:rsidRPr="009E3CDE">
        <w:rPr>
          <w:rFonts w:ascii="Arial" w:eastAsia="Times New Roman" w:hAnsi="Arial" w:cs="Arial"/>
          <w:lang w:eastAsia="en-GB"/>
        </w:rPr>
        <w:t>recycling</w:t>
      </w:r>
      <w:proofErr w:type="gramEnd"/>
      <w:r w:rsidRPr="009E3CDE">
        <w:rPr>
          <w:rFonts w:ascii="Arial" w:eastAsia="Times New Roman" w:hAnsi="Arial" w:cs="Arial"/>
          <w:lang w:eastAsia="en-GB"/>
        </w:rPr>
        <w:t xml:space="preserve"> and </w:t>
      </w:r>
      <w:r w:rsidRPr="009E3CDE">
        <w:rPr>
          <w:rFonts w:ascii="Arial" w:eastAsia="Times New Roman" w:hAnsi="Arial" w:cs="Arial"/>
          <w:lang w:eastAsia="en-GB"/>
        </w:rPr>
        <w:lastRenderedPageBreak/>
        <w:t>sustainable pension</w:t>
      </w:r>
      <w:r>
        <w:rPr>
          <w:rFonts w:ascii="Arial" w:eastAsia="Times New Roman" w:hAnsi="Arial" w:cs="Arial"/>
          <w:lang w:eastAsia="en-GB"/>
        </w:rPr>
        <w:t>s</w:t>
      </w:r>
      <w:r w:rsidRPr="009E3CDE">
        <w:rPr>
          <w:rFonts w:ascii="Arial" w:eastAsia="Times New Roman" w:hAnsi="Arial" w:cs="Arial"/>
          <w:lang w:eastAsia="en-GB"/>
        </w:rPr>
        <w:t>.</w:t>
      </w:r>
      <w:r>
        <w:rPr>
          <w:rFonts w:ascii="Arial" w:eastAsia="Times New Roman" w:hAnsi="Arial" w:cs="Arial"/>
          <w:lang w:eastAsia="en-GB"/>
        </w:rPr>
        <w:t xml:space="preserve"> </w:t>
      </w:r>
      <w:r w:rsidRPr="009E3CDE">
        <w:rPr>
          <w:rFonts w:ascii="Arial" w:eastAsia="Times New Roman" w:hAnsi="Arial" w:cs="Arial"/>
          <w:lang w:eastAsia="en-GB"/>
        </w:rPr>
        <w:t>It was an honour for our Co-op to receive this prestigious award</w:t>
      </w:r>
      <w:r>
        <w:rPr>
          <w:rFonts w:ascii="Arial" w:eastAsia="Times New Roman" w:hAnsi="Arial" w:cs="Arial"/>
          <w:lang w:eastAsia="en-GB"/>
        </w:rPr>
        <w:t>,</w:t>
      </w:r>
      <w:r w:rsidRPr="009E3CDE">
        <w:rPr>
          <w:rFonts w:ascii="Arial" w:eastAsia="Times New Roman" w:hAnsi="Arial" w:cs="Arial"/>
          <w:lang w:eastAsia="en-GB"/>
        </w:rPr>
        <w:t xml:space="preserve"> and testimony to the fact that sustainability is truly embedded into the heart of what we do as a business.</w:t>
      </w:r>
      <w:r>
        <w:rPr>
          <w:rFonts w:ascii="Arial" w:eastAsia="Times New Roman" w:hAnsi="Arial" w:cs="Arial"/>
          <w:lang w:eastAsia="en-GB"/>
        </w:rPr>
        <w:t xml:space="preserve">   </w:t>
      </w:r>
      <w:r w:rsidRPr="009E3CDE">
        <w:rPr>
          <w:rFonts w:ascii="Arial" w:eastAsia="Times New Roman" w:hAnsi="Arial" w:cs="Arial"/>
          <w:lang w:eastAsia="en-GB"/>
        </w:rPr>
        <w:t xml:space="preserve"> </w:t>
      </w:r>
    </w:p>
    <w:p w14:paraId="1881456A" w14:textId="77777777" w:rsidR="00CC1F05" w:rsidRDefault="00CC1F05" w:rsidP="00514B73">
      <w:pPr>
        <w:spacing w:line="240" w:lineRule="auto"/>
        <w:rPr>
          <w:rFonts w:ascii="Arial" w:hAnsi="Arial" w:cs="Arial"/>
          <w:iCs/>
          <w:color w:val="00B050"/>
        </w:rPr>
      </w:pPr>
    </w:p>
    <w:p w14:paraId="74F52E76" w14:textId="27C054C8" w:rsidR="00514B73" w:rsidRPr="00C76AD0" w:rsidRDefault="00514B73" w:rsidP="00514B73">
      <w:pPr>
        <w:spacing w:line="240" w:lineRule="auto"/>
        <w:rPr>
          <w:rFonts w:ascii="Arial" w:hAnsi="Arial" w:cs="Arial"/>
          <w:b/>
          <w:sz w:val="24"/>
          <w:szCs w:val="24"/>
        </w:rPr>
      </w:pPr>
      <w:r w:rsidRPr="00C76AD0">
        <w:rPr>
          <w:rFonts w:ascii="Arial" w:hAnsi="Arial" w:cs="Arial"/>
          <w:b/>
          <w:sz w:val="24"/>
          <w:szCs w:val="24"/>
        </w:rPr>
        <w:t>PRINCIPAL RISKS AND UNCERTAINTIES</w:t>
      </w:r>
    </w:p>
    <w:p w14:paraId="7D04582E" w14:textId="77777777" w:rsidR="00514B73" w:rsidRPr="005400FA" w:rsidRDefault="00514B73" w:rsidP="00514B73">
      <w:pPr>
        <w:spacing w:after="120" w:line="240" w:lineRule="auto"/>
        <w:rPr>
          <w:rFonts w:ascii="Arial" w:hAnsi="Arial" w:cs="Arial"/>
        </w:rPr>
      </w:pPr>
      <w:r w:rsidRPr="005400FA">
        <w:rPr>
          <w:rFonts w:ascii="Arial" w:hAnsi="Arial" w:cs="Arial"/>
        </w:rPr>
        <w:t xml:space="preserve">Our Board and Risk and Audit Committee regularly review the principal risks to our business, our position against our risk appetite, and monitor progress to manage risks within that appetite. Consideration is given to emerging risks and to any changes in the internal or external environment that could impact our strategy and how we operate. We regularly update our risks and responses where required. The Board and Risk and Audit Committee have reviewed the principal risks and uncertainties faced by our Co-op.  </w:t>
      </w:r>
    </w:p>
    <w:p w14:paraId="2AB7CB88" w14:textId="16DCB5EA" w:rsidR="00514B73" w:rsidRPr="00606F76" w:rsidRDefault="00514B73" w:rsidP="00514B73">
      <w:pPr>
        <w:spacing w:after="120" w:line="240" w:lineRule="auto"/>
        <w:rPr>
          <w:rFonts w:ascii="Arial" w:hAnsi="Arial" w:cs="Arial"/>
          <w:b/>
          <w:bCs/>
        </w:rPr>
      </w:pPr>
      <w:r w:rsidRPr="00606F76">
        <w:rPr>
          <w:rFonts w:ascii="Arial" w:hAnsi="Arial" w:cs="Arial"/>
          <w:b/>
          <w:bCs/>
        </w:rPr>
        <w:t xml:space="preserve">Geopolitical events and the </w:t>
      </w:r>
      <w:r>
        <w:rPr>
          <w:rFonts w:ascii="Arial" w:hAnsi="Arial" w:cs="Arial"/>
          <w:b/>
          <w:bCs/>
        </w:rPr>
        <w:t xml:space="preserve">broader </w:t>
      </w:r>
      <w:r w:rsidRPr="00606F76">
        <w:rPr>
          <w:rFonts w:ascii="Arial" w:hAnsi="Arial" w:cs="Arial"/>
          <w:b/>
          <w:bCs/>
        </w:rPr>
        <w:t xml:space="preserve">economic environment </w:t>
      </w:r>
    </w:p>
    <w:p w14:paraId="6807ECC2" w14:textId="3145944E" w:rsidR="00514B73" w:rsidRPr="005400FA" w:rsidRDefault="00514B73" w:rsidP="00514B73">
      <w:pPr>
        <w:spacing w:after="120" w:line="240" w:lineRule="auto"/>
        <w:rPr>
          <w:rFonts w:ascii="Arial" w:hAnsi="Arial" w:cs="Arial"/>
        </w:rPr>
      </w:pPr>
      <w:r w:rsidRPr="005400FA">
        <w:rPr>
          <w:rFonts w:ascii="Arial" w:hAnsi="Arial" w:cs="Arial"/>
        </w:rPr>
        <w:t>We are experiencing changes in the economic environment that have not been witnessed in over a generation. Th</w:t>
      </w:r>
      <w:r>
        <w:rPr>
          <w:rFonts w:ascii="Arial" w:hAnsi="Arial" w:cs="Arial"/>
        </w:rPr>
        <w:t>ese</w:t>
      </w:r>
      <w:r w:rsidRPr="005400FA">
        <w:rPr>
          <w:rFonts w:ascii="Arial" w:hAnsi="Arial" w:cs="Arial"/>
        </w:rPr>
        <w:t xml:space="preserve"> </w:t>
      </w:r>
      <w:r>
        <w:rPr>
          <w:rFonts w:ascii="Arial" w:hAnsi="Arial" w:cs="Arial"/>
        </w:rPr>
        <w:t>are</w:t>
      </w:r>
      <w:r w:rsidRPr="005400FA">
        <w:rPr>
          <w:rFonts w:ascii="Arial" w:hAnsi="Arial" w:cs="Arial"/>
        </w:rPr>
        <w:t xml:space="preserve"> being driven by the war in Ukraine</w:t>
      </w:r>
      <w:r>
        <w:rPr>
          <w:rFonts w:ascii="Arial" w:hAnsi="Arial" w:cs="Arial"/>
        </w:rPr>
        <w:t>,</w:t>
      </w:r>
      <w:r w:rsidRPr="005400FA">
        <w:rPr>
          <w:rFonts w:ascii="Arial" w:hAnsi="Arial" w:cs="Arial"/>
        </w:rPr>
        <w:t xml:space="preserve"> the recent political instability in the UK</w:t>
      </w:r>
      <w:r>
        <w:rPr>
          <w:rFonts w:ascii="Arial" w:hAnsi="Arial" w:cs="Arial"/>
        </w:rPr>
        <w:t xml:space="preserve"> and the continued effects of </w:t>
      </w:r>
      <w:r w:rsidR="00D8292F">
        <w:rPr>
          <w:rFonts w:ascii="Arial" w:hAnsi="Arial" w:cs="Arial"/>
        </w:rPr>
        <w:t xml:space="preserve">the </w:t>
      </w:r>
      <w:r>
        <w:rPr>
          <w:rFonts w:ascii="Arial" w:hAnsi="Arial" w:cs="Arial"/>
        </w:rPr>
        <w:t>pandemic</w:t>
      </w:r>
      <w:r w:rsidRPr="005400FA">
        <w:rPr>
          <w:rFonts w:ascii="Arial" w:hAnsi="Arial" w:cs="Arial"/>
        </w:rPr>
        <w:t xml:space="preserve">. Inflationary pressures combined with challenges in the supply chain and shortages of raw materials have heightened uncertainty for our members, </w:t>
      </w:r>
      <w:proofErr w:type="gramStart"/>
      <w:r w:rsidRPr="005400FA">
        <w:rPr>
          <w:rFonts w:ascii="Arial" w:hAnsi="Arial" w:cs="Arial"/>
        </w:rPr>
        <w:t>customers</w:t>
      </w:r>
      <w:proofErr w:type="gramEnd"/>
      <w:r w:rsidRPr="005400FA">
        <w:rPr>
          <w:rFonts w:ascii="Arial" w:hAnsi="Arial" w:cs="Arial"/>
        </w:rPr>
        <w:t xml:space="preserve"> and suppliers. </w:t>
      </w:r>
      <w:r>
        <w:rPr>
          <w:rFonts w:ascii="Arial" w:hAnsi="Arial" w:cs="Arial"/>
        </w:rPr>
        <w:t>The i</w:t>
      </w:r>
      <w:r w:rsidRPr="005400FA">
        <w:rPr>
          <w:rFonts w:ascii="Arial" w:hAnsi="Arial" w:cs="Arial"/>
        </w:rPr>
        <w:t>ncreased cost of living is materialising in industrial action across multiple sectors of the UK economy and impacting the availability of labour. In terms of outlook, continued deterioration in the external environment</w:t>
      </w:r>
      <w:r>
        <w:rPr>
          <w:rFonts w:ascii="Arial" w:hAnsi="Arial" w:cs="Arial"/>
        </w:rPr>
        <w:t>,</w:t>
      </w:r>
      <w:r w:rsidRPr="005400FA">
        <w:rPr>
          <w:rFonts w:ascii="Arial" w:hAnsi="Arial" w:cs="Arial"/>
        </w:rPr>
        <w:t xml:space="preserve"> coupled with a fall in consumer spending in the UK, could see the UK economy entering a mild recession next year. In July</w:t>
      </w:r>
      <w:r>
        <w:rPr>
          <w:rFonts w:ascii="Arial" w:hAnsi="Arial" w:cs="Arial"/>
        </w:rPr>
        <w:t>,</w:t>
      </w:r>
      <w:r w:rsidRPr="005400FA">
        <w:rPr>
          <w:rFonts w:ascii="Arial" w:hAnsi="Arial" w:cs="Arial"/>
        </w:rPr>
        <w:t xml:space="preserve"> the International Monetary Fund also warned of a global </w:t>
      </w:r>
      <w:proofErr w:type="gramStart"/>
      <w:r w:rsidRPr="005400FA">
        <w:rPr>
          <w:rFonts w:ascii="Arial" w:hAnsi="Arial" w:cs="Arial"/>
        </w:rPr>
        <w:t>recession</w:t>
      </w:r>
      <w:proofErr w:type="gramEnd"/>
      <w:r w:rsidRPr="005400FA">
        <w:rPr>
          <w:rFonts w:ascii="Arial" w:hAnsi="Arial" w:cs="Arial"/>
        </w:rPr>
        <w:t xml:space="preserve"> and it predicted </w:t>
      </w:r>
      <w:r>
        <w:rPr>
          <w:rFonts w:ascii="Arial" w:hAnsi="Arial" w:cs="Arial"/>
        </w:rPr>
        <w:t xml:space="preserve">that the </w:t>
      </w:r>
      <w:r w:rsidRPr="005400FA">
        <w:rPr>
          <w:rFonts w:ascii="Arial" w:hAnsi="Arial" w:cs="Arial"/>
        </w:rPr>
        <w:t xml:space="preserve">UK is expected to see the slowest growth of all the G7 nations over the next year. </w:t>
      </w:r>
    </w:p>
    <w:p w14:paraId="1312ABD7" w14:textId="77777777" w:rsidR="00514B73" w:rsidRPr="00606F76" w:rsidRDefault="00514B73" w:rsidP="00514B73">
      <w:pPr>
        <w:spacing w:after="120" w:line="240" w:lineRule="auto"/>
        <w:rPr>
          <w:rFonts w:ascii="Arial" w:hAnsi="Arial" w:cs="Arial"/>
          <w:b/>
        </w:rPr>
      </w:pPr>
      <w:r w:rsidRPr="00606F76">
        <w:rPr>
          <w:rFonts w:ascii="Arial" w:hAnsi="Arial" w:cs="Arial"/>
          <w:b/>
        </w:rPr>
        <w:t>Covid</w:t>
      </w:r>
    </w:p>
    <w:p w14:paraId="4E571705" w14:textId="77777777" w:rsidR="00514B73" w:rsidRPr="00BB2EA8" w:rsidRDefault="00514B73" w:rsidP="00514B73">
      <w:pPr>
        <w:spacing w:after="120" w:line="240" w:lineRule="auto"/>
        <w:rPr>
          <w:rFonts w:ascii="Arial" w:hAnsi="Arial" w:cs="Arial"/>
        </w:rPr>
      </w:pPr>
      <w:r w:rsidRPr="005400FA">
        <w:rPr>
          <w:rFonts w:ascii="Arial" w:hAnsi="Arial" w:cs="Arial"/>
        </w:rPr>
        <w:t>Following the removal of Covid restrictions</w:t>
      </w:r>
      <w:r w:rsidRPr="00BB2EA8">
        <w:rPr>
          <w:rFonts w:ascii="Arial" w:hAnsi="Arial" w:cs="Arial"/>
        </w:rPr>
        <w:t>,</w:t>
      </w:r>
      <w:r w:rsidRPr="005400FA">
        <w:rPr>
          <w:rFonts w:ascii="Arial" w:hAnsi="Arial" w:cs="Arial"/>
        </w:rPr>
        <w:t xml:space="preserve"> we maintain a safe working environment for our colleagues. We have additional support in place for those who are higher risk and more vulnerable to infection</w:t>
      </w:r>
      <w:r>
        <w:rPr>
          <w:rFonts w:ascii="Arial" w:hAnsi="Arial" w:cs="Arial"/>
        </w:rPr>
        <w:t>,</w:t>
      </w:r>
      <w:r w:rsidRPr="005400FA">
        <w:rPr>
          <w:rFonts w:ascii="Arial" w:hAnsi="Arial" w:cs="Arial"/>
        </w:rPr>
        <w:t xml:space="preserve"> as well as those experiencing long</w:t>
      </w:r>
      <w:r>
        <w:rPr>
          <w:rFonts w:ascii="Arial" w:hAnsi="Arial" w:cs="Arial"/>
        </w:rPr>
        <w:t>-</w:t>
      </w:r>
      <w:r w:rsidRPr="005400FA">
        <w:rPr>
          <w:rFonts w:ascii="Arial" w:hAnsi="Arial" w:cs="Arial"/>
        </w:rPr>
        <w:t xml:space="preserve">term effects of the virus. </w:t>
      </w:r>
      <w:r w:rsidRPr="00BB2EA8">
        <w:rPr>
          <w:rFonts w:ascii="Arial" w:hAnsi="Arial" w:cs="Arial"/>
        </w:rPr>
        <w:t>W</w:t>
      </w:r>
      <w:r w:rsidRPr="005400FA">
        <w:rPr>
          <w:rFonts w:ascii="Arial" w:hAnsi="Arial" w:cs="Arial"/>
        </w:rPr>
        <w:t>e will monitor how the pandemic evolves. If restrictions are reintroduced</w:t>
      </w:r>
      <w:r w:rsidRPr="00BB2EA8">
        <w:rPr>
          <w:rFonts w:ascii="Arial" w:hAnsi="Arial" w:cs="Arial"/>
        </w:rPr>
        <w:t>,</w:t>
      </w:r>
      <w:r w:rsidRPr="005400FA">
        <w:rPr>
          <w:rFonts w:ascii="Arial" w:hAnsi="Arial" w:cs="Arial"/>
        </w:rPr>
        <w:t xml:space="preserve"> we </w:t>
      </w:r>
      <w:r w:rsidRPr="00BB2EA8">
        <w:rPr>
          <w:rFonts w:ascii="Arial" w:hAnsi="Arial" w:cs="Arial"/>
        </w:rPr>
        <w:t>are</w:t>
      </w:r>
      <w:r w:rsidRPr="005400FA">
        <w:rPr>
          <w:rFonts w:ascii="Arial" w:hAnsi="Arial" w:cs="Arial"/>
        </w:rPr>
        <w:t xml:space="preserve"> well place</w:t>
      </w:r>
      <w:r>
        <w:rPr>
          <w:rFonts w:ascii="Arial" w:hAnsi="Arial" w:cs="Arial"/>
        </w:rPr>
        <w:t>d</w:t>
      </w:r>
      <w:r w:rsidRPr="005400FA">
        <w:rPr>
          <w:rFonts w:ascii="Arial" w:hAnsi="Arial" w:cs="Arial"/>
        </w:rPr>
        <w:t xml:space="preserve"> to respond </w:t>
      </w:r>
      <w:r w:rsidRPr="00BB2EA8">
        <w:rPr>
          <w:rFonts w:ascii="Arial" w:hAnsi="Arial" w:cs="Arial"/>
        </w:rPr>
        <w:t>and</w:t>
      </w:r>
      <w:r w:rsidRPr="005400FA">
        <w:rPr>
          <w:rFonts w:ascii="Arial" w:hAnsi="Arial" w:cs="Arial"/>
        </w:rPr>
        <w:t xml:space="preserve"> have contingency plans in place across our operations. </w:t>
      </w:r>
    </w:p>
    <w:p w14:paraId="7E1AF254" w14:textId="77777777" w:rsidR="00514B73" w:rsidRPr="00606F76" w:rsidRDefault="00514B73" w:rsidP="00514B73">
      <w:pPr>
        <w:spacing w:after="120" w:line="240" w:lineRule="auto"/>
        <w:rPr>
          <w:rFonts w:ascii="Arial" w:hAnsi="Arial" w:cs="Arial"/>
          <w:b/>
          <w:bCs/>
          <w:sz w:val="32"/>
          <w:szCs w:val="32"/>
        </w:rPr>
      </w:pPr>
      <w:r w:rsidRPr="00606F76">
        <w:rPr>
          <w:rFonts w:ascii="Arial" w:hAnsi="Arial" w:cs="Arial"/>
          <w:b/>
          <w:bCs/>
        </w:rPr>
        <w:t>Changes to our principal risk</w:t>
      </w:r>
      <w:r>
        <w:rPr>
          <w:rFonts w:ascii="Arial" w:hAnsi="Arial" w:cs="Arial"/>
          <w:b/>
          <w:bCs/>
        </w:rPr>
        <w:t>s</w:t>
      </w:r>
    </w:p>
    <w:p w14:paraId="6ACF86B6" w14:textId="77777777" w:rsidR="00514B73" w:rsidRPr="001503EE" w:rsidRDefault="00514B73" w:rsidP="00514B73">
      <w:pPr>
        <w:spacing w:after="120" w:line="240" w:lineRule="auto"/>
        <w:rPr>
          <w:rFonts w:ascii="Arial" w:hAnsi="Arial" w:cs="Arial"/>
          <w:color w:val="000000" w:themeColor="text1"/>
        </w:rPr>
      </w:pPr>
      <w:r w:rsidRPr="00BB2EA8">
        <w:rPr>
          <w:rFonts w:ascii="Arial" w:hAnsi="Arial" w:cs="Arial"/>
        </w:rPr>
        <w:t>Our princi</w:t>
      </w:r>
      <w:r w:rsidRPr="005400FA">
        <w:rPr>
          <w:rFonts w:ascii="Arial" w:hAnsi="Arial" w:cs="Arial"/>
        </w:rPr>
        <w:t xml:space="preserve">pal risks set out in the 2021 Annual Report and </w:t>
      </w:r>
      <w:r>
        <w:rPr>
          <w:rFonts w:ascii="Arial" w:hAnsi="Arial" w:cs="Arial"/>
        </w:rPr>
        <w:t>Accounts</w:t>
      </w:r>
      <w:r w:rsidRPr="005400FA">
        <w:rPr>
          <w:rFonts w:ascii="Arial" w:hAnsi="Arial" w:cs="Arial"/>
        </w:rPr>
        <w:t xml:space="preserve"> remain relevant for the first half of 2022. These are the risks which</w:t>
      </w:r>
      <w:r>
        <w:rPr>
          <w:rFonts w:ascii="Arial" w:hAnsi="Arial" w:cs="Arial"/>
        </w:rPr>
        <w:t>,</w:t>
      </w:r>
      <w:r w:rsidRPr="005400FA">
        <w:rPr>
          <w:rFonts w:ascii="Arial" w:hAnsi="Arial" w:cs="Arial"/>
        </w:rPr>
        <w:t xml:space="preserve"> should they materialise, would have the most impact on the delivery of our business strategy and </w:t>
      </w:r>
      <w:r w:rsidRPr="005400FA">
        <w:rPr>
          <w:rFonts w:ascii="Arial" w:hAnsi="Arial" w:cs="Arial"/>
          <w:color w:val="000000" w:themeColor="text1"/>
        </w:rPr>
        <w:t>our commitment to creat</w:t>
      </w:r>
      <w:r>
        <w:rPr>
          <w:rFonts w:ascii="Arial" w:hAnsi="Arial" w:cs="Arial"/>
          <w:color w:val="000000" w:themeColor="text1"/>
        </w:rPr>
        <w:t>e</w:t>
      </w:r>
      <w:r w:rsidRPr="005400FA">
        <w:rPr>
          <w:rFonts w:ascii="Arial" w:hAnsi="Arial" w:cs="Arial"/>
          <w:color w:val="000000" w:themeColor="text1"/>
        </w:rPr>
        <w:t xml:space="preserve"> value for our members and communities.</w:t>
      </w:r>
      <w:r w:rsidRPr="00BB2EA8">
        <w:rPr>
          <w:rFonts w:ascii="Arial" w:hAnsi="Arial" w:cs="Arial"/>
          <w:color w:val="000000" w:themeColor="text1"/>
        </w:rPr>
        <w:t xml:space="preserve"> </w:t>
      </w:r>
    </w:p>
    <w:p w14:paraId="366FDA3F" w14:textId="77777777" w:rsidR="00514B73" w:rsidRDefault="00514B73" w:rsidP="00514B73">
      <w:pPr>
        <w:spacing w:after="120" w:line="240" w:lineRule="auto"/>
        <w:rPr>
          <w:rFonts w:ascii="Arial" w:hAnsi="Arial" w:cs="Arial"/>
          <w:color w:val="000000" w:themeColor="text1"/>
        </w:rPr>
      </w:pPr>
      <w:r w:rsidRPr="001503EE">
        <w:rPr>
          <w:rFonts w:ascii="Arial" w:hAnsi="Arial" w:cs="Arial"/>
          <w:color w:val="000000" w:themeColor="text1"/>
        </w:rPr>
        <w:t xml:space="preserve">Though the environment our businesses are operating within has been impacted by the combined pressure of rising inflation, geopolitical events </w:t>
      </w:r>
      <w:r>
        <w:rPr>
          <w:rFonts w:ascii="Arial" w:hAnsi="Arial" w:cs="Arial"/>
          <w:color w:val="000000" w:themeColor="text1"/>
        </w:rPr>
        <w:t>and</w:t>
      </w:r>
      <w:r w:rsidRPr="001503EE">
        <w:rPr>
          <w:rFonts w:ascii="Arial" w:hAnsi="Arial" w:cs="Arial"/>
          <w:color w:val="000000" w:themeColor="text1"/>
        </w:rPr>
        <w:t xml:space="preserve"> more intense competition, those stresses to the supply chain in the grocery sector have most acutely affected our </w:t>
      </w:r>
      <w:r>
        <w:rPr>
          <w:rFonts w:ascii="Arial" w:hAnsi="Arial" w:cs="Arial"/>
          <w:color w:val="000000" w:themeColor="text1"/>
        </w:rPr>
        <w:t>Co-op</w:t>
      </w:r>
      <w:r w:rsidRPr="001503EE">
        <w:rPr>
          <w:rFonts w:ascii="Arial" w:hAnsi="Arial" w:cs="Arial"/>
          <w:color w:val="000000" w:themeColor="text1"/>
        </w:rPr>
        <w:t xml:space="preserve">, as Food is our largest business. </w:t>
      </w:r>
    </w:p>
    <w:p w14:paraId="7C146C8A" w14:textId="77777777" w:rsidR="00514B73" w:rsidRDefault="00514B73" w:rsidP="00514B73">
      <w:pPr>
        <w:spacing w:line="240" w:lineRule="auto"/>
        <w:rPr>
          <w:rFonts w:ascii="Arial" w:hAnsi="Arial" w:cs="Arial"/>
        </w:rPr>
      </w:pPr>
      <w:r w:rsidRPr="0061501D">
        <w:rPr>
          <w:rFonts w:ascii="Arial" w:hAnsi="Arial" w:cs="Arial"/>
        </w:rPr>
        <w:t xml:space="preserve">Our Co-op relies on a combination of external funding and cashflow generation to run </w:t>
      </w:r>
      <w:r>
        <w:rPr>
          <w:rFonts w:ascii="Arial" w:hAnsi="Arial" w:cs="Arial"/>
        </w:rPr>
        <w:t>our</w:t>
      </w:r>
      <w:r w:rsidRPr="0061501D">
        <w:rPr>
          <w:rFonts w:ascii="Arial" w:hAnsi="Arial" w:cs="Arial"/>
        </w:rPr>
        <w:t xml:space="preserve"> businesses. The current economic and geo</w:t>
      </w:r>
      <w:r>
        <w:rPr>
          <w:rFonts w:ascii="Arial" w:hAnsi="Arial" w:cs="Arial"/>
        </w:rPr>
        <w:t>-</w:t>
      </w:r>
      <w:r w:rsidRPr="0061501D">
        <w:rPr>
          <w:rFonts w:ascii="Arial" w:hAnsi="Arial" w:cs="Arial"/>
        </w:rPr>
        <w:t xml:space="preserve">political environment has impacted </w:t>
      </w:r>
      <w:r>
        <w:rPr>
          <w:rFonts w:ascii="Arial" w:hAnsi="Arial" w:cs="Arial"/>
        </w:rPr>
        <w:t>our</w:t>
      </w:r>
      <w:r w:rsidRPr="0061501D">
        <w:rPr>
          <w:rFonts w:ascii="Arial" w:hAnsi="Arial" w:cs="Arial"/>
        </w:rPr>
        <w:t xml:space="preserve"> profitability and cashflow generation. Our financial statements have been prepared on a going concern basis and our directors reasonably expect the </w:t>
      </w:r>
      <w:r>
        <w:rPr>
          <w:rFonts w:ascii="Arial" w:hAnsi="Arial" w:cs="Arial"/>
        </w:rPr>
        <w:t>business</w:t>
      </w:r>
      <w:r w:rsidRPr="0061501D">
        <w:rPr>
          <w:rFonts w:ascii="Arial" w:hAnsi="Arial" w:cs="Arial"/>
        </w:rPr>
        <w:t xml:space="preserve"> to have sufficient funding for the foreseeable future. However, </w:t>
      </w:r>
      <w:r>
        <w:rPr>
          <w:rFonts w:ascii="Arial" w:hAnsi="Arial" w:cs="Arial"/>
        </w:rPr>
        <w:t>should</w:t>
      </w:r>
      <w:r w:rsidRPr="0061501D">
        <w:rPr>
          <w:rFonts w:ascii="Arial" w:hAnsi="Arial" w:cs="Arial"/>
        </w:rPr>
        <w:t xml:space="preserve"> such economic conditions prevail or deteriorate further</w:t>
      </w:r>
      <w:r>
        <w:rPr>
          <w:rFonts w:ascii="Arial" w:hAnsi="Arial" w:cs="Arial"/>
        </w:rPr>
        <w:t xml:space="preserve">, </w:t>
      </w:r>
      <w:r w:rsidRPr="0061501D">
        <w:rPr>
          <w:rFonts w:ascii="Arial" w:hAnsi="Arial" w:cs="Arial"/>
        </w:rPr>
        <w:t xml:space="preserve">our </w:t>
      </w:r>
      <w:r>
        <w:rPr>
          <w:rFonts w:ascii="Arial" w:hAnsi="Arial" w:cs="Arial"/>
        </w:rPr>
        <w:t>Co-op</w:t>
      </w:r>
      <w:r w:rsidRPr="0061501D">
        <w:rPr>
          <w:rFonts w:ascii="Arial" w:hAnsi="Arial" w:cs="Arial"/>
        </w:rPr>
        <w:t xml:space="preserve"> may need to take mitigating action to ensure adequate funding and cashflows. Such mitigating actions could include reducing or delaying capital expenditure, eliminating discretionary costs and/or disposal of non-core assets.</w:t>
      </w:r>
      <w:r>
        <w:rPr>
          <w:rFonts w:ascii="Arial" w:hAnsi="Arial" w:cs="Arial"/>
        </w:rPr>
        <w:t xml:space="preserve"> As a result, we have elevated the risk related to funding and liquidity to our principal risks. </w:t>
      </w:r>
    </w:p>
    <w:p w14:paraId="3694D92D" w14:textId="77777777" w:rsidR="00514B73" w:rsidRPr="0061501D" w:rsidRDefault="00514B73" w:rsidP="00514B73">
      <w:pPr>
        <w:spacing w:line="240" w:lineRule="auto"/>
        <w:rPr>
          <w:rFonts w:ascii="Arial" w:hAnsi="Arial" w:cs="Arial"/>
          <w:b/>
        </w:rPr>
      </w:pPr>
      <w:r>
        <w:rPr>
          <w:rFonts w:ascii="Arial" w:hAnsi="Arial" w:cs="Arial"/>
        </w:rPr>
        <w:t xml:space="preserve">The principal risks disclosed in our 2021 Annual Report and Accounts remain the most significant to our business, with seven intensifying due to changes in our internal and the external environment.  </w:t>
      </w:r>
    </w:p>
    <w:p w14:paraId="00F50F2E" w14:textId="77777777" w:rsidR="00514B73" w:rsidRPr="00E70036" w:rsidRDefault="00514B73" w:rsidP="00514B73">
      <w:pPr>
        <w:spacing w:line="240" w:lineRule="auto"/>
        <w:rPr>
          <w:rFonts w:ascii="Arial" w:hAnsi="Arial" w:cs="Arial"/>
          <w:color w:val="00B050"/>
        </w:rPr>
      </w:pPr>
      <w:r w:rsidRPr="00E70036">
        <w:rPr>
          <w:rFonts w:ascii="Arial" w:hAnsi="Arial" w:cs="Arial"/>
          <w:color w:val="00B050"/>
        </w:rPr>
        <w:t xml:space="preserve"> </w:t>
      </w:r>
    </w:p>
    <w:tbl>
      <w:tblPr>
        <w:tblStyle w:val="TableGridLight1"/>
        <w:tblW w:w="9072" w:type="dxa"/>
        <w:tblInd w:w="-5" w:type="dxa"/>
        <w:tblLayout w:type="fixed"/>
        <w:tblLook w:val="04A0" w:firstRow="1" w:lastRow="0" w:firstColumn="1" w:lastColumn="0" w:noHBand="0" w:noVBand="1"/>
      </w:tblPr>
      <w:tblGrid>
        <w:gridCol w:w="3773"/>
        <w:gridCol w:w="5299"/>
      </w:tblGrid>
      <w:tr w:rsidR="00514B73" w:rsidRPr="005400FA" w14:paraId="278BEF40" w14:textId="77777777" w:rsidTr="00D23F97">
        <w:trPr>
          <w:trHeight w:val="426"/>
          <w:tblHeader/>
        </w:trPr>
        <w:tc>
          <w:tcPr>
            <w:tcW w:w="3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45414A0" w14:textId="77777777" w:rsidR="00514B73" w:rsidRPr="003D5119" w:rsidRDefault="00514B73" w:rsidP="00D23F97">
            <w:pPr>
              <w:tabs>
                <w:tab w:val="center" w:pos="2271"/>
                <w:tab w:val="right" w:pos="4543"/>
              </w:tabs>
              <w:spacing w:before="120" w:after="120"/>
              <w:rPr>
                <w:rFonts w:ascii="Arial" w:hAnsi="Arial" w:cs="Arial"/>
                <w:b/>
                <w:bCs/>
                <w:color w:val="0099CC"/>
              </w:rPr>
            </w:pPr>
            <w:r w:rsidRPr="003D5119">
              <w:rPr>
                <w:rFonts w:ascii="Arial" w:hAnsi="Arial" w:cs="Arial"/>
                <w:b/>
                <w:bCs/>
              </w:rPr>
              <w:t xml:space="preserve">Risk </w:t>
            </w:r>
          </w:p>
        </w:tc>
        <w:tc>
          <w:tcPr>
            <w:tcW w:w="5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8A831D1" w14:textId="77777777" w:rsidR="00514B73" w:rsidRPr="003D5119" w:rsidRDefault="00514B73" w:rsidP="00D23F97">
            <w:pPr>
              <w:tabs>
                <w:tab w:val="center" w:pos="2271"/>
                <w:tab w:val="right" w:pos="4543"/>
              </w:tabs>
              <w:spacing w:before="120" w:after="120"/>
              <w:rPr>
                <w:rFonts w:ascii="Arial" w:hAnsi="Arial" w:cs="Arial"/>
                <w:b/>
                <w:bCs/>
              </w:rPr>
            </w:pPr>
            <w:r w:rsidRPr="003D5119">
              <w:rPr>
                <w:rFonts w:ascii="Arial" w:hAnsi="Arial" w:cs="Arial"/>
                <w:b/>
                <w:bCs/>
              </w:rPr>
              <w:t>What’s changed in the half year?</w:t>
            </w:r>
          </w:p>
        </w:tc>
      </w:tr>
      <w:tr w:rsidR="00514B73" w:rsidRPr="005400FA" w14:paraId="3320E136" w14:textId="77777777" w:rsidTr="00D23F97">
        <w:trPr>
          <w:trHeight w:val="503"/>
        </w:trPr>
        <w:tc>
          <w:tcPr>
            <w:tcW w:w="3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66394D" w14:textId="77777777" w:rsidR="00514B73" w:rsidRPr="005400FA" w:rsidRDefault="00514B73" w:rsidP="00D23F97">
            <w:pPr>
              <w:tabs>
                <w:tab w:val="center" w:pos="2271"/>
                <w:tab w:val="right" w:pos="4543"/>
              </w:tabs>
              <w:spacing w:before="60" w:after="60"/>
              <w:rPr>
                <w:rFonts w:ascii="Arial" w:hAnsi="Arial" w:cs="Arial"/>
                <w:b/>
                <w:sz w:val="18"/>
                <w:szCs w:val="18"/>
              </w:rPr>
            </w:pPr>
            <w:r w:rsidRPr="00BB2EA8">
              <w:rPr>
                <w:rFonts w:ascii="Arial" w:hAnsi="Arial" w:cs="Arial"/>
                <w:b/>
                <w:sz w:val="18"/>
                <w:szCs w:val="18"/>
              </w:rPr>
              <w:t>Change</w:t>
            </w:r>
          </w:p>
          <w:p w14:paraId="72B10AA6" w14:textId="77777777" w:rsidR="00514B73" w:rsidRPr="005400FA" w:rsidRDefault="00514B73" w:rsidP="00D23F97">
            <w:pPr>
              <w:tabs>
                <w:tab w:val="center" w:pos="2271"/>
                <w:tab w:val="right" w:pos="4543"/>
              </w:tabs>
              <w:spacing w:before="60" w:after="60"/>
              <w:rPr>
                <w:rFonts w:ascii="Arial" w:hAnsi="Arial" w:cs="Arial"/>
                <w:i/>
                <w:sz w:val="18"/>
                <w:szCs w:val="18"/>
              </w:rPr>
            </w:pPr>
            <w:r w:rsidRPr="005400FA">
              <w:rPr>
                <w:rFonts w:ascii="Arial" w:hAnsi="Arial" w:cs="Arial"/>
                <w:i/>
                <w:sz w:val="18"/>
                <w:szCs w:val="18"/>
              </w:rPr>
              <w:t xml:space="preserve">We will make changes to the way we operate through our </w:t>
            </w:r>
            <w:proofErr w:type="gramStart"/>
            <w:r w:rsidRPr="005400FA">
              <w:rPr>
                <w:rFonts w:ascii="Arial" w:hAnsi="Arial" w:cs="Arial"/>
                <w:i/>
                <w:sz w:val="18"/>
                <w:szCs w:val="18"/>
              </w:rPr>
              <w:t>four</w:t>
            </w:r>
            <w:r>
              <w:rPr>
                <w:rFonts w:ascii="Arial" w:hAnsi="Arial" w:cs="Arial"/>
                <w:i/>
                <w:sz w:val="18"/>
                <w:szCs w:val="18"/>
              </w:rPr>
              <w:t xml:space="preserve"> </w:t>
            </w:r>
            <w:r w:rsidRPr="005400FA">
              <w:rPr>
                <w:rFonts w:ascii="Arial" w:hAnsi="Arial" w:cs="Arial"/>
                <w:i/>
                <w:sz w:val="18"/>
                <w:szCs w:val="18"/>
              </w:rPr>
              <w:t>year</w:t>
            </w:r>
            <w:proofErr w:type="gramEnd"/>
            <w:r w:rsidRPr="005400FA">
              <w:rPr>
                <w:rFonts w:ascii="Arial" w:hAnsi="Arial" w:cs="Arial"/>
                <w:i/>
                <w:sz w:val="18"/>
                <w:szCs w:val="18"/>
              </w:rPr>
              <w:t xml:space="preserve"> plan. If our plans are not delivered in an effective way, we will not be able to see the benefits of our change programmes. </w:t>
            </w:r>
          </w:p>
          <w:p w14:paraId="0CF26DAE" w14:textId="77777777" w:rsidR="00514B73" w:rsidRPr="00BB2EA8" w:rsidRDefault="00514B73" w:rsidP="00D23F97">
            <w:pPr>
              <w:tabs>
                <w:tab w:val="center" w:pos="2271"/>
                <w:tab w:val="right" w:pos="4543"/>
              </w:tabs>
              <w:spacing w:before="60" w:after="60"/>
              <w:rPr>
                <w:rFonts w:ascii="Arial" w:hAnsi="Arial" w:cs="Arial"/>
                <w:b/>
                <w:sz w:val="18"/>
                <w:szCs w:val="18"/>
              </w:rPr>
            </w:pPr>
          </w:p>
        </w:tc>
        <w:tc>
          <w:tcPr>
            <w:tcW w:w="5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666AED" w14:textId="77777777" w:rsidR="00514B73" w:rsidRPr="005400FA" w:rsidRDefault="00514B73" w:rsidP="00514B73">
            <w:pPr>
              <w:pStyle w:val="ListParagraph"/>
              <w:numPr>
                <w:ilvl w:val="0"/>
                <w:numId w:val="21"/>
              </w:numPr>
              <w:tabs>
                <w:tab w:val="center" w:pos="2271"/>
                <w:tab w:val="right" w:pos="4543"/>
              </w:tabs>
              <w:spacing w:before="60" w:after="60" w:line="240" w:lineRule="auto"/>
              <w:rPr>
                <w:rFonts w:ascii="Arial" w:hAnsi="Arial" w:cs="Arial"/>
                <w:b/>
                <w:sz w:val="18"/>
                <w:szCs w:val="18"/>
              </w:rPr>
            </w:pPr>
            <w:r w:rsidRPr="005400FA">
              <w:rPr>
                <w:rFonts w:ascii="Arial" w:hAnsi="Arial" w:cs="Arial"/>
                <w:sz w:val="18"/>
                <w:szCs w:val="18"/>
              </w:rPr>
              <w:t xml:space="preserve">As part </w:t>
            </w:r>
            <w:r w:rsidRPr="00BB2EA8">
              <w:rPr>
                <w:rFonts w:ascii="Arial" w:hAnsi="Arial" w:cs="Arial"/>
                <w:sz w:val="18"/>
                <w:szCs w:val="18"/>
              </w:rPr>
              <w:t xml:space="preserve">of </w:t>
            </w:r>
            <w:r w:rsidRPr="005400FA">
              <w:rPr>
                <w:rFonts w:ascii="Arial" w:hAnsi="Arial" w:cs="Arial"/>
                <w:sz w:val="18"/>
                <w:szCs w:val="18"/>
              </w:rPr>
              <w:t>rebalancing our cost structure, we are reducing the level of transformation and change to focus on delivery of an optimised change portfolio</w:t>
            </w:r>
            <w:r>
              <w:rPr>
                <w:rFonts w:ascii="Arial" w:hAnsi="Arial" w:cs="Arial"/>
                <w:sz w:val="18"/>
                <w:szCs w:val="18"/>
              </w:rPr>
              <w:t xml:space="preserve"> to support our strategy and in turn</w:t>
            </w:r>
            <w:r w:rsidRPr="005400FA">
              <w:rPr>
                <w:rFonts w:ascii="Arial" w:hAnsi="Arial" w:cs="Arial"/>
                <w:sz w:val="18"/>
                <w:szCs w:val="18"/>
              </w:rPr>
              <w:t xml:space="preserve"> our </w:t>
            </w:r>
            <w:r>
              <w:rPr>
                <w:rFonts w:ascii="Arial" w:hAnsi="Arial" w:cs="Arial"/>
                <w:sz w:val="18"/>
                <w:szCs w:val="18"/>
              </w:rPr>
              <w:t>V</w:t>
            </w:r>
            <w:r w:rsidRPr="005400FA">
              <w:rPr>
                <w:rFonts w:ascii="Arial" w:hAnsi="Arial" w:cs="Arial"/>
                <w:sz w:val="18"/>
                <w:szCs w:val="18"/>
              </w:rPr>
              <w:t xml:space="preserve">ision. An important part of this will be realising the benefits from our investment in new SAP software solutions - improved ranging, stockholding, </w:t>
            </w:r>
            <w:r w:rsidRPr="005400FA">
              <w:rPr>
                <w:rFonts w:ascii="Arial" w:hAnsi="Arial" w:cs="Arial"/>
                <w:sz w:val="18"/>
                <w:szCs w:val="18"/>
              </w:rPr>
              <w:lastRenderedPageBreak/>
              <w:t xml:space="preserve">demand forecasting and availability in our Co-op stores – by </w:t>
            </w:r>
            <w:r>
              <w:rPr>
                <w:rFonts w:ascii="Arial" w:hAnsi="Arial" w:cs="Arial"/>
                <w:sz w:val="18"/>
                <w:szCs w:val="18"/>
              </w:rPr>
              <w:t xml:space="preserve">further </w:t>
            </w:r>
            <w:r w:rsidRPr="005400FA">
              <w:rPr>
                <w:rFonts w:ascii="Arial" w:hAnsi="Arial" w:cs="Arial"/>
                <w:sz w:val="18"/>
                <w:szCs w:val="18"/>
              </w:rPr>
              <w:t>embedding into our Food business</w:t>
            </w:r>
            <w:r w:rsidRPr="00BB2EA8">
              <w:rPr>
                <w:rFonts w:ascii="Arial" w:hAnsi="Arial" w:cs="Arial"/>
                <w:sz w:val="18"/>
                <w:szCs w:val="18"/>
              </w:rPr>
              <w:t xml:space="preserve"> operation</w:t>
            </w:r>
            <w:r w:rsidRPr="005400FA">
              <w:rPr>
                <w:rFonts w:ascii="Arial" w:hAnsi="Arial" w:cs="Arial"/>
                <w:sz w:val="18"/>
                <w:szCs w:val="18"/>
              </w:rPr>
              <w:t>s</w:t>
            </w:r>
          </w:p>
        </w:tc>
      </w:tr>
      <w:tr w:rsidR="00514B73" w:rsidRPr="005400FA" w14:paraId="7EF2FEE8" w14:textId="77777777" w:rsidTr="00D23F97">
        <w:trPr>
          <w:trHeight w:val="481"/>
        </w:trPr>
        <w:tc>
          <w:tcPr>
            <w:tcW w:w="3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6CA9AA" w14:textId="77777777" w:rsidR="00514B73" w:rsidRPr="005400FA" w:rsidRDefault="00514B73" w:rsidP="00D23F97">
            <w:pPr>
              <w:spacing w:before="60" w:after="60"/>
              <w:rPr>
                <w:rFonts w:ascii="Arial" w:hAnsi="Arial" w:cs="Arial"/>
                <w:b/>
                <w:sz w:val="18"/>
                <w:szCs w:val="18"/>
              </w:rPr>
            </w:pPr>
            <w:r w:rsidRPr="005400FA">
              <w:rPr>
                <w:rFonts w:ascii="Arial" w:hAnsi="Arial" w:cs="Arial"/>
                <w:b/>
                <w:sz w:val="18"/>
                <w:szCs w:val="18"/>
              </w:rPr>
              <w:lastRenderedPageBreak/>
              <w:t xml:space="preserve">Competitiveness and </w:t>
            </w:r>
            <w:r>
              <w:rPr>
                <w:rFonts w:ascii="Arial" w:hAnsi="Arial" w:cs="Arial"/>
                <w:b/>
                <w:sz w:val="18"/>
                <w:szCs w:val="18"/>
              </w:rPr>
              <w:t>E</w:t>
            </w:r>
            <w:r w:rsidRPr="005400FA">
              <w:rPr>
                <w:rFonts w:ascii="Arial" w:hAnsi="Arial" w:cs="Arial"/>
                <w:b/>
                <w:sz w:val="18"/>
                <w:szCs w:val="18"/>
              </w:rPr>
              <w:t xml:space="preserve">xternal </w:t>
            </w:r>
            <w:r>
              <w:rPr>
                <w:rFonts w:ascii="Arial" w:hAnsi="Arial" w:cs="Arial"/>
                <w:b/>
                <w:sz w:val="18"/>
                <w:szCs w:val="18"/>
              </w:rPr>
              <w:t>E</w:t>
            </w:r>
            <w:r w:rsidRPr="005400FA">
              <w:rPr>
                <w:rFonts w:ascii="Arial" w:hAnsi="Arial" w:cs="Arial"/>
                <w:b/>
                <w:sz w:val="18"/>
                <w:szCs w:val="18"/>
              </w:rPr>
              <w:t xml:space="preserve">nvironment </w:t>
            </w:r>
          </w:p>
          <w:p w14:paraId="56B59874" w14:textId="77777777" w:rsidR="00514B73" w:rsidRPr="00BB2EA8" w:rsidRDefault="00514B73" w:rsidP="00D23F97">
            <w:pPr>
              <w:spacing w:before="60" w:after="60"/>
              <w:rPr>
                <w:rFonts w:ascii="Arial" w:hAnsi="Arial" w:cs="Arial"/>
                <w:b/>
                <w:i/>
                <w:sz w:val="18"/>
                <w:szCs w:val="18"/>
              </w:rPr>
            </w:pPr>
            <w:r w:rsidRPr="005400FA">
              <w:rPr>
                <w:rFonts w:ascii="Arial" w:hAnsi="Arial" w:cs="Arial"/>
                <w:i/>
                <w:sz w:val="18"/>
                <w:szCs w:val="18"/>
              </w:rPr>
              <w:t>The competitive and economic landscape in which we operate means that we need to monitor our growth targets, market share and competitor behaviour to remain viable and innovative.</w:t>
            </w:r>
          </w:p>
        </w:tc>
        <w:tc>
          <w:tcPr>
            <w:tcW w:w="5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66EBD" w14:textId="77777777" w:rsidR="00514B73" w:rsidRPr="003D5119" w:rsidRDefault="00514B73" w:rsidP="00514B73">
            <w:pPr>
              <w:pStyle w:val="ListParagraph"/>
              <w:numPr>
                <w:ilvl w:val="0"/>
                <w:numId w:val="23"/>
              </w:numPr>
              <w:spacing w:before="60" w:after="60" w:line="240" w:lineRule="auto"/>
              <w:rPr>
                <w:color w:val="0D0D0D" w:themeColor="text1" w:themeTint="F2"/>
              </w:rPr>
            </w:pPr>
            <w:r w:rsidRPr="00B03992">
              <w:rPr>
                <w:rFonts w:ascii="Arial" w:hAnsi="Arial" w:cs="Arial"/>
                <w:sz w:val="18"/>
                <w:szCs w:val="18"/>
              </w:rPr>
              <w:t>Economic conditions continue to severely impact real income for UK households, as well as significantly increas</w:t>
            </w:r>
            <w:r>
              <w:rPr>
                <w:rFonts w:ascii="Arial" w:hAnsi="Arial" w:cs="Arial"/>
                <w:sz w:val="18"/>
                <w:szCs w:val="18"/>
              </w:rPr>
              <w:t>e</w:t>
            </w:r>
            <w:r w:rsidRPr="00B03992">
              <w:rPr>
                <w:rFonts w:ascii="Arial" w:hAnsi="Arial" w:cs="Arial"/>
                <w:sz w:val="18"/>
                <w:szCs w:val="18"/>
              </w:rPr>
              <w:t xml:space="preserve"> our costs. Across all businesses, we continue to focus on delivering compelling propositions in response to evolving customer needs and market trends. They have distinct plans to maintain growth and continue to respond to </w:t>
            </w:r>
            <w:r>
              <w:rPr>
                <w:rFonts w:ascii="Arial" w:hAnsi="Arial" w:cs="Arial"/>
                <w:sz w:val="18"/>
                <w:szCs w:val="18"/>
              </w:rPr>
              <w:t xml:space="preserve">the </w:t>
            </w:r>
            <w:r w:rsidRPr="00B03992">
              <w:rPr>
                <w:rFonts w:ascii="Arial" w:hAnsi="Arial" w:cs="Arial"/>
                <w:sz w:val="18"/>
                <w:szCs w:val="18"/>
              </w:rPr>
              <w:t>market conditions they operate in. We’re also undertaking a full review of our strategy in Food given this context and the necessity of economic sustainability in a fierce market. Alongside this, we continue to optimise our cost base and invest in our most essential transformation activity</w:t>
            </w:r>
          </w:p>
        </w:tc>
      </w:tr>
      <w:tr w:rsidR="00514B73" w:rsidRPr="005400FA" w14:paraId="498BC6D1" w14:textId="77777777" w:rsidTr="00D23F97">
        <w:trPr>
          <w:trHeight w:val="818"/>
        </w:trPr>
        <w:tc>
          <w:tcPr>
            <w:tcW w:w="3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29F79A" w14:textId="77777777" w:rsidR="00514B73" w:rsidRPr="005400FA" w:rsidRDefault="00514B73" w:rsidP="00D23F97">
            <w:pPr>
              <w:tabs>
                <w:tab w:val="center" w:pos="2271"/>
                <w:tab w:val="right" w:pos="4543"/>
              </w:tabs>
              <w:spacing w:before="60" w:after="60"/>
              <w:rPr>
                <w:rFonts w:ascii="Arial" w:hAnsi="Arial" w:cs="Arial"/>
                <w:b/>
                <w:sz w:val="18"/>
                <w:szCs w:val="18"/>
              </w:rPr>
            </w:pPr>
            <w:r w:rsidRPr="005400FA">
              <w:rPr>
                <w:rFonts w:ascii="Arial" w:hAnsi="Arial" w:cs="Arial"/>
                <w:b/>
                <w:sz w:val="18"/>
                <w:szCs w:val="18"/>
              </w:rPr>
              <w:t xml:space="preserve">Technology </w:t>
            </w:r>
            <w:r>
              <w:rPr>
                <w:rFonts w:ascii="Arial" w:hAnsi="Arial" w:cs="Arial"/>
                <w:b/>
                <w:sz w:val="18"/>
                <w:szCs w:val="18"/>
              </w:rPr>
              <w:t>and</w:t>
            </w:r>
            <w:r w:rsidRPr="005400FA">
              <w:rPr>
                <w:rFonts w:ascii="Arial" w:hAnsi="Arial" w:cs="Arial"/>
                <w:b/>
                <w:sz w:val="18"/>
                <w:szCs w:val="18"/>
              </w:rPr>
              <w:t xml:space="preserve"> </w:t>
            </w:r>
            <w:r>
              <w:rPr>
                <w:rFonts w:ascii="Arial" w:hAnsi="Arial" w:cs="Arial"/>
                <w:b/>
                <w:sz w:val="18"/>
                <w:szCs w:val="18"/>
              </w:rPr>
              <w:t>C</w:t>
            </w:r>
            <w:r w:rsidRPr="005400FA">
              <w:rPr>
                <w:rFonts w:ascii="Arial" w:hAnsi="Arial" w:cs="Arial"/>
                <w:b/>
                <w:sz w:val="18"/>
                <w:szCs w:val="18"/>
              </w:rPr>
              <w:t xml:space="preserve">yber </w:t>
            </w:r>
            <w:r>
              <w:rPr>
                <w:rFonts w:ascii="Arial" w:hAnsi="Arial" w:cs="Arial"/>
                <w:b/>
                <w:sz w:val="18"/>
                <w:szCs w:val="18"/>
              </w:rPr>
              <w:t>T</w:t>
            </w:r>
            <w:r w:rsidRPr="005400FA">
              <w:rPr>
                <w:rFonts w:ascii="Arial" w:hAnsi="Arial" w:cs="Arial"/>
                <w:b/>
                <w:sz w:val="18"/>
                <w:szCs w:val="18"/>
              </w:rPr>
              <w:t>hreats</w:t>
            </w:r>
          </w:p>
          <w:p w14:paraId="240CA963" w14:textId="77777777" w:rsidR="00514B73" w:rsidRPr="00BB2EA8" w:rsidRDefault="00514B73" w:rsidP="00D23F97">
            <w:pPr>
              <w:tabs>
                <w:tab w:val="center" w:pos="2271"/>
                <w:tab w:val="right" w:pos="4543"/>
              </w:tabs>
              <w:spacing w:before="60" w:after="60"/>
              <w:rPr>
                <w:rFonts w:ascii="Arial" w:hAnsi="Arial" w:cs="Arial"/>
                <w:i/>
                <w:sz w:val="18"/>
                <w:szCs w:val="18"/>
              </w:rPr>
            </w:pPr>
            <w:r w:rsidRPr="005400FA">
              <w:rPr>
                <w:rFonts w:ascii="Arial" w:hAnsi="Arial" w:cs="Arial"/>
                <w:i/>
                <w:sz w:val="18"/>
                <w:szCs w:val="18"/>
              </w:rPr>
              <w:t xml:space="preserve">We hold data on our members, colleagues, </w:t>
            </w:r>
            <w:proofErr w:type="gramStart"/>
            <w:r w:rsidRPr="005400FA">
              <w:rPr>
                <w:rFonts w:ascii="Arial" w:hAnsi="Arial" w:cs="Arial"/>
                <w:i/>
                <w:sz w:val="18"/>
                <w:szCs w:val="18"/>
              </w:rPr>
              <w:t>customers</w:t>
            </w:r>
            <w:proofErr w:type="gramEnd"/>
            <w:r w:rsidRPr="005400FA">
              <w:rPr>
                <w:rFonts w:ascii="Arial" w:hAnsi="Arial" w:cs="Arial"/>
                <w:i/>
                <w:sz w:val="18"/>
                <w:szCs w:val="18"/>
              </w:rPr>
              <w:t xml:space="preserve"> and partners. We are reliant on technology to deliver our business operations so theft of data or a cyber</w:t>
            </w:r>
            <w:r>
              <w:rPr>
                <w:rFonts w:ascii="Arial" w:hAnsi="Arial" w:cs="Arial"/>
                <w:i/>
                <w:sz w:val="18"/>
                <w:szCs w:val="18"/>
              </w:rPr>
              <w:t>-</w:t>
            </w:r>
            <w:r w:rsidRPr="005400FA">
              <w:rPr>
                <w:rFonts w:ascii="Arial" w:hAnsi="Arial" w:cs="Arial"/>
                <w:i/>
                <w:sz w:val="18"/>
                <w:szCs w:val="18"/>
              </w:rPr>
              <w:t>attack could significantly disrupt our operations</w:t>
            </w:r>
            <w:r>
              <w:rPr>
                <w:rFonts w:ascii="Arial" w:hAnsi="Arial" w:cs="Arial"/>
                <w:i/>
                <w:sz w:val="18"/>
                <w:szCs w:val="18"/>
              </w:rPr>
              <w:t>.</w:t>
            </w:r>
          </w:p>
        </w:tc>
        <w:tc>
          <w:tcPr>
            <w:tcW w:w="5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CAF7A9" w14:textId="77777777" w:rsidR="00514B73" w:rsidRPr="003D5119" w:rsidRDefault="00514B73" w:rsidP="00514B73">
            <w:pPr>
              <w:pStyle w:val="ListParagraph"/>
              <w:numPr>
                <w:ilvl w:val="0"/>
                <w:numId w:val="22"/>
              </w:numPr>
              <w:tabs>
                <w:tab w:val="center" w:pos="2271"/>
                <w:tab w:val="right" w:pos="4543"/>
              </w:tabs>
              <w:spacing w:before="60" w:after="60" w:line="240" w:lineRule="auto"/>
              <w:rPr>
                <w:rFonts w:ascii="Arial" w:hAnsi="Arial" w:cs="Arial"/>
                <w:b/>
                <w:color w:val="0D0D0D" w:themeColor="text1" w:themeTint="F2"/>
                <w:sz w:val="18"/>
                <w:szCs w:val="18"/>
              </w:rPr>
            </w:pPr>
            <w:r w:rsidRPr="003D5119">
              <w:rPr>
                <w:rFonts w:ascii="Arial" w:hAnsi="Arial" w:cs="Arial"/>
                <w:bCs/>
                <w:color w:val="0D0D0D" w:themeColor="text1" w:themeTint="F2"/>
                <w:sz w:val="18"/>
                <w:szCs w:val="18"/>
              </w:rPr>
              <w:t>We</w:t>
            </w:r>
            <w:r w:rsidRPr="003D5119">
              <w:rPr>
                <w:rFonts w:ascii="Arial" w:hAnsi="Arial" w:cs="Arial"/>
                <w:color w:val="0D0D0D" w:themeColor="text1" w:themeTint="F2"/>
                <w:sz w:val="18"/>
                <w:szCs w:val="18"/>
              </w:rPr>
              <w:t>’</w:t>
            </w:r>
            <w:r>
              <w:rPr>
                <w:rFonts w:ascii="Arial" w:hAnsi="Arial" w:cs="Arial"/>
                <w:color w:val="0D0D0D" w:themeColor="text1" w:themeTint="F2"/>
                <w:sz w:val="18"/>
                <w:szCs w:val="18"/>
              </w:rPr>
              <w:t>ve</w:t>
            </w:r>
            <w:r w:rsidRPr="003D5119">
              <w:rPr>
                <w:rFonts w:ascii="Arial" w:hAnsi="Arial" w:cs="Arial"/>
                <w:color w:val="0D0D0D" w:themeColor="text1" w:themeTint="F2"/>
                <w:sz w:val="18"/>
                <w:szCs w:val="18"/>
              </w:rPr>
              <w:t xml:space="preserve"> see</w:t>
            </w:r>
            <w:r>
              <w:rPr>
                <w:rFonts w:ascii="Arial" w:hAnsi="Arial" w:cs="Arial"/>
                <w:color w:val="0D0D0D" w:themeColor="text1" w:themeTint="F2"/>
                <w:sz w:val="18"/>
                <w:szCs w:val="18"/>
              </w:rPr>
              <w:t>n</w:t>
            </w:r>
            <w:r w:rsidRPr="003D5119">
              <w:rPr>
                <w:rFonts w:ascii="Arial" w:hAnsi="Arial" w:cs="Arial"/>
                <w:bCs/>
                <w:color w:val="0D0D0D" w:themeColor="text1" w:themeTint="F2"/>
                <w:sz w:val="18"/>
                <w:szCs w:val="18"/>
              </w:rPr>
              <w:t xml:space="preserve"> a significant increase in successful ransomware attacks across multiple sectors</w:t>
            </w:r>
            <w:r w:rsidRPr="003D5119">
              <w:rPr>
                <w:rFonts w:ascii="Arial" w:hAnsi="Arial" w:cs="Arial"/>
                <w:color w:val="0D0D0D" w:themeColor="text1" w:themeTint="F2"/>
                <w:sz w:val="18"/>
                <w:szCs w:val="18"/>
              </w:rPr>
              <w:t xml:space="preserve"> of the economy in the </w:t>
            </w:r>
            <w:r w:rsidRPr="003D5119">
              <w:rPr>
                <w:rFonts w:ascii="Arial" w:hAnsi="Arial" w:cs="Arial"/>
                <w:bCs/>
                <w:color w:val="0D0D0D" w:themeColor="text1" w:themeTint="F2"/>
                <w:sz w:val="18"/>
                <w:szCs w:val="18"/>
              </w:rPr>
              <w:t xml:space="preserve">first half of </w:t>
            </w:r>
            <w:r w:rsidRPr="003D5119">
              <w:rPr>
                <w:rFonts w:ascii="Arial" w:hAnsi="Arial" w:cs="Arial"/>
                <w:color w:val="0D0D0D" w:themeColor="text1" w:themeTint="F2"/>
                <w:sz w:val="18"/>
                <w:szCs w:val="18"/>
              </w:rPr>
              <w:t>2022</w:t>
            </w:r>
            <w:r w:rsidRPr="003D5119">
              <w:rPr>
                <w:rFonts w:ascii="Arial" w:hAnsi="Arial" w:cs="Arial"/>
                <w:bCs/>
                <w:color w:val="0D0D0D" w:themeColor="text1" w:themeTint="F2"/>
                <w:sz w:val="18"/>
                <w:szCs w:val="18"/>
              </w:rPr>
              <w:t xml:space="preserve">. </w:t>
            </w:r>
            <w:r w:rsidRPr="003D5119">
              <w:rPr>
                <w:rFonts w:ascii="Arial" w:hAnsi="Arial" w:cs="Arial"/>
                <w:color w:val="0D0D0D" w:themeColor="text1" w:themeTint="F2"/>
                <w:sz w:val="18"/>
                <w:szCs w:val="18"/>
              </w:rPr>
              <w:t>Given the changes in the external landscape we are collaborating closely with similar organisations and f</w:t>
            </w:r>
            <w:r w:rsidRPr="003D5119">
              <w:rPr>
                <w:rFonts w:ascii="Arial" w:hAnsi="Arial" w:cs="Arial"/>
                <w:bCs/>
                <w:color w:val="0D0D0D" w:themeColor="text1" w:themeTint="F2"/>
                <w:sz w:val="18"/>
                <w:szCs w:val="18"/>
              </w:rPr>
              <w:t>ocus</w:t>
            </w:r>
            <w:r w:rsidRPr="003D5119">
              <w:rPr>
                <w:rFonts w:ascii="Arial" w:hAnsi="Arial" w:cs="Arial"/>
                <w:color w:val="0D0D0D" w:themeColor="text1" w:themeTint="F2"/>
                <w:sz w:val="18"/>
                <w:szCs w:val="18"/>
              </w:rPr>
              <w:t>ing</w:t>
            </w:r>
            <w:r w:rsidRPr="003D5119">
              <w:rPr>
                <w:rFonts w:ascii="Arial" w:hAnsi="Arial" w:cs="Arial"/>
                <w:bCs/>
                <w:color w:val="0D0D0D" w:themeColor="text1" w:themeTint="F2"/>
                <w:sz w:val="18"/>
                <w:szCs w:val="18"/>
              </w:rPr>
              <w:t xml:space="preserve"> on ransomware to </w:t>
            </w:r>
            <w:r w:rsidRPr="003D5119">
              <w:rPr>
                <w:rFonts w:ascii="Arial" w:hAnsi="Arial" w:cs="Arial"/>
                <w:color w:val="0D0D0D" w:themeColor="text1" w:themeTint="F2"/>
                <w:sz w:val="18"/>
                <w:szCs w:val="18"/>
              </w:rPr>
              <w:t xml:space="preserve">further </w:t>
            </w:r>
            <w:r w:rsidRPr="003D5119">
              <w:rPr>
                <w:rFonts w:ascii="Arial" w:hAnsi="Arial" w:cs="Arial"/>
                <w:bCs/>
                <w:color w:val="0D0D0D" w:themeColor="text1" w:themeTint="F2"/>
                <w:sz w:val="18"/>
                <w:szCs w:val="18"/>
              </w:rPr>
              <w:t xml:space="preserve">protect our environment. </w:t>
            </w:r>
            <w:r w:rsidRPr="003D5119">
              <w:rPr>
                <w:rFonts w:ascii="Arial" w:hAnsi="Arial" w:cs="Arial"/>
                <w:color w:val="0D0D0D" w:themeColor="text1" w:themeTint="F2"/>
                <w:sz w:val="18"/>
                <w:szCs w:val="18"/>
              </w:rPr>
              <w:t>We continue to adapt our cyber stance and strategy in response to the threat level</w:t>
            </w:r>
            <w:r w:rsidRPr="004B6DFF">
              <w:rPr>
                <w:rFonts w:ascii="Arial" w:hAnsi="Arial" w:cs="Arial"/>
                <w:bCs/>
                <w:color w:val="0D0D0D" w:themeColor="text1" w:themeTint="F2"/>
                <w:sz w:val="18"/>
                <w:szCs w:val="18"/>
              </w:rPr>
              <w:t xml:space="preserve"> to protect ourselves and minimise vulnerabilities</w:t>
            </w:r>
            <w:r w:rsidRPr="003D5119">
              <w:rPr>
                <w:rFonts w:ascii="Arial" w:hAnsi="Arial" w:cs="Arial"/>
                <w:b/>
                <w:color w:val="0D0D0D" w:themeColor="text1" w:themeTint="F2"/>
                <w:sz w:val="18"/>
                <w:szCs w:val="18"/>
              </w:rPr>
              <w:t xml:space="preserve"> </w:t>
            </w:r>
          </w:p>
        </w:tc>
      </w:tr>
      <w:tr w:rsidR="00514B73" w:rsidRPr="005400FA" w14:paraId="250D7448" w14:textId="77777777" w:rsidTr="00D23F97">
        <w:trPr>
          <w:trHeight w:val="746"/>
        </w:trPr>
        <w:tc>
          <w:tcPr>
            <w:tcW w:w="3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571127" w14:textId="77777777" w:rsidR="00514B73" w:rsidRPr="005400FA" w:rsidRDefault="00514B73" w:rsidP="00D23F97">
            <w:pPr>
              <w:tabs>
                <w:tab w:val="center" w:pos="2271"/>
                <w:tab w:val="right" w:pos="4543"/>
              </w:tabs>
              <w:spacing w:before="60" w:after="60"/>
              <w:rPr>
                <w:rFonts w:ascii="Arial" w:hAnsi="Arial" w:cs="Arial"/>
                <w:b/>
                <w:sz w:val="18"/>
                <w:szCs w:val="18"/>
              </w:rPr>
            </w:pPr>
            <w:r w:rsidRPr="005400FA">
              <w:rPr>
                <w:rFonts w:ascii="Arial" w:hAnsi="Arial" w:cs="Arial"/>
                <w:b/>
                <w:sz w:val="18"/>
                <w:szCs w:val="18"/>
              </w:rPr>
              <w:t>People</w:t>
            </w:r>
          </w:p>
          <w:p w14:paraId="3139B4C0" w14:textId="77777777" w:rsidR="00514B73" w:rsidRPr="00BB2EA8" w:rsidRDefault="00514B73" w:rsidP="00D23F97">
            <w:pPr>
              <w:tabs>
                <w:tab w:val="center" w:pos="2271"/>
                <w:tab w:val="right" w:pos="4543"/>
              </w:tabs>
              <w:spacing w:before="60" w:after="60"/>
              <w:rPr>
                <w:rFonts w:ascii="Arial" w:hAnsi="Arial" w:cs="Arial"/>
                <w:b/>
                <w:sz w:val="18"/>
                <w:szCs w:val="18"/>
              </w:rPr>
            </w:pPr>
            <w:r w:rsidRPr="005400FA">
              <w:rPr>
                <w:rFonts w:ascii="Arial" w:hAnsi="Arial" w:cs="Arial"/>
                <w:i/>
                <w:sz w:val="18"/>
                <w:szCs w:val="18"/>
              </w:rPr>
              <w:t>Our ability to attract and retain colleagues with relevant skills and experience while fostering a diverse and fairer workplace is important to achieving a strong, competitive Co-op. If we do not continue to recruit talent and to invest in our colleagues, then it may impact our operations and our ability to deliver on our strategic plans.</w:t>
            </w:r>
          </w:p>
        </w:tc>
        <w:tc>
          <w:tcPr>
            <w:tcW w:w="5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D7EA57" w14:textId="77777777" w:rsidR="00514B73" w:rsidRPr="005400FA" w:rsidRDefault="00514B73" w:rsidP="00514B73">
            <w:pPr>
              <w:pStyle w:val="ListParagraph"/>
              <w:numPr>
                <w:ilvl w:val="0"/>
                <w:numId w:val="22"/>
              </w:numPr>
              <w:tabs>
                <w:tab w:val="center" w:pos="2271"/>
                <w:tab w:val="right" w:pos="4543"/>
              </w:tabs>
              <w:spacing w:before="60" w:after="60" w:line="240" w:lineRule="auto"/>
              <w:rPr>
                <w:rFonts w:ascii="Arial" w:hAnsi="Arial" w:cs="Arial"/>
                <w:bCs/>
                <w:sz w:val="18"/>
                <w:szCs w:val="18"/>
              </w:rPr>
            </w:pPr>
            <w:r w:rsidRPr="005400FA">
              <w:rPr>
                <w:rFonts w:ascii="Arial" w:hAnsi="Arial" w:cs="Arial"/>
                <w:bCs/>
                <w:sz w:val="18"/>
                <w:szCs w:val="18"/>
              </w:rPr>
              <w:t xml:space="preserve">In a buoyant job market, we are seeing increased competition </w:t>
            </w:r>
            <w:r w:rsidRPr="00BB2EA8">
              <w:rPr>
                <w:rFonts w:ascii="Arial" w:hAnsi="Arial" w:cs="Arial"/>
                <w:sz w:val="18"/>
                <w:szCs w:val="18"/>
              </w:rPr>
              <w:t>among</w:t>
            </w:r>
            <w:r w:rsidRPr="005400FA">
              <w:rPr>
                <w:rFonts w:ascii="Arial" w:hAnsi="Arial" w:cs="Arial"/>
                <w:sz w:val="18"/>
                <w:szCs w:val="18"/>
              </w:rPr>
              <w:t xml:space="preserve"> employers, </w:t>
            </w:r>
            <w:r w:rsidRPr="00BB2EA8">
              <w:rPr>
                <w:rFonts w:ascii="Arial" w:hAnsi="Arial" w:cs="Arial"/>
                <w:bCs/>
                <w:sz w:val="18"/>
                <w:szCs w:val="18"/>
              </w:rPr>
              <w:t xml:space="preserve">particularly for </w:t>
            </w:r>
            <w:r w:rsidRPr="005400FA">
              <w:rPr>
                <w:rFonts w:ascii="Arial" w:hAnsi="Arial" w:cs="Arial"/>
                <w:bCs/>
                <w:sz w:val="18"/>
                <w:szCs w:val="18"/>
              </w:rPr>
              <w:t>certain classes of job</w:t>
            </w:r>
            <w:r w:rsidRPr="00BB2EA8">
              <w:rPr>
                <w:rFonts w:ascii="Arial" w:hAnsi="Arial" w:cs="Arial"/>
                <w:bCs/>
                <w:sz w:val="18"/>
                <w:szCs w:val="18"/>
              </w:rPr>
              <w:t xml:space="preserve">. </w:t>
            </w:r>
            <w:r w:rsidRPr="005400FA">
              <w:rPr>
                <w:rFonts w:ascii="Arial" w:hAnsi="Arial" w:cs="Arial"/>
                <w:bCs/>
                <w:sz w:val="18"/>
                <w:szCs w:val="18"/>
              </w:rPr>
              <w:t>This</w:t>
            </w:r>
            <w:r>
              <w:rPr>
                <w:rFonts w:ascii="Arial" w:hAnsi="Arial" w:cs="Arial"/>
                <w:bCs/>
                <w:sz w:val="18"/>
                <w:szCs w:val="18"/>
              </w:rPr>
              <w:t>,</w:t>
            </w:r>
            <w:r w:rsidRPr="005400FA">
              <w:rPr>
                <w:rFonts w:ascii="Arial" w:hAnsi="Arial" w:cs="Arial"/>
                <w:bCs/>
                <w:sz w:val="18"/>
                <w:szCs w:val="18"/>
              </w:rPr>
              <w:t xml:space="preserve"> together with a need for a more aligned approach to internal talent mobility</w:t>
            </w:r>
            <w:r>
              <w:rPr>
                <w:rFonts w:ascii="Arial" w:hAnsi="Arial" w:cs="Arial"/>
                <w:bCs/>
                <w:sz w:val="18"/>
                <w:szCs w:val="18"/>
              </w:rPr>
              <w:t>,</w:t>
            </w:r>
            <w:r w:rsidRPr="005400FA">
              <w:rPr>
                <w:rFonts w:ascii="Arial" w:hAnsi="Arial" w:cs="Arial"/>
                <w:bCs/>
                <w:sz w:val="18"/>
                <w:szCs w:val="18"/>
              </w:rPr>
              <w:t xml:space="preserve"> has made it </w:t>
            </w:r>
            <w:r w:rsidRPr="00BB2EA8">
              <w:rPr>
                <w:rFonts w:ascii="Arial" w:hAnsi="Arial" w:cs="Arial"/>
                <w:bCs/>
                <w:sz w:val="18"/>
                <w:szCs w:val="18"/>
              </w:rPr>
              <w:t>harder</w:t>
            </w:r>
            <w:r w:rsidRPr="005400FA">
              <w:rPr>
                <w:rFonts w:ascii="Arial" w:hAnsi="Arial" w:cs="Arial"/>
                <w:bCs/>
                <w:sz w:val="18"/>
                <w:szCs w:val="18"/>
              </w:rPr>
              <w:t xml:space="preserve"> to attract and retain talent </w:t>
            </w:r>
            <w:r w:rsidRPr="00BB2EA8">
              <w:rPr>
                <w:rFonts w:ascii="Arial" w:hAnsi="Arial" w:cs="Arial"/>
                <w:sz w:val="18"/>
                <w:szCs w:val="18"/>
              </w:rPr>
              <w:t xml:space="preserve">in certain </w:t>
            </w:r>
            <w:r w:rsidRPr="005400FA">
              <w:rPr>
                <w:rFonts w:ascii="Arial" w:hAnsi="Arial" w:cs="Arial"/>
                <w:sz w:val="18"/>
                <w:szCs w:val="18"/>
              </w:rPr>
              <w:t>parts of our business</w:t>
            </w:r>
            <w:r w:rsidRPr="005400FA">
              <w:rPr>
                <w:rFonts w:ascii="Arial" w:hAnsi="Arial" w:cs="Arial"/>
                <w:bCs/>
                <w:sz w:val="18"/>
                <w:szCs w:val="18"/>
              </w:rPr>
              <w:t xml:space="preserve">  </w:t>
            </w:r>
          </w:p>
          <w:p w14:paraId="2F45D51D" w14:textId="77777777" w:rsidR="00514B73" w:rsidRPr="005400FA" w:rsidRDefault="00514B73" w:rsidP="00514B73">
            <w:pPr>
              <w:pStyle w:val="ListParagraph"/>
              <w:numPr>
                <w:ilvl w:val="0"/>
                <w:numId w:val="22"/>
              </w:numPr>
              <w:tabs>
                <w:tab w:val="center" w:pos="2271"/>
                <w:tab w:val="right" w:pos="4543"/>
              </w:tabs>
              <w:spacing w:before="60" w:after="60" w:line="240" w:lineRule="auto"/>
              <w:rPr>
                <w:rFonts w:ascii="Arial" w:hAnsi="Arial" w:cs="Arial"/>
                <w:b/>
                <w:sz w:val="18"/>
                <w:szCs w:val="18"/>
              </w:rPr>
            </w:pPr>
            <w:r w:rsidRPr="005400FA">
              <w:rPr>
                <w:rFonts w:ascii="Arial" w:hAnsi="Arial" w:cs="Arial"/>
                <w:bCs/>
                <w:sz w:val="18"/>
                <w:szCs w:val="18"/>
              </w:rPr>
              <w:t>The organisational</w:t>
            </w:r>
            <w:r w:rsidRPr="00BB2EA8">
              <w:rPr>
                <w:rFonts w:ascii="Arial" w:hAnsi="Arial" w:cs="Arial"/>
                <w:sz w:val="18"/>
                <w:szCs w:val="18"/>
              </w:rPr>
              <w:t xml:space="preserve"> design</w:t>
            </w:r>
            <w:r w:rsidRPr="005400FA">
              <w:rPr>
                <w:rFonts w:ascii="Arial" w:hAnsi="Arial" w:cs="Arial"/>
                <w:sz w:val="18"/>
                <w:szCs w:val="18"/>
              </w:rPr>
              <w:t xml:space="preserve"> </w:t>
            </w:r>
            <w:r w:rsidRPr="005400FA">
              <w:rPr>
                <w:rFonts w:ascii="Arial" w:hAnsi="Arial" w:cs="Arial"/>
                <w:bCs/>
                <w:sz w:val="18"/>
                <w:szCs w:val="18"/>
              </w:rPr>
              <w:t xml:space="preserve">changes </w:t>
            </w:r>
            <w:r w:rsidRPr="005400FA">
              <w:rPr>
                <w:rFonts w:ascii="Arial" w:hAnsi="Arial" w:cs="Arial"/>
                <w:sz w:val="18"/>
                <w:szCs w:val="18"/>
              </w:rPr>
              <w:t>we</w:t>
            </w:r>
            <w:r w:rsidRPr="00BB2EA8">
              <w:rPr>
                <w:rFonts w:ascii="Arial" w:hAnsi="Arial" w:cs="Arial"/>
                <w:sz w:val="18"/>
                <w:szCs w:val="18"/>
              </w:rPr>
              <w:t xml:space="preserve"> </w:t>
            </w:r>
            <w:r>
              <w:rPr>
                <w:rFonts w:ascii="Arial" w:hAnsi="Arial" w:cs="Arial"/>
                <w:bCs/>
                <w:sz w:val="18"/>
                <w:szCs w:val="18"/>
              </w:rPr>
              <w:t xml:space="preserve">are making </w:t>
            </w:r>
            <w:r w:rsidRPr="005400FA">
              <w:rPr>
                <w:rFonts w:ascii="Arial" w:hAnsi="Arial" w:cs="Arial"/>
                <w:bCs/>
                <w:sz w:val="18"/>
                <w:szCs w:val="18"/>
              </w:rPr>
              <w:t xml:space="preserve">in 2022 </w:t>
            </w:r>
            <w:r>
              <w:rPr>
                <w:rFonts w:ascii="Arial" w:hAnsi="Arial" w:cs="Arial"/>
                <w:bCs/>
                <w:sz w:val="18"/>
                <w:szCs w:val="18"/>
              </w:rPr>
              <w:t xml:space="preserve">will help establish the best </w:t>
            </w:r>
            <w:r w:rsidRPr="005400FA">
              <w:rPr>
                <w:rFonts w:ascii="Arial" w:hAnsi="Arial" w:cs="Arial"/>
                <w:bCs/>
                <w:sz w:val="18"/>
                <w:szCs w:val="18"/>
              </w:rPr>
              <w:t xml:space="preserve">structure </w:t>
            </w:r>
            <w:r>
              <w:rPr>
                <w:rFonts w:ascii="Arial" w:hAnsi="Arial" w:cs="Arial"/>
                <w:bCs/>
                <w:sz w:val="18"/>
                <w:szCs w:val="18"/>
              </w:rPr>
              <w:t>to</w:t>
            </w:r>
            <w:r w:rsidRPr="005400FA">
              <w:rPr>
                <w:rFonts w:ascii="Arial" w:hAnsi="Arial" w:cs="Arial"/>
                <w:bCs/>
                <w:sz w:val="18"/>
                <w:szCs w:val="18"/>
              </w:rPr>
              <w:t xml:space="preserve"> </w:t>
            </w:r>
            <w:r w:rsidRPr="00BB2EA8">
              <w:rPr>
                <w:rFonts w:ascii="Arial" w:hAnsi="Arial" w:cs="Arial"/>
                <w:bCs/>
                <w:sz w:val="18"/>
                <w:szCs w:val="18"/>
              </w:rPr>
              <w:t>posit</w:t>
            </w:r>
            <w:r w:rsidRPr="005400FA">
              <w:rPr>
                <w:rFonts w:ascii="Arial" w:hAnsi="Arial" w:cs="Arial"/>
                <w:bCs/>
                <w:sz w:val="18"/>
                <w:szCs w:val="18"/>
              </w:rPr>
              <w:t xml:space="preserve">ion Co-op to </w:t>
            </w:r>
            <w:r w:rsidRPr="00BB2EA8">
              <w:rPr>
                <w:rFonts w:ascii="Arial" w:hAnsi="Arial" w:cs="Arial"/>
                <w:bCs/>
                <w:sz w:val="18"/>
                <w:szCs w:val="18"/>
              </w:rPr>
              <w:t xml:space="preserve">deliver </w:t>
            </w:r>
            <w:r w:rsidRPr="005400FA">
              <w:rPr>
                <w:rFonts w:ascii="Arial" w:hAnsi="Arial" w:cs="Arial"/>
                <w:bCs/>
                <w:sz w:val="18"/>
                <w:szCs w:val="18"/>
              </w:rPr>
              <w:t xml:space="preserve">against our strategic priorities and ease the challenges we have seen in the first half of 2022. </w:t>
            </w:r>
            <w:r>
              <w:rPr>
                <w:rFonts w:ascii="Arial" w:hAnsi="Arial" w:cs="Arial"/>
                <w:bCs/>
                <w:sz w:val="18"/>
                <w:szCs w:val="18"/>
              </w:rPr>
              <w:t>R</w:t>
            </w:r>
            <w:r w:rsidRPr="005400FA">
              <w:rPr>
                <w:rFonts w:ascii="Arial" w:hAnsi="Arial" w:cs="Arial"/>
                <w:bCs/>
                <w:sz w:val="18"/>
                <w:szCs w:val="18"/>
              </w:rPr>
              <w:t xml:space="preserve">esources </w:t>
            </w:r>
            <w:r>
              <w:rPr>
                <w:rFonts w:ascii="Arial" w:hAnsi="Arial" w:cs="Arial"/>
                <w:bCs/>
                <w:sz w:val="18"/>
                <w:szCs w:val="18"/>
              </w:rPr>
              <w:t xml:space="preserve">are in place </w:t>
            </w:r>
            <w:r w:rsidRPr="005400FA">
              <w:rPr>
                <w:rFonts w:ascii="Arial" w:hAnsi="Arial" w:cs="Arial"/>
                <w:bCs/>
                <w:sz w:val="18"/>
                <w:szCs w:val="18"/>
              </w:rPr>
              <w:t>to support our colleagues’ wellbeing through these changes</w:t>
            </w:r>
          </w:p>
        </w:tc>
      </w:tr>
      <w:tr w:rsidR="00514B73" w:rsidRPr="005400FA" w14:paraId="50A16EB5" w14:textId="77777777" w:rsidTr="00D23F97">
        <w:trPr>
          <w:trHeight w:val="746"/>
        </w:trPr>
        <w:tc>
          <w:tcPr>
            <w:tcW w:w="3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2B138" w14:textId="77777777" w:rsidR="00514B73" w:rsidRPr="005400FA" w:rsidRDefault="00514B73" w:rsidP="00D23F97">
            <w:pPr>
              <w:tabs>
                <w:tab w:val="center" w:pos="2271"/>
                <w:tab w:val="right" w:pos="4543"/>
              </w:tabs>
              <w:spacing w:before="60" w:after="60"/>
              <w:rPr>
                <w:rFonts w:ascii="Arial" w:hAnsi="Arial" w:cs="Arial"/>
                <w:b/>
                <w:sz w:val="18"/>
                <w:szCs w:val="18"/>
              </w:rPr>
            </w:pPr>
            <w:r w:rsidRPr="005400FA">
              <w:rPr>
                <w:rFonts w:ascii="Arial" w:hAnsi="Arial" w:cs="Arial"/>
                <w:b/>
                <w:sz w:val="18"/>
                <w:szCs w:val="18"/>
              </w:rPr>
              <w:t xml:space="preserve">Supply Chain </w:t>
            </w:r>
            <w:r>
              <w:rPr>
                <w:rFonts w:ascii="Arial" w:hAnsi="Arial" w:cs="Arial"/>
                <w:b/>
                <w:sz w:val="18"/>
                <w:szCs w:val="18"/>
              </w:rPr>
              <w:t>and</w:t>
            </w:r>
            <w:r w:rsidRPr="005400FA">
              <w:rPr>
                <w:rFonts w:ascii="Arial" w:hAnsi="Arial" w:cs="Arial"/>
                <w:b/>
                <w:sz w:val="18"/>
                <w:szCs w:val="18"/>
              </w:rPr>
              <w:t xml:space="preserve"> Operational </w:t>
            </w:r>
            <w:r>
              <w:rPr>
                <w:rFonts w:ascii="Arial" w:hAnsi="Arial" w:cs="Arial"/>
                <w:b/>
                <w:sz w:val="18"/>
                <w:szCs w:val="18"/>
              </w:rPr>
              <w:t>R</w:t>
            </w:r>
            <w:r w:rsidRPr="005400FA">
              <w:rPr>
                <w:rFonts w:ascii="Arial" w:hAnsi="Arial" w:cs="Arial"/>
                <w:b/>
                <w:sz w:val="18"/>
                <w:szCs w:val="18"/>
              </w:rPr>
              <w:t>esilience</w:t>
            </w:r>
          </w:p>
          <w:p w14:paraId="03C57AA1" w14:textId="77777777" w:rsidR="00514B73" w:rsidRPr="005400FA" w:rsidRDefault="00514B73" w:rsidP="00D23F97">
            <w:pPr>
              <w:tabs>
                <w:tab w:val="center" w:pos="2271"/>
                <w:tab w:val="right" w:pos="4543"/>
              </w:tabs>
              <w:spacing w:before="60" w:after="60"/>
              <w:rPr>
                <w:rFonts w:ascii="Arial" w:hAnsi="Arial" w:cs="Arial"/>
                <w:b/>
                <w:sz w:val="18"/>
                <w:szCs w:val="18"/>
              </w:rPr>
            </w:pPr>
            <w:r w:rsidRPr="005400FA">
              <w:rPr>
                <w:rFonts w:ascii="Arial" w:hAnsi="Arial" w:cs="Arial"/>
                <w:i/>
                <w:sz w:val="18"/>
                <w:szCs w:val="18"/>
              </w:rPr>
              <w:t xml:space="preserve">If we are unable to prevent, adapt or respond to a major failure or external event </w:t>
            </w:r>
            <w:r>
              <w:rPr>
                <w:rFonts w:ascii="Arial" w:hAnsi="Arial" w:cs="Arial"/>
                <w:i/>
                <w:sz w:val="18"/>
                <w:szCs w:val="18"/>
              </w:rPr>
              <w:t>impacting</w:t>
            </w:r>
            <w:r w:rsidRPr="005400FA">
              <w:rPr>
                <w:rFonts w:ascii="Arial" w:hAnsi="Arial" w:cs="Arial"/>
                <w:i/>
                <w:sz w:val="18"/>
                <w:szCs w:val="18"/>
              </w:rPr>
              <w:t xml:space="preserve"> a key part of our business or supply chain, it could significantly affect the availability and quality of products and services delivered to our members, colleagues, </w:t>
            </w:r>
            <w:proofErr w:type="gramStart"/>
            <w:r w:rsidRPr="005400FA">
              <w:rPr>
                <w:rFonts w:ascii="Arial" w:hAnsi="Arial" w:cs="Arial"/>
                <w:i/>
                <w:sz w:val="18"/>
                <w:szCs w:val="18"/>
              </w:rPr>
              <w:t>customers</w:t>
            </w:r>
            <w:proofErr w:type="gramEnd"/>
            <w:r w:rsidRPr="005400FA">
              <w:rPr>
                <w:rFonts w:ascii="Arial" w:hAnsi="Arial" w:cs="Arial"/>
                <w:i/>
                <w:sz w:val="18"/>
                <w:szCs w:val="18"/>
              </w:rPr>
              <w:t xml:space="preserve"> and partners.</w:t>
            </w:r>
          </w:p>
        </w:tc>
        <w:tc>
          <w:tcPr>
            <w:tcW w:w="5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FE1854" w14:textId="55D35550" w:rsidR="00514B73" w:rsidRPr="00D8292F" w:rsidRDefault="00514B73" w:rsidP="00D8292F">
            <w:pPr>
              <w:pStyle w:val="ListParagraph"/>
              <w:numPr>
                <w:ilvl w:val="0"/>
                <w:numId w:val="22"/>
              </w:numPr>
              <w:tabs>
                <w:tab w:val="center" w:pos="2271"/>
                <w:tab w:val="right" w:pos="4543"/>
              </w:tabs>
              <w:spacing w:before="60" w:after="60" w:line="240" w:lineRule="auto"/>
              <w:rPr>
                <w:rFonts w:ascii="Arial" w:hAnsi="Arial" w:cs="Arial"/>
                <w:bCs/>
                <w:sz w:val="18"/>
                <w:szCs w:val="18"/>
              </w:rPr>
            </w:pPr>
            <w:r w:rsidRPr="00D8292F">
              <w:rPr>
                <w:rFonts w:ascii="Arial" w:hAnsi="Arial" w:cs="Arial"/>
                <w:sz w:val="18"/>
                <w:szCs w:val="18"/>
              </w:rPr>
              <w:t xml:space="preserve">The war in Ukraine has created shortages of raw materials and disrupted energy supplies, which will likely continue into 2023. We are working closely with our suppliers to manage potential impacts. In the Food supply chain, challenges remain in the labour market for both agriculture and food manufacturing following our exit from the European single market and the economic impact of the pandemic </w:t>
            </w:r>
          </w:p>
          <w:p w14:paraId="33F81DF1" w14:textId="77777777" w:rsidR="00514B73" w:rsidRPr="005400FA" w:rsidRDefault="00514B73" w:rsidP="00D23F97">
            <w:pPr>
              <w:rPr>
                <w:strike/>
              </w:rPr>
            </w:pPr>
          </w:p>
        </w:tc>
      </w:tr>
      <w:tr w:rsidR="00514B73" w:rsidRPr="005400FA" w14:paraId="710FD141" w14:textId="77777777" w:rsidTr="00D23F97">
        <w:trPr>
          <w:trHeight w:val="698"/>
        </w:trPr>
        <w:tc>
          <w:tcPr>
            <w:tcW w:w="3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0EC85" w14:textId="77777777" w:rsidR="00514B73" w:rsidRPr="005400FA" w:rsidRDefault="00514B73" w:rsidP="00D23F97">
            <w:pPr>
              <w:tabs>
                <w:tab w:val="center" w:pos="2271"/>
                <w:tab w:val="right" w:pos="4543"/>
              </w:tabs>
              <w:spacing w:before="60" w:after="60"/>
              <w:rPr>
                <w:rFonts w:ascii="Arial" w:hAnsi="Arial" w:cs="Arial"/>
                <w:b/>
                <w:sz w:val="18"/>
                <w:szCs w:val="18"/>
              </w:rPr>
            </w:pPr>
            <w:r w:rsidRPr="005400FA">
              <w:rPr>
                <w:rFonts w:ascii="Arial" w:hAnsi="Arial" w:cs="Arial"/>
                <w:b/>
                <w:sz w:val="18"/>
                <w:szCs w:val="18"/>
              </w:rPr>
              <w:t xml:space="preserve">Pre-Paid Funeral Plan </w:t>
            </w:r>
            <w:r>
              <w:rPr>
                <w:rFonts w:ascii="Arial" w:hAnsi="Arial" w:cs="Arial"/>
                <w:b/>
                <w:sz w:val="18"/>
                <w:szCs w:val="18"/>
              </w:rPr>
              <w:t>O</w:t>
            </w:r>
            <w:r w:rsidRPr="005400FA">
              <w:rPr>
                <w:rFonts w:ascii="Arial" w:hAnsi="Arial" w:cs="Arial"/>
                <w:b/>
                <w:sz w:val="18"/>
                <w:szCs w:val="18"/>
              </w:rPr>
              <w:t xml:space="preserve">bligations </w:t>
            </w:r>
          </w:p>
          <w:p w14:paraId="761E9131" w14:textId="77777777" w:rsidR="00514B73" w:rsidRPr="005400FA" w:rsidDel="00213891" w:rsidRDefault="00514B73" w:rsidP="00D23F97">
            <w:pPr>
              <w:autoSpaceDE w:val="0"/>
              <w:autoSpaceDN w:val="0"/>
              <w:adjustRightInd w:val="0"/>
              <w:rPr>
                <w:rFonts w:ascii="Arial" w:hAnsi="Arial" w:cs="Arial"/>
                <w:sz w:val="18"/>
                <w:szCs w:val="18"/>
              </w:rPr>
            </w:pPr>
            <w:r w:rsidRPr="005400FA">
              <w:rPr>
                <w:rFonts w:ascii="Arial" w:hAnsi="Arial" w:cs="Arial"/>
                <w:i/>
                <w:sz w:val="18"/>
                <w:szCs w:val="18"/>
              </w:rPr>
              <w:t xml:space="preserve">The measurement of our pre-paid funeral plan obligations is sensitive to changes in several factors. Adverse movements could result in </w:t>
            </w:r>
            <w:r w:rsidRPr="00BB2EA8">
              <w:rPr>
                <w:rFonts w:ascii="Arial" w:hAnsi="Arial" w:cs="Arial"/>
                <w:i/>
                <w:sz w:val="18"/>
                <w:szCs w:val="18"/>
              </w:rPr>
              <w:t>lower-than-expected</w:t>
            </w:r>
            <w:r w:rsidRPr="005400FA">
              <w:rPr>
                <w:rFonts w:ascii="Arial" w:hAnsi="Arial" w:cs="Arial"/>
                <w:i/>
                <w:sz w:val="18"/>
                <w:szCs w:val="18"/>
              </w:rPr>
              <w:t xml:space="preserve"> funds being available and the business receiving a lower amount per </w:t>
            </w:r>
            <w:proofErr w:type="gramStart"/>
            <w:r w:rsidRPr="005400FA">
              <w:rPr>
                <w:rFonts w:ascii="Arial" w:hAnsi="Arial" w:cs="Arial"/>
                <w:i/>
                <w:sz w:val="18"/>
                <w:szCs w:val="18"/>
              </w:rPr>
              <w:t>funeral, or</w:t>
            </w:r>
            <w:proofErr w:type="gramEnd"/>
            <w:r w:rsidRPr="005400FA">
              <w:rPr>
                <w:rFonts w:ascii="Arial" w:hAnsi="Arial" w:cs="Arial"/>
                <w:i/>
                <w:sz w:val="18"/>
                <w:szCs w:val="18"/>
              </w:rPr>
              <w:t xml:space="preserve"> may result in individual contracts becoming onerous.</w:t>
            </w:r>
          </w:p>
        </w:tc>
        <w:tc>
          <w:tcPr>
            <w:tcW w:w="5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B4EDB4" w14:textId="77777777" w:rsidR="00514B73" w:rsidRPr="000D3ADE" w:rsidRDefault="00514B73" w:rsidP="00514B73">
            <w:pPr>
              <w:pStyle w:val="ListParagraph"/>
              <w:numPr>
                <w:ilvl w:val="0"/>
                <w:numId w:val="21"/>
              </w:numPr>
              <w:spacing w:after="0" w:line="240" w:lineRule="auto"/>
              <w:rPr>
                <w:sz w:val="18"/>
                <w:szCs w:val="18"/>
              </w:rPr>
            </w:pPr>
            <w:r w:rsidRPr="000D3ADE">
              <w:rPr>
                <w:rFonts w:ascii="Arial" w:hAnsi="Arial" w:cs="Arial"/>
                <w:sz w:val="18"/>
                <w:szCs w:val="18"/>
              </w:rPr>
              <w:t>Over the short term, inflationary pressures may cause the future cost of fulfilling a funeral to grow at a rate that is higher than the assets we hold</w:t>
            </w:r>
            <w:r>
              <w:rPr>
                <w:rFonts w:ascii="Arial" w:hAnsi="Arial" w:cs="Arial"/>
                <w:sz w:val="18"/>
                <w:szCs w:val="18"/>
              </w:rPr>
              <w:t>.</w:t>
            </w:r>
            <w:r w:rsidRPr="000D3ADE">
              <w:rPr>
                <w:rFonts w:ascii="Arial" w:hAnsi="Arial" w:cs="Arial"/>
                <w:sz w:val="18"/>
                <w:szCs w:val="18"/>
              </w:rPr>
              <w:t xml:space="preserve"> </w:t>
            </w:r>
            <w:r>
              <w:rPr>
                <w:rFonts w:ascii="Arial" w:hAnsi="Arial" w:cs="Arial"/>
                <w:sz w:val="18"/>
                <w:szCs w:val="18"/>
              </w:rPr>
              <w:t>C</w:t>
            </w:r>
            <w:r w:rsidRPr="000D3ADE">
              <w:rPr>
                <w:rFonts w:ascii="Arial" w:hAnsi="Arial" w:cs="Arial"/>
                <w:sz w:val="18"/>
                <w:szCs w:val="18"/>
              </w:rPr>
              <w:t>over</w:t>
            </w:r>
            <w:r>
              <w:rPr>
                <w:rFonts w:ascii="Arial" w:hAnsi="Arial" w:cs="Arial"/>
                <w:sz w:val="18"/>
                <w:szCs w:val="18"/>
              </w:rPr>
              <w:t>ing</w:t>
            </w:r>
            <w:r w:rsidRPr="000D3ADE">
              <w:rPr>
                <w:rFonts w:ascii="Arial" w:hAnsi="Arial" w:cs="Arial"/>
                <w:sz w:val="18"/>
                <w:szCs w:val="18"/>
              </w:rPr>
              <w:t xml:space="preserve"> this cost</w:t>
            </w:r>
            <w:r>
              <w:rPr>
                <w:rFonts w:ascii="Arial" w:hAnsi="Arial" w:cs="Arial"/>
                <w:sz w:val="18"/>
                <w:szCs w:val="18"/>
              </w:rPr>
              <w:t xml:space="preserve"> will</w:t>
            </w:r>
            <w:r w:rsidRPr="000D3ADE">
              <w:rPr>
                <w:rFonts w:ascii="Arial" w:hAnsi="Arial" w:cs="Arial"/>
                <w:sz w:val="18"/>
                <w:szCs w:val="18"/>
              </w:rPr>
              <w:t xml:space="preserve"> </w:t>
            </w:r>
            <w:r>
              <w:rPr>
                <w:rFonts w:ascii="Arial" w:hAnsi="Arial" w:cs="Arial"/>
                <w:sz w:val="18"/>
                <w:szCs w:val="18"/>
              </w:rPr>
              <w:t xml:space="preserve">weaken </w:t>
            </w:r>
            <w:r w:rsidRPr="000D3ADE">
              <w:rPr>
                <w:rFonts w:ascii="Arial" w:hAnsi="Arial" w:cs="Arial"/>
                <w:sz w:val="18"/>
                <w:szCs w:val="18"/>
              </w:rPr>
              <w:t>our actuarial funding position. We do not expect high levels of inflation to last beyond the short term and we anticipate the funding position to improve thereafter</w:t>
            </w:r>
          </w:p>
        </w:tc>
      </w:tr>
      <w:tr w:rsidR="00514B73" w:rsidRPr="005400FA" w14:paraId="5D0B8124" w14:textId="77777777" w:rsidTr="00D23F97">
        <w:trPr>
          <w:trHeight w:val="698"/>
        </w:trPr>
        <w:tc>
          <w:tcPr>
            <w:tcW w:w="3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DB93AB" w14:textId="77777777" w:rsidR="00514B73" w:rsidRPr="005400FA" w:rsidRDefault="00514B73" w:rsidP="00D23F97">
            <w:pPr>
              <w:tabs>
                <w:tab w:val="center" w:pos="2271"/>
                <w:tab w:val="right" w:pos="4543"/>
              </w:tabs>
              <w:spacing w:before="60" w:after="60"/>
              <w:rPr>
                <w:rFonts w:ascii="Arial" w:hAnsi="Arial" w:cs="Arial"/>
                <w:b/>
                <w:sz w:val="18"/>
                <w:szCs w:val="18"/>
              </w:rPr>
            </w:pPr>
            <w:r w:rsidRPr="005400FA">
              <w:rPr>
                <w:rFonts w:ascii="Arial" w:hAnsi="Arial" w:cs="Arial"/>
                <w:b/>
                <w:sz w:val="18"/>
                <w:szCs w:val="18"/>
              </w:rPr>
              <w:t xml:space="preserve">Environment and </w:t>
            </w:r>
            <w:r>
              <w:rPr>
                <w:rFonts w:ascii="Arial" w:hAnsi="Arial" w:cs="Arial"/>
                <w:b/>
                <w:sz w:val="18"/>
                <w:szCs w:val="18"/>
              </w:rPr>
              <w:t>S</w:t>
            </w:r>
            <w:r w:rsidRPr="005400FA">
              <w:rPr>
                <w:rFonts w:ascii="Arial" w:hAnsi="Arial" w:cs="Arial"/>
                <w:b/>
                <w:sz w:val="18"/>
                <w:szCs w:val="18"/>
              </w:rPr>
              <w:t>ustainability</w:t>
            </w:r>
            <w:r w:rsidRPr="00BB2EA8">
              <w:rPr>
                <w:rFonts w:ascii="Arial" w:hAnsi="Arial" w:cs="Arial"/>
                <w:b/>
                <w:sz w:val="18"/>
                <w:szCs w:val="18"/>
              </w:rPr>
              <w:t xml:space="preserve"> </w:t>
            </w:r>
          </w:p>
          <w:p w14:paraId="30BCADB6" w14:textId="77777777" w:rsidR="00514B73" w:rsidRPr="005400FA" w:rsidRDefault="00514B73" w:rsidP="00D23F97">
            <w:pPr>
              <w:autoSpaceDE w:val="0"/>
              <w:autoSpaceDN w:val="0"/>
              <w:adjustRightInd w:val="0"/>
              <w:rPr>
                <w:rFonts w:ascii="Arial" w:hAnsi="Arial" w:cs="Arial"/>
                <w:sz w:val="18"/>
                <w:szCs w:val="18"/>
              </w:rPr>
            </w:pPr>
            <w:r w:rsidRPr="005400FA">
              <w:rPr>
                <w:rFonts w:ascii="Arial" w:hAnsi="Arial" w:cs="Arial"/>
                <w:i/>
                <w:sz w:val="18"/>
                <w:szCs w:val="18"/>
              </w:rPr>
              <w:t>The way we choose to run our business operations and the products and services we provide ha</w:t>
            </w:r>
            <w:r>
              <w:rPr>
                <w:rFonts w:ascii="Arial" w:hAnsi="Arial" w:cs="Arial"/>
                <w:i/>
                <w:sz w:val="18"/>
                <w:szCs w:val="18"/>
              </w:rPr>
              <w:t>ve</w:t>
            </w:r>
            <w:r w:rsidRPr="005400FA">
              <w:rPr>
                <w:rFonts w:ascii="Arial" w:hAnsi="Arial" w:cs="Arial"/>
                <w:i/>
                <w:sz w:val="18"/>
                <w:szCs w:val="18"/>
              </w:rPr>
              <w:t xml:space="preserve"> both social and environmental impacts and affects the future of our planet. Running our business in a sustainable manner is essential to Co-op’s commercial success, to being climate resilient and to transition to a greener and fairer economy</w:t>
            </w:r>
            <w:r w:rsidRPr="005400FA">
              <w:rPr>
                <w:rFonts w:ascii="Arial" w:hAnsi="Arial" w:cs="Arial"/>
                <w:sz w:val="18"/>
                <w:szCs w:val="18"/>
              </w:rPr>
              <w:t>.</w:t>
            </w:r>
          </w:p>
          <w:p w14:paraId="5160E77F" w14:textId="77777777" w:rsidR="00514B73" w:rsidRPr="00BB2EA8" w:rsidRDefault="00514B73" w:rsidP="00D23F97">
            <w:pPr>
              <w:tabs>
                <w:tab w:val="center" w:pos="2271"/>
                <w:tab w:val="right" w:pos="4543"/>
              </w:tabs>
              <w:spacing w:before="60" w:after="60"/>
              <w:rPr>
                <w:rFonts w:ascii="Arial" w:hAnsi="Arial" w:cs="Arial"/>
                <w:b/>
                <w:sz w:val="18"/>
                <w:szCs w:val="18"/>
              </w:rPr>
            </w:pPr>
          </w:p>
        </w:tc>
        <w:tc>
          <w:tcPr>
            <w:tcW w:w="5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DDED0" w14:textId="409C6080" w:rsidR="00514B73" w:rsidRPr="00D8292F" w:rsidRDefault="00D8292F" w:rsidP="00D8292F">
            <w:pPr>
              <w:pStyle w:val="ListParagraph"/>
              <w:numPr>
                <w:ilvl w:val="0"/>
                <w:numId w:val="22"/>
              </w:numPr>
              <w:tabs>
                <w:tab w:val="center" w:pos="2271"/>
                <w:tab w:val="right" w:pos="4543"/>
              </w:tabs>
              <w:spacing w:before="60" w:after="60" w:line="240" w:lineRule="auto"/>
              <w:rPr>
                <w:rFonts w:ascii="Arial" w:hAnsi="Arial" w:cs="Arial"/>
                <w:sz w:val="18"/>
                <w:szCs w:val="18"/>
              </w:rPr>
            </w:pPr>
            <w:r>
              <w:rPr>
                <w:rFonts w:ascii="Arial" w:hAnsi="Arial" w:cs="Arial"/>
                <w:bCs/>
                <w:sz w:val="18"/>
                <w:szCs w:val="18"/>
              </w:rPr>
              <w:t xml:space="preserve">Changes </w:t>
            </w:r>
            <w:r w:rsidR="00514B73" w:rsidRPr="00D8292F">
              <w:rPr>
                <w:rFonts w:ascii="Arial" w:hAnsi="Arial" w:cs="Arial"/>
                <w:sz w:val="18"/>
                <w:szCs w:val="18"/>
              </w:rPr>
              <w:t xml:space="preserve">in the broader economic and geo-political environment, along with increasing environmental regulation and associated costs, mean that the resources and investment required to meet our commitment to being Net Zero by 2040 (ahead of the Government’s target of 2050) are more challenging than originally anticipated  </w:t>
            </w:r>
          </w:p>
          <w:p w14:paraId="7C7985B6" w14:textId="77777777" w:rsidR="00514B73" w:rsidRPr="005400FA" w:rsidRDefault="00514B73" w:rsidP="00D23F97">
            <w:pPr>
              <w:autoSpaceDE w:val="0"/>
              <w:autoSpaceDN w:val="0"/>
              <w:adjustRightInd w:val="0"/>
              <w:rPr>
                <w:rFonts w:ascii="Arial" w:hAnsi="Arial" w:cs="Arial"/>
                <w:sz w:val="18"/>
                <w:szCs w:val="18"/>
              </w:rPr>
            </w:pPr>
          </w:p>
        </w:tc>
      </w:tr>
    </w:tbl>
    <w:p w14:paraId="1D661CD2" w14:textId="77777777" w:rsidR="00514B73" w:rsidRPr="005400FA" w:rsidRDefault="00514B73" w:rsidP="00514B73">
      <w:pPr>
        <w:spacing w:before="120" w:line="240" w:lineRule="auto"/>
        <w:rPr>
          <w:rFonts w:ascii="Arial" w:hAnsi="Arial" w:cs="Arial"/>
        </w:rPr>
      </w:pPr>
      <w:r w:rsidRPr="005400FA">
        <w:rPr>
          <w:rFonts w:ascii="Arial" w:hAnsi="Arial" w:cs="Arial"/>
        </w:rPr>
        <w:t xml:space="preserve">Our remaining principal risks, Brand and </w:t>
      </w:r>
      <w:r>
        <w:rPr>
          <w:rFonts w:ascii="Arial" w:hAnsi="Arial" w:cs="Arial"/>
        </w:rPr>
        <w:t>R</w:t>
      </w:r>
      <w:r w:rsidRPr="005400FA">
        <w:rPr>
          <w:rFonts w:ascii="Arial" w:hAnsi="Arial" w:cs="Arial"/>
        </w:rPr>
        <w:t xml:space="preserve">eputation, Misuse </w:t>
      </w:r>
      <w:r>
        <w:rPr>
          <w:rFonts w:ascii="Arial" w:hAnsi="Arial" w:cs="Arial"/>
        </w:rPr>
        <w:t>and/</w:t>
      </w:r>
      <w:r w:rsidRPr="005400FA">
        <w:rPr>
          <w:rFonts w:ascii="Arial" w:hAnsi="Arial" w:cs="Arial"/>
        </w:rPr>
        <w:t xml:space="preserve">or </w:t>
      </w:r>
      <w:r>
        <w:rPr>
          <w:rFonts w:ascii="Arial" w:hAnsi="Arial" w:cs="Arial"/>
        </w:rPr>
        <w:t>L</w:t>
      </w:r>
      <w:r w:rsidRPr="005400FA">
        <w:rPr>
          <w:rFonts w:ascii="Arial" w:hAnsi="Arial" w:cs="Arial"/>
        </w:rPr>
        <w:t>oss o</w:t>
      </w:r>
      <w:r>
        <w:rPr>
          <w:rFonts w:ascii="Arial" w:hAnsi="Arial" w:cs="Arial"/>
        </w:rPr>
        <w:t>f Personal D</w:t>
      </w:r>
      <w:r w:rsidRPr="005400FA">
        <w:rPr>
          <w:rFonts w:ascii="Arial" w:hAnsi="Arial" w:cs="Arial"/>
        </w:rPr>
        <w:t xml:space="preserve">ata, Health </w:t>
      </w:r>
      <w:r>
        <w:rPr>
          <w:rFonts w:ascii="Arial" w:hAnsi="Arial" w:cs="Arial"/>
        </w:rPr>
        <w:t>and</w:t>
      </w:r>
      <w:r w:rsidRPr="005400FA">
        <w:rPr>
          <w:rFonts w:ascii="Arial" w:hAnsi="Arial" w:cs="Arial"/>
        </w:rPr>
        <w:t xml:space="preserve"> </w:t>
      </w:r>
      <w:r>
        <w:rPr>
          <w:rFonts w:ascii="Arial" w:hAnsi="Arial" w:cs="Arial"/>
        </w:rPr>
        <w:t>S</w:t>
      </w:r>
      <w:r w:rsidRPr="005400FA">
        <w:rPr>
          <w:rFonts w:ascii="Arial" w:hAnsi="Arial" w:cs="Arial"/>
        </w:rPr>
        <w:t xml:space="preserve">afety and </w:t>
      </w:r>
      <w:r>
        <w:rPr>
          <w:rFonts w:ascii="Arial" w:hAnsi="Arial" w:cs="Arial"/>
        </w:rPr>
        <w:t>S</w:t>
      </w:r>
      <w:r w:rsidRPr="005400FA">
        <w:rPr>
          <w:rFonts w:ascii="Arial" w:hAnsi="Arial" w:cs="Arial"/>
        </w:rPr>
        <w:t>ecurity, Pension</w:t>
      </w:r>
      <w:r>
        <w:rPr>
          <w:rFonts w:ascii="Arial" w:hAnsi="Arial" w:cs="Arial"/>
        </w:rPr>
        <w:t>s</w:t>
      </w:r>
      <w:r w:rsidRPr="005400FA">
        <w:rPr>
          <w:rFonts w:ascii="Arial" w:hAnsi="Arial" w:cs="Arial"/>
        </w:rPr>
        <w:t xml:space="preserve"> </w:t>
      </w:r>
      <w:r>
        <w:rPr>
          <w:rFonts w:ascii="Arial" w:hAnsi="Arial" w:cs="Arial"/>
        </w:rPr>
        <w:t>O</w:t>
      </w:r>
      <w:r w:rsidRPr="005400FA">
        <w:rPr>
          <w:rFonts w:ascii="Arial" w:hAnsi="Arial" w:cs="Arial"/>
        </w:rPr>
        <w:t>bligation</w:t>
      </w:r>
      <w:r>
        <w:rPr>
          <w:rFonts w:ascii="Arial" w:hAnsi="Arial" w:cs="Arial"/>
        </w:rPr>
        <w:t>s</w:t>
      </w:r>
      <w:r w:rsidRPr="005400FA">
        <w:rPr>
          <w:rFonts w:ascii="Arial" w:hAnsi="Arial" w:cs="Arial"/>
        </w:rPr>
        <w:t xml:space="preserve"> and Regulatory Compliance remain stable. You can find details of our remaining principal risks </w:t>
      </w:r>
      <w:r>
        <w:rPr>
          <w:rFonts w:ascii="Arial" w:hAnsi="Arial" w:cs="Arial"/>
        </w:rPr>
        <w:t xml:space="preserve">on pages 49-52 of </w:t>
      </w:r>
      <w:r w:rsidRPr="005400FA">
        <w:rPr>
          <w:rFonts w:ascii="Arial" w:hAnsi="Arial" w:cs="Arial"/>
        </w:rPr>
        <w:t xml:space="preserve">our </w:t>
      </w:r>
      <w:hyperlink w:history="1">
        <w:r w:rsidRPr="00B60688">
          <w:rPr>
            <w:rStyle w:val="Hyperlink"/>
            <w:rFonts w:ascii="Arial" w:hAnsi="Arial" w:cs="Arial"/>
          </w:rPr>
          <w:t>Annual Report</w:t>
        </w:r>
        <w:r w:rsidRPr="00D648B8">
          <w:rPr>
            <w:rStyle w:val="Hyperlink"/>
            <w:rFonts w:ascii="Arial" w:hAnsi="Arial" w:cs="Arial"/>
          </w:rPr>
          <w:t>, available on www.co-operative.coop</w:t>
        </w:r>
      </w:hyperlink>
      <w:r w:rsidRPr="005400FA">
        <w:rPr>
          <w:rFonts w:ascii="Arial" w:hAnsi="Arial" w:cs="Arial"/>
        </w:rPr>
        <w:t xml:space="preserve">.   </w:t>
      </w:r>
    </w:p>
    <w:p w14:paraId="716C567D" w14:textId="77777777" w:rsidR="00514B73" w:rsidRPr="000D3ADE" w:rsidRDefault="00514B73" w:rsidP="00514B73">
      <w:pPr>
        <w:autoSpaceDE w:val="0"/>
        <w:autoSpaceDN w:val="0"/>
        <w:adjustRightInd w:val="0"/>
        <w:spacing w:after="120" w:line="240" w:lineRule="auto"/>
        <w:rPr>
          <w:rFonts w:ascii="Arial" w:hAnsi="Arial" w:cs="Arial"/>
          <w:b/>
          <w:bCs/>
        </w:rPr>
      </w:pPr>
      <w:r w:rsidRPr="000D3ADE">
        <w:rPr>
          <w:rFonts w:ascii="Arial" w:hAnsi="Arial" w:cs="Arial"/>
          <w:b/>
          <w:bCs/>
        </w:rPr>
        <w:lastRenderedPageBreak/>
        <w:t>Emerging risks and trends</w:t>
      </w:r>
    </w:p>
    <w:p w14:paraId="643EEE12" w14:textId="77777777" w:rsidR="00514B73" w:rsidRPr="005400FA" w:rsidRDefault="00514B73" w:rsidP="00514B73">
      <w:pPr>
        <w:autoSpaceDE w:val="0"/>
        <w:autoSpaceDN w:val="0"/>
        <w:adjustRightInd w:val="0"/>
        <w:spacing w:line="240" w:lineRule="auto"/>
        <w:rPr>
          <w:rFonts w:ascii="Arial" w:hAnsi="Arial" w:cs="Arial"/>
        </w:rPr>
      </w:pPr>
      <w:r w:rsidRPr="00BB2EA8">
        <w:rPr>
          <w:rFonts w:ascii="Arial" w:hAnsi="Arial" w:cs="Arial"/>
        </w:rPr>
        <w:t>T</w:t>
      </w:r>
      <w:r w:rsidRPr="005400FA">
        <w:rPr>
          <w:rFonts w:ascii="Arial" w:hAnsi="Arial" w:cs="Arial"/>
        </w:rPr>
        <w:t xml:space="preserve">he size and diversity of our business means we regularly face into change, assessing the associated emerging risks, </w:t>
      </w:r>
      <w:proofErr w:type="gramStart"/>
      <w:r w:rsidRPr="005400FA">
        <w:rPr>
          <w:rFonts w:ascii="Arial" w:hAnsi="Arial" w:cs="Arial"/>
        </w:rPr>
        <w:t>opportunities</w:t>
      </w:r>
      <w:proofErr w:type="gramEnd"/>
      <w:r w:rsidRPr="005400FA">
        <w:rPr>
          <w:rFonts w:ascii="Arial" w:hAnsi="Arial" w:cs="Arial"/>
        </w:rPr>
        <w:t xml:space="preserve"> and implications it brings. We shape our responses depending on their scale and how soon they will impact our business. </w:t>
      </w:r>
    </w:p>
    <w:p w14:paraId="5D4021B2" w14:textId="77777777" w:rsidR="00514B73" w:rsidRPr="00606F76" w:rsidRDefault="00514B73" w:rsidP="00514B73">
      <w:pPr>
        <w:autoSpaceDE w:val="0"/>
        <w:autoSpaceDN w:val="0"/>
        <w:adjustRightInd w:val="0"/>
        <w:spacing w:line="240" w:lineRule="auto"/>
        <w:rPr>
          <w:rFonts w:ascii="Arial" w:hAnsi="Arial" w:cs="Arial"/>
          <w:b/>
          <w:bCs/>
        </w:rPr>
      </w:pPr>
      <w:r w:rsidRPr="00606F76">
        <w:rPr>
          <w:rFonts w:ascii="Arial" w:hAnsi="Arial" w:cs="Arial"/>
          <w:b/>
          <w:bCs/>
        </w:rPr>
        <w:t xml:space="preserve">Food and </w:t>
      </w:r>
      <w:r>
        <w:rPr>
          <w:rFonts w:ascii="Arial" w:hAnsi="Arial" w:cs="Arial"/>
          <w:b/>
          <w:bCs/>
        </w:rPr>
        <w:t>e</w:t>
      </w:r>
      <w:r w:rsidRPr="00606F76">
        <w:rPr>
          <w:rFonts w:ascii="Arial" w:hAnsi="Arial" w:cs="Arial"/>
          <w:b/>
          <w:bCs/>
        </w:rPr>
        <w:t>nergy security</w:t>
      </w:r>
    </w:p>
    <w:p w14:paraId="00599EDB" w14:textId="77777777" w:rsidR="00514B73" w:rsidRPr="005400FA" w:rsidRDefault="00514B73" w:rsidP="00514B73">
      <w:pPr>
        <w:spacing w:after="60" w:line="240" w:lineRule="auto"/>
        <w:rPr>
          <w:rFonts w:ascii="Arial" w:hAnsi="Arial" w:cs="Arial"/>
        </w:rPr>
      </w:pPr>
      <w:r w:rsidRPr="00BB2EA8">
        <w:rPr>
          <w:rFonts w:ascii="Arial" w:hAnsi="Arial" w:cs="Arial"/>
        </w:rPr>
        <w:t xml:space="preserve">As </w:t>
      </w:r>
      <w:r w:rsidRPr="005400FA">
        <w:rPr>
          <w:rFonts w:ascii="Arial" w:hAnsi="Arial" w:cs="Arial"/>
        </w:rPr>
        <w:t>Russia responds to sanctions imposed by NATO</w:t>
      </w:r>
      <w:r>
        <w:rPr>
          <w:rFonts w:ascii="Arial" w:hAnsi="Arial" w:cs="Arial"/>
        </w:rPr>
        <w:t>,</w:t>
      </w:r>
      <w:r w:rsidRPr="005400FA">
        <w:rPr>
          <w:rFonts w:ascii="Arial" w:hAnsi="Arial" w:cs="Arial"/>
        </w:rPr>
        <w:t xml:space="preserve"> the supply of energy becomes less secure and may lead to </w:t>
      </w:r>
      <w:r>
        <w:rPr>
          <w:rFonts w:ascii="Arial" w:hAnsi="Arial" w:cs="Arial"/>
        </w:rPr>
        <w:t>disruptions in the power supply impacting our business, and power providers</w:t>
      </w:r>
      <w:r w:rsidRPr="005400FA">
        <w:rPr>
          <w:rFonts w:ascii="Arial" w:hAnsi="Arial" w:cs="Arial"/>
        </w:rPr>
        <w:t xml:space="preserve"> rationing energy to maintain essential services. </w:t>
      </w:r>
      <w:r>
        <w:rPr>
          <w:rFonts w:ascii="Arial" w:hAnsi="Arial" w:cs="Arial"/>
        </w:rPr>
        <w:t>P</w:t>
      </w:r>
      <w:r w:rsidRPr="000D522A">
        <w:rPr>
          <w:rFonts w:ascii="Arial" w:hAnsi="Arial" w:cs="Arial"/>
        </w:rPr>
        <w:t>ower costs are a leading indicator of other price increases</w:t>
      </w:r>
      <w:r>
        <w:rPr>
          <w:rFonts w:ascii="Arial" w:hAnsi="Arial" w:cs="Arial"/>
        </w:rPr>
        <w:t xml:space="preserve"> and t</w:t>
      </w:r>
      <w:r w:rsidRPr="005400FA">
        <w:rPr>
          <w:rFonts w:ascii="Arial" w:hAnsi="Arial" w:cs="Arial"/>
        </w:rPr>
        <w:t xml:space="preserve">here may also be impacts on global agriculture and manufacturing, creating further risks to global food security and supply chains. </w:t>
      </w:r>
      <w:r>
        <w:rPr>
          <w:rFonts w:ascii="Arial" w:hAnsi="Arial" w:cs="Arial"/>
        </w:rPr>
        <w:t>We</w:t>
      </w:r>
      <w:r w:rsidRPr="00714BBA">
        <w:rPr>
          <w:rFonts w:ascii="Arial" w:hAnsi="Arial" w:cs="Arial"/>
        </w:rPr>
        <w:t xml:space="preserve"> forward purchase energy to minimise impacts of price fluctuation</w:t>
      </w:r>
      <w:r>
        <w:rPr>
          <w:rFonts w:ascii="Arial" w:hAnsi="Arial" w:cs="Arial"/>
        </w:rPr>
        <w:t>. As these older hedges mature,</w:t>
      </w:r>
      <w:r w:rsidRPr="00714BBA">
        <w:rPr>
          <w:rFonts w:ascii="Arial" w:hAnsi="Arial" w:cs="Arial"/>
        </w:rPr>
        <w:t xml:space="preserve"> we will have limited ability to protect the business</w:t>
      </w:r>
      <w:r>
        <w:rPr>
          <w:rFonts w:ascii="Arial" w:hAnsi="Arial" w:cs="Arial"/>
        </w:rPr>
        <w:t>es</w:t>
      </w:r>
      <w:r w:rsidRPr="00714BBA">
        <w:rPr>
          <w:rFonts w:ascii="Arial" w:hAnsi="Arial" w:cs="Arial"/>
        </w:rPr>
        <w:t xml:space="preserve"> </w:t>
      </w:r>
      <w:r>
        <w:rPr>
          <w:rFonts w:ascii="Arial" w:hAnsi="Arial" w:cs="Arial"/>
        </w:rPr>
        <w:t xml:space="preserve">who purchase energy </w:t>
      </w:r>
      <w:r w:rsidRPr="00714BBA">
        <w:rPr>
          <w:rFonts w:ascii="Arial" w:hAnsi="Arial" w:cs="Arial"/>
        </w:rPr>
        <w:t xml:space="preserve">from </w:t>
      </w:r>
      <w:r>
        <w:rPr>
          <w:rFonts w:ascii="Arial" w:hAnsi="Arial" w:cs="Arial"/>
        </w:rPr>
        <w:t xml:space="preserve">us from </w:t>
      </w:r>
      <w:r w:rsidRPr="00714BBA">
        <w:rPr>
          <w:rFonts w:ascii="Arial" w:hAnsi="Arial" w:cs="Arial"/>
        </w:rPr>
        <w:t>price increases</w:t>
      </w:r>
      <w:r>
        <w:rPr>
          <w:rFonts w:ascii="Arial" w:hAnsi="Arial" w:cs="Arial"/>
        </w:rPr>
        <w:t xml:space="preserve">. </w:t>
      </w:r>
      <w:r>
        <w:rPr>
          <w:rFonts w:ascii="Arial" w:hAnsi="Arial" w:cs="Arial"/>
        </w:rPr>
        <w:br/>
      </w:r>
    </w:p>
    <w:p w14:paraId="092FEE56" w14:textId="77777777" w:rsidR="00514B73" w:rsidRPr="00606F76" w:rsidRDefault="00514B73" w:rsidP="00514B73">
      <w:pPr>
        <w:spacing w:after="60" w:line="240" w:lineRule="auto"/>
        <w:rPr>
          <w:rFonts w:ascii="Arial" w:hAnsi="Arial" w:cs="Arial"/>
          <w:b/>
          <w:bCs/>
        </w:rPr>
      </w:pPr>
      <w:r w:rsidRPr="00606F76">
        <w:rPr>
          <w:rFonts w:ascii="Arial" w:hAnsi="Arial" w:cs="Arial"/>
          <w:b/>
          <w:bCs/>
        </w:rPr>
        <w:t>Worsening economic outlook</w:t>
      </w:r>
      <w:r w:rsidRPr="00606F76" w:rsidDel="0050475D">
        <w:rPr>
          <w:rFonts w:ascii="Arial" w:hAnsi="Arial" w:cs="Arial"/>
          <w:b/>
          <w:bCs/>
        </w:rPr>
        <w:t xml:space="preserve"> </w:t>
      </w:r>
    </w:p>
    <w:p w14:paraId="0ED70441" w14:textId="77777777" w:rsidR="00514B73" w:rsidRPr="005400FA" w:rsidRDefault="00514B73" w:rsidP="00514B73">
      <w:pPr>
        <w:spacing w:after="60" w:line="240" w:lineRule="auto"/>
        <w:rPr>
          <w:rFonts w:ascii="Arial" w:hAnsi="Arial" w:cs="Arial"/>
        </w:rPr>
      </w:pPr>
      <w:r>
        <w:rPr>
          <w:rFonts w:ascii="Arial" w:hAnsi="Arial" w:cs="Arial"/>
        </w:rPr>
        <w:t>D</w:t>
      </w:r>
      <w:r w:rsidRPr="005400FA">
        <w:rPr>
          <w:rFonts w:ascii="Arial" w:hAnsi="Arial" w:cs="Arial"/>
        </w:rPr>
        <w:t>ue to current economic pressures</w:t>
      </w:r>
      <w:r>
        <w:rPr>
          <w:rFonts w:ascii="Arial" w:hAnsi="Arial" w:cs="Arial"/>
        </w:rPr>
        <w:t xml:space="preserve"> and increases in the cost of living, household budgets are coming under increasing pressure. We expect to see changes in people’s shopping habits as they seek to maximise value. With economic difficulties, we tend to see increases in </w:t>
      </w:r>
      <w:r w:rsidRPr="00BB2EA8">
        <w:rPr>
          <w:rFonts w:ascii="Arial" w:hAnsi="Arial" w:cs="Arial"/>
        </w:rPr>
        <w:t xml:space="preserve">theft and financial </w:t>
      </w:r>
      <w:r w:rsidRPr="005400FA">
        <w:rPr>
          <w:rFonts w:ascii="Arial" w:hAnsi="Arial" w:cs="Arial"/>
        </w:rPr>
        <w:t>crime</w:t>
      </w:r>
      <w:r>
        <w:rPr>
          <w:rFonts w:ascii="Arial" w:hAnsi="Arial" w:cs="Arial"/>
        </w:rPr>
        <w:t xml:space="preserve">. We engage </w:t>
      </w:r>
      <w:r w:rsidRPr="005400FA">
        <w:rPr>
          <w:rFonts w:ascii="Arial" w:hAnsi="Arial" w:cs="Arial"/>
        </w:rPr>
        <w:t>with the relevant authorities to minimise the risk to our business</w:t>
      </w:r>
      <w:r>
        <w:rPr>
          <w:rFonts w:ascii="Arial" w:hAnsi="Arial" w:cs="Arial"/>
        </w:rPr>
        <w:t>,</w:t>
      </w:r>
      <w:r w:rsidRPr="005400FA">
        <w:rPr>
          <w:rFonts w:ascii="Arial" w:hAnsi="Arial" w:cs="Arial"/>
        </w:rPr>
        <w:t xml:space="preserve"> as well as supporting community programmes </w:t>
      </w:r>
      <w:r>
        <w:rPr>
          <w:rFonts w:ascii="Arial" w:hAnsi="Arial" w:cs="Arial"/>
        </w:rPr>
        <w:t>which focus on</w:t>
      </w:r>
      <w:r w:rsidRPr="00BB2EA8">
        <w:rPr>
          <w:rFonts w:ascii="Arial" w:hAnsi="Arial" w:cs="Arial"/>
        </w:rPr>
        <w:t xml:space="preserve"> the rehabi</w:t>
      </w:r>
      <w:r w:rsidRPr="005400FA">
        <w:rPr>
          <w:rFonts w:ascii="Arial" w:hAnsi="Arial" w:cs="Arial"/>
        </w:rPr>
        <w:t>litation of offenders</w:t>
      </w:r>
      <w:r w:rsidRPr="00BB2EA8">
        <w:rPr>
          <w:rFonts w:ascii="Arial" w:hAnsi="Arial" w:cs="Arial"/>
        </w:rPr>
        <w:t>.</w:t>
      </w:r>
      <w:r>
        <w:rPr>
          <w:rFonts w:ascii="Arial" w:hAnsi="Arial" w:cs="Arial"/>
        </w:rPr>
        <w:br/>
      </w:r>
    </w:p>
    <w:p w14:paraId="69CAFD81" w14:textId="77777777" w:rsidR="00514B73" w:rsidRPr="00606F76" w:rsidRDefault="00514B73" w:rsidP="00514B73">
      <w:pPr>
        <w:spacing w:after="60" w:line="240" w:lineRule="auto"/>
        <w:rPr>
          <w:rFonts w:ascii="Arial" w:hAnsi="Arial" w:cs="Arial"/>
          <w:b/>
          <w:bCs/>
        </w:rPr>
      </w:pPr>
      <w:r w:rsidRPr="00606F76">
        <w:rPr>
          <w:rFonts w:ascii="Arial" w:hAnsi="Arial" w:cs="Arial"/>
          <w:b/>
          <w:bCs/>
        </w:rPr>
        <w:t xml:space="preserve">Regulatory landscape  </w:t>
      </w:r>
    </w:p>
    <w:p w14:paraId="2B6C2EE5" w14:textId="77777777" w:rsidR="00514B73" w:rsidRPr="005400FA" w:rsidRDefault="00514B73" w:rsidP="00514B73">
      <w:pPr>
        <w:spacing w:line="240" w:lineRule="auto"/>
        <w:rPr>
          <w:rFonts w:ascii="Arial" w:hAnsi="Arial" w:cs="Arial"/>
        </w:rPr>
      </w:pPr>
      <w:r>
        <w:rPr>
          <w:rFonts w:ascii="Arial" w:hAnsi="Arial" w:cs="Arial"/>
        </w:rPr>
        <w:t xml:space="preserve">The various businesses within our </w:t>
      </w:r>
      <w:r w:rsidRPr="00BB2EA8">
        <w:rPr>
          <w:rFonts w:ascii="Arial" w:hAnsi="Arial" w:cs="Arial"/>
        </w:rPr>
        <w:t>Co-op</w:t>
      </w:r>
      <w:r w:rsidRPr="005400FA">
        <w:rPr>
          <w:rFonts w:ascii="Arial" w:hAnsi="Arial" w:cs="Arial"/>
        </w:rPr>
        <w:t xml:space="preserve"> </w:t>
      </w:r>
      <w:r w:rsidRPr="00BB2EA8">
        <w:rPr>
          <w:rFonts w:ascii="Arial" w:hAnsi="Arial" w:cs="Arial"/>
        </w:rPr>
        <w:t xml:space="preserve">are </w:t>
      </w:r>
      <w:r w:rsidRPr="005400FA">
        <w:rPr>
          <w:rFonts w:ascii="Arial" w:hAnsi="Arial" w:cs="Arial"/>
        </w:rPr>
        <w:t xml:space="preserve">each affected </w:t>
      </w:r>
      <w:r>
        <w:rPr>
          <w:rFonts w:ascii="Arial" w:hAnsi="Arial" w:cs="Arial"/>
        </w:rPr>
        <w:t>in different ways</w:t>
      </w:r>
      <w:r w:rsidRPr="005400FA">
        <w:rPr>
          <w:rFonts w:ascii="Arial" w:hAnsi="Arial" w:cs="Arial"/>
        </w:rPr>
        <w:t xml:space="preserve"> by changes in regulation. We continuously monitor planned </w:t>
      </w:r>
      <w:r w:rsidRPr="00BB2EA8">
        <w:rPr>
          <w:rFonts w:ascii="Arial" w:hAnsi="Arial" w:cs="Arial"/>
        </w:rPr>
        <w:t xml:space="preserve">changes to regulation </w:t>
      </w:r>
      <w:r w:rsidRPr="005400FA">
        <w:rPr>
          <w:rFonts w:ascii="Arial" w:hAnsi="Arial" w:cs="Arial"/>
        </w:rPr>
        <w:t>and adapt our business to meet the new requirements</w:t>
      </w:r>
      <w:r w:rsidRPr="00BB2EA8">
        <w:rPr>
          <w:rFonts w:ascii="Arial" w:hAnsi="Arial" w:cs="Arial"/>
        </w:rPr>
        <w:t xml:space="preserve">. </w:t>
      </w:r>
      <w:r w:rsidRPr="005400FA">
        <w:rPr>
          <w:rFonts w:ascii="Arial" w:hAnsi="Arial" w:cs="Arial"/>
        </w:rPr>
        <w:t xml:space="preserve">Particularly relevant to Co-op </w:t>
      </w:r>
      <w:proofErr w:type="gramStart"/>
      <w:r w:rsidRPr="005400FA">
        <w:rPr>
          <w:rFonts w:ascii="Arial" w:hAnsi="Arial" w:cs="Arial"/>
        </w:rPr>
        <w:t>as a whole is</w:t>
      </w:r>
      <w:proofErr w:type="gramEnd"/>
      <w:r w:rsidRPr="005400FA">
        <w:rPr>
          <w:rFonts w:ascii="Arial" w:hAnsi="Arial" w:cs="Arial"/>
        </w:rPr>
        <w:t xml:space="preserve"> the outcome of the Government’s consultation on restoring trust in audit and corporate governance</w:t>
      </w:r>
      <w:r>
        <w:rPr>
          <w:rFonts w:ascii="Arial" w:hAnsi="Arial" w:cs="Arial"/>
        </w:rPr>
        <w:t>,</w:t>
      </w:r>
      <w:r w:rsidRPr="005400FA">
        <w:rPr>
          <w:rFonts w:ascii="Arial" w:hAnsi="Arial" w:cs="Arial"/>
        </w:rPr>
        <w:t xml:space="preserve"> and the requirement to disclose climate</w:t>
      </w:r>
      <w:r>
        <w:rPr>
          <w:rFonts w:ascii="Arial" w:hAnsi="Arial" w:cs="Arial"/>
        </w:rPr>
        <w:t>-</w:t>
      </w:r>
      <w:r w:rsidRPr="005400FA">
        <w:rPr>
          <w:rFonts w:ascii="Arial" w:hAnsi="Arial" w:cs="Arial"/>
        </w:rPr>
        <w:t>related financial information.</w:t>
      </w:r>
    </w:p>
    <w:p w14:paraId="704FCE12" w14:textId="77777777" w:rsidR="00514B73" w:rsidRPr="005400FA" w:rsidRDefault="00514B73" w:rsidP="00514B73">
      <w:pPr>
        <w:spacing w:line="240" w:lineRule="auto"/>
        <w:rPr>
          <w:rFonts w:ascii="Arial" w:hAnsi="Arial" w:cs="Arial"/>
        </w:rPr>
      </w:pPr>
      <w:r w:rsidRPr="005400FA">
        <w:rPr>
          <w:rFonts w:ascii="Arial" w:hAnsi="Arial" w:cs="Arial"/>
        </w:rPr>
        <w:t>The</w:t>
      </w:r>
      <w:r w:rsidRPr="00BB2EA8">
        <w:rPr>
          <w:rFonts w:ascii="Arial" w:hAnsi="Arial" w:cs="Arial"/>
        </w:rPr>
        <w:t xml:space="preserve"> UK</w:t>
      </w:r>
      <w:r w:rsidRPr="005400FA">
        <w:rPr>
          <w:rFonts w:ascii="Arial" w:hAnsi="Arial" w:cs="Arial"/>
        </w:rPr>
        <w:t xml:space="preserve"> Government has </w:t>
      </w:r>
      <w:r w:rsidRPr="00BB2EA8">
        <w:rPr>
          <w:rFonts w:ascii="Arial" w:hAnsi="Arial" w:cs="Arial"/>
        </w:rPr>
        <w:t xml:space="preserve">now </w:t>
      </w:r>
      <w:r w:rsidRPr="005400FA">
        <w:rPr>
          <w:rFonts w:ascii="Arial" w:hAnsi="Arial" w:cs="Arial"/>
        </w:rPr>
        <w:t xml:space="preserve">published the outcome of its consultation </w:t>
      </w:r>
      <w:r w:rsidRPr="00BB2EA8">
        <w:rPr>
          <w:rFonts w:ascii="Arial" w:hAnsi="Arial" w:cs="Arial"/>
        </w:rPr>
        <w:t xml:space="preserve">and </w:t>
      </w:r>
      <w:r w:rsidRPr="005400FA">
        <w:rPr>
          <w:rFonts w:ascii="Arial" w:hAnsi="Arial" w:cs="Arial"/>
        </w:rPr>
        <w:t xml:space="preserve">we’re continuing to understand the implications of the proposed reforms for </w:t>
      </w:r>
      <w:r>
        <w:rPr>
          <w:rFonts w:ascii="Arial" w:hAnsi="Arial" w:cs="Arial"/>
        </w:rPr>
        <w:t xml:space="preserve">our </w:t>
      </w:r>
      <w:r w:rsidRPr="005400FA">
        <w:rPr>
          <w:rFonts w:ascii="Arial" w:hAnsi="Arial" w:cs="Arial"/>
        </w:rPr>
        <w:t xml:space="preserve">Co-op as a large private </w:t>
      </w:r>
      <w:proofErr w:type="gramStart"/>
      <w:r w:rsidRPr="005400FA">
        <w:rPr>
          <w:rFonts w:ascii="Arial" w:hAnsi="Arial" w:cs="Arial"/>
        </w:rPr>
        <w:t>company</w:t>
      </w:r>
      <w:r>
        <w:rPr>
          <w:rFonts w:ascii="Arial" w:hAnsi="Arial" w:cs="Arial"/>
        </w:rPr>
        <w:t>;</w:t>
      </w:r>
      <w:proofErr w:type="gramEnd"/>
      <w:r w:rsidRPr="005400FA">
        <w:rPr>
          <w:rFonts w:ascii="Arial" w:hAnsi="Arial" w:cs="Arial"/>
        </w:rPr>
        <w:t xml:space="preserve"> in particular changing expectations of our directors, systems, risk and internal controls and reporting, along with the stronger review powers for the regulator.</w:t>
      </w:r>
    </w:p>
    <w:p w14:paraId="40A1824C" w14:textId="77777777" w:rsidR="00514B73" w:rsidRPr="005400FA" w:rsidRDefault="00514B73" w:rsidP="00514B73">
      <w:pPr>
        <w:spacing w:line="240" w:lineRule="auto"/>
        <w:rPr>
          <w:rFonts w:ascii="Arial" w:hAnsi="Arial" w:cs="Arial"/>
          <w:highlight w:val="yellow"/>
        </w:rPr>
      </w:pPr>
      <w:r w:rsidRPr="005400FA">
        <w:rPr>
          <w:rFonts w:ascii="Arial" w:hAnsi="Arial" w:cs="Arial"/>
        </w:rPr>
        <w:t>We are</w:t>
      </w:r>
      <w:r w:rsidRPr="00BB2EA8">
        <w:rPr>
          <w:rFonts w:ascii="Arial" w:hAnsi="Arial" w:cs="Arial"/>
        </w:rPr>
        <w:t xml:space="preserve"> already</w:t>
      </w:r>
      <w:r w:rsidRPr="005400FA">
        <w:rPr>
          <w:rFonts w:ascii="Arial" w:hAnsi="Arial" w:cs="Arial"/>
        </w:rPr>
        <w:t xml:space="preserve"> underway with our work to comply with the Government’s mandate to disclose Taskforce for </w:t>
      </w:r>
      <w:r>
        <w:rPr>
          <w:rFonts w:ascii="Arial" w:hAnsi="Arial" w:cs="Arial"/>
        </w:rPr>
        <w:t>C</w:t>
      </w:r>
      <w:r w:rsidRPr="005400FA">
        <w:rPr>
          <w:rFonts w:ascii="Arial" w:hAnsi="Arial" w:cs="Arial"/>
        </w:rPr>
        <w:t xml:space="preserve">limate-related </w:t>
      </w:r>
      <w:r>
        <w:rPr>
          <w:rFonts w:ascii="Arial" w:hAnsi="Arial" w:cs="Arial"/>
        </w:rPr>
        <w:t>F</w:t>
      </w:r>
      <w:r w:rsidRPr="005400FA">
        <w:rPr>
          <w:rFonts w:ascii="Arial" w:hAnsi="Arial" w:cs="Arial"/>
        </w:rPr>
        <w:t xml:space="preserve">inancial </w:t>
      </w:r>
      <w:r>
        <w:rPr>
          <w:rFonts w:ascii="Arial" w:hAnsi="Arial" w:cs="Arial"/>
        </w:rPr>
        <w:t>D</w:t>
      </w:r>
      <w:r w:rsidRPr="005400FA">
        <w:rPr>
          <w:rFonts w:ascii="Arial" w:hAnsi="Arial" w:cs="Arial"/>
        </w:rPr>
        <w:t>isclosure</w:t>
      </w:r>
      <w:r>
        <w:rPr>
          <w:rFonts w:ascii="Arial" w:hAnsi="Arial" w:cs="Arial"/>
        </w:rPr>
        <w:t xml:space="preserve"> (TCFD)</w:t>
      </w:r>
      <w:r w:rsidRPr="005400FA">
        <w:rPr>
          <w:rFonts w:ascii="Arial" w:hAnsi="Arial" w:cs="Arial"/>
        </w:rPr>
        <w:t xml:space="preserve"> aligned financial information by 2023</w:t>
      </w:r>
      <w:r>
        <w:rPr>
          <w:rFonts w:ascii="Arial" w:hAnsi="Arial" w:cs="Arial"/>
        </w:rPr>
        <w:t>. We are</w:t>
      </w:r>
      <w:r w:rsidRPr="005400FA">
        <w:rPr>
          <w:rFonts w:ascii="Arial" w:hAnsi="Arial" w:cs="Arial"/>
        </w:rPr>
        <w:t xml:space="preserve"> considering the </w:t>
      </w:r>
      <w:r w:rsidRPr="00BB2EA8">
        <w:rPr>
          <w:rFonts w:ascii="Arial" w:hAnsi="Arial" w:cs="Arial"/>
        </w:rPr>
        <w:t xml:space="preserve">physical and transition </w:t>
      </w:r>
      <w:r w:rsidRPr="005400FA">
        <w:rPr>
          <w:rFonts w:ascii="Arial" w:hAnsi="Arial" w:cs="Arial"/>
        </w:rPr>
        <w:t>risk</w:t>
      </w:r>
      <w:r w:rsidRPr="00BB2EA8">
        <w:rPr>
          <w:rFonts w:ascii="Arial" w:hAnsi="Arial" w:cs="Arial"/>
        </w:rPr>
        <w:t>,</w:t>
      </w:r>
      <w:r w:rsidRPr="005400FA">
        <w:rPr>
          <w:rFonts w:ascii="Arial" w:hAnsi="Arial" w:cs="Arial"/>
        </w:rPr>
        <w:t xml:space="preserve"> </w:t>
      </w:r>
      <w:r>
        <w:rPr>
          <w:rFonts w:ascii="Arial" w:hAnsi="Arial" w:cs="Arial"/>
        </w:rPr>
        <w:t xml:space="preserve">as well as </w:t>
      </w:r>
      <w:proofErr w:type="gramStart"/>
      <w:r>
        <w:rPr>
          <w:rFonts w:ascii="Arial" w:hAnsi="Arial" w:cs="Arial"/>
        </w:rPr>
        <w:t xml:space="preserve">the </w:t>
      </w:r>
      <w:r w:rsidRPr="005400FA">
        <w:rPr>
          <w:rFonts w:ascii="Arial" w:hAnsi="Arial" w:cs="Arial"/>
        </w:rPr>
        <w:t xml:space="preserve"> opportunities</w:t>
      </w:r>
      <w:proofErr w:type="gramEnd"/>
      <w:r w:rsidRPr="005400FA">
        <w:rPr>
          <w:rFonts w:ascii="Arial" w:hAnsi="Arial" w:cs="Arial"/>
        </w:rPr>
        <w:t xml:space="preserve"> to our business because of changes to the climate.</w:t>
      </w:r>
      <w:r w:rsidRPr="005400FA">
        <w:rPr>
          <w:rFonts w:ascii="Arial" w:hAnsi="Arial" w:cs="Arial"/>
          <w:highlight w:val="yellow"/>
        </w:rPr>
        <w:t xml:space="preserve"> </w:t>
      </w:r>
    </w:p>
    <w:p w14:paraId="0F107DE5" w14:textId="77777777" w:rsidR="00514B73" w:rsidRPr="00405691" w:rsidRDefault="00514B73" w:rsidP="00514B73">
      <w:pPr>
        <w:spacing w:line="240" w:lineRule="auto"/>
        <w:rPr>
          <w:rFonts w:ascii="Arial" w:hAnsi="Arial" w:cs="Arial"/>
        </w:rPr>
      </w:pPr>
      <w:r>
        <w:rPr>
          <w:rFonts w:ascii="Arial" w:hAnsi="Arial" w:cs="Arial"/>
        </w:rPr>
        <w:t>In our accounting and reporting w</w:t>
      </w:r>
      <w:r w:rsidRPr="00405691">
        <w:rPr>
          <w:rFonts w:ascii="Arial" w:hAnsi="Arial" w:cs="Arial"/>
        </w:rPr>
        <w:t xml:space="preserve">e will adopt IFRS17 </w:t>
      </w:r>
      <w:r w:rsidRPr="003F7B55">
        <w:rPr>
          <w:rFonts w:ascii="Arial" w:hAnsi="Arial" w:cs="Arial"/>
        </w:rPr>
        <w:t xml:space="preserve">– </w:t>
      </w:r>
      <w:r w:rsidRPr="000D3ADE">
        <w:rPr>
          <w:rFonts w:ascii="Arial" w:hAnsi="Arial" w:cs="Arial"/>
        </w:rPr>
        <w:t>Insurance Contracts</w:t>
      </w:r>
      <w:r w:rsidRPr="00405691">
        <w:rPr>
          <w:rFonts w:ascii="Arial" w:hAnsi="Arial" w:cs="Arial"/>
          <w:i/>
          <w:iCs/>
        </w:rPr>
        <w:t xml:space="preserve"> </w:t>
      </w:r>
      <w:r w:rsidRPr="00405691">
        <w:rPr>
          <w:rFonts w:ascii="Arial" w:hAnsi="Arial" w:cs="Arial"/>
        </w:rPr>
        <w:t>from January 2023</w:t>
      </w:r>
      <w:r>
        <w:rPr>
          <w:rFonts w:ascii="Arial" w:hAnsi="Arial" w:cs="Arial"/>
        </w:rPr>
        <w:t>,</w:t>
      </w:r>
      <w:r w:rsidRPr="00405691">
        <w:rPr>
          <w:rFonts w:ascii="Arial" w:hAnsi="Arial" w:cs="Arial"/>
        </w:rPr>
        <w:t xml:space="preserve"> which will apply to all pre-paid funeral plans. We are progressing our implementation plan and impact assessment to meet the adoption date.</w:t>
      </w:r>
    </w:p>
    <w:p w14:paraId="06BA7D55" w14:textId="77777777" w:rsidR="00514B73" w:rsidRPr="00BB2EA8" w:rsidRDefault="00514B73" w:rsidP="00514B73">
      <w:pPr>
        <w:spacing w:line="240" w:lineRule="auto"/>
        <w:rPr>
          <w:rFonts w:ascii="Arial" w:hAnsi="Arial" w:cs="Arial"/>
        </w:rPr>
      </w:pPr>
      <w:r w:rsidRPr="005400FA">
        <w:rPr>
          <w:rFonts w:ascii="Arial" w:hAnsi="Arial" w:cs="Arial"/>
          <w:b/>
          <w:bCs/>
        </w:rPr>
        <w:t>In our Food business</w:t>
      </w:r>
      <w:r w:rsidRPr="005400FA">
        <w:rPr>
          <w:rFonts w:ascii="Arial" w:hAnsi="Arial" w:cs="Arial"/>
        </w:rPr>
        <w:t xml:space="preserve"> we are continuing our work to respond to changing regulations such as those around sales of High </w:t>
      </w:r>
      <w:r>
        <w:rPr>
          <w:rFonts w:ascii="Arial" w:hAnsi="Arial" w:cs="Arial"/>
        </w:rPr>
        <w:t xml:space="preserve">in </w:t>
      </w:r>
      <w:r w:rsidRPr="005400FA">
        <w:rPr>
          <w:rFonts w:ascii="Arial" w:hAnsi="Arial" w:cs="Arial"/>
        </w:rPr>
        <w:t>Fat, Salt</w:t>
      </w:r>
      <w:r>
        <w:rPr>
          <w:rFonts w:ascii="Arial" w:hAnsi="Arial" w:cs="Arial"/>
        </w:rPr>
        <w:t xml:space="preserve"> and</w:t>
      </w:r>
      <w:r w:rsidRPr="005400FA">
        <w:rPr>
          <w:rFonts w:ascii="Arial" w:hAnsi="Arial" w:cs="Arial"/>
        </w:rPr>
        <w:t xml:space="preserve"> Sugar (HFSS) products and the Deposit Return scheme in Scotland</w:t>
      </w:r>
      <w:r>
        <w:rPr>
          <w:rFonts w:ascii="Arial" w:hAnsi="Arial" w:cs="Arial"/>
        </w:rPr>
        <w:t>,</w:t>
      </w:r>
      <w:r w:rsidRPr="005400FA">
        <w:rPr>
          <w:rFonts w:ascii="Arial" w:hAnsi="Arial" w:cs="Arial"/>
        </w:rPr>
        <w:t xml:space="preserve"> which will come into force from August 2023.</w:t>
      </w:r>
    </w:p>
    <w:p w14:paraId="3B66CFC4" w14:textId="77777777" w:rsidR="00514B73" w:rsidRDefault="00514B73" w:rsidP="00514B73">
      <w:pPr>
        <w:spacing w:line="240" w:lineRule="auto"/>
        <w:rPr>
          <w:rFonts w:ascii="Arial" w:hAnsi="Arial" w:cs="Arial"/>
          <w:b/>
          <w:sz w:val="24"/>
          <w:szCs w:val="24"/>
        </w:rPr>
      </w:pPr>
      <w:r w:rsidRPr="005400FA">
        <w:rPr>
          <w:rFonts w:ascii="Arial" w:hAnsi="Arial" w:cs="Arial"/>
          <w:b/>
          <w:bCs/>
        </w:rPr>
        <w:t>Co-op Funeral Plans Limited</w:t>
      </w:r>
      <w:r w:rsidRPr="005400FA">
        <w:rPr>
          <w:rFonts w:ascii="Arial" w:hAnsi="Arial" w:cs="Arial"/>
        </w:rPr>
        <w:t xml:space="preserve"> was approved to sell</w:t>
      </w:r>
      <w:r w:rsidRPr="00BB2EA8">
        <w:rPr>
          <w:rFonts w:ascii="Arial" w:hAnsi="Arial" w:cs="Arial"/>
        </w:rPr>
        <w:t xml:space="preserve"> pre-</w:t>
      </w:r>
      <w:r>
        <w:rPr>
          <w:rFonts w:ascii="Arial" w:hAnsi="Arial" w:cs="Arial"/>
        </w:rPr>
        <w:t>paid</w:t>
      </w:r>
      <w:r w:rsidRPr="005400FA">
        <w:rPr>
          <w:rFonts w:ascii="Arial" w:hAnsi="Arial" w:cs="Arial"/>
        </w:rPr>
        <w:t xml:space="preserve"> funeral plans by the Financ</w:t>
      </w:r>
      <w:r>
        <w:rPr>
          <w:rFonts w:ascii="Arial" w:hAnsi="Arial" w:cs="Arial"/>
        </w:rPr>
        <w:t>ial</w:t>
      </w:r>
      <w:r w:rsidRPr="005400FA">
        <w:rPr>
          <w:rFonts w:ascii="Arial" w:hAnsi="Arial" w:cs="Arial"/>
        </w:rPr>
        <w:t xml:space="preserve"> Conduct Authority on </w:t>
      </w:r>
      <w:r w:rsidRPr="00BB2EA8">
        <w:rPr>
          <w:rFonts w:ascii="Arial" w:hAnsi="Arial" w:cs="Arial"/>
        </w:rPr>
        <w:t>29 Ju</w:t>
      </w:r>
      <w:r w:rsidRPr="005400FA">
        <w:rPr>
          <w:rFonts w:ascii="Arial" w:hAnsi="Arial" w:cs="Arial"/>
        </w:rPr>
        <w:t xml:space="preserve">ly 2022. This follows intense activity in our funerals business to put in place the structures, </w:t>
      </w:r>
      <w:proofErr w:type="gramStart"/>
      <w:r w:rsidRPr="005400FA">
        <w:rPr>
          <w:rFonts w:ascii="Arial" w:hAnsi="Arial" w:cs="Arial"/>
        </w:rPr>
        <w:t>processes</w:t>
      </w:r>
      <w:proofErr w:type="gramEnd"/>
      <w:r w:rsidRPr="005400FA">
        <w:rPr>
          <w:rFonts w:ascii="Arial" w:hAnsi="Arial" w:cs="Arial"/>
        </w:rPr>
        <w:t xml:space="preserve"> and culture to comply with the newly introduced regulatory requirements for the industry. </w:t>
      </w:r>
      <w:r w:rsidRPr="00BB2EA8">
        <w:rPr>
          <w:rFonts w:ascii="Arial" w:hAnsi="Arial" w:cs="Arial"/>
        </w:rPr>
        <w:t xml:space="preserve">Looking ahead, </w:t>
      </w:r>
      <w:r w:rsidRPr="005400FA">
        <w:rPr>
          <w:rFonts w:ascii="Arial" w:hAnsi="Arial" w:cs="Arial"/>
        </w:rPr>
        <w:t xml:space="preserve">the Financial Conduct Authority intends to set out new rules </w:t>
      </w:r>
      <w:r>
        <w:rPr>
          <w:rFonts w:ascii="Arial" w:hAnsi="Arial" w:cs="Arial"/>
        </w:rPr>
        <w:t xml:space="preserve">on </w:t>
      </w:r>
      <w:r w:rsidRPr="005400FA">
        <w:rPr>
          <w:rFonts w:ascii="Arial" w:hAnsi="Arial" w:cs="Arial"/>
        </w:rPr>
        <w:t>consumer duty</w:t>
      </w:r>
      <w:r>
        <w:rPr>
          <w:rFonts w:ascii="Arial" w:hAnsi="Arial" w:cs="Arial"/>
        </w:rPr>
        <w:t>,</w:t>
      </w:r>
      <w:r w:rsidRPr="005400FA">
        <w:rPr>
          <w:rFonts w:ascii="Arial" w:hAnsi="Arial" w:cs="Arial"/>
        </w:rPr>
        <w:t xml:space="preserve"> which will also apply to funeral plan providers coming </w:t>
      </w:r>
      <w:r>
        <w:rPr>
          <w:rFonts w:ascii="Arial" w:hAnsi="Arial" w:cs="Arial"/>
        </w:rPr>
        <w:t>in</w:t>
      </w:r>
      <w:r w:rsidRPr="005400FA">
        <w:rPr>
          <w:rFonts w:ascii="Arial" w:hAnsi="Arial" w:cs="Arial"/>
        </w:rPr>
        <w:t xml:space="preserve">to effect from the end of July 2023. </w:t>
      </w:r>
      <w:r>
        <w:rPr>
          <w:rFonts w:ascii="Arial" w:hAnsi="Arial" w:cs="Arial"/>
        </w:rPr>
        <w:t>They are</w:t>
      </w:r>
      <w:r w:rsidRPr="005400FA">
        <w:rPr>
          <w:rFonts w:ascii="Arial" w:hAnsi="Arial" w:cs="Arial"/>
        </w:rPr>
        <w:t xml:space="preserve"> anticipated to have the greatest </w:t>
      </w:r>
      <w:r w:rsidRPr="00BB2EA8">
        <w:rPr>
          <w:rFonts w:ascii="Arial" w:hAnsi="Arial" w:cs="Arial"/>
        </w:rPr>
        <w:t>i</w:t>
      </w:r>
      <w:r w:rsidRPr="005400FA">
        <w:rPr>
          <w:rFonts w:ascii="Arial" w:hAnsi="Arial" w:cs="Arial"/>
        </w:rPr>
        <w:t xml:space="preserve">mpact on the areas of consumer understanding and consumer support.  </w:t>
      </w:r>
    </w:p>
    <w:p w14:paraId="723D5A48" w14:textId="77777777" w:rsidR="00514B73" w:rsidRDefault="00514B73" w:rsidP="00514B73">
      <w:pPr>
        <w:spacing w:line="240" w:lineRule="auto"/>
        <w:rPr>
          <w:rStyle w:val="nowrap"/>
          <w:rFonts w:ascii="Arial" w:hAnsi="Arial" w:cs="Arial"/>
          <w:color w:val="282828"/>
        </w:rPr>
      </w:pPr>
      <w:r>
        <w:rPr>
          <w:rStyle w:val="nowrap"/>
          <w:rFonts w:ascii="Arial" w:hAnsi="Arial" w:cs="Arial"/>
          <w:color w:val="282828"/>
        </w:rPr>
        <w:br w:type="page"/>
      </w:r>
    </w:p>
    <w:p w14:paraId="36BD7252" w14:textId="77777777" w:rsidR="00514B73" w:rsidRPr="00C76AD0" w:rsidRDefault="00514B73" w:rsidP="00514B73">
      <w:pPr>
        <w:spacing w:line="240" w:lineRule="auto"/>
        <w:rPr>
          <w:rFonts w:ascii="Arial" w:hAnsi="Arial" w:cs="Arial"/>
          <w:b/>
          <w:sz w:val="24"/>
          <w:szCs w:val="24"/>
        </w:rPr>
      </w:pPr>
      <w:r w:rsidRPr="00C76AD0">
        <w:rPr>
          <w:rFonts w:ascii="Arial" w:hAnsi="Arial" w:cs="Arial"/>
          <w:b/>
          <w:sz w:val="24"/>
          <w:szCs w:val="24"/>
        </w:rPr>
        <w:lastRenderedPageBreak/>
        <w:t>OUR FINANCIAL PERFORMANCE</w:t>
      </w:r>
    </w:p>
    <w:tbl>
      <w:tblPr>
        <w:tblW w:w="8420" w:type="dxa"/>
        <w:tblLook w:val="04A0" w:firstRow="1" w:lastRow="0" w:firstColumn="1" w:lastColumn="0" w:noHBand="0" w:noVBand="1"/>
      </w:tblPr>
      <w:tblGrid>
        <w:gridCol w:w="5720"/>
        <w:gridCol w:w="1520"/>
        <w:gridCol w:w="1180"/>
      </w:tblGrid>
      <w:tr w:rsidR="00D8292F" w:rsidRPr="00D8292F" w14:paraId="3962C467" w14:textId="77777777" w:rsidTr="006F477E">
        <w:trPr>
          <w:trHeight w:val="360"/>
        </w:trPr>
        <w:tc>
          <w:tcPr>
            <w:tcW w:w="5720" w:type="dxa"/>
            <w:tcBorders>
              <w:top w:val="nil"/>
              <w:left w:val="nil"/>
              <w:bottom w:val="nil"/>
              <w:right w:val="nil"/>
            </w:tcBorders>
            <w:shd w:val="clear" w:color="auto" w:fill="808080" w:themeFill="background1" w:themeFillShade="80"/>
            <w:vAlign w:val="center"/>
            <w:hideMark/>
          </w:tcPr>
          <w:p w14:paraId="68F54F07" w14:textId="77777777" w:rsidR="00D8292F" w:rsidRPr="00D8292F" w:rsidRDefault="00D8292F" w:rsidP="00D8292F">
            <w:pPr>
              <w:spacing w:after="0" w:line="240" w:lineRule="auto"/>
              <w:rPr>
                <w:rFonts w:ascii="Arial" w:eastAsia="Times New Roman" w:hAnsi="Arial" w:cs="Arial"/>
                <w:b/>
                <w:bCs/>
                <w:color w:val="FFFFFF"/>
                <w:lang w:eastAsia="en-GB"/>
              </w:rPr>
            </w:pPr>
            <w:r w:rsidRPr="00D8292F">
              <w:rPr>
                <w:rFonts w:ascii="Arial" w:eastAsia="Times New Roman" w:hAnsi="Arial" w:cs="Arial"/>
                <w:b/>
                <w:bCs/>
                <w:color w:val="FFFFFF"/>
                <w:lang w:eastAsia="en-GB"/>
              </w:rPr>
              <w:t>Summary of financial performance</w:t>
            </w:r>
          </w:p>
        </w:tc>
        <w:tc>
          <w:tcPr>
            <w:tcW w:w="1520" w:type="dxa"/>
            <w:tcBorders>
              <w:top w:val="nil"/>
              <w:left w:val="nil"/>
              <w:bottom w:val="nil"/>
              <w:right w:val="nil"/>
            </w:tcBorders>
            <w:shd w:val="clear" w:color="auto" w:fill="808080" w:themeFill="background1" w:themeFillShade="80"/>
            <w:vAlign w:val="center"/>
            <w:hideMark/>
          </w:tcPr>
          <w:p w14:paraId="25E5C00C" w14:textId="77777777" w:rsidR="00D8292F" w:rsidRPr="00D8292F" w:rsidRDefault="00D8292F" w:rsidP="00D8292F">
            <w:pPr>
              <w:spacing w:after="0" w:line="240" w:lineRule="auto"/>
              <w:jc w:val="right"/>
              <w:rPr>
                <w:rFonts w:ascii="Arial" w:eastAsia="Times New Roman" w:hAnsi="Arial" w:cs="Arial"/>
                <w:b/>
                <w:bCs/>
                <w:color w:val="FFFFFF"/>
                <w:lang w:eastAsia="en-GB"/>
              </w:rPr>
            </w:pPr>
            <w:r w:rsidRPr="00D8292F">
              <w:rPr>
                <w:rFonts w:ascii="Arial" w:eastAsia="Times New Roman" w:hAnsi="Arial" w:cs="Arial"/>
                <w:b/>
                <w:bCs/>
                <w:color w:val="FFFFFF"/>
                <w:lang w:eastAsia="en-GB"/>
              </w:rPr>
              <w:t>2022</w:t>
            </w:r>
          </w:p>
        </w:tc>
        <w:tc>
          <w:tcPr>
            <w:tcW w:w="1180" w:type="dxa"/>
            <w:tcBorders>
              <w:top w:val="nil"/>
              <w:left w:val="nil"/>
              <w:bottom w:val="nil"/>
              <w:right w:val="nil"/>
            </w:tcBorders>
            <w:shd w:val="clear" w:color="auto" w:fill="808080" w:themeFill="background1" w:themeFillShade="80"/>
            <w:vAlign w:val="center"/>
            <w:hideMark/>
          </w:tcPr>
          <w:p w14:paraId="7A05538A" w14:textId="77777777" w:rsidR="00D8292F" w:rsidRPr="00D8292F" w:rsidRDefault="00D8292F" w:rsidP="00D8292F">
            <w:pPr>
              <w:spacing w:after="0" w:line="240" w:lineRule="auto"/>
              <w:jc w:val="right"/>
              <w:rPr>
                <w:rFonts w:ascii="Arial" w:eastAsia="Times New Roman" w:hAnsi="Arial" w:cs="Arial"/>
                <w:color w:val="FFFFFF"/>
                <w:lang w:eastAsia="en-GB"/>
              </w:rPr>
            </w:pPr>
            <w:r w:rsidRPr="00D8292F">
              <w:rPr>
                <w:rFonts w:ascii="Arial" w:eastAsia="Times New Roman" w:hAnsi="Arial" w:cs="Arial"/>
                <w:color w:val="FFFFFF"/>
                <w:lang w:eastAsia="en-GB"/>
              </w:rPr>
              <w:t>2021</w:t>
            </w:r>
          </w:p>
        </w:tc>
      </w:tr>
      <w:tr w:rsidR="00D8292F" w:rsidRPr="00D8292F" w14:paraId="4CE842B8" w14:textId="77777777" w:rsidTr="006F477E">
        <w:trPr>
          <w:trHeight w:val="300"/>
        </w:trPr>
        <w:tc>
          <w:tcPr>
            <w:tcW w:w="5720" w:type="dxa"/>
            <w:tcBorders>
              <w:top w:val="nil"/>
              <w:left w:val="nil"/>
              <w:bottom w:val="nil"/>
              <w:right w:val="nil"/>
            </w:tcBorders>
            <w:shd w:val="clear" w:color="auto" w:fill="808080" w:themeFill="background1" w:themeFillShade="80"/>
            <w:vAlign w:val="center"/>
            <w:hideMark/>
          </w:tcPr>
          <w:p w14:paraId="1D157338" w14:textId="77777777" w:rsidR="00D8292F" w:rsidRPr="00D8292F" w:rsidRDefault="00D8292F" w:rsidP="00D8292F">
            <w:pPr>
              <w:spacing w:after="0" w:line="240" w:lineRule="auto"/>
              <w:rPr>
                <w:rFonts w:ascii="Arial" w:eastAsia="Times New Roman" w:hAnsi="Arial" w:cs="Arial"/>
                <w:color w:val="FFFFFF"/>
                <w:lang w:eastAsia="en-GB"/>
              </w:rPr>
            </w:pPr>
            <w:r w:rsidRPr="00D8292F">
              <w:rPr>
                <w:rFonts w:ascii="Arial" w:eastAsia="Times New Roman" w:hAnsi="Arial" w:cs="Arial"/>
                <w:color w:val="FFFFFF"/>
                <w:lang w:eastAsia="en-GB"/>
              </w:rPr>
              <w:t> </w:t>
            </w:r>
          </w:p>
        </w:tc>
        <w:tc>
          <w:tcPr>
            <w:tcW w:w="1520" w:type="dxa"/>
            <w:tcBorders>
              <w:top w:val="nil"/>
              <w:left w:val="nil"/>
              <w:bottom w:val="nil"/>
              <w:right w:val="nil"/>
            </w:tcBorders>
            <w:shd w:val="clear" w:color="auto" w:fill="808080" w:themeFill="background1" w:themeFillShade="80"/>
            <w:vAlign w:val="center"/>
            <w:hideMark/>
          </w:tcPr>
          <w:p w14:paraId="5AF1EFFA" w14:textId="77777777" w:rsidR="00D8292F" w:rsidRPr="00D8292F" w:rsidRDefault="00D8292F" w:rsidP="00D8292F">
            <w:pPr>
              <w:spacing w:after="0" w:line="240" w:lineRule="auto"/>
              <w:jc w:val="right"/>
              <w:rPr>
                <w:rFonts w:ascii="Arial" w:eastAsia="Times New Roman" w:hAnsi="Arial" w:cs="Arial"/>
                <w:b/>
                <w:bCs/>
                <w:color w:val="FFFFFF"/>
                <w:lang w:eastAsia="en-GB"/>
              </w:rPr>
            </w:pPr>
            <w:r w:rsidRPr="00D8292F">
              <w:rPr>
                <w:rFonts w:ascii="Arial" w:eastAsia="Times New Roman" w:hAnsi="Arial" w:cs="Arial"/>
                <w:b/>
                <w:bCs/>
                <w:color w:val="FFFFFF"/>
                <w:lang w:eastAsia="en-GB"/>
              </w:rPr>
              <w:t>£m</w:t>
            </w:r>
          </w:p>
        </w:tc>
        <w:tc>
          <w:tcPr>
            <w:tcW w:w="1180" w:type="dxa"/>
            <w:tcBorders>
              <w:top w:val="nil"/>
              <w:left w:val="nil"/>
              <w:bottom w:val="nil"/>
              <w:right w:val="nil"/>
            </w:tcBorders>
            <w:shd w:val="clear" w:color="auto" w:fill="808080" w:themeFill="background1" w:themeFillShade="80"/>
            <w:vAlign w:val="center"/>
            <w:hideMark/>
          </w:tcPr>
          <w:p w14:paraId="0E903259" w14:textId="77777777" w:rsidR="00D8292F" w:rsidRPr="00D8292F" w:rsidRDefault="00D8292F" w:rsidP="00D8292F">
            <w:pPr>
              <w:spacing w:after="0" w:line="240" w:lineRule="auto"/>
              <w:jc w:val="right"/>
              <w:rPr>
                <w:rFonts w:ascii="Arial" w:eastAsia="Times New Roman" w:hAnsi="Arial" w:cs="Arial"/>
                <w:color w:val="FFFFFF"/>
                <w:lang w:eastAsia="en-GB"/>
              </w:rPr>
            </w:pPr>
            <w:r w:rsidRPr="00D8292F">
              <w:rPr>
                <w:rFonts w:ascii="Arial" w:eastAsia="Times New Roman" w:hAnsi="Arial" w:cs="Arial"/>
                <w:color w:val="FFFFFF"/>
                <w:lang w:eastAsia="en-GB"/>
              </w:rPr>
              <w:t>£m</w:t>
            </w:r>
          </w:p>
        </w:tc>
      </w:tr>
      <w:tr w:rsidR="00D8292F" w:rsidRPr="00D8292F" w14:paraId="47264E20" w14:textId="77777777" w:rsidTr="00D8292F">
        <w:trPr>
          <w:trHeight w:val="159"/>
        </w:trPr>
        <w:tc>
          <w:tcPr>
            <w:tcW w:w="5720" w:type="dxa"/>
            <w:tcBorders>
              <w:top w:val="nil"/>
              <w:left w:val="nil"/>
              <w:bottom w:val="nil"/>
              <w:right w:val="nil"/>
            </w:tcBorders>
            <w:shd w:val="clear" w:color="000000" w:fill="FFFFFF"/>
            <w:vAlign w:val="center"/>
            <w:hideMark/>
          </w:tcPr>
          <w:p w14:paraId="05546424" w14:textId="77777777" w:rsidR="00D8292F" w:rsidRPr="00D8292F" w:rsidRDefault="00D8292F" w:rsidP="00D8292F">
            <w:pPr>
              <w:spacing w:after="0" w:line="240" w:lineRule="auto"/>
              <w:rPr>
                <w:rFonts w:ascii="Arial" w:eastAsia="Times New Roman" w:hAnsi="Arial" w:cs="Arial"/>
                <w:color w:val="FFFFFF"/>
                <w:lang w:eastAsia="en-GB"/>
              </w:rPr>
            </w:pPr>
            <w:r w:rsidRPr="00D8292F">
              <w:rPr>
                <w:rFonts w:ascii="Arial" w:eastAsia="Times New Roman" w:hAnsi="Arial" w:cs="Arial"/>
                <w:color w:val="FFFFFF"/>
                <w:lang w:eastAsia="en-GB"/>
              </w:rPr>
              <w:t> </w:t>
            </w:r>
          </w:p>
        </w:tc>
        <w:tc>
          <w:tcPr>
            <w:tcW w:w="1520" w:type="dxa"/>
            <w:tcBorders>
              <w:top w:val="nil"/>
              <w:left w:val="nil"/>
              <w:bottom w:val="nil"/>
              <w:right w:val="nil"/>
            </w:tcBorders>
            <w:shd w:val="clear" w:color="000000" w:fill="FFFFFF"/>
            <w:vAlign w:val="center"/>
            <w:hideMark/>
          </w:tcPr>
          <w:p w14:paraId="11925DA5" w14:textId="77777777" w:rsidR="00D8292F" w:rsidRPr="00D8292F" w:rsidRDefault="00D8292F" w:rsidP="00D8292F">
            <w:pPr>
              <w:spacing w:after="0" w:line="240" w:lineRule="auto"/>
              <w:jc w:val="right"/>
              <w:rPr>
                <w:rFonts w:ascii="Arial" w:eastAsia="Times New Roman" w:hAnsi="Arial" w:cs="Arial"/>
                <w:b/>
                <w:bCs/>
                <w:color w:val="FFFFFF"/>
                <w:lang w:eastAsia="en-GB"/>
              </w:rPr>
            </w:pPr>
            <w:r w:rsidRPr="00D8292F">
              <w:rPr>
                <w:rFonts w:ascii="Arial" w:eastAsia="Times New Roman" w:hAnsi="Arial" w:cs="Arial"/>
                <w:b/>
                <w:bCs/>
                <w:color w:val="FFFFFF"/>
                <w:lang w:eastAsia="en-GB"/>
              </w:rPr>
              <w:t> </w:t>
            </w:r>
          </w:p>
        </w:tc>
        <w:tc>
          <w:tcPr>
            <w:tcW w:w="1180" w:type="dxa"/>
            <w:tcBorders>
              <w:top w:val="nil"/>
              <w:left w:val="nil"/>
              <w:bottom w:val="nil"/>
              <w:right w:val="nil"/>
            </w:tcBorders>
            <w:shd w:val="clear" w:color="000000" w:fill="FFFFFF"/>
            <w:vAlign w:val="center"/>
            <w:hideMark/>
          </w:tcPr>
          <w:p w14:paraId="371F4EFF" w14:textId="77777777" w:rsidR="00D8292F" w:rsidRPr="00D8292F" w:rsidRDefault="00D8292F" w:rsidP="00D8292F">
            <w:pPr>
              <w:spacing w:after="0" w:line="240" w:lineRule="auto"/>
              <w:jc w:val="right"/>
              <w:rPr>
                <w:rFonts w:ascii="Arial" w:eastAsia="Times New Roman" w:hAnsi="Arial" w:cs="Arial"/>
                <w:color w:val="FFFFFF"/>
                <w:lang w:eastAsia="en-GB"/>
              </w:rPr>
            </w:pPr>
            <w:r w:rsidRPr="00D8292F">
              <w:rPr>
                <w:rFonts w:ascii="Arial" w:eastAsia="Times New Roman" w:hAnsi="Arial" w:cs="Arial"/>
                <w:color w:val="FFFFFF"/>
                <w:lang w:eastAsia="en-GB"/>
              </w:rPr>
              <w:t> </w:t>
            </w:r>
          </w:p>
        </w:tc>
      </w:tr>
      <w:tr w:rsidR="00D8292F" w:rsidRPr="00D8292F" w14:paraId="3BF7A360" w14:textId="77777777" w:rsidTr="006F477E">
        <w:trPr>
          <w:trHeight w:val="480"/>
        </w:trPr>
        <w:tc>
          <w:tcPr>
            <w:tcW w:w="5720" w:type="dxa"/>
            <w:tcBorders>
              <w:top w:val="single" w:sz="4" w:space="0" w:color="auto"/>
              <w:left w:val="nil"/>
              <w:bottom w:val="single" w:sz="4" w:space="0" w:color="auto"/>
              <w:right w:val="nil"/>
            </w:tcBorders>
            <w:shd w:val="clear" w:color="auto" w:fill="F2F2F2" w:themeFill="background1" w:themeFillShade="F2"/>
            <w:vAlign w:val="center"/>
            <w:hideMark/>
          </w:tcPr>
          <w:p w14:paraId="238FF206" w14:textId="77777777" w:rsidR="00D8292F" w:rsidRPr="00D8292F" w:rsidRDefault="00D8292F" w:rsidP="00D8292F">
            <w:pPr>
              <w:spacing w:after="0" w:line="240" w:lineRule="auto"/>
              <w:rPr>
                <w:rFonts w:ascii="Arial" w:eastAsia="Times New Roman" w:hAnsi="Arial" w:cs="Arial"/>
                <w:b/>
                <w:bCs/>
                <w:color w:val="000000"/>
                <w:lang w:eastAsia="en-GB"/>
              </w:rPr>
            </w:pPr>
            <w:r w:rsidRPr="00D8292F">
              <w:rPr>
                <w:rFonts w:ascii="Arial" w:eastAsia="Times New Roman" w:hAnsi="Arial" w:cs="Arial"/>
                <w:b/>
                <w:bCs/>
                <w:color w:val="000000"/>
                <w:lang w:eastAsia="en-GB"/>
              </w:rPr>
              <w:t>Revenue</w:t>
            </w:r>
          </w:p>
        </w:tc>
        <w:tc>
          <w:tcPr>
            <w:tcW w:w="1520" w:type="dxa"/>
            <w:tcBorders>
              <w:top w:val="single" w:sz="4" w:space="0" w:color="auto"/>
              <w:left w:val="nil"/>
              <w:bottom w:val="single" w:sz="4" w:space="0" w:color="auto"/>
              <w:right w:val="nil"/>
            </w:tcBorders>
            <w:shd w:val="clear" w:color="auto" w:fill="F2F2F2" w:themeFill="background1" w:themeFillShade="F2"/>
            <w:vAlign w:val="center"/>
            <w:hideMark/>
          </w:tcPr>
          <w:p w14:paraId="6444A632" w14:textId="77777777" w:rsidR="00D8292F" w:rsidRPr="00D8292F" w:rsidRDefault="00D8292F" w:rsidP="00D8292F">
            <w:pPr>
              <w:spacing w:after="0" w:line="240" w:lineRule="auto"/>
              <w:jc w:val="right"/>
              <w:rPr>
                <w:rFonts w:ascii="Arial" w:eastAsia="Times New Roman" w:hAnsi="Arial" w:cs="Arial"/>
                <w:b/>
                <w:bCs/>
                <w:color w:val="000000"/>
                <w:lang w:eastAsia="en-GB"/>
              </w:rPr>
            </w:pPr>
            <w:r w:rsidRPr="00D8292F">
              <w:rPr>
                <w:rFonts w:ascii="Arial" w:eastAsia="Times New Roman" w:hAnsi="Arial" w:cs="Arial"/>
                <w:b/>
                <w:bCs/>
                <w:color w:val="000000"/>
                <w:lang w:eastAsia="en-GB"/>
              </w:rPr>
              <w:t>5,643</w:t>
            </w:r>
          </w:p>
        </w:tc>
        <w:tc>
          <w:tcPr>
            <w:tcW w:w="1180" w:type="dxa"/>
            <w:tcBorders>
              <w:top w:val="single" w:sz="4" w:space="0" w:color="auto"/>
              <w:left w:val="nil"/>
              <w:bottom w:val="single" w:sz="4" w:space="0" w:color="auto"/>
              <w:right w:val="nil"/>
            </w:tcBorders>
            <w:shd w:val="clear" w:color="auto" w:fill="F2F2F2" w:themeFill="background1" w:themeFillShade="F2"/>
            <w:vAlign w:val="center"/>
            <w:hideMark/>
          </w:tcPr>
          <w:p w14:paraId="38A8BA16"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 xml:space="preserve">5,616 </w:t>
            </w:r>
          </w:p>
        </w:tc>
      </w:tr>
      <w:tr w:rsidR="00D8292F" w:rsidRPr="00D8292F" w14:paraId="0C226ADC" w14:textId="77777777" w:rsidTr="00D8292F">
        <w:trPr>
          <w:trHeight w:val="360"/>
        </w:trPr>
        <w:tc>
          <w:tcPr>
            <w:tcW w:w="5720" w:type="dxa"/>
            <w:tcBorders>
              <w:top w:val="nil"/>
              <w:left w:val="nil"/>
              <w:bottom w:val="nil"/>
              <w:right w:val="nil"/>
            </w:tcBorders>
            <w:shd w:val="clear" w:color="000000" w:fill="FFFFFF"/>
            <w:vAlign w:val="center"/>
            <w:hideMark/>
          </w:tcPr>
          <w:p w14:paraId="26437B5C" w14:textId="77777777" w:rsidR="00D8292F" w:rsidRPr="00D8292F" w:rsidRDefault="00D8292F" w:rsidP="00D8292F">
            <w:pPr>
              <w:spacing w:after="0" w:line="240" w:lineRule="auto"/>
              <w:rPr>
                <w:rFonts w:ascii="Arial" w:eastAsia="Times New Roman" w:hAnsi="Arial" w:cs="Arial"/>
                <w:b/>
                <w:bCs/>
                <w:color w:val="00B0F0"/>
                <w:u w:val="single"/>
                <w:lang w:eastAsia="en-GB"/>
              </w:rPr>
            </w:pPr>
            <w:r w:rsidRPr="00D8292F">
              <w:rPr>
                <w:rFonts w:ascii="Arial" w:eastAsia="Times New Roman" w:hAnsi="Arial" w:cs="Arial"/>
                <w:b/>
                <w:bCs/>
                <w:u w:val="single"/>
                <w:lang w:eastAsia="en-GB"/>
              </w:rPr>
              <w:t>Underlying operating profit:</w:t>
            </w:r>
          </w:p>
        </w:tc>
        <w:tc>
          <w:tcPr>
            <w:tcW w:w="1520" w:type="dxa"/>
            <w:tcBorders>
              <w:top w:val="nil"/>
              <w:left w:val="nil"/>
              <w:bottom w:val="nil"/>
              <w:right w:val="nil"/>
            </w:tcBorders>
            <w:shd w:val="clear" w:color="000000" w:fill="FFFFFF"/>
            <w:vAlign w:val="center"/>
            <w:hideMark/>
          </w:tcPr>
          <w:p w14:paraId="05E037F7" w14:textId="77777777" w:rsidR="00D8292F" w:rsidRPr="00D8292F" w:rsidRDefault="00D8292F" w:rsidP="00D8292F">
            <w:pPr>
              <w:spacing w:after="0" w:line="240" w:lineRule="auto"/>
              <w:rPr>
                <w:rFonts w:ascii="Arial" w:eastAsia="Times New Roman" w:hAnsi="Arial" w:cs="Arial"/>
                <w:b/>
                <w:bCs/>
                <w:color w:val="000000"/>
                <w:u w:val="single"/>
                <w:lang w:eastAsia="en-GB"/>
              </w:rPr>
            </w:pPr>
            <w:r w:rsidRPr="00D8292F">
              <w:rPr>
                <w:rFonts w:ascii="Arial" w:eastAsia="Times New Roman" w:hAnsi="Arial" w:cs="Arial"/>
                <w:b/>
                <w:bCs/>
                <w:color w:val="000000"/>
                <w:u w:val="single"/>
                <w:lang w:eastAsia="en-GB"/>
              </w:rPr>
              <w:t> </w:t>
            </w:r>
          </w:p>
        </w:tc>
        <w:tc>
          <w:tcPr>
            <w:tcW w:w="1180" w:type="dxa"/>
            <w:tcBorders>
              <w:top w:val="nil"/>
              <w:left w:val="nil"/>
              <w:bottom w:val="nil"/>
              <w:right w:val="nil"/>
            </w:tcBorders>
            <w:shd w:val="clear" w:color="000000" w:fill="FFFFFF"/>
            <w:vAlign w:val="center"/>
            <w:hideMark/>
          </w:tcPr>
          <w:p w14:paraId="05CFB369"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 </w:t>
            </w:r>
          </w:p>
        </w:tc>
      </w:tr>
      <w:tr w:rsidR="00D8292F" w:rsidRPr="00D8292F" w14:paraId="60ED0A93" w14:textId="77777777" w:rsidTr="00D8292F">
        <w:trPr>
          <w:trHeight w:val="360"/>
        </w:trPr>
        <w:tc>
          <w:tcPr>
            <w:tcW w:w="5720" w:type="dxa"/>
            <w:tcBorders>
              <w:top w:val="nil"/>
              <w:left w:val="nil"/>
              <w:bottom w:val="nil"/>
              <w:right w:val="nil"/>
            </w:tcBorders>
            <w:shd w:val="clear" w:color="000000" w:fill="FFFFFF"/>
            <w:vAlign w:val="center"/>
            <w:hideMark/>
          </w:tcPr>
          <w:p w14:paraId="1F6A37BD" w14:textId="77777777" w:rsidR="00D8292F" w:rsidRPr="00D8292F" w:rsidRDefault="00D8292F" w:rsidP="00D8292F">
            <w:pPr>
              <w:spacing w:after="0" w:line="240" w:lineRule="auto"/>
              <w:rPr>
                <w:rFonts w:ascii="Arial" w:eastAsia="Times New Roman" w:hAnsi="Arial" w:cs="Arial"/>
                <w:color w:val="000000"/>
                <w:lang w:eastAsia="en-GB"/>
              </w:rPr>
            </w:pPr>
            <w:r w:rsidRPr="00D8292F">
              <w:rPr>
                <w:rFonts w:ascii="Arial" w:eastAsia="Times New Roman" w:hAnsi="Arial" w:cs="Arial"/>
                <w:color w:val="000000"/>
                <w:lang w:eastAsia="en-GB"/>
              </w:rPr>
              <w:t>Food</w:t>
            </w:r>
          </w:p>
        </w:tc>
        <w:tc>
          <w:tcPr>
            <w:tcW w:w="1520" w:type="dxa"/>
            <w:tcBorders>
              <w:top w:val="nil"/>
              <w:left w:val="nil"/>
              <w:bottom w:val="nil"/>
              <w:right w:val="nil"/>
            </w:tcBorders>
            <w:shd w:val="clear" w:color="000000" w:fill="FFFFFF"/>
            <w:noWrap/>
            <w:vAlign w:val="center"/>
            <w:hideMark/>
          </w:tcPr>
          <w:p w14:paraId="48E921E1" w14:textId="77777777" w:rsidR="00D8292F" w:rsidRPr="00D8292F" w:rsidRDefault="00D8292F" w:rsidP="00D8292F">
            <w:pPr>
              <w:spacing w:after="0" w:line="240" w:lineRule="auto"/>
              <w:jc w:val="right"/>
              <w:rPr>
                <w:rFonts w:ascii="Arial" w:eastAsia="Times New Roman" w:hAnsi="Arial" w:cs="Arial"/>
                <w:b/>
                <w:bCs/>
                <w:lang w:eastAsia="en-GB"/>
              </w:rPr>
            </w:pPr>
            <w:r w:rsidRPr="00D8292F">
              <w:rPr>
                <w:rFonts w:ascii="Arial" w:eastAsia="Times New Roman" w:hAnsi="Arial" w:cs="Arial"/>
                <w:b/>
                <w:bCs/>
                <w:lang w:eastAsia="en-GB"/>
              </w:rPr>
              <w:t xml:space="preserve">41 </w:t>
            </w:r>
          </w:p>
        </w:tc>
        <w:tc>
          <w:tcPr>
            <w:tcW w:w="1180" w:type="dxa"/>
            <w:tcBorders>
              <w:top w:val="nil"/>
              <w:left w:val="nil"/>
              <w:bottom w:val="nil"/>
              <w:right w:val="nil"/>
            </w:tcBorders>
            <w:shd w:val="clear" w:color="000000" w:fill="FFFFFF"/>
            <w:vAlign w:val="center"/>
            <w:hideMark/>
          </w:tcPr>
          <w:p w14:paraId="32C594DF"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 xml:space="preserve">68  </w:t>
            </w:r>
          </w:p>
        </w:tc>
      </w:tr>
      <w:tr w:rsidR="00D8292F" w:rsidRPr="00D8292F" w14:paraId="311BA3AA" w14:textId="77777777" w:rsidTr="00D8292F">
        <w:trPr>
          <w:trHeight w:val="360"/>
        </w:trPr>
        <w:tc>
          <w:tcPr>
            <w:tcW w:w="5720" w:type="dxa"/>
            <w:tcBorders>
              <w:top w:val="nil"/>
              <w:left w:val="nil"/>
              <w:bottom w:val="nil"/>
              <w:right w:val="nil"/>
            </w:tcBorders>
            <w:shd w:val="clear" w:color="000000" w:fill="FFFFFF"/>
            <w:vAlign w:val="center"/>
            <w:hideMark/>
          </w:tcPr>
          <w:p w14:paraId="00BB81E6" w14:textId="77777777" w:rsidR="00D8292F" w:rsidRPr="00D8292F" w:rsidRDefault="00D8292F" w:rsidP="00D8292F">
            <w:pPr>
              <w:spacing w:after="0" w:line="240" w:lineRule="auto"/>
              <w:rPr>
                <w:rFonts w:ascii="Arial" w:eastAsia="Times New Roman" w:hAnsi="Arial" w:cs="Arial"/>
                <w:color w:val="000000"/>
                <w:lang w:eastAsia="en-GB"/>
              </w:rPr>
            </w:pPr>
            <w:r w:rsidRPr="00D8292F">
              <w:rPr>
                <w:rFonts w:ascii="Arial" w:eastAsia="Times New Roman" w:hAnsi="Arial" w:cs="Arial"/>
                <w:color w:val="000000"/>
                <w:lang w:eastAsia="en-GB"/>
              </w:rPr>
              <w:t>Wholesale</w:t>
            </w:r>
          </w:p>
        </w:tc>
        <w:tc>
          <w:tcPr>
            <w:tcW w:w="1520" w:type="dxa"/>
            <w:tcBorders>
              <w:top w:val="nil"/>
              <w:left w:val="nil"/>
              <w:bottom w:val="nil"/>
              <w:right w:val="nil"/>
            </w:tcBorders>
            <w:shd w:val="clear" w:color="000000" w:fill="FFFFFF"/>
            <w:noWrap/>
            <w:vAlign w:val="center"/>
            <w:hideMark/>
          </w:tcPr>
          <w:p w14:paraId="3472F586" w14:textId="77777777" w:rsidR="00D8292F" w:rsidRPr="00D8292F" w:rsidRDefault="00D8292F" w:rsidP="00D8292F">
            <w:pPr>
              <w:spacing w:after="0" w:line="240" w:lineRule="auto"/>
              <w:jc w:val="right"/>
              <w:rPr>
                <w:rFonts w:ascii="Arial" w:eastAsia="Times New Roman" w:hAnsi="Arial" w:cs="Arial"/>
                <w:b/>
                <w:bCs/>
                <w:lang w:eastAsia="en-GB"/>
              </w:rPr>
            </w:pPr>
            <w:r w:rsidRPr="00D8292F">
              <w:rPr>
                <w:rFonts w:ascii="Arial" w:eastAsia="Times New Roman" w:hAnsi="Arial" w:cs="Arial"/>
                <w:b/>
                <w:bCs/>
                <w:lang w:eastAsia="en-GB"/>
              </w:rPr>
              <w:t xml:space="preserve">4 </w:t>
            </w:r>
          </w:p>
        </w:tc>
        <w:tc>
          <w:tcPr>
            <w:tcW w:w="1180" w:type="dxa"/>
            <w:tcBorders>
              <w:top w:val="nil"/>
              <w:left w:val="nil"/>
              <w:bottom w:val="nil"/>
              <w:right w:val="nil"/>
            </w:tcBorders>
            <w:shd w:val="clear" w:color="000000" w:fill="FFFFFF"/>
            <w:vAlign w:val="center"/>
            <w:hideMark/>
          </w:tcPr>
          <w:p w14:paraId="3941EC86"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 xml:space="preserve">2  </w:t>
            </w:r>
          </w:p>
        </w:tc>
      </w:tr>
      <w:tr w:rsidR="00D8292F" w:rsidRPr="00D8292F" w14:paraId="4482E5EA" w14:textId="77777777" w:rsidTr="00D8292F">
        <w:trPr>
          <w:trHeight w:val="360"/>
        </w:trPr>
        <w:tc>
          <w:tcPr>
            <w:tcW w:w="5720" w:type="dxa"/>
            <w:tcBorders>
              <w:top w:val="nil"/>
              <w:left w:val="nil"/>
              <w:bottom w:val="nil"/>
              <w:right w:val="nil"/>
            </w:tcBorders>
            <w:shd w:val="clear" w:color="000000" w:fill="FFFFFF"/>
            <w:vAlign w:val="center"/>
            <w:hideMark/>
          </w:tcPr>
          <w:p w14:paraId="0C627DCA" w14:textId="77777777" w:rsidR="00D8292F" w:rsidRPr="00D8292F" w:rsidRDefault="00D8292F" w:rsidP="00D8292F">
            <w:pPr>
              <w:spacing w:after="0" w:line="240" w:lineRule="auto"/>
              <w:rPr>
                <w:rFonts w:ascii="Arial" w:eastAsia="Times New Roman" w:hAnsi="Arial" w:cs="Arial"/>
                <w:color w:val="000000"/>
                <w:lang w:eastAsia="en-GB"/>
              </w:rPr>
            </w:pPr>
            <w:r w:rsidRPr="00D8292F">
              <w:rPr>
                <w:rFonts w:ascii="Arial" w:eastAsia="Times New Roman" w:hAnsi="Arial" w:cs="Arial"/>
                <w:color w:val="000000"/>
                <w:lang w:eastAsia="en-GB"/>
              </w:rPr>
              <w:t>Funeralcare</w:t>
            </w:r>
          </w:p>
        </w:tc>
        <w:tc>
          <w:tcPr>
            <w:tcW w:w="1520" w:type="dxa"/>
            <w:tcBorders>
              <w:top w:val="nil"/>
              <w:left w:val="nil"/>
              <w:bottom w:val="nil"/>
              <w:right w:val="nil"/>
            </w:tcBorders>
            <w:shd w:val="clear" w:color="000000" w:fill="FFFFFF"/>
            <w:noWrap/>
            <w:vAlign w:val="center"/>
            <w:hideMark/>
          </w:tcPr>
          <w:p w14:paraId="3980575F" w14:textId="77777777" w:rsidR="00D8292F" w:rsidRPr="00D8292F" w:rsidRDefault="00D8292F" w:rsidP="00D8292F">
            <w:pPr>
              <w:spacing w:after="0" w:line="240" w:lineRule="auto"/>
              <w:jc w:val="right"/>
              <w:rPr>
                <w:rFonts w:ascii="Arial" w:eastAsia="Times New Roman" w:hAnsi="Arial" w:cs="Arial"/>
                <w:b/>
                <w:bCs/>
                <w:lang w:eastAsia="en-GB"/>
              </w:rPr>
            </w:pPr>
            <w:r w:rsidRPr="00D8292F">
              <w:rPr>
                <w:rFonts w:ascii="Arial" w:eastAsia="Times New Roman" w:hAnsi="Arial" w:cs="Arial"/>
                <w:b/>
                <w:bCs/>
                <w:lang w:eastAsia="en-GB"/>
              </w:rPr>
              <w:t xml:space="preserve">11 </w:t>
            </w:r>
          </w:p>
        </w:tc>
        <w:tc>
          <w:tcPr>
            <w:tcW w:w="1180" w:type="dxa"/>
            <w:tcBorders>
              <w:top w:val="nil"/>
              <w:left w:val="nil"/>
              <w:bottom w:val="nil"/>
              <w:right w:val="nil"/>
            </w:tcBorders>
            <w:shd w:val="clear" w:color="000000" w:fill="FFFFFF"/>
            <w:vAlign w:val="center"/>
            <w:hideMark/>
          </w:tcPr>
          <w:p w14:paraId="0BA498B4"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 xml:space="preserve">17  </w:t>
            </w:r>
          </w:p>
        </w:tc>
      </w:tr>
      <w:tr w:rsidR="00D8292F" w:rsidRPr="00D8292F" w14:paraId="70D520F9" w14:textId="77777777" w:rsidTr="00D8292F">
        <w:trPr>
          <w:trHeight w:val="360"/>
        </w:trPr>
        <w:tc>
          <w:tcPr>
            <w:tcW w:w="5720" w:type="dxa"/>
            <w:tcBorders>
              <w:top w:val="nil"/>
              <w:left w:val="nil"/>
              <w:bottom w:val="nil"/>
              <w:right w:val="nil"/>
            </w:tcBorders>
            <w:shd w:val="clear" w:color="000000" w:fill="FFFFFF"/>
            <w:vAlign w:val="center"/>
            <w:hideMark/>
          </w:tcPr>
          <w:p w14:paraId="6CBB2882" w14:textId="77777777" w:rsidR="00D8292F" w:rsidRPr="00D8292F" w:rsidRDefault="00D8292F" w:rsidP="00D8292F">
            <w:pPr>
              <w:spacing w:after="0" w:line="240" w:lineRule="auto"/>
              <w:rPr>
                <w:rFonts w:ascii="Arial" w:eastAsia="Times New Roman" w:hAnsi="Arial" w:cs="Arial"/>
                <w:color w:val="000000"/>
                <w:lang w:eastAsia="en-GB"/>
              </w:rPr>
            </w:pPr>
            <w:r w:rsidRPr="00D8292F">
              <w:rPr>
                <w:rFonts w:ascii="Arial" w:eastAsia="Times New Roman" w:hAnsi="Arial" w:cs="Arial"/>
                <w:color w:val="000000"/>
                <w:lang w:eastAsia="en-GB"/>
              </w:rPr>
              <w:t>Legal Services</w:t>
            </w:r>
          </w:p>
        </w:tc>
        <w:tc>
          <w:tcPr>
            <w:tcW w:w="1520" w:type="dxa"/>
            <w:tcBorders>
              <w:top w:val="nil"/>
              <w:left w:val="nil"/>
              <w:bottom w:val="nil"/>
              <w:right w:val="nil"/>
            </w:tcBorders>
            <w:shd w:val="clear" w:color="000000" w:fill="FFFFFF"/>
            <w:noWrap/>
            <w:vAlign w:val="center"/>
            <w:hideMark/>
          </w:tcPr>
          <w:p w14:paraId="630DEFA5" w14:textId="77777777" w:rsidR="00D8292F" w:rsidRPr="00D8292F" w:rsidRDefault="00D8292F" w:rsidP="00D8292F">
            <w:pPr>
              <w:spacing w:after="0" w:line="240" w:lineRule="auto"/>
              <w:jc w:val="right"/>
              <w:rPr>
                <w:rFonts w:ascii="Arial" w:eastAsia="Times New Roman" w:hAnsi="Arial" w:cs="Arial"/>
                <w:b/>
                <w:bCs/>
                <w:lang w:eastAsia="en-GB"/>
              </w:rPr>
            </w:pPr>
            <w:r w:rsidRPr="00D8292F">
              <w:rPr>
                <w:rFonts w:ascii="Arial" w:eastAsia="Times New Roman" w:hAnsi="Arial" w:cs="Arial"/>
                <w:b/>
                <w:bCs/>
                <w:lang w:eastAsia="en-GB"/>
              </w:rPr>
              <w:t xml:space="preserve">4 </w:t>
            </w:r>
          </w:p>
        </w:tc>
        <w:tc>
          <w:tcPr>
            <w:tcW w:w="1180" w:type="dxa"/>
            <w:tcBorders>
              <w:top w:val="nil"/>
              <w:left w:val="nil"/>
              <w:bottom w:val="nil"/>
              <w:right w:val="nil"/>
            </w:tcBorders>
            <w:shd w:val="clear" w:color="000000" w:fill="FFFFFF"/>
            <w:vAlign w:val="center"/>
            <w:hideMark/>
          </w:tcPr>
          <w:p w14:paraId="28AF86DA"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 xml:space="preserve">2  </w:t>
            </w:r>
          </w:p>
        </w:tc>
      </w:tr>
      <w:tr w:rsidR="00D8292F" w:rsidRPr="00D8292F" w14:paraId="74674201" w14:textId="77777777" w:rsidTr="00D8292F">
        <w:trPr>
          <w:trHeight w:val="360"/>
        </w:trPr>
        <w:tc>
          <w:tcPr>
            <w:tcW w:w="5720" w:type="dxa"/>
            <w:tcBorders>
              <w:top w:val="nil"/>
              <w:left w:val="nil"/>
              <w:bottom w:val="nil"/>
              <w:right w:val="nil"/>
            </w:tcBorders>
            <w:shd w:val="clear" w:color="000000" w:fill="FFFFFF"/>
            <w:vAlign w:val="center"/>
            <w:hideMark/>
          </w:tcPr>
          <w:p w14:paraId="3B5EF11C" w14:textId="77777777" w:rsidR="00D8292F" w:rsidRPr="00D8292F" w:rsidRDefault="00D8292F" w:rsidP="00D8292F">
            <w:pPr>
              <w:spacing w:after="0" w:line="240" w:lineRule="auto"/>
              <w:rPr>
                <w:rFonts w:ascii="Arial" w:eastAsia="Times New Roman" w:hAnsi="Arial" w:cs="Arial"/>
                <w:color w:val="000000"/>
                <w:lang w:eastAsia="en-GB"/>
              </w:rPr>
            </w:pPr>
            <w:r w:rsidRPr="00D8292F">
              <w:rPr>
                <w:rFonts w:ascii="Arial" w:eastAsia="Times New Roman" w:hAnsi="Arial" w:cs="Arial"/>
                <w:color w:val="000000"/>
                <w:lang w:eastAsia="en-GB"/>
              </w:rPr>
              <w:t>Insurance</w:t>
            </w:r>
          </w:p>
        </w:tc>
        <w:tc>
          <w:tcPr>
            <w:tcW w:w="1520" w:type="dxa"/>
            <w:tcBorders>
              <w:top w:val="nil"/>
              <w:left w:val="nil"/>
              <w:bottom w:val="nil"/>
              <w:right w:val="nil"/>
            </w:tcBorders>
            <w:shd w:val="clear" w:color="000000" w:fill="FFFFFF"/>
            <w:noWrap/>
            <w:vAlign w:val="center"/>
            <w:hideMark/>
          </w:tcPr>
          <w:p w14:paraId="4454945E" w14:textId="77777777" w:rsidR="00D8292F" w:rsidRPr="00D8292F" w:rsidRDefault="00D8292F" w:rsidP="00D8292F">
            <w:pPr>
              <w:spacing w:after="0" w:line="240" w:lineRule="auto"/>
              <w:jc w:val="right"/>
              <w:rPr>
                <w:rFonts w:ascii="Arial" w:eastAsia="Times New Roman" w:hAnsi="Arial" w:cs="Arial"/>
                <w:b/>
                <w:bCs/>
                <w:lang w:eastAsia="en-GB"/>
              </w:rPr>
            </w:pPr>
            <w:r w:rsidRPr="00D8292F">
              <w:rPr>
                <w:rFonts w:ascii="Arial" w:eastAsia="Times New Roman" w:hAnsi="Arial" w:cs="Arial"/>
                <w:b/>
                <w:bCs/>
                <w:lang w:eastAsia="en-GB"/>
              </w:rPr>
              <w:t xml:space="preserve">3 </w:t>
            </w:r>
          </w:p>
        </w:tc>
        <w:tc>
          <w:tcPr>
            <w:tcW w:w="1180" w:type="dxa"/>
            <w:tcBorders>
              <w:top w:val="nil"/>
              <w:left w:val="nil"/>
              <w:bottom w:val="nil"/>
              <w:right w:val="nil"/>
            </w:tcBorders>
            <w:shd w:val="clear" w:color="000000" w:fill="FFFFFF"/>
            <w:noWrap/>
            <w:vAlign w:val="center"/>
            <w:hideMark/>
          </w:tcPr>
          <w:p w14:paraId="7BCCA1C7" w14:textId="77777777" w:rsidR="00D8292F" w:rsidRPr="00D8292F" w:rsidRDefault="00D8292F" w:rsidP="00D8292F">
            <w:pPr>
              <w:spacing w:after="0" w:line="240" w:lineRule="auto"/>
              <w:jc w:val="right"/>
              <w:rPr>
                <w:rFonts w:ascii="Arial" w:eastAsia="Times New Roman" w:hAnsi="Arial" w:cs="Arial"/>
                <w:lang w:eastAsia="en-GB"/>
              </w:rPr>
            </w:pPr>
            <w:r w:rsidRPr="00D8292F">
              <w:rPr>
                <w:rFonts w:ascii="Arial" w:eastAsia="Times New Roman" w:hAnsi="Arial" w:cs="Arial"/>
                <w:lang w:eastAsia="en-GB"/>
              </w:rPr>
              <w:t xml:space="preserve">7 </w:t>
            </w:r>
          </w:p>
        </w:tc>
      </w:tr>
      <w:tr w:rsidR="00D8292F" w:rsidRPr="00D8292F" w14:paraId="19839A0F" w14:textId="77777777" w:rsidTr="00D8292F">
        <w:trPr>
          <w:trHeight w:val="360"/>
        </w:trPr>
        <w:tc>
          <w:tcPr>
            <w:tcW w:w="5720" w:type="dxa"/>
            <w:tcBorders>
              <w:top w:val="nil"/>
              <w:left w:val="nil"/>
              <w:bottom w:val="nil"/>
              <w:right w:val="nil"/>
            </w:tcBorders>
            <w:shd w:val="clear" w:color="000000" w:fill="FFFFFF"/>
            <w:vAlign w:val="center"/>
            <w:hideMark/>
          </w:tcPr>
          <w:p w14:paraId="385C242A" w14:textId="77777777" w:rsidR="00D8292F" w:rsidRPr="00D8292F" w:rsidRDefault="00D8292F" w:rsidP="00D8292F">
            <w:pPr>
              <w:spacing w:after="0" w:line="240" w:lineRule="auto"/>
              <w:rPr>
                <w:rFonts w:ascii="Arial" w:eastAsia="Times New Roman" w:hAnsi="Arial" w:cs="Arial"/>
                <w:color w:val="000000"/>
                <w:lang w:eastAsia="en-GB"/>
              </w:rPr>
            </w:pPr>
            <w:r w:rsidRPr="00D8292F">
              <w:rPr>
                <w:rFonts w:ascii="Arial" w:eastAsia="Times New Roman" w:hAnsi="Arial" w:cs="Arial"/>
                <w:color w:val="000000"/>
                <w:lang w:eastAsia="en-GB"/>
              </w:rPr>
              <w:t>Costs of supporting functions</w:t>
            </w:r>
          </w:p>
        </w:tc>
        <w:tc>
          <w:tcPr>
            <w:tcW w:w="1520" w:type="dxa"/>
            <w:tcBorders>
              <w:top w:val="nil"/>
              <w:left w:val="nil"/>
              <w:bottom w:val="nil"/>
              <w:right w:val="nil"/>
            </w:tcBorders>
            <w:shd w:val="clear" w:color="000000" w:fill="FFFFFF"/>
            <w:noWrap/>
            <w:vAlign w:val="center"/>
            <w:hideMark/>
          </w:tcPr>
          <w:p w14:paraId="41E42637" w14:textId="77777777" w:rsidR="00D8292F" w:rsidRPr="00D8292F" w:rsidRDefault="00D8292F" w:rsidP="00D8292F">
            <w:pPr>
              <w:spacing w:after="0" w:line="240" w:lineRule="auto"/>
              <w:jc w:val="right"/>
              <w:rPr>
                <w:rFonts w:ascii="Arial" w:eastAsia="Times New Roman" w:hAnsi="Arial" w:cs="Arial"/>
                <w:b/>
                <w:bCs/>
                <w:lang w:eastAsia="en-GB"/>
              </w:rPr>
            </w:pPr>
            <w:r w:rsidRPr="00D8292F">
              <w:rPr>
                <w:rFonts w:ascii="Arial" w:eastAsia="Times New Roman" w:hAnsi="Arial" w:cs="Arial"/>
                <w:b/>
                <w:bCs/>
                <w:lang w:eastAsia="en-GB"/>
              </w:rPr>
              <w:t>(45)</w:t>
            </w:r>
          </w:p>
        </w:tc>
        <w:tc>
          <w:tcPr>
            <w:tcW w:w="1180" w:type="dxa"/>
            <w:tcBorders>
              <w:top w:val="nil"/>
              <w:left w:val="nil"/>
              <w:bottom w:val="nil"/>
              <w:right w:val="nil"/>
            </w:tcBorders>
            <w:shd w:val="clear" w:color="000000" w:fill="FFFFFF"/>
            <w:vAlign w:val="center"/>
            <w:hideMark/>
          </w:tcPr>
          <w:p w14:paraId="689AE658"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(44)</w:t>
            </w:r>
          </w:p>
        </w:tc>
      </w:tr>
      <w:tr w:rsidR="00D8292F" w:rsidRPr="00D8292F" w14:paraId="7710C4C3" w14:textId="77777777" w:rsidTr="00D8292F">
        <w:trPr>
          <w:trHeight w:val="360"/>
        </w:trPr>
        <w:tc>
          <w:tcPr>
            <w:tcW w:w="5720" w:type="dxa"/>
            <w:tcBorders>
              <w:top w:val="nil"/>
              <w:left w:val="nil"/>
              <w:bottom w:val="nil"/>
              <w:right w:val="nil"/>
            </w:tcBorders>
            <w:shd w:val="clear" w:color="000000" w:fill="FFFFFF"/>
            <w:vAlign w:val="center"/>
            <w:hideMark/>
          </w:tcPr>
          <w:p w14:paraId="68B9EDFD" w14:textId="77777777" w:rsidR="00D8292F" w:rsidRPr="00D8292F" w:rsidRDefault="00D8292F" w:rsidP="00D8292F">
            <w:pPr>
              <w:spacing w:after="0" w:line="240" w:lineRule="auto"/>
              <w:rPr>
                <w:rFonts w:ascii="Arial" w:eastAsia="Times New Roman" w:hAnsi="Arial" w:cs="Arial"/>
                <w:color w:val="000000"/>
                <w:lang w:eastAsia="en-GB"/>
              </w:rPr>
            </w:pPr>
            <w:r w:rsidRPr="00D8292F">
              <w:rPr>
                <w:rFonts w:ascii="Arial" w:eastAsia="Times New Roman" w:hAnsi="Arial" w:cs="Arial"/>
                <w:color w:val="000000"/>
                <w:lang w:eastAsia="en-GB"/>
              </w:rPr>
              <w:t>Other</w:t>
            </w:r>
          </w:p>
        </w:tc>
        <w:tc>
          <w:tcPr>
            <w:tcW w:w="1520" w:type="dxa"/>
            <w:tcBorders>
              <w:top w:val="nil"/>
              <w:left w:val="nil"/>
              <w:bottom w:val="nil"/>
              <w:right w:val="nil"/>
            </w:tcBorders>
            <w:shd w:val="clear" w:color="000000" w:fill="FFFFFF"/>
            <w:noWrap/>
            <w:vAlign w:val="center"/>
            <w:hideMark/>
          </w:tcPr>
          <w:p w14:paraId="3FEBFA1F" w14:textId="77777777" w:rsidR="00D8292F" w:rsidRPr="00D8292F" w:rsidRDefault="00D8292F" w:rsidP="00D8292F">
            <w:pPr>
              <w:spacing w:after="0" w:line="240" w:lineRule="auto"/>
              <w:jc w:val="right"/>
              <w:rPr>
                <w:rFonts w:ascii="Arial" w:eastAsia="Times New Roman" w:hAnsi="Arial" w:cs="Arial"/>
                <w:b/>
                <w:bCs/>
                <w:lang w:eastAsia="en-GB"/>
              </w:rPr>
            </w:pPr>
            <w:r w:rsidRPr="00D8292F">
              <w:rPr>
                <w:rFonts w:ascii="Arial" w:eastAsia="Times New Roman" w:hAnsi="Arial" w:cs="Arial"/>
                <w:b/>
                <w:bCs/>
                <w:lang w:eastAsia="en-GB"/>
              </w:rPr>
              <w:t xml:space="preserve">- </w:t>
            </w:r>
          </w:p>
        </w:tc>
        <w:tc>
          <w:tcPr>
            <w:tcW w:w="1180" w:type="dxa"/>
            <w:tcBorders>
              <w:top w:val="nil"/>
              <w:left w:val="nil"/>
              <w:bottom w:val="nil"/>
              <w:right w:val="nil"/>
            </w:tcBorders>
            <w:shd w:val="clear" w:color="000000" w:fill="FFFFFF"/>
            <w:vAlign w:val="center"/>
            <w:hideMark/>
          </w:tcPr>
          <w:p w14:paraId="5AE750BA"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(1)</w:t>
            </w:r>
          </w:p>
        </w:tc>
      </w:tr>
      <w:tr w:rsidR="00D8292F" w:rsidRPr="00D8292F" w14:paraId="34BDD38B" w14:textId="77777777" w:rsidTr="006F477E">
        <w:trPr>
          <w:trHeight w:val="360"/>
        </w:trPr>
        <w:tc>
          <w:tcPr>
            <w:tcW w:w="5720" w:type="dxa"/>
            <w:tcBorders>
              <w:top w:val="single" w:sz="4" w:space="0" w:color="auto"/>
              <w:left w:val="nil"/>
              <w:bottom w:val="single" w:sz="4" w:space="0" w:color="auto"/>
              <w:right w:val="nil"/>
            </w:tcBorders>
            <w:shd w:val="clear" w:color="auto" w:fill="F2F2F2" w:themeFill="background1" w:themeFillShade="F2"/>
            <w:vAlign w:val="center"/>
            <w:hideMark/>
          </w:tcPr>
          <w:p w14:paraId="59595AD5" w14:textId="77777777" w:rsidR="00D8292F" w:rsidRPr="00D8292F" w:rsidRDefault="00D8292F" w:rsidP="00D8292F">
            <w:pPr>
              <w:spacing w:after="0" w:line="240" w:lineRule="auto"/>
              <w:rPr>
                <w:rFonts w:ascii="Arial" w:eastAsia="Times New Roman" w:hAnsi="Arial" w:cs="Arial"/>
                <w:b/>
                <w:bCs/>
                <w:color w:val="000000"/>
                <w:lang w:eastAsia="en-GB"/>
              </w:rPr>
            </w:pPr>
            <w:r w:rsidRPr="00D8292F">
              <w:rPr>
                <w:rFonts w:ascii="Arial" w:eastAsia="Times New Roman" w:hAnsi="Arial" w:cs="Arial"/>
                <w:b/>
                <w:bCs/>
                <w:color w:val="000000"/>
                <w:lang w:eastAsia="en-GB"/>
              </w:rPr>
              <w:t>Total underlying operating profit (a)</w:t>
            </w:r>
          </w:p>
        </w:tc>
        <w:tc>
          <w:tcPr>
            <w:tcW w:w="1520" w:type="dxa"/>
            <w:tcBorders>
              <w:top w:val="single" w:sz="4" w:space="0" w:color="auto"/>
              <w:left w:val="nil"/>
              <w:bottom w:val="single" w:sz="4" w:space="0" w:color="auto"/>
              <w:right w:val="nil"/>
            </w:tcBorders>
            <w:shd w:val="clear" w:color="auto" w:fill="F2F2F2" w:themeFill="background1" w:themeFillShade="F2"/>
            <w:vAlign w:val="center"/>
            <w:hideMark/>
          </w:tcPr>
          <w:p w14:paraId="53FE9018" w14:textId="77777777" w:rsidR="00D8292F" w:rsidRPr="00D8292F" w:rsidRDefault="00D8292F" w:rsidP="00D8292F">
            <w:pPr>
              <w:spacing w:after="0" w:line="240" w:lineRule="auto"/>
              <w:jc w:val="right"/>
              <w:rPr>
                <w:rFonts w:ascii="Arial" w:eastAsia="Times New Roman" w:hAnsi="Arial" w:cs="Arial"/>
                <w:b/>
                <w:bCs/>
                <w:color w:val="000000"/>
                <w:lang w:eastAsia="en-GB"/>
              </w:rPr>
            </w:pPr>
            <w:r w:rsidRPr="00D8292F">
              <w:rPr>
                <w:rFonts w:ascii="Arial" w:eastAsia="Times New Roman" w:hAnsi="Arial" w:cs="Arial"/>
                <w:b/>
                <w:bCs/>
                <w:color w:val="000000"/>
                <w:lang w:eastAsia="en-GB"/>
              </w:rPr>
              <w:t xml:space="preserve">18 </w:t>
            </w:r>
          </w:p>
        </w:tc>
        <w:tc>
          <w:tcPr>
            <w:tcW w:w="1180" w:type="dxa"/>
            <w:tcBorders>
              <w:top w:val="single" w:sz="4" w:space="0" w:color="auto"/>
              <w:left w:val="nil"/>
              <w:bottom w:val="single" w:sz="4" w:space="0" w:color="auto"/>
              <w:right w:val="nil"/>
            </w:tcBorders>
            <w:shd w:val="clear" w:color="auto" w:fill="F2F2F2" w:themeFill="background1" w:themeFillShade="F2"/>
            <w:vAlign w:val="center"/>
            <w:hideMark/>
          </w:tcPr>
          <w:p w14:paraId="67EAC614" w14:textId="77777777" w:rsidR="00D8292F" w:rsidRPr="00D8292F" w:rsidRDefault="00D8292F" w:rsidP="00D8292F">
            <w:pPr>
              <w:spacing w:after="0" w:line="240" w:lineRule="auto"/>
              <w:jc w:val="right"/>
              <w:rPr>
                <w:rFonts w:ascii="Arial" w:eastAsia="Times New Roman" w:hAnsi="Arial" w:cs="Arial"/>
                <w:b/>
                <w:bCs/>
                <w:color w:val="000000"/>
                <w:lang w:eastAsia="en-GB"/>
              </w:rPr>
            </w:pPr>
            <w:r w:rsidRPr="00D8292F">
              <w:rPr>
                <w:rFonts w:ascii="Arial" w:eastAsia="Times New Roman" w:hAnsi="Arial" w:cs="Arial"/>
                <w:b/>
                <w:bCs/>
                <w:color w:val="000000"/>
                <w:lang w:eastAsia="en-GB"/>
              </w:rPr>
              <w:t xml:space="preserve">51 </w:t>
            </w:r>
          </w:p>
        </w:tc>
      </w:tr>
      <w:tr w:rsidR="00D8292F" w:rsidRPr="00D8292F" w14:paraId="4F8E3FF0" w14:textId="77777777" w:rsidTr="006F477E">
        <w:trPr>
          <w:trHeight w:val="360"/>
        </w:trPr>
        <w:tc>
          <w:tcPr>
            <w:tcW w:w="5720" w:type="dxa"/>
            <w:tcBorders>
              <w:top w:val="nil"/>
              <w:left w:val="nil"/>
              <w:bottom w:val="nil"/>
              <w:right w:val="nil"/>
            </w:tcBorders>
            <w:shd w:val="clear" w:color="auto" w:fill="auto"/>
            <w:vAlign w:val="center"/>
            <w:hideMark/>
          </w:tcPr>
          <w:p w14:paraId="71695302" w14:textId="77777777" w:rsidR="00D8292F" w:rsidRPr="00D8292F" w:rsidRDefault="00D8292F" w:rsidP="00D8292F">
            <w:pPr>
              <w:spacing w:after="0" w:line="240" w:lineRule="auto"/>
              <w:rPr>
                <w:rFonts w:ascii="Arial" w:eastAsia="Times New Roman" w:hAnsi="Arial" w:cs="Arial"/>
                <w:color w:val="000000"/>
                <w:lang w:eastAsia="en-GB"/>
              </w:rPr>
            </w:pPr>
            <w:r w:rsidRPr="00D8292F">
              <w:rPr>
                <w:rFonts w:ascii="Arial" w:eastAsia="Times New Roman" w:hAnsi="Arial" w:cs="Arial"/>
                <w:color w:val="000000"/>
                <w:lang w:eastAsia="en-GB"/>
              </w:rPr>
              <w:t xml:space="preserve">Property revaluations, </w:t>
            </w:r>
            <w:proofErr w:type="gramStart"/>
            <w:r w:rsidRPr="00D8292F">
              <w:rPr>
                <w:rFonts w:ascii="Arial" w:eastAsia="Times New Roman" w:hAnsi="Arial" w:cs="Arial"/>
                <w:color w:val="000000"/>
                <w:lang w:eastAsia="en-GB"/>
              </w:rPr>
              <w:t>disposals</w:t>
            </w:r>
            <w:proofErr w:type="gramEnd"/>
            <w:r w:rsidRPr="00D8292F">
              <w:rPr>
                <w:rFonts w:ascii="Arial" w:eastAsia="Times New Roman" w:hAnsi="Arial" w:cs="Arial"/>
                <w:color w:val="000000"/>
                <w:lang w:eastAsia="en-GB"/>
              </w:rPr>
              <w:t xml:space="preserve"> and one-off items</w:t>
            </w:r>
          </w:p>
        </w:tc>
        <w:tc>
          <w:tcPr>
            <w:tcW w:w="1520" w:type="dxa"/>
            <w:tcBorders>
              <w:top w:val="nil"/>
              <w:left w:val="nil"/>
              <w:bottom w:val="nil"/>
              <w:right w:val="nil"/>
            </w:tcBorders>
            <w:shd w:val="clear" w:color="auto" w:fill="auto"/>
            <w:noWrap/>
            <w:vAlign w:val="center"/>
            <w:hideMark/>
          </w:tcPr>
          <w:p w14:paraId="70A279EC" w14:textId="77777777" w:rsidR="00D8292F" w:rsidRPr="00D8292F" w:rsidRDefault="00D8292F" w:rsidP="00D8292F">
            <w:pPr>
              <w:spacing w:after="0" w:line="240" w:lineRule="auto"/>
              <w:jc w:val="right"/>
              <w:rPr>
                <w:rFonts w:ascii="Arial" w:eastAsia="Times New Roman" w:hAnsi="Arial" w:cs="Arial"/>
                <w:b/>
                <w:bCs/>
                <w:lang w:eastAsia="en-GB"/>
              </w:rPr>
            </w:pPr>
            <w:r w:rsidRPr="00D8292F">
              <w:rPr>
                <w:rFonts w:ascii="Arial" w:eastAsia="Times New Roman" w:hAnsi="Arial" w:cs="Arial"/>
                <w:b/>
                <w:bCs/>
                <w:lang w:eastAsia="en-GB"/>
              </w:rPr>
              <w:t>(38)</w:t>
            </w:r>
          </w:p>
        </w:tc>
        <w:tc>
          <w:tcPr>
            <w:tcW w:w="1180" w:type="dxa"/>
            <w:tcBorders>
              <w:top w:val="nil"/>
              <w:left w:val="nil"/>
              <w:bottom w:val="nil"/>
              <w:right w:val="nil"/>
            </w:tcBorders>
            <w:shd w:val="clear" w:color="auto" w:fill="auto"/>
            <w:vAlign w:val="center"/>
            <w:hideMark/>
          </w:tcPr>
          <w:p w14:paraId="242C38DD"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(43)</w:t>
            </w:r>
          </w:p>
        </w:tc>
      </w:tr>
      <w:tr w:rsidR="00D8292F" w:rsidRPr="00D8292F" w14:paraId="520AE11E" w14:textId="77777777" w:rsidTr="006F477E">
        <w:trPr>
          <w:trHeight w:val="360"/>
        </w:trPr>
        <w:tc>
          <w:tcPr>
            <w:tcW w:w="5720" w:type="dxa"/>
            <w:tcBorders>
              <w:top w:val="single" w:sz="4" w:space="0" w:color="auto"/>
              <w:left w:val="nil"/>
              <w:bottom w:val="single" w:sz="4" w:space="0" w:color="auto"/>
              <w:right w:val="nil"/>
            </w:tcBorders>
            <w:shd w:val="clear" w:color="auto" w:fill="F2F2F2" w:themeFill="background1" w:themeFillShade="F2"/>
            <w:vAlign w:val="center"/>
            <w:hideMark/>
          </w:tcPr>
          <w:p w14:paraId="1F37C93C" w14:textId="77777777" w:rsidR="00D8292F" w:rsidRPr="00D8292F" w:rsidRDefault="00D8292F" w:rsidP="00D8292F">
            <w:pPr>
              <w:spacing w:after="0" w:line="240" w:lineRule="auto"/>
              <w:rPr>
                <w:rFonts w:ascii="Arial" w:eastAsia="Times New Roman" w:hAnsi="Arial" w:cs="Arial"/>
                <w:b/>
                <w:bCs/>
                <w:color w:val="000000"/>
                <w:lang w:eastAsia="en-GB"/>
              </w:rPr>
            </w:pPr>
            <w:r w:rsidRPr="00D8292F">
              <w:rPr>
                <w:rFonts w:ascii="Arial" w:eastAsia="Times New Roman" w:hAnsi="Arial" w:cs="Arial"/>
                <w:b/>
                <w:bCs/>
                <w:color w:val="000000"/>
                <w:lang w:eastAsia="en-GB"/>
              </w:rPr>
              <w:t>Operating (loss) / profit</w:t>
            </w:r>
          </w:p>
        </w:tc>
        <w:tc>
          <w:tcPr>
            <w:tcW w:w="1520" w:type="dxa"/>
            <w:tcBorders>
              <w:top w:val="single" w:sz="4" w:space="0" w:color="auto"/>
              <w:left w:val="nil"/>
              <w:bottom w:val="single" w:sz="4" w:space="0" w:color="auto"/>
              <w:right w:val="nil"/>
            </w:tcBorders>
            <w:shd w:val="clear" w:color="auto" w:fill="F2F2F2" w:themeFill="background1" w:themeFillShade="F2"/>
            <w:vAlign w:val="center"/>
            <w:hideMark/>
          </w:tcPr>
          <w:p w14:paraId="3A2FBD9E" w14:textId="77777777" w:rsidR="00D8292F" w:rsidRPr="00D8292F" w:rsidRDefault="00D8292F" w:rsidP="00D8292F">
            <w:pPr>
              <w:spacing w:after="0" w:line="240" w:lineRule="auto"/>
              <w:jc w:val="right"/>
              <w:rPr>
                <w:rFonts w:ascii="Arial" w:eastAsia="Times New Roman" w:hAnsi="Arial" w:cs="Arial"/>
                <w:b/>
                <w:bCs/>
                <w:color w:val="000000"/>
                <w:lang w:eastAsia="en-GB"/>
              </w:rPr>
            </w:pPr>
            <w:r w:rsidRPr="00D8292F">
              <w:rPr>
                <w:rFonts w:ascii="Arial" w:eastAsia="Times New Roman" w:hAnsi="Arial" w:cs="Arial"/>
                <w:b/>
                <w:bCs/>
                <w:color w:val="000000"/>
                <w:lang w:eastAsia="en-GB"/>
              </w:rPr>
              <w:t>(20)</w:t>
            </w:r>
          </w:p>
        </w:tc>
        <w:tc>
          <w:tcPr>
            <w:tcW w:w="1180" w:type="dxa"/>
            <w:tcBorders>
              <w:top w:val="single" w:sz="4" w:space="0" w:color="auto"/>
              <w:left w:val="nil"/>
              <w:bottom w:val="single" w:sz="4" w:space="0" w:color="auto"/>
              <w:right w:val="nil"/>
            </w:tcBorders>
            <w:shd w:val="clear" w:color="auto" w:fill="F2F2F2" w:themeFill="background1" w:themeFillShade="F2"/>
            <w:vAlign w:val="center"/>
            <w:hideMark/>
          </w:tcPr>
          <w:p w14:paraId="548A206D" w14:textId="77777777" w:rsidR="00D8292F" w:rsidRPr="00D8292F" w:rsidRDefault="00D8292F" w:rsidP="00D8292F">
            <w:pPr>
              <w:spacing w:after="0" w:line="240" w:lineRule="auto"/>
              <w:jc w:val="right"/>
              <w:rPr>
                <w:rFonts w:ascii="Arial" w:eastAsia="Times New Roman" w:hAnsi="Arial" w:cs="Arial"/>
                <w:b/>
                <w:bCs/>
                <w:color w:val="000000"/>
                <w:lang w:eastAsia="en-GB"/>
              </w:rPr>
            </w:pPr>
            <w:r w:rsidRPr="00D8292F">
              <w:rPr>
                <w:rFonts w:ascii="Arial" w:eastAsia="Times New Roman" w:hAnsi="Arial" w:cs="Arial"/>
                <w:b/>
                <w:bCs/>
                <w:color w:val="000000"/>
                <w:lang w:eastAsia="en-GB"/>
              </w:rPr>
              <w:t xml:space="preserve">8 </w:t>
            </w:r>
          </w:p>
        </w:tc>
      </w:tr>
      <w:tr w:rsidR="00D8292F" w:rsidRPr="00D8292F" w14:paraId="36E44438" w14:textId="77777777" w:rsidTr="00D8292F">
        <w:trPr>
          <w:trHeight w:val="360"/>
        </w:trPr>
        <w:tc>
          <w:tcPr>
            <w:tcW w:w="5720" w:type="dxa"/>
            <w:tcBorders>
              <w:top w:val="nil"/>
              <w:left w:val="nil"/>
              <w:bottom w:val="nil"/>
              <w:right w:val="nil"/>
            </w:tcBorders>
            <w:shd w:val="clear" w:color="000000" w:fill="FFFFFF"/>
            <w:vAlign w:val="center"/>
            <w:hideMark/>
          </w:tcPr>
          <w:p w14:paraId="066B2ED8" w14:textId="77777777" w:rsidR="00D8292F" w:rsidRPr="00D8292F" w:rsidRDefault="00D8292F" w:rsidP="00D8292F">
            <w:pPr>
              <w:spacing w:after="0" w:line="240" w:lineRule="auto"/>
              <w:rPr>
                <w:rFonts w:ascii="Arial" w:eastAsia="Times New Roman" w:hAnsi="Arial" w:cs="Arial"/>
                <w:color w:val="000000"/>
                <w:lang w:eastAsia="en-GB"/>
              </w:rPr>
            </w:pPr>
            <w:r w:rsidRPr="00D8292F">
              <w:rPr>
                <w:rFonts w:ascii="Arial" w:eastAsia="Times New Roman" w:hAnsi="Arial" w:cs="Arial"/>
                <w:color w:val="000000"/>
                <w:lang w:eastAsia="en-GB"/>
              </w:rPr>
              <w:t>Underlying interest (b)</w:t>
            </w:r>
          </w:p>
        </w:tc>
        <w:tc>
          <w:tcPr>
            <w:tcW w:w="1520" w:type="dxa"/>
            <w:tcBorders>
              <w:top w:val="nil"/>
              <w:left w:val="nil"/>
              <w:bottom w:val="nil"/>
              <w:right w:val="nil"/>
            </w:tcBorders>
            <w:shd w:val="clear" w:color="000000" w:fill="FFFFFF"/>
            <w:noWrap/>
            <w:vAlign w:val="center"/>
            <w:hideMark/>
          </w:tcPr>
          <w:p w14:paraId="58F0BA02" w14:textId="77777777" w:rsidR="00D8292F" w:rsidRPr="00D8292F" w:rsidRDefault="00D8292F" w:rsidP="00D8292F">
            <w:pPr>
              <w:spacing w:after="0" w:line="240" w:lineRule="auto"/>
              <w:jc w:val="right"/>
              <w:rPr>
                <w:rFonts w:ascii="Arial" w:eastAsia="Times New Roman" w:hAnsi="Arial" w:cs="Arial"/>
                <w:b/>
                <w:bCs/>
                <w:lang w:eastAsia="en-GB"/>
              </w:rPr>
            </w:pPr>
            <w:r w:rsidRPr="00D8292F">
              <w:rPr>
                <w:rFonts w:ascii="Arial" w:eastAsia="Times New Roman" w:hAnsi="Arial" w:cs="Arial"/>
                <w:b/>
                <w:bCs/>
                <w:lang w:eastAsia="en-GB"/>
              </w:rPr>
              <w:t>(28)</w:t>
            </w:r>
          </w:p>
        </w:tc>
        <w:tc>
          <w:tcPr>
            <w:tcW w:w="1180" w:type="dxa"/>
            <w:tcBorders>
              <w:top w:val="nil"/>
              <w:left w:val="nil"/>
              <w:bottom w:val="nil"/>
              <w:right w:val="nil"/>
            </w:tcBorders>
            <w:shd w:val="clear" w:color="000000" w:fill="FFFFFF"/>
            <w:vAlign w:val="center"/>
            <w:hideMark/>
          </w:tcPr>
          <w:p w14:paraId="261CB8A4"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(29)</w:t>
            </w:r>
          </w:p>
        </w:tc>
      </w:tr>
      <w:tr w:rsidR="00D8292F" w:rsidRPr="00D8292F" w14:paraId="49747218" w14:textId="77777777" w:rsidTr="00D8292F">
        <w:trPr>
          <w:trHeight w:val="360"/>
        </w:trPr>
        <w:tc>
          <w:tcPr>
            <w:tcW w:w="5720" w:type="dxa"/>
            <w:tcBorders>
              <w:top w:val="nil"/>
              <w:left w:val="nil"/>
              <w:bottom w:val="nil"/>
              <w:right w:val="nil"/>
            </w:tcBorders>
            <w:shd w:val="clear" w:color="000000" w:fill="FFFFFF"/>
            <w:vAlign w:val="center"/>
            <w:hideMark/>
          </w:tcPr>
          <w:p w14:paraId="6E19ED9C" w14:textId="77777777" w:rsidR="00D8292F" w:rsidRPr="00D8292F" w:rsidRDefault="00D8292F" w:rsidP="00D8292F">
            <w:pPr>
              <w:spacing w:after="0" w:line="240" w:lineRule="auto"/>
              <w:rPr>
                <w:rFonts w:ascii="Arial" w:eastAsia="Times New Roman" w:hAnsi="Arial" w:cs="Arial"/>
                <w:color w:val="000000"/>
                <w:lang w:eastAsia="en-GB"/>
              </w:rPr>
            </w:pPr>
            <w:r w:rsidRPr="00D8292F">
              <w:rPr>
                <w:rFonts w:ascii="Arial" w:eastAsia="Times New Roman" w:hAnsi="Arial" w:cs="Arial"/>
                <w:color w:val="000000"/>
                <w:lang w:eastAsia="en-GB"/>
              </w:rPr>
              <w:t>Net underlying lease interest (c)</w:t>
            </w:r>
          </w:p>
        </w:tc>
        <w:tc>
          <w:tcPr>
            <w:tcW w:w="1520" w:type="dxa"/>
            <w:tcBorders>
              <w:top w:val="nil"/>
              <w:left w:val="nil"/>
              <w:bottom w:val="nil"/>
              <w:right w:val="nil"/>
            </w:tcBorders>
            <w:shd w:val="clear" w:color="000000" w:fill="FFFFFF"/>
            <w:noWrap/>
            <w:vAlign w:val="center"/>
            <w:hideMark/>
          </w:tcPr>
          <w:p w14:paraId="73BD6EA2" w14:textId="77777777" w:rsidR="00D8292F" w:rsidRPr="00D8292F" w:rsidRDefault="00D8292F" w:rsidP="00D8292F">
            <w:pPr>
              <w:spacing w:after="0" w:line="240" w:lineRule="auto"/>
              <w:jc w:val="right"/>
              <w:rPr>
                <w:rFonts w:ascii="Arial" w:eastAsia="Times New Roman" w:hAnsi="Arial" w:cs="Arial"/>
                <w:b/>
                <w:bCs/>
                <w:lang w:eastAsia="en-GB"/>
              </w:rPr>
            </w:pPr>
            <w:r w:rsidRPr="00D8292F">
              <w:rPr>
                <w:rFonts w:ascii="Arial" w:eastAsia="Times New Roman" w:hAnsi="Arial" w:cs="Arial"/>
                <w:b/>
                <w:bCs/>
                <w:lang w:eastAsia="en-GB"/>
              </w:rPr>
              <w:t>(39)</w:t>
            </w:r>
          </w:p>
        </w:tc>
        <w:tc>
          <w:tcPr>
            <w:tcW w:w="1180" w:type="dxa"/>
            <w:tcBorders>
              <w:top w:val="nil"/>
              <w:left w:val="nil"/>
              <w:bottom w:val="nil"/>
              <w:right w:val="nil"/>
            </w:tcBorders>
            <w:shd w:val="clear" w:color="000000" w:fill="FFFFFF"/>
            <w:vAlign w:val="center"/>
            <w:hideMark/>
          </w:tcPr>
          <w:p w14:paraId="454A2B85"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(37)</w:t>
            </w:r>
          </w:p>
        </w:tc>
      </w:tr>
      <w:tr w:rsidR="00D8292F" w:rsidRPr="00D8292F" w14:paraId="6E98723A" w14:textId="77777777" w:rsidTr="00D8292F">
        <w:trPr>
          <w:trHeight w:val="360"/>
        </w:trPr>
        <w:tc>
          <w:tcPr>
            <w:tcW w:w="5720" w:type="dxa"/>
            <w:tcBorders>
              <w:top w:val="nil"/>
              <w:left w:val="nil"/>
              <w:bottom w:val="nil"/>
              <w:right w:val="nil"/>
            </w:tcBorders>
            <w:shd w:val="clear" w:color="000000" w:fill="FFFFFF"/>
            <w:vAlign w:val="center"/>
            <w:hideMark/>
          </w:tcPr>
          <w:p w14:paraId="1349E853" w14:textId="77777777" w:rsidR="00D8292F" w:rsidRPr="00D8292F" w:rsidRDefault="00D8292F" w:rsidP="00D8292F">
            <w:pPr>
              <w:spacing w:after="0" w:line="240" w:lineRule="auto"/>
              <w:rPr>
                <w:rFonts w:ascii="Arial" w:eastAsia="Times New Roman" w:hAnsi="Arial" w:cs="Arial"/>
                <w:color w:val="000000"/>
                <w:lang w:eastAsia="en-GB"/>
              </w:rPr>
            </w:pPr>
            <w:r w:rsidRPr="00D8292F">
              <w:rPr>
                <w:rFonts w:ascii="Arial" w:eastAsia="Times New Roman" w:hAnsi="Arial" w:cs="Arial"/>
                <w:color w:val="000000"/>
                <w:lang w:eastAsia="en-GB"/>
              </w:rPr>
              <w:t xml:space="preserve">Net finance income / (cost) on funeral plans </w:t>
            </w:r>
          </w:p>
        </w:tc>
        <w:tc>
          <w:tcPr>
            <w:tcW w:w="1520" w:type="dxa"/>
            <w:tcBorders>
              <w:top w:val="nil"/>
              <w:left w:val="nil"/>
              <w:bottom w:val="nil"/>
              <w:right w:val="nil"/>
            </w:tcBorders>
            <w:shd w:val="clear" w:color="000000" w:fill="FFFFFF"/>
            <w:noWrap/>
            <w:vAlign w:val="center"/>
            <w:hideMark/>
          </w:tcPr>
          <w:p w14:paraId="15627752" w14:textId="77777777" w:rsidR="00D8292F" w:rsidRPr="00D8292F" w:rsidRDefault="00D8292F" w:rsidP="00D8292F">
            <w:pPr>
              <w:spacing w:after="0" w:line="240" w:lineRule="auto"/>
              <w:jc w:val="right"/>
              <w:rPr>
                <w:rFonts w:ascii="Arial" w:eastAsia="Times New Roman" w:hAnsi="Arial" w:cs="Arial"/>
                <w:b/>
                <w:bCs/>
                <w:lang w:eastAsia="en-GB"/>
              </w:rPr>
            </w:pPr>
            <w:r w:rsidRPr="00D8292F">
              <w:rPr>
                <w:rFonts w:ascii="Arial" w:eastAsia="Times New Roman" w:hAnsi="Arial" w:cs="Arial"/>
                <w:b/>
                <w:bCs/>
                <w:lang w:eastAsia="en-GB"/>
              </w:rPr>
              <w:t xml:space="preserve">21 </w:t>
            </w:r>
          </w:p>
        </w:tc>
        <w:tc>
          <w:tcPr>
            <w:tcW w:w="1180" w:type="dxa"/>
            <w:tcBorders>
              <w:top w:val="nil"/>
              <w:left w:val="nil"/>
              <w:bottom w:val="nil"/>
              <w:right w:val="nil"/>
            </w:tcBorders>
            <w:shd w:val="clear" w:color="000000" w:fill="FFFFFF"/>
            <w:vAlign w:val="center"/>
            <w:hideMark/>
          </w:tcPr>
          <w:p w14:paraId="7D883CFB"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(9)</w:t>
            </w:r>
          </w:p>
        </w:tc>
      </w:tr>
      <w:tr w:rsidR="00D8292F" w:rsidRPr="00D8292F" w14:paraId="62BF2D28" w14:textId="77777777" w:rsidTr="00D8292F">
        <w:trPr>
          <w:trHeight w:val="360"/>
        </w:trPr>
        <w:tc>
          <w:tcPr>
            <w:tcW w:w="5720" w:type="dxa"/>
            <w:tcBorders>
              <w:top w:val="nil"/>
              <w:left w:val="nil"/>
              <w:bottom w:val="nil"/>
              <w:right w:val="nil"/>
            </w:tcBorders>
            <w:shd w:val="clear" w:color="000000" w:fill="FFFFFF"/>
            <w:vAlign w:val="center"/>
            <w:hideMark/>
          </w:tcPr>
          <w:p w14:paraId="6962FD73" w14:textId="77777777" w:rsidR="00D8292F" w:rsidRPr="00D8292F" w:rsidRDefault="00D8292F" w:rsidP="00D8292F">
            <w:pPr>
              <w:spacing w:after="0" w:line="240" w:lineRule="auto"/>
              <w:rPr>
                <w:rFonts w:ascii="Arial" w:eastAsia="Times New Roman" w:hAnsi="Arial" w:cs="Arial"/>
                <w:color w:val="000000"/>
                <w:lang w:eastAsia="en-GB"/>
              </w:rPr>
            </w:pPr>
            <w:r w:rsidRPr="00D8292F">
              <w:rPr>
                <w:rFonts w:ascii="Arial" w:eastAsia="Times New Roman" w:hAnsi="Arial" w:cs="Arial"/>
                <w:color w:val="000000"/>
                <w:lang w:eastAsia="en-GB"/>
              </w:rPr>
              <w:t>Other non-underlying net interest</w:t>
            </w:r>
          </w:p>
        </w:tc>
        <w:tc>
          <w:tcPr>
            <w:tcW w:w="1520" w:type="dxa"/>
            <w:tcBorders>
              <w:top w:val="nil"/>
              <w:left w:val="nil"/>
              <w:bottom w:val="nil"/>
              <w:right w:val="nil"/>
            </w:tcBorders>
            <w:shd w:val="clear" w:color="000000" w:fill="FFFFFF"/>
            <w:noWrap/>
            <w:vAlign w:val="center"/>
            <w:hideMark/>
          </w:tcPr>
          <w:p w14:paraId="15A211A7" w14:textId="77777777" w:rsidR="00D8292F" w:rsidRPr="00D8292F" w:rsidRDefault="00D8292F" w:rsidP="00D8292F">
            <w:pPr>
              <w:spacing w:after="0" w:line="240" w:lineRule="auto"/>
              <w:jc w:val="right"/>
              <w:rPr>
                <w:rFonts w:ascii="Arial" w:eastAsia="Times New Roman" w:hAnsi="Arial" w:cs="Arial"/>
                <w:b/>
                <w:bCs/>
                <w:lang w:eastAsia="en-GB"/>
              </w:rPr>
            </w:pPr>
            <w:r w:rsidRPr="00D8292F">
              <w:rPr>
                <w:rFonts w:ascii="Arial" w:eastAsia="Times New Roman" w:hAnsi="Arial" w:cs="Arial"/>
                <w:b/>
                <w:bCs/>
                <w:lang w:eastAsia="en-GB"/>
              </w:rPr>
              <w:t xml:space="preserve">73 </w:t>
            </w:r>
          </w:p>
        </w:tc>
        <w:tc>
          <w:tcPr>
            <w:tcW w:w="1180" w:type="dxa"/>
            <w:tcBorders>
              <w:top w:val="nil"/>
              <w:left w:val="nil"/>
              <w:bottom w:val="nil"/>
              <w:right w:val="nil"/>
            </w:tcBorders>
            <w:shd w:val="clear" w:color="000000" w:fill="FFFFFF"/>
            <w:noWrap/>
            <w:vAlign w:val="center"/>
            <w:hideMark/>
          </w:tcPr>
          <w:p w14:paraId="058BE43A"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 xml:space="preserve">12 </w:t>
            </w:r>
          </w:p>
        </w:tc>
      </w:tr>
      <w:tr w:rsidR="00D8292F" w:rsidRPr="00D8292F" w14:paraId="3631ECE9" w14:textId="77777777" w:rsidTr="00D8292F">
        <w:trPr>
          <w:trHeight w:val="360"/>
        </w:trPr>
        <w:tc>
          <w:tcPr>
            <w:tcW w:w="5720" w:type="dxa"/>
            <w:tcBorders>
              <w:top w:val="nil"/>
              <w:left w:val="nil"/>
              <w:bottom w:val="nil"/>
              <w:right w:val="nil"/>
            </w:tcBorders>
            <w:shd w:val="clear" w:color="000000" w:fill="FFFFFF"/>
            <w:vAlign w:val="center"/>
            <w:hideMark/>
          </w:tcPr>
          <w:p w14:paraId="5B343830" w14:textId="77777777" w:rsidR="00D8292F" w:rsidRPr="00D8292F" w:rsidRDefault="00D8292F" w:rsidP="00D8292F">
            <w:pPr>
              <w:spacing w:after="0" w:line="240" w:lineRule="auto"/>
              <w:rPr>
                <w:rFonts w:ascii="Arial" w:eastAsia="Times New Roman" w:hAnsi="Arial" w:cs="Arial"/>
                <w:color w:val="000000"/>
                <w:lang w:eastAsia="en-GB"/>
              </w:rPr>
            </w:pPr>
            <w:r w:rsidRPr="00D8292F">
              <w:rPr>
                <w:rFonts w:ascii="Arial" w:eastAsia="Times New Roman" w:hAnsi="Arial" w:cs="Arial"/>
                <w:color w:val="000000"/>
                <w:lang w:eastAsia="en-GB"/>
              </w:rPr>
              <w:t>One-off gain on settlement of Group Relief Creditor</w:t>
            </w:r>
          </w:p>
        </w:tc>
        <w:tc>
          <w:tcPr>
            <w:tcW w:w="1520" w:type="dxa"/>
            <w:tcBorders>
              <w:top w:val="nil"/>
              <w:left w:val="nil"/>
              <w:bottom w:val="nil"/>
              <w:right w:val="nil"/>
            </w:tcBorders>
            <w:shd w:val="clear" w:color="000000" w:fill="FFFFFF"/>
            <w:noWrap/>
            <w:vAlign w:val="center"/>
            <w:hideMark/>
          </w:tcPr>
          <w:p w14:paraId="7D5C6F69" w14:textId="77777777" w:rsidR="00D8292F" w:rsidRPr="00D8292F" w:rsidRDefault="00D8292F" w:rsidP="00D8292F">
            <w:pPr>
              <w:spacing w:after="0" w:line="240" w:lineRule="auto"/>
              <w:jc w:val="right"/>
              <w:rPr>
                <w:rFonts w:ascii="Arial" w:eastAsia="Times New Roman" w:hAnsi="Arial" w:cs="Arial"/>
                <w:b/>
                <w:bCs/>
                <w:lang w:eastAsia="en-GB"/>
              </w:rPr>
            </w:pPr>
            <w:r w:rsidRPr="00D8292F">
              <w:rPr>
                <w:rFonts w:ascii="Arial" w:eastAsia="Times New Roman" w:hAnsi="Arial" w:cs="Arial"/>
                <w:b/>
                <w:bCs/>
                <w:lang w:eastAsia="en-GB"/>
              </w:rPr>
              <w:t xml:space="preserve">- </w:t>
            </w:r>
          </w:p>
        </w:tc>
        <w:tc>
          <w:tcPr>
            <w:tcW w:w="1180" w:type="dxa"/>
            <w:tcBorders>
              <w:top w:val="nil"/>
              <w:left w:val="nil"/>
              <w:bottom w:val="nil"/>
              <w:right w:val="nil"/>
            </w:tcBorders>
            <w:shd w:val="clear" w:color="000000" w:fill="FFFFFF"/>
            <w:noWrap/>
            <w:vAlign w:val="center"/>
            <w:hideMark/>
          </w:tcPr>
          <w:p w14:paraId="5E2B1783" w14:textId="77777777" w:rsidR="00D8292F" w:rsidRPr="00D8292F" w:rsidRDefault="00D8292F" w:rsidP="00D8292F">
            <w:pPr>
              <w:spacing w:after="0" w:line="240" w:lineRule="auto"/>
              <w:jc w:val="right"/>
              <w:rPr>
                <w:rFonts w:ascii="Arial" w:eastAsia="Times New Roman" w:hAnsi="Arial" w:cs="Arial"/>
                <w:lang w:eastAsia="en-GB"/>
              </w:rPr>
            </w:pPr>
            <w:r w:rsidRPr="00D8292F">
              <w:rPr>
                <w:rFonts w:ascii="Arial" w:eastAsia="Times New Roman" w:hAnsi="Arial" w:cs="Arial"/>
                <w:lang w:eastAsia="en-GB"/>
              </w:rPr>
              <w:t xml:space="preserve">99 </w:t>
            </w:r>
          </w:p>
        </w:tc>
      </w:tr>
      <w:tr w:rsidR="00D8292F" w:rsidRPr="00D8292F" w14:paraId="05870335" w14:textId="77777777" w:rsidTr="006F477E">
        <w:trPr>
          <w:trHeight w:val="360"/>
        </w:trPr>
        <w:tc>
          <w:tcPr>
            <w:tcW w:w="5720" w:type="dxa"/>
            <w:tcBorders>
              <w:top w:val="single" w:sz="4" w:space="0" w:color="auto"/>
              <w:left w:val="nil"/>
              <w:bottom w:val="single" w:sz="4" w:space="0" w:color="auto"/>
              <w:right w:val="nil"/>
            </w:tcBorders>
            <w:shd w:val="clear" w:color="auto" w:fill="F2F2F2" w:themeFill="background1" w:themeFillShade="F2"/>
            <w:vAlign w:val="center"/>
            <w:hideMark/>
          </w:tcPr>
          <w:p w14:paraId="345A64D6" w14:textId="77777777" w:rsidR="00D8292F" w:rsidRPr="00D8292F" w:rsidRDefault="00D8292F" w:rsidP="00D8292F">
            <w:pPr>
              <w:spacing w:after="0" w:line="240" w:lineRule="auto"/>
              <w:rPr>
                <w:rFonts w:ascii="Arial" w:eastAsia="Times New Roman" w:hAnsi="Arial" w:cs="Arial"/>
                <w:b/>
                <w:bCs/>
                <w:color w:val="000000"/>
                <w:lang w:eastAsia="en-GB"/>
              </w:rPr>
            </w:pPr>
            <w:r w:rsidRPr="00D8292F">
              <w:rPr>
                <w:rFonts w:ascii="Arial" w:eastAsia="Times New Roman" w:hAnsi="Arial" w:cs="Arial"/>
                <w:b/>
                <w:bCs/>
                <w:color w:val="000000"/>
                <w:lang w:eastAsia="en-GB"/>
              </w:rPr>
              <w:t>Profit before tax</w:t>
            </w:r>
          </w:p>
        </w:tc>
        <w:tc>
          <w:tcPr>
            <w:tcW w:w="1520" w:type="dxa"/>
            <w:tcBorders>
              <w:top w:val="single" w:sz="4" w:space="0" w:color="auto"/>
              <w:left w:val="nil"/>
              <w:bottom w:val="single" w:sz="4" w:space="0" w:color="auto"/>
              <w:right w:val="nil"/>
            </w:tcBorders>
            <w:shd w:val="clear" w:color="auto" w:fill="F2F2F2" w:themeFill="background1" w:themeFillShade="F2"/>
            <w:vAlign w:val="center"/>
            <w:hideMark/>
          </w:tcPr>
          <w:p w14:paraId="0ADB3672" w14:textId="77777777" w:rsidR="00D8292F" w:rsidRPr="00D8292F" w:rsidRDefault="00D8292F" w:rsidP="00D8292F">
            <w:pPr>
              <w:spacing w:after="0" w:line="240" w:lineRule="auto"/>
              <w:jc w:val="right"/>
              <w:rPr>
                <w:rFonts w:ascii="Arial" w:eastAsia="Times New Roman" w:hAnsi="Arial" w:cs="Arial"/>
                <w:b/>
                <w:bCs/>
                <w:color w:val="000000"/>
                <w:lang w:eastAsia="en-GB"/>
              </w:rPr>
            </w:pPr>
            <w:r w:rsidRPr="00D8292F">
              <w:rPr>
                <w:rFonts w:ascii="Arial" w:eastAsia="Times New Roman" w:hAnsi="Arial" w:cs="Arial"/>
                <w:b/>
                <w:bCs/>
                <w:color w:val="000000"/>
                <w:lang w:eastAsia="en-GB"/>
              </w:rPr>
              <w:t xml:space="preserve">7 </w:t>
            </w:r>
          </w:p>
        </w:tc>
        <w:tc>
          <w:tcPr>
            <w:tcW w:w="1180" w:type="dxa"/>
            <w:tcBorders>
              <w:top w:val="single" w:sz="4" w:space="0" w:color="auto"/>
              <w:left w:val="nil"/>
              <w:bottom w:val="single" w:sz="4" w:space="0" w:color="auto"/>
              <w:right w:val="nil"/>
            </w:tcBorders>
            <w:shd w:val="clear" w:color="auto" w:fill="F2F2F2" w:themeFill="background1" w:themeFillShade="F2"/>
            <w:vAlign w:val="center"/>
            <w:hideMark/>
          </w:tcPr>
          <w:p w14:paraId="16C45895" w14:textId="77777777" w:rsidR="00D8292F" w:rsidRPr="00D8292F" w:rsidRDefault="00D8292F" w:rsidP="00D8292F">
            <w:pPr>
              <w:spacing w:after="0" w:line="240" w:lineRule="auto"/>
              <w:jc w:val="right"/>
              <w:rPr>
                <w:rFonts w:ascii="Arial" w:eastAsia="Times New Roman" w:hAnsi="Arial" w:cs="Arial"/>
                <w:b/>
                <w:bCs/>
                <w:color w:val="000000"/>
                <w:lang w:eastAsia="en-GB"/>
              </w:rPr>
            </w:pPr>
            <w:r w:rsidRPr="00D8292F">
              <w:rPr>
                <w:rFonts w:ascii="Arial" w:eastAsia="Times New Roman" w:hAnsi="Arial" w:cs="Arial"/>
                <w:b/>
                <w:bCs/>
                <w:color w:val="000000"/>
                <w:lang w:eastAsia="en-GB"/>
              </w:rPr>
              <w:t xml:space="preserve">44 </w:t>
            </w:r>
          </w:p>
        </w:tc>
      </w:tr>
      <w:tr w:rsidR="00D8292F" w:rsidRPr="00D8292F" w14:paraId="7B6ABAF3" w14:textId="77777777" w:rsidTr="00D8292F">
        <w:trPr>
          <w:trHeight w:val="360"/>
        </w:trPr>
        <w:tc>
          <w:tcPr>
            <w:tcW w:w="5720" w:type="dxa"/>
            <w:tcBorders>
              <w:top w:val="nil"/>
              <w:left w:val="nil"/>
              <w:bottom w:val="nil"/>
              <w:right w:val="nil"/>
            </w:tcBorders>
            <w:shd w:val="clear" w:color="000000" w:fill="FFFFFF"/>
            <w:vAlign w:val="center"/>
            <w:hideMark/>
          </w:tcPr>
          <w:p w14:paraId="2792A8C6" w14:textId="77777777" w:rsidR="00D8292F" w:rsidRPr="00D8292F" w:rsidRDefault="00D8292F" w:rsidP="00D8292F">
            <w:pPr>
              <w:spacing w:after="0" w:line="240" w:lineRule="auto"/>
              <w:rPr>
                <w:rFonts w:ascii="Arial" w:eastAsia="Times New Roman" w:hAnsi="Arial" w:cs="Arial"/>
                <w:color w:val="000000"/>
                <w:lang w:eastAsia="en-GB"/>
              </w:rPr>
            </w:pPr>
            <w:r w:rsidRPr="00D8292F">
              <w:rPr>
                <w:rFonts w:ascii="Arial" w:eastAsia="Times New Roman" w:hAnsi="Arial" w:cs="Arial"/>
                <w:color w:val="000000"/>
                <w:lang w:eastAsia="en-GB"/>
              </w:rPr>
              <w:t>Tax</w:t>
            </w:r>
          </w:p>
        </w:tc>
        <w:tc>
          <w:tcPr>
            <w:tcW w:w="1520" w:type="dxa"/>
            <w:tcBorders>
              <w:top w:val="nil"/>
              <w:left w:val="nil"/>
              <w:bottom w:val="nil"/>
              <w:right w:val="nil"/>
            </w:tcBorders>
            <w:shd w:val="clear" w:color="000000" w:fill="FFFFFF"/>
            <w:noWrap/>
            <w:vAlign w:val="center"/>
            <w:hideMark/>
          </w:tcPr>
          <w:p w14:paraId="40618753" w14:textId="77777777" w:rsidR="00D8292F" w:rsidRPr="00D8292F" w:rsidRDefault="00D8292F" w:rsidP="00D8292F">
            <w:pPr>
              <w:spacing w:after="0" w:line="240" w:lineRule="auto"/>
              <w:jc w:val="right"/>
              <w:rPr>
                <w:rFonts w:ascii="Arial" w:eastAsia="Times New Roman" w:hAnsi="Arial" w:cs="Arial"/>
                <w:b/>
                <w:bCs/>
                <w:lang w:eastAsia="en-GB"/>
              </w:rPr>
            </w:pPr>
            <w:r w:rsidRPr="00D8292F">
              <w:rPr>
                <w:rFonts w:ascii="Arial" w:eastAsia="Times New Roman" w:hAnsi="Arial" w:cs="Arial"/>
                <w:b/>
                <w:bCs/>
                <w:lang w:eastAsia="en-GB"/>
              </w:rPr>
              <w:t>(19)</w:t>
            </w:r>
          </w:p>
        </w:tc>
        <w:tc>
          <w:tcPr>
            <w:tcW w:w="1180" w:type="dxa"/>
            <w:tcBorders>
              <w:top w:val="nil"/>
              <w:left w:val="nil"/>
              <w:bottom w:val="nil"/>
              <w:right w:val="nil"/>
            </w:tcBorders>
            <w:shd w:val="clear" w:color="000000" w:fill="FFFFFF"/>
            <w:vAlign w:val="center"/>
            <w:hideMark/>
          </w:tcPr>
          <w:p w14:paraId="78915B5B"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(7)</w:t>
            </w:r>
          </w:p>
        </w:tc>
      </w:tr>
      <w:tr w:rsidR="00D8292F" w:rsidRPr="00D8292F" w14:paraId="747D1D4B" w14:textId="77777777" w:rsidTr="00D8292F">
        <w:trPr>
          <w:trHeight w:val="360"/>
        </w:trPr>
        <w:tc>
          <w:tcPr>
            <w:tcW w:w="5720" w:type="dxa"/>
            <w:tcBorders>
              <w:top w:val="nil"/>
              <w:left w:val="nil"/>
              <w:bottom w:val="nil"/>
              <w:right w:val="nil"/>
            </w:tcBorders>
            <w:shd w:val="clear" w:color="000000" w:fill="FFFFFF"/>
            <w:vAlign w:val="center"/>
            <w:hideMark/>
          </w:tcPr>
          <w:p w14:paraId="4892F716" w14:textId="77777777" w:rsidR="00D8292F" w:rsidRPr="00D8292F" w:rsidRDefault="00D8292F" w:rsidP="00D8292F">
            <w:pPr>
              <w:spacing w:after="0" w:line="240" w:lineRule="auto"/>
              <w:rPr>
                <w:rFonts w:ascii="Arial" w:eastAsia="Times New Roman" w:hAnsi="Arial" w:cs="Arial"/>
                <w:color w:val="000000"/>
                <w:lang w:eastAsia="en-GB"/>
              </w:rPr>
            </w:pPr>
            <w:r w:rsidRPr="00D8292F">
              <w:rPr>
                <w:rFonts w:ascii="Arial" w:eastAsia="Times New Roman" w:hAnsi="Arial" w:cs="Arial"/>
                <w:color w:val="000000"/>
                <w:lang w:eastAsia="en-GB"/>
              </w:rPr>
              <w:t>Discontinued operations *</w:t>
            </w:r>
          </w:p>
        </w:tc>
        <w:tc>
          <w:tcPr>
            <w:tcW w:w="1520" w:type="dxa"/>
            <w:tcBorders>
              <w:top w:val="nil"/>
              <w:left w:val="nil"/>
              <w:bottom w:val="nil"/>
              <w:right w:val="nil"/>
            </w:tcBorders>
            <w:shd w:val="clear" w:color="000000" w:fill="FFFFFF"/>
            <w:noWrap/>
            <w:vAlign w:val="center"/>
            <w:hideMark/>
          </w:tcPr>
          <w:p w14:paraId="491DD5BE" w14:textId="77777777" w:rsidR="00D8292F" w:rsidRPr="00D8292F" w:rsidRDefault="00D8292F" w:rsidP="00D8292F">
            <w:pPr>
              <w:spacing w:after="0" w:line="240" w:lineRule="auto"/>
              <w:jc w:val="right"/>
              <w:rPr>
                <w:rFonts w:ascii="Arial" w:eastAsia="Times New Roman" w:hAnsi="Arial" w:cs="Arial"/>
                <w:b/>
                <w:bCs/>
                <w:lang w:eastAsia="en-GB"/>
              </w:rPr>
            </w:pPr>
            <w:r w:rsidRPr="00D8292F">
              <w:rPr>
                <w:rFonts w:ascii="Arial" w:eastAsia="Times New Roman" w:hAnsi="Arial" w:cs="Arial"/>
                <w:b/>
                <w:bCs/>
                <w:lang w:eastAsia="en-GB"/>
              </w:rPr>
              <w:t xml:space="preserve">60 </w:t>
            </w:r>
          </w:p>
        </w:tc>
        <w:tc>
          <w:tcPr>
            <w:tcW w:w="1180" w:type="dxa"/>
            <w:tcBorders>
              <w:top w:val="nil"/>
              <w:left w:val="nil"/>
              <w:bottom w:val="nil"/>
              <w:right w:val="nil"/>
            </w:tcBorders>
            <w:shd w:val="clear" w:color="000000" w:fill="FFFFFF"/>
            <w:noWrap/>
            <w:vAlign w:val="center"/>
            <w:hideMark/>
          </w:tcPr>
          <w:p w14:paraId="189DB032"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 xml:space="preserve">10 </w:t>
            </w:r>
          </w:p>
        </w:tc>
      </w:tr>
      <w:tr w:rsidR="00D8292F" w:rsidRPr="00D8292F" w14:paraId="7917D621" w14:textId="77777777" w:rsidTr="006F477E">
        <w:trPr>
          <w:trHeight w:val="360"/>
        </w:trPr>
        <w:tc>
          <w:tcPr>
            <w:tcW w:w="5720" w:type="dxa"/>
            <w:tcBorders>
              <w:top w:val="single" w:sz="4" w:space="0" w:color="auto"/>
              <w:left w:val="nil"/>
              <w:bottom w:val="single" w:sz="4" w:space="0" w:color="auto"/>
              <w:right w:val="nil"/>
            </w:tcBorders>
            <w:shd w:val="clear" w:color="auto" w:fill="F2F2F2" w:themeFill="background1" w:themeFillShade="F2"/>
            <w:vAlign w:val="center"/>
            <w:hideMark/>
          </w:tcPr>
          <w:p w14:paraId="7ED9A9BF" w14:textId="77777777" w:rsidR="00D8292F" w:rsidRPr="00D8292F" w:rsidRDefault="00D8292F" w:rsidP="00D8292F">
            <w:pPr>
              <w:spacing w:after="0" w:line="240" w:lineRule="auto"/>
              <w:rPr>
                <w:rFonts w:ascii="Arial" w:eastAsia="Times New Roman" w:hAnsi="Arial" w:cs="Arial"/>
                <w:b/>
                <w:bCs/>
                <w:color w:val="000000"/>
                <w:lang w:eastAsia="en-GB"/>
              </w:rPr>
            </w:pPr>
            <w:r w:rsidRPr="00D8292F">
              <w:rPr>
                <w:rFonts w:ascii="Arial" w:eastAsia="Times New Roman" w:hAnsi="Arial" w:cs="Arial"/>
                <w:b/>
                <w:bCs/>
                <w:color w:val="000000"/>
                <w:lang w:eastAsia="en-GB"/>
              </w:rPr>
              <w:t>Profit for the half year</w:t>
            </w:r>
          </w:p>
        </w:tc>
        <w:tc>
          <w:tcPr>
            <w:tcW w:w="1520" w:type="dxa"/>
            <w:tcBorders>
              <w:top w:val="single" w:sz="4" w:space="0" w:color="auto"/>
              <w:left w:val="nil"/>
              <w:bottom w:val="single" w:sz="4" w:space="0" w:color="auto"/>
              <w:right w:val="nil"/>
            </w:tcBorders>
            <w:shd w:val="clear" w:color="auto" w:fill="F2F2F2" w:themeFill="background1" w:themeFillShade="F2"/>
            <w:vAlign w:val="center"/>
            <w:hideMark/>
          </w:tcPr>
          <w:p w14:paraId="7F520CFA" w14:textId="77777777" w:rsidR="00D8292F" w:rsidRPr="00D8292F" w:rsidRDefault="00D8292F" w:rsidP="00D8292F">
            <w:pPr>
              <w:spacing w:after="0" w:line="240" w:lineRule="auto"/>
              <w:jc w:val="right"/>
              <w:rPr>
                <w:rFonts w:ascii="Arial" w:eastAsia="Times New Roman" w:hAnsi="Arial" w:cs="Arial"/>
                <w:b/>
                <w:bCs/>
                <w:color w:val="000000"/>
                <w:lang w:eastAsia="en-GB"/>
              </w:rPr>
            </w:pPr>
            <w:r w:rsidRPr="00D8292F">
              <w:rPr>
                <w:rFonts w:ascii="Arial" w:eastAsia="Times New Roman" w:hAnsi="Arial" w:cs="Arial"/>
                <w:b/>
                <w:bCs/>
                <w:color w:val="000000"/>
                <w:lang w:eastAsia="en-GB"/>
              </w:rPr>
              <w:t xml:space="preserve">48 </w:t>
            </w:r>
          </w:p>
        </w:tc>
        <w:tc>
          <w:tcPr>
            <w:tcW w:w="1180" w:type="dxa"/>
            <w:tcBorders>
              <w:top w:val="single" w:sz="4" w:space="0" w:color="auto"/>
              <w:left w:val="nil"/>
              <w:bottom w:val="single" w:sz="4" w:space="0" w:color="auto"/>
              <w:right w:val="nil"/>
            </w:tcBorders>
            <w:shd w:val="clear" w:color="auto" w:fill="F2F2F2" w:themeFill="background1" w:themeFillShade="F2"/>
            <w:vAlign w:val="center"/>
            <w:hideMark/>
          </w:tcPr>
          <w:p w14:paraId="09C8D81F"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 xml:space="preserve">47 </w:t>
            </w:r>
          </w:p>
        </w:tc>
      </w:tr>
      <w:tr w:rsidR="00D8292F" w:rsidRPr="00D8292F" w14:paraId="79AB2A7F" w14:textId="77777777" w:rsidTr="00D8292F">
        <w:trPr>
          <w:trHeight w:val="360"/>
        </w:trPr>
        <w:tc>
          <w:tcPr>
            <w:tcW w:w="5720" w:type="dxa"/>
            <w:tcBorders>
              <w:top w:val="nil"/>
              <w:left w:val="nil"/>
              <w:bottom w:val="nil"/>
              <w:right w:val="nil"/>
            </w:tcBorders>
            <w:shd w:val="clear" w:color="000000" w:fill="FFFFFF"/>
            <w:vAlign w:val="center"/>
            <w:hideMark/>
          </w:tcPr>
          <w:p w14:paraId="227EAB06" w14:textId="77777777" w:rsidR="00D8292F" w:rsidRPr="00D8292F" w:rsidRDefault="00D8292F" w:rsidP="00D8292F">
            <w:pPr>
              <w:spacing w:after="0" w:line="240" w:lineRule="auto"/>
              <w:rPr>
                <w:rFonts w:ascii="Arial" w:eastAsia="Times New Roman" w:hAnsi="Arial" w:cs="Arial"/>
                <w:color w:val="000000"/>
                <w:lang w:eastAsia="en-GB"/>
              </w:rPr>
            </w:pPr>
            <w:r w:rsidRPr="00D8292F">
              <w:rPr>
                <w:rFonts w:ascii="Arial" w:eastAsia="Times New Roman" w:hAnsi="Arial" w:cs="Arial"/>
                <w:color w:val="000000"/>
                <w:lang w:eastAsia="en-GB"/>
              </w:rPr>
              <w:t> </w:t>
            </w:r>
          </w:p>
        </w:tc>
        <w:tc>
          <w:tcPr>
            <w:tcW w:w="1520" w:type="dxa"/>
            <w:tcBorders>
              <w:top w:val="nil"/>
              <w:left w:val="nil"/>
              <w:bottom w:val="nil"/>
              <w:right w:val="nil"/>
            </w:tcBorders>
            <w:shd w:val="clear" w:color="000000" w:fill="FFFFFF"/>
            <w:vAlign w:val="center"/>
            <w:hideMark/>
          </w:tcPr>
          <w:p w14:paraId="7073C28B" w14:textId="77777777" w:rsidR="00D8292F" w:rsidRPr="00D8292F" w:rsidRDefault="00D8292F" w:rsidP="00D8292F">
            <w:pPr>
              <w:spacing w:after="0" w:line="240" w:lineRule="auto"/>
              <w:jc w:val="right"/>
              <w:rPr>
                <w:rFonts w:ascii="Arial" w:eastAsia="Times New Roman" w:hAnsi="Arial" w:cs="Arial"/>
                <w:b/>
                <w:bCs/>
                <w:color w:val="000000"/>
                <w:lang w:eastAsia="en-GB"/>
              </w:rPr>
            </w:pPr>
            <w:r w:rsidRPr="00D8292F">
              <w:rPr>
                <w:rFonts w:ascii="Arial" w:eastAsia="Times New Roman" w:hAnsi="Arial" w:cs="Arial"/>
                <w:b/>
                <w:bCs/>
                <w:color w:val="000000"/>
                <w:lang w:eastAsia="en-GB"/>
              </w:rPr>
              <w:t> </w:t>
            </w:r>
          </w:p>
        </w:tc>
        <w:tc>
          <w:tcPr>
            <w:tcW w:w="1180" w:type="dxa"/>
            <w:tcBorders>
              <w:top w:val="nil"/>
              <w:left w:val="nil"/>
              <w:bottom w:val="nil"/>
              <w:right w:val="nil"/>
            </w:tcBorders>
            <w:shd w:val="clear" w:color="000000" w:fill="FFFFFF"/>
            <w:vAlign w:val="center"/>
            <w:hideMark/>
          </w:tcPr>
          <w:p w14:paraId="23FB45A2"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 </w:t>
            </w:r>
          </w:p>
        </w:tc>
      </w:tr>
      <w:tr w:rsidR="00D8292F" w:rsidRPr="00D8292F" w14:paraId="5CF227B5" w14:textId="77777777" w:rsidTr="006F477E">
        <w:trPr>
          <w:trHeight w:val="360"/>
        </w:trPr>
        <w:tc>
          <w:tcPr>
            <w:tcW w:w="5720" w:type="dxa"/>
            <w:tcBorders>
              <w:top w:val="single" w:sz="4" w:space="0" w:color="auto"/>
              <w:left w:val="nil"/>
              <w:bottom w:val="single" w:sz="4" w:space="0" w:color="auto"/>
              <w:right w:val="nil"/>
            </w:tcBorders>
            <w:shd w:val="clear" w:color="auto" w:fill="F2F2F2" w:themeFill="background1" w:themeFillShade="F2"/>
            <w:vAlign w:val="center"/>
            <w:hideMark/>
          </w:tcPr>
          <w:p w14:paraId="368A3164" w14:textId="77777777" w:rsidR="00D8292F" w:rsidRPr="00D8292F" w:rsidRDefault="00D8292F" w:rsidP="00D8292F">
            <w:pPr>
              <w:spacing w:after="0" w:line="240" w:lineRule="auto"/>
              <w:rPr>
                <w:rFonts w:ascii="Arial" w:eastAsia="Times New Roman" w:hAnsi="Arial" w:cs="Arial"/>
                <w:b/>
                <w:bCs/>
                <w:color w:val="000000"/>
                <w:lang w:eastAsia="en-GB"/>
              </w:rPr>
            </w:pPr>
            <w:r w:rsidRPr="00D8292F">
              <w:rPr>
                <w:rFonts w:ascii="Arial" w:eastAsia="Times New Roman" w:hAnsi="Arial" w:cs="Arial"/>
                <w:b/>
                <w:bCs/>
                <w:color w:val="000000"/>
                <w:lang w:eastAsia="en-GB"/>
              </w:rPr>
              <w:t>Underlying loss before tax (a)-(b)-(c)</w:t>
            </w:r>
          </w:p>
        </w:tc>
        <w:tc>
          <w:tcPr>
            <w:tcW w:w="1520" w:type="dxa"/>
            <w:tcBorders>
              <w:top w:val="single" w:sz="4" w:space="0" w:color="auto"/>
              <w:left w:val="nil"/>
              <w:bottom w:val="single" w:sz="4" w:space="0" w:color="auto"/>
              <w:right w:val="nil"/>
            </w:tcBorders>
            <w:shd w:val="clear" w:color="auto" w:fill="F2F2F2" w:themeFill="background1" w:themeFillShade="F2"/>
            <w:vAlign w:val="center"/>
            <w:hideMark/>
          </w:tcPr>
          <w:p w14:paraId="6E95887D" w14:textId="77777777" w:rsidR="00D8292F" w:rsidRPr="00D8292F" w:rsidRDefault="00D8292F" w:rsidP="00D8292F">
            <w:pPr>
              <w:spacing w:after="0" w:line="240" w:lineRule="auto"/>
              <w:jc w:val="right"/>
              <w:rPr>
                <w:rFonts w:ascii="Arial" w:eastAsia="Times New Roman" w:hAnsi="Arial" w:cs="Arial"/>
                <w:b/>
                <w:bCs/>
                <w:color w:val="000000"/>
                <w:lang w:eastAsia="en-GB"/>
              </w:rPr>
            </w:pPr>
            <w:r w:rsidRPr="00D8292F">
              <w:rPr>
                <w:rFonts w:ascii="Arial" w:eastAsia="Times New Roman" w:hAnsi="Arial" w:cs="Arial"/>
                <w:b/>
                <w:bCs/>
                <w:color w:val="000000"/>
                <w:lang w:eastAsia="en-GB"/>
              </w:rPr>
              <w:t>(49)</w:t>
            </w:r>
          </w:p>
        </w:tc>
        <w:tc>
          <w:tcPr>
            <w:tcW w:w="1180" w:type="dxa"/>
            <w:tcBorders>
              <w:top w:val="single" w:sz="4" w:space="0" w:color="auto"/>
              <w:left w:val="nil"/>
              <w:bottom w:val="single" w:sz="4" w:space="0" w:color="auto"/>
              <w:right w:val="nil"/>
            </w:tcBorders>
            <w:shd w:val="clear" w:color="auto" w:fill="F2F2F2" w:themeFill="background1" w:themeFillShade="F2"/>
            <w:vAlign w:val="center"/>
            <w:hideMark/>
          </w:tcPr>
          <w:p w14:paraId="79A22854" w14:textId="77777777" w:rsidR="00D8292F" w:rsidRPr="00D8292F" w:rsidRDefault="00D8292F" w:rsidP="00D8292F">
            <w:pPr>
              <w:spacing w:after="0" w:line="240" w:lineRule="auto"/>
              <w:jc w:val="right"/>
              <w:rPr>
                <w:rFonts w:ascii="Arial" w:eastAsia="Times New Roman" w:hAnsi="Arial" w:cs="Arial"/>
                <w:color w:val="000000"/>
                <w:lang w:eastAsia="en-GB"/>
              </w:rPr>
            </w:pPr>
            <w:r w:rsidRPr="00D8292F">
              <w:rPr>
                <w:rFonts w:ascii="Arial" w:eastAsia="Times New Roman" w:hAnsi="Arial" w:cs="Arial"/>
                <w:color w:val="000000"/>
                <w:lang w:eastAsia="en-GB"/>
              </w:rPr>
              <w:t>(15)</w:t>
            </w:r>
          </w:p>
        </w:tc>
      </w:tr>
    </w:tbl>
    <w:p w14:paraId="1CD77880" w14:textId="55575212" w:rsidR="00514B73" w:rsidRDefault="00514B73" w:rsidP="00514B73">
      <w:pPr>
        <w:spacing w:line="240" w:lineRule="auto"/>
        <w:rPr>
          <w:rFonts w:ascii="Arial" w:hAnsi="Arial" w:cs="Arial"/>
          <w:b/>
          <w:color w:val="00B0F0"/>
          <w:sz w:val="28"/>
        </w:rPr>
      </w:pPr>
    </w:p>
    <w:p w14:paraId="11368FA2" w14:textId="77777777" w:rsidR="00514B73" w:rsidRPr="006845B2" w:rsidRDefault="00514B73" w:rsidP="00514B73">
      <w:pPr>
        <w:spacing w:line="240" w:lineRule="auto"/>
        <w:jc w:val="both"/>
        <w:rPr>
          <w:rFonts w:ascii="Arial" w:hAnsi="Arial" w:cs="Arial"/>
          <w:i/>
          <w:iCs/>
          <w:sz w:val="16"/>
          <w:szCs w:val="16"/>
        </w:rPr>
      </w:pPr>
      <w:r w:rsidRPr="006845B2">
        <w:rPr>
          <w:rFonts w:ascii="Arial" w:hAnsi="Arial" w:cs="Arial"/>
          <w:i/>
          <w:iCs/>
          <w:sz w:val="16"/>
          <w:szCs w:val="16"/>
        </w:rPr>
        <w:t xml:space="preserve">* Discontinued operations </w:t>
      </w:r>
      <w:proofErr w:type="gramStart"/>
      <w:r w:rsidRPr="006845B2">
        <w:rPr>
          <w:rFonts w:ascii="Arial" w:hAnsi="Arial" w:cs="Arial"/>
          <w:i/>
          <w:iCs/>
          <w:sz w:val="16"/>
          <w:szCs w:val="16"/>
        </w:rPr>
        <w:t>includ</w:t>
      </w:r>
      <w:r>
        <w:rPr>
          <w:rFonts w:ascii="Arial" w:hAnsi="Arial" w:cs="Arial"/>
          <w:i/>
          <w:iCs/>
          <w:sz w:val="16"/>
          <w:szCs w:val="16"/>
        </w:rPr>
        <w:t>es</w:t>
      </w:r>
      <w:proofErr w:type="gramEnd"/>
      <w:r w:rsidRPr="006845B2">
        <w:rPr>
          <w:rFonts w:ascii="Arial" w:hAnsi="Arial" w:cs="Arial"/>
          <w:i/>
          <w:iCs/>
          <w:sz w:val="16"/>
          <w:szCs w:val="16"/>
        </w:rPr>
        <w:t xml:space="preserve"> a gain of £78</w:t>
      </w:r>
      <w:r>
        <w:rPr>
          <w:rFonts w:ascii="Arial" w:hAnsi="Arial" w:cs="Arial"/>
          <w:i/>
          <w:iCs/>
          <w:sz w:val="16"/>
          <w:szCs w:val="16"/>
        </w:rPr>
        <w:t xml:space="preserve"> </w:t>
      </w:r>
      <w:r w:rsidRPr="006845B2">
        <w:rPr>
          <w:rFonts w:ascii="Arial" w:hAnsi="Arial" w:cs="Arial"/>
          <w:i/>
          <w:iCs/>
          <w:sz w:val="16"/>
          <w:szCs w:val="16"/>
        </w:rPr>
        <w:t>m</w:t>
      </w:r>
      <w:r>
        <w:rPr>
          <w:rFonts w:ascii="Arial" w:hAnsi="Arial" w:cs="Arial"/>
          <w:i/>
          <w:iCs/>
          <w:sz w:val="16"/>
          <w:szCs w:val="16"/>
        </w:rPr>
        <w:t>illion</w:t>
      </w:r>
      <w:r w:rsidRPr="006845B2">
        <w:rPr>
          <w:rFonts w:ascii="Arial" w:hAnsi="Arial" w:cs="Arial"/>
          <w:i/>
          <w:iCs/>
          <w:sz w:val="16"/>
          <w:szCs w:val="16"/>
        </w:rPr>
        <w:t xml:space="preserve"> </w:t>
      </w:r>
      <w:r>
        <w:rPr>
          <w:rFonts w:ascii="Arial" w:hAnsi="Arial" w:cs="Arial"/>
          <w:i/>
          <w:iCs/>
          <w:sz w:val="16"/>
          <w:szCs w:val="16"/>
        </w:rPr>
        <w:t xml:space="preserve">(less tax charge of £18m) </w:t>
      </w:r>
      <w:r w:rsidRPr="006845B2">
        <w:rPr>
          <w:rFonts w:ascii="Arial" w:hAnsi="Arial" w:cs="Arial"/>
          <w:i/>
          <w:iCs/>
          <w:sz w:val="16"/>
          <w:szCs w:val="16"/>
        </w:rPr>
        <w:t xml:space="preserve">following the </w:t>
      </w:r>
      <w:r>
        <w:rPr>
          <w:rFonts w:ascii="Arial" w:hAnsi="Arial" w:cs="Arial"/>
          <w:i/>
          <w:iCs/>
          <w:sz w:val="16"/>
          <w:szCs w:val="16"/>
        </w:rPr>
        <w:t xml:space="preserve">judgment that was handed down by the Court of Appeal in April 2022 in relation to </w:t>
      </w:r>
      <w:r w:rsidRPr="006845B2">
        <w:rPr>
          <w:rFonts w:ascii="Arial" w:hAnsi="Arial" w:cs="Arial"/>
          <w:i/>
          <w:iCs/>
          <w:sz w:val="16"/>
          <w:szCs w:val="16"/>
        </w:rPr>
        <w:t>the historic legal claim against IBM</w:t>
      </w:r>
      <w:r>
        <w:rPr>
          <w:rFonts w:ascii="Arial" w:hAnsi="Arial" w:cs="Arial"/>
          <w:i/>
          <w:iCs/>
          <w:sz w:val="16"/>
          <w:szCs w:val="16"/>
        </w:rPr>
        <w:t>,</w:t>
      </w:r>
      <w:r w:rsidRPr="006845B2">
        <w:rPr>
          <w:rFonts w:ascii="Arial" w:hAnsi="Arial" w:cs="Arial"/>
          <w:i/>
          <w:iCs/>
          <w:sz w:val="16"/>
          <w:szCs w:val="16"/>
        </w:rPr>
        <w:t xml:space="preserve"> as disclosed as a post balance sheet event in the 2021 Annual Report and Accounts. </w:t>
      </w:r>
      <w:r w:rsidRPr="000D3ADE">
        <w:rPr>
          <w:rFonts w:ascii="Arial" w:eastAsia="Times New Roman" w:hAnsi="Arial" w:cs="Arial"/>
          <w:i/>
          <w:iCs/>
          <w:sz w:val="16"/>
          <w:szCs w:val="16"/>
        </w:rPr>
        <w:t>The gain of £78 million reflects £72 million of cash that was received in 2022 following the Appeal judgment and a further £6 million received in 2021 in connection with the earlier Technology and Construction Court judgment, which was held on the balance sheet but has now been released to the Income Statement within Discontinued Operations.  </w:t>
      </w:r>
    </w:p>
    <w:p w14:paraId="7530F81D" w14:textId="77777777" w:rsidR="00514B73" w:rsidRDefault="00514B73" w:rsidP="00514B73">
      <w:pPr>
        <w:spacing w:line="240" w:lineRule="auto"/>
        <w:rPr>
          <w:rFonts w:ascii="Arial" w:hAnsi="Arial" w:cs="Arial"/>
          <w:b/>
          <w:bCs/>
          <w:sz w:val="24"/>
          <w:szCs w:val="24"/>
        </w:rPr>
      </w:pPr>
    </w:p>
    <w:p w14:paraId="72AB6E90" w14:textId="77777777" w:rsidR="00514B73" w:rsidRDefault="00514B73" w:rsidP="00514B73">
      <w:pPr>
        <w:spacing w:line="240" w:lineRule="auto"/>
        <w:rPr>
          <w:rFonts w:ascii="Arial" w:hAnsi="Arial" w:cs="Arial"/>
          <w:b/>
          <w:bCs/>
          <w:sz w:val="24"/>
          <w:szCs w:val="24"/>
        </w:rPr>
      </w:pPr>
      <w:r w:rsidRPr="009013C2">
        <w:rPr>
          <w:rFonts w:ascii="Arial" w:hAnsi="Arial" w:cs="Arial"/>
          <w:b/>
          <w:bCs/>
          <w:sz w:val="24"/>
          <w:szCs w:val="24"/>
        </w:rPr>
        <w:t>Our headline performance</w:t>
      </w:r>
    </w:p>
    <w:p w14:paraId="35BD783C" w14:textId="77777777" w:rsidR="00514B73" w:rsidRPr="00E71BCA" w:rsidRDefault="00514B73" w:rsidP="00514B73">
      <w:pPr>
        <w:spacing w:line="240" w:lineRule="auto"/>
        <w:rPr>
          <w:rFonts w:ascii="Arial" w:hAnsi="Arial" w:cs="Arial"/>
        </w:rPr>
      </w:pPr>
      <w:r w:rsidRPr="00E71BCA">
        <w:rPr>
          <w:rFonts w:ascii="Arial" w:hAnsi="Arial" w:cs="Arial"/>
        </w:rPr>
        <w:t>The first half of 2022</w:t>
      </w:r>
      <w:r>
        <w:rPr>
          <w:rFonts w:ascii="Arial" w:hAnsi="Arial" w:cs="Arial"/>
        </w:rPr>
        <w:t xml:space="preserve"> </w:t>
      </w:r>
      <w:r w:rsidRPr="00E71BCA">
        <w:rPr>
          <w:rFonts w:ascii="Arial" w:hAnsi="Arial" w:cs="Arial"/>
        </w:rPr>
        <w:t>prove</w:t>
      </w:r>
      <w:r>
        <w:rPr>
          <w:rFonts w:ascii="Arial" w:hAnsi="Arial" w:cs="Arial"/>
        </w:rPr>
        <w:t>d</w:t>
      </w:r>
      <w:r w:rsidRPr="00E71BCA">
        <w:rPr>
          <w:rFonts w:ascii="Arial" w:hAnsi="Arial" w:cs="Arial"/>
        </w:rPr>
        <w:t xml:space="preserve"> to be a particularly difficult trading period. In line with all retailers, we had to face into an unprecedented combination of </w:t>
      </w:r>
      <w:r>
        <w:rPr>
          <w:rFonts w:ascii="Arial" w:hAnsi="Arial" w:cs="Arial"/>
        </w:rPr>
        <w:t xml:space="preserve">broad, </w:t>
      </w:r>
      <w:r w:rsidRPr="00E71BCA">
        <w:rPr>
          <w:rFonts w:ascii="Arial" w:hAnsi="Arial" w:cs="Arial"/>
        </w:rPr>
        <w:t xml:space="preserve">global economic challenges. This </w:t>
      </w:r>
      <w:r>
        <w:rPr>
          <w:rFonts w:ascii="Arial" w:hAnsi="Arial" w:cs="Arial"/>
        </w:rPr>
        <w:t>saw</w:t>
      </w:r>
      <w:r w:rsidRPr="00E71BCA">
        <w:rPr>
          <w:rFonts w:ascii="Arial" w:hAnsi="Arial" w:cs="Arial"/>
        </w:rPr>
        <w:t xml:space="preserve"> downward pressure on revenue and significant increases in costs, which is reflected within our results</w:t>
      </w:r>
      <w:r>
        <w:rPr>
          <w:rFonts w:ascii="Arial" w:hAnsi="Arial" w:cs="Arial"/>
        </w:rPr>
        <w:t>,</w:t>
      </w:r>
      <w:r w:rsidRPr="00E71BCA">
        <w:rPr>
          <w:rFonts w:ascii="Arial" w:hAnsi="Arial" w:cs="Arial"/>
        </w:rPr>
        <w:t xml:space="preserve"> as margins </w:t>
      </w:r>
      <w:r>
        <w:rPr>
          <w:rFonts w:ascii="Arial" w:hAnsi="Arial" w:cs="Arial"/>
        </w:rPr>
        <w:t>were</w:t>
      </w:r>
      <w:r w:rsidRPr="00E71BCA">
        <w:rPr>
          <w:rFonts w:ascii="Arial" w:hAnsi="Arial" w:cs="Arial"/>
        </w:rPr>
        <w:t xml:space="preserve"> </w:t>
      </w:r>
      <w:proofErr w:type="gramStart"/>
      <w:r w:rsidRPr="00E71BCA">
        <w:rPr>
          <w:rFonts w:ascii="Arial" w:hAnsi="Arial" w:cs="Arial"/>
        </w:rPr>
        <w:t>squeezed</w:t>
      </w:r>
      <w:proofErr w:type="gramEnd"/>
      <w:r w:rsidRPr="00E71BCA">
        <w:rPr>
          <w:rFonts w:ascii="Arial" w:hAnsi="Arial" w:cs="Arial"/>
        </w:rPr>
        <w:t xml:space="preserve"> and profitability reduced.  </w:t>
      </w:r>
    </w:p>
    <w:p w14:paraId="40BA5B41" w14:textId="77777777" w:rsidR="00514B73" w:rsidRPr="00E71BCA" w:rsidRDefault="00514B73" w:rsidP="00514B73">
      <w:pPr>
        <w:spacing w:line="240" w:lineRule="auto"/>
        <w:rPr>
          <w:rFonts w:ascii="Arial" w:hAnsi="Arial" w:cs="Arial"/>
        </w:rPr>
      </w:pPr>
      <w:r w:rsidRPr="00E71BCA">
        <w:rPr>
          <w:rFonts w:ascii="Arial" w:hAnsi="Arial" w:cs="Arial"/>
        </w:rPr>
        <w:t>As we looked to build back in the first half of 2022 from the most challenging stages of the pandemic, new headwinds ar</w:t>
      </w:r>
      <w:r>
        <w:rPr>
          <w:rFonts w:ascii="Arial" w:hAnsi="Arial" w:cs="Arial"/>
        </w:rPr>
        <w:t>ose</w:t>
      </w:r>
      <w:r w:rsidRPr="00E71BCA">
        <w:rPr>
          <w:rFonts w:ascii="Arial" w:hAnsi="Arial" w:cs="Arial"/>
        </w:rPr>
        <w:t xml:space="preserve"> </w:t>
      </w:r>
      <w:r>
        <w:rPr>
          <w:rFonts w:ascii="Arial" w:hAnsi="Arial" w:cs="Arial"/>
        </w:rPr>
        <w:t>for</w:t>
      </w:r>
      <w:r w:rsidRPr="00E71BCA">
        <w:rPr>
          <w:rFonts w:ascii="Arial" w:hAnsi="Arial" w:cs="Arial"/>
        </w:rPr>
        <w:t xml:space="preserve"> consumers and retailers in general. The </w:t>
      </w:r>
      <w:proofErr w:type="gramStart"/>
      <w:r w:rsidRPr="00E71BCA">
        <w:rPr>
          <w:rFonts w:ascii="Arial" w:hAnsi="Arial" w:cs="Arial"/>
        </w:rPr>
        <w:t>cost of living</w:t>
      </w:r>
      <w:proofErr w:type="gramEnd"/>
      <w:r w:rsidRPr="00E71BCA">
        <w:rPr>
          <w:rFonts w:ascii="Arial" w:hAnsi="Arial" w:cs="Arial"/>
        </w:rPr>
        <w:t xml:space="preserve"> crisis is having a significant impact on the day-to-day lives and shopping habits of our customers and members, as rising inflation and energy costs have squeezed many household budgets to near breaking point. Global supply chain issues, </w:t>
      </w:r>
      <w:r w:rsidRPr="00E71BCA">
        <w:rPr>
          <w:rFonts w:ascii="Arial" w:hAnsi="Arial" w:cs="Arial"/>
        </w:rPr>
        <w:lastRenderedPageBreak/>
        <w:t>exacerbated by the conflict in Ukraine, in combination with material rises in energy prices</w:t>
      </w:r>
      <w:r>
        <w:rPr>
          <w:rFonts w:ascii="Arial" w:hAnsi="Arial" w:cs="Arial"/>
        </w:rPr>
        <w:t>,</w:t>
      </w:r>
      <w:r w:rsidRPr="00E71BCA">
        <w:rPr>
          <w:rFonts w:ascii="Arial" w:hAnsi="Arial" w:cs="Arial"/>
        </w:rPr>
        <w:t xml:space="preserve"> have also significantly increased the costs we incur to run our business and serve our members. </w:t>
      </w:r>
    </w:p>
    <w:p w14:paraId="484BB510" w14:textId="77777777" w:rsidR="00514B73" w:rsidRPr="00E71BCA" w:rsidRDefault="00514B73" w:rsidP="00514B73">
      <w:pPr>
        <w:spacing w:line="240" w:lineRule="auto"/>
        <w:rPr>
          <w:rFonts w:ascii="Arial" w:hAnsi="Arial" w:cs="Arial"/>
        </w:rPr>
      </w:pPr>
      <w:r w:rsidRPr="00E71BCA">
        <w:rPr>
          <w:rFonts w:ascii="Arial" w:hAnsi="Arial" w:cs="Arial"/>
        </w:rPr>
        <w:t>Despite these material challenges</w:t>
      </w:r>
      <w:r>
        <w:rPr>
          <w:rFonts w:ascii="Arial" w:hAnsi="Arial" w:cs="Arial"/>
        </w:rPr>
        <w:t>,</w:t>
      </w:r>
      <w:r w:rsidRPr="00E71BCA">
        <w:rPr>
          <w:rFonts w:ascii="Arial" w:hAnsi="Arial" w:cs="Arial"/>
        </w:rPr>
        <w:t xml:space="preserve"> we continued to focus on our members and customer proposition</w:t>
      </w:r>
      <w:r>
        <w:rPr>
          <w:rFonts w:ascii="Arial" w:hAnsi="Arial" w:cs="Arial"/>
        </w:rPr>
        <w:t>s.</w:t>
      </w:r>
      <w:r w:rsidRPr="00E71BCA">
        <w:rPr>
          <w:rFonts w:ascii="Arial" w:hAnsi="Arial" w:cs="Arial"/>
        </w:rPr>
        <w:t xml:space="preserve"> </w:t>
      </w:r>
      <w:r>
        <w:rPr>
          <w:rFonts w:ascii="Arial" w:hAnsi="Arial" w:cs="Arial"/>
        </w:rPr>
        <w:t>S</w:t>
      </w:r>
      <w:r w:rsidRPr="00E71BCA">
        <w:rPr>
          <w:rFonts w:ascii="Arial" w:hAnsi="Arial" w:cs="Arial"/>
        </w:rPr>
        <w:t xml:space="preserve">trong cost control and working capital management </w:t>
      </w:r>
      <w:r>
        <w:rPr>
          <w:rFonts w:ascii="Arial" w:hAnsi="Arial" w:cs="Arial"/>
        </w:rPr>
        <w:t>saw</w:t>
      </w:r>
      <w:r w:rsidRPr="00E71BCA">
        <w:rPr>
          <w:rFonts w:ascii="Arial" w:hAnsi="Arial" w:cs="Arial"/>
        </w:rPr>
        <w:t xml:space="preserve"> our net debt levels reduce markedly from the </w:t>
      </w:r>
      <w:proofErr w:type="gramStart"/>
      <w:r w:rsidRPr="00E71BCA">
        <w:rPr>
          <w:rFonts w:ascii="Arial" w:hAnsi="Arial" w:cs="Arial"/>
        </w:rPr>
        <w:t>2021 year</w:t>
      </w:r>
      <w:proofErr w:type="gramEnd"/>
      <w:r w:rsidRPr="00E71BCA">
        <w:rPr>
          <w:rFonts w:ascii="Arial" w:hAnsi="Arial" w:cs="Arial"/>
        </w:rPr>
        <w:t xml:space="preserve"> end position. </w:t>
      </w:r>
    </w:p>
    <w:p w14:paraId="1B6E0899" w14:textId="77777777" w:rsidR="00514B73" w:rsidRPr="00E71BCA" w:rsidRDefault="00514B73" w:rsidP="00514B73">
      <w:pPr>
        <w:spacing w:line="240" w:lineRule="auto"/>
        <w:rPr>
          <w:rFonts w:ascii="Arial" w:hAnsi="Arial" w:cs="Arial"/>
        </w:rPr>
      </w:pPr>
      <w:r w:rsidRPr="00E71BCA">
        <w:rPr>
          <w:rFonts w:ascii="Arial" w:hAnsi="Arial" w:cs="Arial"/>
        </w:rPr>
        <w:t xml:space="preserve">Total Group revenue is consistent with the first half of last year at £5.6 billion. Modest gains in our Food and Legal Services businesses </w:t>
      </w:r>
      <w:r>
        <w:rPr>
          <w:rFonts w:ascii="Arial" w:hAnsi="Arial" w:cs="Arial"/>
        </w:rPr>
        <w:t>were</w:t>
      </w:r>
      <w:r w:rsidRPr="00E71BCA">
        <w:rPr>
          <w:rFonts w:ascii="Arial" w:hAnsi="Arial" w:cs="Arial"/>
        </w:rPr>
        <w:t xml:space="preserve"> offset by a </w:t>
      </w:r>
      <w:r>
        <w:rPr>
          <w:rFonts w:ascii="Arial" w:hAnsi="Arial" w:cs="Arial"/>
        </w:rPr>
        <w:t xml:space="preserve">slight </w:t>
      </w:r>
      <w:r w:rsidRPr="00E71BCA">
        <w:rPr>
          <w:rFonts w:ascii="Arial" w:hAnsi="Arial" w:cs="Arial"/>
        </w:rPr>
        <w:t xml:space="preserve">reduction in sales in our Wholesale, Federal, Funeralcare and Insurance businesses. </w:t>
      </w:r>
    </w:p>
    <w:p w14:paraId="674C8AA1" w14:textId="77777777" w:rsidR="00514B73" w:rsidRDefault="00514B73" w:rsidP="00514B73">
      <w:pPr>
        <w:spacing w:line="240" w:lineRule="auto"/>
        <w:rPr>
          <w:rFonts w:ascii="Arial" w:hAnsi="Arial" w:cs="Arial"/>
        </w:rPr>
      </w:pPr>
      <w:r w:rsidRPr="0098779D">
        <w:rPr>
          <w:rFonts w:ascii="Arial" w:hAnsi="Arial" w:cs="Arial"/>
        </w:rPr>
        <w:t xml:space="preserve">Although Group sales </w:t>
      </w:r>
      <w:r>
        <w:rPr>
          <w:rFonts w:ascii="Arial" w:hAnsi="Arial" w:cs="Arial"/>
        </w:rPr>
        <w:t>were</w:t>
      </w:r>
      <w:r w:rsidRPr="0098779D">
        <w:rPr>
          <w:rFonts w:ascii="Arial" w:hAnsi="Arial" w:cs="Arial"/>
        </w:rPr>
        <w:t xml:space="preserve"> in line with the prior year, our underlying operating profit decreased </w:t>
      </w:r>
      <w:r>
        <w:rPr>
          <w:rFonts w:ascii="Arial" w:hAnsi="Arial" w:cs="Arial"/>
        </w:rPr>
        <w:t>by £33 million to £18</w:t>
      </w:r>
      <w:r w:rsidRPr="0098779D">
        <w:rPr>
          <w:rFonts w:ascii="Arial" w:hAnsi="Arial" w:cs="Arial"/>
        </w:rPr>
        <w:t xml:space="preserve"> million (</w:t>
      </w:r>
      <w:r>
        <w:rPr>
          <w:rFonts w:ascii="Arial" w:hAnsi="Arial" w:cs="Arial"/>
        </w:rPr>
        <w:t xml:space="preserve">H1 </w:t>
      </w:r>
      <w:r w:rsidRPr="0098779D">
        <w:rPr>
          <w:rFonts w:ascii="Arial" w:hAnsi="Arial" w:cs="Arial"/>
        </w:rPr>
        <w:t>2021: £51</w:t>
      </w:r>
      <w:r>
        <w:rPr>
          <w:rFonts w:ascii="Arial" w:hAnsi="Arial" w:cs="Arial"/>
        </w:rPr>
        <w:t xml:space="preserve"> </w:t>
      </w:r>
      <w:r w:rsidRPr="0098779D">
        <w:rPr>
          <w:rFonts w:ascii="Arial" w:hAnsi="Arial" w:cs="Arial"/>
        </w:rPr>
        <w:t>m</w:t>
      </w:r>
      <w:r>
        <w:rPr>
          <w:rFonts w:ascii="Arial" w:hAnsi="Arial" w:cs="Arial"/>
        </w:rPr>
        <w:t>illion</w:t>
      </w:r>
      <w:r w:rsidRPr="0098779D">
        <w:rPr>
          <w:rFonts w:ascii="Arial" w:hAnsi="Arial" w:cs="Arial"/>
        </w:rPr>
        <w:t>)</w:t>
      </w:r>
      <w:r>
        <w:rPr>
          <w:rFonts w:ascii="Arial" w:hAnsi="Arial" w:cs="Arial"/>
        </w:rPr>
        <w:t>.</w:t>
      </w:r>
      <w:r w:rsidRPr="0098779D">
        <w:rPr>
          <w:rFonts w:ascii="Arial" w:hAnsi="Arial" w:cs="Arial"/>
        </w:rPr>
        <w:t xml:space="preserve"> </w:t>
      </w:r>
      <w:r w:rsidRPr="000D3ADE">
        <w:rPr>
          <w:rFonts w:ascii="Arial" w:hAnsi="Arial" w:cs="Arial"/>
        </w:rPr>
        <w:t xml:space="preserve">The costs that we incur to serve our customers have increased significantly - both the input costs of products that we sell </w:t>
      </w:r>
      <w:proofErr w:type="gramStart"/>
      <w:r w:rsidRPr="000D3ADE">
        <w:rPr>
          <w:rFonts w:ascii="Arial" w:hAnsi="Arial" w:cs="Arial"/>
        </w:rPr>
        <w:t>and also</w:t>
      </w:r>
      <w:proofErr w:type="gramEnd"/>
      <w:r w:rsidRPr="000D3ADE">
        <w:rPr>
          <w:rFonts w:ascii="Arial" w:hAnsi="Arial" w:cs="Arial"/>
        </w:rPr>
        <w:t xml:space="preserve"> the costs we incur to run our businesses and serve our customers, such as energy prices. We’ve worked hard to maintain our buying </w:t>
      </w:r>
      <w:proofErr w:type="gramStart"/>
      <w:r w:rsidRPr="000D3ADE">
        <w:rPr>
          <w:rFonts w:ascii="Arial" w:hAnsi="Arial" w:cs="Arial"/>
        </w:rPr>
        <w:t>margin</w:t>
      </w:r>
      <w:proofErr w:type="gramEnd"/>
      <w:r w:rsidRPr="000D3ADE">
        <w:rPr>
          <w:rFonts w:ascii="Arial" w:hAnsi="Arial" w:cs="Arial"/>
        </w:rPr>
        <w:t xml:space="preserve"> but our underlying profitability has been impacted by costs rises – and in particular the sharp rise in energy prices. </w:t>
      </w:r>
      <w:r w:rsidRPr="0098779D">
        <w:rPr>
          <w:rFonts w:ascii="Arial" w:hAnsi="Arial" w:cs="Arial"/>
        </w:rPr>
        <w:t>After charging underlying interest on our bank borrowings and leases, we made an underlying loss before tax of £4</w:t>
      </w:r>
      <w:r>
        <w:rPr>
          <w:rFonts w:ascii="Arial" w:hAnsi="Arial" w:cs="Arial"/>
        </w:rPr>
        <w:t>9</w:t>
      </w:r>
      <w:r w:rsidRPr="0098779D">
        <w:rPr>
          <w:rFonts w:ascii="Arial" w:hAnsi="Arial" w:cs="Arial"/>
        </w:rPr>
        <w:t xml:space="preserve"> million compared to an equivalent loss of £15 million in the first half of 2021. Although our sales and profits are generally higher in the second half of the year, our first half result is still slightly behind our budget expectations.  </w:t>
      </w:r>
    </w:p>
    <w:p w14:paraId="7E6F3367" w14:textId="77777777" w:rsidR="00514B73" w:rsidRDefault="00514B73" w:rsidP="00514B73">
      <w:pPr>
        <w:spacing w:line="240" w:lineRule="auto"/>
        <w:rPr>
          <w:rFonts w:ascii="Arial" w:hAnsi="Arial" w:cs="Arial"/>
        </w:rPr>
      </w:pPr>
      <w:r w:rsidRPr="0098779D">
        <w:rPr>
          <w:rFonts w:ascii="Arial" w:hAnsi="Arial" w:cs="Arial"/>
        </w:rPr>
        <w:t xml:space="preserve">Our </w:t>
      </w:r>
      <w:r>
        <w:rPr>
          <w:rFonts w:ascii="Arial" w:hAnsi="Arial" w:cs="Arial"/>
        </w:rPr>
        <w:t>o</w:t>
      </w:r>
      <w:r w:rsidRPr="0098779D">
        <w:rPr>
          <w:rFonts w:ascii="Arial" w:hAnsi="Arial" w:cs="Arial"/>
        </w:rPr>
        <w:t xml:space="preserve">perating </w:t>
      </w:r>
      <w:r>
        <w:rPr>
          <w:rFonts w:ascii="Arial" w:hAnsi="Arial" w:cs="Arial"/>
        </w:rPr>
        <w:t xml:space="preserve">loss </w:t>
      </w:r>
      <w:r w:rsidRPr="0098779D">
        <w:rPr>
          <w:rFonts w:ascii="Arial" w:hAnsi="Arial" w:cs="Arial"/>
        </w:rPr>
        <w:t xml:space="preserve">of </w:t>
      </w:r>
      <w:r>
        <w:rPr>
          <w:rFonts w:ascii="Arial" w:hAnsi="Arial" w:cs="Arial"/>
        </w:rPr>
        <w:t xml:space="preserve">£20 million </w:t>
      </w:r>
      <w:r w:rsidRPr="0098779D">
        <w:rPr>
          <w:rFonts w:ascii="Arial" w:hAnsi="Arial" w:cs="Arial"/>
        </w:rPr>
        <w:t xml:space="preserve">is </w:t>
      </w:r>
      <w:r>
        <w:rPr>
          <w:rFonts w:ascii="Arial" w:hAnsi="Arial" w:cs="Arial"/>
        </w:rPr>
        <w:t xml:space="preserve">down £28 million </w:t>
      </w:r>
      <w:r w:rsidRPr="0098779D">
        <w:rPr>
          <w:rFonts w:ascii="Arial" w:hAnsi="Arial" w:cs="Arial"/>
        </w:rPr>
        <w:t xml:space="preserve">on the </w:t>
      </w:r>
      <w:r>
        <w:rPr>
          <w:rFonts w:ascii="Arial" w:hAnsi="Arial" w:cs="Arial"/>
        </w:rPr>
        <w:t>H1 2021</w:t>
      </w:r>
      <w:r w:rsidRPr="0098779D">
        <w:rPr>
          <w:rFonts w:ascii="Arial" w:hAnsi="Arial" w:cs="Arial"/>
        </w:rPr>
        <w:t xml:space="preserve"> figure of £8 million. </w:t>
      </w:r>
      <w:proofErr w:type="gramStart"/>
      <w:r>
        <w:rPr>
          <w:rFonts w:ascii="Arial" w:hAnsi="Arial" w:cs="Arial"/>
        </w:rPr>
        <w:t xml:space="preserve">This </w:t>
      </w:r>
      <w:r w:rsidRPr="00B03992">
        <w:rPr>
          <w:rFonts w:ascii="Arial" w:hAnsi="Arial" w:cs="Arial"/>
        </w:rPr>
        <w:t xml:space="preserve"> reduction</w:t>
      </w:r>
      <w:proofErr w:type="gramEnd"/>
      <w:r w:rsidRPr="00B03992">
        <w:rPr>
          <w:rFonts w:ascii="Arial" w:hAnsi="Arial" w:cs="Arial"/>
        </w:rPr>
        <w:t xml:space="preserve"> in profitability </w:t>
      </w:r>
      <w:r>
        <w:rPr>
          <w:rFonts w:ascii="Arial" w:hAnsi="Arial" w:cs="Arial"/>
        </w:rPr>
        <w:t>was</w:t>
      </w:r>
      <w:r w:rsidRPr="00B03992">
        <w:rPr>
          <w:rFonts w:ascii="Arial" w:hAnsi="Arial" w:cs="Arial"/>
        </w:rPr>
        <w:t xml:space="preserve"> </w:t>
      </w:r>
      <w:r>
        <w:rPr>
          <w:rFonts w:ascii="Arial" w:hAnsi="Arial" w:cs="Arial"/>
        </w:rPr>
        <w:t xml:space="preserve">mainly </w:t>
      </w:r>
      <w:r w:rsidRPr="00B03992">
        <w:rPr>
          <w:rFonts w:ascii="Arial" w:hAnsi="Arial" w:cs="Arial"/>
        </w:rPr>
        <w:t>driven by the tough trading environment</w:t>
      </w:r>
      <w:r>
        <w:rPr>
          <w:rFonts w:ascii="Arial" w:hAnsi="Arial" w:cs="Arial"/>
        </w:rPr>
        <w:t xml:space="preserve"> and inflationary cost rises</w:t>
      </w:r>
      <w:r w:rsidRPr="00B03992">
        <w:rPr>
          <w:rFonts w:ascii="Arial" w:hAnsi="Arial" w:cs="Arial"/>
        </w:rPr>
        <w:t xml:space="preserve"> impacting our core businesses</w:t>
      </w:r>
      <w:r>
        <w:rPr>
          <w:rFonts w:ascii="Arial" w:hAnsi="Arial" w:cs="Arial"/>
        </w:rPr>
        <w:t>,</w:t>
      </w:r>
      <w:r w:rsidRPr="00B03992">
        <w:rPr>
          <w:rFonts w:ascii="Arial" w:hAnsi="Arial" w:cs="Arial"/>
        </w:rPr>
        <w:t xml:space="preserve"> with Group underlying operating profit down by £33</w:t>
      </w:r>
      <w:r>
        <w:rPr>
          <w:rFonts w:ascii="Arial" w:hAnsi="Arial" w:cs="Arial"/>
        </w:rPr>
        <w:t xml:space="preserve"> </w:t>
      </w:r>
      <w:r w:rsidRPr="00B03992">
        <w:rPr>
          <w:rFonts w:ascii="Arial" w:hAnsi="Arial" w:cs="Arial"/>
        </w:rPr>
        <w:t>m</w:t>
      </w:r>
      <w:r>
        <w:rPr>
          <w:rFonts w:ascii="Arial" w:hAnsi="Arial" w:cs="Arial"/>
        </w:rPr>
        <w:t>illion</w:t>
      </w:r>
      <w:r w:rsidRPr="00B03992">
        <w:rPr>
          <w:rFonts w:ascii="Arial" w:hAnsi="Arial" w:cs="Arial"/>
        </w:rPr>
        <w:t xml:space="preserve"> on the comparative period</w:t>
      </w:r>
      <w:r>
        <w:rPr>
          <w:rFonts w:ascii="Arial" w:hAnsi="Arial" w:cs="Arial"/>
        </w:rPr>
        <w:t xml:space="preserve"> as noted above</w:t>
      </w:r>
      <w:r w:rsidRPr="00B03992">
        <w:rPr>
          <w:rFonts w:ascii="Arial" w:hAnsi="Arial" w:cs="Arial"/>
        </w:rPr>
        <w:t xml:space="preserve">. </w:t>
      </w:r>
      <w:proofErr w:type="gramStart"/>
      <w:r>
        <w:rPr>
          <w:rFonts w:ascii="Arial" w:hAnsi="Arial" w:cs="Arial"/>
        </w:rPr>
        <w:t>Similarly</w:t>
      </w:r>
      <w:proofErr w:type="gramEnd"/>
      <w:r>
        <w:rPr>
          <w:rFonts w:ascii="Arial" w:hAnsi="Arial" w:cs="Arial"/>
        </w:rPr>
        <w:t xml:space="preserve"> our EBITDA of £180 million and underlying EBITDA of £218 million are both down against the comparative period figures of £205 million and £248 million respectively.  </w:t>
      </w:r>
    </w:p>
    <w:p w14:paraId="0B13EC5C" w14:textId="77777777" w:rsidR="00514B73" w:rsidRDefault="00514B73" w:rsidP="00514B73">
      <w:pPr>
        <w:spacing w:line="240" w:lineRule="auto"/>
        <w:rPr>
          <w:rFonts w:ascii="Arial" w:hAnsi="Arial" w:cs="Arial"/>
        </w:rPr>
      </w:pPr>
      <w:r w:rsidRPr="00662DEE">
        <w:rPr>
          <w:rFonts w:ascii="Arial" w:hAnsi="Arial" w:cs="Arial"/>
        </w:rPr>
        <w:t>Our profits are shown after deducting the amount our members have earned for themselves and their communities, which totalled £16 million in the first half of the year</w:t>
      </w:r>
      <w:r>
        <w:rPr>
          <w:rFonts w:ascii="Arial" w:hAnsi="Arial" w:cs="Arial"/>
        </w:rPr>
        <w:t xml:space="preserve"> </w:t>
      </w:r>
      <w:r w:rsidRPr="00662DEE">
        <w:rPr>
          <w:rFonts w:ascii="Arial" w:hAnsi="Arial" w:cs="Arial"/>
        </w:rPr>
        <w:t>(</w:t>
      </w:r>
      <w:r>
        <w:rPr>
          <w:rFonts w:ascii="Arial" w:hAnsi="Arial" w:cs="Arial"/>
        </w:rPr>
        <w:t xml:space="preserve">H1 </w:t>
      </w:r>
      <w:r w:rsidRPr="00662DEE">
        <w:rPr>
          <w:rFonts w:ascii="Arial" w:hAnsi="Arial" w:cs="Arial"/>
        </w:rPr>
        <w:t>2021: £21 million). Operating profit in the prior period also included £20 million of Government assistance in relation to the pandemic, which we benefitted from in the first three months of 2021 through business rate relief.</w:t>
      </w:r>
      <w:r w:rsidRPr="00E323AA">
        <w:rPr>
          <w:rFonts w:ascii="Arial" w:hAnsi="Arial" w:cs="Arial"/>
        </w:rPr>
        <w:t xml:space="preserve"> </w:t>
      </w:r>
    </w:p>
    <w:p w14:paraId="165F354E" w14:textId="77777777" w:rsidR="00514B73" w:rsidRPr="009855F9" w:rsidRDefault="00514B73" w:rsidP="00514B73">
      <w:pPr>
        <w:spacing w:line="240" w:lineRule="auto"/>
        <w:rPr>
          <w:rFonts w:ascii="Arial" w:hAnsi="Arial" w:cs="Arial"/>
        </w:rPr>
      </w:pPr>
      <w:r w:rsidRPr="00661663">
        <w:rPr>
          <w:rFonts w:ascii="Arial" w:hAnsi="Arial" w:cs="Arial"/>
        </w:rPr>
        <w:t xml:space="preserve">Profit before tax of £7 million is £37 million lower than last year. </w:t>
      </w:r>
      <w:r w:rsidRPr="00B03992">
        <w:rPr>
          <w:rFonts w:ascii="Arial" w:hAnsi="Arial" w:cs="Arial"/>
        </w:rPr>
        <w:t xml:space="preserve">This </w:t>
      </w:r>
      <w:r>
        <w:rPr>
          <w:rFonts w:ascii="Arial" w:hAnsi="Arial" w:cs="Arial"/>
        </w:rPr>
        <w:t>was</w:t>
      </w:r>
      <w:r w:rsidRPr="00B03992">
        <w:rPr>
          <w:rFonts w:ascii="Arial" w:hAnsi="Arial" w:cs="Arial"/>
        </w:rPr>
        <w:t xml:space="preserve"> driven by the fall in operating profit of £28 million noted above and a net reduction in finance income and expenses of £9 million. Finance income in the prior period included a one-off gain of £99 million in relation to the discount on the early settlement of the Group Relief creditor owed to the Co-operative Bank P</w:t>
      </w:r>
      <w:r>
        <w:rPr>
          <w:rFonts w:ascii="Arial" w:hAnsi="Arial" w:cs="Arial"/>
        </w:rPr>
        <w:t>LC</w:t>
      </w:r>
      <w:r w:rsidRPr="00B03992">
        <w:rPr>
          <w:rFonts w:ascii="Arial" w:hAnsi="Arial" w:cs="Arial"/>
        </w:rPr>
        <w:t xml:space="preserve">. This has been offset to some degree by £51 million of net gains from a favourable fair value movement in the valuation of our Eurobonds and foreign exchange and commodity derivatives (mainly diesel positions). </w:t>
      </w:r>
      <w:r w:rsidRPr="00661663">
        <w:rPr>
          <w:rFonts w:ascii="Arial" w:hAnsi="Arial" w:cs="Arial"/>
        </w:rPr>
        <w:t xml:space="preserve">Furthermore, the net interest gain on funeral plans of £21 million compares favourably to the net interest charge of £9 million in the comparative period - investment returns on plan investments outweighed the interest charged on plan liabilities. Finally, the finance income recognised on our pensions schemes is also £8 million higher than last year. </w:t>
      </w:r>
    </w:p>
    <w:p w14:paraId="5D8CA76F" w14:textId="77777777" w:rsidR="00514B73" w:rsidRDefault="00514B73" w:rsidP="00514B73">
      <w:pPr>
        <w:spacing w:line="240" w:lineRule="auto"/>
        <w:rPr>
          <w:rFonts w:ascii="Arial" w:hAnsi="Arial" w:cs="Arial"/>
        </w:rPr>
      </w:pPr>
      <w:r>
        <w:rPr>
          <w:rFonts w:ascii="Arial" w:hAnsi="Arial" w:cs="Arial"/>
        </w:rPr>
        <w:t xml:space="preserve">After a tax charge of £19 million (H1 2021: £7 million) we made a loss after tax from continuing operations of £12 million (H1 2021: £37 million profit). Following the judgment handed down on the IBM case in April, we also recorded a net gain after tax of £60 million from discontinued operations (H1 2021: £10 million gain) contributing to an overall profit for the Society of £48 million in the first half of 2022 (H1 2021: £47 million).   </w:t>
      </w:r>
      <w:r w:rsidRPr="00662DEE">
        <w:rPr>
          <w:rFonts w:ascii="Arial" w:hAnsi="Arial" w:cs="Arial"/>
        </w:rPr>
        <w:t xml:space="preserve">  </w:t>
      </w:r>
    </w:p>
    <w:p w14:paraId="78002CB4" w14:textId="77777777" w:rsidR="00514B73" w:rsidRDefault="00514B73" w:rsidP="00514B73">
      <w:pPr>
        <w:spacing w:line="240" w:lineRule="auto"/>
        <w:rPr>
          <w:rFonts w:ascii="Arial" w:hAnsi="Arial" w:cs="Arial"/>
          <w:b/>
          <w:sz w:val="24"/>
          <w:szCs w:val="24"/>
        </w:rPr>
      </w:pPr>
      <w:r w:rsidRPr="00C034B1">
        <w:rPr>
          <w:rFonts w:ascii="Arial" w:hAnsi="Arial" w:cs="Arial"/>
          <w:b/>
          <w:sz w:val="24"/>
          <w:szCs w:val="24"/>
        </w:rPr>
        <w:t>How our businesses have performed</w:t>
      </w:r>
    </w:p>
    <w:p w14:paraId="39BFFE5C" w14:textId="77777777" w:rsidR="00514B73" w:rsidRPr="0058384E" w:rsidRDefault="00514B73" w:rsidP="00514B73">
      <w:pPr>
        <w:pBdr>
          <w:top w:val="nil"/>
          <w:left w:val="nil"/>
          <w:bottom w:val="nil"/>
          <w:right w:val="nil"/>
          <w:between w:val="nil"/>
        </w:pBdr>
        <w:spacing w:line="240" w:lineRule="auto"/>
        <w:rPr>
          <w:rFonts w:ascii="Arial" w:hAnsi="Arial" w:cs="Arial"/>
          <w:color w:val="000000"/>
        </w:rPr>
      </w:pPr>
      <w:r w:rsidRPr="0058384E">
        <w:rPr>
          <w:rFonts w:ascii="Arial" w:hAnsi="Arial" w:cs="Arial"/>
          <w:color w:val="000000"/>
        </w:rPr>
        <w:t>Overall Food sales totalled £3.9 billion</w:t>
      </w:r>
      <w:r>
        <w:rPr>
          <w:rFonts w:ascii="Arial" w:hAnsi="Arial" w:cs="Arial"/>
          <w:color w:val="000000"/>
        </w:rPr>
        <w:t xml:space="preserve"> in H1 2022,</w:t>
      </w:r>
      <w:r w:rsidRPr="0058384E">
        <w:rPr>
          <w:rFonts w:ascii="Arial" w:hAnsi="Arial" w:cs="Arial"/>
          <w:color w:val="000000"/>
        </w:rPr>
        <w:t xml:space="preserve"> reflecting a moderate increase of £52 million in comparison to</w:t>
      </w:r>
      <w:r>
        <w:rPr>
          <w:rFonts w:ascii="Arial" w:hAnsi="Arial" w:cs="Arial"/>
          <w:color w:val="000000"/>
        </w:rPr>
        <w:t xml:space="preserve"> the same period</w:t>
      </w:r>
      <w:r w:rsidRPr="0058384E">
        <w:rPr>
          <w:rFonts w:ascii="Arial" w:hAnsi="Arial" w:cs="Arial"/>
          <w:color w:val="000000"/>
        </w:rPr>
        <w:t xml:space="preserve"> </w:t>
      </w:r>
      <w:r>
        <w:rPr>
          <w:rFonts w:ascii="Arial" w:hAnsi="Arial" w:cs="Arial"/>
          <w:color w:val="000000"/>
        </w:rPr>
        <w:t xml:space="preserve">of </w:t>
      </w:r>
      <w:r w:rsidRPr="0058384E">
        <w:rPr>
          <w:rFonts w:ascii="Arial" w:hAnsi="Arial" w:cs="Arial"/>
          <w:color w:val="000000"/>
        </w:rPr>
        <w:t>2021. Within these figures</w:t>
      </w:r>
      <w:r>
        <w:rPr>
          <w:rFonts w:ascii="Arial" w:hAnsi="Arial" w:cs="Arial"/>
          <w:color w:val="000000"/>
        </w:rPr>
        <w:t>,</w:t>
      </w:r>
      <w:r w:rsidRPr="0058384E">
        <w:rPr>
          <w:rFonts w:ascii="Arial" w:hAnsi="Arial" w:cs="Arial"/>
          <w:color w:val="000000"/>
        </w:rPr>
        <w:t xml:space="preserve"> fuel sales increased by just over £100 million (up 45%)</w:t>
      </w:r>
      <w:r>
        <w:rPr>
          <w:rFonts w:ascii="Arial" w:hAnsi="Arial" w:cs="Arial"/>
          <w:color w:val="000000"/>
        </w:rPr>
        <w:t>,</w:t>
      </w:r>
      <w:r w:rsidRPr="0058384E">
        <w:rPr>
          <w:rFonts w:ascii="Arial" w:hAnsi="Arial" w:cs="Arial"/>
          <w:color w:val="000000"/>
        </w:rPr>
        <w:t xml:space="preserve"> primarily driven by rising prices at the pumps. The modest reduction in food sales (excluding fuel) reflects the combined effect of food price inflation offset by reduced volumes and transactions</w:t>
      </w:r>
      <w:r>
        <w:rPr>
          <w:rFonts w:ascii="Arial" w:hAnsi="Arial" w:cs="Arial"/>
          <w:color w:val="000000"/>
        </w:rPr>
        <w:t>.</w:t>
      </w:r>
      <w:r w:rsidRPr="0058384E">
        <w:rPr>
          <w:rFonts w:ascii="Arial" w:hAnsi="Arial" w:cs="Arial"/>
          <w:color w:val="000000"/>
        </w:rPr>
        <w:t xml:space="preserve"> </w:t>
      </w:r>
      <w:r>
        <w:rPr>
          <w:rFonts w:ascii="Arial" w:hAnsi="Arial" w:cs="Arial"/>
          <w:color w:val="000000"/>
        </w:rPr>
        <w:t>E</w:t>
      </w:r>
      <w:r w:rsidRPr="0058384E">
        <w:rPr>
          <w:rFonts w:ascii="Arial" w:hAnsi="Arial" w:cs="Arial"/>
          <w:color w:val="000000"/>
        </w:rPr>
        <w:t xml:space="preserve">volving customer behaviour </w:t>
      </w:r>
      <w:r>
        <w:rPr>
          <w:rFonts w:ascii="Arial" w:hAnsi="Arial" w:cs="Arial"/>
          <w:color w:val="000000"/>
        </w:rPr>
        <w:t xml:space="preserve">has </w:t>
      </w:r>
      <w:r w:rsidRPr="0058384E">
        <w:rPr>
          <w:rFonts w:ascii="Arial" w:hAnsi="Arial" w:cs="Arial"/>
          <w:color w:val="000000"/>
        </w:rPr>
        <w:t>see</w:t>
      </w:r>
      <w:r>
        <w:rPr>
          <w:rFonts w:ascii="Arial" w:hAnsi="Arial" w:cs="Arial"/>
          <w:color w:val="000000"/>
        </w:rPr>
        <w:t>n</w:t>
      </w:r>
      <w:r w:rsidRPr="0058384E">
        <w:rPr>
          <w:rFonts w:ascii="Arial" w:hAnsi="Arial" w:cs="Arial"/>
          <w:color w:val="000000"/>
        </w:rPr>
        <w:t xml:space="preserve"> shoppers look to trade down to value range products as the </w:t>
      </w:r>
      <w:proofErr w:type="gramStart"/>
      <w:r w:rsidRPr="0058384E">
        <w:rPr>
          <w:rFonts w:ascii="Arial" w:hAnsi="Arial" w:cs="Arial"/>
          <w:color w:val="000000"/>
        </w:rPr>
        <w:t>cost</w:t>
      </w:r>
      <w:r>
        <w:rPr>
          <w:rFonts w:ascii="Arial" w:hAnsi="Arial" w:cs="Arial"/>
          <w:color w:val="000000"/>
        </w:rPr>
        <w:t xml:space="preserve"> </w:t>
      </w:r>
      <w:r w:rsidRPr="0058384E">
        <w:rPr>
          <w:rFonts w:ascii="Arial" w:hAnsi="Arial" w:cs="Arial"/>
          <w:color w:val="000000"/>
        </w:rPr>
        <w:t>of</w:t>
      </w:r>
      <w:r>
        <w:rPr>
          <w:rFonts w:ascii="Arial" w:hAnsi="Arial" w:cs="Arial"/>
          <w:color w:val="000000"/>
        </w:rPr>
        <w:t xml:space="preserve"> </w:t>
      </w:r>
      <w:r w:rsidRPr="0058384E">
        <w:rPr>
          <w:rFonts w:ascii="Arial" w:hAnsi="Arial" w:cs="Arial"/>
          <w:color w:val="000000"/>
        </w:rPr>
        <w:t>living</w:t>
      </w:r>
      <w:proofErr w:type="gramEnd"/>
      <w:r w:rsidRPr="0058384E">
        <w:rPr>
          <w:rFonts w:ascii="Arial" w:hAnsi="Arial" w:cs="Arial"/>
          <w:color w:val="000000"/>
        </w:rPr>
        <w:t xml:space="preserve"> crisis bites. The comparative period also includes the impact of the third national lockdown at the start of 2021</w:t>
      </w:r>
      <w:r>
        <w:rPr>
          <w:rFonts w:ascii="Arial" w:hAnsi="Arial" w:cs="Arial"/>
          <w:color w:val="000000"/>
        </w:rPr>
        <w:t>,</w:t>
      </w:r>
      <w:r w:rsidRPr="0058384E">
        <w:rPr>
          <w:rFonts w:ascii="Arial" w:hAnsi="Arial" w:cs="Arial"/>
          <w:color w:val="000000"/>
        </w:rPr>
        <w:t xml:space="preserve"> which buoyed sales as people shopped more locally and didn’t eat out at pubs and restaurants. Absolute sales of food </w:t>
      </w:r>
      <w:r>
        <w:rPr>
          <w:rFonts w:ascii="Arial" w:hAnsi="Arial" w:cs="Arial"/>
          <w:color w:val="000000"/>
        </w:rPr>
        <w:t xml:space="preserve">(excluding fuel) </w:t>
      </w:r>
      <w:r w:rsidRPr="0058384E">
        <w:rPr>
          <w:rFonts w:ascii="Arial" w:hAnsi="Arial" w:cs="Arial"/>
          <w:color w:val="000000"/>
        </w:rPr>
        <w:t xml:space="preserve">across all our store formats </w:t>
      </w:r>
      <w:r>
        <w:rPr>
          <w:rFonts w:ascii="Arial" w:hAnsi="Arial" w:cs="Arial"/>
          <w:color w:val="000000"/>
        </w:rPr>
        <w:t>are</w:t>
      </w:r>
      <w:r w:rsidRPr="0058384E">
        <w:rPr>
          <w:rFonts w:ascii="Arial" w:hAnsi="Arial" w:cs="Arial"/>
          <w:color w:val="000000"/>
        </w:rPr>
        <w:t xml:space="preserve"> down slightly with </w:t>
      </w:r>
      <w:r>
        <w:rPr>
          <w:rFonts w:ascii="Arial" w:hAnsi="Arial" w:cs="Arial"/>
          <w:color w:val="000000"/>
        </w:rPr>
        <w:t xml:space="preserve">a </w:t>
      </w:r>
      <w:r w:rsidRPr="0058384E">
        <w:rPr>
          <w:rFonts w:ascii="Arial" w:hAnsi="Arial" w:cs="Arial"/>
          <w:color w:val="000000"/>
        </w:rPr>
        <w:t>like-for-like of -0.7%</w:t>
      </w:r>
      <w:r>
        <w:rPr>
          <w:rFonts w:ascii="Arial" w:hAnsi="Arial" w:cs="Arial"/>
          <w:color w:val="000000"/>
        </w:rPr>
        <w:t>, although</w:t>
      </w:r>
      <w:r w:rsidRPr="0058384E">
        <w:rPr>
          <w:rFonts w:ascii="Arial" w:hAnsi="Arial" w:cs="Arial"/>
          <w:color w:val="000000"/>
        </w:rPr>
        <w:t xml:space="preserve"> convenience sales fared slightly better with a positive like-for-like of 0.4%. </w:t>
      </w:r>
    </w:p>
    <w:p w14:paraId="158DEAC3" w14:textId="77777777" w:rsidR="00514B73" w:rsidRPr="0058384E" w:rsidRDefault="00514B73" w:rsidP="00514B73">
      <w:pPr>
        <w:pBdr>
          <w:top w:val="nil"/>
          <w:left w:val="nil"/>
          <w:bottom w:val="nil"/>
          <w:right w:val="nil"/>
          <w:between w:val="nil"/>
        </w:pBdr>
        <w:spacing w:line="240" w:lineRule="auto"/>
        <w:rPr>
          <w:rFonts w:ascii="Arial" w:hAnsi="Arial" w:cs="Arial"/>
          <w:color w:val="000000"/>
        </w:rPr>
      </w:pPr>
      <w:r w:rsidRPr="0058384E">
        <w:rPr>
          <w:rFonts w:ascii="Arial" w:hAnsi="Arial" w:cs="Arial"/>
          <w:color w:val="000000"/>
        </w:rPr>
        <w:lastRenderedPageBreak/>
        <w:t xml:space="preserve">As highlighted in our 2021 </w:t>
      </w:r>
      <w:r>
        <w:rPr>
          <w:rFonts w:ascii="Arial" w:hAnsi="Arial" w:cs="Arial"/>
          <w:color w:val="000000"/>
        </w:rPr>
        <w:t>A</w:t>
      </w:r>
      <w:r w:rsidRPr="0058384E">
        <w:rPr>
          <w:rFonts w:ascii="Arial" w:hAnsi="Arial" w:cs="Arial"/>
          <w:color w:val="000000"/>
        </w:rPr>
        <w:t xml:space="preserve">nnual </w:t>
      </w:r>
      <w:r>
        <w:rPr>
          <w:rFonts w:ascii="Arial" w:hAnsi="Arial" w:cs="Arial"/>
          <w:color w:val="000000"/>
        </w:rPr>
        <w:t>R</w:t>
      </w:r>
      <w:r w:rsidRPr="0058384E">
        <w:rPr>
          <w:rFonts w:ascii="Arial" w:hAnsi="Arial" w:cs="Arial"/>
          <w:color w:val="000000"/>
        </w:rPr>
        <w:t>eport</w:t>
      </w:r>
      <w:r>
        <w:rPr>
          <w:rFonts w:ascii="Arial" w:hAnsi="Arial" w:cs="Arial"/>
          <w:color w:val="000000"/>
        </w:rPr>
        <w:t>,</w:t>
      </w:r>
      <w:r w:rsidRPr="0058384E">
        <w:rPr>
          <w:rFonts w:ascii="Arial" w:hAnsi="Arial" w:cs="Arial"/>
          <w:color w:val="000000"/>
        </w:rPr>
        <w:t xml:space="preserve"> sales in the</w:t>
      </w:r>
      <w:r>
        <w:rPr>
          <w:rFonts w:ascii="Arial" w:hAnsi="Arial" w:cs="Arial"/>
          <w:color w:val="000000"/>
        </w:rPr>
        <w:t xml:space="preserve"> second</w:t>
      </w:r>
      <w:r w:rsidRPr="0058384E">
        <w:rPr>
          <w:rFonts w:ascii="Arial" w:hAnsi="Arial" w:cs="Arial"/>
          <w:color w:val="000000"/>
        </w:rPr>
        <w:t xml:space="preserve"> half of 2021 were impacted by industrywide</w:t>
      </w:r>
      <w:r>
        <w:rPr>
          <w:rFonts w:ascii="Arial" w:hAnsi="Arial" w:cs="Arial"/>
          <w:color w:val="000000"/>
        </w:rPr>
        <w:t xml:space="preserve"> </w:t>
      </w:r>
      <w:r w:rsidRPr="0058384E">
        <w:rPr>
          <w:rFonts w:ascii="Arial" w:hAnsi="Arial" w:cs="Arial"/>
          <w:color w:val="000000"/>
        </w:rPr>
        <w:t>disruption to global supply chains following the pandemic</w:t>
      </w:r>
      <w:r>
        <w:rPr>
          <w:rFonts w:ascii="Arial" w:hAnsi="Arial" w:cs="Arial"/>
          <w:color w:val="000000"/>
        </w:rPr>
        <w:t xml:space="preserve">. They were </w:t>
      </w:r>
      <w:r w:rsidRPr="0058384E">
        <w:rPr>
          <w:rFonts w:ascii="Arial" w:hAnsi="Arial" w:cs="Arial"/>
          <w:color w:val="000000"/>
        </w:rPr>
        <w:t>further exacerbated as we transitioned to our new commercial, ranging and supply chain systems</w:t>
      </w:r>
      <w:r>
        <w:rPr>
          <w:rFonts w:ascii="Arial" w:hAnsi="Arial" w:cs="Arial"/>
          <w:color w:val="000000"/>
        </w:rPr>
        <w:t>,</w:t>
      </w:r>
      <w:r w:rsidRPr="0058384E">
        <w:rPr>
          <w:rFonts w:ascii="Arial" w:hAnsi="Arial" w:cs="Arial"/>
          <w:color w:val="000000"/>
        </w:rPr>
        <w:t xml:space="preserve"> which resulted in lost sales opportunities</w:t>
      </w:r>
      <w:r>
        <w:rPr>
          <w:rFonts w:ascii="Arial" w:hAnsi="Arial" w:cs="Arial"/>
          <w:color w:val="000000"/>
        </w:rPr>
        <w:t xml:space="preserve"> by affecting </w:t>
      </w:r>
      <w:r w:rsidRPr="0058384E">
        <w:rPr>
          <w:rFonts w:ascii="Arial" w:hAnsi="Arial" w:cs="Arial"/>
          <w:color w:val="000000"/>
        </w:rPr>
        <w:t>our ability to consistently offer customers the products we wanted to. These impacts continued to a lesser degree into the first</w:t>
      </w:r>
      <w:r>
        <w:rPr>
          <w:rFonts w:ascii="Arial" w:hAnsi="Arial" w:cs="Arial"/>
          <w:color w:val="000000"/>
        </w:rPr>
        <w:t xml:space="preserve"> </w:t>
      </w:r>
      <w:r w:rsidRPr="0058384E">
        <w:rPr>
          <w:rFonts w:ascii="Arial" w:hAnsi="Arial" w:cs="Arial"/>
          <w:color w:val="000000"/>
        </w:rPr>
        <w:t>half of 2022</w:t>
      </w:r>
      <w:r>
        <w:rPr>
          <w:rFonts w:ascii="Arial" w:hAnsi="Arial" w:cs="Arial"/>
          <w:color w:val="000000"/>
        </w:rPr>
        <w:t>, and</w:t>
      </w:r>
      <w:r w:rsidRPr="0058384E">
        <w:rPr>
          <w:rFonts w:ascii="Arial" w:hAnsi="Arial" w:cs="Arial"/>
          <w:color w:val="000000"/>
        </w:rPr>
        <w:t xml:space="preserve"> global supply chains and commodity markets have been further impacted by the conflict in Ukraine. </w:t>
      </w:r>
    </w:p>
    <w:p w14:paraId="0073FE6E" w14:textId="77777777" w:rsidR="00514B73" w:rsidRPr="0058384E" w:rsidRDefault="00514B73" w:rsidP="00514B73">
      <w:pPr>
        <w:pBdr>
          <w:top w:val="nil"/>
          <w:left w:val="nil"/>
          <w:bottom w:val="nil"/>
          <w:right w:val="nil"/>
          <w:between w:val="nil"/>
        </w:pBdr>
        <w:spacing w:line="240" w:lineRule="auto"/>
        <w:rPr>
          <w:rFonts w:ascii="Arial" w:hAnsi="Arial" w:cs="Arial"/>
          <w:color w:val="000000"/>
        </w:rPr>
      </w:pPr>
      <w:r w:rsidRPr="0058384E">
        <w:rPr>
          <w:rFonts w:ascii="Arial" w:hAnsi="Arial" w:cs="Arial"/>
          <w:color w:val="000000"/>
        </w:rPr>
        <w:t>Profitability within our Food business f</w:t>
      </w:r>
      <w:r>
        <w:rPr>
          <w:rFonts w:ascii="Arial" w:hAnsi="Arial" w:cs="Arial"/>
          <w:color w:val="000000"/>
        </w:rPr>
        <w:t>ell;</w:t>
      </w:r>
      <w:r w:rsidRPr="0058384E">
        <w:rPr>
          <w:rFonts w:ascii="Arial" w:hAnsi="Arial" w:cs="Arial"/>
          <w:color w:val="000000"/>
        </w:rPr>
        <w:t xml:space="preserve"> we recorded an underlying profit of £41 million (2021: £68 million). This </w:t>
      </w:r>
      <w:r>
        <w:rPr>
          <w:rFonts w:ascii="Arial" w:hAnsi="Arial" w:cs="Arial"/>
          <w:color w:val="000000"/>
        </w:rPr>
        <w:t xml:space="preserve">is partly due to </w:t>
      </w:r>
      <w:r w:rsidRPr="0058384E">
        <w:rPr>
          <w:rFonts w:ascii="Arial" w:hAnsi="Arial" w:cs="Arial"/>
          <w:color w:val="000000"/>
        </w:rPr>
        <w:t>the impact of inflation</w:t>
      </w:r>
      <w:r>
        <w:rPr>
          <w:rFonts w:ascii="Arial" w:hAnsi="Arial" w:cs="Arial"/>
          <w:color w:val="000000"/>
        </w:rPr>
        <w:t>,</w:t>
      </w:r>
      <w:r w:rsidRPr="0058384E">
        <w:rPr>
          <w:rFonts w:ascii="Arial" w:hAnsi="Arial" w:cs="Arial"/>
          <w:color w:val="000000"/>
        </w:rPr>
        <w:t xml:space="preserve"> which has increased the cost to deliver our customer proposition and serve our members. </w:t>
      </w:r>
      <w:r>
        <w:rPr>
          <w:rFonts w:ascii="Arial" w:hAnsi="Arial" w:cs="Arial"/>
          <w:color w:val="000000"/>
        </w:rPr>
        <w:t xml:space="preserve">The comparative figures also benefitted from £18 million of Government assistance through rates relief during the pandemic. </w:t>
      </w:r>
      <w:r w:rsidRPr="0058384E">
        <w:rPr>
          <w:rFonts w:ascii="Arial" w:hAnsi="Arial" w:cs="Arial"/>
          <w:color w:val="000000"/>
        </w:rPr>
        <w:t xml:space="preserve">The increase in fuel sales </w:t>
      </w:r>
      <w:r>
        <w:rPr>
          <w:rFonts w:ascii="Arial" w:hAnsi="Arial" w:cs="Arial"/>
          <w:color w:val="000000"/>
        </w:rPr>
        <w:t xml:space="preserve">has </w:t>
      </w:r>
      <w:r w:rsidRPr="0058384E">
        <w:rPr>
          <w:rFonts w:ascii="Arial" w:hAnsi="Arial" w:cs="Arial"/>
          <w:color w:val="000000"/>
        </w:rPr>
        <w:t>not flow</w:t>
      </w:r>
      <w:r>
        <w:rPr>
          <w:rFonts w:ascii="Arial" w:hAnsi="Arial" w:cs="Arial"/>
          <w:color w:val="000000"/>
        </w:rPr>
        <w:t>ed</w:t>
      </w:r>
      <w:r w:rsidRPr="0058384E">
        <w:rPr>
          <w:rFonts w:ascii="Arial" w:hAnsi="Arial" w:cs="Arial"/>
          <w:color w:val="000000"/>
        </w:rPr>
        <w:t xml:space="preserve"> through to additional profit</w:t>
      </w:r>
      <w:r>
        <w:rPr>
          <w:rFonts w:ascii="Arial" w:hAnsi="Arial" w:cs="Arial"/>
          <w:color w:val="000000"/>
        </w:rPr>
        <w:t xml:space="preserve"> as</w:t>
      </w:r>
      <w:r w:rsidRPr="0058384E">
        <w:rPr>
          <w:rFonts w:ascii="Arial" w:hAnsi="Arial" w:cs="Arial"/>
          <w:color w:val="000000"/>
        </w:rPr>
        <w:t xml:space="preserve"> input costs </w:t>
      </w:r>
      <w:r>
        <w:rPr>
          <w:rFonts w:ascii="Arial" w:hAnsi="Arial" w:cs="Arial"/>
          <w:color w:val="000000"/>
        </w:rPr>
        <w:t xml:space="preserve">have also </w:t>
      </w:r>
      <w:r w:rsidRPr="0058384E">
        <w:rPr>
          <w:rFonts w:ascii="Arial" w:hAnsi="Arial" w:cs="Arial"/>
          <w:color w:val="000000"/>
        </w:rPr>
        <w:t xml:space="preserve">increased. </w:t>
      </w:r>
    </w:p>
    <w:p w14:paraId="7CF46F4A" w14:textId="77777777" w:rsidR="00514B73" w:rsidRPr="0058384E" w:rsidRDefault="00514B73" w:rsidP="00514B73">
      <w:pPr>
        <w:pBdr>
          <w:top w:val="nil"/>
          <w:left w:val="nil"/>
          <w:bottom w:val="nil"/>
          <w:right w:val="nil"/>
          <w:between w:val="nil"/>
        </w:pBdr>
        <w:spacing w:line="240" w:lineRule="auto"/>
        <w:rPr>
          <w:rFonts w:ascii="Arial" w:hAnsi="Arial" w:cs="Arial"/>
          <w:color w:val="000000"/>
        </w:rPr>
      </w:pPr>
      <w:r w:rsidRPr="0058384E">
        <w:rPr>
          <w:rFonts w:ascii="Arial" w:hAnsi="Arial" w:cs="Arial"/>
          <w:color w:val="000000"/>
        </w:rPr>
        <w:t xml:space="preserve">We continue to embed our new commercial, ranging and supply chain systems following the implementation of SAP and are working hard to learn and fully realise the benefits of that investment going forward. </w:t>
      </w:r>
    </w:p>
    <w:p w14:paraId="485E65F7" w14:textId="77777777" w:rsidR="00514B73" w:rsidRPr="0058384E" w:rsidRDefault="00514B73" w:rsidP="00514B73">
      <w:pPr>
        <w:spacing w:line="240" w:lineRule="auto"/>
        <w:rPr>
          <w:rFonts w:ascii="Arial" w:hAnsi="Arial" w:cs="Arial"/>
        </w:rPr>
      </w:pPr>
      <w:r w:rsidRPr="0058384E">
        <w:rPr>
          <w:rFonts w:ascii="Arial" w:hAnsi="Arial" w:cs="Arial"/>
        </w:rPr>
        <w:t>Our Wholesale business (covering the former Nisa wholesale business and our emerging franchise operations) generated sales of £0.7 billion</w:t>
      </w:r>
      <w:r>
        <w:rPr>
          <w:rFonts w:ascii="Arial" w:hAnsi="Arial" w:cs="Arial"/>
        </w:rPr>
        <w:t>,</w:t>
      </w:r>
      <w:r w:rsidRPr="0058384E">
        <w:rPr>
          <w:rFonts w:ascii="Arial" w:hAnsi="Arial" w:cs="Arial"/>
        </w:rPr>
        <w:t xml:space="preserve"> </w:t>
      </w:r>
      <w:r>
        <w:rPr>
          <w:rFonts w:ascii="Arial" w:hAnsi="Arial" w:cs="Arial"/>
        </w:rPr>
        <w:t xml:space="preserve">broadly </w:t>
      </w:r>
      <w:r w:rsidRPr="0058384E">
        <w:rPr>
          <w:rFonts w:ascii="Arial" w:hAnsi="Arial" w:cs="Arial"/>
        </w:rPr>
        <w:t>in</w:t>
      </w:r>
      <w:r>
        <w:rPr>
          <w:rFonts w:ascii="Arial" w:hAnsi="Arial" w:cs="Arial"/>
        </w:rPr>
        <w:t xml:space="preserve"> </w:t>
      </w:r>
      <w:r w:rsidRPr="0058384E">
        <w:rPr>
          <w:rFonts w:ascii="Arial" w:hAnsi="Arial" w:cs="Arial"/>
        </w:rPr>
        <w:t xml:space="preserve">line with 2021. This reflects a solid performance </w:t>
      </w:r>
      <w:proofErr w:type="gramStart"/>
      <w:r w:rsidRPr="0058384E">
        <w:rPr>
          <w:rFonts w:ascii="Arial" w:hAnsi="Arial" w:cs="Arial"/>
        </w:rPr>
        <w:t>in</w:t>
      </w:r>
      <w:r>
        <w:rPr>
          <w:rFonts w:ascii="Arial" w:hAnsi="Arial" w:cs="Arial"/>
        </w:rPr>
        <w:t xml:space="preserve"> </w:t>
      </w:r>
      <w:r w:rsidRPr="0058384E">
        <w:rPr>
          <w:rFonts w:ascii="Arial" w:hAnsi="Arial" w:cs="Arial"/>
        </w:rPr>
        <w:t>light</w:t>
      </w:r>
      <w:r>
        <w:rPr>
          <w:rFonts w:ascii="Arial" w:hAnsi="Arial" w:cs="Arial"/>
        </w:rPr>
        <w:t xml:space="preserve"> </w:t>
      </w:r>
      <w:r w:rsidRPr="0058384E">
        <w:rPr>
          <w:rFonts w:ascii="Arial" w:hAnsi="Arial" w:cs="Arial"/>
        </w:rPr>
        <w:t>of</w:t>
      </w:r>
      <w:proofErr w:type="gramEnd"/>
      <w:r w:rsidRPr="0058384E">
        <w:rPr>
          <w:rFonts w:ascii="Arial" w:hAnsi="Arial" w:cs="Arial"/>
        </w:rPr>
        <w:t xml:space="preserve"> the</w:t>
      </w:r>
      <w:r>
        <w:rPr>
          <w:rFonts w:ascii="Arial" w:hAnsi="Arial" w:cs="Arial"/>
        </w:rPr>
        <w:t xml:space="preserve"> broader </w:t>
      </w:r>
      <w:r w:rsidRPr="0058384E">
        <w:rPr>
          <w:rFonts w:ascii="Arial" w:hAnsi="Arial" w:cs="Arial"/>
        </w:rPr>
        <w:t>economic headwinds impacting all retailers. Underlying profit of £4 million continue</w:t>
      </w:r>
      <w:r>
        <w:rPr>
          <w:rFonts w:ascii="Arial" w:hAnsi="Arial" w:cs="Arial"/>
        </w:rPr>
        <w:t>d</w:t>
      </w:r>
      <w:r w:rsidRPr="0058384E">
        <w:rPr>
          <w:rFonts w:ascii="Arial" w:hAnsi="Arial" w:cs="Arial"/>
        </w:rPr>
        <w:t xml:space="preserve"> the upward trend of improving profitability for Wholesale</w:t>
      </w:r>
      <w:r>
        <w:rPr>
          <w:rFonts w:ascii="Arial" w:hAnsi="Arial" w:cs="Arial"/>
        </w:rPr>
        <w:t>,</w:t>
      </w:r>
      <w:r w:rsidRPr="0058384E">
        <w:rPr>
          <w:rFonts w:ascii="Arial" w:hAnsi="Arial" w:cs="Arial"/>
        </w:rPr>
        <w:t xml:space="preserve"> demonstrating the strength of the collaboration between Co-op and Nisa</w:t>
      </w:r>
      <w:r>
        <w:rPr>
          <w:rFonts w:ascii="Arial" w:hAnsi="Arial" w:cs="Arial"/>
        </w:rPr>
        <w:t>,</w:t>
      </w:r>
      <w:r w:rsidRPr="0058384E">
        <w:rPr>
          <w:rFonts w:ascii="Arial" w:hAnsi="Arial" w:cs="Arial"/>
        </w:rPr>
        <w:t xml:space="preserve"> and the associated benefits that can be passed through to Nisa customers.  </w:t>
      </w:r>
    </w:p>
    <w:p w14:paraId="687A9250" w14:textId="77777777" w:rsidR="00514B73" w:rsidRPr="0058384E" w:rsidRDefault="00514B73" w:rsidP="00514B73">
      <w:pPr>
        <w:spacing w:line="240" w:lineRule="auto"/>
        <w:rPr>
          <w:rFonts w:ascii="Arial" w:hAnsi="Arial" w:cs="Arial"/>
          <w:sz w:val="24"/>
          <w:szCs w:val="24"/>
        </w:rPr>
      </w:pPr>
      <w:r w:rsidRPr="0058384E">
        <w:rPr>
          <w:rFonts w:ascii="Arial" w:hAnsi="Arial" w:cs="Arial"/>
        </w:rPr>
        <w:t>Our Funeral</w:t>
      </w:r>
      <w:r>
        <w:rPr>
          <w:rFonts w:ascii="Arial" w:hAnsi="Arial" w:cs="Arial"/>
        </w:rPr>
        <w:t>care</w:t>
      </w:r>
      <w:r w:rsidRPr="0058384E">
        <w:rPr>
          <w:rFonts w:ascii="Arial" w:hAnsi="Arial" w:cs="Arial"/>
        </w:rPr>
        <w:t xml:space="preserve"> business experienced a 1.7% decrease in volumes in comparison to last year</w:t>
      </w:r>
      <w:r>
        <w:rPr>
          <w:rFonts w:ascii="Arial" w:hAnsi="Arial" w:cs="Arial"/>
        </w:rPr>
        <w:t>,</w:t>
      </w:r>
      <w:r w:rsidRPr="0058384E">
        <w:rPr>
          <w:rFonts w:ascii="Arial" w:hAnsi="Arial" w:cs="Arial"/>
        </w:rPr>
        <w:t xml:space="preserve"> driven by the wider trend in the death rate. Sales of funeral plans were also well down on th</w:t>
      </w:r>
      <w:r>
        <w:rPr>
          <w:rFonts w:ascii="Arial" w:hAnsi="Arial" w:cs="Arial"/>
        </w:rPr>
        <w:t>e</w:t>
      </w:r>
      <w:r w:rsidRPr="0058384E">
        <w:rPr>
          <w:rFonts w:ascii="Arial" w:hAnsi="Arial" w:cs="Arial"/>
        </w:rPr>
        <w:t xml:space="preserve"> levels experienced during the height of the pandemic. Underlying profit decreased by around 35%</w:t>
      </w:r>
      <w:r>
        <w:rPr>
          <w:rFonts w:ascii="Arial" w:hAnsi="Arial" w:cs="Arial"/>
        </w:rPr>
        <w:t xml:space="preserve"> in H1 2022 </w:t>
      </w:r>
      <w:r w:rsidRPr="0058384E">
        <w:rPr>
          <w:rFonts w:ascii="Arial" w:hAnsi="Arial" w:cs="Arial"/>
        </w:rPr>
        <w:t>to £11 million from £17 million in the first half of 2021</w:t>
      </w:r>
      <w:r>
        <w:rPr>
          <w:rFonts w:ascii="Arial" w:hAnsi="Arial" w:cs="Arial"/>
        </w:rPr>
        <w:t>,</w:t>
      </w:r>
      <w:r w:rsidRPr="0058384E">
        <w:rPr>
          <w:rFonts w:ascii="Arial" w:hAnsi="Arial" w:cs="Arial"/>
        </w:rPr>
        <w:t xml:space="preserve"> as reduced sales and increas</w:t>
      </w:r>
      <w:r>
        <w:rPr>
          <w:rFonts w:ascii="Arial" w:hAnsi="Arial" w:cs="Arial"/>
        </w:rPr>
        <w:t>ed</w:t>
      </w:r>
      <w:r w:rsidRPr="0058384E">
        <w:rPr>
          <w:rFonts w:ascii="Arial" w:hAnsi="Arial" w:cs="Arial"/>
        </w:rPr>
        <w:t xml:space="preserve"> input costs eroded margins. Furthermore, we continued to invest in price and enhance customer choice through offering lower cost funeral and cremation options for our members. We also incurred significant set-up costs as we transition to a regulated environment for funeral plans.  </w:t>
      </w:r>
    </w:p>
    <w:p w14:paraId="414C023F" w14:textId="77777777" w:rsidR="00514B73" w:rsidRPr="0058384E" w:rsidRDefault="00514B73" w:rsidP="00514B73">
      <w:pPr>
        <w:spacing w:line="240" w:lineRule="auto"/>
        <w:rPr>
          <w:rFonts w:ascii="Arial" w:hAnsi="Arial" w:cs="Arial"/>
        </w:rPr>
      </w:pPr>
      <w:r w:rsidRPr="0058384E">
        <w:rPr>
          <w:rFonts w:ascii="Arial" w:hAnsi="Arial" w:cs="Arial"/>
        </w:rPr>
        <w:t xml:space="preserve">Our Legal </w:t>
      </w:r>
      <w:r>
        <w:rPr>
          <w:rFonts w:ascii="Arial" w:hAnsi="Arial" w:cs="Arial"/>
        </w:rPr>
        <w:t>S</w:t>
      </w:r>
      <w:r w:rsidRPr="0058384E">
        <w:rPr>
          <w:rFonts w:ascii="Arial" w:hAnsi="Arial" w:cs="Arial"/>
        </w:rPr>
        <w:t>ervices business continue</w:t>
      </w:r>
      <w:r>
        <w:rPr>
          <w:rFonts w:ascii="Arial" w:hAnsi="Arial" w:cs="Arial"/>
        </w:rPr>
        <w:t>d</w:t>
      </w:r>
      <w:r w:rsidRPr="0058384E">
        <w:rPr>
          <w:rFonts w:ascii="Arial" w:hAnsi="Arial" w:cs="Arial"/>
        </w:rPr>
        <w:t xml:space="preserve"> to perform well</w:t>
      </w:r>
      <w:r>
        <w:rPr>
          <w:rFonts w:ascii="Arial" w:hAnsi="Arial" w:cs="Arial"/>
        </w:rPr>
        <w:t xml:space="preserve">. At £22 million, revenue in the first half of 2022 is up £2 million compared to the first half of 2021, </w:t>
      </w:r>
      <w:r w:rsidRPr="0058384E">
        <w:rPr>
          <w:rFonts w:ascii="Arial" w:hAnsi="Arial" w:cs="Arial"/>
        </w:rPr>
        <w:t xml:space="preserve">driven by strong growth in </w:t>
      </w:r>
      <w:r>
        <w:rPr>
          <w:rFonts w:ascii="Arial" w:hAnsi="Arial" w:cs="Arial"/>
        </w:rPr>
        <w:t xml:space="preserve">new </w:t>
      </w:r>
      <w:r w:rsidRPr="0058384E">
        <w:rPr>
          <w:rFonts w:ascii="Arial" w:hAnsi="Arial" w:cs="Arial"/>
        </w:rPr>
        <w:t>probate cases</w:t>
      </w:r>
      <w:r>
        <w:rPr>
          <w:rFonts w:ascii="Arial" w:hAnsi="Arial" w:cs="Arial"/>
        </w:rPr>
        <w:t xml:space="preserve"> opened, </w:t>
      </w:r>
      <w:r w:rsidRPr="0058384E">
        <w:rPr>
          <w:rFonts w:ascii="Arial" w:hAnsi="Arial" w:cs="Arial"/>
        </w:rPr>
        <w:t xml:space="preserve">with profits increasing to £4 million from £2 million in the comparative period. Our </w:t>
      </w:r>
      <w:proofErr w:type="gramStart"/>
      <w:r w:rsidRPr="0058384E">
        <w:rPr>
          <w:rFonts w:ascii="Arial" w:hAnsi="Arial" w:cs="Arial"/>
        </w:rPr>
        <w:t>Insurance</w:t>
      </w:r>
      <w:proofErr w:type="gramEnd"/>
      <w:r w:rsidRPr="0058384E">
        <w:rPr>
          <w:rFonts w:ascii="Arial" w:hAnsi="Arial" w:cs="Arial"/>
        </w:rPr>
        <w:t xml:space="preserve"> business (marketing and distribution) recorded sales of £11 million and underlying profit of £3 million.</w:t>
      </w:r>
      <w:r>
        <w:rPr>
          <w:rFonts w:ascii="Arial" w:hAnsi="Arial" w:cs="Arial"/>
        </w:rPr>
        <w:t xml:space="preserve"> Its</w:t>
      </w:r>
      <w:r w:rsidRPr="0058384E">
        <w:rPr>
          <w:rFonts w:ascii="Arial" w:hAnsi="Arial" w:cs="Arial"/>
        </w:rPr>
        <w:t xml:space="preserve"> </w:t>
      </w:r>
      <w:r>
        <w:rPr>
          <w:rFonts w:ascii="Arial" w:hAnsi="Arial" w:cs="Arial"/>
        </w:rPr>
        <w:t>s</w:t>
      </w:r>
      <w:r w:rsidRPr="0058384E">
        <w:rPr>
          <w:rFonts w:ascii="Arial" w:hAnsi="Arial" w:cs="Arial"/>
        </w:rPr>
        <w:t>ales performance is in</w:t>
      </w:r>
      <w:r>
        <w:rPr>
          <w:rFonts w:ascii="Arial" w:hAnsi="Arial" w:cs="Arial"/>
        </w:rPr>
        <w:t xml:space="preserve"> </w:t>
      </w:r>
      <w:r w:rsidRPr="0058384E">
        <w:rPr>
          <w:rFonts w:ascii="Arial" w:hAnsi="Arial" w:cs="Arial"/>
        </w:rPr>
        <w:t>line with the expected year-on-year reduction in income from the declining back</w:t>
      </w:r>
      <w:r>
        <w:rPr>
          <w:rFonts w:ascii="Arial" w:hAnsi="Arial" w:cs="Arial"/>
        </w:rPr>
        <w:t xml:space="preserve"> </w:t>
      </w:r>
      <w:r w:rsidRPr="0058384E">
        <w:rPr>
          <w:rFonts w:ascii="Arial" w:hAnsi="Arial" w:cs="Arial"/>
        </w:rPr>
        <w:t>book of policies</w:t>
      </w:r>
      <w:r>
        <w:rPr>
          <w:rFonts w:ascii="Arial" w:hAnsi="Arial" w:cs="Arial"/>
        </w:rPr>
        <w:t xml:space="preserve"> held by our Co-op,</w:t>
      </w:r>
      <w:r w:rsidRPr="0058384E">
        <w:rPr>
          <w:rFonts w:ascii="Arial" w:hAnsi="Arial" w:cs="Arial"/>
        </w:rPr>
        <w:t xml:space="preserve"> following the 13</w:t>
      </w:r>
      <w:r>
        <w:rPr>
          <w:rFonts w:ascii="Arial" w:hAnsi="Arial" w:cs="Arial"/>
        </w:rPr>
        <w:t>-</w:t>
      </w:r>
      <w:r w:rsidRPr="0058384E">
        <w:rPr>
          <w:rFonts w:ascii="Arial" w:hAnsi="Arial" w:cs="Arial"/>
        </w:rPr>
        <w:t xml:space="preserve">year deal with </w:t>
      </w:r>
      <w:proofErr w:type="spellStart"/>
      <w:r w:rsidRPr="0058384E">
        <w:rPr>
          <w:rFonts w:ascii="Arial" w:hAnsi="Arial" w:cs="Arial"/>
        </w:rPr>
        <w:t>Markerstudy</w:t>
      </w:r>
      <w:proofErr w:type="spellEnd"/>
      <w:r w:rsidRPr="0058384E">
        <w:rPr>
          <w:rFonts w:ascii="Arial" w:hAnsi="Arial" w:cs="Arial"/>
        </w:rPr>
        <w:t xml:space="preserve">. We continue to operate in a highly competitive market which </w:t>
      </w:r>
      <w:r>
        <w:rPr>
          <w:rFonts w:ascii="Arial" w:hAnsi="Arial" w:cs="Arial"/>
        </w:rPr>
        <w:t>w</w:t>
      </w:r>
      <w:r w:rsidRPr="0058384E">
        <w:rPr>
          <w:rFonts w:ascii="Arial" w:hAnsi="Arial" w:cs="Arial"/>
        </w:rPr>
        <w:t xml:space="preserve">as also impacted by regulatory pricing changes implemented </w:t>
      </w:r>
      <w:r>
        <w:rPr>
          <w:rFonts w:ascii="Arial" w:hAnsi="Arial" w:cs="Arial"/>
        </w:rPr>
        <w:t>at</w:t>
      </w:r>
      <w:r w:rsidRPr="0058384E">
        <w:rPr>
          <w:rFonts w:ascii="Arial" w:hAnsi="Arial" w:cs="Arial"/>
        </w:rPr>
        <w:t xml:space="preserve"> the start of the year. </w:t>
      </w:r>
    </w:p>
    <w:p w14:paraId="1BFEF60B" w14:textId="77777777" w:rsidR="00514B73" w:rsidRPr="0058384E" w:rsidRDefault="00514B73" w:rsidP="00514B73">
      <w:pPr>
        <w:spacing w:line="240" w:lineRule="auto"/>
        <w:rPr>
          <w:i/>
          <w:iCs/>
        </w:rPr>
      </w:pPr>
      <w:r w:rsidRPr="0058384E">
        <w:rPr>
          <w:rFonts w:ascii="Arial" w:hAnsi="Arial" w:cs="Arial"/>
        </w:rPr>
        <w:t>Costs</w:t>
      </w:r>
      <w:r>
        <w:rPr>
          <w:rFonts w:ascii="Arial" w:hAnsi="Arial" w:cs="Arial"/>
        </w:rPr>
        <w:t xml:space="preserve"> of £45 million</w:t>
      </w:r>
      <w:r w:rsidRPr="0058384E">
        <w:rPr>
          <w:rFonts w:ascii="Arial" w:hAnsi="Arial" w:cs="Arial"/>
        </w:rPr>
        <w:t xml:space="preserve"> for our Central Supporting functions </w:t>
      </w:r>
      <w:r>
        <w:rPr>
          <w:rFonts w:ascii="Arial" w:hAnsi="Arial" w:cs="Arial"/>
        </w:rPr>
        <w:t>are</w:t>
      </w:r>
      <w:r w:rsidRPr="0058384E">
        <w:rPr>
          <w:rFonts w:ascii="Arial" w:hAnsi="Arial" w:cs="Arial"/>
        </w:rPr>
        <w:t xml:space="preserve"> in</w:t>
      </w:r>
      <w:r>
        <w:rPr>
          <w:rFonts w:ascii="Arial" w:hAnsi="Arial" w:cs="Arial"/>
        </w:rPr>
        <w:t xml:space="preserve"> </w:t>
      </w:r>
      <w:r w:rsidRPr="0058384E">
        <w:rPr>
          <w:rFonts w:ascii="Arial" w:hAnsi="Arial" w:cs="Arial"/>
        </w:rPr>
        <w:t>line with the prior year (2021: £44 million)</w:t>
      </w:r>
      <w:r>
        <w:rPr>
          <w:rFonts w:ascii="Arial" w:hAnsi="Arial" w:cs="Arial"/>
        </w:rPr>
        <w:t>.</w:t>
      </w:r>
      <w:r w:rsidRPr="0058384E">
        <w:rPr>
          <w:rFonts w:ascii="Arial" w:hAnsi="Arial" w:cs="Arial"/>
        </w:rPr>
        <w:t xml:space="preserve"> </w:t>
      </w:r>
      <w:r>
        <w:rPr>
          <w:rFonts w:ascii="Arial" w:hAnsi="Arial" w:cs="Arial"/>
        </w:rPr>
        <w:t>W</w:t>
      </w:r>
      <w:r w:rsidRPr="0058384E">
        <w:rPr>
          <w:rFonts w:ascii="Arial" w:hAnsi="Arial" w:cs="Arial"/>
        </w:rPr>
        <w:t xml:space="preserve">e </w:t>
      </w:r>
      <w:r>
        <w:rPr>
          <w:rFonts w:ascii="Arial" w:hAnsi="Arial" w:cs="Arial"/>
        </w:rPr>
        <w:t>were</w:t>
      </w:r>
      <w:r w:rsidRPr="0058384E">
        <w:rPr>
          <w:rFonts w:ascii="Arial" w:hAnsi="Arial" w:cs="Arial"/>
        </w:rPr>
        <w:t xml:space="preserve"> able to mitigate inflationary cost increases through operating savings achieved as we continue</w:t>
      </w:r>
      <w:r>
        <w:rPr>
          <w:rFonts w:ascii="Arial" w:hAnsi="Arial" w:cs="Arial"/>
        </w:rPr>
        <w:t>d</w:t>
      </w:r>
      <w:r w:rsidRPr="0058384E">
        <w:rPr>
          <w:rFonts w:ascii="Arial" w:hAnsi="Arial" w:cs="Arial"/>
        </w:rPr>
        <w:t xml:space="preserve"> to develop and embed a stronger cost</w:t>
      </w:r>
      <w:r>
        <w:rPr>
          <w:rFonts w:ascii="Arial" w:hAnsi="Arial" w:cs="Arial"/>
        </w:rPr>
        <w:t>-</w:t>
      </w:r>
      <w:r w:rsidRPr="0058384E">
        <w:rPr>
          <w:rFonts w:ascii="Arial" w:hAnsi="Arial" w:cs="Arial"/>
        </w:rPr>
        <w:t xml:space="preserve">control culture. </w:t>
      </w:r>
    </w:p>
    <w:p w14:paraId="1F31BE98" w14:textId="77777777" w:rsidR="00514B73" w:rsidRDefault="00514B73" w:rsidP="00514B73">
      <w:pPr>
        <w:spacing w:line="240" w:lineRule="auto"/>
        <w:rPr>
          <w:rFonts w:ascii="Arial" w:hAnsi="Arial" w:cs="Arial"/>
        </w:rPr>
      </w:pPr>
      <w:r>
        <w:rPr>
          <w:rFonts w:ascii="Arial" w:hAnsi="Arial" w:cs="Arial"/>
        </w:rPr>
        <w:t>‘</w:t>
      </w:r>
      <w:r w:rsidRPr="0058384E">
        <w:rPr>
          <w:rFonts w:ascii="Arial" w:hAnsi="Arial" w:cs="Arial"/>
        </w:rPr>
        <w:t xml:space="preserve">Discontinued </w:t>
      </w:r>
      <w:r>
        <w:rPr>
          <w:rFonts w:ascii="Arial" w:hAnsi="Arial" w:cs="Arial"/>
        </w:rPr>
        <w:t>O</w:t>
      </w:r>
      <w:r w:rsidRPr="0058384E">
        <w:rPr>
          <w:rFonts w:ascii="Arial" w:hAnsi="Arial" w:cs="Arial"/>
        </w:rPr>
        <w:t>perations</w:t>
      </w:r>
      <w:r>
        <w:rPr>
          <w:rFonts w:ascii="Arial" w:hAnsi="Arial" w:cs="Arial"/>
        </w:rPr>
        <w:t>’</w:t>
      </w:r>
      <w:r w:rsidRPr="0058384E">
        <w:rPr>
          <w:rFonts w:ascii="Arial" w:hAnsi="Arial" w:cs="Arial"/>
        </w:rPr>
        <w:t xml:space="preserve"> relates to our former insurance underwriting business</w:t>
      </w:r>
      <w:r>
        <w:rPr>
          <w:rFonts w:ascii="Arial" w:hAnsi="Arial" w:cs="Arial"/>
        </w:rPr>
        <w:t>,</w:t>
      </w:r>
      <w:r w:rsidRPr="0058384E">
        <w:rPr>
          <w:rFonts w:ascii="Arial" w:hAnsi="Arial" w:cs="Arial"/>
        </w:rPr>
        <w:t xml:space="preserve"> which was sold in December 2020. The recorded </w:t>
      </w:r>
      <w:r>
        <w:rPr>
          <w:rFonts w:ascii="Arial" w:hAnsi="Arial" w:cs="Arial"/>
        </w:rPr>
        <w:t xml:space="preserve">pre-tax </w:t>
      </w:r>
      <w:r w:rsidRPr="0058384E">
        <w:rPr>
          <w:rFonts w:ascii="Arial" w:hAnsi="Arial" w:cs="Arial"/>
        </w:rPr>
        <w:t>profit of £7</w:t>
      </w:r>
      <w:r>
        <w:rPr>
          <w:rFonts w:ascii="Arial" w:hAnsi="Arial" w:cs="Arial"/>
        </w:rPr>
        <w:t>8</w:t>
      </w:r>
      <w:r w:rsidRPr="0058384E">
        <w:rPr>
          <w:rFonts w:ascii="Arial" w:hAnsi="Arial" w:cs="Arial"/>
        </w:rPr>
        <w:t xml:space="preserve"> million reflects the judgment that was handed down by the Court of Appeal in April 2022</w:t>
      </w:r>
      <w:r>
        <w:rPr>
          <w:rFonts w:ascii="Arial" w:hAnsi="Arial" w:cs="Arial"/>
        </w:rPr>
        <w:t>,</w:t>
      </w:r>
      <w:r w:rsidRPr="0058384E">
        <w:rPr>
          <w:rFonts w:ascii="Arial" w:hAnsi="Arial" w:cs="Arial"/>
        </w:rPr>
        <w:t xml:space="preserve"> in relation to the historic legal claim against IBM</w:t>
      </w:r>
      <w:r>
        <w:rPr>
          <w:rFonts w:ascii="Arial" w:hAnsi="Arial" w:cs="Arial"/>
        </w:rPr>
        <w:t xml:space="preserve">. This was </w:t>
      </w:r>
      <w:r w:rsidRPr="0058384E">
        <w:rPr>
          <w:rFonts w:ascii="Arial" w:hAnsi="Arial" w:cs="Arial"/>
        </w:rPr>
        <w:t>disclosed as a post balance sheet event in the 2021 Annual Report and Accounts.</w:t>
      </w:r>
      <w:r>
        <w:rPr>
          <w:rFonts w:ascii="Arial" w:hAnsi="Arial" w:cs="Arial"/>
        </w:rPr>
        <w:t xml:space="preserve"> </w:t>
      </w:r>
    </w:p>
    <w:p w14:paraId="52698258" w14:textId="77777777" w:rsidR="00514B73" w:rsidRDefault="00514B73" w:rsidP="00514B73">
      <w:pPr>
        <w:spacing w:after="0" w:line="240" w:lineRule="auto"/>
        <w:rPr>
          <w:rFonts w:ascii="Arial" w:hAnsi="Arial" w:cs="Arial"/>
          <w:b/>
          <w:color w:val="00B0F0"/>
          <w:sz w:val="24"/>
          <w:szCs w:val="24"/>
        </w:rPr>
      </w:pPr>
    </w:p>
    <w:p w14:paraId="34BA3B7E" w14:textId="77777777" w:rsidR="00514B73" w:rsidRPr="000A2B1C" w:rsidRDefault="00514B73" w:rsidP="00514B73">
      <w:pPr>
        <w:spacing w:line="240" w:lineRule="auto"/>
        <w:rPr>
          <w:rFonts w:ascii="Arial" w:hAnsi="Arial" w:cs="Arial"/>
          <w:b/>
          <w:sz w:val="24"/>
          <w:szCs w:val="24"/>
        </w:rPr>
      </w:pPr>
      <w:r w:rsidRPr="000A2B1C">
        <w:rPr>
          <w:rFonts w:ascii="Arial" w:hAnsi="Arial" w:cs="Arial"/>
          <w:b/>
          <w:sz w:val="24"/>
          <w:szCs w:val="24"/>
        </w:rPr>
        <w:t>Disposals, property valuation gains and one-off items</w:t>
      </w:r>
    </w:p>
    <w:p w14:paraId="67891C39" w14:textId="77777777" w:rsidR="00514B73" w:rsidRDefault="00514B73" w:rsidP="00514B73">
      <w:pPr>
        <w:spacing w:line="240" w:lineRule="auto"/>
        <w:rPr>
          <w:rFonts w:ascii="Arial" w:hAnsi="Arial" w:cs="Arial"/>
          <w:color w:val="000000"/>
        </w:rPr>
      </w:pPr>
      <w:r>
        <w:rPr>
          <w:rFonts w:ascii="Arial" w:hAnsi="Arial" w:cs="Arial"/>
          <w:color w:val="000000"/>
        </w:rPr>
        <w:t xml:space="preserve">The table below shows the one-off items, </w:t>
      </w:r>
      <w:proofErr w:type="gramStart"/>
      <w:r>
        <w:rPr>
          <w:rFonts w:ascii="Arial" w:hAnsi="Arial" w:cs="Arial"/>
          <w:color w:val="000000"/>
        </w:rPr>
        <w:t>disposals</w:t>
      </w:r>
      <w:proofErr w:type="gramEnd"/>
      <w:r>
        <w:rPr>
          <w:rFonts w:ascii="Arial" w:hAnsi="Arial" w:cs="Arial"/>
          <w:color w:val="000000"/>
        </w:rPr>
        <w:t xml:space="preserve"> and property valuation gains in the first half of the year (losses are shown in brackets):</w:t>
      </w:r>
    </w:p>
    <w:p w14:paraId="120CB38A" w14:textId="77777777" w:rsidR="00514B73" w:rsidRDefault="00514B73" w:rsidP="00514B73">
      <w:pPr>
        <w:spacing w:line="240" w:lineRule="auto"/>
        <w:rPr>
          <w:rFonts w:ascii="Arial" w:hAnsi="Arial" w:cs="Arial"/>
          <w:color w:val="000000"/>
        </w:rPr>
      </w:pPr>
      <w:r w:rsidRPr="00543E4F">
        <w:rPr>
          <w:noProof/>
        </w:rPr>
        <w:lastRenderedPageBreak/>
        <w:drawing>
          <wp:inline distT="0" distB="0" distL="0" distR="0" wp14:anchorId="43ECB697" wp14:editId="6B25A6A1">
            <wp:extent cx="5585460" cy="117958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5602517" cy="1183189"/>
                    </a:xfrm>
                    <a:prstGeom prst="rect">
                      <a:avLst/>
                    </a:prstGeom>
                    <a:noFill/>
                    <a:ln>
                      <a:noFill/>
                    </a:ln>
                  </pic:spPr>
                </pic:pic>
              </a:graphicData>
            </a:graphic>
          </wp:inline>
        </w:drawing>
      </w:r>
    </w:p>
    <w:p w14:paraId="0C508024" w14:textId="77777777" w:rsidR="00514B73" w:rsidRDefault="00514B73" w:rsidP="00514B73">
      <w:pPr>
        <w:spacing w:line="240" w:lineRule="auto"/>
        <w:rPr>
          <w:rFonts w:ascii="Arial" w:hAnsi="Arial" w:cs="Arial"/>
        </w:rPr>
      </w:pPr>
      <w:r>
        <w:rPr>
          <w:rFonts w:ascii="Arial" w:hAnsi="Arial" w:cs="Arial"/>
          <w:color w:val="000000"/>
        </w:rPr>
        <w:t xml:space="preserve">The loss of £34 million on property disposals and closures includes £56 million of impairment charges (H1 2021: £14 million) where we have reduced the carrying value of some of our assets. The impairment figure includes a charge of £21 million (H1 2021: £4 million) - </w:t>
      </w:r>
      <w:r w:rsidRPr="00B03992">
        <w:rPr>
          <w:rFonts w:ascii="Arial" w:hAnsi="Arial" w:cs="Arial"/>
        </w:rPr>
        <w:t xml:space="preserve">we have reduced (impaired) the value of the assets that we hold at around 50 of our </w:t>
      </w:r>
      <w:r>
        <w:rPr>
          <w:rFonts w:ascii="Arial" w:hAnsi="Arial" w:cs="Arial"/>
        </w:rPr>
        <w:t>F</w:t>
      </w:r>
      <w:r w:rsidRPr="00B03992">
        <w:rPr>
          <w:rFonts w:ascii="Arial" w:hAnsi="Arial" w:cs="Arial"/>
        </w:rPr>
        <w:t>ood stores</w:t>
      </w:r>
      <w:r>
        <w:rPr>
          <w:rFonts w:ascii="Arial" w:hAnsi="Arial" w:cs="Arial"/>
        </w:rPr>
        <w:t>,</w:t>
      </w:r>
      <w:r w:rsidRPr="00B03992">
        <w:rPr>
          <w:rFonts w:ascii="Arial" w:hAnsi="Arial" w:cs="Arial"/>
        </w:rPr>
        <w:t xml:space="preserve"> where our forecasts of future profitability do not support the asset values we were carrying. This is more significant than in previous periods as we have adjusted our expectations to reflect the tough trading conditions and associated squeeze on profitability that we are facing into. </w:t>
      </w:r>
    </w:p>
    <w:p w14:paraId="075091BD" w14:textId="77777777" w:rsidR="00514B73" w:rsidRDefault="00514B73" w:rsidP="00514B73">
      <w:pPr>
        <w:spacing w:line="240" w:lineRule="auto"/>
        <w:rPr>
          <w:rFonts w:ascii="Arial" w:hAnsi="Arial" w:cs="Arial"/>
        </w:rPr>
      </w:pPr>
      <w:r w:rsidRPr="00B03992">
        <w:rPr>
          <w:rFonts w:ascii="Arial" w:hAnsi="Arial" w:cs="Arial"/>
        </w:rPr>
        <w:t>Furthermore</w:t>
      </w:r>
      <w:r>
        <w:rPr>
          <w:rFonts w:ascii="Arial" w:hAnsi="Arial" w:cs="Arial"/>
        </w:rPr>
        <w:t>,</w:t>
      </w:r>
      <w:r w:rsidRPr="00B03992">
        <w:rPr>
          <w:rFonts w:ascii="Arial" w:hAnsi="Arial" w:cs="Arial"/>
        </w:rPr>
        <w:t xml:space="preserve"> we have reduced (impaired) the value of the leased asset that we hold against our main support centre office space at 1 Angel Square (1AS) by £25</w:t>
      </w:r>
      <w:r>
        <w:rPr>
          <w:rFonts w:ascii="Arial" w:hAnsi="Arial" w:cs="Arial"/>
        </w:rPr>
        <w:t xml:space="preserve"> </w:t>
      </w:r>
      <w:r w:rsidRPr="00B03992">
        <w:rPr>
          <w:rFonts w:ascii="Arial" w:hAnsi="Arial" w:cs="Arial"/>
        </w:rPr>
        <w:t>m</w:t>
      </w:r>
      <w:r>
        <w:rPr>
          <w:rFonts w:ascii="Arial" w:hAnsi="Arial" w:cs="Arial"/>
        </w:rPr>
        <w:t>illion (H1 2021: £nil)</w:t>
      </w:r>
      <w:r w:rsidRPr="00B03992">
        <w:rPr>
          <w:rFonts w:ascii="Arial" w:hAnsi="Arial" w:cs="Arial"/>
        </w:rPr>
        <w:t>. This follows the significant change in working patterns for our support centre colleagues following the pandemic and subsequent transition to more flexible and hybrid working solutions. This change has reduced the utilisation of 1AS which</w:t>
      </w:r>
      <w:r>
        <w:rPr>
          <w:rFonts w:ascii="Arial" w:hAnsi="Arial" w:cs="Arial"/>
        </w:rPr>
        <w:t>,</w:t>
      </w:r>
      <w:r w:rsidRPr="00B03992">
        <w:rPr>
          <w:rFonts w:ascii="Arial" w:hAnsi="Arial" w:cs="Arial"/>
        </w:rPr>
        <w:t xml:space="preserve"> under accounting rules</w:t>
      </w:r>
      <w:r>
        <w:rPr>
          <w:rFonts w:ascii="Arial" w:hAnsi="Arial" w:cs="Arial"/>
        </w:rPr>
        <w:t>,</w:t>
      </w:r>
      <w:r w:rsidRPr="00B03992">
        <w:rPr>
          <w:rFonts w:ascii="Arial" w:hAnsi="Arial" w:cs="Arial"/>
        </w:rPr>
        <w:t xml:space="preserve"> requires us to reduce the value of the leased </w:t>
      </w:r>
      <w:r>
        <w:rPr>
          <w:rFonts w:ascii="Arial" w:hAnsi="Arial" w:cs="Arial"/>
        </w:rPr>
        <w:t>asset that we hold.</w:t>
      </w:r>
    </w:p>
    <w:p w14:paraId="38F3BD07" w14:textId="77777777" w:rsidR="00514B73" w:rsidRDefault="00514B73" w:rsidP="00514B73">
      <w:pPr>
        <w:spacing w:line="240" w:lineRule="auto"/>
        <w:rPr>
          <w:rFonts w:ascii="Arial" w:hAnsi="Arial" w:cs="Arial"/>
        </w:rPr>
      </w:pPr>
      <w:r>
        <w:rPr>
          <w:rFonts w:ascii="Arial" w:hAnsi="Arial" w:cs="Arial"/>
        </w:rPr>
        <w:t>The comparative period includes a significant one-off charge of £17 million, reflecting the costs of some organisational changes made to colleague structures in our Food stores as part of the Fit for Future programme.</w:t>
      </w:r>
    </w:p>
    <w:p w14:paraId="79A78650" w14:textId="77777777" w:rsidR="00514B73" w:rsidRDefault="00514B73" w:rsidP="00514B73">
      <w:pPr>
        <w:spacing w:after="0" w:line="240" w:lineRule="auto"/>
        <w:rPr>
          <w:rFonts w:ascii="Arial" w:hAnsi="Arial" w:cs="Arial"/>
        </w:rPr>
      </w:pPr>
    </w:p>
    <w:p w14:paraId="2AD8A3EC" w14:textId="77777777" w:rsidR="00514B73" w:rsidRDefault="00514B73" w:rsidP="00514B73">
      <w:pPr>
        <w:spacing w:line="240" w:lineRule="auto"/>
        <w:rPr>
          <w:rFonts w:ascii="Arial" w:hAnsi="Arial" w:cs="Arial"/>
          <w:b/>
          <w:sz w:val="24"/>
          <w:szCs w:val="24"/>
        </w:rPr>
      </w:pPr>
      <w:r w:rsidRPr="00F54AFA">
        <w:rPr>
          <w:rFonts w:ascii="Arial" w:hAnsi="Arial" w:cs="Arial"/>
          <w:b/>
          <w:sz w:val="24"/>
          <w:szCs w:val="24"/>
        </w:rPr>
        <w:t>Financing and debt</w:t>
      </w:r>
    </w:p>
    <w:p w14:paraId="54156E1F" w14:textId="77777777" w:rsidR="00514B73" w:rsidRDefault="00514B73" w:rsidP="00514B73">
      <w:pPr>
        <w:spacing w:line="240" w:lineRule="auto"/>
        <w:rPr>
          <w:rFonts w:ascii="Arial" w:hAnsi="Arial" w:cs="Arial"/>
        </w:rPr>
      </w:pPr>
      <w:r>
        <w:rPr>
          <w:rFonts w:ascii="Arial" w:hAnsi="Arial" w:cs="Arial"/>
        </w:rPr>
        <w:t>Our financing income and costs are shown in the table below (costs are shown in brackets):</w:t>
      </w:r>
    </w:p>
    <w:p w14:paraId="552E8FD9" w14:textId="1E34EDF2" w:rsidR="00514B73" w:rsidRDefault="00514B73" w:rsidP="00514B73">
      <w:pPr>
        <w:spacing w:line="240" w:lineRule="auto"/>
        <w:rPr>
          <w:noProof/>
        </w:rPr>
      </w:pPr>
    </w:p>
    <w:tbl>
      <w:tblPr>
        <w:tblW w:w="8420" w:type="dxa"/>
        <w:tblLook w:val="04A0" w:firstRow="1" w:lastRow="0" w:firstColumn="1" w:lastColumn="0" w:noHBand="0" w:noVBand="1"/>
      </w:tblPr>
      <w:tblGrid>
        <w:gridCol w:w="5720"/>
        <w:gridCol w:w="1520"/>
        <w:gridCol w:w="1180"/>
      </w:tblGrid>
      <w:tr w:rsidR="006F477E" w:rsidRPr="006F477E" w14:paraId="30B1A2F4" w14:textId="77777777" w:rsidTr="006F477E">
        <w:trPr>
          <w:trHeight w:val="300"/>
        </w:trPr>
        <w:tc>
          <w:tcPr>
            <w:tcW w:w="5720" w:type="dxa"/>
            <w:tcBorders>
              <w:top w:val="nil"/>
              <w:left w:val="nil"/>
              <w:bottom w:val="nil"/>
              <w:right w:val="nil"/>
            </w:tcBorders>
            <w:shd w:val="clear" w:color="auto" w:fill="808080" w:themeFill="background1" w:themeFillShade="80"/>
            <w:vAlign w:val="center"/>
            <w:hideMark/>
          </w:tcPr>
          <w:p w14:paraId="14858535" w14:textId="77777777" w:rsidR="006F477E" w:rsidRPr="006F477E" w:rsidRDefault="006F477E" w:rsidP="006F477E">
            <w:pPr>
              <w:spacing w:after="0" w:line="240" w:lineRule="auto"/>
              <w:rPr>
                <w:rFonts w:ascii="Arial" w:eastAsia="Times New Roman" w:hAnsi="Arial" w:cs="Arial"/>
                <w:color w:val="FFFFFF"/>
                <w:lang w:eastAsia="en-GB"/>
              </w:rPr>
            </w:pPr>
            <w:r w:rsidRPr="006F477E">
              <w:rPr>
                <w:rFonts w:ascii="Arial" w:eastAsia="Times New Roman" w:hAnsi="Arial" w:cs="Arial"/>
                <w:color w:val="FFFFFF"/>
                <w:lang w:eastAsia="en-GB"/>
              </w:rPr>
              <w:t> </w:t>
            </w:r>
          </w:p>
        </w:tc>
        <w:tc>
          <w:tcPr>
            <w:tcW w:w="1520" w:type="dxa"/>
            <w:tcBorders>
              <w:top w:val="nil"/>
              <w:left w:val="nil"/>
              <w:bottom w:val="nil"/>
              <w:right w:val="nil"/>
            </w:tcBorders>
            <w:shd w:val="clear" w:color="auto" w:fill="808080" w:themeFill="background1" w:themeFillShade="80"/>
            <w:vAlign w:val="center"/>
            <w:hideMark/>
          </w:tcPr>
          <w:p w14:paraId="6153FBB9" w14:textId="77777777" w:rsidR="006F477E" w:rsidRPr="006F477E" w:rsidRDefault="006F477E" w:rsidP="006F477E">
            <w:pPr>
              <w:spacing w:after="0" w:line="240" w:lineRule="auto"/>
              <w:jc w:val="right"/>
              <w:rPr>
                <w:rFonts w:ascii="Arial" w:eastAsia="Times New Roman" w:hAnsi="Arial" w:cs="Arial"/>
                <w:b/>
                <w:bCs/>
                <w:color w:val="FFFFFF"/>
                <w:lang w:eastAsia="en-GB"/>
              </w:rPr>
            </w:pPr>
            <w:r w:rsidRPr="006F477E">
              <w:rPr>
                <w:rFonts w:ascii="Arial" w:eastAsia="Times New Roman" w:hAnsi="Arial" w:cs="Arial"/>
                <w:b/>
                <w:bCs/>
                <w:color w:val="FFFFFF"/>
                <w:lang w:eastAsia="en-GB"/>
              </w:rPr>
              <w:t>2022</w:t>
            </w:r>
          </w:p>
        </w:tc>
        <w:tc>
          <w:tcPr>
            <w:tcW w:w="1180" w:type="dxa"/>
            <w:tcBorders>
              <w:top w:val="nil"/>
              <w:left w:val="nil"/>
              <w:bottom w:val="nil"/>
              <w:right w:val="nil"/>
            </w:tcBorders>
            <w:shd w:val="clear" w:color="auto" w:fill="808080" w:themeFill="background1" w:themeFillShade="80"/>
            <w:vAlign w:val="center"/>
            <w:hideMark/>
          </w:tcPr>
          <w:p w14:paraId="6DECCE42" w14:textId="77777777" w:rsidR="006F477E" w:rsidRPr="006F477E" w:rsidRDefault="006F477E" w:rsidP="006F477E">
            <w:pPr>
              <w:spacing w:after="0" w:line="240" w:lineRule="auto"/>
              <w:jc w:val="right"/>
              <w:rPr>
                <w:rFonts w:ascii="Arial" w:eastAsia="Times New Roman" w:hAnsi="Arial" w:cs="Arial"/>
                <w:color w:val="FFFFFF"/>
                <w:lang w:eastAsia="en-GB"/>
              </w:rPr>
            </w:pPr>
            <w:r w:rsidRPr="006F477E">
              <w:rPr>
                <w:rFonts w:ascii="Arial" w:eastAsia="Times New Roman" w:hAnsi="Arial" w:cs="Arial"/>
                <w:color w:val="FFFFFF"/>
                <w:lang w:eastAsia="en-GB"/>
              </w:rPr>
              <w:t>2021</w:t>
            </w:r>
          </w:p>
        </w:tc>
      </w:tr>
      <w:tr w:rsidR="006F477E" w:rsidRPr="006F477E" w14:paraId="0C9D5412" w14:textId="77777777" w:rsidTr="006F477E">
        <w:trPr>
          <w:trHeight w:val="300"/>
        </w:trPr>
        <w:tc>
          <w:tcPr>
            <w:tcW w:w="5720" w:type="dxa"/>
            <w:tcBorders>
              <w:top w:val="nil"/>
              <w:left w:val="nil"/>
              <w:bottom w:val="nil"/>
              <w:right w:val="nil"/>
            </w:tcBorders>
            <w:shd w:val="clear" w:color="auto" w:fill="808080" w:themeFill="background1" w:themeFillShade="80"/>
            <w:vAlign w:val="center"/>
            <w:hideMark/>
          </w:tcPr>
          <w:p w14:paraId="29C5308D" w14:textId="77777777" w:rsidR="006F477E" w:rsidRPr="006F477E" w:rsidRDefault="006F477E" w:rsidP="006F477E">
            <w:pPr>
              <w:spacing w:after="0" w:line="240" w:lineRule="auto"/>
              <w:rPr>
                <w:rFonts w:ascii="Arial" w:eastAsia="Times New Roman" w:hAnsi="Arial" w:cs="Arial"/>
                <w:color w:val="FFFFFF"/>
                <w:lang w:eastAsia="en-GB"/>
              </w:rPr>
            </w:pPr>
            <w:r w:rsidRPr="006F477E">
              <w:rPr>
                <w:rFonts w:ascii="Arial" w:eastAsia="Times New Roman" w:hAnsi="Arial" w:cs="Arial"/>
                <w:color w:val="FFFFFF"/>
                <w:lang w:eastAsia="en-GB"/>
              </w:rPr>
              <w:t> </w:t>
            </w:r>
          </w:p>
        </w:tc>
        <w:tc>
          <w:tcPr>
            <w:tcW w:w="1520" w:type="dxa"/>
            <w:tcBorders>
              <w:top w:val="nil"/>
              <w:left w:val="nil"/>
              <w:bottom w:val="nil"/>
              <w:right w:val="nil"/>
            </w:tcBorders>
            <w:shd w:val="clear" w:color="auto" w:fill="808080" w:themeFill="background1" w:themeFillShade="80"/>
            <w:vAlign w:val="center"/>
            <w:hideMark/>
          </w:tcPr>
          <w:p w14:paraId="0CE456C2" w14:textId="77777777" w:rsidR="006F477E" w:rsidRPr="006F477E" w:rsidRDefault="006F477E" w:rsidP="006F477E">
            <w:pPr>
              <w:spacing w:after="0" w:line="240" w:lineRule="auto"/>
              <w:jc w:val="right"/>
              <w:rPr>
                <w:rFonts w:ascii="Arial" w:eastAsia="Times New Roman" w:hAnsi="Arial" w:cs="Arial"/>
                <w:b/>
                <w:bCs/>
                <w:color w:val="FFFFFF"/>
                <w:lang w:eastAsia="en-GB"/>
              </w:rPr>
            </w:pPr>
            <w:r w:rsidRPr="006F477E">
              <w:rPr>
                <w:rFonts w:ascii="Arial" w:eastAsia="Times New Roman" w:hAnsi="Arial" w:cs="Arial"/>
                <w:b/>
                <w:bCs/>
                <w:color w:val="FFFFFF"/>
                <w:lang w:eastAsia="en-GB"/>
              </w:rPr>
              <w:t>£m</w:t>
            </w:r>
          </w:p>
        </w:tc>
        <w:tc>
          <w:tcPr>
            <w:tcW w:w="1180" w:type="dxa"/>
            <w:tcBorders>
              <w:top w:val="nil"/>
              <w:left w:val="nil"/>
              <w:bottom w:val="nil"/>
              <w:right w:val="nil"/>
            </w:tcBorders>
            <w:shd w:val="clear" w:color="auto" w:fill="808080" w:themeFill="background1" w:themeFillShade="80"/>
            <w:vAlign w:val="center"/>
            <w:hideMark/>
          </w:tcPr>
          <w:p w14:paraId="2EE11988" w14:textId="77777777" w:rsidR="006F477E" w:rsidRPr="006F477E" w:rsidRDefault="006F477E" w:rsidP="006F477E">
            <w:pPr>
              <w:spacing w:after="0" w:line="240" w:lineRule="auto"/>
              <w:jc w:val="right"/>
              <w:rPr>
                <w:rFonts w:ascii="Arial" w:eastAsia="Times New Roman" w:hAnsi="Arial" w:cs="Arial"/>
                <w:color w:val="FFFFFF"/>
                <w:lang w:eastAsia="en-GB"/>
              </w:rPr>
            </w:pPr>
            <w:r w:rsidRPr="006F477E">
              <w:rPr>
                <w:rFonts w:ascii="Arial" w:eastAsia="Times New Roman" w:hAnsi="Arial" w:cs="Arial"/>
                <w:color w:val="FFFFFF"/>
                <w:lang w:eastAsia="en-GB"/>
              </w:rPr>
              <w:t>£m</w:t>
            </w:r>
          </w:p>
        </w:tc>
      </w:tr>
      <w:tr w:rsidR="006F477E" w:rsidRPr="006F477E" w14:paraId="19771307" w14:textId="77777777" w:rsidTr="006F477E">
        <w:trPr>
          <w:trHeight w:val="300"/>
        </w:trPr>
        <w:tc>
          <w:tcPr>
            <w:tcW w:w="5720" w:type="dxa"/>
            <w:tcBorders>
              <w:top w:val="nil"/>
              <w:left w:val="nil"/>
              <w:bottom w:val="nil"/>
              <w:right w:val="nil"/>
            </w:tcBorders>
            <w:shd w:val="clear" w:color="000000" w:fill="FFFFFF"/>
            <w:vAlign w:val="bottom"/>
            <w:hideMark/>
          </w:tcPr>
          <w:p w14:paraId="0AAEEBF7" w14:textId="77777777" w:rsidR="006F477E" w:rsidRPr="006F477E" w:rsidRDefault="006F477E" w:rsidP="006F477E">
            <w:pPr>
              <w:spacing w:after="0" w:line="240" w:lineRule="auto"/>
              <w:rPr>
                <w:rFonts w:ascii="Arial" w:eastAsia="Times New Roman" w:hAnsi="Arial" w:cs="Arial"/>
                <w:color w:val="000000"/>
                <w:lang w:eastAsia="en-GB"/>
              </w:rPr>
            </w:pPr>
            <w:r w:rsidRPr="006F477E">
              <w:rPr>
                <w:rFonts w:ascii="Arial" w:eastAsia="Times New Roman" w:hAnsi="Arial" w:cs="Arial"/>
                <w:color w:val="000000"/>
                <w:lang w:eastAsia="en-GB"/>
              </w:rPr>
              <w:t>Underlying bank and loan interest payable</w:t>
            </w:r>
          </w:p>
        </w:tc>
        <w:tc>
          <w:tcPr>
            <w:tcW w:w="1520" w:type="dxa"/>
            <w:tcBorders>
              <w:top w:val="nil"/>
              <w:left w:val="nil"/>
              <w:bottom w:val="nil"/>
              <w:right w:val="nil"/>
            </w:tcBorders>
            <w:shd w:val="clear" w:color="000000" w:fill="FFFFFF"/>
            <w:noWrap/>
            <w:vAlign w:val="bottom"/>
            <w:hideMark/>
          </w:tcPr>
          <w:p w14:paraId="739F29C2" w14:textId="77777777" w:rsidR="006F477E" w:rsidRPr="006F477E" w:rsidRDefault="006F477E" w:rsidP="006F477E">
            <w:pPr>
              <w:spacing w:after="0" w:line="240" w:lineRule="auto"/>
              <w:jc w:val="right"/>
              <w:rPr>
                <w:rFonts w:ascii="Arial" w:eastAsia="Times New Roman" w:hAnsi="Arial" w:cs="Arial"/>
                <w:b/>
                <w:bCs/>
                <w:lang w:eastAsia="en-GB"/>
              </w:rPr>
            </w:pPr>
            <w:r w:rsidRPr="006F477E">
              <w:rPr>
                <w:rFonts w:ascii="Arial" w:eastAsia="Times New Roman" w:hAnsi="Arial" w:cs="Arial"/>
                <w:b/>
                <w:bCs/>
                <w:lang w:eastAsia="en-GB"/>
              </w:rPr>
              <w:t>(28)</w:t>
            </w:r>
          </w:p>
        </w:tc>
        <w:tc>
          <w:tcPr>
            <w:tcW w:w="1180" w:type="dxa"/>
            <w:tcBorders>
              <w:top w:val="nil"/>
              <w:left w:val="nil"/>
              <w:bottom w:val="nil"/>
              <w:right w:val="nil"/>
            </w:tcBorders>
            <w:shd w:val="clear" w:color="000000" w:fill="FFFFFF"/>
            <w:vAlign w:val="center"/>
            <w:hideMark/>
          </w:tcPr>
          <w:p w14:paraId="3C11FF2C" w14:textId="77777777" w:rsidR="006F477E" w:rsidRPr="006F477E" w:rsidRDefault="006F477E" w:rsidP="006F477E">
            <w:pPr>
              <w:spacing w:after="0" w:line="240" w:lineRule="auto"/>
              <w:jc w:val="right"/>
              <w:rPr>
                <w:rFonts w:ascii="Arial" w:eastAsia="Times New Roman" w:hAnsi="Arial" w:cs="Arial"/>
                <w:color w:val="000000"/>
                <w:lang w:eastAsia="en-GB"/>
              </w:rPr>
            </w:pPr>
            <w:r w:rsidRPr="006F477E">
              <w:rPr>
                <w:rFonts w:ascii="Arial" w:eastAsia="Times New Roman" w:hAnsi="Arial" w:cs="Arial"/>
                <w:color w:val="000000"/>
                <w:lang w:eastAsia="en-GB"/>
              </w:rPr>
              <w:t>(29)</w:t>
            </w:r>
          </w:p>
        </w:tc>
      </w:tr>
      <w:tr w:rsidR="006F477E" w:rsidRPr="006F477E" w14:paraId="00B9031C" w14:textId="77777777" w:rsidTr="006F477E">
        <w:trPr>
          <w:trHeight w:val="300"/>
        </w:trPr>
        <w:tc>
          <w:tcPr>
            <w:tcW w:w="5720" w:type="dxa"/>
            <w:tcBorders>
              <w:top w:val="nil"/>
              <w:left w:val="nil"/>
              <w:bottom w:val="nil"/>
              <w:right w:val="nil"/>
            </w:tcBorders>
            <w:shd w:val="clear" w:color="000000" w:fill="FFFFFF"/>
            <w:vAlign w:val="bottom"/>
            <w:hideMark/>
          </w:tcPr>
          <w:p w14:paraId="0821B76F" w14:textId="77777777" w:rsidR="006F477E" w:rsidRPr="006F477E" w:rsidRDefault="006F477E" w:rsidP="006F477E">
            <w:pPr>
              <w:spacing w:after="0" w:line="240" w:lineRule="auto"/>
              <w:rPr>
                <w:rFonts w:ascii="Arial" w:eastAsia="Times New Roman" w:hAnsi="Arial" w:cs="Arial"/>
                <w:color w:val="000000"/>
                <w:lang w:eastAsia="en-GB"/>
              </w:rPr>
            </w:pPr>
            <w:r w:rsidRPr="006F477E">
              <w:rPr>
                <w:rFonts w:ascii="Arial" w:eastAsia="Times New Roman" w:hAnsi="Arial" w:cs="Arial"/>
                <w:color w:val="000000"/>
                <w:lang w:eastAsia="en-GB"/>
              </w:rPr>
              <w:t>Net underlying lease interest</w:t>
            </w:r>
          </w:p>
        </w:tc>
        <w:tc>
          <w:tcPr>
            <w:tcW w:w="1520" w:type="dxa"/>
            <w:tcBorders>
              <w:top w:val="nil"/>
              <w:left w:val="nil"/>
              <w:bottom w:val="nil"/>
              <w:right w:val="nil"/>
            </w:tcBorders>
            <w:shd w:val="clear" w:color="000000" w:fill="FFFFFF"/>
            <w:noWrap/>
            <w:vAlign w:val="bottom"/>
            <w:hideMark/>
          </w:tcPr>
          <w:p w14:paraId="1086C02B" w14:textId="77777777" w:rsidR="006F477E" w:rsidRPr="006F477E" w:rsidRDefault="006F477E" w:rsidP="006F477E">
            <w:pPr>
              <w:spacing w:after="0" w:line="240" w:lineRule="auto"/>
              <w:jc w:val="right"/>
              <w:rPr>
                <w:rFonts w:ascii="Arial" w:eastAsia="Times New Roman" w:hAnsi="Arial" w:cs="Arial"/>
                <w:b/>
                <w:bCs/>
                <w:lang w:eastAsia="en-GB"/>
              </w:rPr>
            </w:pPr>
            <w:r w:rsidRPr="006F477E">
              <w:rPr>
                <w:rFonts w:ascii="Arial" w:eastAsia="Times New Roman" w:hAnsi="Arial" w:cs="Arial"/>
                <w:b/>
                <w:bCs/>
                <w:lang w:eastAsia="en-GB"/>
              </w:rPr>
              <w:t>(39)</w:t>
            </w:r>
          </w:p>
        </w:tc>
        <w:tc>
          <w:tcPr>
            <w:tcW w:w="1180" w:type="dxa"/>
            <w:tcBorders>
              <w:top w:val="nil"/>
              <w:left w:val="nil"/>
              <w:bottom w:val="nil"/>
              <w:right w:val="nil"/>
            </w:tcBorders>
            <w:shd w:val="clear" w:color="000000" w:fill="FFFFFF"/>
            <w:vAlign w:val="center"/>
            <w:hideMark/>
          </w:tcPr>
          <w:p w14:paraId="1C86F6DB" w14:textId="77777777" w:rsidR="006F477E" w:rsidRPr="006F477E" w:rsidRDefault="006F477E" w:rsidP="006F477E">
            <w:pPr>
              <w:spacing w:after="0" w:line="240" w:lineRule="auto"/>
              <w:jc w:val="right"/>
              <w:rPr>
                <w:rFonts w:ascii="Arial" w:eastAsia="Times New Roman" w:hAnsi="Arial" w:cs="Arial"/>
                <w:color w:val="000000"/>
                <w:lang w:eastAsia="en-GB"/>
              </w:rPr>
            </w:pPr>
            <w:r w:rsidRPr="006F477E">
              <w:rPr>
                <w:rFonts w:ascii="Arial" w:eastAsia="Times New Roman" w:hAnsi="Arial" w:cs="Arial"/>
                <w:color w:val="000000"/>
                <w:lang w:eastAsia="en-GB"/>
              </w:rPr>
              <w:t>(37)</w:t>
            </w:r>
          </w:p>
        </w:tc>
      </w:tr>
      <w:tr w:rsidR="006F477E" w:rsidRPr="006F477E" w14:paraId="6EDE2630" w14:textId="77777777" w:rsidTr="006F477E">
        <w:trPr>
          <w:trHeight w:val="300"/>
        </w:trPr>
        <w:tc>
          <w:tcPr>
            <w:tcW w:w="5720" w:type="dxa"/>
            <w:tcBorders>
              <w:top w:val="single" w:sz="4" w:space="0" w:color="auto"/>
              <w:left w:val="nil"/>
              <w:bottom w:val="single" w:sz="4" w:space="0" w:color="auto"/>
              <w:right w:val="nil"/>
            </w:tcBorders>
            <w:shd w:val="clear" w:color="auto" w:fill="F2F2F2" w:themeFill="background1" w:themeFillShade="F2"/>
            <w:vAlign w:val="bottom"/>
            <w:hideMark/>
          </w:tcPr>
          <w:p w14:paraId="54B8EA97" w14:textId="77777777" w:rsidR="006F477E" w:rsidRPr="006F477E" w:rsidRDefault="006F477E" w:rsidP="006F477E">
            <w:pPr>
              <w:spacing w:after="0" w:line="240" w:lineRule="auto"/>
              <w:rPr>
                <w:rFonts w:ascii="Arial" w:eastAsia="Times New Roman" w:hAnsi="Arial" w:cs="Arial"/>
                <w:b/>
                <w:bCs/>
                <w:color w:val="000000"/>
                <w:lang w:eastAsia="en-GB"/>
              </w:rPr>
            </w:pPr>
            <w:r w:rsidRPr="006F477E">
              <w:rPr>
                <w:rFonts w:ascii="Arial" w:eastAsia="Times New Roman" w:hAnsi="Arial" w:cs="Arial"/>
                <w:b/>
                <w:bCs/>
                <w:color w:val="000000"/>
                <w:lang w:eastAsia="en-GB"/>
              </w:rPr>
              <w:t>Total underlying interest</w:t>
            </w:r>
          </w:p>
        </w:tc>
        <w:tc>
          <w:tcPr>
            <w:tcW w:w="1520" w:type="dxa"/>
            <w:tcBorders>
              <w:top w:val="single" w:sz="4" w:space="0" w:color="auto"/>
              <w:left w:val="nil"/>
              <w:bottom w:val="single" w:sz="4" w:space="0" w:color="auto"/>
              <w:right w:val="nil"/>
            </w:tcBorders>
            <w:shd w:val="clear" w:color="auto" w:fill="F2F2F2" w:themeFill="background1" w:themeFillShade="F2"/>
            <w:vAlign w:val="center"/>
            <w:hideMark/>
          </w:tcPr>
          <w:p w14:paraId="550C7D25" w14:textId="77777777" w:rsidR="006F477E" w:rsidRPr="006F477E" w:rsidRDefault="006F477E" w:rsidP="006F477E">
            <w:pPr>
              <w:spacing w:after="0" w:line="240" w:lineRule="auto"/>
              <w:jc w:val="right"/>
              <w:rPr>
                <w:rFonts w:ascii="Arial" w:eastAsia="Times New Roman" w:hAnsi="Arial" w:cs="Arial"/>
                <w:b/>
                <w:bCs/>
                <w:color w:val="000000"/>
                <w:lang w:eastAsia="en-GB"/>
              </w:rPr>
            </w:pPr>
            <w:r w:rsidRPr="006F477E">
              <w:rPr>
                <w:rFonts w:ascii="Arial" w:eastAsia="Times New Roman" w:hAnsi="Arial" w:cs="Arial"/>
                <w:b/>
                <w:bCs/>
                <w:color w:val="000000"/>
                <w:lang w:eastAsia="en-GB"/>
              </w:rPr>
              <w:t>(67)</w:t>
            </w:r>
          </w:p>
        </w:tc>
        <w:tc>
          <w:tcPr>
            <w:tcW w:w="1180" w:type="dxa"/>
            <w:tcBorders>
              <w:top w:val="single" w:sz="4" w:space="0" w:color="auto"/>
              <w:left w:val="nil"/>
              <w:bottom w:val="single" w:sz="4" w:space="0" w:color="auto"/>
              <w:right w:val="nil"/>
            </w:tcBorders>
            <w:shd w:val="clear" w:color="auto" w:fill="F2F2F2" w:themeFill="background1" w:themeFillShade="F2"/>
            <w:vAlign w:val="center"/>
            <w:hideMark/>
          </w:tcPr>
          <w:p w14:paraId="5B29D506" w14:textId="77777777" w:rsidR="006F477E" w:rsidRPr="006F477E" w:rsidRDefault="006F477E" w:rsidP="006F477E">
            <w:pPr>
              <w:spacing w:after="0" w:line="240" w:lineRule="auto"/>
              <w:jc w:val="right"/>
              <w:rPr>
                <w:rFonts w:ascii="Arial" w:eastAsia="Times New Roman" w:hAnsi="Arial" w:cs="Arial"/>
                <w:color w:val="000000"/>
                <w:lang w:eastAsia="en-GB"/>
              </w:rPr>
            </w:pPr>
            <w:r w:rsidRPr="006F477E">
              <w:rPr>
                <w:rFonts w:ascii="Arial" w:eastAsia="Times New Roman" w:hAnsi="Arial" w:cs="Arial"/>
                <w:color w:val="000000"/>
                <w:lang w:eastAsia="en-GB"/>
              </w:rPr>
              <w:t>(66)</w:t>
            </w:r>
          </w:p>
        </w:tc>
      </w:tr>
      <w:tr w:rsidR="006F477E" w:rsidRPr="006F477E" w14:paraId="55B6BD21" w14:textId="77777777" w:rsidTr="006F477E">
        <w:trPr>
          <w:trHeight w:val="300"/>
        </w:trPr>
        <w:tc>
          <w:tcPr>
            <w:tcW w:w="5720" w:type="dxa"/>
            <w:tcBorders>
              <w:top w:val="nil"/>
              <w:left w:val="nil"/>
              <w:bottom w:val="nil"/>
              <w:right w:val="nil"/>
            </w:tcBorders>
            <w:shd w:val="clear" w:color="000000" w:fill="FFFFFF"/>
            <w:vAlign w:val="bottom"/>
            <w:hideMark/>
          </w:tcPr>
          <w:p w14:paraId="5B6BE590" w14:textId="77777777" w:rsidR="006F477E" w:rsidRPr="006F477E" w:rsidRDefault="006F477E" w:rsidP="006F477E">
            <w:pPr>
              <w:spacing w:after="0" w:line="240" w:lineRule="auto"/>
              <w:rPr>
                <w:rFonts w:ascii="Arial" w:eastAsia="Times New Roman" w:hAnsi="Arial" w:cs="Arial"/>
                <w:color w:val="000000"/>
                <w:lang w:eastAsia="en-GB"/>
              </w:rPr>
            </w:pPr>
            <w:r w:rsidRPr="006F477E">
              <w:rPr>
                <w:rFonts w:ascii="Arial" w:eastAsia="Times New Roman" w:hAnsi="Arial" w:cs="Arial"/>
                <w:color w:val="000000"/>
                <w:lang w:eastAsia="en-GB"/>
              </w:rPr>
              <w:t>Net pension finance income</w:t>
            </w:r>
          </w:p>
        </w:tc>
        <w:tc>
          <w:tcPr>
            <w:tcW w:w="1520" w:type="dxa"/>
            <w:tcBorders>
              <w:top w:val="nil"/>
              <w:left w:val="nil"/>
              <w:bottom w:val="nil"/>
              <w:right w:val="nil"/>
            </w:tcBorders>
            <w:shd w:val="clear" w:color="000000" w:fill="FFFFFF"/>
            <w:noWrap/>
            <w:vAlign w:val="bottom"/>
            <w:hideMark/>
          </w:tcPr>
          <w:p w14:paraId="5552B554" w14:textId="77777777" w:rsidR="006F477E" w:rsidRPr="006F477E" w:rsidRDefault="006F477E" w:rsidP="006F477E">
            <w:pPr>
              <w:spacing w:after="0" w:line="240" w:lineRule="auto"/>
              <w:jc w:val="right"/>
              <w:rPr>
                <w:rFonts w:ascii="Arial" w:eastAsia="Times New Roman" w:hAnsi="Arial" w:cs="Arial"/>
                <w:b/>
                <w:bCs/>
                <w:lang w:eastAsia="en-GB"/>
              </w:rPr>
            </w:pPr>
            <w:r w:rsidRPr="006F477E">
              <w:rPr>
                <w:rFonts w:ascii="Arial" w:eastAsia="Times New Roman" w:hAnsi="Arial" w:cs="Arial"/>
                <w:b/>
                <w:bCs/>
                <w:lang w:eastAsia="en-GB"/>
              </w:rPr>
              <w:t xml:space="preserve">20 </w:t>
            </w:r>
          </w:p>
        </w:tc>
        <w:tc>
          <w:tcPr>
            <w:tcW w:w="1180" w:type="dxa"/>
            <w:tcBorders>
              <w:top w:val="nil"/>
              <w:left w:val="nil"/>
              <w:bottom w:val="nil"/>
              <w:right w:val="nil"/>
            </w:tcBorders>
            <w:shd w:val="clear" w:color="000000" w:fill="FFFFFF"/>
            <w:vAlign w:val="center"/>
            <w:hideMark/>
          </w:tcPr>
          <w:p w14:paraId="6103468F" w14:textId="77777777" w:rsidR="006F477E" w:rsidRPr="006F477E" w:rsidRDefault="006F477E" w:rsidP="006F477E">
            <w:pPr>
              <w:spacing w:after="0" w:line="240" w:lineRule="auto"/>
              <w:jc w:val="right"/>
              <w:rPr>
                <w:rFonts w:ascii="Arial" w:eastAsia="Times New Roman" w:hAnsi="Arial" w:cs="Arial"/>
                <w:color w:val="000000"/>
                <w:lang w:eastAsia="en-GB"/>
              </w:rPr>
            </w:pPr>
            <w:r w:rsidRPr="006F477E">
              <w:rPr>
                <w:rFonts w:ascii="Arial" w:eastAsia="Times New Roman" w:hAnsi="Arial" w:cs="Arial"/>
                <w:color w:val="000000"/>
                <w:lang w:eastAsia="en-GB"/>
              </w:rPr>
              <w:t xml:space="preserve">14 </w:t>
            </w:r>
          </w:p>
        </w:tc>
      </w:tr>
      <w:tr w:rsidR="006F477E" w:rsidRPr="006F477E" w14:paraId="357570C6" w14:textId="77777777" w:rsidTr="006F477E">
        <w:trPr>
          <w:trHeight w:val="300"/>
        </w:trPr>
        <w:tc>
          <w:tcPr>
            <w:tcW w:w="5720" w:type="dxa"/>
            <w:tcBorders>
              <w:top w:val="nil"/>
              <w:left w:val="nil"/>
              <w:bottom w:val="nil"/>
              <w:right w:val="nil"/>
            </w:tcBorders>
            <w:shd w:val="clear" w:color="000000" w:fill="FFFFFF"/>
            <w:vAlign w:val="bottom"/>
            <w:hideMark/>
          </w:tcPr>
          <w:p w14:paraId="5E828B61" w14:textId="77777777" w:rsidR="006F477E" w:rsidRPr="006F477E" w:rsidRDefault="006F477E" w:rsidP="006F477E">
            <w:pPr>
              <w:spacing w:after="0" w:line="240" w:lineRule="auto"/>
              <w:rPr>
                <w:rFonts w:ascii="Arial" w:eastAsia="Times New Roman" w:hAnsi="Arial" w:cs="Arial"/>
                <w:color w:val="000000"/>
                <w:lang w:eastAsia="en-GB"/>
              </w:rPr>
            </w:pPr>
            <w:r w:rsidRPr="006F477E">
              <w:rPr>
                <w:rFonts w:ascii="Arial" w:eastAsia="Times New Roman" w:hAnsi="Arial" w:cs="Arial"/>
                <w:color w:val="000000"/>
                <w:lang w:eastAsia="en-GB"/>
              </w:rPr>
              <w:t>Net finance income / (cost) on funeral plans</w:t>
            </w:r>
          </w:p>
        </w:tc>
        <w:tc>
          <w:tcPr>
            <w:tcW w:w="1520" w:type="dxa"/>
            <w:tcBorders>
              <w:top w:val="nil"/>
              <w:left w:val="nil"/>
              <w:bottom w:val="nil"/>
              <w:right w:val="nil"/>
            </w:tcBorders>
            <w:shd w:val="clear" w:color="000000" w:fill="FFFFFF"/>
            <w:noWrap/>
            <w:vAlign w:val="bottom"/>
            <w:hideMark/>
          </w:tcPr>
          <w:p w14:paraId="5129F3C2" w14:textId="77777777" w:rsidR="006F477E" w:rsidRPr="006F477E" w:rsidRDefault="006F477E" w:rsidP="006F477E">
            <w:pPr>
              <w:spacing w:after="0" w:line="240" w:lineRule="auto"/>
              <w:jc w:val="right"/>
              <w:rPr>
                <w:rFonts w:ascii="Arial" w:eastAsia="Times New Roman" w:hAnsi="Arial" w:cs="Arial"/>
                <w:b/>
                <w:bCs/>
                <w:lang w:eastAsia="en-GB"/>
              </w:rPr>
            </w:pPr>
            <w:r w:rsidRPr="006F477E">
              <w:rPr>
                <w:rFonts w:ascii="Arial" w:eastAsia="Times New Roman" w:hAnsi="Arial" w:cs="Arial"/>
                <w:b/>
                <w:bCs/>
                <w:lang w:eastAsia="en-GB"/>
              </w:rPr>
              <w:t xml:space="preserve">21 </w:t>
            </w:r>
          </w:p>
        </w:tc>
        <w:tc>
          <w:tcPr>
            <w:tcW w:w="1180" w:type="dxa"/>
            <w:tcBorders>
              <w:top w:val="nil"/>
              <w:left w:val="nil"/>
              <w:bottom w:val="nil"/>
              <w:right w:val="nil"/>
            </w:tcBorders>
            <w:shd w:val="clear" w:color="000000" w:fill="FFFFFF"/>
            <w:vAlign w:val="center"/>
            <w:hideMark/>
          </w:tcPr>
          <w:p w14:paraId="51794C6A" w14:textId="77777777" w:rsidR="006F477E" w:rsidRPr="006F477E" w:rsidRDefault="006F477E" w:rsidP="006F477E">
            <w:pPr>
              <w:spacing w:after="0" w:line="240" w:lineRule="auto"/>
              <w:jc w:val="right"/>
              <w:rPr>
                <w:rFonts w:ascii="Arial" w:eastAsia="Times New Roman" w:hAnsi="Arial" w:cs="Arial"/>
                <w:color w:val="000000"/>
                <w:lang w:eastAsia="en-GB"/>
              </w:rPr>
            </w:pPr>
            <w:r w:rsidRPr="006F477E">
              <w:rPr>
                <w:rFonts w:ascii="Arial" w:eastAsia="Times New Roman" w:hAnsi="Arial" w:cs="Arial"/>
                <w:color w:val="000000"/>
                <w:lang w:eastAsia="en-GB"/>
              </w:rPr>
              <w:t>(9)</w:t>
            </w:r>
          </w:p>
        </w:tc>
      </w:tr>
      <w:tr w:rsidR="006F477E" w:rsidRPr="006F477E" w14:paraId="7C226085" w14:textId="77777777" w:rsidTr="006F477E">
        <w:trPr>
          <w:trHeight w:val="300"/>
        </w:trPr>
        <w:tc>
          <w:tcPr>
            <w:tcW w:w="5720" w:type="dxa"/>
            <w:tcBorders>
              <w:top w:val="nil"/>
              <w:left w:val="nil"/>
              <w:bottom w:val="nil"/>
              <w:right w:val="nil"/>
            </w:tcBorders>
            <w:shd w:val="clear" w:color="000000" w:fill="FFFFFF"/>
            <w:noWrap/>
            <w:vAlign w:val="bottom"/>
            <w:hideMark/>
          </w:tcPr>
          <w:p w14:paraId="757435D7" w14:textId="77777777" w:rsidR="006F477E" w:rsidRPr="006F477E" w:rsidRDefault="006F477E" w:rsidP="006F477E">
            <w:pPr>
              <w:spacing w:after="0" w:line="240" w:lineRule="auto"/>
              <w:rPr>
                <w:rFonts w:ascii="Arial" w:eastAsia="Times New Roman" w:hAnsi="Arial" w:cs="Arial"/>
                <w:color w:val="000000"/>
                <w:lang w:eastAsia="en-GB"/>
              </w:rPr>
            </w:pPr>
            <w:r w:rsidRPr="006F477E">
              <w:rPr>
                <w:rFonts w:ascii="Arial" w:eastAsia="Times New Roman" w:hAnsi="Arial" w:cs="Arial"/>
                <w:color w:val="000000"/>
                <w:lang w:eastAsia="en-GB"/>
              </w:rPr>
              <w:t>Fair value movement on foreign exchange contracts</w:t>
            </w:r>
          </w:p>
        </w:tc>
        <w:tc>
          <w:tcPr>
            <w:tcW w:w="1520" w:type="dxa"/>
            <w:tcBorders>
              <w:top w:val="nil"/>
              <w:left w:val="nil"/>
              <w:bottom w:val="nil"/>
              <w:right w:val="nil"/>
            </w:tcBorders>
            <w:shd w:val="clear" w:color="000000" w:fill="FFFFFF"/>
            <w:noWrap/>
            <w:vAlign w:val="bottom"/>
            <w:hideMark/>
          </w:tcPr>
          <w:p w14:paraId="0642781D" w14:textId="77777777" w:rsidR="006F477E" w:rsidRPr="006F477E" w:rsidRDefault="006F477E" w:rsidP="006F477E">
            <w:pPr>
              <w:spacing w:after="0" w:line="240" w:lineRule="auto"/>
              <w:jc w:val="right"/>
              <w:rPr>
                <w:rFonts w:ascii="Arial" w:eastAsia="Times New Roman" w:hAnsi="Arial" w:cs="Arial"/>
                <w:b/>
                <w:bCs/>
                <w:lang w:eastAsia="en-GB"/>
              </w:rPr>
            </w:pPr>
            <w:r w:rsidRPr="006F477E">
              <w:rPr>
                <w:rFonts w:ascii="Arial" w:eastAsia="Times New Roman" w:hAnsi="Arial" w:cs="Arial"/>
                <w:b/>
                <w:bCs/>
                <w:lang w:eastAsia="en-GB"/>
              </w:rPr>
              <w:t xml:space="preserve">27 </w:t>
            </w:r>
          </w:p>
        </w:tc>
        <w:tc>
          <w:tcPr>
            <w:tcW w:w="1180" w:type="dxa"/>
            <w:tcBorders>
              <w:top w:val="nil"/>
              <w:left w:val="nil"/>
              <w:bottom w:val="nil"/>
              <w:right w:val="nil"/>
            </w:tcBorders>
            <w:shd w:val="clear" w:color="000000" w:fill="FFFFFF"/>
            <w:noWrap/>
            <w:vAlign w:val="bottom"/>
            <w:hideMark/>
          </w:tcPr>
          <w:p w14:paraId="3F069F84" w14:textId="77777777" w:rsidR="006F477E" w:rsidRPr="006F477E" w:rsidRDefault="006F477E" w:rsidP="006F477E">
            <w:pPr>
              <w:spacing w:after="0" w:line="240" w:lineRule="auto"/>
              <w:jc w:val="right"/>
              <w:rPr>
                <w:rFonts w:ascii="Arial" w:eastAsia="Times New Roman" w:hAnsi="Arial" w:cs="Arial"/>
                <w:lang w:eastAsia="en-GB"/>
              </w:rPr>
            </w:pPr>
            <w:r w:rsidRPr="006F477E">
              <w:rPr>
                <w:rFonts w:ascii="Arial" w:eastAsia="Times New Roman" w:hAnsi="Arial" w:cs="Arial"/>
                <w:lang w:eastAsia="en-GB"/>
              </w:rPr>
              <w:t xml:space="preserve">3 </w:t>
            </w:r>
          </w:p>
        </w:tc>
      </w:tr>
      <w:tr w:rsidR="006F477E" w:rsidRPr="006F477E" w14:paraId="4A4CBB49" w14:textId="77777777" w:rsidTr="006F477E">
        <w:trPr>
          <w:trHeight w:val="300"/>
        </w:trPr>
        <w:tc>
          <w:tcPr>
            <w:tcW w:w="5720" w:type="dxa"/>
            <w:tcBorders>
              <w:top w:val="nil"/>
              <w:left w:val="nil"/>
              <w:bottom w:val="nil"/>
              <w:right w:val="nil"/>
            </w:tcBorders>
            <w:shd w:val="clear" w:color="000000" w:fill="FFFFFF"/>
            <w:vAlign w:val="bottom"/>
            <w:hideMark/>
          </w:tcPr>
          <w:p w14:paraId="4DDDB8CA" w14:textId="77777777" w:rsidR="006F477E" w:rsidRPr="006F477E" w:rsidRDefault="006F477E" w:rsidP="006F477E">
            <w:pPr>
              <w:spacing w:after="0" w:line="240" w:lineRule="auto"/>
              <w:rPr>
                <w:rFonts w:ascii="Arial" w:eastAsia="Times New Roman" w:hAnsi="Arial" w:cs="Arial"/>
                <w:color w:val="000000"/>
                <w:lang w:eastAsia="en-GB"/>
              </w:rPr>
            </w:pPr>
            <w:r w:rsidRPr="006F477E">
              <w:rPr>
                <w:rFonts w:ascii="Arial" w:eastAsia="Times New Roman" w:hAnsi="Arial" w:cs="Arial"/>
                <w:color w:val="000000"/>
                <w:lang w:eastAsia="en-GB"/>
              </w:rPr>
              <w:t>Fair value movement on quoted debt and swaps</w:t>
            </w:r>
          </w:p>
        </w:tc>
        <w:tc>
          <w:tcPr>
            <w:tcW w:w="1520" w:type="dxa"/>
            <w:tcBorders>
              <w:top w:val="nil"/>
              <w:left w:val="nil"/>
              <w:bottom w:val="nil"/>
              <w:right w:val="nil"/>
            </w:tcBorders>
            <w:shd w:val="clear" w:color="000000" w:fill="FFFFFF"/>
            <w:noWrap/>
            <w:vAlign w:val="bottom"/>
            <w:hideMark/>
          </w:tcPr>
          <w:p w14:paraId="4E06FB91" w14:textId="77777777" w:rsidR="006F477E" w:rsidRPr="006F477E" w:rsidRDefault="006F477E" w:rsidP="006F477E">
            <w:pPr>
              <w:spacing w:after="0" w:line="240" w:lineRule="auto"/>
              <w:jc w:val="right"/>
              <w:rPr>
                <w:rFonts w:ascii="Arial" w:eastAsia="Times New Roman" w:hAnsi="Arial" w:cs="Arial"/>
                <w:b/>
                <w:bCs/>
                <w:lang w:eastAsia="en-GB"/>
              </w:rPr>
            </w:pPr>
            <w:r w:rsidRPr="006F477E">
              <w:rPr>
                <w:rFonts w:ascii="Arial" w:eastAsia="Times New Roman" w:hAnsi="Arial" w:cs="Arial"/>
                <w:b/>
                <w:bCs/>
                <w:lang w:eastAsia="en-GB"/>
              </w:rPr>
              <w:t xml:space="preserve">24 </w:t>
            </w:r>
          </w:p>
        </w:tc>
        <w:tc>
          <w:tcPr>
            <w:tcW w:w="1180" w:type="dxa"/>
            <w:tcBorders>
              <w:top w:val="nil"/>
              <w:left w:val="nil"/>
              <w:bottom w:val="nil"/>
              <w:right w:val="nil"/>
            </w:tcBorders>
            <w:shd w:val="clear" w:color="000000" w:fill="FFFFFF"/>
            <w:vAlign w:val="center"/>
            <w:hideMark/>
          </w:tcPr>
          <w:p w14:paraId="7CEDCFE0" w14:textId="77777777" w:rsidR="006F477E" w:rsidRPr="006F477E" w:rsidRDefault="006F477E" w:rsidP="006F477E">
            <w:pPr>
              <w:spacing w:after="0" w:line="240" w:lineRule="auto"/>
              <w:jc w:val="right"/>
              <w:rPr>
                <w:rFonts w:ascii="Arial" w:eastAsia="Times New Roman" w:hAnsi="Arial" w:cs="Arial"/>
                <w:color w:val="000000"/>
                <w:lang w:eastAsia="en-GB"/>
              </w:rPr>
            </w:pPr>
            <w:r w:rsidRPr="006F477E">
              <w:rPr>
                <w:rFonts w:ascii="Arial" w:eastAsia="Times New Roman" w:hAnsi="Arial" w:cs="Arial"/>
                <w:color w:val="000000"/>
                <w:lang w:eastAsia="en-GB"/>
              </w:rPr>
              <w:t>(3)</w:t>
            </w:r>
          </w:p>
        </w:tc>
      </w:tr>
      <w:tr w:rsidR="006F477E" w:rsidRPr="006F477E" w14:paraId="360215CA" w14:textId="77777777" w:rsidTr="006F477E">
        <w:trPr>
          <w:trHeight w:val="300"/>
        </w:trPr>
        <w:tc>
          <w:tcPr>
            <w:tcW w:w="5720" w:type="dxa"/>
            <w:tcBorders>
              <w:top w:val="nil"/>
              <w:left w:val="nil"/>
              <w:bottom w:val="nil"/>
              <w:right w:val="nil"/>
            </w:tcBorders>
            <w:shd w:val="clear" w:color="000000" w:fill="FFFFFF"/>
            <w:noWrap/>
            <w:vAlign w:val="bottom"/>
            <w:hideMark/>
          </w:tcPr>
          <w:p w14:paraId="7CB9C38C" w14:textId="77777777" w:rsidR="006F477E" w:rsidRPr="006F477E" w:rsidRDefault="006F477E" w:rsidP="006F477E">
            <w:pPr>
              <w:spacing w:after="0" w:line="240" w:lineRule="auto"/>
              <w:rPr>
                <w:rFonts w:ascii="Arial" w:eastAsia="Times New Roman" w:hAnsi="Arial" w:cs="Arial"/>
                <w:color w:val="000000"/>
                <w:lang w:eastAsia="en-GB"/>
              </w:rPr>
            </w:pPr>
            <w:r w:rsidRPr="006F477E">
              <w:rPr>
                <w:rFonts w:ascii="Arial" w:eastAsia="Times New Roman" w:hAnsi="Arial" w:cs="Arial"/>
                <w:color w:val="000000"/>
                <w:lang w:eastAsia="en-GB"/>
              </w:rPr>
              <w:t>Other non-underlying finance interest (net)</w:t>
            </w:r>
          </w:p>
        </w:tc>
        <w:tc>
          <w:tcPr>
            <w:tcW w:w="1520" w:type="dxa"/>
            <w:tcBorders>
              <w:top w:val="nil"/>
              <w:left w:val="nil"/>
              <w:bottom w:val="nil"/>
              <w:right w:val="nil"/>
            </w:tcBorders>
            <w:shd w:val="clear" w:color="000000" w:fill="FFFFFF"/>
            <w:noWrap/>
            <w:vAlign w:val="bottom"/>
            <w:hideMark/>
          </w:tcPr>
          <w:p w14:paraId="7D8FBE81" w14:textId="77777777" w:rsidR="006F477E" w:rsidRPr="006F477E" w:rsidRDefault="006F477E" w:rsidP="006F477E">
            <w:pPr>
              <w:spacing w:after="0" w:line="240" w:lineRule="auto"/>
              <w:jc w:val="right"/>
              <w:rPr>
                <w:rFonts w:ascii="Arial" w:eastAsia="Times New Roman" w:hAnsi="Arial" w:cs="Arial"/>
                <w:b/>
                <w:bCs/>
                <w:lang w:eastAsia="en-GB"/>
              </w:rPr>
            </w:pPr>
            <w:r w:rsidRPr="006F477E">
              <w:rPr>
                <w:rFonts w:ascii="Arial" w:eastAsia="Times New Roman" w:hAnsi="Arial" w:cs="Arial"/>
                <w:b/>
                <w:bCs/>
                <w:lang w:eastAsia="en-GB"/>
              </w:rPr>
              <w:t xml:space="preserve">2 </w:t>
            </w:r>
          </w:p>
        </w:tc>
        <w:tc>
          <w:tcPr>
            <w:tcW w:w="1180" w:type="dxa"/>
            <w:tcBorders>
              <w:top w:val="nil"/>
              <w:left w:val="nil"/>
              <w:bottom w:val="nil"/>
              <w:right w:val="nil"/>
            </w:tcBorders>
            <w:shd w:val="clear" w:color="000000" w:fill="FFFFFF"/>
            <w:vAlign w:val="center"/>
            <w:hideMark/>
          </w:tcPr>
          <w:p w14:paraId="0E8C4364" w14:textId="77777777" w:rsidR="006F477E" w:rsidRPr="006F477E" w:rsidRDefault="006F477E" w:rsidP="006F477E">
            <w:pPr>
              <w:spacing w:after="0" w:line="240" w:lineRule="auto"/>
              <w:jc w:val="right"/>
              <w:rPr>
                <w:rFonts w:ascii="Arial" w:eastAsia="Times New Roman" w:hAnsi="Arial" w:cs="Arial"/>
                <w:color w:val="000000"/>
                <w:lang w:eastAsia="en-GB"/>
              </w:rPr>
            </w:pPr>
            <w:r w:rsidRPr="006F477E">
              <w:rPr>
                <w:rFonts w:ascii="Arial" w:eastAsia="Times New Roman" w:hAnsi="Arial" w:cs="Arial"/>
                <w:color w:val="000000"/>
                <w:lang w:eastAsia="en-GB"/>
              </w:rPr>
              <w:t>(2)</w:t>
            </w:r>
          </w:p>
        </w:tc>
      </w:tr>
      <w:tr w:rsidR="006F477E" w:rsidRPr="006F477E" w14:paraId="472100AD" w14:textId="77777777" w:rsidTr="006F477E">
        <w:trPr>
          <w:trHeight w:val="300"/>
        </w:trPr>
        <w:tc>
          <w:tcPr>
            <w:tcW w:w="5720" w:type="dxa"/>
            <w:tcBorders>
              <w:top w:val="nil"/>
              <w:left w:val="nil"/>
              <w:bottom w:val="nil"/>
              <w:right w:val="nil"/>
            </w:tcBorders>
            <w:shd w:val="clear" w:color="000000" w:fill="FFFFFF"/>
            <w:noWrap/>
            <w:vAlign w:val="bottom"/>
            <w:hideMark/>
          </w:tcPr>
          <w:p w14:paraId="090AC4A5" w14:textId="77777777" w:rsidR="006F477E" w:rsidRPr="006F477E" w:rsidRDefault="006F477E" w:rsidP="006F477E">
            <w:pPr>
              <w:spacing w:after="0" w:line="240" w:lineRule="auto"/>
              <w:rPr>
                <w:rFonts w:ascii="Arial" w:eastAsia="Times New Roman" w:hAnsi="Arial" w:cs="Arial"/>
                <w:color w:val="000000"/>
                <w:lang w:eastAsia="en-GB"/>
              </w:rPr>
            </w:pPr>
            <w:r w:rsidRPr="006F477E">
              <w:rPr>
                <w:rFonts w:ascii="Arial" w:eastAsia="Times New Roman" w:hAnsi="Arial" w:cs="Arial"/>
                <w:color w:val="000000"/>
                <w:lang w:eastAsia="en-GB"/>
              </w:rPr>
              <w:t>One-off gain on settlement of Group Relief Creditor</w:t>
            </w:r>
          </w:p>
        </w:tc>
        <w:tc>
          <w:tcPr>
            <w:tcW w:w="1520" w:type="dxa"/>
            <w:tcBorders>
              <w:top w:val="nil"/>
              <w:left w:val="nil"/>
              <w:bottom w:val="nil"/>
              <w:right w:val="nil"/>
            </w:tcBorders>
            <w:shd w:val="clear" w:color="000000" w:fill="FFFFFF"/>
            <w:noWrap/>
            <w:vAlign w:val="bottom"/>
            <w:hideMark/>
          </w:tcPr>
          <w:p w14:paraId="7D26B4BF" w14:textId="77777777" w:rsidR="006F477E" w:rsidRPr="006F477E" w:rsidRDefault="006F477E" w:rsidP="006F477E">
            <w:pPr>
              <w:spacing w:after="0" w:line="240" w:lineRule="auto"/>
              <w:jc w:val="right"/>
              <w:rPr>
                <w:rFonts w:ascii="Arial" w:eastAsia="Times New Roman" w:hAnsi="Arial" w:cs="Arial"/>
                <w:b/>
                <w:bCs/>
                <w:lang w:eastAsia="en-GB"/>
              </w:rPr>
            </w:pPr>
            <w:r w:rsidRPr="006F477E">
              <w:rPr>
                <w:rFonts w:ascii="Arial" w:eastAsia="Times New Roman" w:hAnsi="Arial" w:cs="Arial"/>
                <w:b/>
                <w:bCs/>
                <w:lang w:eastAsia="en-GB"/>
              </w:rPr>
              <w:t xml:space="preserve">- </w:t>
            </w:r>
          </w:p>
        </w:tc>
        <w:tc>
          <w:tcPr>
            <w:tcW w:w="1180" w:type="dxa"/>
            <w:tcBorders>
              <w:top w:val="nil"/>
              <w:left w:val="nil"/>
              <w:bottom w:val="nil"/>
              <w:right w:val="nil"/>
            </w:tcBorders>
            <w:shd w:val="clear" w:color="000000" w:fill="FFFFFF"/>
            <w:noWrap/>
            <w:vAlign w:val="bottom"/>
            <w:hideMark/>
          </w:tcPr>
          <w:p w14:paraId="50F0F62D" w14:textId="77777777" w:rsidR="006F477E" w:rsidRPr="006F477E" w:rsidRDefault="006F477E" w:rsidP="006F477E">
            <w:pPr>
              <w:spacing w:after="0" w:line="240" w:lineRule="auto"/>
              <w:jc w:val="right"/>
              <w:rPr>
                <w:rFonts w:ascii="Arial" w:eastAsia="Times New Roman" w:hAnsi="Arial" w:cs="Arial"/>
                <w:lang w:eastAsia="en-GB"/>
              </w:rPr>
            </w:pPr>
            <w:r w:rsidRPr="006F477E">
              <w:rPr>
                <w:rFonts w:ascii="Arial" w:eastAsia="Times New Roman" w:hAnsi="Arial" w:cs="Arial"/>
                <w:lang w:eastAsia="en-GB"/>
              </w:rPr>
              <w:t xml:space="preserve">99 </w:t>
            </w:r>
          </w:p>
        </w:tc>
      </w:tr>
      <w:tr w:rsidR="006F477E" w:rsidRPr="006F477E" w14:paraId="7340638B" w14:textId="77777777" w:rsidTr="006F477E">
        <w:trPr>
          <w:trHeight w:val="300"/>
        </w:trPr>
        <w:tc>
          <w:tcPr>
            <w:tcW w:w="5720" w:type="dxa"/>
            <w:tcBorders>
              <w:top w:val="single" w:sz="4" w:space="0" w:color="auto"/>
              <w:left w:val="nil"/>
              <w:bottom w:val="single" w:sz="4" w:space="0" w:color="auto"/>
              <w:right w:val="nil"/>
            </w:tcBorders>
            <w:shd w:val="clear" w:color="auto" w:fill="F2F2F2" w:themeFill="background1" w:themeFillShade="F2"/>
            <w:noWrap/>
            <w:vAlign w:val="bottom"/>
            <w:hideMark/>
          </w:tcPr>
          <w:p w14:paraId="5823CF01" w14:textId="77777777" w:rsidR="006F477E" w:rsidRPr="006F477E" w:rsidRDefault="006F477E" w:rsidP="006F477E">
            <w:pPr>
              <w:spacing w:after="0" w:line="240" w:lineRule="auto"/>
              <w:rPr>
                <w:rFonts w:ascii="Arial" w:eastAsia="Times New Roman" w:hAnsi="Arial" w:cs="Arial"/>
                <w:b/>
                <w:bCs/>
                <w:color w:val="000000"/>
                <w:lang w:eastAsia="en-GB"/>
              </w:rPr>
            </w:pPr>
            <w:r w:rsidRPr="006F477E">
              <w:rPr>
                <w:rFonts w:ascii="Arial" w:eastAsia="Times New Roman" w:hAnsi="Arial" w:cs="Arial"/>
                <w:b/>
                <w:bCs/>
                <w:color w:val="000000"/>
                <w:lang w:eastAsia="en-GB"/>
              </w:rPr>
              <w:t xml:space="preserve">Non-underlying interest income </w:t>
            </w:r>
          </w:p>
        </w:tc>
        <w:tc>
          <w:tcPr>
            <w:tcW w:w="1520" w:type="dxa"/>
            <w:tcBorders>
              <w:top w:val="single" w:sz="4" w:space="0" w:color="auto"/>
              <w:left w:val="nil"/>
              <w:bottom w:val="single" w:sz="4" w:space="0" w:color="auto"/>
              <w:right w:val="nil"/>
            </w:tcBorders>
            <w:shd w:val="clear" w:color="auto" w:fill="F2F2F2" w:themeFill="background1" w:themeFillShade="F2"/>
            <w:vAlign w:val="center"/>
            <w:hideMark/>
          </w:tcPr>
          <w:p w14:paraId="70C93140" w14:textId="77777777" w:rsidR="006F477E" w:rsidRPr="006F477E" w:rsidRDefault="006F477E" w:rsidP="006F477E">
            <w:pPr>
              <w:spacing w:after="0" w:line="240" w:lineRule="auto"/>
              <w:jc w:val="right"/>
              <w:rPr>
                <w:rFonts w:ascii="Arial" w:eastAsia="Times New Roman" w:hAnsi="Arial" w:cs="Arial"/>
                <w:b/>
                <w:bCs/>
                <w:color w:val="000000"/>
                <w:lang w:eastAsia="en-GB"/>
              </w:rPr>
            </w:pPr>
            <w:r w:rsidRPr="006F477E">
              <w:rPr>
                <w:rFonts w:ascii="Arial" w:eastAsia="Times New Roman" w:hAnsi="Arial" w:cs="Arial"/>
                <w:b/>
                <w:bCs/>
                <w:color w:val="000000"/>
                <w:lang w:eastAsia="en-GB"/>
              </w:rPr>
              <w:t xml:space="preserve">94 </w:t>
            </w:r>
          </w:p>
        </w:tc>
        <w:tc>
          <w:tcPr>
            <w:tcW w:w="1180" w:type="dxa"/>
            <w:tcBorders>
              <w:top w:val="single" w:sz="4" w:space="0" w:color="auto"/>
              <w:left w:val="nil"/>
              <w:bottom w:val="single" w:sz="4" w:space="0" w:color="auto"/>
              <w:right w:val="nil"/>
            </w:tcBorders>
            <w:shd w:val="clear" w:color="auto" w:fill="F2F2F2" w:themeFill="background1" w:themeFillShade="F2"/>
            <w:vAlign w:val="center"/>
            <w:hideMark/>
          </w:tcPr>
          <w:p w14:paraId="717366EC" w14:textId="77777777" w:rsidR="006F477E" w:rsidRPr="006F477E" w:rsidRDefault="006F477E" w:rsidP="006F477E">
            <w:pPr>
              <w:spacing w:after="0" w:line="240" w:lineRule="auto"/>
              <w:jc w:val="right"/>
              <w:rPr>
                <w:rFonts w:ascii="Arial" w:eastAsia="Times New Roman" w:hAnsi="Arial" w:cs="Arial"/>
                <w:color w:val="000000"/>
                <w:lang w:eastAsia="en-GB"/>
              </w:rPr>
            </w:pPr>
            <w:r w:rsidRPr="006F477E">
              <w:rPr>
                <w:rFonts w:ascii="Arial" w:eastAsia="Times New Roman" w:hAnsi="Arial" w:cs="Arial"/>
                <w:color w:val="000000"/>
                <w:lang w:eastAsia="en-GB"/>
              </w:rPr>
              <w:t xml:space="preserve">102 </w:t>
            </w:r>
          </w:p>
        </w:tc>
      </w:tr>
    </w:tbl>
    <w:p w14:paraId="6F992B4A" w14:textId="203B713A" w:rsidR="006F477E" w:rsidRDefault="006F477E" w:rsidP="00514B73">
      <w:pPr>
        <w:spacing w:line="240" w:lineRule="auto"/>
        <w:rPr>
          <w:noProof/>
        </w:rPr>
      </w:pPr>
    </w:p>
    <w:p w14:paraId="765169F2" w14:textId="77777777" w:rsidR="00514B73" w:rsidRDefault="00514B73" w:rsidP="00514B73">
      <w:pPr>
        <w:spacing w:line="240" w:lineRule="auto"/>
        <w:rPr>
          <w:rFonts w:ascii="Arial" w:hAnsi="Arial" w:cs="Arial"/>
        </w:rPr>
      </w:pPr>
      <w:r>
        <w:rPr>
          <w:rFonts w:ascii="Arial" w:hAnsi="Arial" w:cs="Arial"/>
        </w:rPr>
        <w:t>Our underlying financing costs from our borrowings and lease commitments are consistent with the prior period as our principal loan balances have not changed. The value of the leases we have is broadly comparable too.</w:t>
      </w:r>
    </w:p>
    <w:p w14:paraId="2C5A5B42" w14:textId="77777777" w:rsidR="00514B73" w:rsidRDefault="00514B73" w:rsidP="00514B73">
      <w:pPr>
        <w:spacing w:line="240" w:lineRule="auto"/>
        <w:rPr>
          <w:rFonts w:ascii="Arial" w:hAnsi="Arial" w:cs="Arial"/>
        </w:rPr>
      </w:pPr>
      <w:r w:rsidRPr="00F630FF">
        <w:rPr>
          <w:rFonts w:ascii="Arial" w:hAnsi="Arial" w:cs="Arial"/>
        </w:rPr>
        <w:t xml:space="preserve">Net pension income at £20 million is up from £14 million </w:t>
      </w:r>
      <w:r w:rsidRPr="00B03992">
        <w:rPr>
          <w:rFonts w:ascii="Arial" w:hAnsi="Arial" w:cs="Arial"/>
        </w:rPr>
        <w:t xml:space="preserve">due to the comparative increase in the net </w:t>
      </w:r>
      <w:r>
        <w:rPr>
          <w:rFonts w:ascii="Arial" w:hAnsi="Arial" w:cs="Arial"/>
        </w:rPr>
        <w:t xml:space="preserve">pension scheme </w:t>
      </w:r>
      <w:r w:rsidRPr="00B03992">
        <w:rPr>
          <w:rFonts w:ascii="Arial" w:hAnsi="Arial" w:cs="Arial"/>
        </w:rPr>
        <w:t>surplus at the start of the year</w:t>
      </w:r>
      <w:r>
        <w:rPr>
          <w:rFonts w:ascii="Arial" w:hAnsi="Arial" w:cs="Arial"/>
        </w:rPr>
        <w:t>,</w:t>
      </w:r>
      <w:r w:rsidRPr="00B03992">
        <w:rPr>
          <w:rFonts w:ascii="Arial" w:hAnsi="Arial" w:cs="Arial"/>
        </w:rPr>
        <w:t xml:space="preserve"> and an increase in the discount rate that is used to calculate the net interest</w:t>
      </w:r>
      <w:r>
        <w:rPr>
          <w:rFonts w:ascii="Arial" w:hAnsi="Arial" w:cs="Arial"/>
        </w:rPr>
        <w:t>.</w:t>
      </w:r>
    </w:p>
    <w:p w14:paraId="216BADA6" w14:textId="77777777" w:rsidR="00514B73" w:rsidRDefault="00514B73" w:rsidP="00514B73">
      <w:pPr>
        <w:autoSpaceDE w:val="0"/>
        <w:autoSpaceDN w:val="0"/>
        <w:adjustRightInd w:val="0"/>
        <w:spacing w:after="0" w:line="240" w:lineRule="auto"/>
        <w:rPr>
          <w:rFonts w:ascii="Arial" w:hAnsi="Arial" w:cs="Arial"/>
        </w:rPr>
      </w:pPr>
      <w:r w:rsidRPr="00812336">
        <w:rPr>
          <w:rFonts w:ascii="Arial" w:hAnsi="Arial" w:cs="Arial"/>
          <w:color w:val="1A1A18"/>
          <w:lang w:eastAsia="en-GB"/>
        </w:rPr>
        <w:t xml:space="preserve">Following the change in accounting treatment for revenue recognition, we now see a net interest income or charge on </w:t>
      </w:r>
      <w:r>
        <w:rPr>
          <w:rFonts w:ascii="Arial" w:hAnsi="Arial" w:cs="Arial"/>
          <w:color w:val="1A1A18"/>
          <w:lang w:eastAsia="en-GB"/>
        </w:rPr>
        <w:t>f</w:t>
      </w:r>
      <w:r w:rsidRPr="00812336">
        <w:rPr>
          <w:rFonts w:ascii="Arial" w:hAnsi="Arial" w:cs="Arial"/>
          <w:color w:val="1A1A18"/>
          <w:lang w:eastAsia="en-GB"/>
        </w:rPr>
        <w:t>uneral plans in our income statement. In the first</w:t>
      </w:r>
      <w:r>
        <w:rPr>
          <w:rFonts w:ascii="Arial" w:hAnsi="Arial" w:cs="Arial"/>
          <w:color w:val="1A1A18"/>
          <w:lang w:eastAsia="en-GB"/>
        </w:rPr>
        <w:t xml:space="preserve"> </w:t>
      </w:r>
      <w:r w:rsidRPr="00812336">
        <w:rPr>
          <w:rFonts w:ascii="Arial" w:hAnsi="Arial" w:cs="Arial"/>
          <w:color w:val="1A1A18"/>
          <w:lang w:eastAsia="en-GB"/>
        </w:rPr>
        <w:t>half of 2022</w:t>
      </w:r>
      <w:r>
        <w:rPr>
          <w:rFonts w:ascii="Arial" w:hAnsi="Arial" w:cs="Arial"/>
          <w:color w:val="1A1A18"/>
          <w:lang w:eastAsia="en-GB"/>
        </w:rPr>
        <w:t>,</w:t>
      </w:r>
      <w:r w:rsidRPr="00812336">
        <w:rPr>
          <w:rFonts w:ascii="Arial" w:hAnsi="Arial" w:cs="Arial"/>
          <w:color w:val="1A1A18"/>
          <w:lang w:eastAsia="en-GB"/>
        </w:rPr>
        <w:t xml:space="preserve"> the returns on </w:t>
      </w:r>
      <w:r>
        <w:rPr>
          <w:rFonts w:ascii="Arial" w:hAnsi="Arial" w:cs="Arial"/>
          <w:color w:val="1A1A18"/>
          <w:lang w:eastAsia="en-GB"/>
        </w:rPr>
        <w:t>f</w:t>
      </w:r>
      <w:r w:rsidRPr="00812336">
        <w:rPr>
          <w:rFonts w:ascii="Arial" w:hAnsi="Arial" w:cs="Arial"/>
          <w:color w:val="1A1A18"/>
          <w:lang w:eastAsia="en-GB"/>
        </w:rPr>
        <w:t xml:space="preserve">uneral plan investments outweighed the interest that we accrued, so we show a net finance income of £21 million. This compares to a £9 million charge in the prior year as investment returns were outweighed by the interest </w:t>
      </w:r>
      <w:r w:rsidRPr="00812336">
        <w:rPr>
          <w:rFonts w:ascii="Arial" w:hAnsi="Arial" w:cs="Arial"/>
          <w:color w:val="1A1A18"/>
          <w:lang w:eastAsia="en-GB"/>
        </w:rPr>
        <w:lastRenderedPageBreak/>
        <w:t xml:space="preserve">charge. </w:t>
      </w:r>
      <w:r w:rsidRPr="00812336">
        <w:rPr>
          <w:rFonts w:ascii="Arial" w:hAnsi="Arial" w:cs="Arial"/>
        </w:rPr>
        <w:t xml:space="preserve">Interest on our funeral plan liabilities accrues fairly evenly over time whereas the returns on plan investments </w:t>
      </w:r>
      <w:r>
        <w:rPr>
          <w:rFonts w:ascii="Arial" w:hAnsi="Arial" w:cs="Arial"/>
        </w:rPr>
        <w:t>are</w:t>
      </w:r>
      <w:r w:rsidRPr="00812336">
        <w:rPr>
          <w:rFonts w:ascii="Arial" w:hAnsi="Arial" w:cs="Arial"/>
        </w:rPr>
        <w:t xml:space="preserve"> more variable</w:t>
      </w:r>
      <w:r>
        <w:rPr>
          <w:rFonts w:ascii="Arial" w:hAnsi="Arial" w:cs="Arial"/>
        </w:rPr>
        <w:t xml:space="preserve">, being dependent upon the </w:t>
      </w:r>
      <w:proofErr w:type="gramStart"/>
      <w:r w:rsidRPr="00812336">
        <w:rPr>
          <w:rFonts w:ascii="Arial" w:hAnsi="Arial" w:cs="Arial"/>
        </w:rPr>
        <w:t>short</w:t>
      </w:r>
      <w:r>
        <w:rPr>
          <w:rFonts w:ascii="Arial" w:hAnsi="Arial" w:cs="Arial"/>
        </w:rPr>
        <w:t xml:space="preserve"> </w:t>
      </w:r>
      <w:r w:rsidRPr="00812336">
        <w:rPr>
          <w:rFonts w:ascii="Arial" w:hAnsi="Arial" w:cs="Arial"/>
        </w:rPr>
        <w:t>term</w:t>
      </w:r>
      <w:proofErr w:type="gramEnd"/>
      <w:r w:rsidRPr="00812336">
        <w:rPr>
          <w:rFonts w:ascii="Arial" w:hAnsi="Arial" w:cs="Arial"/>
        </w:rPr>
        <w:t xml:space="preserve"> market conditions in any given period.</w:t>
      </w:r>
    </w:p>
    <w:p w14:paraId="3AF17566" w14:textId="77777777" w:rsidR="00514B73" w:rsidRDefault="00514B73" w:rsidP="00514B73">
      <w:pPr>
        <w:autoSpaceDE w:val="0"/>
        <w:autoSpaceDN w:val="0"/>
        <w:adjustRightInd w:val="0"/>
        <w:spacing w:after="0" w:line="240" w:lineRule="auto"/>
        <w:rPr>
          <w:rFonts w:ascii="Arial" w:hAnsi="Arial" w:cs="Arial"/>
        </w:rPr>
      </w:pPr>
    </w:p>
    <w:p w14:paraId="5C319774" w14:textId="77777777" w:rsidR="00514B73" w:rsidRDefault="00514B73" w:rsidP="00514B73">
      <w:pPr>
        <w:autoSpaceDE w:val="0"/>
        <w:autoSpaceDN w:val="0"/>
        <w:adjustRightInd w:val="0"/>
        <w:spacing w:line="240" w:lineRule="auto"/>
        <w:rPr>
          <w:rFonts w:ascii="Arial" w:hAnsi="Arial" w:cs="Arial"/>
        </w:rPr>
      </w:pPr>
      <w:r>
        <w:rPr>
          <w:rFonts w:ascii="Arial" w:hAnsi="Arial" w:cs="Arial"/>
        </w:rPr>
        <w:t xml:space="preserve">Finance income includes a gain in the first half of 2022 of £27 million on foreign exchange contracts and commodity derivatives. The bulk of this relates to diesel positions, which moved in our favour. The net market valuation of our Eurobond debt and swaps also reduced, which shows as finance income of £24 million in the period.  </w:t>
      </w:r>
    </w:p>
    <w:p w14:paraId="758C2F54" w14:textId="77777777" w:rsidR="00514B73" w:rsidRDefault="00514B73" w:rsidP="00514B73">
      <w:pPr>
        <w:pStyle w:val="andNESC"/>
        <w:spacing w:after="160" w:line="240" w:lineRule="auto"/>
        <w:jc w:val="left"/>
        <w:rPr>
          <w:sz w:val="22"/>
          <w:szCs w:val="22"/>
        </w:rPr>
      </w:pPr>
      <w:r>
        <w:rPr>
          <w:sz w:val="22"/>
          <w:szCs w:val="22"/>
        </w:rPr>
        <w:t xml:space="preserve">Our total net debt of £2.1 billion at the end of the period, including the IFRS 16 lease liability of £1.3 billion, is down £0.3 billion from the start of the year. Excluding the lease liability, net debt was £731 million; a decrease of £189 million from year end. </w:t>
      </w:r>
    </w:p>
    <w:p w14:paraId="1E00A2D4" w14:textId="77777777" w:rsidR="00514B73" w:rsidRDefault="00514B73" w:rsidP="00514B73">
      <w:pPr>
        <w:pStyle w:val="andNESC"/>
        <w:spacing w:after="160" w:line="240" w:lineRule="auto"/>
        <w:jc w:val="left"/>
        <w:rPr>
          <w:bCs/>
          <w:sz w:val="22"/>
          <w:szCs w:val="22"/>
        </w:rPr>
      </w:pPr>
      <w:r>
        <w:rPr>
          <w:bCs/>
          <w:sz w:val="22"/>
          <w:szCs w:val="22"/>
        </w:rPr>
        <w:t xml:space="preserve">The reduction in debt was primarily driven by an increased cash position (with cash up to £108 million from £60 million at </w:t>
      </w:r>
      <w:proofErr w:type="gramStart"/>
      <w:r>
        <w:rPr>
          <w:bCs/>
          <w:sz w:val="22"/>
          <w:szCs w:val="22"/>
        </w:rPr>
        <w:t xml:space="preserve">2021 </w:t>
      </w:r>
      <w:proofErr w:type="spellStart"/>
      <w:r>
        <w:rPr>
          <w:bCs/>
          <w:sz w:val="22"/>
          <w:szCs w:val="22"/>
        </w:rPr>
        <w:t>year</w:t>
      </w:r>
      <w:proofErr w:type="gramEnd"/>
      <w:r>
        <w:rPr>
          <w:bCs/>
          <w:sz w:val="22"/>
          <w:szCs w:val="22"/>
        </w:rPr>
        <w:t xml:space="preserve"> end</w:t>
      </w:r>
      <w:proofErr w:type="spellEnd"/>
      <w:r>
        <w:rPr>
          <w:bCs/>
          <w:sz w:val="22"/>
          <w:szCs w:val="22"/>
        </w:rPr>
        <w:t xml:space="preserve">) and a reduction in our overdraft, which is down from £163 million to £40 million. This reflects the positive results from our renewed focus (as we noted at </w:t>
      </w:r>
      <w:proofErr w:type="gramStart"/>
      <w:r>
        <w:rPr>
          <w:bCs/>
          <w:sz w:val="22"/>
          <w:szCs w:val="22"/>
        </w:rPr>
        <w:t xml:space="preserve">2021 </w:t>
      </w:r>
      <w:proofErr w:type="spellStart"/>
      <w:r>
        <w:rPr>
          <w:bCs/>
          <w:sz w:val="22"/>
          <w:szCs w:val="22"/>
        </w:rPr>
        <w:t>year</w:t>
      </w:r>
      <w:proofErr w:type="gramEnd"/>
      <w:r>
        <w:rPr>
          <w:bCs/>
          <w:sz w:val="22"/>
          <w:szCs w:val="22"/>
        </w:rPr>
        <w:t xml:space="preserve"> end</w:t>
      </w:r>
      <w:proofErr w:type="spellEnd"/>
      <w:r>
        <w:rPr>
          <w:bCs/>
          <w:sz w:val="22"/>
          <w:szCs w:val="22"/>
        </w:rPr>
        <w:t xml:space="preserve">) on cost control, management of working capital and capital investment. The market valuation of our Eurobond debt also moved in the first half of the year, reducing the value of the debt shown on our balance sheet by £29 million. Cash inflow in the first half of 2022 also includes £72 million of cash received following the appeal judgement on the IBM claim. </w:t>
      </w:r>
    </w:p>
    <w:p w14:paraId="1973557E" w14:textId="77777777" w:rsidR="00514B73" w:rsidRDefault="00514B73" w:rsidP="00514B73">
      <w:pPr>
        <w:spacing w:line="240" w:lineRule="auto"/>
        <w:rPr>
          <w:rFonts w:ascii="Arial" w:hAnsi="Arial" w:cs="Arial"/>
          <w:color w:val="000000"/>
        </w:rPr>
      </w:pPr>
      <w:r>
        <w:rPr>
          <w:rFonts w:ascii="Arial" w:hAnsi="Arial" w:cs="Arial"/>
        </w:rPr>
        <w:t xml:space="preserve">The principal amounts of our loans and borrowings were consistent with the </w:t>
      </w:r>
      <w:proofErr w:type="spellStart"/>
      <w:r>
        <w:rPr>
          <w:rFonts w:ascii="Arial" w:hAnsi="Arial" w:cs="Arial"/>
        </w:rPr>
        <w:t>year end</w:t>
      </w:r>
      <w:proofErr w:type="spellEnd"/>
      <w:r>
        <w:rPr>
          <w:rFonts w:ascii="Arial" w:hAnsi="Arial" w:cs="Arial"/>
        </w:rPr>
        <w:t xml:space="preserve"> position and o</w:t>
      </w:r>
      <w:r>
        <w:rPr>
          <w:rFonts w:ascii="Arial" w:hAnsi="Arial" w:cs="Arial"/>
          <w:color w:val="000000"/>
        </w:rPr>
        <w:t xml:space="preserve">verall indebtedness remained below the ceiling we set ourselves. </w:t>
      </w:r>
    </w:p>
    <w:p w14:paraId="3249E36E" w14:textId="77777777" w:rsidR="00514B73" w:rsidRDefault="00514B73" w:rsidP="00514B73">
      <w:pPr>
        <w:spacing w:line="240" w:lineRule="auto"/>
        <w:rPr>
          <w:rFonts w:ascii="Arial" w:hAnsi="Arial" w:cs="Arial"/>
          <w:b/>
          <w:color w:val="00B0F0"/>
          <w:sz w:val="24"/>
          <w:szCs w:val="24"/>
        </w:rPr>
      </w:pPr>
      <w:bookmarkStart w:id="4" w:name="_Hlk48731094"/>
      <w:r w:rsidRPr="004417E3">
        <w:rPr>
          <w:rFonts w:ascii="Arial" w:hAnsi="Arial" w:cs="Arial"/>
          <w:b/>
          <w:sz w:val="24"/>
          <w:szCs w:val="24"/>
        </w:rPr>
        <w:t>Tax</w:t>
      </w:r>
      <w:r>
        <w:rPr>
          <w:rFonts w:ascii="Arial" w:hAnsi="Arial" w:cs="Arial"/>
          <w:b/>
          <w:color w:val="00B0F0"/>
          <w:sz w:val="24"/>
          <w:szCs w:val="24"/>
        </w:rPr>
        <w:tab/>
      </w:r>
    </w:p>
    <w:p w14:paraId="57A6D03F" w14:textId="77777777" w:rsidR="00514B73" w:rsidRDefault="00514B73" w:rsidP="00514B73">
      <w:pPr>
        <w:spacing w:line="240" w:lineRule="auto"/>
        <w:rPr>
          <w:rFonts w:ascii="Arial" w:hAnsi="Arial" w:cs="Arial"/>
          <w:color w:val="000000"/>
        </w:rPr>
      </w:pPr>
      <w:r>
        <w:rPr>
          <w:rFonts w:ascii="Arial" w:hAnsi="Arial" w:cs="Arial"/>
          <w:color w:val="000000"/>
        </w:rPr>
        <w:t xml:space="preserve">The half year tax charge of </w:t>
      </w:r>
      <w:r w:rsidRPr="00887D4B">
        <w:rPr>
          <w:rFonts w:ascii="Arial" w:hAnsi="Arial" w:cs="Arial"/>
        </w:rPr>
        <w:t>£</w:t>
      </w:r>
      <w:r>
        <w:rPr>
          <w:rFonts w:ascii="Arial" w:hAnsi="Arial" w:cs="Arial"/>
        </w:rPr>
        <w:t xml:space="preserve">19 </w:t>
      </w:r>
      <w:r>
        <w:rPr>
          <w:rFonts w:ascii="Arial" w:hAnsi="Arial" w:cs="Arial"/>
          <w:color w:val="000000"/>
        </w:rPr>
        <w:t>million represented an effective tax rate of 276% on a profit before tax of £7 million. This is higher than the mainstream Corporation Tax rate of 19% primarily due to depreciation on non-qualifying assets. The tax charge also includes a £5 million charge from the impact of the enacted Corporation Tax rate rise from 19% to 25% (due 1</w:t>
      </w:r>
      <w:r w:rsidRPr="00AE74D2">
        <w:rPr>
          <w:rFonts w:ascii="Arial" w:hAnsi="Arial" w:cs="Arial"/>
          <w:color w:val="000000"/>
          <w:vertAlign w:val="superscript"/>
        </w:rPr>
        <w:t>s</w:t>
      </w:r>
      <w:r>
        <w:rPr>
          <w:rFonts w:ascii="Arial" w:hAnsi="Arial" w:cs="Arial"/>
          <w:color w:val="000000"/>
          <w:vertAlign w:val="superscript"/>
        </w:rPr>
        <w:t xml:space="preserve">t </w:t>
      </w:r>
      <w:r>
        <w:rPr>
          <w:rFonts w:ascii="Arial" w:hAnsi="Arial" w:cs="Arial"/>
          <w:color w:val="000000"/>
        </w:rPr>
        <w:t xml:space="preserve">April 2023). There is also a £44 million deferred tax charge taken to other comprehensive income in relation to the movement in the valuation of our pension schemes. </w:t>
      </w:r>
    </w:p>
    <w:p w14:paraId="358FE032" w14:textId="77777777" w:rsidR="00514B73" w:rsidRDefault="00514B73" w:rsidP="00514B73">
      <w:pPr>
        <w:spacing w:line="240" w:lineRule="auto"/>
        <w:rPr>
          <w:rFonts w:ascii="Arial" w:hAnsi="Arial" w:cs="Arial"/>
          <w:color w:val="000000"/>
        </w:rPr>
      </w:pPr>
      <w:r>
        <w:rPr>
          <w:rFonts w:ascii="Arial" w:hAnsi="Arial" w:cs="Arial"/>
          <w:color w:val="000000"/>
        </w:rPr>
        <w:t>We do not have a current year Corporation Tax charge or liability because of available tax reliefs and losses that offset taxable profits.</w:t>
      </w:r>
    </w:p>
    <w:bookmarkEnd w:id="4"/>
    <w:p w14:paraId="5D1CCCEE" w14:textId="77777777" w:rsidR="00514B73" w:rsidRPr="00AB34C0" w:rsidRDefault="00514B73" w:rsidP="00514B73">
      <w:pPr>
        <w:spacing w:line="240" w:lineRule="auto"/>
        <w:rPr>
          <w:rFonts w:ascii="Arial" w:hAnsi="Arial" w:cs="Arial"/>
          <w:b/>
          <w:color w:val="000000" w:themeColor="text1"/>
          <w:sz w:val="24"/>
          <w:szCs w:val="24"/>
        </w:rPr>
      </w:pPr>
      <w:r w:rsidRPr="00AB34C0">
        <w:rPr>
          <w:rFonts w:ascii="Arial" w:hAnsi="Arial" w:cs="Arial"/>
          <w:b/>
          <w:color w:val="000000" w:themeColor="text1"/>
          <w:sz w:val="24"/>
          <w:szCs w:val="24"/>
        </w:rPr>
        <w:t xml:space="preserve">Our balance </w:t>
      </w:r>
      <w:proofErr w:type="gramStart"/>
      <w:r w:rsidRPr="00AB34C0">
        <w:rPr>
          <w:rFonts w:ascii="Arial" w:hAnsi="Arial" w:cs="Arial"/>
          <w:b/>
          <w:color w:val="000000" w:themeColor="text1"/>
          <w:sz w:val="24"/>
          <w:szCs w:val="24"/>
        </w:rPr>
        <w:t>sheet</w:t>
      </w:r>
      <w:proofErr w:type="gramEnd"/>
    </w:p>
    <w:p w14:paraId="34EEB030" w14:textId="77777777" w:rsidR="00514B73" w:rsidRDefault="00514B73" w:rsidP="00514B73">
      <w:pPr>
        <w:spacing w:line="240" w:lineRule="auto"/>
        <w:rPr>
          <w:rFonts w:ascii="Arial" w:hAnsi="Arial" w:cs="Arial"/>
        </w:rPr>
      </w:pPr>
      <w:r>
        <w:rPr>
          <w:rFonts w:ascii="Arial" w:hAnsi="Arial" w:cs="Arial"/>
        </w:rPr>
        <w:t xml:space="preserve">Net assets have increased by </w:t>
      </w:r>
      <w:r w:rsidRPr="00B03992">
        <w:rPr>
          <w:rFonts w:ascii="Arial" w:hAnsi="Arial" w:cs="Arial"/>
        </w:rPr>
        <w:t xml:space="preserve">£0.2 billion </w:t>
      </w:r>
      <w:r>
        <w:rPr>
          <w:rFonts w:ascii="Arial" w:hAnsi="Arial" w:cs="Arial"/>
        </w:rPr>
        <w:t xml:space="preserve">from the start of the year. The main movement driving this is an increase in the net pension surplus of £0.2 billion. </w:t>
      </w:r>
    </w:p>
    <w:p w14:paraId="43E9E03A" w14:textId="77777777" w:rsidR="00514B73" w:rsidRPr="00B03992" w:rsidRDefault="00514B73" w:rsidP="00514B73">
      <w:pPr>
        <w:spacing w:line="240" w:lineRule="auto"/>
        <w:rPr>
          <w:rFonts w:ascii="Arial" w:hAnsi="Arial" w:cs="Arial"/>
        </w:rPr>
      </w:pPr>
      <w:r w:rsidRPr="00B03992">
        <w:rPr>
          <w:rFonts w:ascii="Arial" w:hAnsi="Arial" w:cs="Arial"/>
        </w:rPr>
        <w:t>The actuarial surplus on our largest pensions scheme, PACE, increased by £0.2 billion with asset values falling by £2.1 billion, whilst liabilities decreased by £2.3 billion. Asset values have fallen considerably due to the uncertainty in global financial markets, but this has been more than offset by an increase in the discount rate which reduces the present value of the scheme’s obligations.</w:t>
      </w:r>
    </w:p>
    <w:p w14:paraId="7E4BF326" w14:textId="77777777" w:rsidR="00514B73" w:rsidRDefault="00514B73" w:rsidP="00514B73">
      <w:pPr>
        <w:spacing w:line="240" w:lineRule="auto"/>
        <w:rPr>
          <w:rFonts w:ascii="Arial" w:hAnsi="Arial" w:cs="Arial"/>
        </w:rPr>
      </w:pPr>
      <w:r>
        <w:rPr>
          <w:rFonts w:ascii="Arial" w:hAnsi="Arial" w:cs="Arial"/>
        </w:rPr>
        <w:t xml:space="preserve">The </w:t>
      </w:r>
      <w:r w:rsidRPr="00545B00">
        <w:rPr>
          <w:rFonts w:ascii="Arial" w:hAnsi="Arial" w:cs="Arial"/>
        </w:rPr>
        <w:t xml:space="preserve">assets and liabilities associated with </w:t>
      </w:r>
      <w:r w:rsidRPr="000D3ADE">
        <w:rPr>
          <w:rFonts w:ascii="Arial" w:hAnsi="Arial" w:cs="Arial"/>
        </w:rPr>
        <w:t>the sale of our 129 petrol forecourt sites, which form part of our Food business,</w:t>
      </w:r>
      <w:r w:rsidRPr="00545B00">
        <w:rPr>
          <w:rFonts w:ascii="Arial" w:hAnsi="Arial" w:cs="Arial"/>
        </w:rPr>
        <w:t xml:space="preserve"> have been </w:t>
      </w:r>
      <w:r>
        <w:rPr>
          <w:rFonts w:ascii="Arial" w:hAnsi="Arial" w:cs="Arial"/>
        </w:rPr>
        <w:t xml:space="preserve">classified as separate line items in our balance sheet under the caption of ‘Held for Sale’. This has been done as the sale of these assets was highly probable at the balance sheet date. The assets are valued at the lower of their book value and fair value less costs to sell. </w:t>
      </w:r>
    </w:p>
    <w:p w14:paraId="3EF682CA" w14:textId="77777777" w:rsidR="00514B73" w:rsidRPr="002B7FA4" w:rsidRDefault="00514B73" w:rsidP="00514B73">
      <w:pPr>
        <w:spacing w:line="240" w:lineRule="auto"/>
        <w:rPr>
          <w:rFonts w:ascii="Arial" w:hAnsi="Arial" w:cs="Arial"/>
          <w:b/>
          <w:sz w:val="24"/>
          <w:szCs w:val="24"/>
        </w:rPr>
      </w:pPr>
      <w:r>
        <w:rPr>
          <w:rFonts w:ascii="Arial" w:hAnsi="Arial" w:cs="Arial"/>
          <w:b/>
          <w:sz w:val="24"/>
          <w:szCs w:val="24"/>
        </w:rPr>
        <w:t>Going forward</w:t>
      </w:r>
    </w:p>
    <w:p w14:paraId="12045075" w14:textId="77777777" w:rsidR="00514B73" w:rsidRDefault="00514B73" w:rsidP="00514B73">
      <w:pPr>
        <w:spacing w:line="240" w:lineRule="auto"/>
        <w:rPr>
          <w:rFonts w:ascii="Arial" w:hAnsi="Arial" w:cs="Arial"/>
        </w:rPr>
      </w:pPr>
      <w:r>
        <w:rPr>
          <w:rFonts w:ascii="Arial" w:hAnsi="Arial" w:cs="Arial"/>
        </w:rPr>
        <w:t xml:space="preserve">Our results for the first half of the year reflect the unprecedented trading and broader economic environment in which we found ourselves and it’s clear that these material headwinds will continue in the near to medium term. Inflationary pressures on household budgets will continue to change consumer behaviours as well as increase the costs we incur to serve our customers. In response to this, we’ll need to continue to innovate and adapt our customer proposition to ensure we deliver what our customers and members want. </w:t>
      </w:r>
    </w:p>
    <w:p w14:paraId="4A8F6082" w14:textId="77777777" w:rsidR="00514B73" w:rsidRDefault="00514B73" w:rsidP="00514B73">
      <w:pPr>
        <w:spacing w:line="240" w:lineRule="auto"/>
        <w:rPr>
          <w:rFonts w:ascii="Arial" w:hAnsi="Arial" w:cs="Arial"/>
        </w:rPr>
      </w:pPr>
      <w:r>
        <w:rPr>
          <w:rFonts w:ascii="Arial" w:hAnsi="Arial" w:cs="Arial"/>
        </w:rPr>
        <w:t xml:space="preserve">The difficult trading environment will continue to suppress sales, growth and operating margins, requiring us to maintain our laser-like focus on our cash position through appropriate management of costs, working capital and capital investment. </w:t>
      </w:r>
    </w:p>
    <w:p w14:paraId="011018A1" w14:textId="23F87B89" w:rsidR="00514B73" w:rsidRDefault="00514B73" w:rsidP="00514B73">
      <w:pPr>
        <w:rPr>
          <w:rFonts w:ascii="Arial" w:hAnsi="Arial" w:cs="Arial"/>
        </w:rPr>
      </w:pPr>
      <w:r>
        <w:rPr>
          <w:rFonts w:ascii="Arial" w:hAnsi="Arial" w:cs="Arial"/>
        </w:rPr>
        <w:lastRenderedPageBreak/>
        <w:t>Despite the ongoing external pressures, our core businesses remain sound and resilient. It’s clear our Vision and strategy are more relevant than ever as we continue to strive to serve our members as they face into a difficult and challenging economic reality.</w:t>
      </w:r>
    </w:p>
    <w:tbl>
      <w:tblPr>
        <w:tblW w:w="10726" w:type="dxa"/>
        <w:tblLook w:val="04A0" w:firstRow="1" w:lastRow="0" w:firstColumn="1" w:lastColumn="0" w:noHBand="0" w:noVBand="1"/>
      </w:tblPr>
      <w:tblGrid>
        <w:gridCol w:w="1600"/>
        <w:gridCol w:w="920"/>
        <w:gridCol w:w="400"/>
        <w:gridCol w:w="1460"/>
        <w:gridCol w:w="1574"/>
        <w:gridCol w:w="1417"/>
        <w:gridCol w:w="1560"/>
        <w:gridCol w:w="1559"/>
        <w:gridCol w:w="236"/>
      </w:tblGrid>
      <w:tr w:rsidR="0024227B" w:rsidRPr="0024227B" w14:paraId="28F47E5B" w14:textId="77777777" w:rsidTr="00431EB9">
        <w:trPr>
          <w:gridAfter w:val="1"/>
          <w:wAfter w:w="236" w:type="dxa"/>
          <w:trHeight w:val="360"/>
        </w:trPr>
        <w:tc>
          <w:tcPr>
            <w:tcW w:w="10490" w:type="dxa"/>
            <w:gridSpan w:val="8"/>
            <w:tcBorders>
              <w:top w:val="nil"/>
              <w:left w:val="nil"/>
              <w:bottom w:val="nil"/>
              <w:right w:val="nil"/>
            </w:tcBorders>
            <w:shd w:val="clear" w:color="auto" w:fill="auto"/>
            <w:noWrap/>
            <w:vAlign w:val="bottom"/>
            <w:hideMark/>
          </w:tcPr>
          <w:p w14:paraId="074CD0D7" w14:textId="77777777" w:rsidR="0024227B" w:rsidRPr="0024227B" w:rsidRDefault="0024227B" w:rsidP="0024227B">
            <w:pPr>
              <w:spacing w:after="0" w:line="240" w:lineRule="auto"/>
              <w:rPr>
                <w:rFonts w:ascii="Arial" w:eastAsia="Times New Roman" w:hAnsi="Arial" w:cs="Arial"/>
                <w:b/>
                <w:bCs/>
                <w:color w:val="00B0F0"/>
                <w:sz w:val="28"/>
                <w:szCs w:val="28"/>
                <w:lang w:eastAsia="en-GB"/>
              </w:rPr>
            </w:pPr>
            <w:r w:rsidRPr="0024227B">
              <w:rPr>
                <w:rFonts w:ascii="Arial" w:eastAsia="Times New Roman" w:hAnsi="Arial" w:cs="Arial"/>
                <w:b/>
                <w:bCs/>
                <w:color w:val="00B0F0"/>
                <w:sz w:val="28"/>
                <w:szCs w:val="28"/>
                <w:lang w:eastAsia="en-GB"/>
              </w:rPr>
              <w:t>Condensed Consolidated Income Statement</w:t>
            </w:r>
          </w:p>
        </w:tc>
      </w:tr>
      <w:tr w:rsidR="0024227B" w:rsidRPr="0024227B" w14:paraId="0A84EF84" w14:textId="77777777" w:rsidTr="00431EB9">
        <w:trPr>
          <w:gridAfter w:val="1"/>
          <w:wAfter w:w="236" w:type="dxa"/>
          <w:trHeight w:val="390"/>
        </w:trPr>
        <w:tc>
          <w:tcPr>
            <w:tcW w:w="4380" w:type="dxa"/>
            <w:gridSpan w:val="4"/>
            <w:tcBorders>
              <w:top w:val="nil"/>
              <w:left w:val="nil"/>
              <w:bottom w:val="nil"/>
              <w:right w:val="nil"/>
            </w:tcBorders>
            <w:shd w:val="clear" w:color="auto" w:fill="auto"/>
            <w:noWrap/>
            <w:vAlign w:val="bottom"/>
            <w:hideMark/>
          </w:tcPr>
          <w:p w14:paraId="46A03004" w14:textId="77777777" w:rsidR="0024227B" w:rsidRPr="0024227B" w:rsidRDefault="0024227B" w:rsidP="0024227B">
            <w:pPr>
              <w:spacing w:after="0" w:line="240" w:lineRule="auto"/>
              <w:rPr>
                <w:rFonts w:ascii="Arial" w:eastAsia="Times New Roman" w:hAnsi="Arial" w:cs="Arial"/>
                <w:sz w:val="26"/>
                <w:szCs w:val="26"/>
                <w:lang w:eastAsia="en-GB"/>
              </w:rPr>
            </w:pPr>
            <w:r w:rsidRPr="0024227B">
              <w:rPr>
                <w:rFonts w:ascii="Arial" w:eastAsia="Times New Roman" w:hAnsi="Arial" w:cs="Arial"/>
                <w:sz w:val="26"/>
                <w:szCs w:val="26"/>
                <w:lang w:eastAsia="en-GB"/>
              </w:rPr>
              <w:t>for the 26 weeks ended 2 July 2022</w:t>
            </w:r>
          </w:p>
        </w:tc>
        <w:tc>
          <w:tcPr>
            <w:tcW w:w="1574" w:type="dxa"/>
            <w:tcBorders>
              <w:top w:val="nil"/>
              <w:left w:val="nil"/>
              <w:bottom w:val="nil"/>
              <w:right w:val="nil"/>
            </w:tcBorders>
            <w:shd w:val="clear" w:color="auto" w:fill="auto"/>
            <w:noWrap/>
            <w:vAlign w:val="bottom"/>
            <w:hideMark/>
          </w:tcPr>
          <w:p w14:paraId="0A5EE3D2" w14:textId="77777777" w:rsidR="0024227B" w:rsidRPr="0024227B" w:rsidRDefault="0024227B" w:rsidP="0024227B">
            <w:pPr>
              <w:spacing w:after="0" w:line="240" w:lineRule="auto"/>
              <w:rPr>
                <w:rFonts w:ascii="Arial" w:eastAsia="Times New Roman" w:hAnsi="Arial" w:cs="Arial"/>
                <w:sz w:val="26"/>
                <w:szCs w:val="26"/>
                <w:lang w:eastAsia="en-GB"/>
              </w:rPr>
            </w:pPr>
          </w:p>
        </w:tc>
        <w:tc>
          <w:tcPr>
            <w:tcW w:w="1417" w:type="dxa"/>
            <w:tcBorders>
              <w:top w:val="nil"/>
              <w:left w:val="nil"/>
              <w:bottom w:val="nil"/>
              <w:right w:val="nil"/>
            </w:tcBorders>
            <w:shd w:val="clear" w:color="auto" w:fill="auto"/>
            <w:noWrap/>
            <w:vAlign w:val="bottom"/>
            <w:hideMark/>
          </w:tcPr>
          <w:p w14:paraId="7556A502" w14:textId="77777777" w:rsidR="0024227B" w:rsidRPr="0024227B" w:rsidRDefault="0024227B" w:rsidP="0024227B">
            <w:pPr>
              <w:spacing w:after="0" w:line="240" w:lineRule="auto"/>
              <w:jc w:val="right"/>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auto"/>
            <w:noWrap/>
            <w:vAlign w:val="bottom"/>
            <w:hideMark/>
          </w:tcPr>
          <w:p w14:paraId="180546FF" w14:textId="77777777" w:rsidR="0024227B" w:rsidRPr="0024227B" w:rsidRDefault="0024227B" w:rsidP="0024227B">
            <w:pPr>
              <w:spacing w:after="0" w:line="240" w:lineRule="auto"/>
              <w:jc w:val="right"/>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bottom"/>
            <w:hideMark/>
          </w:tcPr>
          <w:p w14:paraId="1D81757D" w14:textId="77777777" w:rsidR="0024227B" w:rsidRPr="0024227B" w:rsidRDefault="0024227B" w:rsidP="0024227B">
            <w:pPr>
              <w:spacing w:after="0" w:line="240" w:lineRule="auto"/>
              <w:jc w:val="right"/>
              <w:rPr>
                <w:rFonts w:ascii="Times New Roman" w:eastAsia="Times New Roman" w:hAnsi="Times New Roman" w:cs="Times New Roman"/>
                <w:sz w:val="20"/>
                <w:szCs w:val="20"/>
                <w:lang w:eastAsia="en-GB"/>
              </w:rPr>
            </w:pPr>
          </w:p>
        </w:tc>
      </w:tr>
      <w:tr w:rsidR="0024227B" w:rsidRPr="0024227B" w14:paraId="06D8ECF1" w14:textId="77777777" w:rsidTr="00431EB9">
        <w:trPr>
          <w:gridAfter w:val="1"/>
          <w:wAfter w:w="236" w:type="dxa"/>
          <w:trHeight w:val="240"/>
        </w:trPr>
        <w:tc>
          <w:tcPr>
            <w:tcW w:w="1600" w:type="dxa"/>
            <w:tcBorders>
              <w:top w:val="nil"/>
              <w:left w:val="nil"/>
              <w:bottom w:val="nil"/>
              <w:right w:val="nil"/>
            </w:tcBorders>
            <w:shd w:val="clear" w:color="auto" w:fill="auto"/>
            <w:noWrap/>
            <w:vAlign w:val="bottom"/>
            <w:hideMark/>
          </w:tcPr>
          <w:p w14:paraId="28E549C9" w14:textId="77777777" w:rsidR="0024227B" w:rsidRPr="0024227B" w:rsidRDefault="0024227B" w:rsidP="0024227B">
            <w:pPr>
              <w:spacing w:after="0" w:line="240" w:lineRule="auto"/>
              <w:jc w:val="right"/>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7F4C6BA6"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1CAB205"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481C4740" w14:textId="77777777" w:rsidR="0024227B" w:rsidRPr="0024227B" w:rsidRDefault="0024227B" w:rsidP="0024227B">
            <w:pPr>
              <w:spacing w:after="0" w:line="240" w:lineRule="auto"/>
              <w:jc w:val="right"/>
              <w:rPr>
                <w:rFonts w:ascii="Times New Roman" w:eastAsia="Times New Roman" w:hAnsi="Times New Roman" w:cs="Times New Roman"/>
                <w:sz w:val="20"/>
                <w:szCs w:val="20"/>
                <w:lang w:eastAsia="en-GB"/>
              </w:rPr>
            </w:pPr>
          </w:p>
        </w:tc>
        <w:tc>
          <w:tcPr>
            <w:tcW w:w="1574" w:type="dxa"/>
            <w:tcBorders>
              <w:top w:val="nil"/>
              <w:left w:val="nil"/>
              <w:bottom w:val="nil"/>
              <w:right w:val="nil"/>
            </w:tcBorders>
            <w:shd w:val="clear" w:color="auto" w:fill="auto"/>
            <w:noWrap/>
            <w:vAlign w:val="bottom"/>
            <w:hideMark/>
          </w:tcPr>
          <w:p w14:paraId="7FE64F7E" w14:textId="77777777" w:rsidR="0024227B" w:rsidRPr="0024227B" w:rsidRDefault="0024227B" w:rsidP="0024227B">
            <w:pPr>
              <w:spacing w:after="0" w:line="240" w:lineRule="auto"/>
              <w:jc w:val="right"/>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41848E88" w14:textId="77777777" w:rsidR="0024227B" w:rsidRPr="0024227B" w:rsidRDefault="0024227B" w:rsidP="0024227B">
            <w:pPr>
              <w:spacing w:after="0" w:line="240" w:lineRule="auto"/>
              <w:jc w:val="right"/>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auto"/>
            <w:noWrap/>
            <w:vAlign w:val="bottom"/>
            <w:hideMark/>
          </w:tcPr>
          <w:p w14:paraId="155CD7B1" w14:textId="77777777" w:rsidR="0024227B" w:rsidRPr="0024227B" w:rsidRDefault="0024227B" w:rsidP="0024227B">
            <w:pPr>
              <w:spacing w:after="0" w:line="240" w:lineRule="auto"/>
              <w:jc w:val="right"/>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bottom"/>
            <w:hideMark/>
          </w:tcPr>
          <w:p w14:paraId="25CB6470" w14:textId="77777777" w:rsidR="0024227B" w:rsidRPr="0024227B" w:rsidRDefault="0024227B" w:rsidP="0024227B">
            <w:pPr>
              <w:spacing w:after="0" w:line="240" w:lineRule="auto"/>
              <w:jc w:val="right"/>
              <w:rPr>
                <w:rFonts w:ascii="Times New Roman" w:eastAsia="Times New Roman" w:hAnsi="Times New Roman" w:cs="Times New Roman"/>
                <w:sz w:val="20"/>
                <w:szCs w:val="20"/>
                <w:lang w:eastAsia="en-GB"/>
              </w:rPr>
            </w:pPr>
          </w:p>
        </w:tc>
      </w:tr>
      <w:tr w:rsidR="0024227B" w:rsidRPr="0024227B" w14:paraId="52B3D5DD" w14:textId="77777777" w:rsidTr="00431EB9">
        <w:trPr>
          <w:gridAfter w:val="1"/>
          <w:wAfter w:w="236" w:type="dxa"/>
          <w:trHeight w:val="450"/>
        </w:trPr>
        <w:tc>
          <w:tcPr>
            <w:tcW w:w="10490" w:type="dxa"/>
            <w:gridSpan w:val="8"/>
            <w:vMerge w:val="restart"/>
            <w:tcBorders>
              <w:top w:val="single" w:sz="4" w:space="0" w:color="D9D9D9"/>
              <w:left w:val="single" w:sz="4" w:space="0" w:color="D9D9D9"/>
              <w:bottom w:val="single" w:sz="4" w:space="0" w:color="D9D9D9"/>
              <w:right w:val="single" w:sz="4" w:space="0" w:color="D9D9D9"/>
            </w:tcBorders>
            <w:shd w:val="clear" w:color="auto" w:fill="CCECFF"/>
            <w:vAlign w:val="center"/>
            <w:hideMark/>
          </w:tcPr>
          <w:p w14:paraId="4B067B45" w14:textId="77777777" w:rsidR="0024227B" w:rsidRPr="0024227B" w:rsidRDefault="0024227B" w:rsidP="0024227B">
            <w:pPr>
              <w:spacing w:after="0" w:line="240" w:lineRule="auto"/>
              <w:rPr>
                <w:rFonts w:ascii="Arial" w:eastAsia="Times New Roman" w:hAnsi="Arial" w:cs="Arial"/>
                <w:sz w:val="18"/>
                <w:szCs w:val="18"/>
                <w:lang w:eastAsia="en-GB"/>
              </w:rPr>
            </w:pPr>
            <w:r w:rsidRPr="0024227B">
              <w:rPr>
                <w:rFonts w:ascii="Arial" w:eastAsia="Times New Roman" w:hAnsi="Arial" w:cs="Arial"/>
                <w:b/>
                <w:bCs/>
                <w:sz w:val="18"/>
                <w:szCs w:val="18"/>
                <w:lang w:eastAsia="en-GB"/>
              </w:rPr>
              <w:t xml:space="preserve">What does this show? </w:t>
            </w:r>
            <w:r w:rsidRPr="0024227B">
              <w:rPr>
                <w:rFonts w:ascii="Arial" w:eastAsia="Times New Roman" w:hAnsi="Arial" w:cs="Arial"/>
                <w:sz w:val="18"/>
                <w:szCs w:val="18"/>
                <w:lang w:eastAsia="en-GB"/>
              </w:rPr>
              <w:t>Our income statement shows our income for the period less our costs. The result is the profit or loss that we've made.</w:t>
            </w:r>
          </w:p>
        </w:tc>
      </w:tr>
      <w:tr w:rsidR="0024227B" w:rsidRPr="0024227B" w14:paraId="2CE3DFF6" w14:textId="77777777" w:rsidTr="00431EB9">
        <w:trPr>
          <w:trHeight w:val="240"/>
        </w:trPr>
        <w:tc>
          <w:tcPr>
            <w:tcW w:w="10490" w:type="dxa"/>
            <w:gridSpan w:val="8"/>
            <w:vMerge/>
            <w:tcBorders>
              <w:top w:val="single" w:sz="4" w:space="0" w:color="D9D9D9"/>
              <w:left w:val="single" w:sz="4" w:space="0" w:color="D9D9D9"/>
              <w:bottom w:val="single" w:sz="4" w:space="0" w:color="D9D9D9"/>
              <w:right w:val="single" w:sz="4" w:space="0" w:color="D9D9D9"/>
            </w:tcBorders>
            <w:shd w:val="clear" w:color="auto" w:fill="CCECFF"/>
            <w:vAlign w:val="center"/>
            <w:hideMark/>
          </w:tcPr>
          <w:p w14:paraId="58206A48" w14:textId="77777777" w:rsidR="0024227B" w:rsidRPr="0024227B" w:rsidRDefault="0024227B" w:rsidP="0024227B">
            <w:pPr>
              <w:spacing w:after="0" w:line="240" w:lineRule="auto"/>
              <w:rPr>
                <w:rFonts w:ascii="Arial" w:eastAsia="Times New Roman" w:hAnsi="Arial" w:cs="Arial"/>
                <w:sz w:val="18"/>
                <w:szCs w:val="18"/>
                <w:lang w:eastAsia="en-GB"/>
              </w:rPr>
            </w:pPr>
          </w:p>
        </w:tc>
        <w:tc>
          <w:tcPr>
            <w:tcW w:w="236" w:type="dxa"/>
            <w:tcBorders>
              <w:top w:val="nil"/>
              <w:left w:val="nil"/>
              <w:bottom w:val="nil"/>
              <w:right w:val="nil"/>
            </w:tcBorders>
            <w:shd w:val="clear" w:color="auto" w:fill="auto"/>
            <w:noWrap/>
            <w:vAlign w:val="bottom"/>
            <w:hideMark/>
          </w:tcPr>
          <w:p w14:paraId="6E9A34AE" w14:textId="77777777" w:rsidR="0024227B" w:rsidRPr="0024227B" w:rsidRDefault="0024227B" w:rsidP="0024227B">
            <w:pPr>
              <w:spacing w:after="0" w:line="240" w:lineRule="auto"/>
              <w:rPr>
                <w:rFonts w:ascii="Arial" w:eastAsia="Times New Roman" w:hAnsi="Arial" w:cs="Arial"/>
                <w:sz w:val="18"/>
                <w:szCs w:val="18"/>
                <w:lang w:eastAsia="en-GB"/>
              </w:rPr>
            </w:pPr>
          </w:p>
        </w:tc>
      </w:tr>
      <w:tr w:rsidR="0024227B" w:rsidRPr="0024227B" w14:paraId="0888A4FD" w14:textId="77777777" w:rsidTr="007D0891">
        <w:trPr>
          <w:trHeight w:val="64"/>
        </w:trPr>
        <w:tc>
          <w:tcPr>
            <w:tcW w:w="10490" w:type="dxa"/>
            <w:gridSpan w:val="8"/>
            <w:vMerge/>
            <w:tcBorders>
              <w:top w:val="single" w:sz="4" w:space="0" w:color="D9D9D9"/>
              <w:left w:val="single" w:sz="4" w:space="0" w:color="D9D9D9"/>
              <w:bottom w:val="single" w:sz="4" w:space="0" w:color="D9D9D9"/>
              <w:right w:val="single" w:sz="4" w:space="0" w:color="D9D9D9"/>
            </w:tcBorders>
            <w:shd w:val="clear" w:color="auto" w:fill="CCECFF"/>
            <w:vAlign w:val="center"/>
            <w:hideMark/>
          </w:tcPr>
          <w:p w14:paraId="3D13B7CF" w14:textId="77777777" w:rsidR="0024227B" w:rsidRPr="0024227B" w:rsidRDefault="0024227B" w:rsidP="0024227B">
            <w:pPr>
              <w:spacing w:after="0" w:line="240" w:lineRule="auto"/>
              <w:rPr>
                <w:rFonts w:ascii="Arial" w:eastAsia="Times New Roman" w:hAnsi="Arial" w:cs="Arial"/>
                <w:sz w:val="18"/>
                <w:szCs w:val="18"/>
                <w:lang w:eastAsia="en-GB"/>
              </w:rPr>
            </w:pPr>
          </w:p>
        </w:tc>
        <w:tc>
          <w:tcPr>
            <w:tcW w:w="236" w:type="dxa"/>
            <w:tcBorders>
              <w:top w:val="nil"/>
              <w:left w:val="nil"/>
              <w:bottom w:val="nil"/>
              <w:right w:val="nil"/>
            </w:tcBorders>
            <w:shd w:val="clear" w:color="auto" w:fill="auto"/>
            <w:noWrap/>
            <w:vAlign w:val="bottom"/>
            <w:hideMark/>
          </w:tcPr>
          <w:p w14:paraId="387F5911"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24227B" w:rsidRPr="0024227B" w14:paraId="4DC900E6" w14:textId="77777777" w:rsidTr="00431EB9">
        <w:trPr>
          <w:trHeight w:val="240"/>
        </w:trPr>
        <w:tc>
          <w:tcPr>
            <w:tcW w:w="1600" w:type="dxa"/>
            <w:tcBorders>
              <w:top w:val="nil"/>
              <w:left w:val="nil"/>
              <w:bottom w:val="single" w:sz="4" w:space="0" w:color="BFBFBF"/>
              <w:right w:val="nil"/>
            </w:tcBorders>
            <w:shd w:val="clear" w:color="auto" w:fill="auto"/>
            <w:noWrap/>
            <w:vAlign w:val="bottom"/>
            <w:hideMark/>
          </w:tcPr>
          <w:p w14:paraId="7D2E4025" w14:textId="77777777" w:rsidR="0024227B" w:rsidRPr="0024227B" w:rsidRDefault="0024227B" w:rsidP="0024227B">
            <w:pPr>
              <w:spacing w:after="0" w:line="240" w:lineRule="auto"/>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920" w:type="dxa"/>
            <w:tcBorders>
              <w:top w:val="nil"/>
              <w:left w:val="nil"/>
              <w:bottom w:val="single" w:sz="4" w:space="0" w:color="BFBFBF"/>
              <w:right w:val="nil"/>
            </w:tcBorders>
            <w:shd w:val="clear" w:color="auto" w:fill="auto"/>
            <w:noWrap/>
            <w:vAlign w:val="bottom"/>
            <w:hideMark/>
          </w:tcPr>
          <w:p w14:paraId="725FBB28" w14:textId="77777777" w:rsidR="0024227B" w:rsidRPr="0024227B" w:rsidRDefault="0024227B" w:rsidP="0024227B">
            <w:pPr>
              <w:spacing w:after="0" w:line="240" w:lineRule="auto"/>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400" w:type="dxa"/>
            <w:tcBorders>
              <w:top w:val="nil"/>
              <w:left w:val="nil"/>
              <w:bottom w:val="single" w:sz="4" w:space="0" w:color="BFBFBF"/>
              <w:right w:val="nil"/>
            </w:tcBorders>
            <w:shd w:val="clear" w:color="auto" w:fill="auto"/>
            <w:noWrap/>
            <w:vAlign w:val="bottom"/>
            <w:hideMark/>
          </w:tcPr>
          <w:p w14:paraId="5D9BE723"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460" w:type="dxa"/>
            <w:tcBorders>
              <w:top w:val="nil"/>
              <w:left w:val="nil"/>
              <w:bottom w:val="single" w:sz="4" w:space="0" w:color="BFBFBF"/>
              <w:right w:val="nil"/>
            </w:tcBorders>
            <w:shd w:val="clear" w:color="auto" w:fill="auto"/>
            <w:noWrap/>
            <w:vAlign w:val="bottom"/>
            <w:hideMark/>
          </w:tcPr>
          <w:p w14:paraId="40FF226D"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574" w:type="dxa"/>
            <w:tcBorders>
              <w:top w:val="nil"/>
              <w:left w:val="nil"/>
              <w:bottom w:val="single" w:sz="4" w:space="0" w:color="BFBFBF"/>
              <w:right w:val="nil"/>
            </w:tcBorders>
            <w:shd w:val="clear" w:color="auto" w:fill="auto"/>
            <w:noWrap/>
            <w:vAlign w:val="bottom"/>
            <w:hideMark/>
          </w:tcPr>
          <w:p w14:paraId="16D87AFA"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417" w:type="dxa"/>
            <w:tcBorders>
              <w:top w:val="nil"/>
              <w:left w:val="nil"/>
              <w:bottom w:val="single" w:sz="4" w:space="0" w:color="BFBFBF"/>
              <w:right w:val="nil"/>
            </w:tcBorders>
            <w:shd w:val="clear" w:color="auto" w:fill="auto"/>
            <w:noWrap/>
            <w:vAlign w:val="bottom"/>
            <w:hideMark/>
          </w:tcPr>
          <w:p w14:paraId="09F29853" w14:textId="77777777" w:rsidR="0024227B" w:rsidRPr="0024227B" w:rsidRDefault="0024227B" w:rsidP="0024227B">
            <w:pPr>
              <w:spacing w:after="0" w:line="240" w:lineRule="auto"/>
              <w:jc w:val="right"/>
              <w:rPr>
                <w:rFonts w:ascii="Arial" w:eastAsia="Times New Roman" w:hAnsi="Arial" w:cs="Arial"/>
                <w:b/>
                <w:bCs/>
                <w:sz w:val="20"/>
                <w:szCs w:val="20"/>
                <w:lang w:eastAsia="en-GB"/>
              </w:rPr>
            </w:pPr>
            <w:r w:rsidRPr="0024227B">
              <w:rPr>
                <w:rFonts w:ascii="Arial" w:eastAsia="Times New Roman" w:hAnsi="Arial" w:cs="Arial"/>
                <w:b/>
                <w:bCs/>
                <w:sz w:val="20"/>
                <w:szCs w:val="20"/>
                <w:lang w:eastAsia="en-GB"/>
              </w:rPr>
              <w:t> </w:t>
            </w:r>
          </w:p>
        </w:tc>
        <w:tc>
          <w:tcPr>
            <w:tcW w:w="1560" w:type="dxa"/>
            <w:tcBorders>
              <w:top w:val="nil"/>
              <w:left w:val="nil"/>
              <w:bottom w:val="single" w:sz="4" w:space="0" w:color="BFBFBF"/>
              <w:right w:val="nil"/>
            </w:tcBorders>
            <w:shd w:val="clear" w:color="auto" w:fill="auto"/>
            <w:noWrap/>
            <w:vAlign w:val="bottom"/>
            <w:hideMark/>
          </w:tcPr>
          <w:p w14:paraId="3ACA50EA"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559" w:type="dxa"/>
            <w:tcBorders>
              <w:top w:val="nil"/>
              <w:left w:val="nil"/>
              <w:bottom w:val="single" w:sz="4" w:space="0" w:color="BFBFBF"/>
              <w:right w:val="nil"/>
            </w:tcBorders>
            <w:shd w:val="clear" w:color="auto" w:fill="auto"/>
            <w:noWrap/>
            <w:vAlign w:val="bottom"/>
            <w:hideMark/>
          </w:tcPr>
          <w:p w14:paraId="7E8EF3A6"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236" w:type="dxa"/>
            <w:vAlign w:val="center"/>
            <w:hideMark/>
          </w:tcPr>
          <w:p w14:paraId="4D2634EB"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052C1ED9" w14:textId="77777777" w:rsidTr="00AD1C11">
        <w:trPr>
          <w:trHeight w:val="64"/>
        </w:trPr>
        <w:tc>
          <w:tcPr>
            <w:tcW w:w="1600" w:type="dxa"/>
            <w:tcBorders>
              <w:top w:val="nil"/>
              <w:left w:val="single" w:sz="4" w:space="0" w:color="BFBFBF"/>
              <w:bottom w:val="nil"/>
              <w:right w:val="nil"/>
            </w:tcBorders>
            <w:shd w:val="clear" w:color="auto" w:fill="auto"/>
            <w:noWrap/>
            <w:vAlign w:val="bottom"/>
            <w:hideMark/>
          </w:tcPr>
          <w:p w14:paraId="3334561E"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920" w:type="dxa"/>
            <w:tcBorders>
              <w:top w:val="nil"/>
              <w:left w:val="nil"/>
              <w:bottom w:val="nil"/>
              <w:right w:val="nil"/>
            </w:tcBorders>
            <w:shd w:val="clear" w:color="auto" w:fill="auto"/>
            <w:noWrap/>
            <w:vAlign w:val="bottom"/>
            <w:hideMark/>
          </w:tcPr>
          <w:p w14:paraId="79D87936"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400" w:type="dxa"/>
            <w:tcBorders>
              <w:top w:val="nil"/>
              <w:left w:val="nil"/>
              <w:bottom w:val="nil"/>
              <w:right w:val="nil"/>
            </w:tcBorders>
            <w:shd w:val="clear" w:color="auto" w:fill="auto"/>
            <w:noWrap/>
            <w:vAlign w:val="bottom"/>
            <w:hideMark/>
          </w:tcPr>
          <w:p w14:paraId="00AF154A"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nil"/>
              <w:right w:val="nil"/>
            </w:tcBorders>
            <w:shd w:val="clear" w:color="auto" w:fill="auto"/>
            <w:noWrap/>
            <w:vAlign w:val="bottom"/>
            <w:hideMark/>
          </w:tcPr>
          <w:p w14:paraId="57D07759"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74" w:type="dxa"/>
            <w:tcBorders>
              <w:top w:val="nil"/>
              <w:left w:val="nil"/>
              <w:bottom w:val="nil"/>
              <w:right w:val="nil"/>
            </w:tcBorders>
            <w:shd w:val="clear" w:color="auto" w:fill="auto"/>
            <w:noWrap/>
            <w:vAlign w:val="bottom"/>
            <w:hideMark/>
          </w:tcPr>
          <w:p w14:paraId="737F6566"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17" w:type="dxa"/>
            <w:tcBorders>
              <w:top w:val="nil"/>
              <w:left w:val="nil"/>
              <w:bottom w:val="nil"/>
              <w:right w:val="nil"/>
            </w:tcBorders>
            <w:shd w:val="clear" w:color="auto" w:fill="auto"/>
            <w:noWrap/>
            <w:hideMark/>
          </w:tcPr>
          <w:p w14:paraId="7961FE13"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26 weeks ended</w:t>
            </w:r>
          </w:p>
        </w:tc>
        <w:tc>
          <w:tcPr>
            <w:tcW w:w="1560" w:type="dxa"/>
            <w:tcBorders>
              <w:top w:val="nil"/>
              <w:left w:val="nil"/>
              <w:bottom w:val="nil"/>
              <w:right w:val="nil"/>
            </w:tcBorders>
            <w:shd w:val="clear" w:color="auto" w:fill="auto"/>
            <w:noWrap/>
            <w:hideMark/>
          </w:tcPr>
          <w:p w14:paraId="3F5D2134"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26 weeks ended</w:t>
            </w:r>
          </w:p>
        </w:tc>
        <w:tc>
          <w:tcPr>
            <w:tcW w:w="1559" w:type="dxa"/>
            <w:tcBorders>
              <w:top w:val="nil"/>
              <w:left w:val="nil"/>
              <w:bottom w:val="nil"/>
              <w:right w:val="single" w:sz="4" w:space="0" w:color="BFBFBF"/>
            </w:tcBorders>
            <w:shd w:val="clear" w:color="auto" w:fill="auto"/>
            <w:noWrap/>
            <w:hideMark/>
          </w:tcPr>
          <w:p w14:paraId="72CF9CEE"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52 weeks ended</w:t>
            </w:r>
          </w:p>
        </w:tc>
        <w:tc>
          <w:tcPr>
            <w:tcW w:w="236" w:type="dxa"/>
            <w:vAlign w:val="center"/>
            <w:hideMark/>
          </w:tcPr>
          <w:p w14:paraId="21C45CE2"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6FE95452" w14:textId="77777777" w:rsidTr="008F4A3F">
        <w:trPr>
          <w:trHeight w:val="109"/>
        </w:trPr>
        <w:tc>
          <w:tcPr>
            <w:tcW w:w="2520" w:type="dxa"/>
            <w:gridSpan w:val="2"/>
            <w:vMerge w:val="restart"/>
            <w:tcBorders>
              <w:top w:val="nil"/>
              <w:left w:val="single" w:sz="4" w:space="0" w:color="BFBFBF"/>
              <w:bottom w:val="nil"/>
              <w:right w:val="nil"/>
            </w:tcBorders>
            <w:shd w:val="clear" w:color="auto" w:fill="auto"/>
            <w:noWrap/>
            <w:vAlign w:val="center"/>
            <w:hideMark/>
          </w:tcPr>
          <w:p w14:paraId="08A82F05" w14:textId="77777777" w:rsidR="0024227B" w:rsidRPr="0024227B" w:rsidRDefault="0024227B" w:rsidP="0024227B">
            <w:pPr>
              <w:spacing w:after="0" w:line="240" w:lineRule="auto"/>
              <w:rPr>
                <w:rFonts w:ascii="Arial" w:eastAsia="Times New Roman" w:hAnsi="Arial" w:cs="Arial"/>
                <w:b/>
                <w:bCs/>
                <w:sz w:val="20"/>
                <w:szCs w:val="20"/>
                <w:lang w:eastAsia="en-GB"/>
              </w:rPr>
            </w:pPr>
            <w:r w:rsidRPr="0024227B">
              <w:rPr>
                <w:rFonts w:ascii="Arial" w:eastAsia="Times New Roman" w:hAnsi="Arial" w:cs="Arial"/>
                <w:b/>
                <w:bCs/>
                <w:sz w:val="20"/>
                <w:szCs w:val="20"/>
                <w:lang w:eastAsia="en-GB"/>
              </w:rPr>
              <w:t>Continuing Operations</w:t>
            </w:r>
          </w:p>
        </w:tc>
        <w:tc>
          <w:tcPr>
            <w:tcW w:w="400" w:type="dxa"/>
            <w:tcBorders>
              <w:top w:val="nil"/>
              <w:left w:val="nil"/>
              <w:bottom w:val="nil"/>
              <w:right w:val="nil"/>
            </w:tcBorders>
            <w:shd w:val="clear" w:color="auto" w:fill="auto"/>
            <w:noWrap/>
            <w:vAlign w:val="bottom"/>
            <w:hideMark/>
          </w:tcPr>
          <w:p w14:paraId="37209188"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nil"/>
              <w:right w:val="nil"/>
            </w:tcBorders>
            <w:shd w:val="clear" w:color="auto" w:fill="auto"/>
            <w:noWrap/>
            <w:vAlign w:val="bottom"/>
            <w:hideMark/>
          </w:tcPr>
          <w:p w14:paraId="777BE984"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74" w:type="dxa"/>
            <w:tcBorders>
              <w:top w:val="nil"/>
              <w:left w:val="nil"/>
              <w:bottom w:val="nil"/>
              <w:right w:val="nil"/>
            </w:tcBorders>
            <w:shd w:val="clear" w:color="auto" w:fill="auto"/>
            <w:noWrap/>
            <w:vAlign w:val="bottom"/>
            <w:hideMark/>
          </w:tcPr>
          <w:p w14:paraId="67BA685C"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17" w:type="dxa"/>
            <w:tcBorders>
              <w:top w:val="nil"/>
              <w:left w:val="nil"/>
              <w:bottom w:val="nil"/>
              <w:right w:val="nil"/>
            </w:tcBorders>
            <w:shd w:val="clear" w:color="auto" w:fill="auto"/>
            <w:noWrap/>
            <w:hideMark/>
          </w:tcPr>
          <w:p w14:paraId="7542718D"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2 July 2022</w:t>
            </w:r>
          </w:p>
        </w:tc>
        <w:tc>
          <w:tcPr>
            <w:tcW w:w="1560" w:type="dxa"/>
            <w:tcBorders>
              <w:top w:val="nil"/>
              <w:left w:val="nil"/>
              <w:bottom w:val="nil"/>
              <w:right w:val="nil"/>
            </w:tcBorders>
            <w:shd w:val="clear" w:color="auto" w:fill="auto"/>
            <w:noWrap/>
            <w:hideMark/>
          </w:tcPr>
          <w:p w14:paraId="110B3027"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3 July 2021</w:t>
            </w:r>
          </w:p>
        </w:tc>
        <w:tc>
          <w:tcPr>
            <w:tcW w:w="1559" w:type="dxa"/>
            <w:tcBorders>
              <w:top w:val="nil"/>
              <w:left w:val="nil"/>
              <w:bottom w:val="nil"/>
              <w:right w:val="single" w:sz="4" w:space="0" w:color="BFBFBF"/>
            </w:tcBorders>
            <w:shd w:val="clear" w:color="auto" w:fill="auto"/>
            <w:noWrap/>
            <w:hideMark/>
          </w:tcPr>
          <w:p w14:paraId="7542FA71"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1 January 2022</w:t>
            </w:r>
          </w:p>
        </w:tc>
        <w:tc>
          <w:tcPr>
            <w:tcW w:w="236" w:type="dxa"/>
            <w:vAlign w:val="center"/>
            <w:hideMark/>
          </w:tcPr>
          <w:p w14:paraId="258EBCAF"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3CEB4A29" w14:textId="77777777" w:rsidTr="00AD1C11">
        <w:trPr>
          <w:trHeight w:val="255"/>
        </w:trPr>
        <w:tc>
          <w:tcPr>
            <w:tcW w:w="2520" w:type="dxa"/>
            <w:gridSpan w:val="2"/>
            <w:vMerge/>
            <w:tcBorders>
              <w:top w:val="nil"/>
              <w:left w:val="single" w:sz="4" w:space="0" w:color="BFBFBF"/>
              <w:bottom w:val="nil"/>
              <w:right w:val="nil"/>
            </w:tcBorders>
            <w:shd w:val="clear" w:color="auto" w:fill="auto"/>
            <w:vAlign w:val="center"/>
            <w:hideMark/>
          </w:tcPr>
          <w:p w14:paraId="6554CA51" w14:textId="77777777" w:rsidR="0024227B" w:rsidRPr="0024227B" w:rsidRDefault="0024227B" w:rsidP="0024227B">
            <w:pPr>
              <w:spacing w:after="0" w:line="240" w:lineRule="auto"/>
              <w:rPr>
                <w:rFonts w:ascii="Arial" w:eastAsia="Times New Roman" w:hAnsi="Arial" w:cs="Arial"/>
                <w:b/>
                <w:bCs/>
                <w:sz w:val="20"/>
                <w:szCs w:val="20"/>
                <w:lang w:eastAsia="en-GB"/>
              </w:rPr>
            </w:pPr>
          </w:p>
        </w:tc>
        <w:tc>
          <w:tcPr>
            <w:tcW w:w="400" w:type="dxa"/>
            <w:tcBorders>
              <w:top w:val="nil"/>
              <w:left w:val="nil"/>
              <w:bottom w:val="nil"/>
              <w:right w:val="nil"/>
            </w:tcBorders>
            <w:shd w:val="clear" w:color="auto" w:fill="auto"/>
            <w:noWrap/>
            <w:vAlign w:val="bottom"/>
            <w:hideMark/>
          </w:tcPr>
          <w:p w14:paraId="00E28170"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nil"/>
              <w:right w:val="nil"/>
            </w:tcBorders>
            <w:shd w:val="clear" w:color="auto" w:fill="auto"/>
            <w:noWrap/>
            <w:vAlign w:val="bottom"/>
            <w:hideMark/>
          </w:tcPr>
          <w:p w14:paraId="0C8C4A68"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74" w:type="dxa"/>
            <w:tcBorders>
              <w:top w:val="nil"/>
              <w:left w:val="nil"/>
              <w:bottom w:val="nil"/>
              <w:right w:val="nil"/>
            </w:tcBorders>
            <w:shd w:val="clear" w:color="auto" w:fill="auto"/>
            <w:noWrap/>
            <w:vAlign w:val="bottom"/>
            <w:hideMark/>
          </w:tcPr>
          <w:p w14:paraId="7D0F2B68"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17" w:type="dxa"/>
            <w:tcBorders>
              <w:top w:val="nil"/>
              <w:left w:val="nil"/>
              <w:bottom w:val="nil"/>
              <w:right w:val="nil"/>
            </w:tcBorders>
            <w:shd w:val="clear" w:color="auto" w:fill="auto"/>
            <w:noWrap/>
            <w:hideMark/>
          </w:tcPr>
          <w:p w14:paraId="4A011FE4"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(unaudited)</w:t>
            </w:r>
          </w:p>
        </w:tc>
        <w:tc>
          <w:tcPr>
            <w:tcW w:w="1560" w:type="dxa"/>
            <w:tcBorders>
              <w:top w:val="nil"/>
              <w:left w:val="nil"/>
              <w:bottom w:val="nil"/>
              <w:right w:val="nil"/>
            </w:tcBorders>
            <w:shd w:val="clear" w:color="auto" w:fill="auto"/>
            <w:noWrap/>
            <w:hideMark/>
          </w:tcPr>
          <w:p w14:paraId="28314DAA"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(unaudited)</w:t>
            </w:r>
          </w:p>
        </w:tc>
        <w:tc>
          <w:tcPr>
            <w:tcW w:w="1559" w:type="dxa"/>
            <w:tcBorders>
              <w:top w:val="nil"/>
              <w:left w:val="nil"/>
              <w:bottom w:val="nil"/>
              <w:right w:val="single" w:sz="4" w:space="0" w:color="BFBFBF"/>
            </w:tcBorders>
            <w:shd w:val="clear" w:color="auto" w:fill="auto"/>
            <w:noWrap/>
            <w:hideMark/>
          </w:tcPr>
          <w:p w14:paraId="067D3273"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(audited)</w:t>
            </w:r>
          </w:p>
        </w:tc>
        <w:tc>
          <w:tcPr>
            <w:tcW w:w="236" w:type="dxa"/>
            <w:vAlign w:val="center"/>
            <w:hideMark/>
          </w:tcPr>
          <w:p w14:paraId="0C052864"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0789E6D6" w14:textId="77777777" w:rsidTr="00AD1C11">
        <w:trPr>
          <w:trHeight w:val="240"/>
        </w:trPr>
        <w:tc>
          <w:tcPr>
            <w:tcW w:w="1600" w:type="dxa"/>
            <w:tcBorders>
              <w:top w:val="nil"/>
              <w:left w:val="single" w:sz="4" w:space="0" w:color="BFBFBF"/>
              <w:bottom w:val="single" w:sz="4" w:space="0" w:color="BFBFBF"/>
              <w:right w:val="nil"/>
            </w:tcBorders>
            <w:shd w:val="clear" w:color="auto" w:fill="auto"/>
            <w:noWrap/>
            <w:vAlign w:val="bottom"/>
            <w:hideMark/>
          </w:tcPr>
          <w:p w14:paraId="2988EBD3"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920" w:type="dxa"/>
            <w:tcBorders>
              <w:top w:val="nil"/>
              <w:left w:val="nil"/>
              <w:bottom w:val="single" w:sz="4" w:space="0" w:color="BFBFBF"/>
              <w:right w:val="nil"/>
            </w:tcBorders>
            <w:shd w:val="clear" w:color="auto" w:fill="auto"/>
            <w:noWrap/>
            <w:vAlign w:val="bottom"/>
            <w:hideMark/>
          </w:tcPr>
          <w:p w14:paraId="04CBCAD5"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400" w:type="dxa"/>
            <w:tcBorders>
              <w:top w:val="nil"/>
              <w:left w:val="nil"/>
              <w:bottom w:val="single" w:sz="4" w:space="0" w:color="BFBFBF"/>
              <w:right w:val="nil"/>
            </w:tcBorders>
            <w:shd w:val="clear" w:color="auto" w:fill="auto"/>
            <w:noWrap/>
            <w:vAlign w:val="bottom"/>
            <w:hideMark/>
          </w:tcPr>
          <w:p w14:paraId="1931044E"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single" w:sz="4" w:space="0" w:color="BFBFBF"/>
              <w:right w:val="nil"/>
            </w:tcBorders>
            <w:shd w:val="clear" w:color="auto" w:fill="auto"/>
            <w:noWrap/>
            <w:vAlign w:val="bottom"/>
            <w:hideMark/>
          </w:tcPr>
          <w:p w14:paraId="087EDD49" w14:textId="77777777" w:rsidR="0024227B" w:rsidRPr="0024227B" w:rsidRDefault="0024227B" w:rsidP="0024227B">
            <w:pPr>
              <w:spacing w:after="0" w:line="240" w:lineRule="auto"/>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574" w:type="dxa"/>
            <w:tcBorders>
              <w:top w:val="nil"/>
              <w:left w:val="nil"/>
              <w:bottom w:val="single" w:sz="4" w:space="0" w:color="BFBFBF"/>
              <w:right w:val="nil"/>
            </w:tcBorders>
            <w:shd w:val="clear" w:color="auto" w:fill="auto"/>
            <w:noWrap/>
            <w:hideMark/>
          </w:tcPr>
          <w:p w14:paraId="05FBEECC"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Notes</w:t>
            </w:r>
          </w:p>
        </w:tc>
        <w:tc>
          <w:tcPr>
            <w:tcW w:w="1417" w:type="dxa"/>
            <w:tcBorders>
              <w:top w:val="nil"/>
              <w:left w:val="nil"/>
              <w:bottom w:val="single" w:sz="4" w:space="0" w:color="BFBFBF"/>
              <w:right w:val="nil"/>
            </w:tcBorders>
            <w:shd w:val="clear" w:color="auto" w:fill="auto"/>
            <w:noWrap/>
            <w:hideMark/>
          </w:tcPr>
          <w:p w14:paraId="2D04C135"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£m</w:t>
            </w:r>
          </w:p>
        </w:tc>
        <w:tc>
          <w:tcPr>
            <w:tcW w:w="1560" w:type="dxa"/>
            <w:tcBorders>
              <w:top w:val="nil"/>
              <w:left w:val="nil"/>
              <w:bottom w:val="single" w:sz="4" w:space="0" w:color="BFBFBF"/>
              <w:right w:val="nil"/>
            </w:tcBorders>
            <w:shd w:val="clear" w:color="auto" w:fill="auto"/>
            <w:noWrap/>
            <w:hideMark/>
          </w:tcPr>
          <w:p w14:paraId="2A74D177"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£m</w:t>
            </w:r>
          </w:p>
        </w:tc>
        <w:tc>
          <w:tcPr>
            <w:tcW w:w="1559" w:type="dxa"/>
            <w:tcBorders>
              <w:top w:val="nil"/>
              <w:left w:val="nil"/>
              <w:bottom w:val="single" w:sz="4" w:space="0" w:color="BFBFBF"/>
              <w:right w:val="single" w:sz="4" w:space="0" w:color="BFBFBF"/>
            </w:tcBorders>
            <w:shd w:val="clear" w:color="auto" w:fill="auto"/>
            <w:noWrap/>
            <w:hideMark/>
          </w:tcPr>
          <w:p w14:paraId="5E949972"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£m</w:t>
            </w:r>
          </w:p>
        </w:tc>
        <w:tc>
          <w:tcPr>
            <w:tcW w:w="236" w:type="dxa"/>
            <w:vAlign w:val="center"/>
            <w:hideMark/>
          </w:tcPr>
          <w:p w14:paraId="05CF94BE"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69B835A4" w14:textId="77777777" w:rsidTr="00431EB9">
        <w:trPr>
          <w:trHeight w:val="300"/>
        </w:trPr>
        <w:tc>
          <w:tcPr>
            <w:tcW w:w="1600" w:type="dxa"/>
            <w:tcBorders>
              <w:top w:val="nil"/>
              <w:left w:val="nil"/>
              <w:bottom w:val="nil"/>
              <w:right w:val="nil"/>
            </w:tcBorders>
            <w:shd w:val="clear" w:color="000000" w:fill="FFFFFF"/>
            <w:noWrap/>
            <w:vAlign w:val="bottom"/>
            <w:hideMark/>
          </w:tcPr>
          <w:p w14:paraId="506960DB" w14:textId="77777777" w:rsidR="0024227B" w:rsidRPr="0024227B" w:rsidRDefault="0024227B" w:rsidP="0024227B">
            <w:pPr>
              <w:spacing w:after="0" w:line="240" w:lineRule="auto"/>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Revenue</w:t>
            </w:r>
          </w:p>
        </w:tc>
        <w:tc>
          <w:tcPr>
            <w:tcW w:w="920" w:type="dxa"/>
            <w:tcBorders>
              <w:top w:val="nil"/>
              <w:left w:val="nil"/>
              <w:bottom w:val="nil"/>
              <w:right w:val="nil"/>
            </w:tcBorders>
            <w:shd w:val="clear" w:color="000000" w:fill="FFFFFF"/>
            <w:noWrap/>
            <w:vAlign w:val="bottom"/>
            <w:hideMark/>
          </w:tcPr>
          <w:p w14:paraId="75B5857A"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400" w:type="dxa"/>
            <w:tcBorders>
              <w:top w:val="nil"/>
              <w:left w:val="nil"/>
              <w:bottom w:val="nil"/>
              <w:right w:val="nil"/>
            </w:tcBorders>
            <w:shd w:val="clear" w:color="000000" w:fill="FFFFFF"/>
            <w:noWrap/>
            <w:vAlign w:val="bottom"/>
            <w:hideMark/>
          </w:tcPr>
          <w:p w14:paraId="4FCE83F1"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nil"/>
              <w:right w:val="nil"/>
            </w:tcBorders>
            <w:shd w:val="clear" w:color="000000" w:fill="FFFFFF"/>
            <w:noWrap/>
            <w:vAlign w:val="bottom"/>
            <w:hideMark/>
          </w:tcPr>
          <w:p w14:paraId="40A8A0AC" w14:textId="77777777" w:rsidR="0024227B" w:rsidRPr="0024227B" w:rsidRDefault="0024227B" w:rsidP="0024227B">
            <w:pPr>
              <w:spacing w:after="0" w:line="240" w:lineRule="auto"/>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574" w:type="dxa"/>
            <w:tcBorders>
              <w:top w:val="nil"/>
              <w:left w:val="nil"/>
              <w:bottom w:val="nil"/>
              <w:right w:val="nil"/>
            </w:tcBorders>
            <w:shd w:val="clear" w:color="000000" w:fill="FFFFFF"/>
            <w:noWrap/>
            <w:vAlign w:val="bottom"/>
            <w:hideMark/>
          </w:tcPr>
          <w:p w14:paraId="2028C472"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1</w:t>
            </w:r>
          </w:p>
        </w:tc>
        <w:tc>
          <w:tcPr>
            <w:tcW w:w="1417" w:type="dxa"/>
            <w:tcBorders>
              <w:top w:val="nil"/>
              <w:left w:val="nil"/>
              <w:bottom w:val="nil"/>
              <w:right w:val="nil"/>
            </w:tcBorders>
            <w:shd w:val="clear" w:color="auto" w:fill="CCECFF"/>
            <w:noWrap/>
            <w:vAlign w:val="bottom"/>
            <w:hideMark/>
          </w:tcPr>
          <w:p w14:paraId="57051AB6"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 xml:space="preserve">5,643 </w:t>
            </w:r>
          </w:p>
        </w:tc>
        <w:tc>
          <w:tcPr>
            <w:tcW w:w="1560" w:type="dxa"/>
            <w:tcBorders>
              <w:top w:val="nil"/>
              <w:left w:val="nil"/>
              <w:bottom w:val="nil"/>
              <w:right w:val="nil"/>
            </w:tcBorders>
            <w:shd w:val="clear" w:color="000000" w:fill="FFFFFF"/>
            <w:noWrap/>
            <w:vAlign w:val="bottom"/>
            <w:hideMark/>
          </w:tcPr>
          <w:p w14:paraId="79DE9506"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5,616 </w:t>
            </w:r>
          </w:p>
        </w:tc>
        <w:tc>
          <w:tcPr>
            <w:tcW w:w="1559" w:type="dxa"/>
            <w:tcBorders>
              <w:top w:val="nil"/>
              <w:left w:val="nil"/>
              <w:bottom w:val="nil"/>
              <w:right w:val="nil"/>
            </w:tcBorders>
            <w:shd w:val="clear" w:color="000000" w:fill="FFFFFF"/>
            <w:noWrap/>
            <w:vAlign w:val="bottom"/>
            <w:hideMark/>
          </w:tcPr>
          <w:p w14:paraId="6B08105F"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11,151 </w:t>
            </w:r>
          </w:p>
        </w:tc>
        <w:tc>
          <w:tcPr>
            <w:tcW w:w="236" w:type="dxa"/>
            <w:vAlign w:val="center"/>
            <w:hideMark/>
          </w:tcPr>
          <w:p w14:paraId="2F68FCD5"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191120D3" w14:textId="77777777" w:rsidTr="00431EB9">
        <w:trPr>
          <w:trHeight w:val="300"/>
        </w:trPr>
        <w:tc>
          <w:tcPr>
            <w:tcW w:w="1600" w:type="dxa"/>
            <w:tcBorders>
              <w:top w:val="nil"/>
              <w:left w:val="nil"/>
              <w:bottom w:val="nil"/>
              <w:right w:val="nil"/>
            </w:tcBorders>
            <w:shd w:val="clear" w:color="000000" w:fill="FFFFFF"/>
            <w:noWrap/>
            <w:vAlign w:val="bottom"/>
            <w:hideMark/>
          </w:tcPr>
          <w:p w14:paraId="5AEED29B"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Operating expenses</w:t>
            </w:r>
          </w:p>
        </w:tc>
        <w:tc>
          <w:tcPr>
            <w:tcW w:w="920" w:type="dxa"/>
            <w:tcBorders>
              <w:top w:val="nil"/>
              <w:left w:val="nil"/>
              <w:bottom w:val="nil"/>
              <w:right w:val="nil"/>
            </w:tcBorders>
            <w:shd w:val="clear" w:color="000000" w:fill="FFFFFF"/>
            <w:noWrap/>
            <w:vAlign w:val="bottom"/>
            <w:hideMark/>
          </w:tcPr>
          <w:p w14:paraId="17127215"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400" w:type="dxa"/>
            <w:tcBorders>
              <w:top w:val="nil"/>
              <w:left w:val="nil"/>
              <w:bottom w:val="nil"/>
              <w:right w:val="nil"/>
            </w:tcBorders>
            <w:shd w:val="clear" w:color="000000" w:fill="FFFFFF"/>
            <w:noWrap/>
            <w:vAlign w:val="bottom"/>
            <w:hideMark/>
          </w:tcPr>
          <w:p w14:paraId="39AF4714"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nil"/>
              <w:right w:val="nil"/>
            </w:tcBorders>
            <w:shd w:val="clear" w:color="000000" w:fill="FFFFFF"/>
            <w:noWrap/>
            <w:vAlign w:val="bottom"/>
            <w:hideMark/>
          </w:tcPr>
          <w:p w14:paraId="14468DA1" w14:textId="77777777" w:rsidR="0024227B" w:rsidRPr="0024227B" w:rsidRDefault="0024227B" w:rsidP="0024227B">
            <w:pPr>
              <w:spacing w:after="0" w:line="240" w:lineRule="auto"/>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574" w:type="dxa"/>
            <w:tcBorders>
              <w:top w:val="nil"/>
              <w:left w:val="nil"/>
              <w:bottom w:val="nil"/>
              <w:right w:val="nil"/>
            </w:tcBorders>
            <w:shd w:val="clear" w:color="000000" w:fill="FFFFFF"/>
            <w:noWrap/>
            <w:vAlign w:val="bottom"/>
            <w:hideMark/>
          </w:tcPr>
          <w:p w14:paraId="71B41847"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17" w:type="dxa"/>
            <w:tcBorders>
              <w:top w:val="nil"/>
              <w:left w:val="nil"/>
              <w:bottom w:val="nil"/>
              <w:right w:val="nil"/>
            </w:tcBorders>
            <w:shd w:val="clear" w:color="auto" w:fill="CCECFF"/>
            <w:noWrap/>
            <w:vAlign w:val="bottom"/>
            <w:hideMark/>
          </w:tcPr>
          <w:p w14:paraId="25143DE0"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(5,668)</w:t>
            </w:r>
          </w:p>
        </w:tc>
        <w:tc>
          <w:tcPr>
            <w:tcW w:w="1560" w:type="dxa"/>
            <w:tcBorders>
              <w:top w:val="nil"/>
              <w:left w:val="nil"/>
              <w:bottom w:val="nil"/>
              <w:right w:val="nil"/>
            </w:tcBorders>
            <w:shd w:val="clear" w:color="000000" w:fill="FFFFFF"/>
            <w:noWrap/>
            <w:vAlign w:val="bottom"/>
            <w:hideMark/>
          </w:tcPr>
          <w:p w14:paraId="14968B60"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(5,613)</w:t>
            </w:r>
          </w:p>
        </w:tc>
        <w:tc>
          <w:tcPr>
            <w:tcW w:w="1559" w:type="dxa"/>
            <w:tcBorders>
              <w:top w:val="nil"/>
              <w:left w:val="nil"/>
              <w:bottom w:val="nil"/>
              <w:right w:val="nil"/>
            </w:tcBorders>
            <w:shd w:val="clear" w:color="000000" w:fill="FFFFFF"/>
            <w:noWrap/>
            <w:vAlign w:val="bottom"/>
            <w:hideMark/>
          </w:tcPr>
          <w:p w14:paraId="6E6DA2E9"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(11,097)</w:t>
            </w:r>
          </w:p>
        </w:tc>
        <w:tc>
          <w:tcPr>
            <w:tcW w:w="236" w:type="dxa"/>
            <w:vAlign w:val="center"/>
            <w:hideMark/>
          </w:tcPr>
          <w:p w14:paraId="7F0FB7F5"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472454A0" w14:textId="77777777" w:rsidTr="00431EB9">
        <w:trPr>
          <w:trHeight w:val="300"/>
        </w:trPr>
        <w:tc>
          <w:tcPr>
            <w:tcW w:w="1600" w:type="dxa"/>
            <w:tcBorders>
              <w:top w:val="nil"/>
              <w:left w:val="nil"/>
              <w:bottom w:val="single" w:sz="4" w:space="0" w:color="BFBFBF"/>
              <w:right w:val="nil"/>
            </w:tcBorders>
            <w:shd w:val="clear" w:color="000000" w:fill="FFFFFF"/>
            <w:noWrap/>
            <w:vAlign w:val="bottom"/>
            <w:hideMark/>
          </w:tcPr>
          <w:p w14:paraId="41250B01"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Other income</w:t>
            </w:r>
          </w:p>
        </w:tc>
        <w:tc>
          <w:tcPr>
            <w:tcW w:w="920" w:type="dxa"/>
            <w:tcBorders>
              <w:top w:val="nil"/>
              <w:left w:val="nil"/>
              <w:bottom w:val="single" w:sz="4" w:space="0" w:color="BFBFBF"/>
              <w:right w:val="nil"/>
            </w:tcBorders>
            <w:shd w:val="clear" w:color="000000" w:fill="FFFFFF"/>
            <w:noWrap/>
            <w:vAlign w:val="bottom"/>
            <w:hideMark/>
          </w:tcPr>
          <w:p w14:paraId="452402B9"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400" w:type="dxa"/>
            <w:tcBorders>
              <w:top w:val="nil"/>
              <w:left w:val="nil"/>
              <w:bottom w:val="single" w:sz="4" w:space="0" w:color="BFBFBF"/>
              <w:right w:val="nil"/>
            </w:tcBorders>
            <w:shd w:val="clear" w:color="000000" w:fill="FFFFFF"/>
            <w:noWrap/>
            <w:vAlign w:val="bottom"/>
            <w:hideMark/>
          </w:tcPr>
          <w:p w14:paraId="1189597D"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single" w:sz="4" w:space="0" w:color="BFBFBF"/>
              <w:right w:val="nil"/>
            </w:tcBorders>
            <w:shd w:val="clear" w:color="000000" w:fill="FFFFFF"/>
            <w:noWrap/>
            <w:vAlign w:val="bottom"/>
            <w:hideMark/>
          </w:tcPr>
          <w:p w14:paraId="5D3AC190" w14:textId="77777777" w:rsidR="0024227B" w:rsidRPr="0024227B" w:rsidRDefault="0024227B" w:rsidP="0024227B">
            <w:pPr>
              <w:spacing w:after="0" w:line="240" w:lineRule="auto"/>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574" w:type="dxa"/>
            <w:tcBorders>
              <w:top w:val="nil"/>
              <w:left w:val="nil"/>
              <w:bottom w:val="single" w:sz="4" w:space="0" w:color="BFBFBF"/>
              <w:right w:val="nil"/>
            </w:tcBorders>
            <w:shd w:val="clear" w:color="000000" w:fill="FFFFFF"/>
            <w:noWrap/>
            <w:vAlign w:val="bottom"/>
            <w:hideMark/>
          </w:tcPr>
          <w:p w14:paraId="32209126"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17" w:type="dxa"/>
            <w:tcBorders>
              <w:top w:val="nil"/>
              <w:left w:val="nil"/>
              <w:bottom w:val="single" w:sz="4" w:space="0" w:color="BFBFBF"/>
              <w:right w:val="nil"/>
            </w:tcBorders>
            <w:shd w:val="clear" w:color="auto" w:fill="CCECFF"/>
            <w:noWrap/>
            <w:vAlign w:val="bottom"/>
            <w:hideMark/>
          </w:tcPr>
          <w:p w14:paraId="266D1E7F"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 xml:space="preserve">5 </w:t>
            </w:r>
          </w:p>
        </w:tc>
        <w:tc>
          <w:tcPr>
            <w:tcW w:w="1560" w:type="dxa"/>
            <w:tcBorders>
              <w:top w:val="nil"/>
              <w:left w:val="nil"/>
              <w:bottom w:val="single" w:sz="4" w:space="0" w:color="BFBFBF"/>
              <w:right w:val="nil"/>
            </w:tcBorders>
            <w:shd w:val="clear" w:color="000000" w:fill="FFFFFF"/>
            <w:noWrap/>
            <w:vAlign w:val="bottom"/>
            <w:hideMark/>
          </w:tcPr>
          <w:p w14:paraId="4337B0C0"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5 </w:t>
            </w:r>
          </w:p>
        </w:tc>
        <w:tc>
          <w:tcPr>
            <w:tcW w:w="1559" w:type="dxa"/>
            <w:tcBorders>
              <w:top w:val="nil"/>
              <w:left w:val="nil"/>
              <w:bottom w:val="single" w:sz="4" w:space="0" w:color="BFBFBF"/>
              <w:right w:val="nil"/>
            </w:tcBorders>
            <w:shd w:val="clear" w:color="000000" w:fill="FFFFFF"/>
            <w:noWrap/>
            <w:vAlign w:val="bottom"/>
            <w:hideMark/>
          </w:tcPr>
          <w:p w14:paraId="4A847B95"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10 </w:t>
            </w:r>
          </w:p>
        </w:tc>
        <w:tc>
          <w:tcPr>
            <w:tcW w:w="236" w:type="dxa"/>
            <w:vAlign w:val="center"/>
            <w:hideMark/>
          </w:tcPr>
          <w:p w14:paraId="5785E80E"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783CA955" w14:textId="77777777" w:rsidTr="00431EB9">
        <w:trPr>
          <w:trHeight w:val="300"/>
        </w:trPr>
        <w:tc>
          <w:tcPr>
            <w:tcW w:w="2520" w:type="dxa"/>
            <w:gridSpan w:val="2"/>
            <w:tcBorders>
              <w:top w:val="nil"/>
              <w:left w:val="nil"/>
              <w:bottom w:val="single" w:sz="4" w:space="0" w:color="BFBFBF"/>
              <w:right w:val="nil"/>
            </w:tcBorders>
            <w:shd w:val="clear" w:color="000000" w:fill="FFFFFF"/>
            <w:noWrap/>
            <w:vAlign w:val="bottom"/>
            <w:hideMark/>
          </w:tcPr>
          <w:p w14:paraId="57CF5B69" w14:textId="77777777" w:rsidR="0024227B" w:rsidRPr="0024227B" w:rsidRDefault="0024227B" w:rsidP="0024227B">
            <w:pPr>
              <w:spacing w:after="0" w:line="240" w:lineRule="auto"/>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Operating (loss) / profit</w:t>
            </w:r>
          </w:p>
        </w:tc>
        <w:tc>
          <w:tcPr>
            <w:tcW w:w="400" w:type="dxa"/>
            <w:tcBorders>
              <w:top w:val="nil"/>
              <w:left w:val="nil"/>
              <w:bottom w:val="single" w:sz="4" w:space="0" w:color="BFBFBF"/>
              <w:right w:val="nil"/>
            </w:tcBorders>
            <w:shd w:val="clear" w:color="000000" w:fill="FFFFFF"/>
            <w:noWrap/>
            <w:vAlign w:val="bottom"/>
            <w:hideMark/>
          </w:tcPr>
          <w:p w14:paraId="48F2AA74"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single" w:sz="4" w:space="0" w:color="BFBFBF"/>
              <w:right w:val="nil"/>
            </w:tcBorders>
            <w:shd w:val="clear" w:color="000000" w:fill="FFFFFF"/>
            <w:noWrap/>
            <w:vAlign w:val="bottom"/>
            <w:hideMark/>
          </w:tcPr>
          <w:p w14:paraId="2081FFC8" w14:textId="77777777" w:rsidR="0024227B" w:rsidRPr="0024227B" w:rsidRDefault="0024227B" w:rsidP="0024227B">
            <w:pPr>
              <w:spacing w:after="0" w:line="240" w:lineRule="auto"/>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574" w:type="dxa"/>
            <w:tcBorders>
              <w:top w:val="nil"/>
              <w:left w:val="nil"/>
              <w:bottom w:val="single" w:sz="4" w:space="0" w:color="BFBFBF"/>
              <w:right w:val="nil"/>
            </w:tcBorders>
            <w:shd w:val="clear" w:color="000000" w:fill="FFFFFF"/>
            <w:noWrap/>
            <w:vAlign w:val="bottom"/>
            <w:hideMark/>
          </w:tcPr>
          <w:p w14:paraId="363E54C1"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1</w:t>
            </w:r>
          </w:p>
        </w:tc>
        <w:tc>
          <w:tcPr>
            <w:tcW w:w="1417" w:type="dxa"/>
            <w:tcBorders>
              <w:top w:val="nil"/>
              <w:left w:val="nil"/>
              <w:bottom w:val="single" w:sz="4" w:space="0" w:color="BFBFBF"/>
              <w:right w:val="nil"/>
            </w:tcBorders>
            <w:shd w:val="clear" w:color="auto" w:fill="CCECFF"/>
            <w:noWrap/>
            <w:vAlign w:val="bottom"/>
            <w:hideMark/>
          </w:tcPr>
          <w:p w14:paraId="10463354"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(20)</w:t>
            </w:r>
          </w:p>
        </w:tc>
        <w:tc>
          <w:tcPr>
            <w:tcW w:w="1560" w:type="dxa"/>
            <w:tcBorders>
              <w:top w:val="nil"/>
              <w:left w:val="nil"/>
              <w:bottom w:val="single" w:sz="4" w:space="0" w:color="BFBFBF"/>
              <w:right w:val="nil"/>
            </w:tcBorders>
            <w:shd w:val="clear" w:color="000000" w:fill="FFFFFF"/>
            <w:noWrap/>
            <w:vAlign w:val="bottom"/>
            <w:hideMark/>
          </w:tcPr>
          <w:p w14:paraId="702BCE5E"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8 </w:t>
            </w:r>
          </w:p>
        </w:tc>
        <w:tc>
          <w:tcPr>
            <w:tcW w:w="1559" w:type="dxa"/>
            <w:tcBorders>
              <w:top w:val="nil"/>
              <w:left w:val="nil"/>
              <w:bottom w:val="single" w:sz="4" w:space="0" w:color="BFBFBF"/>
              <w:right w:val="nil"/>
            </w:tcBorders>
            <w:shd w:val="clear" w:color="000000" w:fill="FFFFFF"/>
            <w:noWrap/>
            <w:vAlign w:val="bottom"/>
            <w:hideMark/>
          </w:tcPr>
          <w:p w14:paraId="5B98D678"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64 </w:t>
            </w:r>
          </w:p>
        </w:tc>
        <w:tc>
          <w:tcPr>
            <w:tcW w:w="236" w:type="dxa"/>
            <w:vAlign w:val="center"/>
            <w:hideMark/>
          </w:tcPr>
          <w:p w14:paraId="1168B035"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5F374F05" w14:textId="77777777" w:rsidTr="00431EB9">
        <w:trPr>
          <w:trHeight w:val="300"/>
        </w:trPr>
        <w:tc>
          <w:tcPr>
            <w:tcW w:w="1600" w:type="dxa"/>
            <w:tcBorders>
              <w:top w:val="nil"/>
              <w:left w:val="nil"/>
              <w:bottom w:val="nil"/>
              <w:right w:val="nil"/>
            </w:tcBorders>
            <w:shd w:val="clear" w:color="000000" w:fill="FFFFFF"/>
            <w:noWrap/>
            <w:vAlign w:val="bottom"/>
            <w:hideMark/>
          </w:tcPr>
          <w:p w14:paraId="4A39180A"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Finance income </w:t>
            </w:r>
          </w:p>
        </w:tc>
        <w:tc>
          <w:tcPr>
            <w:tcW w:w="920" w:type="dxa"/>
            <w:tcBorders>
              <w:top w:val="nil"/>
              <w:left w:val="nil"/>
              <w:bottom w:val="nil"/>
              <w:right w:val="nil"/>
            </w:tcBorders>
            <w:shd w:val="clear" w:color="000000" w:fill="FFFFFF"/>
            <w:noWrap/>
            <w:vAlign w:val="bottom"/>
            <w:hideMark/>
          </w:tcPr>
          <w:p w14:paraId="0B5C22B5"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400" w:type="dxa"/>
            <w:tcBorders>
              <w:top w:val="nil"/>
              <w:left w:val="nil"/>
              <w:bottom w:val="nil"/>
              <w:right w:val="nil"/>
            </w:tcBorders>
            <w:shd w:val="clear" w:color="000000" w:fill="FFFFFF"/>
            <w:noWrap/>
            <w:vAlign w:val="bottom"/>
            <w:hideMark/>
          </w:tcPr>
          <w:p w14:paraId="68AC42E2"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nil"/>
              <w:right w:val="nil"/>
            </w:tcBorders>
            <w:shd w:val="clear" w:color="000000" w:fill="FFFFFF"/>
            <w:noWrap/>
            <w:vAlign w:val="bottom"/>
            <w:hideMark/>
          </w:tcPr>
          <w:p w14:paraId="338EBCBB" w14:textId="77777777" w:rsidR="0024227B" w:rsidRPr="0024227B" w:rsidRDefault="0024227B" w:rsidP="0024227B">
            <w:pPr>
              <w:spacing w:after="0" w:line="240" w:lineRule="auto"/>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574" w:type="dxa"/>
            <w:tcBorders>
              <w:top w:val="nil"/>
              <w:left w:val="nil"/>
              <w:bottom w:val="nil"/>
              <w:right w:val="nil"/>
            </w:tcBorders>
            <w:shd w:val="clear" w:color="000000" w:fill="FFFFFF"/>
            <w:noWrap/>
            <w:vAlign w:val="bottom"/>
            <w:hideMark/>
          </w:tcPr>
          <w:p w14:paraId="05EB299B"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3</w:t>
            </w:r>
          </w:p>
        </w:tc>
        <w:tc>
          <w:tcPr>
            <w:tcW w:w="1417" w:type="dxa"/>
            <w:tcBorders>
              <w:top w:val="nil"/>
              <w:left w:val="nil"/>
              <w:bottom w:val="nil"/>
              <w:right w:val="nil"/>
            </w:tcBorders>
            <w:shd w:val="clear" w:color="auto" w:fill="CCECFF"/>
            <w:noWrap/>
            <w:vAlign w:val="bottom"/>
            <w:hideMark/>
          </w:tcPr>
          <w:p w14:paraId="29A7C05B"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 xml:space="preserve">128 </w:t>
            </w:r>
          </w:p>
        </w:tc>
        <w:tc>
          <w:tcPr>
            <w:tcW w:w="1560" w:type="dxa"/>
            <w:tcBorders>
              <w:top w:val="nil"/>
              <w:left w:val="nil"/>
              <w:bottom w:val="nil"/>
              <w:right w:val="nil"/>
            </w:tcBorders>
            <w:shd w:val="clear" w:color="000000" w:fill="FFFFFF"/>
            <w:noWrap/>
            <w:vAlign w:val="bottom"/>
            <w:hideMark/>
          </w:tcPr>
          <w:p w14:paraId="238B1A82"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142 </w:t>
            </w:r>
          </w:p>
        </w:tc>
        <w:tc>
          <w:tcPr>
            <w:tcW w:w="1559" w:type="dxa"/>
            <w:tcBorders>
              <w:top w:val="nil"/>
              <w:left w:val="nil"/>
              <w:bottom w:val="nil"/>
              <w:right w:val="nil"/>
            </w:tcBorders>
            <w:shd w:val="clear" w:color="000000" w:fill="FFFFFF"/>
            <w:noWrap/>
            <w:vAlign w:val="bottom"/>
            <w:hideMark/>
          </w:tcPr>
          <w:p w14:paraId="2A84B097"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196 </w:t>
            </w:r>
          </w:p>
        </w:tc>
        <w:tc>
          <w:tcPr>
            <w:tcW w:w="236" w:type="dxa"/>
            <w:vAlign w:val="center"/>
            <w:hideMark/>
          </w:tcPr>
          <w:p w14:paraId="3F774FA5"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39AF8FEB" w14:textId="77777777" w:rsidTr="00431EB9">
        <w:trPr>
          <w:trHeight w:val="300"/>
        </w:trPr>
        <w:tc>
          <w:tcPr>
            <w:tcW w:w="1600" w:type="dxa"/>
            <w:tcBorders>
              <w:top w:val="nil"/>
              <w:left w:val="nil"/>
              <w:bottom w:val="single" w:sz="4" w:space="0" w:color="BFBFBF"/>
              <w:right w:val="nil"/>
            </w:tcBorders>
            <w:shd w:val="clear" w:color="000000" w:fill="FFFFFF"/>
            <w:noWrap/>
            <w:vAlign w:val="bottom"/>
            <w:hideMark/>
          </w:tcPr>
          <w:p w14:paraId="67DF6A1A"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Finance costs</w:t>
            </w:r>
          </w:p>
        </w:tc>
        <w:tc>
          <w:tcPr>
            <w:tcW w:w="920" w:type="dxa"/>
            <w:tcBorders>
              <w:top w:val="nil"/>
              <w:left w:val="nil"/>
              <w:bottom w:val="single" w:sz="4" w:space="0" w:color="BFBFBF"/>
              <w:right w:val="nil"/>
            </w:tcBorders>
            <w:shd w:val="clear" w:color="000000" w:fill="FFFFFF"/>
            <w:noWrap/>
            <w:vAlign w:val="bottom"/>
            <w:hideMark/>
          </w:tcPr>
          <w:p w14:paraId="00F647E2"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400" w:type="dxa"/>
            <w:tcBorders>
              <w:top w:val="nil"/>
              <w:left w:val="nil"/>
              <w:bottom w:val="single" w:sz="4" w:space="0" w:color="BFBFBF"/>
              <w:right w:val="nil"/>
            </w:tcBorders>
            <w:shd w:val="clear" w:color="000000" w:fill="FFFFFF"/>
            <w:noWrap/>
            <w:vAlign w:val="bottom"/>
            <w:hideMark/>
          </w:tcPr>
          <w:p w14:paraId="033053D1"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single" w:sz="4" w:space="0" w:color="BFBFBF"/>
              <w:right w:val="nil"/>
            </w:tcBorders>
            <w:shd w:val="clear" w:color="000000" w:fill="FFFFFF"/>
            <w:noWrap/>
            <w:vAlign w:val="bottom"/>
            <w:hideMark/>
          </w:tcPr>
          <w:p w14:paraId="700C1A91" w14:textId="77777777" w:rsidR="0024227B" w:rsidRPr="0024227B" w:rsidRDefault="0024227B" w:rsidP="0024227B">
            <w:pPr>
              <w:spacing w:after="0" w:line="240" w:lineRule="auto"/>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574" w:type="dxa"/>
            <w:tcBorders>
              <w:top w:val="nil"/>
              <w:left w:val="nil"/>
              <w:bottom w:val="single" w:sz="4" w:space="0" w:color="BFBFBF"/>
              <w:right w:val="nil"/>
            </w:tcBorders>
            <w:shd w:val="clear" w:color="000000" w:fill="FFFFFF"/>
            <w:noWrap/>
            <w:vAlign w:val="bottom"/>
            <w:hideMark/>
          </w:tcPr>
          <w:p w14:paraId="1B64275F"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4</w:t>
            </w:r>
          </w:p>
        </w:tc>
        <w:tc>
          <w:tcPr>
            <w:tcW w:w="1417" w:type="dxa"/>
            <w:tcBorders>
              <w:top w:val="nil"/>
              <w:left w:val="nil"/>
              <w:bottom w:val="single" w:sz="4" w:space="0" w:color="BFBFBF"/>
              <w:right w:val="nil"/>
            </w:tcBorders>
            <w:shd w:val="clear" w:color="auto" w:fill="CCECFF"/>
            <w:noWrap/>
            <w:vAlign w:val="bottom"/>
            <w:hideMark/>
          </w:tcPr>
          <w:p w14:paraId="6C472806"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(101)</w:t>
            </w:r>
          </w:p>
        </w:tc>
        <w:tc>
          <w:tcPr>
            <w:tcW w:w="1560" w:type="dxa"/>
            <w:tcBorders>
              <w:top w:val="nil"/>
              <w:left w:val="nil"/>
              <w:bottom w:val="single" w:sz="4" w:space="0" w:color="BFBFBF"/>
              <w:right w:val="nil"/>
            </w:tcBorders>
            <w:shd w:val="clear" w:color="auto" w:fill="auto"/>
            <w:noWrap/>
            <w:vAlign w:val="bottom"/>
            <w:hideMark/>
          </w:tcPr>
          <w:p w14:paraId="00D75715"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(106)</w:t>
            </w:r>
          </w:p>
        </w:tc>
        <w:tc>
          <w:tcPr>
            <w:tcW w:w="1559" w:type="dxa"/>
            <w:tcBorders>
              <w:top w:val="nil"/>
              <w:left w:val="nil"/>
              <w:bottom w:val="single" w:sz="4" w:space="0" w:color="BFBFBF"/>
              <w:right w:val="nil"/>
            </w:tcBorders>
            <w:shd w:val="clear" w:color="000000" w:fill="FFFFFF"/>
            <w:noWrap/>
            <w:vAlign w:val="bottom"/>
            <w:hideMark/>
          </w:tcPr>
          <w:p w14:paraId="60347F7E"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(203)</w:t>
            </w:r>
          </w:p>
        </w:tc>
        <w:tc>
          <w:tcPr>
            <w:tcW w:w="236" w:type="dxa"/>
            <w:vAlign w:val="center"/>
            <w:hideMark/>
          </w:tcPr>
          <w:p w14:paraId="590BEDD3"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6A5A4463" w14:textId="77777777" w:rsidTr="00431EB9">
        <w:trPr>
          <w:trHeight w:val="300"/>
        </w:trPr>
        <w:tc>
          <w:tcPr>
            <w:tcW w:w="1600" w:type="dxa"/>
            <w:tcBorders>
              <w:top w:val="nil"/>
              <w:left w:val="nil"/>
              <w:bottom w:val="single" w:sz="4" w:space="0" w:color="BFBFBF"/>
              <w:right w:val="nil"/>
            </w:tcBorders>
            <w:shd w:val="clear" w:color="000000" w:fill="FFFFFF"/>
            <w:noWrap/>
            <w:vAlign w:val="bottom"/>
            <w:hideMark/>
          </w:tcPr>
          <w:p w14:paraId="1F31032A" w14:textId="77777777" w:rsidR="0024227B" w:rsidRPr="0024227B" w:rsidRDefault="0024227B" w:rsidP="0024227B">
            <w:pPr>
              <w:spacing w:after="0" w:line="240" w:lineRule="auto"/>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Profit before tax</w:t>
            </w:r>
          </w:p>
        </w:tc>
        <w:tc>
          <w:tcPr>
            <w:tcW w:w="920" w:type="dxa"/>
            <w:tcBorders>
              <w:top w:val="nil"/>
              <w:left w:val="nil"/>
              <w:bottom w:val="single" w:sz="4" w:space="0" w:color="BFBFBF"/>
              <w:right w:val="nil"/>
            </w:tcBorders>
            <w:shd w:val="clear" w:color="000000" w:fill="FFFFFF"/>
            <w:noWrap/>
            <w:vAlign w:val="bottom"/>
            <w:hideMark/>
          </w:tcPr>
          <w:p w14:paraId="36531F1A"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400" w:type="dxa"/>
            <w:tcBorders>
              <w:top w:val="nil"/>
              <w:left w:val="nil"/>
              <w:bottom w:val="single" w:sz="4" w:space="0" w:color="BFBFBF"/>
              <w:right w:val="nil"/>
            </w:tcBorders>
            <w:shd w:val="clear" w:color="000000" w:fill="FFFFFF"/>
            <w:noWrap/>
            <w:vAlign w:val="bottom"/>
            <w:hideMark/>
          </w:tcPr>
          <w:p w14:paraId="2DDCEECE"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single" w:sz="4" w:space="0" w:color="BFBFBF"/>
              <w:right w:val="nil"/>
            </w:tcBorders>
            <w:shd w:val="clear" w:color="000000" w:fill="FFFFFF"/>
            <w:noWrap/>
            <w:vAlign w:val="bottom"/>
            <w:hideMark/>
          </w:tcPr>
          <w:p w14:paraId="0FC21DD2" w14:textId="77777777" w:rsidR="0024227B" w:rsidRPr="0024227B" w:rsidRDefault="0024227B" w:rsidP="0024227B">
            <w:pPr>
              <w:spacing w:after="0" w:line="240" w:lineRule="auto"/>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574" w:type="dxa"/>
            <w:tcBorders>
              <w:top w:val="nil"/>
              <w:left w:val="nil"/>
              <w:bottom w:val="single" w:sz="4" w:space="0" w:color="BFBFBF"/>
              <w:right w:val="nil"/>
            </w:tcBorders>
            <w:shd w:val="clear" w:color="000000" w:fill="FFFFFF"/>
            <w:noWrap/>
            <w:vAlign w:val="bottom"/>
            <w:hideMark/>
          </w:tcPr>
          <w:p w14:paraId="24FEB19F"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17" w:type="dxa"/>
            <w:tcBorders>
              <w:top w:val="nil"/>
              <w:left w:val="nil"/>
              <w:bottom w:val="single" w:sz="4" w:space="0" w:color="BFBFBF"/>
              <w:right w:val="nil"/>
            </w:tcBorders>
            <w:shd w:val="clear" w:color="auto" w:fill="CCECFF"/>
            <w:noWrap/>
            <w:vAlign w:val="bottom"/>
            <w:hideMark/>
          </w:tcPr>
          <w:p w14:paraId="59F0DA4E"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 xml:space="preserve">7 </w:t>
            </w:r>
          </w:p>
        </w:tc>
        <w:tc>
          <w:tcPr>
            <w:tcW w:w="1560" w:type="dxa"/>
            <w:tcBorders>
              <w:top w:val="nil"/>
              <w:left w:val="nil"/>
              <w:bottom w:val="single" w:sz="4" w:space="0" w:color="BFBFBF"/>
              <w:right w:val="nil"/>
            </w:tcBorders>
            <w:shd w:val="clear" w:color="000000" w:fill="FFFFFF"/>
            <w:noWrap/>
            <w:vAlign w:val="bottom"/>
            <w:hideMark/>
          </w:tcPr>
          <w:p w14:paraId="07F3CF5C"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44 </w:t>
            </w:r>
          </w:p>
        </w:tc>
        <w:tc>
          <w:tcPr>
            <w:tcW w:w="1559" w:type="dxa"/>
            <w:tcBorders>
              <w:top w:val="nil"/>
              <w:left w:val="nil"/>
              <w:bottom w:val="single" w:sz="4" w:space="0" w:color="BFBFBF"/>
              <w:right w:val="nil"/>
            </w:tcBorders>
            <w:shd w:val="clear" w:color="000000" w:fill="FFFFFF"/>
            <w:noWrap/>
            <w:vAlign w:val="bottom"/>
            <w:hideMark/>
          </w:tcPr>
          <w:p w14:paraId="2F66BAEA"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57 </w:t>
            </w:r>
          </w:p>
        </w:tc>
        <w:tc>
          <w:tcPr>
            <w:tcW w:w="236" w:type="dxa"/>
            <w:vAlign w:val="center"/>
            <w:hideMark/>
          </w:tcPr>
          <w:p w14:paraId="131D6938"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506870BE" w14:textId="77777777" w:rsidTr="00431EB9">
        <w:trPr>
          <w:trHeight w:val="300"/>
        </w:trPr>
        <w:tc>
          <w:tcPr>
            <w:tcW w:w="1600" w:type="dxa"/>
            <w:tcBorders>
              <w:top w:val="nil"/>
              <w:left w:val="nil"/>
              <w:bottom w:val="nil"/>
              <w:right w:val="nil"/>
            </w:tcBorders>
            <w:shd w:val="clear" w:color="000000" w:fill="FFFFFF"/>
            <w:noWrap/>
            <w:vAlign w:val="bottom"/>
            <w:hideMark/>
          </w:tcPr>
          <w:p w14:paraId="23FE68E7"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Taxation</w:t>
            </w:r>
          </w:p>
        </w:tc>
        <w:tc>
          <w:tcPr>
            <w:tcW w:w="920" w:type="dxa"/>
            <w:tcBorders>
              <w:top w:val="nil"/>
              <w:left w:val="nil"/>
              <w:bottom w:val="nil"/>
              <w:right w:val="nil"/>
            </w:tcBorders>
            <w:shd w:val="clear" w:color="000000" w:fill="FFFFFF"/>
            <w:noWrap/>
            <w:vAlign w:val="bottom"/>
            <w:hideMark/>
          </w:tcPr>
          <w:p w14:paraId="720B1EB6"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400" w:type="dxa"/>
            <w:tcBorders>
              <w:top w:val="nil"/>
              <w:left w:val="nil"/>
              <w:bottom w:val="nil"/>
              <w:right w:val="nil"/>
            </w:tcBorders>
            <w:shd w:val="clear" w:color="000000" w:fill="FFFFFF"/>
            <w:noWrap/>
            <w:vAlign w:val="bottom"/>
            <w:hideMark/>
          </w:tcPr>
          <w:p w14:paraId="2FA6202F"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nil"/>
              <w:right w:val="nil"/>
            </w:tcBorders>
            <w:shd w:val="clear" w:color="000000" w:fill="FFFFFF"/>
            <w:noWrap/>
            <w:vAlign w:val="bottom"/>
            <w:hideMark/>
          </w:tcPr>
          <w:p w14:paraId="132D6C7D" w14:textId="77777777" w:rsidR="0024227B" w:rsidRPr="0024227B" w:rsidRDefault="0024227B" w:rsidP="0024227B">
            <w:pPr>
              <w:spacing w:after="0" w:line="240" w:lineRule="auto"/>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574" w:type="dxa"/>
            <w:tcBorders>
              <w:top w:val="nil"/>
              <w:left w:val="nil"/>
              <w:bottom w:val="nil"/>
              <w:right w:val="nil"/>
            </w:tcBorders>
            <w:shd w:val="clear" w:color="000000" w:fill="FFFFFF"/>
            <w:noWrap/>
            <w:vAlign w:val="bottom"/>
            <w:hideMark/>
          </w:tcPr>
          <w:p w14:paraId="50A7C0D7"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5</w:t>
            </w:r>
          </w:p>
        </w:tc>
        <w:tc>
          <w:tcPr>
            <w:tcW w:w="1417" w:type="dxa"/>
            <w:tcBorders>
              <w:top w:val="nil"/>
              <w:left w:val="nil"/>
              <w:bottom w:val="nil"/>
              <w:right w:val="nil"/>
            </w:tcBorders>
            <w:shd w:val="clear" w:color="auto" w:fill="CCECFF"/>
            <w:noWrap/>
            <w:vAlign w:val="bottom"/>
            <w:hideMark/>
          </w:tcPr>
          <w:p w14:paraId="4E9DD23E"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(19)</w:t>
            </w:r>
          </w:p>
        </w:tc>
        <w:tc>
          <w:tcPr>
            <w:tcW w:w="1560" w:type="dxa"/>
            <w:tcBorders>
              <w:top w:val="nil"/>
              <w:left w:val="nil"/>
              <w:bottom w:val="nil"/>
              <w:right w:val="nil"/>
            </w:tcBorders>
            <w:shd w:val="clear" w:color="000000" w:fill="FFFFFF"/>
            <w:noWrap/>
            <w:vAlign w:val="bottom"/>
            <w:hideMark/>
          </w:tcPr>
          <w:p w14:paraId="17978212"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(7)</w:t>
            </w:r>
          </w:p>
        </w:tc>
        <w:tc>
          <w:tcPr>
            <w:tcW w:w="1559" w:type="dxa"/>
            <w:tcBorders>
              <w:top w:val="nil"/>
              <w:left w:val="nil"/>
              <w:bottom w:val="nil"/>
              <w:right w:val="nil"/>
            </w:tcBorders>
            <w:shd w:val="clear" w:color="000000" w:fill="FFFFFF"/>
            <w:noWrap/>
            <w:vAlign w:val="bottom"/>
            <w:hideMark/>
          </w:tcPr>
          <w:p w14:paraId="2A65B572"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(25)</w:t>
            </w:r>
          </w:p>
        </w:tc>
        <w:tc>
          <w:tcPr>
            <w:tcW w:w="236" w:type="dxa"/>
            <w:vAlign w:val="center"/>
            <w:hideMark/>
          </w:tcPr>
          <w:p w14:paraId="1AEEA624"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0F7A469A" w14:textId="77777777" w:rsidTr="00431EB9">
        <w:trPr>
          <w:trHeight w:val="300"/>
        </w:trPr>
        <w:tc>
          <w:tcPr>
            <w:tcW w:w="4380" w:type="dxa"/>
            <w:gridSpan w:val="4"/>
            <w:tcBorders>
              <w:top w:val="single" w:sz="4" w:space="0" w:color="BFBFBF"/>
              <w:left w:val="nil"/>
              <w:bottom w:val="single" w:sz="4" w:space="0" w:color="BFBFBF"/>
              <w:right w:val="nil"/>
            </w:tcBorders>
            <w:shd w:val="clear" w:color="000000" w:fill="FFFFFF"/>
            <w:noWrap/>
            <w:vAlign w:val="bottom"/>
            <w:hideMark/>
          </w:tcPr>
          <w:p w14:paraId="51BA15AB" w14:textId="77777777" w:rsidR="0024227B" w:rsidRPr="0024227B" w:rsidRDefault="0024227B" w:rsidP="0024227B">
            <w:pPr>
              <w:spacing w:after="0" w:line="240" w:lineRule="auto"/>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(Loss) / profit from continuing operations</w:t>
            </w:r>
          </w:p>
        </w:tc>
        <w:tc>
          <w:tcPr>
            <w:tcW w:w="1574" w:type="dxa"/>
            <w:tcBorders>
              <w:top w:val="single" w:sz="4" w:space="0" w:color="BFBFBF"/>
              <w:left w:val="nil"/>
              <w:bottom w:val="single" w:sz="4" w:space="0" w:color="BFBFBF"/>
              <w:right w:val="nil"/>
            </w:tcBorders>
            <w:shd w:val="clear" w:color="000000" w:fill="FFFFFF"/>
            <w:noWrap/>
            <w:vAlign w:val="bottom"/>
            <w:hideMark/>
          </w:tcPr>
          <w:p w14:paraId="6ADE297E"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17" w:type="dxa"/>
            <w:tcBorders>
              <w:top w:val="single" w:sz="4" w:space="0" w:color="BFBFBF"/>
              <w:left w:val="nil"/>
              <w:bottom w:val="single" w:sz="4" w:space="0" w:color="BFBFBF"/>
              <w:right w:val="nil"/>
            </w:tcBorders>
            <w:shd w:val="clear" w:color="auto" w:fill="CCECFF"/>
            <w:noWrap/>
            <w:vAlign w:val="bottom"/>
            <w:hideMark/>
          </w:tcPr>
          <w:p w14:paraId="67EAC7F3"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(12)</w:t>
            </w:r>
          </w:p>
        </w:tc>
        <w:tc>
          <w:tcPr>
            <w:tcW w:w="1560" w:type="dxa"/>
            <w:tcBorders>
              <w:top w:val="single" w:sz="4" w:space="0" w:color="BFBFBF"/>
              <w:left w:val="nil"/>
              <w:bottom w:val="single" w:sz="4" w:space="0" w:color="BFBFBF"/>
              <w:right w:val="nil"/>
            </w:tcBorders>
            <w:shd w:val="clear" w:color="000000" w:fill="FFFFFF"/>
            <w:noWrap/>
            <w:vAlign w:val="bottom"/>
            <w:hideMark/>
          </w:tcPr>
          <w:p w14:paraId="350594D0"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37 </w:t>
            </w:r>
          </w:p>
        </w:tc>
        <w:tc>
          <w:tcPr>
            <w:tcW w:w="1559" w:type="dxa"/>
            <w:tcBorders>
              <w:top w:val="single" w:sz="4" w:space="0" w:color="BFBFBF"/>
              <w:left w:val="nil"/>
              <w:bottom w:val="single" w:sz="4" w:space="0" w:color="BFBFBF"/>
              <w:right w:val="nil"/>
            </w:tcBorders>
            <w:shd w:val="clear" w:color="000000" w:fill="FFFFFF"/>
            <w:noWrap/>
            <w:vAlign w:val="bottom"/>
            <w:hideMark/>
          </w:tcPr>
          <w:p w14:paraId="322AB9BE"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32 </w:t>
            </w:r>
          </w:p>
        </w:tc>
        <w:tc>
          <w:tcPr>
            <w:tcW w:w="236" w:type="dxa"/>
            <w:vAlign w:val="center"/>
            <w:hideMark/>
          </w:tcPr>
          <w:p w14:paraId="2C24811F"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293696C4" w14:textId="77777777" w:rsidTr="00431EB9">
        <w:trPr>
          <w:trHeight w:val="402"/>
        </w:trPr>
        <w:tc>
          <w:tcPr>
            <w:tcW w:w="1600" w:type="dxa"/>
            <w:tcBorders>
              <w:top w:val="nil"/>
              <w:left w:val="nil"/>
              <w:bottom w:val="nil"/>
              <w:right w:val="nil"/>
            </w:tcBorders>
            <w:shd w:val="clear" w:color="000000" w:fill="FFFFFF"/>
            <w:noWrap/>
            <w:vAlign w:val="bottom"/>
            <w:hideMark/>
          </w:tcPr>
          <w:p w14:paraId="60F3283B"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920" w:type="dxa"/>
            <w:tcBorders>
              <w:top w:val="nil"/>
              <w:left w:val="nil"/>
              <w:bottom w:val="nil"/>
              <w:right w:val="nil"/>
            </w:tcBorders>
            <w:shd w:val="clear" w:color="000000" w:fill="FFFFFF"/>
            <w:noWrap/>
            <w:vAlign w:val="bottom"/>
            <w:hideMark/>
          </w:tcPr>
          <w:p w14:paraId="6B5B58AA"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400" w:type="dxa"/>
            <w:tcBorders>
              <w:top w:val="nil"/>
              <w:left w:val="nil"/>
              <w:bottom w:val="nil"/>
              <w:right w:val="nil"/>
            </w:tcBorders>
            <w:shd w:val="clear" w:color="000000" w:fill="FFFFFF"/>
            <w:noWrap/>
            <w:vAlign w:val="bottom"/>
            <w:hideMark/>
          </w:tcPr>
          <w:p w14:paraId="2A656DEA"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nil"/>
              <w:right w:val="nil"/>
            </w:tcBorders>
            <w:shd w:val="clear" w:color="000000" w:fill="FFFFFF"/>
            <w:noWrap/>
            <w:vAlign w:val="bottom"/>
            <w:hideMark/>
          </w:tcPr>
          <w:p w14:paraId="1036831A"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74" w:type="dxa"/>
            <w:tcBorders>
              <w:top w:val="nil"/>
              <w:left w:val="nil"/>
              <w:bottom w:val="nil"/>
              <w:right w:val="nil"/>
            </w:tcBorders>
            <w:shd w:val="clear" w:color="000000" w:fill="FFFFFF"/>
            <w:noWrap/>
            <w:vAlign w:val="bottom"/>
            <w:hideMark/>
          </w:tcPr>
          <w:p w14:paraId="16502ECD"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17" w:type="dxa"/>
            <w:tcBorders>
              <w:top w:val="nil"/>
              <w:left w:val="nil"/>
              <w:bottom w:val="nil"/>
              <w:right w:val="nil"/>
            </w:tcBorders>
            <w:shd w:val="clear" w:color="000000" w:fill="FFFFFF"/>
            <w:noWrap/>
            <w:vAlign w:val="bottom"/>
            <w:hideMark/>
          </w:tcPr>
          <w:p w14:paraId="1D202459" w14:textId="77777777" w:rsidR="0024227B" w:rsidRPr="0024227B" w:rsidRDefault="0024227B" w:rsidP="0024227B">
            <w:pPr>
              <w:spacing w:after="0" w:line="240" w:lineRule="auto"/>
              <w:jc w:val="right"/>
              <w:rPr>
                <w:rFonts w:ascii="Arial" w:eastAsia="Times New Roman" w:hAnsi="Arial" w:cs="Arial"/>
                <w:b/>
                <w:bCs/>
                <w:color w:val="FFFFCC"/>
                <w:sz w:val="15"/>
                <w:szCs w:val="15"/>
                <w:lang w:eastAsia="en-GB"/>
              </w:rPr>
            </w:pPr>
            <w:r w:rsidRPr="0024227B">
              <w:rPr>
                <w:rFonts w:ascii="Arial" w:eastAsia="Times New Roman" w:hAnsi="Arial" w:cs="Arial"/>
                <w:b/>
                <w:bCs/>
                <w:color w:val="FFFFCC"/>
                <w:sz w:val="15"/>
                <w:szCs w:val="15"/>
                <w:lang w:eastAsia="en-GB"/>
              </w:rPr>
              <w:t> </w:t>
            </w:r>
          </w:p>
        </w:tc>
        <w:tc>
          <w:tcPr>
            <w:tcW w:w="1560" w:type="dxa"/>
            <w:tcBorders>
              <w:top w:val="nil"/>
              <w:left w:val="nil"/>
              <w:bottom w:val="nil"/>
              <w:right w:val="nil"/>
            </w:tcBorders>
            <w:shd w:val="clear" w:color="000000" w:fill="FFFFFF"/>
            <w:noWrap/>
            <w:vAlign w:val="bottom"/>
            <w:hideMark/>
          </w:tcPr>
          <w:p w14:paraId="751F34CF"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59" w:type="dxa"/>
            <w:tcBorders>
              <w:top w:val="nil"/>
              <w:left w:val="nil"/>
              <w:bottom w:val="nil"/>
              <w:right w:val="nil"/>
            </w:tcBorders>
            <w:shd w:val="clear" w:color="000000" w:fill="FFFFFF"/>
            <w:noWrap/>
            <w:vAlign w:val="bottom"/>
            <w:hideMark/>
          </w:tcPr>
          <w:p w14:paraId="4939D82B"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236" w:type="dxa"/>
            <w:vAlign w:val="center"/>
            <w:hideMark/>
          </w:tcPr>
          <w:p w14:paraId="4B26C3E9"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2AE3620E" w14:textId="77777777" w:rsidTr="00431EB9">
        <w:trPr>
          <w:trHeight w:val="402"/>
        </w:trPr>
        <w:tc>
          <w:tcPr>
            <w:tcW w:w="2520" w:type="dxa"/>
            <w:gridSpan w:val="2"/>
            <w:tcBorders>
              <w:top w:val="nil"/>
              <w:left w:val="nil"/>
              <w:bottom w:val="single" w:sz="4" w:space="0" w:color="BFBFBF"/>
              <w:right w:val="nil"/>
            </w:tcBorders>
            <w:shd w:val="clear" w:color="000000" w:fill="FFFFFF"/>
            <w:noWrap/>
            <w:vAlign w:val="center"/>
            <w:hideMark/>
          </w:tcPr>
          <w:p w14:paraId="2E429DDE" w14:textId="77777777" w:rsidR="0024227B" w:rsidRPr="0024227B" w:rsidRDefault="0024227B" w:rsidP="0024227B">
            <w:pPr>
              <w:spacing w:after="0" w:line="240" w:lineRule="auto"/>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Discontinued Operation</w:t>
            </w:r>
          </w:p>
        </w:tc>
        <w:tc>
          <w:tcPr>
            <w:tcW w:w="400" w:type="dxa"/>
            <w:tcBorders>
              <w:top w:val="nil"/>
              <w:left w:val="nil"/>
              <w:bottom w:val="single" w:sz="4" w:space="0" w:color="BFBFBF"/>
              <w:right w:val="nil"/>
            </w:tcBorders>
            <w:shd w:val="clear" w:color="000000" w:fill="FFFFFF"/>
            <w:noWrap/>
            <w:vAlign w:val="bottom"/>
            <w:hideMark/>
          </w:tcPr>
          <w:p w14:paraId="4CAF1E1F"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single" w:sz="4" w:space="0" w:color="BFBFBF"/>
              <w:right w:val="nil"/>
            </w:tcBorders>
            <w:shd w:val="clear" w:color="000000" w:fill="FFFFFF"/>
            <w:noWrap/>
            <w:vAlign w:val="bottom"/>
            <w:hideMark/>
          </w:tcPr>
          <w:p w14:paraId="7523683F"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74" w:type="dxa"/>
            <w:tcBorders>
              <w:top w:val="nil"/>
              <w:left w:val="nil"/>
              <w:bottom w:val="single" w:sz="4" w:space="0" w:color="BFBFBF"/>
              <w:right w:val="nil"/>
            </w:tcBorders>
            <w:shd w:val="clear" w:color="000000" w:fill="FFFFFF"/>
            <w:noWrap/>
            <w:vAlign w:val="bottom"/>
            <w:hideMark/>
          </w:tcPr>
          <w:p w14:paraId="6A6322AF"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17" w:type="dxa"/>
            <w:tcBorders>
              <w:top w:val="nil"/>
              <w:left w:val="nil"/>
              <w:bottom w:val="single" w:sz="4" w:space="0" w:color="BFBFBF"/>
              <w:right w:val="nil"/>
            </w:tcBorders>
            <w:shd w:val="clear" w:color="000000" w:fill="FFFFFF"/>
            <w:noWrap/>
            <w:vAlign w:val="bottom"/>
            <w:hideMark/>
          </w:tcPr>
          <w:p w14:paraId="78367FB1" w14:textId="77777777" w:rsidR="0024227B" w:rsidRPr="0024227B" w:rsidRDefault="0024227B" w:rsidP="0024227B">
            <w:pPr>
              <w:spacing w:after="0" w:line="240" w:lineRule="auto"/>
              <w:jc w:val="right"/>
              <w:rPr>
                <w:rFonts w:ascii="Arial" w:eastAsia="Times New Roman" w:hAnsi="Arial" w:cs="Arial"/>
                <w:b/>
                <w:bCs/>
                <w:color w:val="FFFFCC"/>
                <w:sz w:val="15"/>
                <w:szCs w:val="15"/>
                <w:lang w:eastAsia="en-GB"/>
              </w:rPr>
            </w:pPr>
            <w:r w:rsidRPr="0024227B">
              <w:rPr>
                <w:rFonts w:ascii="Arial" w:eastAsia="Times New Roman" w:hAnsi="Arial" w:cs="Arial"/>
                <w:b/>
                <w:bCs/>
                <w:color w:val="FFFFCC"/>
                <w:sz w:val="15"/>
                <w:szCs w:val="15"/>
                <w:lang w:eastAsia="en-GB"/>
              </w:rPr>
              <w:t> </w:t>
            </w:r>
          </w:p>
        </w:tc>
        <w:tc>
          <w:tcPr>
            <w:tcW w:w="1560" w:type="dxa"/>
            <w:tcBorders>
              <w:top w:val="nil"/>
              <w:left w:val="nil"/>
              <w:bottom w:val="single" w:sz="4" w:space="0" w:color="BFBFBF"/>
              <w:right w:val="nil"/>
            </w:tcBorders>
            <w:shd w:val="clear" w:color="000000" w:fill="FFFFFF"/>
            <w:noWrap/>
            <w:vAlign w:val="bottom"/>
            <w:hideMark/>
          </w:tcPr>
          <w:p w14:paraId="5DCDAD9F"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59" w:type="dxa"/>
            <w:tcBorders>
              <w:top w:val="nil"/>
              <w:left w:val="nil"/>
              <w:bottom w:val="single" w:sz="4" w:space="0" w:color="BFBFBF"/>
              <w:right w:val="nil"/>
            </w:tcBorders>
            <w:shd w:val="clear" w:color="000000" w:fill="FFFFFF"/>
            <w:noWrap/>
            <w:vAlign w:val="bottom"/>
            <w:hideMark/>
          </w:tcPr>
          <w:p w14:paraId="368AA493"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236" w:type="dxa"/>
            <w:vAlign w:val="center"/>
            <w:hideMark/>
          </w:tcPr>
          <w:p w14:paraId="7FD85FE2"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184FBC31" w14:textId="77777777" w:rsidTr="00431EB9">
        <w:trPr>
          <w:trHeight w:val="300"/>
        </w:trPr>
        <w:tc>
          <w:tcPr>
            <w:tcW w:w="4380" w:type="dxa"/>
            <w:gridSpan w:val="4"/>
            <w:tcBorders>
              <w:top w:val="single" w:sz="4" w:space="0" w:color="BFBFBF"/>
              <w:left w:val="nil"/>
              <w:bottom w:val="single" w:sz="4" w:space="0" w:color="BFBFBF"/>
              <w:right w:val="nil"/>
            </w:tcBorders>
            <w:shd w:val="clear" w:color="000000" w:fill="FFFFFF"/>
            <w:noWrap/>
            <w:vAlign w:val="bottom"/>
            <w:hideMark/>
          </w:tcPr>
          <w:p w14:paraId="70357DC9"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Profit on discontinued operation (net of tax)</w:t>
            </w:r>
          </w:p>
        </w:tc>
        <w:tc>
          <w:tcPr>
            <w:tcW w:w="1574" w:type="dxa"/>
            <w:tcBorders>
              <w:top w:val="nil"/>
              <w:left w:val="nil"/>
              <w:bottom w:val="nil"/>
              <w:right w:val="nil"/>
            </w:tcBorders>
            <w:shd w:val="clear" w:color="000000" w:fill="FFFFFF"/>
            <w:noWrap/>
            <w:vAlign w:val="bottom"/>
            <w:hideMark/>
          </w:tcPr>
          <w:p w14:paraId="4F278BE5"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6</w:t>
            </w:r>
          </w:p>
        </w:tc>
        <w:tc>
          <w:tcPr>
            <w:tcW w:w="1417" w:type="dxa"/>
            <w:tcBorders>
              <w:top w:val="nil"/>
              <w:left w:val="nil"/>
              <w:bottom w:val="single" w:sz="4" w:space="0" w:color="BFBFBF"/>
              <w:right w:val="nil"/>
            </w:tcBorders>
            <w:shd w:val="clear" w:color="auto" w:fill="CCECFF"/>
            <w:noWrap/>
            <w:vAlign w:val="bottom"/>
            <w:hideMark/>
          </w:tcPr>
          <w:p w14:paraId="3B2E9E0B"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 xml:space="preserve">60 </w:t>
            </w:r>
          </w:p>
        </w:tc>
        <w:tc>
          <w:tcPr>
            <w:tcW w:w="1560" w:type="dxa"/>
            <w:tcBorders>
              <w:top w:val="nil"/>
              <w:left w:val="nil"/>
              <w:bottom w:val="nil"/>
              <w:right w:val="nil"/>
            </w:tcBorders>
            <w:shd w:val="clear" w:color="000000" w:fill="FFFFFF"/>
            <w:noWrap/>
            <w:vAlign w:val="bottom"/>
            <w:hideMark/>
          </w:tcPr>
          <w:p w14:paraId="0671DB46"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10 </w:t>
            </w:r>
          </w:p>
        </w:tc>
        <w:tc>
          <w:tcPr>
            <w:tcW w:w="1559" w:type="dxa"/>
            <w:tcBorders>
              <w:top w:val="nil"/>
              <w:left w:val="nil"/>
              <w:bottom w:val="single" w:sz="4" w:space="0" w:color="BFBFBF"/>
              <w:right w:val="nil"/>
            </w:tcBorders>
            <w:shd w:val="clear" w:color="000000" w:fill="FFFFFF"/>
            <w:noWrap/>
            <w:vAlign w:val="bottom"/>
            <w:hideMark/>
          </w:tcPr>
          <w:p w14:paraId="58F5C6A6"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13 </w:t>
            </w:r>
          </w:p>
        </w:tc>
        <w:tc>
          <w:tcPr>
            <w:tcW w:w="236" w:type="dxa"/>
            <w:vAlign w:val="center"/>
            <w:hideMark/>
          </w:tcPr>
          <w:p w14:paraId="67D2AD50"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1AD7DF02" w14:textId="77777777" w:rsidTr="00431EB9">
        <w:trPr>
          <w:trHeight w:val="300"/>
        </w:trPr>
        <w:tc>
          <w:tcPr>
            <w:tcW w:w="5954" w:type="dxa"/>
            <w:gridSpan w:val="5"/>
            <w:tcBorders>
              <w:top w:val="single" w:sz="4" w:space="0" w:color="BFBFBF"/>
              <w:left w:val="nil"/>
              <w:bottom w:val="single" w:sz="4" w:space="0" w:color="BFBFBF"/>
              <w:right w:val="nil"/>
            </w:tcBorders>
            <w:shd w:val="clear" w:color="000000" w:fill="FFFFFF"/>
            <w:noWrap/>
            <w:vAlign w:val="bottom"/>
            <w:hideMark/>
          </w:tcPr>
          <w:p w14:paraId="45F36D61" w14:textId="77777777" w:rsidR="0024227B" w:rsidRPr="0024227B" w:rsidRDefault="0024227B" w:rsidP="0024227B">
            <w:pPr>
              <w:spacing w:after="0" w:line="240" w:lineRule="auto"/>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Profit for the period (all attributable to members of the Society)</w:t>
            </w:r>
          </w:p>
        </w:tc>
        <w:tc>
          <w:tcPr>
            <w:tcW w:w="1417" w:type="dxa"/>
            <w:tcBorders>
              <w:top w:val="nil"/>
              <w:left w:val="nil"/>
              <w:bottom w:val="single" w:sz="4" w:space="0" w:color="BFBFBF"/>
              <w:right w:val="nil"/>
            </w:tcBorders>
            <w:shd w:val="clear" w:color="auto" w:fill="CCECFF"/>
            <w:noWrap/>
            <w:vAlign w:val="bottom"/>
            <w:hideMark/>
          </w:tcPr>
          <w:p w14:paraId="26B80A51"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 xml:space="preserve">48 </w:t>
            </w:r>
          </w:p>
        </w:tc>
        <w:tc>
          <w:tcPr>
            <w:tcW w:w="1560" w:type="dxa"/>
            <w:tcBorders>
              <w:top w:val="single" w:sz="4" w:space="0" w:color="BFBFBF"/>
              <w:left w:val="nil"/>
              <w:bottom w:val="single" w:sz="4" w:space="0" w:color="BFBFBF"/>
              <w:right w:val="nil"/>
            </w:tcBorders>
            <w:shd w:val="clear" w:color="000000" w:fill="FFFFFF"/>
            <w:noWrap/>
            <w:vAlign w:val="bottom"/>
            <w:hideMark/>
          </w:tcPr>
          <w:p w14:paraId="7D70845D"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47 </w:t>
            </w:r>
          </w:p>
        </w:tc>
        <w:tc>
          <w:tcPr>
            <w:tcW w:w="1559" w:type="dxa"/>
            <w:tcBorders>
              <w:top w:val="nil"/>
              <w:left w:val="nil"/>
              <w:bottom w:val="single" w:sz="4" w:space="0" w:color="BFBFBF"/>
              <w:right w:val="nil"/>
            </w:tcBorders>
            <w:shd w:val="clear" w:color="000000" w:fill="FFFFFF"/>
            <w:noWrap/>
            <w:vAlign w:val="bottom"/>
            <w:hideMark/>
          </w:tcPr>
          <w:p w14:paraId="6092D3CD"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45 </w:t>
            </w:r>
          </w:p>
        </w:tc>
        <w:tc>
          <w:tcPr>
            <w:tcW w:w="236" w:type="dxa"/>
            <w:vAlign w:val="center"/>
            <w:hideMark/>
          </w:tcPr>
          <w:p w14:paraId="7BD44E97"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6F9B9235" w14:textId="77777777" w:rsidTr="00431EB9">
        <w:trPr>
          <w:trHeight w:val="255"/>
        </w:trPr>
        <w:tc>
          <w:tcPr>
            <w:tcW w:w="1600" w:type="dxa"/>
            <w:tcBorders>
              <w:top w:val="nil"/>
              <w:left w:val="nil"/>
              <w:bottom w:val="nil"/>
              <w:right w:val="nil"/>
            </w:tcBorders>
            <w:shd w:val="clear" w:color="000000" w:fill="FFFFFF"/>
            <w:noWrap/>
            <w:vAlign w:val="bottom"/>
            <w:hideMark/>
          </w:tcPr>
          <w:p w14:paraId="669315C8"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920" w:type="dxa"/>
            <w:tcBorders>
              <w:top w:val="nil"/>
              <w:left w:val="nil"/>
              <w:bottom w:val="nil"/>
              <w:right w:val="nil"/>
            </w:tcBorders>
            <w:shd w:val="clear" w:color="000000" w:fill="FFFFFF"/>
            <w:noWrap/>
            <w:vAlign w:val="bottom"/>
            <w:hideMark/>
          </w:tcPr>
          <w:p w14:paraId="33B7937E"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400" w:type="dxa"/>
            <w:tcBorders>
              <w:top w:val="nil"/>
              <w:left w:val="nil"/>
              <w:bottom w:val="nil"/>
              <w:right w:val="nil"/>
            </w:tcBorders>
            <w:shd w:val="clear" w:color="000000" w:fill="FFFFFF"/>
            <w:noWrap/>
            <w:vAlign w:val="bottom"/>
            <w:hideMark/>
          </w:tcPr>
          <w:p w14:paraId="24A20997"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nil"/>
              <w:right w:val="nil"/>
            </w:tcBorders>
            <w:shd w:val="clear" w:color="000000" w:fill="FFFFFF"/>
            <w:noWrap/>
            <w:vAlign w:val="bottom"/>
            <w:hideMark/>
          </w:tcPr>
          <w:p w14:paraId="77569DE6"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74" w:type="dxa"/>
            <w:tcBorders>
              <w:top w:val="nil"/>
              <w:left w:val="nil"/>
              <w:bottom w:val="nil"/>
              <w:right w:val="nil"/>
            </w:tcBorders>
            <w:shd w:val="clear" w:color="000000" w:fill="FFFFFF"/>
            <w:noWrap/>
            <w:vAlign w:val="bottom"/>
            <w:hideMark/>
          </w:tcPr>
          <w:p w14:paraId="50F47BA9"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17" w:type="dxa"/>
            <w:tcBorders>
              <w:top w:val="nil"/>
              <w:left w:val="nil"/>
              <w:bottom w:val="nil"/>
              <w:right w:val="nil"/>
            </w:tcBorders>
            <w:shd w:val="clear" w:color="000000" w:fill="FFFFFF"/>
            <w:noWrap/>
            <w:vAlign w:val="bottom"/>
            <w:hideMark/>
          </w:tcPr>
          <w:p w14:paraId="4E38ED04"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 </w:t>
            </w:r>
          </w:p>
        </w:tc>
        <w:tc>
          <w:tcPr>
            <w:tcW w:w="1560" w:type="dxa"/>
            <w:tcBorders>
              <w:top w:val="nil"/>
              <w:left w:val="nil"/>
              <w:bottom w:val="nil"/>
              <w:right w:val="nil"/>
            </w:tcBorders>
            <w:shd w:val="clear" w:color="000000" w:fill="FFFFFF"/>
            <w:noWrap/>
            <w:vAlign w:val="bottom"/>
            <w:hideMark/>
          </w:tcPr>
          <w:p w14:paraId="78E99E7F"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59" w:type="dxa"/>
            <w:tcBorders>
              <w:top w:val="nil"/>
              <w:left w:val="nil"/>
              <w:bottom w:val="nil"/>
              <w:right w:val="nil"/>
            </w:tcBorders>
            <w:shd w:val="clear" w:color="000000" w:fill="FFFFFF"/>
            <w:noWrap/>
            <w:vAlign w:val="bottom"/>
            <w:hideMark/>
          </w:tcPr>
          <w:p w14:paraId="35726B7E"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236" w:type="dxa"/>
            <w:vAlign w:val="center"/>
            <w:hideMark/>
          </w:tcPr>
          <w:p w14:paraId="01929645"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39FD8995" w14:textId="77777777" w:rsidTr="00431EB9">
        <w:trPr>
          <w:trHeight w:val="128"/>
        </w:trPr>
        <w:tc>
          <w:tcPr>
            <w:tcW w:w="1600" w:type="dxa"/>
            <w:tcBorders>
              <w:top w:val="nil"/>
              <w:left w:val="nil"/>
              <w:bottom w:val="nil"/>
              <w:right w:val="nil"/>
            </w:tcBorders>
            <w:shd w:val="clear" w:color="000000" w:fill="FFFFFF"/>
            <w:noWrap/>
            <w:vAlign w:val="bottom"/>
            <w:hideMark/>
          </w:tcPr>
          <w:p w14:paraId="3E44DD7D" w14:textId="5E93DC4B" w:rsidR="0024227B" w:rsidRPr="0024227B" w:rsidRDefault="0024227B" w:rsidP="0024227B">
            <w:pPr>
              <w:spacing w:after="0" w:line="240" w:lineRule="auto"/>
              <w:rPr>
                <w:rFonts w:ascii="Arial" w:eastAsia="Times New Roman" w:hAnsi="Arial" w:cs="Arial"/>
                <w:sz w:val="15"/>
                <w:szCs w:val="15"/>
                <w:lang w:eastAsia="en-GB"/>
              </w:rPr>
            </w:pPr>
          </w:p>
        </w:tc>
        <w:tc>
          <w:tcPr>
            <w:tcW w:w="920" w:type="dxa"/>
            <w:tcBorders>
              <w:top w:val="nil"/>
              <w:left w:val="nil"/>
              <w:bottom w:val="nil"/>
              <w:right w:val="nil"/>
            </w:tcBorders>
            <w:shd w:val="clear" w:color="000000" w:fill="FFFFFF"/>
            <w:noWrap/>
            <w:vAlign w:val="bottom"/>
            <w:hideMark/>
          </w:tcPr>
          <w:p w14:paraId="72F1C884"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400" w:type="dxa"/>
            <w:tcBorders>
              <w:top w:val="nil"/>
              <w:left w:val="nil"/>
              <w:bottom w:val="nil"/>
              <w:right w:val="nil"/>
            </w:tcBorders>
            <w:shd w:val="clear" w:color="000000" w:fill="FFFFFF"/>
            <w:noWrap/>
            <w:vAlign w:val="bottom"/>
            <w:hideMark/>
          </w:tcPr>
          <w:p w14:paraId="40A6746D"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nil"/>
              <w:right w:val="nil"/>
            </w:tcBorders>
            <w:shd w:val="clear" w:color="000000" w:fill="FFFFFF"/>
            <w:noWrap/>
            <w:vAlign w:val="bottom"/>
            <w:hideMark/>
          </w:tcPr>
          <w:p w14:paraId="4CCD58D5"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74" w:type="dxa"/>
            <w:tcBorders>
              <w:top w:val="nil"/>
              <w:left w:val="nil"/>
              <w:bottom w:val="nil"/>
              <w:right w:val="nil"/>
            </w:tcBorders>
            <w:shd w:val="clear" w:color="000000" w:fill="FFFFFF"/>
            <w:noWrap/>
            <w:vAlign w:val="bottom"/>
            <w:hideMark/>
          </w:tcPr>
          <w:p w14:paraId="7CD5B80B"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17" w:type="dxa"/>
            <w:tcBorders>
              <w:top w:val="nil"/>
              <w:left w:val="nil"/>
              <w:bottom w:val="nil"/>
              <w:right w:val="nil"/>
            </w:tcBorders>
            <w:shd w:val="clear" w:color="000000" w:fill="FFFFFF"/>
            <w:noWrap/>
            <w:vAlign w:val="bottom"/>
            <w:hideMark/>
          </w:tcPr>
          <w:p w14:paraId="2E0287F1"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 </w:t>
            </w:r>
          </w:p>
        </w:tc>
        <w:tc>
          <w:tcPr>
            <w:tcW w:w="1560" w:type="dxa"/>
            <w:tcBorders>
              <w:top w:val="nil"/>
              <w:left w:val="nil"/>
              <w:bottom w:val="nil"/>
              <w:right w:val="nil"/>
            </w:tcBorders>
            <w:shd w:val="clear" w:color="000000" w:fill="FFFFFF"/>
            <w:noWrap/>
            <w:vAlign w:val="bottom"/>
            <w:hideMark/>
          </w:tcPr>
          <w:p w14:paraId="3225EB77"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59" w:type="dxa"/>
            <w:tcBorders>
              <w:top w:val="nil"/>
              <w:left w:val="nil"/>
              <w:bottom w:val="nil"/>
              <w:right w:val="nil"/>
            </w:tcBorders>
            <w:shd w:val="clear" w:color="000000" w:fill="FFFFFF"/>
            <w:noWrap/>
            <w:vAlign w:val="bottom"/>
            <w:hideMark/>
          </w:tcPr>
          <w:p w14:paraId="73C6EF92"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236" w:type="dxa"/>
            <w:vAlign w:val="center"/>
            <w:hideMark/>
          </w:tcPr>
          <w:p w14:paraId="31E1AED9"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6A351479" w14:textId="77777777" w:rsidTr="00431EB9">
        <w:trPr>
          <w:trHeight w:val="285"/>
        </w:trPr>
        <w:tc>
          <w:tcPr>
            <w:tcW w:w="1600" w:type="dxa"/>
            <w:tcBorders>
              <w:top w:val="nil"/>
              <w:left w:val="nil"/>
              <w:bottom w:val="nil"/>
              <w:right w:val="nil"/>
            </w:tcBorders>
            <w:shd w:val="clear" w:color="000000" w:fill="FFFFFF"/>
            <w:noWrap/>
            <w:vAlign w:val="bottom"/>
            <w:hideMark/>
          </w:tcPr>
          <w:p w14:paraId="4E93EF4C"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920" w:type="dxa"/>
            <w:tcBorders>
              <w:top w:val="nil"/>
              <w:left w:val="nil"/>
              <w:bottom w:val="nil"/>
              <w:right w:val="nil"/>
            </w:tcBorders>
            <w:shd w:val="clear" w:color="000000" w:fill="FFFFFF"/>
            <w:noWrap/>
            <w:vAlign w:val="bottom"/>
            <w:hideMark/>
          </w:tcPr>
          <w:p w14:paraId="1C500C1B"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400" w:type="dxa"/>
            <w:tcBorders>
              <w:top w:val="nil"/>
              <w:left w:val="nil"/>
              <w:bottom w:val="nil"/>
              <w:right w:val="nil"/>
            </w:tcBorders>
            <w:shd w:val="clear" w:color="000000" w:fill="FFFFFF"/>
            <w:noWrap/>
            <w:vAlign w:val="bottom"/>
            <w:hideMark/>
          </w:tcPr>
          <w:p w14:paraId="45ED24F3"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nil"/>
              <w:right w:val="nil"/>
            </w:tcBorders>
            <w:shd w:val="clear" w:color="000000" w:fill="FFFFFF"/>
            <w:noWrap/>
            <w:vAlign w:val="bottom"/>
            <w:hideMark/>
          </w:tcPr>
          <w:p w14:paraId="35AF6082"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74" w:type="dxa"/>
            <w:tcBorders>
              <w:top w:val="nil"/>
              <w:left w:val="nil"/>
              <w:bottom w:val="nil"/>
              <w:right w:val="nil"/>
            </w:tcBorders>
            <w:shd w:val="clear" w:color="000000" w:fill="FFFFFF"/>
            <w:noWrap/>
            <w:vAlign w:val="bottom"/>
            <w:hideMark/>
          </w:tcPr>
          <w:p w14:paraId="24163A16"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17" w:type="dxa"/>
            <w:tcBorders>
              <w:top w:val="nil"/>
              <w:left w:val="nil"/>
              <w:bottom w:val="nil"/>
              <w:right w:val="nil"/>
            </w:tcBorders>
            <w:shd w:val="clear" w:color="000000" w:fill="FFFFFF"/>
            <w:noWrap/>
            <w:vAlign w:val="bottom"/>
            <w:hideMark/>
          </w:tcPr>
          <w:p w14:paraId="03BF3630"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 </w:t>
            </w:r>
          </w:p>
        </w:tc>
        <w:tc>
          <w:tcPr>
            <w:tcW w:w="1560" w:type="dxa"/>
            <w:tcBorders>
              <w:top w:val="nil"/>
              <w:left w:val="nil"/>
              <w:bottom w:val="nil"/>
              <w:right w:val="nil"/>
            </w:tcBorders>
            <w:shd w:val="clear" w:color="000000" w:fill="FFFFFF"/>
            <w:noWrap/>
            <w:vAlign w:val="bottom"/>
            <w:hideMark/>
          </w:tcPr>
          <w:p w14:paraId="598E7AE5"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59" w:type="dxa"/>
            <w:tcBorders>
              <w:top w:val="nil"/>
              <w:left w:val="nil"/>
              <w:bottom w:val="nil"/>
              <w:right w:val="nil"/>
            </w:tcBorders>
            <w:shd w:val="clear" w:color="000000" w:fill="FFFFFF"/>
            <w:noWrap/>
            <w:vAlign w:val="bottom"/>
            <w:hideMark/>
          </w:tcPr>
          <w:p w14:paraId="4A0D8A84"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236" w:type="dxa"/>
            <w:vAlign w:val="center"/>
            <w:hideMark/>
          </w:tcPr>
          <w:p w14:paraId="0487D64E"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24227B" w:rsidRPr="0024227B" w14:paraId="731EBA10" w14:textId="77777777" w:rsidTr="00431EB9">
        <w:trPr>
          <w:trHeight w:val="450"/>
        </w:trPr>
        <w:tc>
          <w:tcPr>
            <w:tcW w:w="5954" w:type="dxa"/>
            <w:gridSpan w:val="5"/>
            <w:tcBorders>
              <w:top w:val="nil"/>
              <w:left w:val="nil"/>
              <w:bottom w:val="nil"/>
              <w:right w:val="nil"/>
            </w:tcBorders>
            <w:shd w:val="clear" w:color="000000" w:fill="FFFFFF"/>
            <w:noWrap/>
            <w:vAlign w:val="center"/>
            <w:hideMark/>
          </w:tcPr>
          <w:p w14:paraId="115F5142" w14:textId="77777777" w:rsidR="0024227B" w:rsidRPr="0024227B" w:rsidRDefault="0024227B" w:rsidP="0024227B">
            <w:pPr>
              <w:spacing w:after="0" w:line="240" w:lineRule="auto"/>
              <w:rPr>
                <w:rFonts w:ascii="Arial" w:eastAsia="Times New Roman" w:hAnsi="Arial" w:cs="Arial"/>
                <w:b/>
                <w:bCs/>
                <w:color w:val="00B0F0"/>
                <w:lang w:eastAsia="en-GB"/>
              </w:rPr>
            </w:pPr>
            <w:r w:rsidRPr="0024227B">
              <w:rPr>
                <w:rFonts w:ascii="Arial" w:eastAsia="Times New Roman" w:hAnsi="Arial" w:cs="Arial"/>
                <w:b/>
                <w:bCs/>
                <w:color w:val="00B0F0"/>
                <w:lang w:eastAsia="en-GB"/>
              </w:rPr>
              <w:t>Non-GAAP measure: underlying loss before tax*</w:t>
            </w:r>
          </w:p>
        </w:tc>
        <w:tc>
          <w:tcPr>
            <w:tcW w:w="1417" w:type="dxa"/>
            <w:tcBorders>
              <w:top w:val="nil"/>
              <w:left w:val="nil"/>
              <w:bottom w:val="nil"/>
              <w:right w:val="nil"/>
            </w:tcBorders>
            <w:shd w:val="clear" w:color="000000" w:fill="FFFFFF"/>
            <w:noWrap/>
            <w:vAlign w:val="bottom"/>
            <w:hideMark/>
          </w:tcPr>
          <w:p w14:paraId="10BD08A7" w14:textId="77777777" w:rsidR="0024227B" w:rsidRPr="0024227B" w:rsidRDefault="0024227B" w:rsidP="0024227B">
            <w:pPr>
              <w:spacing w:after="0" w:line="240" w:lineRule="auto"/>
              <w:jc w:val="right"/>
              <w:rPr>
                <w:rFonts w:ascii="Arial" w:eastAsia="Times New Roman" w:hAnsi="Arial" w:cs="Arial"/>
                <w:b/>
                <w:bCs/>
                <w:sz w:val="20"/>
                <w:szCs w:val="20"/>
                <w:lang w:eastAsia="en-GB"/>
              </w:rPr>
            </w:pPr>
            <w:r w:rsidRPr="0024227B">
              <w:rPr>
                <w:rFonts w:ascii="Arial" w:eastAsia="Times New Roman" w:hAnsi="Arial" w:cs="Arial"/>
                <w:b/>
                <w:bCs/>
                <w:sz w:val="20"/>
                <w:szCs w:val="20"/>
                <w:lang w:eastAsia="en-GB"/>
              </w:rPr>
              <w:t> </w:t>
            </w:r>
          </w:p>
        </w:tc>
        <w:tc>
          <w:tcPr>
            <w:tcW w:w="1560" w:type="dxa"/>
            <w:tcBorders>
              <w:top w:val="nil"/>
              <w:left w:val="nil"/>
              <w:bottom w:val="nil"/>
              <w:right w:val="nil"/>
            </w:tcBorders>
            <w:shd w:val="clear" w:color="000000" w:fill="FFFFFF"/>
            <w:noWrap/>
            <w:vAlign w:val="bottom"/>
            <w:hideMark/>
          </w:tcPr>
          <w:p w14:paraId="3F01A092"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559" w:type="dxa"/>
            <w:tcBorders>
              <w:top w:val="nil"/>
              <w:left w:val="nil"/>
              <w:bottom w:val="nil"/>
              <w:right w:val="nil"/>
            </w:tcBorders>
            <w:shd w:val="clear" w:color="000000" w:fill="FFFFFF"/>
            <w:noWrap/>
            <w:vAlign w:val="bottom"/>
            <w:hideMark/>
          </w:tcPr>
          <w:p w14:paraId="3C79D9D4"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236" w:type="dxa"/>
            <w:vAlign w:val="center"/>
            <w:hideMark/>
          </w:tcPr>
          <w:p w14:paraId="29A67D39"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24227B" w:rsidRPr="0024227B" w14:paraId="4744EA6E" w14:textId="77777777" w:rsidTr="00431EB9">
        <w:trPr>
          <w:trHeight w:val="360"/>
        </w:trPr>
        <w:tc>
          <w:tcPr>
            <w:tcW w:w="10490" w:type="dxa"/>
            <w:gridSpan w:val="8"/>
            <w:vMerge w:val="restart"/>
            <w:tcBorders>
              <w:top w:val="single" w:sz="4" w:space="0" w:color="D9D9D9"/>
              <w:left w:val="single" w:sz="4" w:space="0" w:color="D9D9D9"/>
              <w:bottom w:val="single" w:sz="4" w:space="0" w:color="D9D9D9"/>
              <w:right w:val="single" w:sz="4" w:space="0" w:color="D9D9D9"/>
            </w:tcBorders>
            <w:shd w:val="clear" w:color="auto" w:fill="CCECFF"/>
            <w:vAlign w:val="center"/>
            <w:hideMark/>
          </w:tcPr>
          <w:p w14:paraId="7CD4E727" w14:textId="77777777" w:rsidR="0024227B" w:rsidRPr="0024227B" w:rsidRDefault="0024227B" w:rsidP="0024227B">
            <w:pPr>
              <w:spacing w:after="0" w:line="240" w:lineRule="auto"/>
              <w:rPr>
                <w:rFonts w:ascii="Arial" w:eastAsia="Times New Roman" w:hAnsi="Arial" w:cs="Arial"/>
                <w:b/>
                <w:bCs/>
                <w:sz w:val="18"/>
                <w:szCs w:val="18"/>
                <w:lang w:eastAsia="en-GB"/>
              </w:rPr>
            </w:pPr>
            <w:r w:rsidRPr="0024227B">
              <w:rPr>
                <w:rFonts w:ascii="Arial" w:eastAsia="Times New Roman" w:hAnsi="Arial" w:cs="Arial"/>
                <w:b/>
                <w:bCs/>
                <w:sz w:val="18"/>
                <w:szCs w:val="18"/>
                <w:lang w:eastAsia="en-GB"/>
              </w:rPr>
              <w:t xml:space="preserve">What does this show? </w:t>
            </w:r>
            <w:r w:rsidRPr="0024227B">
              <w:rPr>
                <w:rFonts w:ascii="Arial" w:eastAsia="Times New Roman" w:hAnsi="Arial" w:cs="Arial"/>
                <w:sz w:val="18"/>
                <w:szCs w:val="18"/>
                <w:lang w:eastAsia="en-GB"/>
              </w:rPr>
              <w:t xml:space="preserve">The table below adjusts the operating profit figure shown in the consolidated income statement above by taking out items that are not generated by our day-to-day trading. This makes it easier to see how our business is performing. We also take off the underlying interest we pay (being the day-to-day interest on our bank borrowings and lease liabilities). </w:t>
            </w:r>
          </w:p>
        </w:tc>
        <w:tc>
          <w:tcPr>
            <w:tcW w:w="236" w:type="dxa"/>
            <w:vAlign w:val="center"/>
            <w:hideMark/>
          </w:tcPr>
          <w:p w14:paraId="0EB4C060"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24227B" w:rsidRPr="0024227B" w14:paraId="5A0DB1B3" w14:textId="77777777" w:rsidTr="00431EB9">
        <w:trPr>
          <w:trHeight w:val="360"/>
        </w:trPr>
        <w:tc>
          <w:tcPr>
            <w:tcW w:w="10490" w:type="dxa"/>
            <w:gridSpan w:val="8"/>
            <w:vMerge/>
            <w:tcBorders>
              <w:top w:val="single" w:sz="4" w:space="0" w:color="D9D9D9"/>
              <w:left w:val="single" w:sz="4" w:space="0" w:color="D9D9D9"/>
              <w:bottom w:val="single" w:sz="4" w:space="0" w:color="D9D9D9"/>
              <w:right w:val="single" w:sz="4" w:space="0" w:color="D9D9D9"/>
            </w:tcBorders>
            <w:shd w:val="clear" w:color="auto" w:fill="CCECFF"/>
            <w:vAlign w:val="center"/>
            <w:hideMark/>
          </w:tcPr>
          <w:p w14:paraId="39E269B5" w14:textId="77777777" w:rsidR="0024227B" w:rsidRPr="0024227B" w:rsidRDefault="0024227B" w:rsidP="0024227B">
            <w:pPr>
              <w:spacing w:after="0" w:line="240" w:lineRule="auto"/>
              <w:rPr>
                <w:rFonts w:ascii="Arial" w:eastAsia="Times New Roman" w:hAnsi="Arial" w:cs="Arial"/>
                <w:b/>
                <w:bCs/>
                <w:sz w:val="18"/>
                <w:szCs w:val="18"/>
                <w:lang w:eastAsia="en-GB"/>
              </w:rPr>
            </w:pPr>
          </w:p>
        </w:tc>
        <w:tc>
          <w:tcPr>
            <w:tcW w:w="236" w:type="dxa"/>
            <w:tcBorders>
              <w:top w:val="nil"/>
              <w:left w:val="nil"/>
              <w:bottom w:val="nil"/>
              <w:right w:val="nil"/>
            </w:tcBorders>
            <w:shd w:val="clear" w:color="auto" w:fill="auto"/>
            <w:noWrap/>
            <w:vAlign w:val="bottom"/>
            <w:hideMark/>
          </w:tcPr>
          <w:p w14:paraId="3DFE263C" w14:textId="77777777" w:rsidR="0024227B" w:rsidRPr="0024227B" w:rsidRDefault="0024227B" w:rsidP="0024227B">
            <w:pPr>
              <w:spacing w:after="0" w:line="240" w:lineRule="auto"/>
              <w:rPr>
                <w:rFonts w:ascii="Arial" w:eastAsia="Times New Roman" w:hAnsi="Arial" w:cs="Arial"/>
                <w:b/>
                <w:bCs/>
                <w:sz w:val="18"/>
                <w:szCs w:val="18"/>
                <w:lang w:eastAsia="en-GB"/>
              </w:rPr>
            </w:pPr>
          </w:p>
        </w:tc>
      </w:tr>
      <w:tr w:rsidR="0024227B" w:rsidRPr="0024227B" w14:paraId="7E30406D" w14:textId="77777777" w:rsidTr="007D0891">
        <w:trPr>
          <w:trHeight w:val="64"/>
        </w:trPr>
        <w:tc>
          <w:tcPr>
            <w:tcW w:w="10490" w:type="dxa"/>
            <w:gridSpan w:val="8"/>
            <w:vMerge/>
            <w:tcBorders>
              <w:top w:val="single" w:sz="4" w:space="0" w:color="D9D9D9"/>
              <w:left w:val="single" w:sz="4" w:space="0" w:color="D9D9D9"/>
              <w:bottom w:val="single" w:sz="4" w:space="0" w:color="D9D9D9"/>
              <w:right w:val="single" w:sz="4" w:space="0" w:color="D9D9D9"/>
            </w:tcBorders>
            <w:shd w:val="clear" w:color="auto" w:fill="CCECFF"/>
            <w:vAlign w:val="center"/>
            <w:hideMark/>
          </w:tcPr>
          <w:p w14:paraId="5A66FB10" w14:textId="77777777" w:rsidR="0024227B" w:rsidRPr="0024227B" w:rsidRDefault="0024227B" w:rsidP="0024227B">
            <w:pPr>
              <w:spacing w:after="0" w:line="240" w:lineRule="auto"/>
              <w:rPr>
                <w:rFonts w:ascii="Arial" w:eastAsia="Times New Roman" w:hAnsi="Arial" w:cs="Arial"/>
                <w:b/>
                <w:bCs/>
                <w:sz w:val="18"/>
                <w:szCs w:val="18"/>
                <w:lang w:eastAsia="en-GB"/>
              </w:rPr>
            </w:pPr>
          </w:p>
        </w:tc>
        <w:tc>
          <w:tcPr>
            <w:tcW w:w="236" w:type="dxa"/>
            <w:tcBorders>
              <w:top w:val="nil"/>
              <w:left w:val="nil"/>
              <w:bottom w:val="nil"/>
              <w:right w:val="nil"/>
            </w:tcBorders>
            <w:shd w:val="clear" w:color="auto" w:fill="auto"/>
            <w:noWrap/>
            <w:vAlign w:val="bottom"/>
            <w:hideMark/>
          </w:tcPr>
          <w:p w14:paraId="3BBA8940"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24227B" w:rsidRPr="0024227B" w14:paraId="6EA41DE5" w14:textId="77777777" w:rsidTr="00431EB9">
        <w:trPr>
          <w:trHeight w:val="240"/>
        </w:trPr>
        <w:tc>
          <w:tcPr>
            <w:tcW w:w="1600" w:type="dxa"/>
            <w:tcBorders>
              <w:top w:val="nil"/>
              <w:left w:val="nil"/>
              <w:bottom w:val="single" w:sz="4" w:space="0" w:color="BFBFBF"/>
              <w:right w:val="nil"/>
            </w:tcBorders>
            <w:shd w:val="clear" w:color="000000" w:fill="FFFFFF"/>
            <w:vAlign w:val="center"/>
            <w:hideMark/>
          </w:tcPr>
          <w:p w14:paraId="1C24902F" w14:textId="77777777" w:rsidR="0024227B" w:rsidRPr="0024227B" w:rsidRDefault="0024227B" w:rsidP="0024227B">
            <w:pPr>
              <w:spacing w:after="0" w:line="240" w:lineRule="auto"/>
              <w:rPr>
                <w:rFonts w:ascii="Arial" w:eastAsia="Times New Roman" w:hAnsi="Arial" w:cs="Arial"/>
                <w:sz w:val="18"/>
                <w:szCs w:val="18"/>
                <w:lang w:eastAsia="en-GB"/>
              </w:rPr>
            </w:pPr>
            <w:r w:rsidRPr="0024227B">
              <w:rPr>
                <w:rFonts w:ascii="Arial" w:eastAsia="Times New Roman" w:hAnsi="Arial" w:cs="Arial"/>
                <w:sz w:val="18"/>
                <w:szCs w:val="18"/>
                <w:lang w:eastAsia="en-GB"/>
              </w:rPr>
              <w:t> </w:t>
            </w:r>
          </w:p>
        </w:tc>
        <w:tc>
          <w:tcPr>
            <w:tcW w:w="920" w:type="dxa"/>
            <w:tcBorders>
              <w:top w:val="nil"/>
              <w:left w:val="nil"/>
              <w:bottom w:val="single" w:sz="4" w:space="0" w:color="BFBFBF"/>
              <w:right w:val="nil"/>
            </w:tcBorders>
            <w:shd w:val="clear" w:color="000000" w:fill="FFFFFF"/>
            <w:vAlign w:val="center"/>
            <w:hideMark/>
          </w:tcPr>
          <w:p w14:paraId="41BC14D8" w14:textId="77777777" w:rsidR="0024227B" w:rsidRPr="0024227B" w:rsidRDefault="0024227B" w:rsidP="0024227B">
            <w:pPr>
              <w:spacing w:after="0" w:line="240" w:lineRule="auto"/>
              <w:rPr>
                <w:rFonts w:ascii="Arial" w:eastAsia="Times New Roman" w:hAnsi="Arial" w:cs="Arial"/>
                <w:sz w:val="18"/>
                <w:szCs w:val="18"/>
                <w:lang w:eastAsia="en-GB"/>
              </w:rPr>
            </w:pPr>
            <w:r w:rsidRPr="0024227B">
              <w:rPr>
                <w:rFonts w:ascii="Arial" w:eastAsia="Times New Roman" w:hAnsi="Arial" w:cs="Arial"/>
                <w:sz w:val="18"/>
                <w:szCs w:val="18"/>
                <w:lang w:eastAsia="en-GB"/>
              </w:rPr>
              <w:t> </w:t>
            </w:r>
          </w:p>
        </w:tc>
        <w:tc>
          <w:tcPr>
            <w:tcW w:w="400" w:type="dxa"/>
            <w:tcBorders>
              <w:top w:val="nil"/>
              <w:left w:val="nil"/>
              <w:bottom w:val="single" w:sz="4" w:space="0" w:color="BFBFBF"/>
              <w:right w:val="nil"/>
            </w:tcBorders>
            <w:shd w:val="clear" w:color="000000" w:fill="FFFFFF"/>
            <w:vAlign w:val="center"/>
            <w:hideMark/>
          </w:tcPr>
          <w:p w14:paraId="67787E07" w14:textId="77777777" w:rsidR="0024227B" w:rsidRPr="0024227B" w:rsidRDefault="0024227B" w:rsidP="0024227B">
            <w:pPr>
              <w:spacing w:after="0" w:line="240" w:lineRule="auto"/>
              <w:rPr>
                <w:rFonts w:ascii="Arial" w:eastAsia="Times New Roman" w:hAnsi="Arial" w:cs="Arial"/>
                <w:sz w:val="18"/>
                <w:szCs w:val="18"/>
                <w:lang w:eastAsia="en-GB"/>
              </w:rPr>
            </w:pPr>
            <w:r w:rsidRPr="0024227B">
              <w:rPr>
                <w:rFonts w:ascii="Arial" w:eastAsia="Times New Roman" w:hAnsi="Arial" w:cs="Arial"/>
                <w:sz w:val="18"/>
                <w:szCs w:val="18"/>
                <w:lang w:eastAsia="en-GB"/>
              </w:rPr>
              <w:t> </w:t>
            </w:r>
          </w:p>
        </w:tc>
        <w:tc>
          <w:tcPr>
            <w:tcW w:w="1460" w:type="dxa"/>
            <w:tcBorders>
              <w:top w:val="nil"/>
              <w:left w:val="nil"/>
              <w:bottom w:val="single" w:sz="4" w:space="0" w:color="BFBFBF"/>
              <w:right w:val="nil"/>
            </w:tcBorders>
            <w:shd w:val="clear" w:color="000000" w:fill="FFFFFF"/>
            <w:vAlign w:val="center"/>
            <w:hideMark/>
          </w:tcPr>
          <w:p w14:paraId="1487D166" w14:textId="77777777" w:rsidR="0024227B" w:rsidRPr="0024227B" w:rsidRDefault="0024227B" w:rsidP="0024227B">
            <w:pPr>
              <w:spacing w:after="0" w:line="240" w:lineRule="auto"/>
              <w:rPr>
                <w:rFonts w:ascii="Arial" w:eastAsia="Times New Roman" w:hAnsi="Arial" w:cs="Arial"/>
                <w:sz w:val="18"/>
                <w:szCs w:val="18"/>
                <w:lang w:eastAsia="en-GB"/>
              </w:rPr>
            </w:pPr>
            <w:r w:rsidRPr="0024227B">
              <w:rPr>
                <w:rFonts w:ascii="Arial" w:eastAsia="Times New Roman" w:hAnsi="Arial" w:cs="Arial"/>
                <w:sz w:val="18"/>
                <w:szCs w:val="18"/>
                <w:lang w:eastAsia="en-GB"/>
              </w:rPr>
              <w:t> </w:t>
            </w:r>
          </w:p>
        </w:tc>
        <w:tc>
          <w:tcPr>
            <w:tcW w:w="1574" w:type="dxa"/>
            <w:tcBorders>
              <w:top w:val="nil"/>
              <w:left w:val="nil"/>
              <w:bottom w:val="single" w:sz="4" w:space="0" w:color="BFBFBF"/>
              <w:right w:val="nil"/>
            </w:tcBorders>
            <w:shd w:val="clear" w:color="000000" w:fill="FFFFFF"/>
            <w:vAlign w:val="center"/>
            <w:hideMark/>
          </w:tcPr>
          <w:p w14:paraId="3978FD63" w14:textId="77777777" w:rsidR="0024227B" w:rsidRPr="0024227B" w:rsidRDefault="0024227B" w:rsidP="0024227B">
            <w:pPr>
              <w:spacing w:after="0" w:line="240" w:lineRule="auto"/>
              <w:rPr>
                <w:rFonts w:ascii="Arial" w:eastAsia="Times New Roman" w:hAnsi="Arial" w:cs="Arial"/>
                <w:sz w:val="18"/>
                <w:szCs w:val="18"/>
                <w:lang w:eastAsia="en-GB"/>
              </w:rPr>
            </w:pPr>
            <w:r w:rsidRPr="0024227B">
              <w:rPr>
                <w:rFonts w:ascii="Arial" w:eastAsia="Times New Roman" w:hAnsi="Arial" w:cs="Arial"/>
                <w:sz w:val="18"/>
                <w:szCs w:val="18"/>
                <w:lang w:eastAsia="en-GB"/>
              </w:rPr>
              <w:t> </w:t>
            </w:r>
          </w:p>
        </w:tc>
        <w:tc>
          <w:tcPr>
            <w:tcW w:w="1417" w:type="dxa"/>
            <w:tcBorders>
              <w:top w:val="nil"/>
              <w:left w:val="nil"/>
              <w:bottom w:val="single" w:sz="4" w:space="0" w:color="BFBFBF"/>
              <w:right w:val="nil"/>
            </w:tcBorders>
            <w:shd w:val="clear" w:color="000000" w:fill="FFFFFF"/>
            <w:vAlign w:val="center"/>
            <w:hideMark/>
          </w:tcPr>
          <w:p w14:paraId="719D95CE" w14:textId="77777777" w:rsidR="0024227B" w:rsidRPr="0024227B" w:rsidRDefault="0024227B" w:rsidP="0024227B">
            <w:pPr>
              <w:spacing w:after="0" w:line="240" w:lineRule="auto"/>
              <w:rPr>
                <w:rFonts w:ascii="Arial" w:eastAsia="Times New Roman" w:hAnsi="Arial" w:cs="Arial"/>
                <w:sz w:val="18"/>
                <w:szCs w:val="18"/>
                <w:lang w:eastAsia="en-GB"/>
              </w:rPr>
            </w:pPr>
            <w:r w:rsidRPr="0024227B">
              <w:rPr>
                <w:rFonts w:ascii="Arial" w:eastAsia="Times New Roman" w:hAnsi="Arial" w:cs="Arial"/>
                <w:sz w:val="18"/>
                <w:szCs w:val="18"/>
                <w:lang w:eastAsia="en-GB"/>
              </w:rPr>
              <w:t> </w:t>
            </w:r>
          </w:p>
        </w:tc>
        <w:tc>
          <w:tcPr>
            <w:tcW w:w="1560" w:type="dxa"/>
            <w:tcBorders>
              <w:top w:val="nil"/>
              <w:left w:val="nil"/>
              <w:bottom w:val="single" w:sz="4" w:space="0" w:color="BFBFBF"/>
              <w:right w:val="nil"/>
            </w:tcBorders>
            <w:shd w:val="clear" w:color="000000" w:fill="FFFFFF"/>
            <w:vAlign w:val="center"/>
            <w:hideMark/>
          </w:tcPr>
          <w:p w14:paraId="4588EDAE" w14:textId="77777777" w:rsidR="0024227B" w:rsidRPr="0024227B" w:rsidRDefault="0024227B" w:rsidP="0024227B">
            <w:pPr>
              <w:spacing w:after="0" w:line="240" w:lineRule="auto"/>
              <w:rPr>
                <w:rFonts w:ascii="Arial" w:eastAsia="Times New Roman" w:hAnsi="Arial" w:cs="Arial"/>
                <w:sz w:val="18"/>
                <w:szCs w:val="18"/>
                <w:lang w:eastAsia="en-GB"/>
              </w:rPr>
            </w:pPr>
            <w:r w:rsidRPr="0024227B">
              <w:rPr>
                <w:rFonts w:ascii="Arial" w:eastAsia="Times New Roman" w:hAnsi="Arial" w:cs="Arial"/>
                <w:sz w:val="18"/>
                <w:szCs w:val="18"/>
                <w:lang w:eastAsia="en-GB"/>
              </w:rPr>
              <w:t> </w:t>
            </w:r>
          </w:p>
        </w:tc>
        <w:tc>
          <w:tcPr>
            <w:tcW w:w="1559" w:type="dxa"/>
            <w:tcBorders>
              <w:top w:val="nil"/>
              <w:left w:val="nil"/>
              <w:bottom w:val="single" w:sz="4" w:space="0" w:color="BFBFBF"/>
              <w:right w:val="nil"/>
            </w:tcBorders>
            <w:shd w:val="clear" w:color="000000" w:fill="FFFFFF"/>
            <w:vAlign w:val="center"/>
            <w:hideMark/>
          </w:tcPr>
          <w:p w14:paraId="31131124" w14:textId="77777777" w:rsidR="0024227B" w:rsidRPr="0024227B" w:rsidRDefault="0024227B" w:rsidP="0024227B">
            <w:pPr>
              <w:spacing w:after="0" w:line="240" w:lineRule="auto"/>
              <w:rPr>
                <w:rFonts w:ascii="Arial" w:eastAsia="Times New Roman" w:hAnsi="Arial" w:cs="Arial"/>
                <w:sz w:val="18"/>
                <w:szCs w:val="18"/>
                <w:lang w:eastAsia="en-GB"/>
              </w:rPr>
            </w:pPr>
            <w:r w:rsidRPr="0024227B">
              <w:rPr>
                <w:rFonts w:ascii="Arial" w:eastAsia="Times New Roman" w:hAnsi="Arial" w:cs="Arial"/>
                <w:sz w:val="18"/>
                <w:szCs w:val="18"/>
                <w:lang w:eastAsia="en-GB"/>
              </w:rPr>
              <w:t> </w:t>
            </w:r>
          </w:p>
        </w:tc>
        <w:tc>
          <w:tcPr>
            <w:tcW w:w="236" w:type="dxa"/>
            <w:vAlign w:val="center"/>
            <w:hideMark/>
          </w:tcPr>
          <w:p w14:paraId="43855F41"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2F283EB3" w14:textId="77777777" w:rsidTr="006E7F9C">
        <w:trPr>
          <w:trHeight w:val="64"/>
        </w:trPr>
        <w:tc>
          <w:tcPr>
            <w:tcW w:w="1600" w:type="dxa"/>
            <w:tcBorders>
              <w:top w:val="nil"/>
              <w:left w:val="single" w:sz="4" w:space="0" w:color="BFBFBF"/>
              <w:bottom w:val="nil"/>
              <w:right w:val="nil"/>
            </w:tcBorders>
            <w:shd w:val="clear" w:color="auto" w:fill="auto"/>
            <w:noWrap/>
            <w:vAlign w:val="bottom"/>
            <w:hideMark/>
          </w:tcPr>
          <w:p w14:paraId="291BDFDD" w14:textId="77777777" w:rsidR="0024227B" w:rsidRPr="0024227B" w:rsidRDefault="0024227B" w:rsidP="0024227B">
            <w:pPr>
              <w:spacing w:after="0" w:line="240" w:lineRule="auto"/>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920" w:type="dxa"/>
            <w:tcBorders>
              <w:top w:val="nil"/>
              <w:left w:val="nil"/>
              <w:bottom w:val="nil"/>
              <w:right w:val="nil"/>
            </w:tcBorders>
            <w:shd w:val="clear" w:color="auto" w:fill="auto"/>
            <w:noWrap/>
            <w:vAlign w:val="bottom"/>
            <w:hideMark/>
          </w:tcPr>
          <w:p w14:paraId="2D67FCED" w14:textId="77777777" w:rsidR="0024227B" w:rsidRPr="0024227B" w:rsidRDefault="0024227B" w:rsidP="0024227B">
            <w:pPr>
              <w:spacing w:after="0" w:line="240" w:lineRule="auto"/>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400" w:type="dxa"/>
            <w:tcBorders>
              <w:top w:val="nil"/>
              <w:left w:val="nil"/>
              <w:bottom w:val="nil"/>
              <w:right w:val="nil"/>
            </w:tcBorders>
            <w:shd w:val="clear" w:color="auto" w:fill="auto"/>
            <w:noWrap/>
            <w:vAlign w:val="bottom"/>
            <w:hideMark/>
          </w:tcPr>
          <w:p w14:paraId="095EC932"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460" w:type="dxa"/>
            <w:tcBorders>
              <w:top w:val="nil"/>
              <w:left w:val="nil"/>
              <w:bottom w:val="nil"/>
              <w:right w:val="nil"/>
            </w:tcBorders>
            <w:shd w:val="clear" w:color="auto" w:fill="auto"/>
            <w:noWrap/>
            <w:vAlign w:val="bottom"/>
            <w:hideMark/>
          </w:tcPr>
          <w:p w14:paraId="14594661"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574" w:type="dxa"/>
            <w:tcBorders>
              <w:top w:val="nil"/>
              <w:left w:val="nil"/>
              <w:bottom w:val="nil"/>
              <w:right w:val="nil"/>
            </w:tcBorders>
            <w:shd w:val="clear" w:color="auto" w:fill="auto"/>
            <w:noWrap/>
            <w:vAlign w:val="bottom"/>
            <w:hideMark/>
          </w:tcPr>
          <w:p w14:paraId="3FEDA818"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417" w:type="dxa"/>
            <w:tcBorders>
              <w:top w:val="nil"/>
              <w:left w:val="nil"/>
              <w:bottom w:val="nil"/>
              <w:right w:val="nil"/>
            </w:tcBorders>
            <w:shd w:val="clear" w:color="auto" w:fill="auto"/>
            <w:noWrap/>
            <w:hideMark/>
          </w:tcPr>
          <w:p w14:paraId="1B5664AE"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26 weeks ended</w:t>
            </w:r>
          </w:p>
        </w:tc>
        <w:tc>
          <w:tcPr>
            <w:tcW w:w="1560" w:type="dxa"/>
            <w:tcBorders>
              <w:top w:val="nil"/>
              <w:left w:val="nil"/>
              <w:bottom w:val="nil"/>
              <w:right w:val="nil"/>
            </w:tcBorders>
            <w:shd w:val="clear" w:color="auto" w:fill="auto"/>
            <w:noWrap/>
            <w:hideMark/>
          </w:tcPr>
          <w:p w14:paraId="5C613762"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26 weeks ended</w:t>
            </w:r>
          </w:p>
        </w:tc>
        <w:tc>
          <w:tcPr>
            <w:tcW w:w="1559" w:type="dxa"/>
            <w:tcBorders>
              <w:top w:val="nil"/>
              <w:left w:val="nil"/>
              <w:bottom w:val="nil"/>
              <w:right w:val="single" w:sz="4" w:space="0" w:color="BFBFBF"/>
            </w:tcBorders>
            <w:shd w:val="clear" w:color="auto" w:fill="auto"/>
            <w:noWrap/>
            <w:hideMark/>
          </w:tcPr>
          <w:p w14:paraId="18969215"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52 weeks ended</w:t>
            </w:r>
          </w:p>
        </w:tc>
        <w:tc>
          <w:tcPr>
            <w:tcW w:w="236" w:type="dxa"/>
            <w:vAlign w:val="center"/>
            <w:hideMark/>
          </w:tcPr>
          <w:p w14:paraId="636EDD2F"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6129E42F" w14:textId="77777777" w:rsidTr="008F4A3F">
        <w:trPr>
          <w:trHeight w:val="80"/>
        </w:trPr>
        <w:tc>
          <w:tcPr>
            <w:tcW w:w="2520" w:type="dxa"/>
            <w:gridSpan w:val="2"/>
            <w:vMerge w:val="restart"/>
            <w:tcBorders>
              <w:top w:val="nil"/>
              <w:left w:val="single" w:sz="4" w:space="0" w:color="BFBFBF"/>
              <w:bottom w:val="nil"/>
              <w:right w:val="nil"/>
            </w:tcBorders>
            <w:shd w:val="clear" w:color="auto" w:fill="auto"/>
            <w:noWrap/>
            <w:vAlign w:val="center"/>
            <w:hideMark/>
          </w:tcPr>
          <w:p w14:paraId="35FA1EB6" w14:textId="77777777" w:rsidR="0024227B" w:rsidRPr="0024227B" w:rsidRDefault="0024227B" w:rsidP="0024227B">
            <w:pPr>
              <w:spacing w:after="0" w:line="240" w:lineRule="auto"/>
              <w:rPr>
                <w:rFonts w:ascii="Arial" w:eastAsia="Times New Roman" w:hAnsi="Arial" w:cs="Arial"/>
                <w:b/>
                <w:bCs/>
                <w:sz w:val="20"/>
                <w:szCs w:val="20"/>
                <w:lang w:eastAsia="en-GB"/>
              </w:rPr>
            </w:pPr>
            <w:r w:rsidRPr="0024227B">
              <w:rPr>
                <w:rFonts w:ascii="Arial" w:eastAsia="Times New Roman" w:hAnsi="Arial" w:cs="Arial"/>
                <w:b/>
                <w:bCs/>
                <w:sz w:val="20"/>
                <w:szCs w:val="20"/>
                <w:lang w:eastAsia="en-GB"/>
              </w:rPr>
              <w:t>Continuing Operations</w:t>
            </w:r>
          </w:p>
        </w:tc>
        <w:tc>
          <w:tcPr>
            <w:tcW w:w="400" w:type="dxa"/>
            <w:tcBorders>
              <w:top w:val="nil"/>
              <w:left w:val="nil"/>
              <w:bottom w:val="nil"/>
              <w:right w:val="nil"/>
            </w:tcBorders>
            <w:shd w:val="clear" w:color="auto" w:fill="auto"/>
            <w:noWrap/>
            <w:vAlign w:val="bottom"/>
            <w:hideMark/>
          </w:tcPr>
          <w:p w14:paraId="5779031C"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460" w:type="dxa"/>
            <w:tcBorders>
              <w:top w:val="nil"/>
              <w:left w:val="nil"/>
              <w:bottom w:val="nil"/>
              <w:right w:val="nil"/>
            </w:tcBorders>
            <w:shd w:val="clear" w:color="auto" w:fill="auto"/>
            <w:noWrap/>
            <w:vAlign w:val="bottom"/>
            <w:hideMark/>
          </w:tcPr>
          <w:p w14:paraId="58791E97"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574" w:type="dxa"/>
            <w:tcBorders>
              <w:top w:val="nil"/>
              <w:left w:val="nil"/>
              <w:bottom w:val="nil"/>
              <w:right w:val="nil"/>
            </w:tcBorders>
            <w:shd w:val="clear" w:color="auto" w:fill="auto"/>
            <w:noWrap/>
            <w:vAlign w:val="bottom"/>
            <w:hideMark/>
          </w:tcPr>
          <w:p w14:paraId="39976365"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417" w:type="dxa"/>
            <w:tcBorders>
              <w:top w:val="nil"/>
              <w:left w:val="nil"/>
              <w:bottom w:val="nil"/>
              <w:right w:val="nil"/>
            </w:tcBorders>
            <w:shd w:val="clear" w:color="auto" w:fill="auto"/>
            <w:noWrap/>
            <w:hideMark/>
          </w:tcPr>
          <w:p w14:paraId="7FCCD9AD"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2 July 2022</w:t>
            </w:r>
          </w:p>
        </w:tc>
        <w:tc>
          <w:tcPr>
            <w:tcW w:w="1560" w:type="dxa"/>
            <w:tcBorders>
              <w:top w:val="nil"/>
              <w:left w:val="nil"/>
              <w:bottom w:val="nil"/>
              <w:right w:val="nil"/>
            </w:tcBorders>
            <w:shd w:val="clear" w:color="auto" w:fill="auto"/>
            <w:noWrap/>
            <w:hideMark/>
          </w:tcPr>
          <w:p w14:paraId="70C7C6B1"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3 July 2021</w:t>
            </w:r>
          </w:p>
        </w:tc>
        <w:tc>
          <w:tcPr>
            <w:tcW w:w="1559" w:type="dxa"/>
            <w:tcBorders>
              <w:top w:val="nil"/>
              <w:left w:val="nil"/>
              <w:bottom w:val="nil"/>
              <w:right w:val="single" w:sz="4" w:space="0" w:color="BFBFBF"/>
            </w:tcBorders>
            <w:shd w:val="clear" w:color="auto" w:fill="auto"/>
            <w:noWrap/>
            <w:hideMark/>
          </w:tcPr>
          <w:p w14:paraId="3B1E7674"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1 January 2022</w:t>
            </w:r>
          </w:p>
        </w:tc>
        <w:tc>
          <w:tcPr>
            <w:tcW w:w="236" w:type="dxa"/>
            <w:vAlign w:val="center"/>
            <w:hideMark/>
          </w:tcPr>
          <w:p w14:paraId="1AB30740"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63A54840" w14:textId="77777777" w:rsidTr="006E7F9C">
        <w:trPr>
          <w:trHeight w:val="255"/>
        </w:trPr>
        <w:tc>
          <w:tcPr>
            <w:tcW w:w="2520" w:type="dxa"/>
            <w:gridSpan w:val="2"/>
            <w:vMerge/>
            <w:tcBorders>
              <w:top w:val="nil"/>
              <w:left w:val="single" w:sz="4" w:space="0" w:color="BFBFBF"/>
              <w:bottom w:val="nil"/>
              <w:right w:val="nil"/>
            </w:tcBorders>
            <w:shd w:val="clear" w:color="auto" w:fill="auto"/>
            <w:vAlign w:val="center"/>
            <w:hideMark/>
          </w:tcPr>
          <w:p w14:paraId="1F23D949" w14:textId="77777777" w:rsidR="0024227B" w:rsidRPr="0024227B" w:rsidRDefault="0024227B" w:rsidP="0024227B">
            <w:pPr>
              <w:spacing w:after="0" w:line="240" w:lineRule="auto"/>
              <w:rPr>
                <w:rFonts w:ascii="Arial" w:eastAsia="Times New Roman" w:hAnsi="Arial" w:cs="Arial"/>
                <w:b/>
                <w:bCs/>
                <w:sz w:val="20"/>
                <w:szCs w:val="20"/>
                <w:lang w:eastAsia="en-GB"/>
              </w:rPr>
            </w:pPr>
          </w:p>
        </w:tc>
        <w:tc>
          <w:tcPr>
            <w:tcW w:w="400" w:type="dxa"/>
            <w:tcBorders>
              <w:top w:val="nil"/>
              <w:left w:val="nil"/>
              <w:bottom w:val="nil"/>
              <w:right w:val="nil"/>
            </w:tcBorders>
            <w:shd w:val="clear" w:color="auto" w:fill="auto"/>
            <w:noWrap/>
            <w:vAlign w:val="bottom"/>
            <w:hideMark/>
          </w:tcPr>
          <w:p w14:paraId="3D5382D0"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460" w:type="dxa"/>
            <w:tcBorders>
              <w:top w:val="nil"/>
              <w:left w:val="nil"/>
              <w:bottom w:val="nil"/>
              <w:right w:val="nil"/>
            </w:tcBorders>
            <w:shd w:val="clear" w:color="auto" w:fill="auto"/>
            <w:noWrap/>
            <w:vAlign w:val="bottom"/>
            <w:hideMark/>
          </w:tcPr>
          <w:p w14:paraId="47CE2F5E"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574" w:type="dxa"/>
            <w:tcBorders>
              <w:top w:val="nil"/>
              <w:left w:val="nil"/>
              <w:bottom w:val="nil"/>
              <w:right w:val="nil"/>
            </w:tcBorders>
            <w:shd w:val="clear" w:color="auto" w:fill="auto"/>
            <w:noWrap/>
            <w:vAlign w:val="bottom"/>
            <w:hideMark/>
          </w:tcPr>
          <w:p w14:paraId="4BFBFFC4"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417" w:type="dxa"/>
            <w:tcBorders>
              <w:top w:val="nil"/>
              <w:left w:val="nil"/>
              <w:bottom w:val="nil"/>
              <w:right w:val="nil"/>
            </w:tcBorders>
            <w:shd w:val="clear" w:color="auto" w:fill="auto"/>
            <w:noWrap/>
            <w:hideMark/>
          </w:tcPr>
          <w:p w14:paraId="1D8FDB25"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(unaudited)</w:t>
            </w:r>
          </w:p>
        </w:tc>
        <w:tc>
          <w:tcPr>
            <w:tcW w:w="1560" w:type="dxa"/>
            <w:tcBorders>
              <w:top w:val="nil"/>
              <w:left w:val="nil"/>
              <w:bottom w:val="nil"/>
              <w:right w:val="nil"/>
            </w:tcBorders>
            <w:shd w:val="clear" w:color="auto" w:fill="auto"/>
            <w:noWrap/>
            <w:hideMark/>
          </w:tcPr>
          <w:p w14:paraId="32D6E539"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(unaudited)</w:t>
            </w:r>
          </w:p>
        </w:tc>
        <w:tc>
          <w:tcPr>
            <w:tcW w:w="1559" w:type="dxa"/>
            <w:tcBorders>
              <w:top w:val="nil"/>
              <w:left w:val="nil"/>
              <w:bottom w:val="nil"/>
              <w:right w:val="single" w:sz="4" w:space="0" w:color="BFBFBF"/>
            </w:tcBorders>
            <w:shd w:val="clear" w:color="auto" w:fill="auto"/>
            <w:noWrap/>
            <w:hideMark/>
          </w:tcPr>
          <w:p w14:paraId="792479D2"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(audited)</w:t>
            </w:r>
          </w:p>
        </w:tc>
        <w:tc>
          <w:tcPr>
            <w:tcW w:w="236" w:type="dxa"/>
            <w:vAlign w:val="center"/>
            <w:hideMark/>
          </w:tcPr>
          <w:p w14:paraId="07625D63"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57EA5841" w14:textId="77777777" w:rsidTr="006E7F9C">
        <w:trPr>
          <w:trHeight w:val="229"/>
        </w:trPr>
        <w:tc>
          <w:tcPr>
            <w:tcW w:w="1600" w:type="dxa"/>
            <w:tcBorders>
              <w:top w:val="nil"/>
              <w:left w:val="single" w:sz="4" w:space="0" w:color="BFBFBF"/>
              <w:bottom w:val="single" w:sz="4" w:space="0" w:color="BFBFBF"/>
              <w:right w:val="nil"/>
            </w:tcBorders>
            <w:shd w:val="clear" w:color="auto" w:fill="auto"/>
            <w:noWrap/>
            <w:vAlign w:val="center"/>
            <w:hideMark/>
          </w:tcPr>
          <w:p w14:paraId="56D19C4F" w14:textId="77777777" w:rsidR="0024227B" w:rsidRPr="0024227B" w:rsidRDefault="0024227B" w:rsidP="0024227B">
            <w:pPr>
              <w:spacing w:after="0" w:line="240" w:lineRule="auto"/>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920" w:type="dxa"/>
            <w:tcBorders>
              <w:top w:val="nil"/>
              <w:left w:val="nil"/>
              <w:bottom w:val="single" w:sz="4" w:space="0" w:color="BFBFBF"/>
              <w:right w:val="nil"/>
            </w:tcBorders>
            <w:shd w:val="clear" w:color="auto" w:fill="auto"/>
            <w:noWrap/>
            <w:vAlign w:val="center"/>
            <w:hideMark/>
          </w:tcPr>
          <w:p w14:paraId="42667377" w14:textId="77777777" w:rsidR="0024227B" w:rsidRPr="0024227B" w:rsidRDefault="0024227B" w:rsidP="0024227B">
            <w:pPr>
              <w:spacing w:after="0" w:line="240" w:lineRule="auto"/>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400" w:type="dxa"/>
            <w:tcBorders>
              <w:top w:val="nil"/>
              <w:left w:val="nil"/>
              <w:bottom w:val="single" w:sz="4" w:space="0" w:color="BFBFBF"/>
              <w:right w:val="nil"/>
            </w:tcBorders>
            <w:shd w:val="clear" w:color="auto" w:fill="auto"/>
            <w:noWrap/>
            <w:vAlign w:val="center"/>
            <w:hideMark/>
          </w:tcPr>
          <w:p w14:paraId="6F68843A"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460" w:type="dxa"/>
            <w:tcBorders>
              <w:top w:val="nil"/>
              <w:left w:val="nil"/>
              <w:bottom w:val="single" w:sz="4" w:space="0" w:color="BFBFBF"/>
              <w:right w:val="nil"/>
            </w:tcBorders>
            <w:shd w:val="clear" w:color="auto" w:fill="auto"/>
            <w:noWrap/>
            <w:vAlign w:val="center"/>
            <w:hideMark/>
          </w:tcPr>
          <w:p w14:paraId="17A5A9C5" w14:textId="77777777" w:rsidR="0024227B" w:rsidRPr="0024227B" w:rsidRDefault="0024227B" w:rsidP="0024227B">
            <w:pPr>
              <w:spacing w:after="0" w:line="240" w:lineRule="auto"/>
              <w:jc w:val="right"/>
              <w:rPr>
                <w:rFonts w:ascii="Arial" w:eastAsia="Times New Roman" w:hAnsi="Arial" w:cs="Arial"/>
                <w:sz w:val="20"/>
                <w:szCs w:val="20"/>
                <w:lang w:eastAsia="en-GB"/>
              </w:rPr>
            </w:pPr>
            <w:r w:rsidRPr="0024227B">
              <w:rPr>
                <w:rFonts w:ascii="Arial" w:eastAsia="Times New Roman" w:hAnsi="Arial" w:cs="Arial"/>
                <w:sz w:val="20"/>
                <w:szCs w:val="20"/>
                <w:lang w:eastAsia="en-GB"/>
              </w:rPr>
              <w:t> </w:t>
            </w:r>
          </w:p>
        </w:tc>
        <w:tc>
          <w:tcPr>
            <w:tcW w:w="1574" w:type="dxa"/>
            <w:tcBorders>
              <w:top w:val="nil"/>
              <w:left w:val="nil"/>
              <w:bottom w:val="single" w:sz="4" w:space="0" w:color="BFBFBF"/>
              <w:right w:val="nil"/>
            </w:tcBorders>
            <w:shd w:val="clear" w:color="auto" w:fill="auto"/>
            <w:noWrap/>
            <w:vAlign w:val="center"/>
            <w:hideMark/>
          </w:tcPr>
          <w:p w14:paraId="496EB86B" w14:textId="77777777" w:rsidR="0024227B" w:rsidRPr="0024227B" w:rsidRDefault="0024227B" w:rsidP="0024227B">
            <w:pPr>
              <w:spacing w:after="0" w:line="240" w:lineRule="auto"/>
              <w:jc w:val="right"/>
              <w:rPr>
                <w:rFonts w:ascii="Arial" w:eastAsia="Times New Roman" w:hAnsi="Arial" w:cs="Arial"/>
                <w:sz w:val="14"/>
                <w:szCs w:val="14"/>
                <w:lang w:eastAsia="en-GB"/>
              </w:rPr>
            </w:pPr>
            <w:r w:rsidRPr="0024227B">
              <w:rPr>
                <w:rFonts w:ascii="Arial" w:eastAsia="Times New Roman" w:hAnsi="Arial" w:cs="Arial"/>
                <w:sz w:val="14"/>
                <w:szCs w:val="14"/>
                <w:lang w:eastAsia="en-GB"/>
              </w:rPr>
              <w:t>Notes</w:t>
            </w:r>
          </w:p>
        </w:tc>
        <w:tc>
          <w:tcPr>
            <w:tcW w:w="1417" w:type="dxa"/>
            <w:tcBorders>
              <w:top w:val="nil"/>
              <w:left w:val="nil"/>
              <w:bottom w:val="single" w:sz="4" w:space="0" w:color="BFBFBF"/>
              <w:right w:val="nil"/>
            </w:tcBorders>
            <w:shd w:val="clear" w:color="auto" w:fill="auto"/>
            <w:noWrap/>
            <w:vAlign w:val="center"/>
            <w:hideMark/>
          </w:tcPr>
          <w:p w14:paraId="37A5B025"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£m</w:t>
            </w:r>
          </w:p>
        </w:tc>
        <w:tc>
          <w:tcPr>
            <w:tcW w:w="1560" w:type="dxa"/>
            <w:tcBorders>
              <w:top w:val="nil"/>
              <w:left w:val="nil"/>
              <w:bottom w:val="single" w:sz="4" w:space="0" w:color="BFBFBF"/>
              <w:right w:val="nil"/>
            </w:tcBorders>
            <w:shd w:val="clear" w:color="auto" w:fill="auto"/>
            <w:noWrap/>
            <w:vAlign w:val="center"/>
            <w:hideMark/>
          </w:tcPr>
          <w:p w14:paraId="6A635C06"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£m</w:t>
            </w:r>
          </w:p>
        </w:tc>
        <w:tc>
          <w:tcPr>
            <w:tcW w:w="1559" w:type="dxa"/>
            <w:tcBorders>
              <w:top w:val="nil"/>
              <w:left w:val="nil"/>
              <w:bottom w:val="single" w:sz="4" w:space="0" w:color="BFBFBF"/>
              <w:right w:val="single" w:sz="4" w:space="0" w:color="BFBFBF"/>
            </w:tcBorders>
            <w:shd w:val="clear" w:color="auto" w:fill="auto"/>
            <w:noWrap/>
            <w:vAlign w:val="center"/>
            <w:hideMark/>
          </w:tcPr>
          <w:p w14:paraId="00CE3131"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£m</w:t>
            </w:r>
          </w:p>
        </w:tc>
        <w:tc>
          <w:tcPr>
            <w:tcW w:w="236" w:type="dxa"/>
            <w:vAlign w:val="center"/>
            <w:hideMark/>
          </w:tcPr>
          <w:p w14:paraId="0141E492"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1C9B417D" w14:textId="77777777" w:rsidTr="00431EB9">
        <w:trPr>
          <w:trHeight w:val="300"/>
        </w:trPr>
        <w:tc>
          <w:tcPr>
            <w:tcW w:w="2520" w:type="dxa"/>
            <w:gridSpan w:val="2"/>
            <w:tcBorders>
              <w:top w:val="nil"/>
              <w:left w:val="nil"/>
              <w:bottom w:val="nil"/>
              <w:right w:val="nil"/>
            </w:tcBorders>
            <w:shd w:val="clear" w:color="000000" w:fill="FFFFFF"/>
            <w:noWrap/>
            <w:vAlign w:val="bottom"/>
            <w:hideMark/>
          </w:tcPr>
          <w:p w14:paraId="5448A930"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Operating (loss) / profit (as above)</w:t>
            </w:r>
          </w:p>
        </w:tc>
        <w:tc>
          <w:tcPr>
            <w:tcW w:w="400" w:type="dxa"/>
            <w:tcBorders>
              <w:top w:val="nil"/>
              <w:left w:val="nil"/>
              <w:bottom w:val="nil"/>
              <w:right w:val="nil"/>
            </w:tcBorders>
            <w:shd w:val="clear" w:color="000000" w:fill="FFFFFF"/>
            <w:noWrap/>
            <w:vAlign w:val="bottom"/>
            <w:hideMark/>
          </w:tcPr>
          <w:p w14:paraId="028F736D"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nil"/>
              <w:right w:val="nil"/>
            </w:tcBorders>
            <w:shd w:val="clear" w:color="000000" w:fill="FFFFFF"/>
            <w:noWrap/>
            <w:vAlign w:val="bottom"/>
            <w:hideMark/>
          </w:tcPr>
          <w:p w14:paraId="544BE008"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74" w:type="dxa"/>
            <w:tcBorders>
              <w:top w:val="nil"/>
              <w:left w:val="nil"/>
              <w:bottom w:val="nil"/>
              <w:right w:val="nil"/>
            </w:tcBorders>
            <w:shd w:val="clear" w:color="000000" w:fill="FFFFFF"/>
            <w:noWrap/>
            <w:vAlign w:val="bottom"/>
            <w:hideMark/>
          </w:tcPr>
          <w:p w14:paraId="7DDE7F07" w14:textId="77777777" w:rsidR="0024227B" w:rsidRPr="0024227B" w:rsidRDefault="0024227B" w:rsidP="0024227B">
            <w:pPr>
              <w:spacing w:after="0" w:line="240" w:lineRule="auto"/>
              <w:rPr>
                <w:rFonts w:ascii="Arial" w:eastAsia="Times New Roman" w:hAnsi="Arial" w:cs="Arial"/>
                <w:sz w:val="14"/>
                <w:szCs w:val="14"/>
                <w:lang w:eastAsia="en-GB"/>
              </w:rPr>
            </w:pPr>
            <w:r w:rsidRPr="0024227B">
              <w:rPr>
                <w:rFonts w:ascii="Arial" w:eastAsia="Times New Roman" w:hAnsi="Arial" w:cs="Arial"/>
                <w:sz w:val="14"/>
                <w:szCs w:val="14"/>
                <w:lang w:eastAsia="en-GB"/>
              </w:rPr>
              <w:t> </w:t>
            </w:r>
          </w:p>
        </w:tc>
        <w:tc>
          <w:tcPr>
            <w:tcW w:w="1417" w:type="dxa"/>
            <w:tcBorders>
              <w:top w:val="nil"/>
              <w:left w:val="nil"/>
              <w:bottom w:val="nil"/>
              <w:right w:val="nil"/>
            </w:tcBorders>
            <w:shd w:val="clear" w:color="auto" w:fill="CCECFF"/>
            <w:noWrap/>
            <w:vAlign w:val="bottom"/>
            <w:hideMark/>
          </w:tcPr>
          <w:p w14:paraId="5BBC2481"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(20)</w:t>
            </w:r>
          </w:p>
        </w:tc>
        <w:tc>
          <w:tcPr>
            <w:tcW w:w="1560" w:type="dxa"/>
            <w:tcBorders>
              <w:top w:val="nil"/>
              <w:left w:val="nil"/>
              <w:bottom w:val="nil"/>
              <w:right w:val="nil"/>
            </w:tcBorders>
            <w:shd w:val="clear" w:color="000000" w:fill="FFFFFF"/>
            <w:noWrap/>
            <w:vAlign w:val="bottom"/>
            <w:hideMark/>
          </w:tcPr>
          <w:p w14:paraId="5BD15788"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8 </w:t>
            </w:r>
          </w:p>
        </w:tc>
        <w:tc>
          <w:tcPr>
            <w:tcW w:w="1559" w:type="dxa"/>
            <w:tcBorders>
              <w:top w:val="nil"/>
              <w:left w:val="nil"/>
              <w:bottom w:val="nil"/>
              <w:right w:val="nil"/>
            </w:tcBorders>
            <w:shd w:val="clear" w:color="000000" w:fill="FFFFFF"/>
            <w:noWrap/>
            <w:vAlign w:val="bottom"/>
            <w:hideMark/>
          </w:tcPr>
          <w:p w14:paraId="0917E11D"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64 </w:t>
            </w:r>
          </w:p>
        </w:tc>
        <w:tc>
          <w:tcPr>
            <w:tcW w:w="236" w:type="dxa"/>
            <w:vAlign w:val="center"/>
            <w:hideMark/>
          </w:tcPr>
          <w:p w14:paraId="7423CDCE"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2933D70B" w14:textId="77777777" w:rsidTr="00431EB9">
        <w:trPr>
          <w:trHeight w:val="300"/>
        </w:trPr>
        <w:tc>
          <w:tcPr>
            <w:tcW w:w="1600" w:type="dxa"/>
            <w:tcBorders>
              <w:top w:val="nil"/>
              <w:left w:val="nil"/>
              <w:bottom w:val="nil"/>
              <w:right w:val="nil"/>
            </w:tcBorders>
            <w:shd w:val="clear" w:color="000000" w:fill="FFFFFF"/>
            <w:noWrap/>
            <w:vAlign w:val="bottom"/>
            <w:hideMark/>
          </w:tcPr>
          <w:p w14:paraId="0B2C1063"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Add back / (deduct):</w:t>
            </w:r>
          </w:p>
        </w:tc>
        <w:tc>
          <w:tcPr>
            <w:tcW w:w="920" w:type="dxa"/>
            <w:tcBorders>
              <w:top w:val="nil"/>
              <w:left w:val="nil"/>
              <w:bottom w:val="nil"/>
              <w:right w:val="nil"/>
            </w:tcBorders>
            <w:shd w:val="clear" w:color="000000" w:fill="FFFFFF"/>
            <w:noWrap/>
            <w:vAlign w:val="bottom"/>
            <w:hideMark/>
          </w:tcPr>
          <w:p w14:paraId="347D4D61"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400" w:type="dxa"/>
            <w:tcBorders>
              <w:top w:val="nil"/>
              <w:left w:val="nil"/>
              <w:bottom w:val="nil"/>
              <w:right w:val="nil"/>
            </w:tcBorders>
            <w:shd w:val="clear" w:color="000000" w:fill="FFFFFF"/>
            <w:noWrap/>
            <w:vAlign w:val="bottom"/>
            <w:hideMark/>
          </w:tcPr>
          <w:p w14:paraId="460E4A8B"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nil"/>
              <w:right w:val="nil"/>
            </w:tcBorders>
            <w:shd w:val="clear" w:color="000000" w:fill="FFFFFF"/>
            <w:noWrap/>
            <w:vAlign w:val="bottom"/>
            <w:hideMark/>
          </w:tcPr>
          <w:p w14:paraId="2D4E9B34"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74" w:type="dxa"/>
            <w:tcBorders>
              <w:top w:val="nil"/>
              <w:left w:val="nil"/>
              <w:bottom w:val="nil"/>
              <w:right w:val="nil"/>
            </w:tcBorders>
            <w:shd w:val="clear" w:color="000000" w:fill="FFFFFF"/>
            <w:noWrap/>
            <w:vAlign w:val="bottom"/>
            <w:hideMark/>
          </w:tcPr>
          <w:p w14:paraId="3BA4D22A" w14:textId="77777777" w:rsidR="0024227B" w:rsidRPr="0024227B" w:rsidRDefault="0024227B" w:rsidP="0024227B">
            <w:pPr>
              <w:spacing w:after="0" w:line="240" w:lineRule="auto"/>
              <w:rPr>
                <w:rFonts w:ascii="Arial" w:eastAsia="Times New Roman" w:hAnsi="Arial" w:cs="Arial"/>
                <w:sz w:val="14"/>
                <w:szCs w:val="14"/>
                <w:lang w:eastAsia="en-GB"/>
              </w:rPr>
            </w:pPr>
            <w:r w:rsidRPr="0024227B">
              <w:rPr>
                <w:rFonts w:ascii="Arial" w:eastAsia="Times New Roman" w:hAnsi="Arial" w:cs="Arial"/>
                <w:sz w:val="14"/>
                <w:szCs w:val="14"/>
                <w:lang w:eastAsia="en-GB"/>
              </w:rPr>
              <w:t> </w:t>
            </w:r>
          </w:p>
        </w:tc>
        <w:tc>
          <w:tcPr>
            <w:tcW w:w="1417" w:type="dxa"/>
            <w:tcBorders>
              <w:top w:val="nil"/>
              <w:left w:val="nil"/>
              <w:bottom w:val="nil"/>
              <w:right w:val="nil"/>
            </w:tcBorders>
            <w:shd w:val="clear" w:color="auto" w:fill="CCECFF"/>
            <w:noWrap/>
            <w:vAlign w:val="bottom"/>
            <w:hideMark/>
          </w:tcPr>
          <w:p w14:paraId="3D1F588B" w14:textId="77777777" w:rsidR="0024227B" w:rsidRPr="0024227B" w:rsidRDefault="0024227B" w:rsidP="0024227B">
            <w:pPr>
              <w:spacing w:after="0" w:line="240" w:lineRule="auto"/>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 </w:t>
            </w:r>
          </w:p>
        </w:tc>
        <w:tc>
          <w:tcPr>
            <w:tcW w:w="1560" w:type="dxa"/>
            <w:tcBorders>
              <w:top w:val="nil"/>
              <w:left w:val="nil"/>
              <w:bottom w:val="nil"/>
              <w:right w:val="nil"/>
            </w:tcBorders>
            <w:shd w:val="clear" w:color="000000" w:fill="FFFFFF"/>
            <w:noWrap/>
            <w:vAlign w:val="bottom"/>
            <w:hideMark/>
          </w:tcPr>
          <w:p w14:paraId="7694AAAE"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59" w:type="dxa"/>
            <w:tcBorders>
              <w:top w:val="nil"/>
              <w:left w:val="nil"/>
              <w:bottom w:val="nil"/>
              <w:right w:val="nil"/>
            </w:tcBorders>
            <w:shd w:val="clear" w:color="000000" w:fill="FFFFFF"/>
            <w:noWrap/>
            <w:vAlign w:val="bottom"/>
            <w:hideMark/>
          </w:tcPr>
          <w:p w14:paraId="4064BB6A"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236" w:type="dxa"/>
            <w:vAlign w:val="center"/>
            <w:hideMark/>
          </w:tcPr>
          <w:p w14:paraId="7376A20E"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008BAF32" w14:textId="77777777" w:rsidTr="00431EB9">
        <w:trPr>
          <w:trHeight w:val="300"/>
        </w:trPr>
        <w:tc>
          <w:tcPr>
            <w:tcW w:w="1600" w:type="dxa"/>
            <w:tcBorders>
              <w:top w:val="nil"/>
              <w:left w:val="nil"/>
              <w:bottom w:val="nil"/>
              <w:right w:val="nil"/>
            </w:tcBorders>
            <w:shd w:val="clear" w:color="000000" w:fill="FFFFFF"/>
            <w:noWrap/>
            <w:vAlign w:val="bottom"/>
            <w:hideMark/>
          </w:tcPr>
          <w:p w14:paraId="44CD8076"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    One-off items</w:t>
            </w:r>
          </w:p>
        </w:tc>
        <w:tc>
          <w:tcPr>
            <w:tcW w:w="920" w:type="dxa"/>
            <w:tcBorders>
              <w:top w:val="nil"/>
              <w:left w:val="nil"/>
              <w:bottom w:val="nil"/>
              <w:right w:val="nil"/>
            </w:tcBorders>
            <w:shd w:val="clear" w:color="000000" w:fill="FFFFFF"/>
            <w:noWrap/>
            <w:vAlign w:val="bottom"/>
            <w:hideMark/>
          </w:tcPr>
          <w:p w14:paraId="1AC602F0"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400" w:type="dxa"/>
            <w:tcBorders>
              <w:top w:val="nil"/>
              <w:left w:val="nil"/>
              <w:bottom w:val="nil"/>
              <w:right w:val="nil"/>
            </w:tcBorders>
            <w:shd w:val="clear" w:color="000000" w:fill="FFFFFF"/>
            <w:noWrap/>
            <w:vAlign w:val="bottom"/>
            <w:hideMark/>
          </w:tcPr>
          <w:p w14:paraId="396B8362"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nil"/>
              <w:right w:val="nil"/>
            </w:tcBorders>
            <w:shd w:val="clear" w:color="000000" w:fill="FFFFFF"/>
            <w:noWrap/>
            <w:vAlign w:val="bottom"/>
            <w:hideMark/>
          </w:tcPr>
          <w:p w14:paraId="6C9C2A67"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74" w:type="dxa"/>
            <w:tcBorders>
              <w:top w:val="nil"/>
              <w:left w:val="nil"/>
              <w:bottom w:val="nil"/>
              <w:right w:val="nil"/>
            </w:tcBorders>
            <w:shd w:val="clear" w:color="000000" w:fill="FFFFFF"/>
            <w:noWrap/>
            <w:vAlign w:val="bottom"/>
            <w:hideMark/>
          </w:tcPr>
          <w:p w14:paraId="3E13AF86"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1</w:t>
            </w:r>
          </w:p>
        </w:tc>
        <w:tc>
          <w:tcPr>
            <w:tcW w:w="1417" w:type="dxa"/>
            <w:tcBorders>
              <w:top w:val="nil"/>
              <w:left w:val="nil"/>
              <w:bottom w:val="nil"/>
              <w:right w:val="nil"/>
            </w:tcBorders>
            <w:shd w:val="clear" w:color="auto" w:fill="CCECFF"/>
            <w:noWrap/>
            <w:vAlign w:val="bottom"/>
            <w:hideMark/>
          </w:tcPr>
          <w:p w14:paraId="14417622"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 xml:space="preserve">1 </w:t>
            </w:r>
          </w:p>
        </w:tc>
        <w:tc>
          <w:tcPr>
            <w:tcW w:w="1560" w:type="dxa"/>
            <w:tcBorders>
              <w:top w:val="nil"/>
              <w:left w:val="nil"/>
              <w:bottom w:val="nil"/>
              <w:right w:val="nil"/>
            </w:tcBorders>
            <w:shd w:val="clear" w:color="000000" w:fill="FFFFFF"/>
            <w:noWrap/>
            <w:vAlign w:val="bottom"/>
            <w:hideMark/>
          </w:tcPr>
          <w:p w14:paraId="2E5DB0A6"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17 </w:t>
            </w:r>
          </w:p>
        </w:tc>
        <w:tc>
          <w:tcPr>
            <w:tcW w:w="1559" w:type="dxa"/>
            <w:tcBorders>
              <w:top w:val="nil"/>
              <w:left w:val="nil"/>
              <w:bottom w:val="nil"/>
              <w:right w:val="nil"/>
            </w:tcBorders>
            <w:shd w:val="clear" w:color="000000" w:fill="FFFFFF"/>
            <w:noWrap/>
            <w:vAlign w:val="bottom"/>
            <w:hideMark/>
          </w:tcPr>
          <w:p w14:paraId="5B4E8FEB"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15 </w:t>
            </w:r>
          </w:p>
        </w:tc>
        <w:tc>
          <w:tcPr>
            <w:tcW w:w="236" w:type="dxa"/>
            <w:vAlign w:val="center"/>
            <w:hideMark/>
          </w:tcPr>
          <w:p w14:paraId="6FF40C60"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0EE8B5A6" w14:textId="77777777" w:rsidTr="00431EB9">
        <w:trPr>
          <w:trHeight w:val="300"/>
        </w:trPr>
        <w:tc>
          <w:tcPr>
            <w:tcW w:w="4380" w:type="dxa"/>
            <w:gridSpan w:val="4"/>
            <w:tcBorders>
              <w:top w:val="nil"/>
              <w:left w:val="nil"/>
              <w:bottom w:val="nil"/>
              <w:right w:val="nil"/>
            </w:tcBorders>
            <w:shd w:val="clear" w:color="000000" w:fill="FFFFFF"/>
            <w:noWrap/>
            <w:vAlign w:val="bottom"/>
            <w:hideMark/>
          </w:tcPr>
          <w:p w14:paraId="09CCCF6F"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    Property, business disposals and closures</w:t>
            </w:r>
          </w:p>
        </w:tc>
        <w:tc>
          <w:tcPr>
            <w:tcW w:w="1574" w:type="dxa"/>
            <w:tcBorders>
              <w:top w:val="nil"/>
              <w:left w:val="nil"/>
              <w:bottom w:val="nil"/>
              <w:right w:val="nil"/>
            </w:tcBorders>
            <w:shd w:val="clear" w:color="000000" w:fill="FFFFFF"/>
            <w:noWrap/>
            <w:vAlign w:val="bottom"/>
            <w:hideMark/>
          </w:tcPr>
          <w:p w14:paraId="113E86A2"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1</w:t>
            </w:r>
          </w:p>
        </w:tc>
        <w:tc>
          <w:tcPr>
            <w:tcW w:w="1417" w:type="dxa"/>
            <w:tcBorders>
              <w:top w:val="nil"/>
              <w:left w:val="nil"/>
              <w:bottom w:val="nil"/>
              <w:right w:val="nil"/>
            </w:tcBorders>
            <w:shd w:val="clear" w:color="auto" w:fill="CCECFF"/>
            <w:noWrap/>
            <w:vAlign w:val="bottom"/>
            <w:hideMark/>
          </w:tcPr>
          <w:p w14:paraId="26BFA166"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 xml:space="preserve">34 </w:t>
            </w:r>
          </w:p>
        </w:tc>
        <w:tc>
          <w:tcPr>
            <w:tcW w:w="1560" w:type="dxa"/>
            <w:tcBorders>
              <w:top w:val="nil"/>
              <w:left w:val="nil"/>
              <w:bottom w:val="nil"/>
              <w:right w:val="nil"/>
            </w:tcBorders>
            <w:shd w:val="clear" w:color="000000" w:fill="FFFFFF"/>
            <w:noWrap/>
            <w:vAlign w:val="bottom"/>
            <w:hideMark/>
          </w:tcPr>
          <w:p w14:paraId="209F8C27"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26 </w:t>
            </w:r>
          </w:p>
        </w:tc>
        <w:tc>
          <w:tcPr>
            <w:tcW w:w="1559" w:type="dxa"/>
            <w:tcBorders>
              <w:top w:val="nil"/>
              <w:left w:val="nil"/>
              <w:bottom w:val="nil"/>
              <w:right w:val="nil"/>
            </w:tcBorders>
            <w:shd w:val="clear" w:color="000000" w:fill="FFFFFF"/>
            <w:noWrap/>
            <w:vAlign w:val="bottom"/>
            <w:hideMark/>
          </w:tcPr>
          <w:p w14:paraId="23D077F1"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30 </w:t>
            </w:r>
          </w:p>
        </w:tc>
        <w:tc>
          <w:tcPr>
            <w:tcW w:w="236" w:type="dxa"/>
            <w:vAlign w:val="center"/>
            <w:hideMark/>
          </w:tcPr>
          <w:p w14:paraId="0F962A7D"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31E9C07B" w14:textId="77777777" w:rsidTr="00431EB9">
        <w:trPr>
          <w:trHeight w:val="300"/>
        </w:trPr>
        <w:tc>
          <w:tcPr>
            <w:tcW w:w="4380" w:type="dxa"/>
            <w:gridSpan w:val="4"/>
            <w:tcBorders>
              <w:top w:val="nil"/>
              <w:left w:val="nil"/>
              <w:bottom w:val="nil"/>
              <w:right w:val="nil"/>
            </w:tcBorders>
            <w:shd w:val="clear" w:color="000000" w:fill="FFFFFF"/>
            <w:noWrap/>
            <w:vAlign w:val="bottom"/>
            <w:hideMark/>
          </w:tcPr>
          <w:p w14:paraId="108D4DED"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    Change in value of investment properties</w:t>
            </w:r>
          </w:p>
        </w:tc>
        <w:tc>
          <w:tcPr>
            <w:tcW w:w="1574" w:type="dxa"/>
            <w:tcBorders>
              <w:top w:val="nil"/>
              <w:left w:val="nil"/>
              <w:bottom w:val="nil"/>
              <w:right w:val="nil"/>
            </w:tcBorders>
            <w:shd w:val="clear" w:color="000000" w:fill="FFFFFF"/>
            <w:noWrap/>
            <w:vAlign w:val="bottom"/>
            <w:hideMark/>
          </w:tcPr>
          <w:p w14:paraId="17F34A2A"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17" w:type="dxa"/>
            <w:tcBorders>
              <w:top w:val="nil"/>
              <w:left w:val="nil"/>
              <w:bottom w:val="nil"/>
              <w:right w:val="nil"/>
            </w:tcBorders>
            <w:shd w:val="clear" w:color="auto" w:fill="CCECFF"/>
            <w:noWrap/>
            <w:vAlign w:val="bottom"/>
            <w:hideMark/>
          </w:tcPr>
          <w:p w14:paraId="6B70ECE8"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 xml:space="preserve">3 </w:t>
            </w:r>
          </w:p>
        </w:tc>
        <w:tc>
          <w:tcPr>
            <w:tcW w:w="1560" w:type="dxa"/>
            <w:tcBorders>
              <w:top w:val="nil"/>
              <w:left w:val="nil"/>
              <w:bottom w:val="nil"/>
              <w:right w:val="nil"/>
            </w:tcBorders>
            <w:shd w:val="clear" w:color="000000" w:fill="FFFFFF"/>
            <w:noWrap/>
            <w:vAlign w:val="bottom"/>
            <w:hideMark/>
          </w:tcPr>
          <w:p w14:paraId="663D78F4"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 </w:t>
            </w:r>
          </w:p>
        </w:tc>
        <w:tc>
          <w:tcPr>
            <w:tcW w:w="1559" w:type="dxa"/>
            <w:tcBorders>
              <w:top w:val="nil"/>
              <w:left w:val="nil"/>
              <w:bottom w:val="nil"/>
              <w:right w:val="nil"/>
            </w:tcBorders>
            <w:shd w:val="clear" w:color="000000" w:fill="FFFFFF"/>
            <w:noWrap/>
            <w:vAlign w:val="bottom"/>
            <w:hideMark/>
          </w:tcPr>
          <w:p w14:paraId="5F5603D4"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(9)</w:t>
            </w:r>
          </w:p>
        </w:tc>
        <w:tc>
          <w:tcPr>
            <w:tcW w:w="236" w:type="dxa"/>
            <w:vAlign w:val="center"/>
            <w:hideMark/>
          </w:tcPr>
          <w:p w14:paraId="01DDB808"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0FD73762" w14:textId="77777777" w:rsidTr="00431EB9">
        <w:trPr>
          <w:trHeight w:val="300"/>
        </w:trPr>
        <w:tc>
          <w:tcPr>
            <w:tcW w:w="2520" w:type="dxa"/>
            <w:gridSpan w:val="2"/>
            <w:tcBorders>
              <w:top w:val="single" w:sz="4" w:space="0" w:color="BFBFBF"/>
              <w:left w:val="nil"/>
              <w:bottom w:val="single" w:sz="4" w:space="0" w:color="BFBFBF"/>
              <w:right w:val="nil"/>
            </w:tcBorders>
            <w:shd w:val="clear" w:color="000000" w:fill="FFFFFF"/>
            <w:noWrap/>
            <w:vAlign w:val="bottom"/>
            <w:hideMark/>
          </w:tcPr>
          <w:p w14:paraId="6F8A03A7" w14:textId="77777777" w:rsidR="0024227B" w:rsidRPr="0024227B" w:rsidRDefault="0024227B" w:rsidP="0024227B">
            <w:pPr>
              <w:spacing w:after="0" w:line="240" w:lineRule="auto"/>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Underlying operating profit</w:t>
            </w:r>
          </w:p>
        </w:tc>
        <w:tc>
          <w:tcPr>
            <w:tcW w:w="400" w:type="dxa"/>
            <w:tcBorders>
              <w:top w:val="single" w:sz="4" w:space="0" w:color="BFBFBF"/>
              <w:left w:val="nil"/>
              <w:bottom w:val="single" w:sz="4" w:space="0" w:color="BFBFBF"/>
              <w:right w:val="nil"/>
            </w:tcBorders>
            <w:shd w:val="clear" w:color="000000" w:fill="FFFFFF"/>
            <w:noWrap/>
            <w:vAlign w:val="bottom"/>
            <w:hideMark/>
          </w:tcPr>
          <w:p w14:paraId="1CBB0DC3"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single" w:sz="4" w:space="0" w:color="BFBFBF"/>
              <w:left w:val="nil"/>
              <w:bottom w:val="single" w:sz="4" w:space="0" w:color="BFBFBF"/>
              <w:right w:val="nil"/>
            </w:tcBorders>
            <w:shd w:val="clear" w:color="000000" w:fill="FFFFFF"/>
            <w:noWrap/>
            <w:vAlign w:val="bottom"/>
            <w:hideMark/>
          </w:tcPr>
          <w:p w14:paraId="4F0BC17D"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74" w:type="dxa"/>
            <w:tcBorders>
              <w:top w:val="single" w:sz="4" w:space="0" w:color="BFBFBF"/>
              <w:left w:val="nil"/>
              <w:bottom w:val="single" w:sz="4" w:space="0" w:color="BFBFBF"/>
              <w:right w:val="nil"/>
            </w:tcBorders>
            <w:shd w:val="clear" w:color="000000" w:fill="FFFFFF"/>
            <w:noWrap/>
            <w:vAlign w:val="bottom"/>
            <w:hideMark/>
          </w:tcPr>
          <w:p w14:paraId="110AB579"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17" w:type="dxa"/>
            <w:tcBorders>
              <w:top w:val="single" w:sz="4" w:space="0" w:color="BFBFBF"/>
              <w:left w:val="nil"/>
              <w:bottom w:val="single" w:sz="4" w:space="0" w:color="BFBFBF"/>
              <w:right w:val="nil"/>
            </w:tcBorders>
            <w:shd w:val="clear" w:color="auto" w:fill="CCECFF"/>
            <w:noWrap/>
            <w:vAlign w:val="bottom"/>
            <w:hideMark/>
          </w:tcPr>
          <w:p w14:paraId="62E0AD5C"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 xml:space="preserve">18 </w:t>
            </w:r>
          </w:p>
        </w:tc>
        <w:tc>
          <w:tcPr>
            <w:tcW w:w="1560" w:type="dxa"/>
            <w:tcBorders>
              <w:top w:val="single" w:sz="4" w:space="0" w:color="BFBFBF"/>
              <w:left w:val="nil"/>
              <w:bottom w:val="single" w:sz="4" w:space="0" w:color="BFBFBF"/>
              <w:right w:val="nil"/>
            </w:tcBorders>
            <w:shd w:val="clear" w:color="000000" w:fill="FFFFFF"/>
            <w:noWrap/>
            <w:vAlign w:val="bottom"/>
            <w:hideMark/>
          </w:tcPr>
          <w:p w14:paraId="60678A6C"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51 </w:t>
            </w:r>
          </w:p>
        </w:tc>
        <w:tc>
          <w:tcPr>
            <w:tcW w:w="1559" w:type="dxa"/>
            <w:tcBorders>
              <w:top w:val="single" w:sz="4" w:space="0" w:color="BFBFBF"/>
              <w:left w:val="nil"/>
              <w:bottom w:val="single" w:sz="4" w:space="0" w:color="BFBFBF"/>
              <w:right w:val="nil"/>
            </w:tcBorders>
            <w:shd w:val="clear" w:color="000000" w:fill="FFFFFF"/>
            <w:noWrap/>
            <w:vAlign w:val="bottom"/>
            <w:hideMark/>
          </w:tcPr>
          <w:p w14:paraId="7F362F91"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xml:space="preserve">100 </w:t>
            </w:r>
          </w:p>
        </w:tc>
        <w:tc>
          <w:tcPr>
            <w:tcW w:w="236" w:type="dxa"/>
            <w:vAlign w:val="center"/>
            <w:hideMark/>
          </w:tcPr>
          <w:p w14:paraId="5CCBC1D0"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2E6FC1D7" w14:textId="77777777" w:rsidTr="00431EB9">
        <w:trPr>
          <w:trHeight w:val="300"/>
        </w:trPr>
        <w:tc>
          <w:tcPr>
            <w:tcW w:w="2920" w:type="dxa"/>
            <w:gridSpan w:val="3"/>
            <w:tcBorders>
              <w:top w:val="nil"/>
              <w:left w:val="nil"/>
              <w:bottom w:val="nil"/>
              <w:right w:val="nil"/>
            </w:tcBorders>
            <w:shd w:val="clear" w:color="000000" w:fill="FFFFFF"/>
            <w:noWrap/>
            <w:vAlign w:val="bottom"/>
            <w:hideMark/>
          </w:tcPr>
          <w:p w14:paraId="4E7476E1"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Less underlying loan interest payable</w:t>
            </w:r>
          </w:p>
        </w:tc>
        <w:tc>
          <w:tcPr>
            <w:tcW w:w="1460" w:type="dxa"/>
            <w:tcBorders>
              <w:top w:val="nil"/>
              <w:left w:val="nil"/>
              <w:bottom w:val="nil"/>
              <w:right w:val="nil"/>
            </w:tcBorders>
            <w:shd w:val="clear" w:color="000000" w:fill="FFFFFF"/>
            <w:noWrap/>
            <w:vAlign w:val="bottom"/>
            <w:hideMark/>
          </w:tcPr>
          <w:p w14:paraId="65016C21"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74" w:type="dxa"/>
            <w:tcBorders>
              <w:top w:val="nil"/>
              <w:left w:val="nil"/>
              <w:bottom w:val="nil"/>
              <w:right w:val="nil"/>
            </w:tcBorders>
            <w:shd w:val="clear" w:color="000000" w:fill="FFFFFF"/>
            <w:noWrap/>
            <w:vAlign w:val="bottom"/>
            <w:hideMark/>
          </w:tcPr>
          <w:p w14:paraId="029E1864"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4</w:t>
            </w:r>
          </w:p>
        </w:tc>
        <w:tc>
          <w:tcPr>
            <w:tcW w:w="1417" w:type="dxa"/>
            <w:tcBorders>
              <w:top w:val="nil"/>
              <w:left w:val="nil"/>
              <w:bottom w:val="nil"/>
              <w:right w:val="nil"/>
            </w:tcBorders>
            <w:shd w:val="clear" w:color="auto" w:fill="CCECFF"/>
            <w:noWrap/>
            <w:vAlign w:val="bottom"/>
            <w:hideMark/>
          </w:tcPr>
          <w:p w14:paraId="061A651C"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(28)</w:t>
            </w:r>
          </w:p>
        </w:tc>
        <w:tc>
          <w:tcPr>
            <w:tcW w:w="1560" w:type="dxa"/>
            <w:tcBorders>
              <w:top w:val="nil"/>
              <w:left w:val="nil"/>
              <w:bottom w:val="nil"/>
              <w:right w:val="nil"/>
            </w:tcBorders>
            <w:shd w:val="clear" w:color="000000" w:fill="FFFFFF"/>
            <w:noWrap/>
            <w:vAlign w:val="bottom"/>
            <w:hideMark/>
          </w:tcPr>
          <w:p w14:paraId="3DA5A02B"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(29)</w:t>
            </w:r>
          </w:p>
        </w:tc>
        <w:tc>
          <w:tcPr>
            <w:tcW w:w="1559" w:type="dxa"/>
            <w:tcBorders>
              <w:top w:val="nil"/>
              <w:left w:val="nil"/>
              <w:bottom w:val="nil"/>
              <w:right w:val="nil"/>
            </w:tcBorders>
            <w:shd w:val="clear" w:color="000000" w:fill="FFFFFF"/>
            <w:noWrap/>
            <w:vAlign w:val="bottom"/>
            <w:hideMark/>
          </w:tcPr>
          <w:p w14:paraId="15FE568C"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(56)</w:t>
            </w:r>
          </w:p>
        </w:tc>
        <w:tc>
          <w:tcPr>
            <w:tcW w:w="236" w:type="dxa"/>
            <w:vAlign w:val="center"/>
            <w:hideMark/>
          </w:tcPr>
          <w:p w14:paraId="594B079C"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059194CB" w14:textId="77777777" w:rsidTr="00431EB9">
        <w:trPr>
          <w:trHeight w:val="300"/>
        </w:trPr>
        <w:tc>
          <w:tcPr>
            <w:tcW w:w="4380" w:type="dxa"/>
            <w:gridSpan w:val="4"/>
            <w:tcBorders>
              <w:top w:val="nil"/>
              <w:left w:val="nil"/>
              <w:bottom w:val="nil"/>
              <w:right w:val="nil"/>
            </w:tcBorders>
            <w:shd w:val="clear" w:color="000000" w:fill="FFFFFF"/>
            <w:noWrap/>
            <w:vAlign w:val="bottom"/>
            <w:hideMark/>
          </w:tcPr>
          <w:p w14:paraId="106C2A9A"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Less underlying net interest expense on lease liabilities</w:t>
            </w:r>
          </w:p>
        </w:tc>
        <w:tc>
          <w:tcPr>
            <w:tcW w:w="1574" w:type="dxa"/>
            <w:tcBorders>
              <w:top w:val="nil"/>
              <w:left w:val="nil"/>
              <w:bottom w:val="nil"/>
              <w:right w:val="nil"/>
            </w:tcBorders>
            <w:shd w:val="clear" w:color="000000" w:fill="FFFFFF"/>
            <w:noWrap/>
            <w:vAlign w:val="bottom"/>
            <w:hideMark/>
          </w:tcPr>
          <w:p w14:paraId="20AB1317"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3, 4</w:t>
            </w:r>
          </w:p>
        </w:tc>
        <w:tc>
          <w:tcPr>
            <w:tcW w:w="1417" w:type="dxa"/>
            <w:tcBorders>
              <w:top w:val="nil"/>
              <w:left w:val="nil"/>
              <w:bottom w:val="nil"/>
              <w:right w:val="nil"/>
            </w:tcBorders>
            <w:shd w:val="clear" w:color="auto" w:fill="CCECFF"/>
            <w:noWrap/>
            <w:vAlign w:val="bottom"/>
            <w:hideMark/>
          </w:tcPr>
          <w:p w14:paraId="5E081539"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(39)</w:t>
            </w:r>
          </w:p>
        </w:tc>
        <w:tc>
          <w:tcPr>
            <w:tcW w:w="1560" w:type="dxa"/>
            <w:tcBorders>
              <w:top w:val="nil"/>
              <w:left w:val="nil"/>
              <w:bottom w:val="nil"/>
              <w:right w:val="nil"/>
            </w:tcBorders>
            <w:shd w:val="clear" w:color="000000" w:fill="FFFFFF"/>
            <w:noWrap/>
            <w:vAlign w:val="bottom"/>
            <w:hideMark/>
          </w:tcPr>
          <w:p w14:paraId="77230A90"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(37)</w:t>
            </w:r>
          </w:p>
        </w:tc>
        <w:tc>
          <w:tcPr>
            <w:tcW w:w="1559" w:type="dxa"/>
            <w:tcBorders>
              <w:top w:val="nil"/>
              <w:left w:val="nil"/>
              <w:bottom w:val="nil"/>
              <w:right w:val="nil"/>
            </w:tcBorders>
            <w:shd w:val="clear" w:color="000000" w:fill="FFFFFF"/>
            <w:noWrap/>
            <w:vAlign w:val="bottom"/>
            <w:hideMark/>
          </w:tcPr>
          <w:p w14:paraId="165934DF"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(76)</w:t>
            </w:r>
          </w:p>
        </w:tc>
        <w:tc>
          <w:tcPr>
            <w:tcW w:w="236" w:type="dxa"/>
            <w:vAlign w:val="center"/>
            <w:hideMark/>
          </w:tcPr>
          <w:p w14:paraId="774DFA8B"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71F41C74" w14:textId="77777777" w:rsidTr="00431EB9">
        <w:trPr>
          <w:trHeight w:val="259"/>
        </w:trPr>
        <w:tc>
          <w:tcPr>
            <w:tcW w:w="2520" w:type="dxa"/>
            <w:gridSpan w:val="2"/>
            <w:tcBorders>
              <w:top w:val="single" w:sz="4" w:space="0" w:color="BFBFBF"/>
              <w:left w:val="nil"/>
              <w:bottom w:val="single" w:sz="4" w:space="0" w:color="BFBFBF"/>
              <w:right w:val="nil"/>
            </w:tcBorders>
            <w:shd w:val="clear" w:color="000000" w:fill="FFFFFF"/>
            <w:noWrap/>
            <w:vAlign w:val="bottom"/>
            <w:hideMark/>
          </w:tcPr>
          <w:p w14:paraId="3D05F19C" w14:textId="77777777" w:rsidR="0024227B" w:rsidRPr="0024227B" w:rsidRDefault="0024227B" w:rsidP="0024227B">
            <w:pPr>
              <w:spacing w:after="0" w:line="240" w:lineRule="auto"/>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 xml:space="preserve">Underlying loss before tax </w:t>
            </w:r>
          </w:p>
        </w:tc>
        <w:tc>
          <w:tcPr>
            <w:tcW w:w="400" w:type="dxa"/>
            <w:tcBorders>
              <w:top w:val="single" w:sz="4" w:space="0" w:color="BFBFBF"/>
              <w:left w:val="nil"/>
              <w:bottom w:val="single" w:sz="4" w:space="0" w:color="BFBFBF"/>
              <w:right w:val="nil"/>
            </w:tcBorders>
            <w:shd w:val="clear" w:color="000000" w:fill="FFFFFF"/>
            <w:noWrap/>
            <w:vAlign w:val="bottom"/>
            <w:hideMark/>
          </w:tcPr>
          <w:p w14:paraId="2812BA8D" w14:textId="77777777" w:rsidR="0024227B" w:rsidRPr="0024227B" w:rsidRDefault="0024227B" w:rsidP="0024227B">
            <w:pPr>
              <w:spacing w:after="0" w:line="240" w:lineRule="auto"/>
              <w:rPr>
                <w:rFonts w:ascii="Arial" w:eastAsia="Times New Roman" w:hAnsi="Arial" w:cs="Arial"/>
                <w:b/>
                <w:bCs/>
                <w:sz w:val="14"/>
                <w:szCs w:val="14"/>
                <w:lang w:eastAsia="en-GB"/>
              </w:rPr>
            </w:pPr>
            <w:r w:rsidRPr="0024227B">
              <w:rPr>
                <w:rFonts w:ascii="Arial" w:eastAsia="Times New Roman" w:hAnsi="Arial" w:cs="Arial"/>
                <w:b/>
                <w:bCs/>
                <w:sz w:val="14"/>
                <w:szCs w:val="14"/>
                <w:lang w:eastAsia="en-GB"/>
              </w:rPr>
              <w:t> </w:t>
            </w:r>
          </w:p>
        </w:tc>
        <w:tc>
          <w:tcPr>
            <w:tcW w:w="1460" w:type="dxa"/>
            <w:tcBorders>
              <w:top w:val="single" w:sz="4" w:space="0" w:color="BFBFBF"/>
              <w:left w:val="nil"/>
              <w:bottom w:val="single" w:sz="4" w:space="0" w:color="BFBFBF"/>
              <w:right w:val="nil"/>
            </w:tcBorders>
            <w:shd w:val="clear" w:color="000000" w:fill="FFFFFF"/>
            <w:noWrap/>
            <w:vAlign w:val="bottom"/>
            <w:hideMark/>
          </w:tcPr>
          <w:p w14:paraId="718B74A2" w14:textId="77777777" w:rsidR="0024227B" w:rsidRPr="0024227B" w:rsidRDefault="0024227B" w:rsidP="0024227B">
            <w:pPr>
              <w:spacing w:after="0" w:line="240" w:lineRule="auto"/>
              <w:rPr>
                <w:rFonts w:ascii="Arial" w:eastAsia="Times New Roman" w:hAnsi="Arial" w:cs="Arial"/>
                <w:b/>
                <w:bCs/>
                <w:sz w:val="14"/>
                <w:szCs w:val="14"/>
                <w:lang w:eastAsia="en-GB"/>
              </w:rPr>
            </w:pPr>
            <w:r w:rsidRPr="0024227B">
              <w:rPr>
                <w:rFonts w:ascii="Arial" w:eastAsia="Times New Roman" w:hAnsi="Arial" w:cs="Arial"/>
                <w:b/>
                <w:bCs/>
                <w:sz w:val="14"/>
                <w:szCs w:val="14"/>
                <w:lang w:eastAsia="en-GB"/>
              </w:rPr>
              <w:t> </w:t>
            </w:r>
          </w:p>
        </w:tc>
        <w:tc>
          <w:tcPr>
            <w:tcW w:w="1574" w:type="dxa"/>
            <w:tcBorders>
              <w:top w:val="single" w:sz="4" w:space="0" w:color="BFBFBF"/>
              <w:left w:val="nil"/>
              <w:bottom w:val="single" w:sz="4" w:space="0" w:color="BFBFBF"/>
              <w:right w:val="nil"/>
            </w:tcBorders>
            <w:shd w:val="clear" w:color="000000" w:fill="FFFFFF"/>
            <w:noWrap/>
            <w:vAlign w:val="bottom"/>
            <w:hideMark/>
          </w:tcPr>
          <w:p w14:paraId="0E065AA6" w14:textId="77777777" w:rsidR="0024227B" w:rsidRPr="0024227B" w:rsidRDefault="0024227B" w:rsidP="0024227B">
            <w:pPr>
              <w:spacing w:after="0" w:line="240" w:lineRule="auto"/>
              <w:rPr>
                <w:rFonts w:ascii="Arial" w:eastAsia="Times New Roman" w:hAnsi="Arial" w:cs="Arial"/>
                <w:b/>
                <w:bCs/>
                <w:sz w:val="14"/>
                <w:szCs w:val="14"/>
                <w:lang w:eastAsia="en-GB"/>
              </w:rPr>
            </w:pPr>
            <w:r w:rsidRPr="0024227B">
              <w:rPr>
                <w:rFonts w:ascii="Arial" w:eastAsia="Times New Roman" w:hAnsi="Arial" w:cs="Arial"/>
                <w:b/>
                <w:bCs/>
                <w:sz w:val="14"/>
                <w:szCs w:val="14"/>
                <w:lang w:eastAsia="en-GB"/>
              </w:rPr>
              <w:t> </w:t>
            </w:r>
          </w:p>
        </w:tc>
        <w:tc>
          <w:tcPr>
            <w:tcW w:w="1417" w:type="dxa"/>
            <w:tcBorders>
              <w:top w:val="single" w:sz="4" w:space="0" w:color="BFBFBF"/>
              <w:left w:val="nil"/>
              <w:bottom w:val="single" w:sz="4" w:space="0" w:color="BFBFBF"/>
              <w:right w:val="nil"/>
            </w:tcBorders>
            <w:shd w:val="clear" w:color="auto" w:fill="CCECFF"/>
            <w:noWrap/>
            <w:vAlign w:val="bottom"/>
            <w:hideMark/>
          </w:tcPr>
          <w:p w14:paraId="24D04615"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(49)</w:t>
            </w:r>
          </w:p>
        </w:tc>
        <w:tc>
          <w:tcPr>
            <w:tcW w:w="1560" w:type="dxa"/>
            <w:tcBorders>
              <w:top w:val="single" w:sz="4" w:space="0" w:color="BFBFBF"/>
              <w:left w:val="nil"/>
              <w:bottom w:val="single" w:sz="4" w:space="0" w:color="BFBFBF"/>
              <w:right w:val="nil"/>
            </w:tcBorders>
            <w:shd w:val="clear" w:color="000000" w:fill="FFFFFF"/>
            <w:noWrap/>
            <w:vAlign w:val="bottom"/>
            <w:hideMark/>
          </w:tcPr>
          <w:p w14:paraId="651D5ACF"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(15)</w:t>
            </w:r>
          </w:p>
        </w:tc>
        <w:tc>
          <w:tcPr>
            <w:tcW w:w="1559" w:type="dxa"/>
            <w:tcBorders>
              <w:top w:val="single" w:sz="4" w:space="0" w:color="BFBFBF"/>
              <w:left w:val="nil"/>
              <w:bottom w:val="single" w:sz="4" w:space="0" w:color="BFBFBF"/>
              <w:right w:val="nil"/>
            </w:tcBorders>
            <w:shd w:val="clear" w:color="000000" w:fill="FFFFFF"/>
            <w:noWrap/>
            <w:vAlign w:val="bottom"/>
            <w:hideMark/>
          </w:tcPr>
          <w:p w14:paraId="3231A678"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(32)</w:t>
            </w:r>
          </w:p>
        </w:tc>
        <w:tc>
          <w:tcPr>
            <w:tcW w:w="236" w:type="dxa"/>
            <w:vAlign w:val="center"/>
            <w:hideMark/>
          </w:tcPr>
          <w:p w14:paraId="35CC1952"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431EB9" w:rsidRPr="0024227B" w14:paraId="3F794907" w14:textId="77777777" w:rsidTr="00431EB9">
        <w:trPr>
          <w:trHeight w:val="132"/>
        </w:trPr>
        <w:tc>
          <w:tcPr>
            <w:tcW w:w="1600" w:type="dxa"/>
            <w:tcBorders>
              <w:top w:val="nil"/>
              <w:left w:val="nil"/>
              <w:bottom w:val="nil"/>
              <w:right w:val="nil"/>
            </w:tcBorders>
            <w:shd w:val="clear" w:color="000000" w:fill="FFFFFF"/>
            <w:noWrap/>
            <w:vAlign w:val="bottom"/>
            <w:hideMark/>
          </w:tcPr>
          <w:p w14:paraId="3CF47ACA"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920" w:type="dxa"/>
            <w:tcBorders>
              <w:top w:val="nil"/>
              <w:left w:val="nil"/>
              <w:bottom w:val="nil"/>
              <w:right w:val="nil"/>
            </w:tcBorders>
            <w:shd w:val="clear" w:color="000000" w:fill="FFFFFF"/>
            <w:noWrap/>
            <w:vAlign w:val="bottom"/>
            <w:hideMark/>
          </w:tcPr>
          <w:p w14:paraId="0A17598C" w14:textId="7777777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400" w:type="dxa"/>
            <w:tcBorders>
              <w:top w:val="nil"/>
              <w:left w:val="nil"/>
              <w:bottom w:val="nil"/>
              <w:right w:val="nil"/>
            </w:tcBorders>
            <w:shd w:val="clear" w:color="000000" w:fill="FFFFFF"/>
            <w:noWrap/>
            <w:vAlign w:val="bottom"/>
            <w:hideMark/>
          </w:tcPr>
          <w:p w14:paraId="3CD3123F"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60" w:type="dxa"/>
            <w:tcBorders>
              <w:top w:val="nil"/>
              <w:left w:val="nil"/>
              <w:bottom w:val="nil"/>
              <w:right w:val="nil"/>
            </w:tcBorders>
            <w:shd w:val="clear" w:color="000000" w:fill="FFFFFF"/>
            <w:noWrap/>
            <w:vAlign w:val="bottom"/>
            <w:hideMark/>
          </w:tcPr>
          <w:p w14:paraId="086FD22F"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74" w:type="dxa"/>
            <w:tcBorders>
              <w:top w:val="nil"/>
              <w:left w:val="nil"/>
              <w:bottom w:val="nil"/>
              <w:right w:val="nil"/>
            </w:tcBorders>
            <w:shd w:val="clear" w:color="000000" w:fill="FFFFFF"/>
            <w:noWrap/>
            <w:vAlign w:val="bottom"/>
            <w:hideMark/>
          </w:tcPr>
          <w:p w14:paraId="44DEF9A4"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417" w:type="dxa"/>
            <w:tcBorders>
              <w:top w:val="nil"/>
              <w:left w:val="nil"/>
              <w:bottom w:val="nil"/>
              <w:right w:val="nil"/>
            </w:tcBorders>
            <w:shd w:val="clear" w:color="000000" w:fill="FFFFFF"/>
            <w:noWrap/>
            <w:vAlign w:val="bottom"/>
            <w:hideMark/>
          </w:tcPr>
          <w:p w14:paraId="391BD4A2" w14:textId="77777777" w:rsidR="0024227B" w:rsidRPr="0024227B" w:rsidRDefault="0024227B" w:rsidP="0024227B">
            <w:pPr>
              <w:spacing w:after="0" w:line="240" w:lineRule="auto"/>
              <w:jc w:val="right"/>
              <w:rPr>
                <w:rFonts w:ascii="Arial" w:eastAsia="Times New Roman" w:hAnsi="Arial" w:cs="Arial"/>
                <w:b/>
                <w:bCs/>
                <w:sz w:val="15"/>
                <w:szCs w:val="15"/>
                <w:lang w:eastAsia="en-GB"/>
              </w:rPr>
            </w:pPr>
            <w:r w:rsidRPr="0024227B">
              <w:rPr>
                <w:rFonts w:ascii="Arial" w:eastAsia="Times New Roman" w:hAnsi="Arial" w:cs="Arial"/>
                <w:b/>
                <w:bCs/>
                <w:sz w:val="15"/>
                <w:szCs w:val="15"/>
                <w:lang w:eastAsia="en-GB"/>
              </w:rPr>
              <w:t> </w:t>
            </w:r>
          </w:p>
        </w:tc>
        <w:tc>
          <w:tcPr>
            <w:tcW w:w="1560" w:type="dxa"/>
            <w:tcBorders>
              <w:top w:val="nil"/>
              <w:left w:val="nil"/>
              <w:bottom w:val="nil"/>
              <w:right w:val="nil"/>
            </w:tcBorders>
            <w:shd w:val="clear" w:color="000000" w:fill="FFFFFF"/>
            <w:noWrap/>
            <w:vAlign w:val="bottom"/>
            <w:hideMark/>
          </w:tcPr>
          <w:p w14:paraId="7BB90C56"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59" w:type="dxa"/>
            <w:tcBorders>
              <w:top w:val="nil"/>
              <w:left w:val="nil"/>
              <w:bottom w:val="nil"/>
              <w:right w:val="nil"/>
            </w:tcBorders>
            <w:shd w:val="clear" w:color="000000" w:fill="FFFFFF"/>
            <w:noWrap/>
            <w:vAlign w:val="bottom"/>
            <w:hideMark/>
          </w:tcPr>
          <w:p w14:paraId="051B3602"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236" w:type="dxa"/>
            <w:vAlign w:val="center"/>
            <w:hideMark/>
          </w:tcPr>
          <w:p w14:paraId="7FF39A74"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24227B" w:rsidRPr="0024227B" w14:paraId="321E339A" w14:textId="77777777" w:rsidTr="00431EB9">
        <w:trPr>
          <w:trHeight w:val="338"/>
        </w:trPr>
        <w:tc>
          <w:tcPr>
            <w:tcW w:w="7371" w:type="dxa"/>
            <w:gridSpan w:val="6"/>
            <w:tcBorders>
              <w:top w:val="nil"/>
              <w:left w:val="nil"/>
              <w:bottom w:val="nil"/>
              <w:right w:val="nil"/>
            </w:tcBorders>
            <w:shd w:val="clear" w:color="000000" w:fill="FFFFFF"/>
            <w:noWrap/>
            <w:vAlign w:val="center"/>
            <w:hideMark/>
          </w:tcPr>
          <w:p w14:paraId="2AF3792C" w14:textId="243FDD37"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t>The accompanying notes form an integral part of these financial statements.</w:t>
            </w:r>
          </w:p>
        </w:tc>
        <w:tc>
          <w:tcPr>
            <w:tcW w:w="1560" w:type="dxa"/>
            <w:tcBorders>
              <w:top w:val="nil"/>
              <w:left w:val="nil"/>
              <w:bottom w:val="nil"/>
              <w:right w:val="nil"/>
            </w:tcBorders>
            <w:shd w:val="clear" w:color="000000" w:fill="FFFFFF"/>
            <w:noWrap/>
            <w:vAlign w:val="bottom"/>
            <w:hideMark/>
          </w:tcPr>
          <w:p w14:paraId="597C487A"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1559" w:type="dxa"/>
            <w:tcBorders>
              <w:top w:val="nil"/>
              <w:left w:val="nil"/>
              <w:bottom w:val="nil"/>
              <w:right w:val="nil"/>
            </w:tcBorders>
            <w:shd w:val="clear" w:color="000000" w:fill="FFFFFF"/>
            <w:noWrap/>
            <w:vAlign w:val="bottom"/>
            <w:hideMark/>
          </w:tcPr>
          <w:p w14:paraId="0FF552B4" w14:textId="77777777" w:rsidR="0024227B" w:rsidRPr="0024227B" w:rsidRDefault="0024227B" w:rsidP="0024227B">
            <w:pPr>
              <w:spacing w:after="0" w:line="240" w:lineRule="auto"/>
              <w:jc w:val="right"/>
              <w:rPr>
                <w:rFonts w:ascii="Arial" w:eastAsia="Times New Roman" w:hAnsi="Arial" w:cs="Arial"/>
                <w:sz w:val="15"/>
                <w:szCs w:val="15"/>
                <w:lang w:eastAsia="en-GB"/>
              </w:rPr>
            </w:pPr>
            <w:r w:rsidRPr="0024227B">
              <w:rPr>
                <w:rFonts w:ascii="Arial" w:eastAsia="Times New Roman" w:hAnsi="Arial" w:cs="Arial"/>
                <w:sz w:val="15"/>
                <w:szCs w:val="15"/>
                <w:lang w:eastAsia="en-GB"/>
              </w:rPr>
              <w:t> </w:t>
            </w:r>
          </w:p>
        </w:tc>
        <w:tc>
          <w:tcPr>
            <w:tcW w:w="236" w:type="dxa"/>
            <w:vAlign w:val="center"/>
            <w:hideMark/>
          </w:tcPr>
          <w:p w14:paraId="517289D3"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r w:rsidR="0024227B" w:rsidRPr="0024227B" w14:paraId="544F844C" w14:textId="77777777" w:rsidTr="00431EB9">
        <w:trPr>
          <w:trHeight w:val="518"/>
        </w:trPr>
        <w:tc>
          <w:tcPr>
            <w:tcW w:w="10490" w:type="dxa"/>
            <w:gridSpan w:val="8"/>
            <w:tcBorders>
              <w:top w:val="nil"/>
              <w:left w:val="nil"/>
              <w:bottom w:val="nil"/>
              <w:right w:val="nil"/>
            </w:tcBorders>
            <w:shd w:val="clear" w:color="000000" w:fill="FFFFFF"/>
            <w:vAlign w:val="center"/>
            <w:hideMark/>
          </w:tcPr>
          <w:p w14:paraId="4BAE6D84" w14:textId="6DD2DB69" w:rsidR="0024227B" w:rsidRPr="0024227B" w:rsidRDefault="0024227B" w:rsidP="0024227B">
            <w:pPr>
              <w:spacing w:after="0" w:line="240" w:lineRule="auto"/>
              <w:rPr>
                <w:rFonts w:ascii="Arial" w:eastAsia="Times New Roman" w:hAnsi="Arial" w:cs="Arial"/>
                <w:sz w:val="15"/>
                <w:szCs w:val="15"/>
                <w:lang w:eastAsia="en-GB"/>
              </w:rPr>
            </w:pPr>
            <w:r w:rsidRPr="0024227B">
              <w:rPr>
                <w:rFonts w:ascii="Arial" w:eastAsia="Times New Roman" w:hAnsi="Arial" w:cs="Arial"/>
                <w:sz w:val="15"/>
                <w:szCs w:val="15"/>
                <w:lang w:eastAsia="en-GB"/>
              </w:rPr>
              <w:lastRenderedPageBreak/>
              <w:t>* Refer to note 1 for a definition of underlying (loss) / profit before tax.</w:t>
            </w:r>
          </w:p>
        </w:tc>
        <w:tc>
          <w:tcPr>
            <w:tcW w:w="236" w:type="dxa"/>
            <w:vAlign w:val="center"/>
            <w:hideMark/>
          </w:tcPr>
          <w:p w14:paraId="7DAC413C" w14:textId="77777777" w:rsidR="0024227B" w:rsidRPr="0024227B" w:rsidRDefault="0024227B" w:rsidP="0024227B">
            <w:pPr>
              <w:spacing w:after="0" w:line="240" w:lineRule="auto"/>
              <w:rPr>
                <w:rFonts w:ascii="Times New Roman" w:eastAsia="Times New Roman" w:hAnsi="Times New Roman" w:cs="Times New Roman"/>
                <w:sz w:val="20"/>
                <w:szCs w:val="20"/>
                <w:lang w:eastAsia="en-GB"/>
              </w:rPr>
            </w:pPr>
          </w:p>
        </w:tc>
      </w:tr>
    </w:tbl>
    <w:p w14:paraId="3BE61182" w14:textId="2D4D9FA6" w:rsidR="00D23F97" w:rsidRDefault="00D23F97"/>
    <w:tbl>
      <w:tblPr>
        <w:tblW w:w="10877" w:type="dxa"/>
        <w:tblLook w:val="04A0" w:firstRow="1" w:lastRow="0" w:firstColumn="1" w:lastColumn="0" w:noHBand="0" w:noVBand="1"/>
      </w:tblPr>
      <w:tblGrid>
        <w:gridCol w:w="1313"/>
        <w:gridCol w:w="1301"/>
        <w:gridCol w:w="1301"/>
        <w:gridCol w:w="1301"/>
        <w:gridCol w:w="454"/>
        <w:gridCol w:w="608"/>
        <w:gridCol w:w="1519"/>
        <w:gridCol w:w="1418"/>
        <w:gridCol w:w="1440"/>
        <w:gridCol w:w="222"/>
      </w:tblGrid>
      <w:tr w:rsidR="00B909D8" w:rsidRPr="00B909D8" w14:paraId="56EEEF78" w14:textId="77777777" w:rsidTr="00D34E80">
        <w:trPr>
          <w:gridAfter w:val="1"/>
          <w:wAfter w:w="222" w:type="dxa"/>
          <w:trHeight w:val="360"/>
        </w:trPr>
        <w:tc>
          <w:tcPr>
            <w:tcW w:w="10655" w:type="dxa"/>
            <w:gridSpan w:val="9"/>
            <w:tcBorders>
              <w:top w:val="nil"/>
              <w:left w:val="nil"/>
              <w:bottom w:val="nil"/>
              <w:right w:val="nil"/>
            </w:tcBorders>
            <w:shd w:val="clear" w:color="auto" w:fill="auto"/>
            <w:noWrap/>
            <w:vAlign w:val="bottom"/>
            <w:hideMark/>
          </w:tcPr>
          <w:p w14:paraId="0B65AEC8" w14:textId="77777777" w:rsidR="00B909D8" w:rsidRPr="00B909D8" w:rsidRDefault="00B909D8" w:rsidP="00B909D8">
            <w:pPr>
              <w:spacing w:after="0" w:line="240" w:lineRule="auto"/>
              <w:rPr>
                <w:rFonts w:ascii="Arial" w:eastAsia="Times New Roman" w:hAnsi="Arial" w:cs="Arial"/>
                <w:b/>
                <w:bCs/>
                <w:color w:val="00B0F0"/>
                <w:sz w:val="28"/>
                <w:szCs w:val="28"/>
                <w:lang w:eastAsia="en-GB"/>
              </w:rPr>
            </w:pPr>
            <w:r w:rsidRPr="00B909D8">
              <w:rPr>
                <w:rFonts w:ascii="Arial" w:eastAsia="Times New Roman" w:hAnsi="Arial" w:cs="Arial"/>
                <w:b/>
                <w:bCs/>
                <w:color w:val="00B0F0"/>
                <w:sz w:val="28"/>
                <w:szCs w:val="28"/>
                <w:lang w:eastAsia="en-GB"/>
              </w:rPr>
              <w:t>Condensed Consolidated Statement of Comprehensive Income</w:t>
            </w:r>
          </w:p>
        </w:tc>
      </w:tr>
      <w:tr w:rsidR="00D34E80" w:rsidRPr="00B909D8" w14:paraId="25A87118" w14:textId="77777777" w:rsidTr="00D41B2D">
        <w:trPr>
          <w:gridAfter w:val="1"/>
          <w:wAfter w:w="222" w:type="dxa"/>
          <w:trHeight w:val="345"/>
        </w:trPr>
        <w:tc>
          <w:tcPr>
            <w:tcW w:w="5216" w:type="dxa"/>
            <w:gridSpan w:val="4"/>
            <w:tcBorders>
              <w:top w:val="nil"/>
              <w:left w:val="nil"/>
              <w:bottom w:val="nil"/>
              <w:right w:val="nil"/>
            </w:tcBorders>
            <w:shd w:val="clear" w:color="auto" w:fill="auto"/>
            <w:noWrap/>
            <w:vAlign w:val="bottom"/>
            <w:hideMark/>
          </w:tcPr>
          <w:p w14:paraId="2765AD01" w14:textId="77777777" w:rsidR="00B909D8" w:rsidRPr="00B909D8" w:rsidRDefault="00B909D8" w:rsidP="00B909D8">
            <w:pPr>
              <w:spacing w:after="0" w:line="240" w:lineRule="auto"/>
              <w:rPr>
                <w:rFonts w:ascii="Arial" w:eastAsia="Times New Roman" w:hAnsi="Arial" w:cs="Arial"/>
                <w:sz w:val="26"/>
                <w:szCs w:val="26"/>
                <w:lang w:eastAsia="en-GB"/>
              </w:rPr>
            </w:pPr>
            <w:r w:rsidRPr="00B909D8">
              <w:rPr>
                <w:rFonts w:ascii="Arial" w:eastAsia="Times New Roman" w:hAnsi="Arial" w:cs="Arial"/>
                <w:sz w:val="26"/>
                <w:szCs w:val="26"/>
                <w:lang w:eastAsia="en-GB"/>
              </w:rPr>
              <w:t>for the 26 weeks ended 2 July 2022</w:t>
            </w:r>
          </w:p>
        </w:tc>
        <w:tc>
          <w:tcPr>
            <w:tcW w:w="454" w:type="dxa"/>
            <w:tcBorders>
              <w:top w:val="nil"/>
              <w:left w:val="nil"/>
              <w:bottom w:val="nil"/>
              <w:right w:val="nil"/>
            </w:tcBorders>
            <w:shd w:val="clear" w:color="auto" w:fill="auto"/>
            <w:noWrap/>
            <w:vAlign w:val="bottom"/>
            <w:hideMark/>
          </w:tcPr>
          <w:p w14:paraId="02AAD41C" w14:textId="77777777" w:rsidR="00B909D8" w:rsidRPr="00B909D8" w:rsidRDefault="00B909D8" w:rsidP="00B909D8">
            <w:pPr>
              <w:spacing w:after="0" w:line="240" w:lineRule="auto"/>
              <w:rPr>
                <w:rFonts w:ascii="Arial" w:eastAsia="Times New Roman" w:hAnsi="Arial" w:cs="Arial"/>
                <w:sz w:val="26"/>
                <w:szCs w:val="26"/>
                <w:lang w:eastAsia="en-GB"/>
              </w:rPr>
            </w:pPr>
          </w:p>
        </w:tc>
        <w:tc>
          <w:tcPr>
            <w:tcW w:w="608" w:type="dxa"/>
            <w:tcBorders>
              <w:top w:val="nil"/>
              <w:left w:val="nil"/>
              <w:bottom w:val="nil"/>
              <w:right w:val="nil"/>
            </w:tcBorders>
            <w:shd w:val="clear" w:color="auto" w:fill="auto"/>
            <w:noWrap/>
            <w:vAlign w:val="bottom"/>
            <w:hideMark/>
          </w:tcPr>
          <w:p w14:paraId="6E97FA5B"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1519" w:type="dxa"/>
            <w:tcBorders>
              <w:top w:val="nil"/>
              <w:left w:val="nil"/>
              <w:bottom w:val="nil"/>
              <w:right w:val="nil"/>
            </w:tcBorders>
            <w:shd w:val="clear" w:color="auto" w:fill="auto"/>
            <w:noWrap/>
            <w:vAlign w:val="bottom"/>
            <w:hideMark/>
          </w:tcPr>
          <w:p w14:paraId="576C5A23"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72CAE2D4"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6C6CD15B"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r>
      <w:tr w:rsidR="00D34E80" w:rsidRPr="00B909D8" w14:paraId="6C635824" w14:textId="77777777" w:rsidTr="00D41B2D">
        <w:trPr>
          <w:gridAfter w:val="1"/>
          <w:wAfter w:w="222" w:type="dxa"/>
          <w:trHeight w:val="255"/>
        </w:trPr>
        <w:tc>
          <w:tcPr>
            <w:tcW w:w="1313" w:type="dxa"/>
            <w:tcBorders>
              <w:top w:val="nil"/>
              <w:left w:val="nil"/>
              <w:bottom w:val="nil"/>
              <w:right w:val="nil"/>
            </w:tcBorders>
            <w:shd w:val="clear" w:color="auto" w:fill="auto"/>
            <w:noWrap/>
            <w:vAlign w:val="bottom"/>
            <w:hideMark/>
          </w:tcPr>
          <w:p w14:paraId="3AD3AA00"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1301" w:type="dxa"/>
            <w:tcBorders>
              <w:top w:val="nil"/>
              <w:left w:val="nil"/>
              <w:bottom w:val="nil"/>
              <w:right w:val="nil"/>
            </w:tcBorders>
            <w:shd w:val="clear" w:color="auto" w:fill="auto"/>
            <w:noWrap/>
            <w:vAlign w:val="bottom"/>
            <w:hideMark/>
          </w:tcPr>
          <w:p w14:paraId="652D838F"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1301" w:type="dxa"/>
            <w:tcBorders>
              <w:top w:val="nil"/>
              <w:left w:val="nil"/>
              <w:bottom w:val="nil"/>
              <w:right w:val="nil"/>
            </w:tcBorders>
            <w:shd w:val="clear" w:color="auto" w:fill="auto"/>
            <w:noWrap/>
            <w:vAlign w:val="bottom"/>
            <w:hideMark/>
          </w:tcPr>
          <w:p w14:paraId="1E1D02AE"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1301" w:type="dxa"/>
            <w:tcBorders>
              <w:top w:val="nil"/>
              <w:left w:val="nil"/>
              <w:bottom w:val="nil"/>
              <w:right w:val="nil"/>
            </w:tcBorders>
            <w:shd w:val="clear" w:color="auto" w:fill="auto"/>
            <w:noWrap/>
            <w:vAlign w:val="bottom"/>
            <w:hideMark/>
          </w:tcPr>
          <w:p w14:paraId="59FC9F1B"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454" w:type="dxa"/>
            <w:tcBorders>
              <w:top w:val="nil"/>
              <w:left w:val="nil"/>
              <w:bottom w:val="nil"/>
              <w:right w:val="nil"/>
            </w:tcBorders>
            <w:shd w:val="clear" w:color="auto" w:fill="auto"/>
            <w:noWrap/>
            <w:vAlign w:val="bottom"/>
            <w:hideMark/>
          </w:tcPr>
          <w:p w14:paraId="4B70BD1A"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3F1376AC"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1519" w:type="dxa"/>
            <w:tcBorders>
              <w:top w:val="nil"/>
              <w:left w:val="nil"/>
              <w:bottom w:val="nil"/>
              <w:right w:val="nil"/>
            </w:tcBorders>
            <w:shd w:val="clear" w:color="auto" w:fill="auto"/>
            <w:noWrap/>
            <w:vAlign w:val="bottom"/>
            <w:hideMark/>
          </w:tcPr>
          <w:p w14:paraId="68BC715C"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2055BE33"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146E73F6"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r>
      <w:tr w:rsidR="00B909D8" w:rsidRPr="00B909D8" w14:paraId="42F0A52E" w14:textId="77777777" w:rsidTr="00D34E80">
        <w:trPr>
          <w:gridAfter w:val="1"/>
          <w:wAfter w:w="222" w:type="dxa"/>
          <w:trHeight w:val="450"/>
        </w:trPr>
        <w:tc>
          <w:tcPr>
            <w:tcW w:w="10655" w:type="dxa"/>
            <w:gridSpan w:val="9"/>
            <w:vMerge w:val="restart"/>
            <w:tcBorders>
              <w:top w:val="single" w:sz="4" w:space="0" w:color="D9D9D9"/>
              <w:left w:val="single" w:sz="4" w:space="0" w:color="D9D9D9"/>
              <w:bottom w:val="single" w:sz="4" w:space="0" w:color="D9D9D9"/>
              <w:right w:val="single" w:sz="4" w:space="0" w:color="D9D9D9"/>
            </w:tcBorders>
            <w:shd w:val="clear" w:color="auto" w:fill="CCECFF"/>
            <w:vAlign w:val="center"/>
            <w:hideMark/>
          </w:tcPr>
          <w:p w14:paraId="3A394AA0" w14:textId="66B001D9" w:rsidR="00B909D8" w:rsidRPr="00B909D8" w:rsidRDefault="00B909D8" w:rsidP="00B909D8">
            <w:pPr>
              <w:spacing w:after="0" w:line="240" w:lineRule="auto"/>
              <w:rPr>
                <w:rFonts w:ascii="Arial" w:eastAsia="Times New Roman" w:hAnsi="Arial" w:cs="Arial"/>
                <w:sz w:val="18"/>
                <w:szCs w:val="18"/>
                <w:lang w:eastAsia="en-GB"/>
              </w:rPr>
            </w:pPr>
            <w:r w:rsidRPr="00B909D8">
              <w:rPr>
                <w:rFonts w:ascii="Arial" w:eastAsia="Times New Roman" w:hAnsi="Arial" w:cs="Arial"/>
                <w:b/>
                <w:bCs/>
                <w:sz w:val="18"/>
                <w:szCs w:val="18"/>
                <w:lang w:eastAsia="en-GB"/>
              </w:rPr>
              <w:t>What does this show?</w:t>
            </w:r>
            <w:r w:rsidRPr="00B909D8">
              <w:rPr>
                <w:rFonts w:ascii="Arial" w:eastAsia="Times New Roman" w:hAnsi="Arial" w:cs="Arial"/>
                <w:sz w:val="18"/>
                <w:szCs w:val="18"/>
                <w:lang w:eastAsia="en-GB"/>
              </w:rPr>
              <w:t xml:space="preserve"> Our statement of comprehensive income includes other income and costs that are not included in the consolidated income statement </w:t>
            </w:r>
            <w:r w:rsidR="00B071E2">
              <w:rPr>
                <w:rFonts w:ascii="Arial" w:eastAsia="Times New Roman" w:hAnsi="Arial" w:cs="Arial"/>
                <w:sz w:val="18"/>
                <w:szCs w:val="18"/>
                <w:lang w:eastAsia="en-GB"/>
              </w:rPr>
              <w:t>above</w:t>
            </w:r>
            <w:r w:rsidRPr="00B909D8">
              <w:rPr>
                <w:rFonts w:ascii="Arial" w:eastAsia="Times New Roman" w:hAnsi="Arial" w:cs="Arial"/>
                <w:sz w:val="18"/>
                <w:szCs w:val="18"/>
                <w:lang w:eastAsia="en-GB"/>
              </w:rPr>
              <w:t xml:space="preserve">. These are usually revaluations of property, pension schemes and some of our financial investments. </w:t>
            </w:r>
          </w:p>
        </w:tc>
      </w:tr>
      <w:tr w:rsidR="00B909D8" w:rsidRPr="00B909D8" w14:paraId="5ED89401" w14:textId="77777777" w:rsidTr="00D34E80">
        <w:trPr>
          <w:trHeight w:val="259"/>
        </w:trPr>
        <w:tc>
          <w:tcPr>
            <w:tcW w:w="10655" w:type="dxa"/>
            <w:gridSpan w:val="9"/>
            <w:vMerge/>
            <w:tcBorders>
              <w:top w:val="single" w:sz="4" w:space="0" w:color="D9D9D9"/>
              <w:left w:val="single" w:sz="4" w:space="0" w:color="D9D9D9"/>
              <w:bottom w:val="single" w:sz="4" w:space="0" w:color="D9D9D9"/>
              <w:right w:val="single" w:sz="4" w:space="0" w:color="D9D9D9"/>
            </w:tcBorders>
            <w:shd w:val="clear" w:color="auto" w:fill="CCECFF"/>
            <w:vAlign w:val="center"/>
            <w:hideMark/>
          </w:tcPr>
          <w:p w14:paraId="24FDB360" w14:textId="77777777" w:rsidR="00B909D8" w:rsidRPr="00B909D8" w:rsidRDefault="00B909D8" w:rsidP="00B909D8">
            <w:pPr>
              <w:spacing w:after="0" w:line="240" w:lineRule="auto"/>
              <w:rPr>
                <w:rFonts w:ascii="Arial" w:eastAsia="Times New Roman" w:hAnsi="Arial" w:cs="Arial"/>
                <w:sz w:val="18"/>
                <w:szCs w:val="18"/>
                <w:lang w:eastAsia="en-GB"/>
              </w:rPr>
            </w:pPr>
          </w:p>
        </w:tc>
        <w:tc>
          <w:tcPr>
            <w:tcW w:w="222" w:type="dxa"/>
            <w:tcBorders>
              <w:top w:val="nil"/>
              <w:left w:val="nil"/>
              <w:bottom w:val="nil"/>
              <w:right w:val="nil"/>
            </w:tcBorders>
            <w:shd w:val="clear" w:color="auto" w:fill="auto"/>
            <w:noWrap/>
            <w:vAlign w:val="bottom"/>
            <w:hideMark/>
          </w:tcPr>
          <w:p w14:paraId="33D71F4D" w14:textId="77777777" w:rsidR="00B909D8" w:rsidRPr="00B909D8" w:rsidRDefault="00B909D8" w:rsidP="00B909D8">
            <w:pPr>
              <w:spacing w:after="0" w:line="240" w:lineRule="auto"/>
              <w:rPr>
                <w:rFonts w:ascii="Arial" w:eastAsia="Times New Roman" w:hAnsi="Arial" w:cs="Arial"/>
                <w:sz w:val="18"/>
                <w:szCs w:val="18"/>
                <w:lang w:eastAsia="en-GB"/>
              </w:rPr>
            </w:pPr>
          </w:p>
        </w:tc>
      </w:tr>
      <w:tr w:rsidR="00B909D8" w:rsidRPr="00B909D8" w14:paraId="74585AC4" w14:textId="77777777" w:rsidTr="00D34E80">
        <w:trPr>
          <w:trHeight w:val="64"/>
        </w:trPr>
        <w:tc>
          <w:tcPr>
            <w:tcW w:w="10655" w:type="dxa"/>
            <w:gridSpan w:val="9"/>
            <w:vMerge/>
            <w:tcBorders>
              <w:top w:val="single" w:sz="4" w:space="0" w:color="D9D9D9"/>
              <w:left w:val="single" w:sz="4" w:space="0" w:color="D9D9D9"/>
              <w:bottom w:val="single" w:sz="4" w:space="0" w:color="D9D9D9"/>
              <w:right w:val="single" w:sz="4" w:space="0" w:color="D9D9D9"/>
            </w:tcBorders>
            <w:shd w:val="clear" w:color="auto" w:fill="CCECFF"/>
            <w:vAlign w:val="center"/>
            <w:hideMark/>
          </w:tcPr>
          <w:p w14:paraId="35B2CBB2" w14:textId="77777777" w:rsidR="00B909D8" w:rsidRPr="00B909D8" w:rsidRDefault="00B909D8" w:rsidP="00B909D8">
            <w:pPr>
              <w:spacing w:after="0" w:line="240" w:lineRule="auto"/>
              <w:rPr>
                <w:rFonts w:ascii="Arial" w:eastAsia="Times New Roman" w:hAnsi="Arial" w:cs="Arial"/>
                <w:sz w:val="18"/>
                <w:szCs w:val="18"/>
                <w:lang w:eastAsia="en-GB"/>
              </w:rPr>
            </w:pPr>
          </w:p>
        </w:tc>
        <w:tc>
          <w:tcPr>
            <w:tcW w:w="222" w:type="dxa"/>
            <w:tcBorders>
              <w:top w:val="nil"/>
              <w:left w:val="nil"/>
              <w:bottom w:val="nil"/>
              <w:right w:val="nil"/>
            </w:tcBorders>
            <w:shd w:val="clear" w:color="auto" w:fill="auto"/>
            <w:noWrap/>
            <w:vAlign w:val="bottom"/>
            <w:hideMark/>
          </w:tcPr>
          <w:p w14:paraId="273D43A2"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344225" w:rsidRPr="00B909D8" w14:paraId="5E29F275" w14:textId="77777777" w:rsidTr="00D41B2D">
        <w:trPr>
          <w:trHeight w:val="372"/>
        </w:trPr>
        <w:tc>
          <w:tcPr>
            <w:tcW w:w="1313" w:type="dxa"/>
            <w:tcBorders>
              <w:top w:val="nil"/>
              <w:left w:val="nil"/>
              <w:bottom w:val="nil"/>
              <w:right w:val="nil"/>
            </w:tcBorders>
            <w:shd w:val="clear" w:color="auto" w:fill="auto"/>
            <w:noWrap/>
            <w:vAlign w:val="bottom"/>
            <w:hideMark/>
          </w:tcPr>
          <w:p w14:paraId="7C9F04E4"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1301" w:type="dxa"/>
            <w:tcBorders>
              <w:top w:val="nil"/>
              <w:left w:val="nil"/>
              <w:bottom w:val="nil"/>
              <w:right w:val="nil"/>
            </w:tcBorders>
            <w:shd w:val="clear" w:color="auto" w:fill="auto"/>
            <w:noWrap/>
            <w:vAlign w:val="bottom"/>
            <w:hideMark/>
          </w:tcPr>
          <w:p w14:paraId="7B8B8A0C"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1301" w:type="dxa"/>
            <w:tcBorders>
              <w:top w:val="nil"/>
              <w:left w:val="nil"/>
              <w:bottom w:val="nil"/>
              <w:right w:val="nil"/>
            </w:tcBorders>
            <w:shd w:val="clear" w:color="auto" w:fill="auto"/>
            <w:noWrap/>
            <w:vAlign w:val="bottom"/>
            <w:hideMark/>
          </w:tcPr>
          <w:p w14:paraId="333BEBDE"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1301" w:type="dxa"/>
            <w:tcBorders>
              <w:top w:val="nil"/>
              <w:left w:val="nil"/>
              <w:bottom w:val="nil"/>
              <w:right w:val="nil"/>
            </w:tcBorders>
            <w:shd w:val="clear" w:color="auto" w:fill="auto"/>
            <w:noWrap/>
            <w:vAlign w:val="bottom"/>
            <w:hideMark/>
          </w:tcPr>
          <w:p w14:paraId="1CD460B8"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454" w:type="dxa"/>
            <w:tcBorders>
              <w:top w:val="nil"/>
              <w:left w:val="nil"/>
              <w:bottom w:val="nil"/>
              <w:right w:val="nil"/>
            </w:tcBorders>
            <w:shd w:val="clear" w:color="auto" w:fill="auto"/>
            <w:noWrap/>
            <w:vAlign w:val="bottom"/>
            <w:hideMark/>
          </w:tcPr>
          <w:p w14:paraId="1A8F27BF"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00F48702"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1519" w:type="dxa"/>
            <w:tcBorders>
              <w:top w:val="nil"/>
              <w:left w:val="nil"/>
              <w:bottom w:val="nil"/>
              <w:right w:val="nil"/>
            </w:tcBorders>
            <w:shd w:val="clear" w:color="auto" w:fill="auto"/>
            <w:noWrap/>
            <w:vAlign w:val="bottom"/>
            <w:hideMark/>
          </w:tcPr>
          <w:p w14:paraId="3FEC092E"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5D28FF0E"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08CD9D1F"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222" w:type="dxa"/>
            <w:vAlign w:val="center"/>
            <w:hideMark/>
          </w:tcPr>
          <w:p w14:paraId="53116A5A"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B909D8" w:rsidRPr="00B909D8" w14:paraId="68B50195" w14:textId="77777777" w:rsidTr="00D41B2D">
        <w:trPr>
          <w:trHeight w:val="155"/>
        </w:trPr>
        <w:tc>
          <w:tcPr>
            <w:tcW w:w="1313" w:type="dxa"/>
            <w:tcBorders>
              <w:top w:val="single" w:sz="4" w:space="0" w:color="BFBFBF"/>
              <w:left w:val="single" w:sz="4" w:space="0" w:color="BFBFBF"/>
              <w:bottom w:val="nil"/>
              <w:right w:val="nil"/>
            </w:tcBorders>
            <w:shd w:val="clear" w:color="auto" w:fill="auto"/>
            <w:noWrap/>
            <w:vAlign w:val="bottom"/>
            <w:hideMark/>
          </w:tcPr>
          <w:p w14:paraId="0A4764B3"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single" w:sz="4" w:space="0" w:color="BFBFBF"/>
              <w:left w:val="nil"/>
              <w:bottom w:val="nil"/>
              <w:right w:val="nil"/>
            </w:tcBorders>
            <w:shd w:val="clear" w:color="auto" w:fill="auto"/>
            <w:noWrap/>
            <w:vAlign w:val="bottom"/>
            <w:hideMark/>
          </w:tcPr>
          <w:p w14:paraId="6FEED39B"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single" w:sz="4" w:space="0" w:color="BFBFBF"/>
              <w:left w:val="nil"/>
              <w:bottom w:val="nil"/>
              <w:right w:val="nil"/>
            </w:tcBorders>
            <w:shd w:val="clear" w:color="auto" w:fill="auto"/>
            <w:noWrap/>
            <w:vAlign w:val="bottom"/>
            <w:hideMark/>
          </w:tcPr>
          <w:p w14:paraId="3838E46F"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single" w:sz="4" w:space="0" w:color="BFBFBF"/>
              <w:left w:val="nil"/>
              <w:bottom w:val="nil"/>
              <w:right w:val="nil"/>
            </w:tcBorders>
            <w:shd w:val="clear" w:color="auto" w:fill="auto"/>
            <w:noWrap/>
            <w:vAlign w:val="bottom"/>
            <w:hideMark/>
          </w:tcPr>
          <w:p w14:paraId="79A04B5D"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454" w:type="dxa"/>
            <w:tcBorders>
              <w:top w:val="single" w:sz="4" w:space="0" w:color="BFBFBF"/>
              <w:left w:val="nil"/>
              <w:bottom w:val="nil"/>
              <w:right w:val="nil"/>
            </w:tcBorders>
            <w:shd w:val="clear" w:color="auto" w:fill="auto"/>
            <w:noWrap/>
            <w:vAlign w:val="bottom"/>
            <w:hideMark/>
          </w:tcPr>
          <w:p w14:paraId="15783536"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608" w:type="dxa"/>
            <w:tcBorders>
              <w:top w:val="single" w:sz="4" w:space="0" w:color="BFBFBF"/>
              <w:left w:val="nil"/>
              <w:bottom w:val="nil"/>
              <w:right w:val="nil"/>
            </w:tcBorders>
            <w:shd w:val="clear" w:color="auto" w:fill="auto"/>
            <w:noWrap/>
            <w:vAlign w:val="bottom"/>
            <w:hideMark/>
          </w:tcPr>
          <w:p w14:paraId="3F9E0700"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519" w:type="dxa"/>
            <w:tcBorders>
              <w:top w:val="single" w:sz="4" w:space="0" w:color="BFBFBF"/>
              <w:left w:val="nil"/>
              <w:bottom w:val="nil"/>
              <w:right w:val="nil"/>
            </w:tcBorders>
            <w:shd w:val="clear" w:color="auto" w:fill="auto"/>
            <w:noWrap/>
            <w:hideMark/>
          </w:tcPr>
          <w:p w14:paraId="2C7F4F30" w14:textId="77777777" w:rsidR="00B909D8" w:rsidRPr="00B909D8" w:rsidRDefault="00B909D8" w:rsidP="00B909D8">
            <w:pPr>
              <w:spacing w:after="0" w:line="240" w:lineRule="auto"/>
              <w:jc w:val="right"/>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26 weeks ended</w:t>
            </w:r>
          </w:p>
        </w:tc>
        <w:tc>
          <w:tcPr>
            <w:tcW w:w="1418" w:type="dxa"/>
            <w:tcBorders>
              <w:top w:val="single" w:sz="4" w:space="0" w:color="BFBFBF"/>
              <w:left w:val="nil"/>
              <w:bottom w:val="nil"/>
              <w:right w:val="nil"/>
            </w:tcBorders>
            <w:shd w:val="clear" w:color="auto" w:fill="auto"/>
            <w:noWrap/>
            <w:hideMark/>
          </w:tcPr>
          <w:p w14:paraId="2B0DA327"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26 weeks ended</w:t>
            </w:r>
          </w:p>
        </w:tc>
        <w:tc>
          <w:tcPr>
            <w:tcW w:w="1440" w:type="dxa"/>
            <w:tcBorders>
              <w:top w:val="single" w:sz="4" w:space="0" w:color="BFBFBF"/>
              <w:left w:val="nil"/>
              <w:bottom w:val="nil"/>
              <w:right w:val="single" w:sz="4" w:space="0" w:color="BFBFBF"/>
            </w:tcBorders>
            <w:shd w:val="clear" w:color="auto" w:fill="auto"/>
            <w:noWrap/>
            <w:hideMark/>
          </w:tcPr>
          <w:p w14:paraId="4538EA48"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52 weeks ended</w:t>
            </w:r>
          </w:p>
        </w:tc>
        <w:tc>
          <w:tcPr>
            <w:tcW w:w="222" w:type="dxa"/>
            <w:vAlign w:val="center"/>
            <w:hideMark/>
          </w:tcPr>
          <w:p w14:paraId="3380A133"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B909D8" w:rsidRPr="00B909D8" w14:paraId="5F0EC1B9" w14:textId="77777777" w:rsidTr="00D41B2D">
        <w:trPr>
          <w:trHeight w:val="80"/>
        </w:trPr>
        <w:tc>
          <w:tcPr>
            <w:tcW w:w="1313" w:type="dxa"/>
            <w:tcBorders>
              <w:top w:val="nil"/>
              <w:left w:val="single" w:sz="4" w:space="0" w:color="BFBFBF"/>
              <w:bottom w:val="nil"/>
              <w:right w:val="nil"/>
            </w:tcBorders>
            <w:shd w:val="clear" w:color="auto" w:fill="auto"/>
            <w:noWrap/>
            <w:vAlign w:val="bottom"/>
            <w:hideMark/>
          </w:tcPr>
          <w:p w14:paraId="030AAC17"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nil"/>
              <w:right w:val="nil"/>
            </w:tcBorders>
            <w:shd w:val="clear" w:color="auto" w:fill="auto"/>
            <w:noWrap/>
            <w:vAlign w:val="bottom"/>
            <w:hideMark/>
          </w:tcPr>
          <w:p w14:paraId="4B78A49A"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nil"/>
              <w:right w:val="nil"/>
            </w:tcBorders>
            <w:shd w:val="clear" w:color="auto" w:fill="auto"/>
            <w:noWrap/>
            <w:vAlign w:val="bottom"/>
            <w:hideMark/>
          </w:tcPr>
          <w:p w14:paraId="6E4F9544"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nil"/>
              <w:right w:val="nil"/>
            </w:tcBorders>
            <w:shd w:val="clear" w:color="auto" w:fill="auto"/>
            <w:noWrap/>
            <w:vAlign w:val="bottom"/>
            <w:hideMark/>
          </w:tcPr>
          <w:p w14:paraId="7E1E4311"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454" w:type="dxa"/>
            <w:tcBorders>
              <w:top w:val="nil"/>
              <w:left w:val="nil"/>
              <w:bottom w:val="nil"/>
              <w:right w:val="nil"/>
            </w:tcBorders>
            <w:shd w:val="clear" w:color="auto" w:fill="auto"/>
            <w:noWrap/>
            <w:vAlign w:val="bottom"/>
            <w:hideMark/>
          </w:tcPr>
          <w:p w14:paraId="69FFDCA2"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608" w:type="dxa"/>
            <w:tcBorders>
              <w:top w:val="nil"/>
              <w:left w:val="nil"/>
              <w:bottom w:val="nil"/>
              <w:right w:val="nil"/>
            </w:tcBorders>
            <w:shd w:val="clear" w:color="auto" w:fill="auto"/>
            <w:noWrap/>
            <w:vAlign w:val="bottom"/>
            <w:hideMark/>
          </w:tcPr>
          <w:p w14:paraId="17C01DA1"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519" w:type="dxa"/>
            <w:tcBorders>
              <w:top w:val="nil"/>
              <w:left w:val="nil"/>
              <w:bottom w:val="nil"/>
              <w:right w:val="nil"/>
            </w:tcBorders>
            <w:shd w:val="clear" w:color="auto" w:fill="auto"/>
            <w:noWrap/>
            <w:hideMark/>
          </w:tcPr>
          <w:p w14:paraId="403D56BF" w14:textId="77777777" w:rsidR="00B909D8" w:rsidRPr="00B909D8" w:rsidRDefault="00B909D8" w:rsidP="00B909D8">
            <w:pPr>
              <w:spacing w:after="0" w:line="240" w:lineRule="auto"/>
              <w:jc w:val="right"/>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2 July 2022</w:t>
            </w:r>
          </w:p>
        </w:tc>
        <w:tc>
          <w:tcPr>
            <w:tcW w:w="1418" w:type="dxa"/>
            <w:tcBorders>
              <w:top w:val="nil"/>
              <w:left w:val="nil"/>
              <w:bottom w:val="nil"/>
              <w:right w:val="nil"/>
            </w:tcBorders>
            <w:shd w:val="clear" w:color="auto" w:fill="auto"/>
            <w:noWrap/>
            <w:hideMark/>
          </w:tcPr>
          <w:p w14:paraId="0C35AC24"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3 July 2021</w:t>
            </w:r>
          </w:p>
        </w:tc>
        <w:tc>
          <w:tcPr>
            <w:tcW w:w="1440" w:type="dxa"/>
            <w:tcBorders>
              <w:top w:val="nil"/>
              <w:left w:val="nil"/>
              <w:bottom w:val="nil"/>
              <w:right w:val="single" w:sz="4" w:space="0" w:color="BFBFBF"/>
            </w:tcBorders>
            <w:shd w:val="clear" w:color="auto" w:fill="auto"/>
            <w:noWrap/>
            <w:hideMark/>
          </w:tcPr>
          <w:p w14:paraId="021990E3"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1 January 2022</w:t>
            </w:r>
          </w:p>
        </w:tc>
        <w:tc>
          <w:tcPr>
            <w:tcW w:w="222" w:type="dxa"/>
            <w:vAlign w:val="center"/>
            <w:hideMark/>
          </w:tcPr>
          <w:p w14:paraId="29D80399"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B909D8" w:rsidRPr="00B909D8" w14:paraId="70898E04" w14:textId="77777777" w:rsidTr="00D41B2D">
        <w:trPr>
          <w:trHeight w:val="255"/>
        </w:trPr>
        <w:tc>
          <w:tcPr>
            <w:tcW w:w="1313" w:type="dxa"/>
            <w:tcBorders>
              <w:top w:val="nil"/>
              <w:left w:val="single" w:sz="4" w:space="0" w:color="BFBFBF"/>
              <w:bottom w:val="nil"/>
              <w:right w:val="nil"/>
            </w:tcBorders>
            <w:shd w:val="clear" w:color="auto" w:fill="auto"/>
            <w:noWrap/>
            <w:vAlign w:val="bottom"/>
            <w:hideMark/>
          </w:tcPr>
          <w:p w14:paraId="542ACF71"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nil"/>
              <w:right w:val="nil"/>
            </w:tcBorders>
            <w:shd w:val="clear" w:color="auto" w:fill="auto"/>
            <w:noWrap/>
            <w:vAlign w:val="bottom"/>
            <w:hideMark/>
          </w:tcPr>
          <w:p w14:paraId="0964F7D9"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nil"/>
              <w:right w:val="nil"/>
            </w:tcBorders>
            <w:shd w:val="clear" w:color="auto" w:fill="auto"/>
            <w:noWrap/>
            <w:vAlign w:val="bottom"/>
            <w:hideMark/>
          </w:tcPr>
          <w:p w14:paraId="0184F27D"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nil"/>
              <w:right w:val="nil"/>
            </w:tcBorders>
            <w:shd w:val="clear" w:color="auto" w:fill="auto"/>
            <w:noWrap/>
            <w:vAlign w:val="bottom"/>
            <w:hideMark/>
          </w:tcPr>
          <w:p w14:paraId="645750CB"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454" w:type="dxa"/>
            <w:tcBorders>
              <w:top w:val="nil"/>
              <w:left w:val="nil"/>
              <w:bottom w:val="nil"/>
              <w:right w:val="nil"/>
            </w:tcBorders>
            <w:shd w:val="clear" w:color="auto" w:fill="auto"/>
            <w:noWrap/>
            <w:vAlign w:val="bottom"/>
            <w:hideMark/>
          </w:tcPr>
          <w:p w14:paraId="04C35C1C"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608" w:type="dxa"/>
            <w:tcBorders>
              <w:top w:val="nil"/>
              <w:left w:val="nil"/>
              <w:bottom w:val="nil"/>
              <w:right w:val="nil"/>
            </w:tcBorders>
            <w:shd w:val="clear" w:color="auto" w:fill="auto"/>
            <w:noWrap/>
            <w:vAlign w:val="bottom"/>
            <w:hideMark/>
          </w:tcPr>
          <w:p w14:paraId="55B14D60"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519" w:type="dxa"/>
            <w:tcBorders>
              <w:top w:val="nil"/>
              <w:left w:val="nil"/>
              <w:bottom w:val="nil"/>
              <w:right w:val="nil"/>
            </w:tcBorders>
            <w:shd w:val="clear" w:color="auto" w:fill="auto"/>
            <w:noWrap/>
            <w:hideMark/>
          </w:tcPr>
          <w:p w14:paraId="0DF2465A" w14:textId="77777777" w:rsidR="00B909D8" w:rsidRPr="00B909D8" w:rsidRDefault="00B909D8" w:rsidP="00B909D8">
            <w:pPr>
              <w:spacing w:after="0" w:line="240" w:lineRule="auto"/>
              <w:jc w:val="right"/>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(unaudited)</w:t>
            </w:r>
          </w:p>
        </w:tc>
        <w:tc>
          <w:tcPr>
            <w:tcW w:w="1418" w:type="dxa"/>
            <w:tcBorders>
              <w:top w:val="nil"/>
              <w:left w:val="nil"/>
              <w:bottom w:val="nil"/>
              <w:right w:val="nil"/>
            </w:tcBorders>
            <w:shd w:val="clear" w:color="auto" w:fill="auto"/>
            <w:noWrap/>
            <w:hideMark/>
          </w:tcPr>
          <w:p w14:paraId="2281A272"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(unaudited)</w:t>
            </w:r>
          </w:p>
        </w:tc>
        <w:tc>
          <w:tcPr>
            <w:tcW w:w="1440" w:type="dxa"/>
            <w:tcBorders>
              <w:top w:val="nil"/>
              <w:left w:val="nil"/>
              <w:bottom w:val="nil"/>
              <w:right w:val="single" w:sz="4" w:space="0" w:color="BFBFBF"/>
            </w:tcBorders>
            <w:shd w:val="clear" w:color="auto" w:fill="auto"/>
            <w:noWrap/>
            <w:hideMark/>
          </w:tcPr>
          <w:p w14:paraId="6241A848"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(audited)</w:t>
            </w:r>
          </w:p>
        </w:tc>
        <w:tc>
          <w:tcPr>
            <w:tcW w:w="222" w:type="dxa"/>
            <w:vAlign w:val="center"/>
            <w:hideMark/>
          </w:tcPr>
          <w:p w14:paraId="0BE1CD31"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B909D8" w:rsidRPr="00B909D8" w14:paraId="371FA779" w14:textId="77777777" w:rsidTr="00D41B2D">
        <w:trPr>
          <w:trHeight w:val="74"/>
        </w:trPr>
        <w:tc>
          <w:tcPr>
            <w:tcW w:w="1313" w:type="dxa"/>
            <w:tcBorders>
              <w:top w:val="nil"/>
              <w:left w:val="single" w:sz="4" w:space="0" w:color="BFBFBF"/>
              <w:bottom w:val="single" w:sz="4" w:space="0" w:color="BFBFBF"/>
              <w:right w:val="nil"/>
            </w:tcBorders>
            <w:shd w:val="clear" w:color="auto" w:fill="auto"/>
            <w:noWrap/>
            <w:vAlign w:val="bottom"/>
            <w:hideMark/>
          </w:tcPr>
          <w:p w14:paraId="59FD1727"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single" w:sz="4" w:space="0" w:color="BFBFBF"/>
              <w:right w:val="nil"/>
            </w:tcBorders>
            <w:shd w:val="clear" w:color="auto" w:fill="auto"/>
            <w:noWrap/>
            <w:vAlign w:val="bottom"/>
            <w:hideMark/>
          </w:tcPr>
          <w:p w14:paraId="5D6E19BE"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single" w:sz="4" w:space="0" w:color="BFBFBF"/>
              <w:right w:val="nil"/>
            </w:tcBorders>
            <w:shd w:val="clear" w:color="auto" w:fill="auto"/>
            <w:noWrap/>
            <w:vAlign w:val="bottom"/>
            <w:hideMark/>
          </w:tcPr>
          <w:p w14:paraId="63DE8169"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single" w:sz="4" w:space="0" w:color="BFBFBF"/>
              <w:right w:val="nil"/>
            </w:tcBorders>
            <w:shd w:val="clear" w:color="auto" w:fill="auto"/>
            <w:noWrap/>
            <w:vAlign w:val="bottom"/>
            <w:hideMark/>
          </w:tcPr>
          <w:p w14:paraId="6A178EDB"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454" w:type="dxa"/>
            <w:tcBorders>
              <w:top w:val="nil"/>
              <w:left w:val="nil"/>
              <w:bottom w:val="single" w:sz="4" w:space="0" w:color="BFBFBF"/>
              <w:right w:val="nil"/>
            </w:tcBorders>
            <w:shd w:val="clear" w:color="auto" w:fill="auto"/>
            <w:noWrap/>
            <w:vAlign w:val="bottom"/>
            <w:hideMark/>
          </w:tcPr>
          <w:p w14:paraId="24D04F1D"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608" w:type="dxa"/>
            <w:tcBorders>
              <w:top w:val="nil"/>
              <w:left w:val="nil"/>
              <w:bottom w:val="single" w:sz="4" w:space="0" w:color="BFBFBF"/>
              <w:right w:val="nil"/>
            </w:tcBorders>
            <w:shd w:val="clear" w:color="auto" w:fill="auto"/>
            <w:noWrap/>
            <w:hideMark/>
          </w:tcPr>
          <w:p w14:paraId="6677C00F"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Notes</w:t>
            </w:r>
          </w:p>
        </w:tc>
        <w:tc>
          <w:tcPr>
            <w:tcW w:w="1519" w:type="dxa"/>
            <w:tcBorders>
              <w:top w:val="nil"/>
              <w:left w:val="nil"/>
              <w:bottom w:val="single" w:sz="4" w:space="0" w:color="BFBFBF"/>
              <w:right w:val="nil"/>
            </w:tcBorders>
            <w:shd w:val="clear" w:color="auto" w:fill="auto"/>
            <w:noWrap/>
            <w:hideMark/>
          </w:tcPr>
          <w:p w14:paraId="1B0FE5F4" w14:textId="77777777" w:rsidR="00B909D8" w:rsidRPr="00B909D8" w:rsidRDefault="00B909D8" w:rsidP="00B909D8">
            <w:pPr>
              <w:spacing w:after="0" w:line="240" w:lineRule="auto"/>
              <w:jc w:val="right"/>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£m</w:t>
            </w:r>
          </w:p>
        </w:tc>
        <w:tc>
          <w:tcPr>
            <w:tcW w:w="1418" w:type="dxa"/>
            <w:tcBorders>
              <w:top w:val="nil"/>
              <w:left w:val="nil"/>
              <w:bottom w:val="single" w:sz="4" w:space="0" w:color="BFBFBF"/>
              <w:right w:val="nil"/>
            </w:tcBorders>
            <w:shd w:val="clear" w:color="auto" w:fill="auto"/>
            <w:noWrap/>
            <w:hideMark/>
          </w:tcPr>
          <w:p w14:paraId="4BF587B3"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£m</w:t>
            </w:r>
          </w:p>
        </w:tc>
        <w:tc>
          <w:tcPr>
            <w:tcW w:w="1440" w:type="dxa"/>
            <w:tcBorders>
              <w:top w:val="nil"/>
              <w:left w:val="nil"/>
              <w:bottom w:val="single" w:sz="4" w:space="0" w:color="BFBFBF"/>
              <w:right w:val="single" w:sz="4" w:space="0" w:color="BFBFBF"/>
            </w:tcBorders>
            <w:shd w:val="clear" w:color="auto" w:fill="auto"/>
            <w:noWrap/>
            <w:hideMark/>
          </w:tcPr>
          <w:p w14:paraId="2563B180"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£m</w:t>
            </w:r>
          </w:p>
        </w:tc>
        <w:tc>
          <w:tcPr>
            <w:tcW w:w="222" w:type="dxa"/>
            <w:vAlign w:val="center"/>
            <w:hideMark/>
          </w:tcPr>
          <w:p w14:paraId="7C9D3C4F"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344225" w:rsidRPr="00B909D8" w14:paraId="2487BC30" w14:textId="77777777" w:rsidTr="00D41B2D">
        <w:trPr>
          <w:trHeight w:val="300"/>
        </w:trPr>
        <w:tc>
          <w:tcPr>
            <w:tcW w:w="2614" w:type="dxa"/>
            <w:gridSpan w:val="2"/>
            <w:tcBorders>
              <w:top w:val="single" w:sz="4" w:space="0" w:color="BFBFBF"/>
              <w:left w:val="nil"/>
              <w:bottom w:val="single" w:sz="4" w:space="0" w:color="BFBFBF"/>
              <w:right w:val="nil"/>
            </w:tcBorders>
            <w:shd w:val="clear" w:color="auto" w:fill="auto"/>
            <w:noWrap/>
            <w:vAlign w:val="bottom"/>
            <w:hideMark/>
          </w:tcPr>
          <w:p w14:paraId="5468A1B3" w14:textId="77777777" w:rsidR="00B909D8" w:rsidRPr="00B909D8" w:rsidRDefault="00B909D8" w:rsidP="00B909D8">
            <w:pPr>
              <w:spacing w:after="0" w:line="240" w:lineRule="auto"/>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Profit for the period</w:t>
            </w:r>
          </w:p>
        </w:tc>
        <w:tc>
          <w:tcPr>
            <w:tcW w:w="1301" w:type="dxa"/>
            <w:tcBorders>
              <w:top w:val="nil"/>
              <w:left w:val="nil"/>
              <w:bottom w:val="single" w:sz="4" w:space="0" w:color="BFBFBF"/>
              <w:right w:val="nil"/>
            </w:tcBorders>
            <w:shd w:val="clear" w:color="auto" w:fill="auto"/>
            <w:noWrap/>
            <w:vAlign w:val="bottom"/>
            <w:hideMark/>
          </w:tcPr>
          <w:p w14:paraId="4D103A93"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single" w:sz="4" w:space="0" w:color="BFBFBF"/>
              <w:right w:val="nil"/>
            </w:tcBorders>
            <w:shd w:val="clear" w:color="auto" w:fill="auto"/>
            <w:noWrap/>
            <w:vAlign w:val="bottom"/>
            <w:hideMark/>
          </w:tcPr>
          <w:p w14:paraId="02A3FE7C"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454" w:type="dxa"/>
            <w:tcBorders>
              <w:top w:val="nil"/>
              <w:left w:val="nil"/>
              <w:bottom w:val="single" w:sz="4" w:space="0" w:color="BFBFBF"/>
              <w:right w:val="nil"/>
            </w:tcBorders>
            <w:shd w:val="clear" w:color="auto" w:fill="auto"/>
            <w:noWrap/>
            <w:vAlign w:val="bottom"/>
            <w:hideMark/>
          </w:tcPr>
          <w:p w14:paraId="68668FCB"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608" w:type="dxa"/>
            <w:tcBorders>
              <w:top w:val="nil"/>
              <w:left w:val="nil"/>
              <w:bottom w:val="single" w:sz="4" w:space="0" w:color="BFBFBF"/>
              <w:right w:val="nil"/>
            </w:tcBorders>
            <w:shd w:val="clear" w:color="auto" w:fill="auto"/>
            <w:noWrap/>
            <w:vAlign w:val="bottom"/>
            <w:hideMark/>
          </w:tcPr>
          <w:p w14:paraId="41A75A28"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519" w:type="dxa"/>
            <w:tcBorders>
              <w:top w:val="nil"/>
              <w:left w:val="nil"/>
              <w:bottom w:val="single" w:sz="4" w:space="0" w:color="BFBFBF"/>
              <w:right w:val="nil"/>
            </w:tcBorders>
            <w:shd w:val="clear" w:color="auto" w:fill="CCECFF"/>
            <w:noWrap/>
            <w:vAlign w:val="bottom"/>
            <w:hideMark/>
          </w:tcPr>
          <w:p w14:paraId="4C3A813B" w14:textId="77777777" w:rsidR="00B909D8" w:rsidRPr="00B909D8" w:rsidRDefault="00B909D8" w:rsidP="00B909D8">
            <w:pPr>
              <w:spacing w:after="0" w:line="240" w:lineRule="auto"/>
              <w:jc w:val="right"/>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 xml:space="preserve">48 </w:t>
            </w:r>
          </w:p>
        </w:tc>
        <w:tc>
          <w:tcPr>
            <w:tcW w:w="1418" w:type="dxa"/>
            <w:tcBorders>
              <w:top w:val="nil"/>
              <w:left w:val="nil"/>
              <w:bottom w:val="single" w:sz="4" w:space="0" w:color="BFBFBF"/>
              <w:right w:val="nil"/>
            </w:tcBorders>
            <w:shd w:val="clear" w:color="000000" w:fill="FFFFFF"/>
            <w:noWrap/>
            <w:vAlign w:val="bottom"/>
            <w:hideMark/>
          </w:tcPr>
          <w:p w14:paraId="7B7C7FF5"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xml:space="preserve">47 </w:t>
            </w:r>
          </w:p>
        </w:tc>
        <w:tc>
          <w:tcPr>
            <w:tcW w:w="1440" w:type="dxa"/>
            <w:tcBorders>
              <w:top w:val="nil"/>
              <w:left w:val="nil"/>
              <w:bottom w:val="single" w:sz="4" w:space="0" w:color="BFBFBF"/>
              <w:right w:val="nil"/>
            </w:tcBorders>
            <w:shd w:val="clear" w:color="000000" w:fill="FFFFFF"/>
            <w:noWrap/>
            <w:vAlign w:val="bottom"/>
            <w:hideMark/>
          </w:tcPr>
          <w:p w14:paraId="7245DDCD"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xml:space="preserve">45 </w:t>
            </w:r>
          </w:p>
        </w:tc>
        <w:tc>
          <w:tcPr>
            <w:tcW w:w="222" w:type="dxa"/>
            <w:vAlign w:val="center"/>
            <w:hideMark/>
          </w:tcPr>
          <w:p w14:paraId="7D5AEECA"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344225" w:rsidRPr="00B909D8" w14:paraId="1EB795BA" w14:textId="77777777" w:rsidTr="00D41B2D">
        <w:trPr>
          <w:trHeight w:val="255"/>
        </w:trPr>
        <w:tc>
          <w:tcPr>
            <w:tcW w:w="1313" w:type="dxa"/>
            <w:tcBorders>
              <w:top w:val="nil"/>
              <w:left w:val="nil"/>
              <w:bottom w:val="nil"/>
              <w:right w:val="nil"/>
            </w:tcBorders>
            <w:shd w:val="clear" w:color="auto" w:fill="auto"/>
            <w:noWrap/>
            <w:vAlign w:val="bottom"/>
            <w:hideMark/>
          </w:tcPr>
          <w:p w14:paraId="064B3A35" w14:textId="77777777" w:rsidR="00B909D8" w:rsidRPr="00B909D8" w:rsidRDefault="00B909D8" w:rsidP="00B909D8">
            <w:pPr>
              <w:spacing w:after="0" w:line="240" w:lineRule="auto"/>
              <w:jc w:val="right"/>
              <w:rPr>
                <w:rFonts w:ascii="Arial" w:eastAsia="Times New Roman" w:hAnsi="Arial" w:cs="Arial"/>
                <w:sz w:val="15"/>
                <w:szCs w:val="15"/>
                <w:lang w:eastAsia="en-GB"/>
              </w:rPr>
            </w:pPr>
          </w:p>
        </w:tc>
        <w:tc>
          <w:tcPr>
            <w:tcW w:w="1301" w:type="dxa"/>
            <w:tcBorders>
              <w:top w:val="nil"/>
              <w:left w:val="nil"/>
              <w:bottom w:val="nil"/>
              <w:right w:val="nil"/>
            </w:tcBorders>
            <w:shd w:val="clear" w:color="auto" w:fill="auto"/>
            <w:noWrap/>
            <w:vAlign w:val="bottom"/>
            <w:hideMark/>
          </w:tcPr>
          <w:p w14:paraId="0F04C2A6"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1301" w:type="dxa"/>
            <w:tcBorders>
              <w:top w:val="nil"/>
              <w:left w:val="nil"/>
              <w:bottom w:val="nil"/>
              <w:right w:val="nil"/>
            </w:tcBorders>
            <w:shd w:val="clear" w:color="auto" w:fill="auto"/>
            <w:noWrap/>
            <w:vAlign w:val="bottom"/>
            <w:hideMark/>
          </w:tcPr>
          <w:p w14:paraId="44AC010B"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1301" w:type="dxa"/>
            <w:tcBorders>
              <w:top w:val="nil"/>
              <w:left w:val="nil"/>
              <w:bottom w:val="nil"/>
              <w:right w:val="nil"/>
            </w:tcBorders>
            <w:shd w:val="clear" w:color="auto" w:fill="auto"/>
            <w:noWrap/>
            <w:vAlign w:val="bottom"/>
            <w:hideMark/>
          </w:tcPr>
          <w:p w14:paraId="15B0D951"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454" w:type="dxa"/>
            <w:tcBorders>
              <w:top w:val="nil"/>
              <w:left w:val="nil"/>
              <w:bottom w:val="nil"/>
              <w:right w:val="nil"/>
            </w:tcBorders>
            <w:shd w:val="clear" w:color="auto" w:fill="auto"/>
            <w:noWrap/>
            <w:vAlign w:val="bottom"/>
            <w:hideMark/>
          </w:tcPr>
          <w:p w14:paraId="3C8DB57E"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23787E0A"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1519" w:type="dxa"/>
            <w:tcBorders>
              <w:top w:val="nil"/>
              <w:left w:val="nil"/>
              <w:bottom w:val="nil"/>
              <w:right w:val="nil"/>
            </w:tcBorders>
            <w:shd w:val="clear" w:color="auto" w:fill="CCECFF"/>
            <w:noWrap/>
            <w:vAlign w:val="bottom"/>
            <w:hideMark/>
          </w:tcPr>
          <w:p w14:paraId="60880240"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418" w:type="dxa"/>
            <w:tcBorders>
              <w:top w:val="nil"/>
              <w:left w:val="nil"/>
              <w:bottom w:val="nil"/>
              <w:right w:val="nil"/>
            </w:tcBorders>
            <w:shd w:val="clear" w:color="000000" w:fill="FFFFFF"/>
            <w:noWrap/>
            <w:vAlign w:val="bottom"/>
            <w:hideMark/>
          </w:tcPr>
          <w:p w14:paraId="5CCB2911"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440" w:type="dxa"/>
            <w:tcBorders>
              <w:top w:val="nil"/>
              <w:left w:val="nil"/>
              <w:bottom w:val="nil"/>
              <w:right w:val="nil"/>
            </w:tcBorders>
            <w:shd w:val="clear" w:color="000000" w:fill="FFFFFF"/>
            <w:noWrap/>
            <w:vAlign w:val="bottom"/>
            <w:hideMark/>
          </w:tcPr>
          <w:p w14:paraId="78F34684"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222" w:type="dxa"/>
            <w:vAlign w:val="center"/>
            <w:hideMark/>
          </w:tcPr>
          <w:p w14:paraId="27E531E3"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344225" w:rsidRPr="00B909D8" w14:paraId="403BC307" w14:textId="77777777" w:rsidTr="00D41B2D">
        <w:trPr>
          <w:trHeight w:val="255"/>
        </w:trPr>
        <w:tc>
          <w:tcPr>
            <w:tcW w:w="5670" w:type="dxa"/>
            <w:gridSpan w:val="5"/>
            <w:tcBorders>
              <w:top w:val="nil"/>
              <w:left w:val="nil"/>
              <w:bottom w:val="nil"/>
              <w:right w:val="nil"/>
            </w:tcBorders>
            <w:shd w:val="clear" w:color="auto" w:fill="auto"/>
            <w:noWrap/>
            <w:vAlign w:val="bottom"/>
            <w:hideMark/>
          </w:tcPr>
          <w:p w14:paraId="03F7C642" w14:textId="77777777" w:rsidR="00B909D8" w:rsidRPr="00B909D8" w:rsidRDefault="00B909D8" w:rsidP="00B909D8">
            <w:pPr>
              <w:spacing w:after="0" w:line="240" w:lineRule="auto"/>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Items that will never be reclassified to the income statement:</w:t>
            </w:r>
          </w:p>
        </w:tc>
        <w:tc>
          <w:tcPr>
            <w:tcW w:w="608" w:type="dxa"/>
            <w:tcBorders>
              <w:top w:val="nil"/>
              <w:left w:val="nil"/>
              <w:bottom w:val="nil"/>
              <w:right w:val="nil"/>
            </w:tcBorders>
            <w:shd w:val="clear" w:color="auto" w:fill="auto"/>
            <w:noWrap/>
            <w:vAlign w:val="bottom"/>
            <w:hideMark/>
          </w:tcPr>
          <w:p w14:paraId="537D829B" w14:textId="77777777" w:rsidR="00B909D8" w:rsidRPr="00B909D8" w:rsidRDefault="00B909D8" w:rsidP="00B909D8">
            <w:pPr>
              <w:spacing w:after="0" w:line="240" w:lineRule="auto"/>
              <w:rPr>
                <w:rFonts w:ascii="Arial" w:eastAsia="Times New Roman" w:hAnsi="Arial" w:cs="Arial"/>
                <w:b/>
                <w:bCs/>
                <w:sz w:val="15"/>
                <w:szCs w:val="15"/>
                <w:lang w:eastAsia="en-GB"/>
              </w:rPr>
            </w:pPr>
          </w:p>
        </w:tc>
        <w:tc>
          <w:tcPr>
            <w:tcW w:w="1519" w:type="dxa"/>
            <w:tcBorders>
              <w:top w:val="nil"/>
              <w:left w:val="nil"/>
              <w:bottom w:val="nil"/>
              <w:right w:val="nil"/>
            </w:tcBorders>
            <w:shd w:val="clear" w:color="auto" w:fill="CCECFF"/>
            <w:noWrap/>
            <w:vAlign w:val="bottom"/>
            <w:hideMark/>
          </w:tcPr>
          <w:p w14:paraId="110849BB"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418" w:type="dxa"/>
            <w:tcBorders>
              <w:top w:val="nil"/>
              <w:left w:val="nil"/>
              <w:bottom w:val="nil"/>
              <w:right w:val="nil"/>
            </w:tcBorders>
            <w:shd w:val="clear" w:color="000000" w:fill="FFFFFF"/>
            <w:noWrap/>
            <w:vAlign w:val="bottom"/>
            <w:hideMark/>
          </w:tcPr>
          <w:p w14:paraId="0601411C"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440" w:type="dxa"/>
            <w:tcBorders>
              <w:top w:val="nil"/>
              <w:left w:val="nil"/>
              <w:bottom w:val="nil"/>
              <w:right w:val="nil"/>
            </w:tcBorders>
            <w:shd w:val="clear" w:color="000000" w:fill="FFFFFF"/>
            <w:noWrap/>
            <w:vAlign w:val="bottom"/>
            <w:hideMark/>
          </w:tcPr>
          <w:p w14:paraId="792B8F28"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222" w:type="dxa"/>
            <w:vAlign w:val="center"/>
            <w:hideMark/>
          </w:tcPr>
          <w:p w14:paraId="171FF662"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344225" w:rsidRPr="00B909D8" w14:paraId="6D03C00B" w14:textId="77777777" w:rsidTr="00D41B2D">
        <w:trPr>
          <w:trHeight w:val="255"/>
        </w:trPr>
        <w:tc>
          <w:tcPr>
            <w:tcW w:w="5670" w:type="dxa"/>
            <w:gridSpan w:val="5"/>
            <w:tcBorders>
              <w:top w:val="nil"/>
              <w:left w:val="nil"/>
              <w:bottom w:val="nil"/>
              <w:right w:val="nil"/>
            </w:tcBorders>
            <w:shd w:val="clear" w:color="auto" w:fill="auto"/>
            <w:noWrap/>
            <w:vAlign w:val="bottom"/>
            <w:hideMark/>
          </w:tcPr>
          <w:p w14:paraId="4FB5AA93"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Remeasurement gains / (losses) on employee pension schemes</w:t>
            </w:r>
          </w:p>
        </w:tc>
        <w:tc>
          <w:tcPr>
            <w:tcW w:w="608" w:type="dxa"/>
            <w:tcBorders>
              <w:top w:val="nil"/>
              <w:left w:val="nil"/>
              <w:bottom w:val="nil"/>
              <w:right w:val="nil"/>
            </w:tcBorders>
            <w:shd w:val="clear" w:color="auto" w:fill="auto"/>
            <w:noWrap/>
            <w:vAlign w:val="bottom"/>
            <w:hideMark/>
          </w:tcPr>
          <w:p w14:paraId="075DAABD"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xml:space="preserve">7 </w:t>
            </w:r>
          </w:p>
        </w:tc>
        <w:tc>
          <w:tcPr>
            <w:tcW w:w="1519" w:type="dxa"/>
            <w:tcBorders>
              <w:top w:val="nil"/>
              <w:left w:val="nil"/>
              <w:bottom w:val="nil"/>
              <w:right w:val="nil"/>
            </w:tcBorders>
            <w:shd w:val="clear" w:color="auto" w:fill="CCECFF"/>
            <w:noWrap/>
            <w:vAlign w:val="bottom"/>
            <w:hideMark/>
          </w:tcPr>
          <w:p w14:paraId="2F6BC644" w14:textId="77777777" w:rsidR="00B909D8" w:rsidRPr="00B909D8" w:rsidRDefault="00B909D8" w:rsidP="00B909D8">
            <w:pPr>
              <w:spacing w:after="0" w:line="240" w:lineRule="auto"/>
              <w:jc w:val="right"/>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 xml:space="preserve">175 </w:t>
            </w:r>
          </w:p>
        </w:tc>
        <w:tc>
          <w:tcPr>
            <w:tcW w:w="1418" w:type="dxa"/>
            <w:tcBorders>
              <w:top w:val="nil"/>
              <w:left w:val="nil"/>
              <w:bottom w:val="nil"/>
              <w:right w:val="nil"/>
            </w:tcBorders>
            <w:shd w:val="clear" w:color="000000" w:fill="FFFFFF"/>
            <w:noWrap/>
            <w:vAlign w:val="bottom"/>
            <w:hideMark/>
          </w:tcPr>
          <w:p w14:paraId="54A1DB9E"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(95)</w:t>
            </w:r>
          </w:p>
        </w:tc>
        <w:tc>
          <w:tcPr>
            <w:tcW w:w="1440" w:type="dxa"/>
            <w:tcBorders>
              <w:top w:val="nil"/>
              <w:left w:val="nil"/>
              <w:bottom w:val="nil"/>
              <w:right w:val="nil"/>
            </w:tcBorders>
            <w:shd w:val="clear" w:color="000000" w:fill="FFFFFF"/>
            <w:noWrap/>
            <w:vAlign w:val="bottom"/>
            <w:hideMark/>
          </w:tcPr>
          <w:p w14:paraId="60733016"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xml:space="preserve">350 </w:t>
            </w:r>
          </w:p>
        </w:tc>
        <w:tc>
          <w:tcPr>
            <w:tcW w:w="222" w:type="dxa"/>
            <w:vAlign w:val="center"/>
            <w:hideMark/>
          </w:tcPr>
          <w:p w14:paraId="3E08A737"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344225" w:rsidRPr="00B909D8" w14:paraId="5DBF7169" w14:textId="77777777" w:rsidTr="00D41B2D">
        <w:trPr>
          <w:trHeight w:val="255"/>
        </w:trPr>
        <w:tc>
          <w:tcPr>
            <w:tcW w:w="2614" w:type="dxa"/>
            <w:gridSpan w:val="2"/>
            <w:tcBorders>
              <w:top w:val="nil"/>
              <w:left w:val="nil"/>
              <w:bottom w:val="single" w:sz="4" w:space="0" w:color="BFBFBF"/>
              <w:right w:val="nil"/>
            </w:tcBorders>
            <w:shd w:val="clear" w:color="auto" w:fill="auto"/>
            <w:noWrap/>
            <w:vAlign w:val="bottom"/>
            <w:hideMark/>
          </w:tcPr>
          <w:p w14:paraId="43EB68BF"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Related tax on items above</w:t>
            </w:r>
          </w:p>
        </w:tc>
        <w:tc>
          <w:tcPr>
            <w:tcW w:w="1301" w:type="dxa"/>
            <w:tcBorders>
              <w:top w:val="nil"/>
              <w:left w:val="nil"/>
              <w:bottom w:val="single" w:sz="4" w:space="0" w:color="BFBFBF"/>
              <w:right w:val="nil"/>
            </w:tcBorders>
            <w:shd w:val="clear" w:color="auto" w:fill="auto"/>
            <w:noWrap/>
            <w:vAlign w:val="bottom"/>
            <w:hideMark/>
          </w:tcPr>
          <w:p w14:paraId="391E3FE1"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single" w:sz="4" w:space="0" w:color="BFBFBF"/>
              <w:right w:val="nil"/>
            </w:tcBorders>
            <w:shd w:val="clear" w:color="auto" w:fill="auto"/>
            <w:noWrap/>
            <w:vAlign w:val="bottom"/>
            <w:hideMark/>
          </w:tcPr>
          <w:p w14:paraId="58856212"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454" w:type="dxa"/>
            <w:tcBorders>
              <w:top w:val="nil"/>
              <w:left w:val="nil"/>
              <w:bottom w:val="single" w:sz="4" w:space="0" w:color="BFBFBF"/>
              <w:right w:val="nil"/>
            </w:tcBorders>
            <w:shd w:val="clear" w:color="auto" w:fill="auto"/>
            <w:noWrap/>
            <w:vAlign w:val="bottom"/>
            <w:hideMark/>
          </w:tcPr>
          <w:p w14:paraId="10102362"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608" w:type="dxa"/>
            <w:tcBorders>
              <w:top w:val="nil"/>
              <w:left w:val="nil"/>
              <w:bottom w:val="single" w:sz="4" w:space="0" w:color="BFBFBF"/>
              <w:right w:val="nil"/>
            </w:tcBorders>
            <w:shd w:val="clear" w:color="auto" w:fill="auto"/>
            <w:noWrap/>
            <w:vAlign w:val="bottom"/>
            <w:hideMark/>
          </w:tcPr>
          <w:p w14:paraId="562A2E15"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xml:space="preserve">5 </w:t>
            </w:r>
          </w:p>
        </w:tc>
        <w:tc>
          <w:tcPr>
            <w:tcW w:w="1519" w:type="dxa"/>
            <w:tcBorders>
              <w:top w:val="nil"/>
              <w:left w:val="nil"/>
              <w:bottom w:val="single" w:sz="4" w:space="0" w:color="BFBFBF"/>
              <w:right w:val="nil"/>
            </w:tcBorders>
            <w:shd w:val="clear" w:color="auto" w:fill="CCECFF"/>
            <w:noWrap/>
            <w:vAlign w:val="bottom"/>
            <w:hideMark/>
          </w:tcPr>
          <w:p w14:paraId="2B36C069" w14:textId="77777777" w:rsidR="00B909D8" w:rsidRPr="00B909D8" w:rsidRDefault="00B909D8" w:rsidP="00B909D8">
            <w:pPr>
              <w:spacing w:after="0" w:line="240" w:lineRule="auto"/>
              <w:jc w:val="right"/>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(44)</w:t>
            </w:r>
          </w:p>
        </w:tc>
        <w:tc>
          <w:tcPr>
            <w:tcW w:w="1418" w:type="dxa"/>
            <w:tcBorders>
              <w:top w:val="nil"/>
              <w:left w:val="nil"/>
              <w:bottom w:val="single" w:sz="4" w:space="0" w:color="BFBFBF"/>
              <w:right w:val="nil"/>
            </w:tcBorders>
            <w:shd w:val="clear" w:color="000000" w:fill="FFFFFF"/>
            <w:noWrap/>
            <w:vAlign w:val="bottom"/>
            <w:hideMark/>
          </w:tcPr>
          <w:p w14:paraId="6E803B62"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(17)</w:t>
            </w:r>
          </w:p>
        </w:tc>
        <w:tc>
          <w:tcPr>
            <w:tcW w:w="1440" w:type="dxa"/>
            <w:tcBorders>
              <w:top w:val="nil"/>
              <w:left w:val="nil"/>
              <w:bottom w:val="single" w:sz="4" w:space="0" w:color="BFBFBF"/>
              <w:right w:val="nil"/>
            </w:tcBorders>
            <w:shd w:val="clear" w:color="000000" w:fill="FFFFFF"/>
            <w:noWrap/>
            <w:vAlign w:val="bottom"/>
            <w:hideMark/>
          </w:tcPr>
          <w:p w14:paraId="48730421"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(130)</w:t>
            </w:r>
          </w:p>
        </w:tc>
        <w:tc>
          <w:tcPr>
            <w:tcW w:w="222" w:type="dxa"/>
            <w:vAlign w:val="center"/>
            <w:hideMark/>
          </w:tcPr>
          <w:p w14:paraId="7F72449F"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344225" w:rsidRPr="00B909D8" w14:paraId="2286A1A5" w14:textId="77777777" w:rsidTr="00D41B2D">
        <w:trPr>
          <w:trHeight w:val="255"/>
        </w:trPr>
        <w:tc>
          <w:tcPr>
            <w:tcW w:w="1313" w:type="dxa"/>
            <w:tcBorders>
              <w:top w:val="nil"/>
              <w:left w:val="nil"/>
              <w:bottom w:val="single" w:sz="4" w:space="0" w:color="BFBFBF"/>
              <w:right w:val="nil"/>
            </w:tcBorders>
            <w:shd w:val="clear" w:color="auto" w:fill="auto"/>
            <w:noWrap/>
            <w:vAlign w:val="bottom"/>
            <w:hideMark/>
          </w:tcPr>
          <w:p w14:paraId="146EA77B" w14:textId="77777777" w:rsidR="00B909D8" w:rsidRPr="00B909D8" w:rsidRDefault="00B909D8" w:rsidP="00B909D8">
            <w:pPr>
              <w:spacing w:after="0" w:line="240" w:lineRule="auto"/>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 </w:t>
            </w:r>
          </w:p>
        </w:tc>
        <w:tc>
          <w:tcPr>
            <w:tcW w:w="1301" w:type="dxa"/>
            <w:tcBorders>
              <w:top w:val="nil"/>
              <w:left w:val="nil"/>
              <w:bottom w:val="single" w:sz="4" w:space="0" w:color="BFBFBF"/>
              <w:right w:val="nil"/>
            </w:tcBorders>
            <w:shd w:val="clear" w:color="auto" w:fill="auto"/>
            <w:noWrap/>
            <w:vAlign w:val="bottom"/>
            <w:hideMark/>
          </w:tcPr>
          <w:p w14:paraId="741BE775"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single" w:sz="4" w:space="0" w:color="BFBFBF"/>
              <w:right w:val="nil"/>
            </w:tcBorders>
            <w:shd w:val="clear" w:color="auto" w:fill="auto"/>
            <w:noWrap/>
            <w:vAlign w:val="bottom"/>
            <w:hideMark/>
          </w:tcPr>
          <w:p w14:paraId="6D8B622C"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single" w:sz="4" w:space="0" w:color="BFBFBF"/>
              <w:right w:val="nil"/>
            </w:tcBorders>
            <w:shd w:val="clear" w:color="auto" w:fill="auto"/>
            <w:noWrap/>
            <w:vAlign w:val="bottom"/>
            <w:hideMark/>
          </w:tcPr>
          <w:p w14:paraId="174216C4"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454" w:type="dxa"/>
            <w:tcBorders>
              <w:top w:val="nil"/>
              <w:left w:val="nil"/>
              <w:bottom w:val="single" w:sz="4" w:space="0" w:color="BFBFBF"/>
              <w:right w:val="nil"/>
            </w:tcBorders>
            <w:shd w:val="clear" w:color="auto" w:fill="auto"/>
            <w:noWrap/>
            <w:vAlign w:val="bottom"/>
            <w:hideMark/>
          </w:tcPr>
          <w:p w14:paraId="5D701C84"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608" w:type="dxa"/>
            <w:tcBorders>
              <w:top w:val="nil"/>
              <w:left w:val="nil"/>
              <w:bottom w:val="single" w:sz="4" w:space="0" w:color="BFBFBF"/>
              <w:right w:val="nil"/>
            </w:tcBorders>
            <w:shd w:val="clear" w:color="auto" w:fill="auto"/>
            <w:noWrap/>
            <w:vAlign w:val="bottom"/>
            <w:hideMark/>
          </w:tcPr>
          <w:p w14:paraId="3102E073"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519" w:type="dxa"/>
            <w:tcBorders>
              <w:top w:val="nil"/>
              <w:left w:val="nil"/>
              <w:bottom w:val="single" w:sz="4" w:space="0" w:color="BFBFBF"/>
              <w:right w:val="nil"/>
            </w:tcBorders>
            <w:shd w:val="clear" w:color="auto" w:fill="CCECFF"/>
            <w:noWrap/>
            <w:vAlign w:val="bottom"/>
            <w:hideMark/>
          </w:tcPr>
          <w:p w14:paraId="56697637" w14:textId="77777777" w:rsidR="00B909D8" w:rsidRPr="00B909D8" w:rsidRDefault="00B909D8" w:rsidP="00B909D8">
            <w:pPr>
              <w:spacing w:after="0" w:line="240" w:lineRule="auto"/>
              <w:jc w:val="right"/>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 xml:space="preserve">131 </w:t>
            </w:r>
          </w:p>
        </w:tc>
        <w:tc>
          <w:tcPr>
            <w:tcW w:w="1418" w:type="dxa"/>
            <w:tcBorders>
              <w:top w:val="nil"/>
              <w:left w:val="nil"/>
              <w:bottom w:val="single" w:sz="4" w:space="0" w:color="BFBFBF"/>
              <w:right w:val="nil"/>
            </w:tcBorders>
            <w:shd w:val="clear" w:color="000000" w:fill="FFFFFF"/>
            <w:noWrap/>
            <w:vAlign w:val="bottom"/>
            <w:hideMark/>
          </w:tcPr>
          <w:p w14:paraId="26E8FF0A"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(112)</w:t>
            </w:r>
          </w:p>
        </w:tc>
        <w:tc>
          <w:tcPr>
            <w:tcW w:w="1440" w:type="dxa"/>
            <w:tcBorders>
              <w:top w:val="nil"/>
              <w:left w:val="nil"/>
              <w:bottom w:val="single" w:sz="4" w:space="0" w:color="BFBFBF"/>
              <w:right w:val="nil"/>
            </w:tcBorders>
            <w:shd w:val="clear" w:color="000000" w:fill="FFFFFF"/>
            <w:noWrap/>
            <w:vAlign w:val="bottom"/>
            <w:hideMark/>
          </w:tcPr>
          <w:p w14:paraId="538CDB0E"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xml:space="preserve">220 </w:t>
            </w:r>
          </w:p>
        </w:tc>
        <w:tc>
          <w:tcPr>
            <w:tcW w:w="222" w:type="dxa"/>
            <w:vAlign w:val="center"/>
            <w:hideMark/>
          </w:tcPr>
          <w:p w14:paraId="5DBC794F"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344225" w:rsidRPr="00B909D8" w14:paraId="44E899F4" w14:textId="77777777" w:rsidTr="00D41B2D">
        <w:trPr>
          <w:trHeight w:val="255"/>
        </w:trPr>
        <w:tc>
          <w:tcPr>
            <w:tcW w:w="1313" w:type="dxa"/>
            <w:tcBorders>
              <w:top w:val="nil"/>
              <w:left w:val="nil"/>
              <w:bottom w:val="nil"/>
              <w:right w:val="nil"/>
            </w:tcBorders>
            <w:shd w:val="clear" w:color="auto" w:fill="auto"/>
            <w:noWrap/>
            <w:vAlign w:val="bottom"/>
            <w:hideMark/>
          </w:tcPr>
          <w:p w14:paraId="21F3F788" w14:textId="77777777" w:rsidR="00B909D8" w:rsidRPr="00B909D8" w:rsidRDefault="00B909D8" w:rsidP="00B909D8">
            <w:pPr>
              <w:spacing w:after="0" w:line="240" w:lineRule="auto"/>
              <w:jc w:val="right"/>
              <w:rPr>
                <w:rFonts w:ascii="Arial" w:eastAsia="Times New Roman" w:hAnsi="Arial" w:cs="Arial"/>
                <w:sz w:val="15"/>
                <w:szCs w:val="15"/>
                <w:lang w:eastAsia="en-GB"/>
              </w:rPr>
            </w:pPr>
          </w:p>
        </w:tc>
        <w:tc>
          <w:tcPr>
            <w:tcW w:w="1301" w:type="dxa"/>
            <w:tcBorders>
              <w:top w:val="nil"/>
              <w:left w:val="nil"/>
              <w:bottom w:val="nil"/>
              <w:right w:val="nil"/>
            </w:tcBorders>
            <w:shd w:val="clear" w:color="auto" w:fill="auto"/>
            <w:noWrap/>
            <w:vAlign w:val="bottom"/>
            <w:hideMark/>
          </w:tcPr>
          <w:p w14:paraId="276BE5EA"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1301" w:type="dxa"/>
            <w:tcBorders>
              <w:top w:val="nil"/>
              <w:left w:val="nil"/>
              <w:bottom w:val="nil"/>
              <w:right w:val="nil"/>
            </w:tcBorders>
            <w:shd w:val="clear" w:color="auto" w:fill="auto"/>
            <w:noWrap/>
            <w:vAlign w:val="bottom"/>
            <w:hideMark/>
          </w:tcPr>
          <w:p w14:paraId="715FFCC0"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1301" w:type="dxa"/>
            <w:tcBorders>
              <w:top w:val="nil"/>
              <w:left w:val="nil"/>
              <w:bottom w:val="nil"/>
              <w:right w:val="nil"/>
            </w:tcBorders>
            <w:shd w:val="clear" w:color="auto" w:fill="auto"/>
            <w:noWrap/>
            <w:vAlign w:val="bottom"/>
            <w:hideMark/>
          </w:tcPr>
          <w:p w14:paraId="0A703B2D"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454" w:type="dxa"/>
            <w:tcBorders>
              <w:top w:val="nil"/>
              <w:left w:val="nil"/>
              <w:bottom w:val="nil"/>
              <w:right w:val="nil"/>
            </w:tcBorders>
            <w:shd w:val="clear" w:color="auto" w:fill="auto"/>
            <w:noWrap/>
            <w:vAlign w:val="bottom"/>
            <w:hideMark/>
          </w:tcPr>
          <w:p w14:paraId="0E9AF6B5"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69F72A8F"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1519" w:type="dxa"/>
            <w:tcBorders>
              <w:top w:val="nil"/>
              <w:left w:val="nil"/>
              <w:bottom w:val="nil"/>
              <w:right w:val="nil"/>
            </w:tcBorders>
            <w:shd w:val="clear" w:color="auto" w:fill="CCECFF"/>
            <w:noWrap/>
            <w:vAlign w:val="bottom"/>
            <w:hideMark/>
          </w:tcPr>
          <w:p w14:paraId="4A28A19D"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418" w:type="dxa"/>
            <w:tcBorders>
              <w:top w:val="nil"/>
              <w:left w:val="nil"/>
              <w:bottom w:val="nil"/>
              <w:right w:val="nil"/>
            </w:tcBorders>
            <w:shd w:val="clear" w:color="000000" w:fill="FFFFFF"/>
            <w:noWrap/>
            <w:vAlign w:val="bottom"/>
            <w:hideMark/>
          </w:tcPr>
          <w:p w14:paraId="13CCF2EF"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440" w:type="dxa"/>
            <w:tcBorders>
              <w:top w:val="nil"/>
              <w:left w:val="nil"/>
              <w:bottom w:val="nil"/>
              <w:right w:val="nil"/>
            </w:tcBorders>
            <w:shd w:val="clear" w:color="000000" w:fill="FFFFFF"/>
            <w:noWrap/>
            <w:vAlign w:val="bottom"/>
            <w:hideMark/>
          </w:tcPr>
          <w:p w14:paraId="389067B5"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222" w:type="dxa"/>
            <w:vAlign w:val="center"/>
            <w:hideMark/>
          </w:tcPr>
          <w:p w14:paraId="16E75D07"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344225" w:rsidRPr="00B909D8" w14:paraId="44E90854" w14:textId="77777777" w:rsidTr="00D41B2D">
        <w:trPr>
          <w:trHeight w:val="255"/>
        </w:trPr>
        <w:tc>
          <w:tcPr>
            <w:tcW w:w="5670" w:type="dxa"/>
            <w:gridSpan w:val="5"/>
            <w:tcBorders>
              <w:top w:val="nil"/>
              <w:left w:val="nil"/>
              <w:right w:val="nil"/>
            </w:tcBorders>
            <w:shd w:val="clear" w:color="auto" w:fill="auto"/>
            <w:noWrap/>
            <w:vAlign w:val="bottom"/>
            <w:hideMark/>
          </w:tcPr>
          <w:p w14:paraId="2A66F943" w14:textId="77777777" w:rsidR="00B909D8" w:rsidRPr="00B909D8" w:rsidRDefault="00B909D8" w:rsidP="00B909D8">
            <w:pPr>
              <w:spacing w:after="0" w:line="240" w:lineRule="auto"/>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Items that are or may be reclassified to the income statement:</w:t>
            </w:r>
          </w:p>
        </w:tc>
        <w:tc>
          <w:tcPr>
            <w:tcW w:w="608" w:type="dxa"/>
            <w:tcBorders>
              <w:top w:val="nil"/>
              <w:left w:val="nil"/>
              <w:right w:val="nil"/>
            </w:tcBorders>
            <w:shd w:val="clear" w:color="auto" w:fill="auto"/>
            <w:noWrap/>
            <w:vAlign w:val="bottom"/>
            <w:hideMark/>
          </w:tcPr>
          <w:p w14:paraId="4B754E17" w14:textId="77777777" w:rsidR="00B909D8" w:rsidRPr="00B909D8" w:rsidRDefault="00B909D8" w:rsidP="00B909D8">
            <w:pPr>
              <w:spacing w:after="0" w:line="240" w:lineRule="auto"/>
              <w:rPr>
                <w:rFonts w:ascii="Arial" w:eastAsia="Times New Roman" w:hAnsi="Arial" w:cs="Arial"/>
                <w:b/>
                <w:bCs/>
                <w:sz w:val="15"/>
                <w:szCs w:val="15"/>
                <w:lang w:eastAsia="en-GB"/>
              </w:rPr>
            </w:pPr>
          </w:p>
        </w:tc>
        <w:tc>
          <w:tcPr>
            <w:tcW w:w="1519" w:type="dxa"/>
            <w:tcBorders>
              <w:top w:val="nil"/>
              <w:left w:val="nil"/>
              <w:right w:val="nil"/>
            </w:tcBorders>
            <w:shd w:val="clear" w:color="auto" w:fill="CCECFF"/>
            <w:noWrap/>
            <w:vAlign w:val="bottom"/>
            <w:hideMark/>
          </w:tcPr>
          <w:p w14:paraId="6E419E85"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418" w:type="dxa"/>
            <w:tcBorders>
              <w:top w:val="nil"/>
              <w:left w:val="nil"/>
              <w:right w:val="nil"/>
            </w:tcBorders>
            <w:shd w:val="clear" w:color="000000" w:fill="FFFFFF"/>
            <w:noWrap/>
            <w:vAlign w:val="bottom"/>
            <w:hideMark/>
          </w:tcPr>
          <w:p w14:paraId="666B502C"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440" w:type="dxa"/>
            <w:tcBorders>
              <w:top w:val="nil"/>
              <w:left w:val="nil"/>
              <w:right w:val="nil"/>
            </w:tcBorders>
            <w:shd w:val="clear" w:color="000000" w:fill="FFFFFF"/>
            <w:noWrap/>
            <w:vAlign w:val="bottom"/>
            <w:hideMark/>
          </w:tcPr>
          <w:p w14:paraId="3DEF8B91"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222" w:type="dxa"/>
            <w:vAlign w:val="center"/>
            <w:hideMark/>
          </w:tcPr>
          <w:p w14:paraId="29C9FC83"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344225" w:rsidRPr="00B909D8" w14:paraId="4414D682" w14:textId="77777777" w:rsidTr="00D41B2D">
        <w:trPr>
          <w:trHeight w:val="300"/>
        </w:trPr>
        <w:tc>
          <w:tcPr>
            <w:tcW w:w="5670" w:type="dxa"/>
            <w:gridSpan w:val="5"/>
            <w:tcBorders>
              <w:top w:val="nil"/>
              <w:left w:val="nil"/>
              <w:bottom w:val="single" w:sz="4" w:space="0" w:color="BFBFBF"/>
              <w:right w:val="nil"/>
            </w:tcBorders>
            <w:shd w:val="clear" w:color="auto" w:fill="auto"/>
            <w:noWrap/>
            <w:vAlign w:val="center"/>
            <w:hideMark/>
          </w:tcPr>
          <w:p w14:paraId="3AF15715"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xml:space="preserve">Gain on revaluation of Right-of-use assets prior to transfer to Investment property </w:t>
            </w:r>
          </w:p>
        </w:tc>
        <w:tc>
          <w:tcPr>
            <w:tcW w:w="608" w:type="dxa"/>
            <w:tcBorders>
              <w:top w:val="nil"/>
              <w:left w:val="nil"/>
              <w:bottom w:val="single" w:sz="4" w:space="0" w:color="BFBFBF"/>
              <w:right w:val="nil"/>
            </w:tcBorders>
            <w:shd w:val="clear" w:color="auto" w:fill="auto"/>
            <w:vAlign w:val="center"/>
            <w:hideMark/>
          </w:tcPr>
          <w:p w14:paraId="57A68EEE" w14:textId="77777777" w:rsidR="00B909D8" w:rsidRPr="00B909D8" w:rsidRDefault="00B909D8" w:rsidP="00B909D8">
            <w:pPr>
              <w:spacing w:after="0" w:line="240" w:lineRule="auto"/>
              <w:rPr>
                <w:rFonts w:ascii="Arial" w:eastAsia="Times New Roman" w:hAnsi="Arial" w:cs="Arial"/>
                <w:sz w:val="15"/>
                <w:szCs w:val="15"/>
                <w:lang w:eastAsia="en-GB"/>
              </w:rPr>
            </w:pPr>
          </w:p>
        </w:tc>
        <w:tc>
          <w:tcPr>
            <w:tcW w:w="1519" w:type="dxa"/>
            <w:tcBorders>
              <w:top w:val="nil"/>
              <w:left w:val="nil"/>
              <w:bottom w:val="single" w:sz="4" w:space="0" w:color="BFBFBF"/>
              <w:right w:val="nil"/>
            </w:tcBorders>
            <w:shd w:val="clear" w:color="auto" w:fill="CCECFF"/>
            <w:noWrap/>
            <w:vAlign w:val="center"/>
            <w:hideMark/>
          </w:tcPr>
          <w:p w14:paraId="2BC6132F" w14:textId="77777777" w:rsidR="00B909D8" w:rsidRPr="00B909D8" w:rsidRDefault="00B909D8" w:rsidP="00B909D8">
            <w:pPr>
              <w:spacing w:after="0" w:line="240" w:lineRule="auto"/>
              <w:jc w:val="right"/>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 xml:space="preserve">- </w:t>
            </w:r>
          </w:p>
        </w:tc>
        <w:tc>
          <w:tcPr>
            <w:tcW w:w="1418" w:type="dxa"/>
            <w:tcBorders>
              <w:top w:val="nil"/>
              <w:left w:val="nil"/>
              <w:bottom w:val="single" w:sz="4" w:space="0" w:color="BFBFBF"/>
              <w:right w:val="nil"/>
            </w:tcBorders>
            <w:shd w:val="clear" w:color="000000" w:fill="FFFFFF"/>
            <w:noWrap/>
            <w:vAlign w:val="center"/>
            <w:hideMark/>
          </w:tcPr>
          <w:p w14:paraId="68DAB9EE"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xml:space="preserve">- </w:t>
            </w:r>
          </w:p>
        </w:tc>
        <w:tc>
          <w:tcPr>
            <w:tcW w:w="1440" w:type="dxa"/>
            <w:tcBorders>
              <w:top w:val="nil"/>
              <w:left w:val="nil"/>
              <w:bottom w:val="single" w:sz="4" w:space="0" w:color="BFBFBF"/>
              <w:right w:val="nil"/>
            </w:tcBorders>
            <w:shd w:val="clear" w:color="000000" w:fill="FFFFFF"/>
            <w:noWrap/>
            <w:vAlign w:val="center"/>
            <w:hideMark/>
          </w:tcPr>
          <w:p w14:paraId="2A1BC0B8"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xml:space="preserve">5 </w:t>
            </w:r>
          </w:p>
        </w:tc>
        <w:tc>
          <w:tcPr>
            <w:tcW w:w="222" w:type="dxa"/>
            <w:vAlign w:val="center"/>
            <w:hideMark/>
          </w:tcPr>
          <w:p w14:paraId="05BD23D8"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344225" w:rsidRPr="00B909D8" w14:paraId="15C88E8E" w14:textId="77777777" w:rsidTr="00D41B2D">
        <w:trPr>
          <w:trHeight w:val="255"/>
        </w:trPr>
        <w:tc>
          <w:tcPr>
            <w:tcW w:w="1313" w:type="dxa"/>
            <w:tcBorders>
              <w:top w:val="single" w:sz="4" w:space="0" w:color="BFBFBF"/>
              <w:left w:val="nil"/>
              <w:bottom w:val="single" w:sz="4" w:space="0" w:color="BFBFBF"/>
              <w:right w:val="nil"/>
            </w:tcBorders>
            <w:shd w:val="clear" w:color="auto" w:fill="auto"/>
            <w:noWrap/>
            <w:vAlign w:val="bottom"/>
            <w:hideMark/>
          </w:tcPr>
          <w:p w14:paraId="6E76062D" w14:textId="77777777" w:rsidR="00B909D8" w:rsidRPr="00B909D8" w:rsidRDefault="00B909D8" w:rsidP="00B909D8">
            <w:pPr>
              <w:spacing w:after="0" w:line="240" w:lineRule="auto"/>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 </w:t>
            </w:r>
          </w:p>
        </w:tc>
        <w:tc>
          <w:tcPr>
            <w:tcW w:w="1301" w:type="dxa"/>
            <w:tcBorders>
              <w:top w:val="single" w:sz="4" w:space="0" w:color="BFBFBF"/>
              <w:left w:val="nil"/>
              <w:bottom w:val="single" w:sz="4" w:space="0" w:color="BFBFBF"/>
              <w:right w:val="nil"/>
            </w:tcBorders>
            <w:shd w:val="clear" w:color="auto" w:fill="auto"/>
            <w:noWrap/>
            <w:vAlign w:val="bottom"/>
            <w:hideMark/>
          </w:tcPr>
          <w:p w14:paraId="40D7DB18"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single" w:sz="4" w:space="0" w:color="BFBFBF"/>
              <w:left w:val="nil"/>
              <w:bottom w:val="single" w:sz="4" w:space="0" w:color="BFBFBF"/>
              <w:right w:val="nil"/>
            </w:tcBorders>
            <w:shd w:val="clear" w:color="auto" w:fill="auto"/>
            <w:noWrap/>
            <w:vAlign w:val="bottom"/>
            <w:hideMark/>
          </w:tcPr>
          <w:p w14:paraId="33FCED2E"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single" w:sz="4" w:space="0" w:color="BFBFBF"/>
              <w:left w:val="nil"/>
              <w:bottom w:val="single" w:sz="4" w:space="0" w:color="BFBFBF"/>
              <w:right w:val="nil"/>
            </w:tcBorders>
            <w:shd w:val="clear" w:color="auto" w:fill="auto"/>
            <w:noWrap/>
            <w:vAlign w:val="bottom"/>
            <w:hideMark/>
          </w:tcPr>
          <w:p w14:paraId="0923BFCD"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454" w:type="dxa"/>
            <w:tcBorders>
              <w:top w:val="single" w:sz="4" w:space="0" w:color="BFBFBF"/>
              <w:left w:val="nil"/>
              <w:bottom w:val="single" w:sz="4" w:space="0" w:color="BFBFBF"/>
              <w:right w:val="nil"/>
            </w:tcBorders>
            <w:shd w:val="clear" w:color="auto" w:fill="auto"/>
            <w:noWrap/>
            <w:vAlign w:val="bottom"/>
            <w:hideMark/>
          </w:tcPr>
          <w:p w14:paraId="3B81D6E4"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608" w:type="dxa"/>
            <w:tcBorders>
              <w:top w:val="single" w:sz="4" w:space="0" w:color="BFBFBF"/>
              <w:left w:val="nil"/>
              <w:bottom w:val="single" w:sz="4" w:space="0" w:color="BFBFBF"/>
              <w:right w:val="nil"/>
            </w:tcBorders>
            <w:shd w:val="clear" w:color="auto" w:fill="auto"/>
            <w:noWrap/>
            <w:vAlign w:val="bottom"/>
            <w:hideMark/>
          </w:tcPr>
          <w:p w14:paraId="7F1DC43D"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519" w:type="dxa"/>
            <w:tcBorders>
              <w:top w:val="single" w:sz="4" w:space="0" w:color="BFBFBF"/>
              <w:left w:val="nil"/>
              <w:bottom w:val="single" w:sz="4" w:space="0" w:color="BFBFBF"/>
              <w:right w:val="nil"/>
            </w:tcBorders>
            <w:shd w:val="clear" w:color="auto" w:fill="CCECFF"/>
            <w:noWrap/>
            <w:vAlign w:val="bottom"/>
            <w:hideMark/>
          </w:tcPr>
          <w:p w14:paraId="33FE4914" w14:textId="77777777" w:rsidR="00B909D8" w:rsidRPr="00B909D8" w:rsidRDefault="00B909D8" w:rsidP="00B909D8">
            <w:pPr>
              <w:spacing w:after="0" w:line="240" w:lineRule="auto"/>
              <w:jc w:val="right"/>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 xml:space="preserve">- </w:t>
            </w:r>
          </w:p>
        </w:tc>
        <w:tc>
          <w:tcPr>
            <w:tcW w:w="1418" w:type="dxa"/>
            <w:tcBorders>
              <w:top w:val="single" w:sz="4" w:space="0" w:color="BFBFBF"/>
              <w:left w:val="nil"/>
              <w:bottom w:val="single" w:sz="4" w:space="0" w:color="BFBFBF"/>
              <w:right w:val="nil"/>
            </w:tcBorders>
            <w:shd w:val="clear" w:color="000000" w:fill="FFFFFF"/>
            <w:noWrap/>
            <w:vAlign w:val="bottom"/>
            <w:hideMark/>
          </w:tcPr>
          <w:p w14:paraId="3D4653EA"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xml:space="preserve">- </w:t>
            </w:r>
          </w:p>
        </w:tc>
        <w:tc>
          <w:tcPr>
            <w:tcW w:w="1440" w:type="dxa"/>
            <w:tcBorders>
              <w:top w:val="single" w:sz="4" w:space="0" w:color="BFBFBF"/>
              <w:left w:val="nil"/>
              <w:bottom w:val="single" w:sz="4" w:space="0" w:color="BFBFBF"/>
              <w:right w:val="nil"/>
            </w:tcBorders>
            <w:shd w:val="clear" w:color="000000" w:fill="FFFFFF"/>
            <w:noWrap/>
            <w:vAlign w:val="bottom"/>
            <w:hideMark/>
          </w:tcPr>
          <w:p w14:paraId="4E0E1511"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xml:space="preserve">5 </w:t>
            </w:r>
          </w:p>
        </w:tc>
        <w:tc>
          <w:tcPr>
            <w:tcW w:w="222" w:type="dxa"/>
            <w:vAlign w:val="center"/>
            <w:hideMark/>
          </w:tcPr>
          <w:p w14:paraId="0D4B1DF2"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344225" w:rsidRPr="00B909D8" w14:paraId="23943C14" w14:textId="77777777" w:rsidTr="00D41B2D">
        <w:trPr>
          <w:trHeight w:val="255"/>
        </w:trPr>
        <w:tc>
          <w:tcPr>
            <w:tcW w:w="5670" w:type="dxa"/>
            <w:gridSpan w:val="5"/>
            <w:tcBorders>
              <w:top w:val="single" w:sz="4" w:space="0" w:color="BFBFBF"/>
              <w:left w:val="nil"/>
              <w:bottom w:val="single" w:sz="4" w:space="0" w:color="BFBFBF"/>
              <w:right w:val="nil"/>
            </w:tcBorders>
            <w:shd w:val="clear" w:color="auto" w:fill="auto"/>
            <w:noWrap/>
            <w:vAlign w:val="bottom"/>
            <w:hideMark/>
          </w:tcPr>
          <w:p w14:paraId="4A11958F" w14:textId="77777777" w:rsidR="00B909D8" w:rsidRPr="00B909D8" w:rsidRDefault="00B909D8" w:rsidP="00B909D8">
            <w:pPr>
              <w:spacing w:after="0" w:line="240" w:lineRule="auto"/>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Other comprehensive (loss) / income for the period net of tax</w:t>
            </w:r>
          </w:p>
        </w:tc>
        <w:tc>
          <w:tcPr>
            <w:tcW w:w="608" w:type="dxa"/>
            <w:tcBorders>
              <w:top w:val="nil"/>
              <w:left w:val="nil"/>
              <w:bottom w:val="single" w:sz="4" w:space="0" w:color="BFBFBF"/>
              <w:right w:val="nil"/>
            </w:tcBorders>
            <w:shd w:val="clear" w:color="auto" w:fill="auto"/>
            <w:noWrap/>
            <w:vAlign w:val="bottom"/>
            <w:hideMark/>
          </w:tcPr>
          <w:p w14:paraId="1FA35CBA"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519" w:type="dxa"/>
            <w:tcBorders>
              <w:top w:val="nil"/>
              <w:left w:val="nil"/>
              <w:bottom w:val="single" w:sz="4" w:space="0" w:color="BFBFBF"/>
              <w:right w:val="nil"/>
            </w:tcBorders>
            <w:shd w:val="clear" w:color="auto" w:fill="CCECFF"/>
            <w:noWrap/>
            <w:vAlign w:val="bottom"/>
            <w:hideMark/>
          </w:tcPr>
          <w:p w14:paraId="592913E0" w14:textId="77777777" w:rsidR="00B909D8" w:rsidRPr="00B909D8" w:rsidRDefault="00B909D8" w:rsidP="00B909D8">
            <w:pPr>
              <w:spacing w:after="0" w:line="240" w:lineRule="auto"/>
              <w:jc w:val="right"/>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 xml:space="preserve">131 </w:t>
            </w:r>
          </w:p>
        </w:tc>
        <w:tc>
          <w:tcPr>
            <w:tcW w:w="1418" w:type="dxa"/>
            <w:tcBorders>
              <w:top w:val="nil"/>
              <w:left w:val="nil"/>
              <w:bottom w:val="single" w:sz="4" w:space="0" w:color="BFBFBF"/>
              <w:right w:val="nil"/>
            </w:tcBorders>
            <w:shd w:val="clear" w:color="000000" w:fill="FFFFFF"/>
            <w:noWrap/>
            <w:vAlign w:val="bottom"/>
            <w:hideMark/>
          </w:tcPr>
          <w:p w14:paraId="17EC5D15"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(112)</w:t>
            </w:r>
          </w:p>
        </w:tc>
        <w:tc>
          <w:tcPr>
            <w:tcW w:w="1440" w:type="dxa"/>
            <w:tcBorders>
              <w:top w:val="nil"/>
              <w:left w:val="nil"/>
              <w:bottom w:val="single" w:sz="4" w:space="0" w:color="BFBFBF"/>
              <w:right w:val="nil"/>
            </w:tcBorders>
            <w:shd w:val="clear" w:color="000000" w:fill="FFFFFF"/>
            <w:noWrap/>
            <w:vAlign w:val="bottom"/>
            <w:hideMark/>
          </w:tcPr>
          <w:p w14:paraId="61BBA6E6"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xml:space="preserve">225 </w:t>
            </w:r>
          </w:p>
        </w:tc>
        <w:tc>
          <w:tcPr>
            <w:tcW w:w="222" w:type="dxa"/>
            <w:vAlign w:val="center"/>
            <w:hideMark/>
          </w:tcPr>
          <w:p w14:paraId="76FEAF33"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344225" w:rsidRPr="00B909D8" w14:paraId="53FA57C9" w14:textId="77777777" w:rsidTr="00D41B2D">
        <w:trPr>
          <w:trHeight w:val="259"/>
        </w:trPr>
        <w:tc>
          <w:tcPr>
            <w:tcW w:w="1313" w:type="dxa"/>
            <w:tcBorders>
              <w:top w:val="nil"/>
              <w:left w:val="nil"/>
              <w:bottom w:val="nil"/>
              <w:right w:val="nil"/>
            </w:tcBorders>
            <w:shd w:val="clear" w:color="auto" w:fill="auto"/>
            <w:noWrap/>
            <w:vAlign w:val="bottom"/>
            <w:hideMark/>
          </w:tcPr>
          <w:p w14:paraId="08D18B2F" w14:textId="77777777" w:rsidR="00B909D8" w:rsidRPr="00B909D8" w:rsidRDefault="00B909D8" w:rsidP="00B909D8">
            <w:pPr>
              <w:spacing w:after="0" w:line="240" w:lineRule="auto"/>
              <w:jc w:val="right"/>
              <w:rPr>
                <w:rFonts w:ascii="Arial" w:eastAsia="Times New Roman" w:hAnsi="Arial" w:cs="Arial"/>
                <w:sz w:val="15"/>
                <w:szCs w:val="15"/>
                <w:lang w:eastAsia="en-GB"/>
              </w:rPr>
            </w:pPr>
          </w:p>
        </w:tc>
        <w:tc>
          <w:tcPr>
            <w:tcW w:w="1301" w:type="dxa"/>
            <w:tcBorders>
              <w:top w:val="nil"/>
              <w:left w:val="nil"/>
              <w:bottom w:val="nil"/>
              <w:right w:val="nil"/>
            </w:tcBorders>
            <w:shd w:val="clear" w:color="auto" w:fill="auto"/>
            <w:noWrap/>
            <w:vAlign w:val="bottom"/>
            <w:hideMark/>
          </w:tcPr>
          <w:p w14:paraId="69D53B3A"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1301" w:type="dxa"/>
            <w:tcBorders>
              <w:top w:val="nil"/>
              <w:left w:val="nil"/>
              <w:bottom w:val="nil"/>
              <w:right w:val="nil"/>
            </w:tcBorders>
            <w:shd w:val="clear" w:color="auto" w:fill="auto"/>
            <w:noWrap/>
            <w:vAlign w:val="bottom"/>
            <w:hideMark/>
          </w:tcPr>
          <w:p w14:paraId="344DFFE8"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c>
          <w:tcPr>
            <w:tcW w:w="1301" w:type="dxa"/>
            <w:tcBorders>
              <w:top w:val="nil"/>
              <w:left w:val="nil"/>
              <w:bottom w:val="nil"/>
              <w:right w:val="nil"/>
            </w:tcBorders>
            <w:shd w:val="clear" w:color="auto" w:fill="auto"/>
            <w:noWrap/>
            <w:vAlign w:val="bottom"/>
            <w:hideMark/>
          </w:tcPr>
          <w:p w14:paraId="2F5F26F9"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454" w:type="dxa"/>
            <w:tcBorders>
              <w:top w:val="nil"/>
              <w:left w:val="nil"/>
              <w:bottom w:val="nil"/>
              <w:right w:val="nil"/>
            </w:tcBorders>
            <w:shd w:val="clear" w:color="auto" w:fill="auto"/>
            <w:noWrap/>
            <w:vAlign w:val="bottom"/>
            <w:hideMark/>
          </w:tcPr>
          <w:p w14:paraId="7066E111"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35D53560" w14:textId="77777777" w:rsidR="00B909D8" w:rsidRPr="00B909D8" w:rsidRDefault="00B909D8" w:rsidP="00B909D8">
            <w:pPr>
              <w:spacing w:after="0" w:line="240" w:lineRule="auto"/>
              <w:jc w:val="right"/>
              <w:rPr>
                <w:rFonts w:ascii="Times New Roman" w:eastAsia="Times New Roman" w:hAnsi="Times New Roman" w:cs="Times New Roman"/>
                <w:sz w:val="20"/>
                <w:szCs w:val="20"/>
                <w:lang w:eastAsia="en-GB"/>
              </w:rPr>
            </w:pPr>
          </w:p>
        </w:tc>
        <w:tc>
          <w:tcPr>
            <w:tcW w:w="1519" w:type="dxa"/>
            <w:tcBorders>
              <w:top w:val="nil"/>
              <w:left w:val="nil"/>
              <w:bottom w:val="nil"/>
              <w:right w:val="nil"/>
            </w:tcBorders>
            <w:shd w:val="clear" w:color="auto" w:fill="CCECFF"/>
            <w:noWrap/>
            <w:vAlign w:val="bottom"/>
            <w:hideMark/>
          </w:tcPr>
          <w:p w14:paraId="4F6D6271"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418" w:type="dxa"/>
            <w:tcBorders>
              <w:top w:val="nil"/>
              <w:left w:val="nil"/>
              <w:bottom w:val="nil"/>
              <w:right w:val="nil"/>
            </w:tcBorders>
            <w:shd w:val="clear" w:color="000000" w:fill="FFFFFF"/>
            <w:noWrap/>
            <w:vAlign w:val="bottom"/>
            <w:hideMark/>
          </w:tcPr>
          <w:p w14:paraId="3266563A"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440" w:type="dxa"/>
            <w:tcBorders>
              <w:top w:val="nil"/>
              <w:left w:val="nil"/>
              <w:bottom w:val="nil"/>
              <w:right w:val="nil"/>
            </w:tcBorders>
            <w:shd w:val="clear" w:color="000000" w:fill="FFFFFF"/>
            <w:noWrap/>
            <w:vAlign w:val="bottom"/>
            <w:hideMark/>
          </w:tcPr>
          <w:p w14:paraId="1B06CC5C"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222" w:type="dxa"/>
            <w:vAlign w:val="center"/>
            <w:hideMark/>
          </w:tcPr>
          <w:p w14:paraId="6EDA9E5D"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344225" w:rsidRPr="00B909D8" w14:paraId="024FBF5E" w14:textId="77777777" w:rsidTr="00D41B2D">
        <w:trPr>
          <w:trHeight w:val="315"/>
        </w:trPr>
        <w:tc>
          <w:tcPr>
            <w:tcW w:w="1313" w:type="dxa"/>
            <w:tcBorders>
              <w:top w:val="nil"/>
              <w:left w:val="nil"/>
              <w:bottom w:val="single" w:sz="4" w:space="0" w:color="A6A6A6"/>
              <w:right w:val="nil"/>
            </w:tcBorders>
            <w:shd w:val="clear" w:color="auto" w:fill="auto"/>
            <w:noWrap/>
            <w:vAlign w:val="bottom"/>
            <w:hideMark/>
          </w:tcPr>
          <w:p w14:paraId="4606998E"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single" w:sz="4" w:space="0" w:color="A6A6A6"/>
              <w:right w:val="nil"/>
            </w:tcBorders>
            <w:shd w:val="clear" w:color="auto" w:fill="auto"/>
            <w:noWrap/>
            <w:vAlign w:val="bottom"/>
            <w:hideMark/>
          </w:tcPr>
          <w:p w14:paraId="063DA6C5"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single" w:sz="4" w:space="0" w:color="A6A6A6"/>
              <w:right w:val="nil"/>
            </w:tcBorders>
            <w:shd w:val="clear" w:color="auto" w:fill="auto"/>
            <w:noWrap/>
            <w:vAlign w:val="bottom"/>
            <w:hideMark/>
          </w:tcPr>
          <w:p w14:paraId="0633804D"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single" w:sz="4" w:space="0" w:color="A6A6A6"/>
              <w:right w:val="nil"/>
            </w:tcBorders>
            <w:shd w:val="clear" w:color="auto" w:fill="auto"/>
            <w:noWrap/>
            <w:vAlign w:val="bottom"/>
            <w:hideMark/>
          </w:tcPr>
          <w:p w14:paraId="00CDCE50"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454" w:type="dxa"/>
            <w:tcBorders>
              <w:top w:val="nil"/>
              <w:left w:val="nil"/>
              <w:bottom w:val="single" w:sz="4" w:space="0" w:color="A6A6A6"/>
              <w:right w:val="nil"/>
            </w:tcBorders>
            <w:shd w:val="clear" w:color="auto" w:fill="auto"/>
            <w:noWrap/>
            <w:vAlign w:val="bottom"/>
            <w:hideMark/>
          </w:tcPr>
          <w:p w14:paraId="72707959"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608" w:type="dxa"/>
            <w:tcBorders>
              <w:top w:val="nil"/>
              <w:left w:val="nil"/>
              <w:bottom w:val="single" w:sz="4" w:space="0" w:color="A6A6A6"/>
              <w:right w:val="nil"/>
            </w:tcBorders>
            <w:shd w:val="clear" w:color="auto" w:fill="auto"/>
            <w:noWrap/>
            <w:vAlign w:val="bottom"/>
            <w:hideMark/>
          </w:tcPr>
          <w:p w14:paraId="5FEC4491"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519" w:type="dxa"/>
            <w:tcBorders>
              <w:top w:val="nil"/>
              <w:left w:val="nil"/>
              <w:bottom w:val="single" w:sz="4" w:space="0" w:color="A6A6A6"/>
              <w:right w:val="nil"/>
            </w:tcBorders>
            <w:shd w:val="clear" w:color="auto" w:fill="CCECFF"/>
            <w:noWrap/>
            <w:vAlign w:val="bottom"/>
            <w:hideMark/>
          </w:tcPr>
          <w:p w14:paraId="060F5003"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418" w:type="dxa"/>
            <w:tcBorders>
              <w:top w:val="nil"/>
              <w:left w:val="nil"/>
              <w:bottom w:val="single" w:sz="4" w:space="0" w:color="A6A6A6"/>
              <w:right w:val="nil"/>
            </w:tcBorders>
            <w:shd w:val="clear" w:color="000000" w:fill="FFFFFF"/>
            <w:noWrap/>
            <w:vAlign w:val="bottom"/>
            <w:hideMark/>
          </w:tcPr>
          <w:p w14:paraId="147D34B2"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440" w:type="dxa"/>
            <w:tcBorders>
              <w:top w:val="nil"/>
              <w:left w:val="nil"/>
              <w:bottom w:val="single" w:sz="4" w:space="0" w:color="A6A6A6"/>
              <w:right w:val="nil"/>
            </w:tcBorders>
            <w:shd w:val="clear" w:color="000000" w:fill="FFFFFF"/>
            <w:noWrap/>
            <w:vAlign w:val="bottom"/>
            <w:hideMark/>
          </w:tcPr>
          <w:p w14:paraId="225B4D95"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222" w:type="dxa"/>
            <w:vAlign w:val="center"/>
            <w:hideMark/>
          </w:tcPr>
          <w:p w14:paraId="23BC1A75"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344225" w:rsidRPr="00B909D8" w14:paraId="09B047D8" w14:textId="77777777" w:rsidTr="00D41B2D">
        <w:trPr>
          <w:trHeight w:val="435"/>
        </w:trPr>
        <w:tc>
          <w:tcPr>
            <w:tcW w:w="6278" w:type="dxa"/>
            <w:gridSpan w:val="6"/>
            <w:tcBorders>
              <w:top w:val="single" w:sz="4" w:space="0" w:color="A6A6A6"/>
              <w:left w:val="nil"/>
              <w:bottom w:val="single" w:sz="4" w:space="0" w:color="BFBFBF"/>
              <w:right w:val="nil"/>
            </w:tcBorders>
            <w:shd w:val="clear" w:color="auto" w:fill="auto"/>
            <w:vAlign w:val="center"/>
            <w:hideMark/>
          </w:tcPr>
          <w:p w14:paraId="486D29DA" w14:textId="77777777" w:rsidR="00B909D8" w:rsidRPr="00B909D8" w:rsidRDefault="00B909D8" w:rsidP="00B909D8">
            <w:pPr>
              <w:spacing w:after="0" w:line="240" w:lineRule="auto"/>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Total comprehensive income / (loss) for the period</w:t>
            </w:r>
            <w:r w:rsidRPr="00B909D8">
              <w:rPr>
                <w:rFonts w:ascii="Arial" w:eastAsia="Times New Roman" w:hAnsi="Arial" w:cs="Arial"/>
                <w:b/>
                <w:bCs/>
                <w:sz w:val="15"/>
                <w:szCs w:val="15"/>
                <w:lang w:eastAsia="en-GB"/>
              </w:rPr>
              <w:br/>
              <w:t>(all attributable to members of the Society)</w:t>
            </w:r>
          </w:p>
        </w:tc>
        <w:tc>
          <w:tcPr>
            <w:tcW w:w="1519" w:type="dxa"/>
            <w:tcBorders>
              <w:top w:val="nil"/>
              <w:left w:val="nil"/>
              <w:bottom w:val="single" w:sz="4" w:space="0" w:color="BFBFBF"/>
              <w:right w:val="nil"/>
            </w:tcBorders>
            <w:shd w:val="clear" w:color="auto" w:fill="CCECFF"/>
            <w:noWrap/>
            <w:vAlign w:val="center"/>
            <w:hideMark/>
          </w:tcPr>
          <w:p w14:paraId="1EEB6C96" w14:textId="77777777" w:rsidR="00B909D8" w:rsidRPr="00B909D8" w:rsidRDefault="00B909D8" w:rsidP="00B909D8">
            <w:pPr>
              <w:spacing w:after="0" w:line="240" w:lineRule="auto"/>
              <w:jc w:val="right"/>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 xml:space="preserve">179 </w:t>
            </w:r>
          </w:p>
        </w:tc>
        <w:tc>
          <w:tcPr>
            <w:tcW w:w="1418" w:type="dxa"/>
            <w:tcBorders>
              <w:top w:val="nil"/>
              <w:left w:val="nil"/>
              <w:bottom w:val="single" w:sz="4" w:space="0" w:color="BFBFBF"/>
              <w:right w:val="nil"/>
            </w:tcBorders>
            <w:shd w:val="clear" w:color="000000" w:fill="FFFFFF"/>
            <w:noWrap/>
            <w:vAlign w:val="center"/>
            <w:hideMark/>
          </w:tcPr>
          <w:p w14:paraId="48B17F8C"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(65)</w:t>
            </w:r>
          </w:p>
        </w:tc>
        <w:tc>
          <w:tcPr>
            <w:tcW w:w="1440" w:type="dxa"/>
            <w:tcBorders>
              <w:top w:val="nil"/>
              <w:left w:val="nil"/>
              <w:bottom w:val="single" w:sz="4" w:space="0" w:color="BFBFBF"/>
              <w:right w:val="nil"/>
            </w:tcBorders>
            <w:shd w:val="clear" w:color="000000" w:fill="FFFFFF"/>
            <w:noWrap/>
            <w:vAlign w:val="center"/>
            <w:hideMark/>
          </w:tcPr>
          <w:p w14:paraId="5C76FB85"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xml:space="preserve">270 </w:t>
            </w:r>
          </w:p>
        </w:tc>
        <w:tc>
          <w:tcPr>
            <w:tcW w:w="222" w:type="dxa"/>
            <w:vAlign w:val="center"/>
            <w:hideMark/>
          </w:tcPr>
          <w:p w14:paraId="5B9BF91A"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B909D8" w:rsidRPr="00B909D8" w14:paraId="153664B6" w14:textId="77777777" w:rsidTr="00D41B2D">
        <w:trPr>
          <w:trHeight w:val="240"/>
        </w:trPr>
        <w:tc>
          <w:tcPr>
            <w:tcW w:w="1313" w:type="dxa"/>
            <w:tcBorders>
              <w:top w:val="nil"/>
              <w:left w:val="nil"/>
              <w:bottom w:val="nil"/>
              <w:right w:val="nil"/>
            </w:tcBorders>
            <w:shd w:val="clear" w:color="000000" w:fill="FFFFFF"/>
            <w:noWrap/>
            <w:vAlign w:val="bottom"/>
            <w:hideMark/>
          </w:tcPr>
          <w:p w14:paraId="4AC0E470"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nil"/>
              <w:right w:val="nil"/>
            </w:tcBorders>
            <w:shd w:val="clear" w:color="000000" w:fill="FFFFFF"/>
            <w:noWrap/>
            <w:vAlign w:val="bottom"/>
            <w:hideMark/>
          </w:tcPr>
          <w:p w14:paraId="650874A7" w14:textId="77777777"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nil"/>
              <w:right w:val="nil"/>
            </w:tcBorders>
            <w:shd w:val="clear" w:color="000000" w:fill="FFFFFF"/>
            <w:noWrap/>
            <w:vAlign w:val="bottom"/>
            <w:hideMark/>
          </w:tcPr>
          <w:p w14:paraId="10700DF4"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301" w:type="dxa"/>
            <w:tcBorders>
              <w:top w:val="nil"/>
              <w:left w:val="nil"/>
              <w:bottom w:val="nil"/>
              <w:right w:val="nil"/>
            </w:tcBorders>
            <w:shd w:val="clear" w:color="000000" w:fill="FFFFFF"/>
            <w:noWrap/>
            <w:vAlign w:val="bottom"/>
            <w:hideMark/>
          </w:tcPr>
          <w:p w14:paraId="35D3F09B"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454" w:type="dxa"/>
            <w:tcBorders>
              <w:top w:val="nil"/>
              <w:left w:val="nil"/>
              <w:bottom w:val="nil"/>
              <w:right w:val="nil"/>
            </w:tcBorders>
            <w:shd w:val="clear" w:color="000000" w:fill="FFFFFF"/>
            <w:noWrap/>
            <w:vAlign w:val="bottom"/>
            <w:hideMark/>
          </w:tcPr>
          <w:p w14:paraId="1EC22F2C"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608" w:type="dxa"/>
            <w:tcBorders>
              <w:top w:val="nil"/>
              <w:left w:val="nil"/>
              <w:bottom w:val="nil"/>
              <w:right w:val="nil"/>
            </w:tcBorders>
            <w:shd w:val="clear" w:color="000000" w:fill="FFFFFF"/>
            <w:noWrap/>
            <w:vAlign w:val="bottom"/>
            <w:hideMark/>
          </w:tcPr>
          <w:p w14:paraId="1A985BB1" w14:textId="77777777" w:rsidR="00B909D8" w:rsidRPr="00B909D8" w:rsidRDefault="00B909D8" w:rsidP="00B909D8">
            <w:pPr>
              <w:spacing w:after="0" w:line="240" w:lineRule="auto"/>
              <w:jc w:val="right"/>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 </w:t>
            </w:r>
          </w:p>
        </w:tc>
        <w:tc>
          <w:tcPr>
            <w:tcW w:w="1519" w:type="dxa"/>
            <w:tcBorders>
              <w:top w:val="nil"/>
              <w:left w:val="nil"/>
              <w:bottom w:val="nil"/>
              <w:right w:val="nil"/>
            </w:tcBorders>
            <w:shd w:val="clear" w:color="000000" w:fill="FFFFFF"/>
            <w:noWrap/>
            <w:vAlign w:val="bottom"/>
            <w:hideMark/>
          </w:tcPr>
          <w:p w14:paraId="62024B53" w14:textId="77777777" w:rsidR="00B909D8" w:rsidRPr="00B909D8" w:rsidRDefault="00B909D8" w:rsidP="00B909D8">
            <w:pPr>
              <w:spacing w:after="0" w:line="240" w:lineRule="auto"/>
              <w:jc w:val="right"/>
              <w:rPr>
                <w:rFonts w:ascii="Arial" w:eastAsia="Times New Roman" w:hAnsi="Arial" w:cs="Arial"/>
                <w:b/>
                <w:bCs/>
                <w:sz w:val="15"/>
                <w:szCs w:val="15"/>
                <w:lang w:eastAsia="en-GB"/>
              </w:rPr>
            </w:pPr>
            <w:r w:rsidRPr="00B909D8">
              <w:rPr>
                <w:rFonts w:ascii="Arial" w:eastAsia="Times New Roman" w:hAnsi="Arial" w:cs="Arial"/>
                <w:b/>
                <w:bCs/>
                <w:sz w:val="15"/>
                <w:szCs w:val="15"/>
                <w:lang w:eastAsia="en-GB"/>
              </w:rPr>
              <w:t> </w:t>
            </w:r>
          </w:p>
        </w:tc>
        <w:tc>
          <w:tcPr>
            <w:tcW w:w="1418" w:type="dxa"/>
            <w:tcBorders>
              <w:top w:val="nil"/>
              <w:left w:val="nil"/>
              <w:bottom w:val="nil"/>
              <w:right w:val="nil"/>
            </w:tcBorders>
            <w:shd w:val="clear" w:color="000000" w:fill="FFFFFF"/>
            <w:noWrap/>
            <w:vAlign w:val="bottom"/>
            <w:hideMark/>
          </w:tcPr>
          <w:p w14:paraId="0D108792"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440" w:type="dxa"/>
            <w:tcBorders>
              <w:top w:val="nil"/>
              <w:left w:val="nil"/>
              <w:bottom w:val="nil"/>
              <w:right w:val="nil"/>
            </w:tcBorders>
            <w:shd w:val="clear" w:color="000000" w:fill="FFFFFF"/>
            <w:noWrap/>
            <w:vAlign w:val="bottom"/>
            <w:hideMark/>
          </w:tcPr>
          <w:p w14:paraId="4E2DAC67"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222" w:type="dxa"/>
            <w:vAlign w:val="center"/>
            <w:hideMark/>
          </w:tcPr>
          <w:p w14:paraId="493BC661"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r w:rsidR="00B909D8" w:rsidRPr="00B909D8" w14:paraId="2C702E02" w14:textId="77777777" w:rsidTr="00D41B2D">
        <w:trPr>
          <w:trHeight w:val="300"/>
        </w:trPr>
        <w:tc>
          <w:tcPr>
            <w:tcW w:w="7797" w:type="dxa"/>
            <w:gridSpan w:val="7"/>
            <w:tcBorders>
              <w:top w:val="nil"/>
              <w:left w:val="nil"/>
              <w:bottom w:val="nil"/>
              <w:right w:val="nil"/>
            </w:tcBorders>
            <w:shd w:val="clear" w:color="000000" w:fill="FFFFFF"/>
            <w:noWrap/>
            <w:vAlign w:val="bottom"/>
            <w:hideMark/>
          </w:tcPr>
          <w:p w14:paraId="62C25C0D" w14:textId="55DDE0C3" w:rsidR="00B909D8" w:rsidRPr="00B909D8" w:rsidRDefault="00B909D8" w:rsidP="00B909D8">
            <w:pPr>
              <w:spacing w:after="0" w:line="240" w:lineRule="auto"/>
              <w:rPr>
                <w:rFonts w:ascii="Arial" w:eastAsia="Times New Roman" w:hAnsi="Arial" w:cs="Arial"/>
                <w:sz w:val="15"/>
                <w:szCs w:val="15"/>
                <w:lang w:eastAsia="en-GB"/>
              </w:rPr>
            </w:pPr>
            <w:r w:rsidRPr="00B909D8">
              <w:rPr>
                <w:rFonts w:ascii="Arial" w:eastAsia="Times New Roman" w:hAnsi="Arial" w:cs="Arial"/>
                <w:sz w:val="15"/>
                <w:szCs w:val="15"/>
                <w:lang w:eastAsia="en-GB"/>
              </w:rPr>
              <w:t>The accompanying notes form an integral part of these financial statements.</w:t>
            </w:r>
          </w:p>
        </w:tc>
        <w:tc>
          <w:tcPr>
            <w:tcW w:w="1418" w:type="dxa"/>
            <w:tcBorders>
              <w:top w:val="nil"/>
              <w:left w:val="nil"/>
              <w:bottom w:val="nil"/>
              <w:right w:val="nil"/>
            </w:tcBorders>
            <w:shd w:val="clear" w:color="000000" w:fill="FFFFFF"/>
            <w:noWrap/>
            <w:vAlign w:val="bottom"/>
            <w:hideMark/>
          </w:tcPr>
          <w:p w14:paraId="555258EE"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1440" w:type="dxa"/>
            <w:tcBorders>
              <w:top w:val="nil"/>
              <w:left w:val="nil"/>
              <w:bottom w:val="nil"/>
              <w:right w:val="nil"/>
            </w:tcBorders>
            <w:shd w:val="clear" w:color="000000" w:fill="FFFFFF"/>
            <w:noWrap/>
            <w:vAlign w:val="bottom"/>
            <w:hideMark/>
          </w:tcPr>
          <w:p w14:paraId="532A861D" w14:textId="77777777" w:rsidR="00B909D8" w:rsidRPr="00B909D8" w:rsidRDefault="00B909D8" w:rsidP="00B909D8">
            <w:pPr>
              <w:spacing w:after="0" w:line="240" w:lineRule="auto"/>
              <w:jc w:val="right"/>
              <w:rPr>
                <w:rFonts w:ascii="Arial" w:eastAsia="Times New Roman" w:hAnsi="Arial" w:cs="Arial"/>
                <w:sz w:val="15"/>
                <w:szCs w:val="15"/>
                <w:lang w:eastAsia="en-GB"/>
              </w:rPr>
            </w:pPr>
            <w:r w:rsidRPr="00B909D8">
              <w:rPr>
                <w:rFonts w:ascii="Arial" w:eastAsia="Times New Roman" w:hAnsi="Arial" w:cs="Arial"/>
                <w:sz w:val="15"/>
                <w:szCs w:val="15"/>
                <w:lang w:eastAsia="en-GB"/>
              </w:rPr>
              <w:t> </w:t>
            </w:r>
          </w:p>
        </w:tc>
        <w:tc>
          <w:tcPr>
            <w:tcW w:w="222" w:type="dxa"/>
            <w:vAlign w:val="center"/>
            <w:hideMark/>
          </w:tcPr>
          <w:p w14:paraId="2167F6B4" w14:textId="77777777" w:rsidR="00B909D8" w:rsidRPr="00B909D8" w:rsidRDefault="00B909D8" w:rsidP="00B909D8">
            <w:pPr>
              <w:spacing w:after="0" w:line="240" w:lineRule="auto"/>
              <w:rPr>
                <w:rFonts w:ascii="Times New Roman" w:eastAsia="Times New Roman" w:hAnsi="Times New Roman" w:cs="Times New Roman"/>
                <w:sz w:val="20"/>
                <w:szCs w:val="20"/>
                <w:lang w:eastAsia="en-GB"/>
              </w:rPr>
            </w:pPr>
          </w:p>
        </w:tc>
      </w:tr>
    </w:tbl>
    <w:p w14:paraId="3EC92CF6" w14:textId="28D8DACF" w:rsidR="00B909D8" w:rsidRDefault="00B909D8"/>
    <w:tbl>
      <w:tblPr>
        <w:tblW w:w="10442" w:type="dxa"/>
        <w:tblLook w:val="04A0" w:firstRow="1" w:lastRow="0" w:firstColumn="1" w:lastColumn="0" w:noHBand="0" w:noVBand="1"/>
      </w:tblPr>
      <w:tblGrid>
        <w:gridCol w:w="3005"/>
        <w:gridCol w:w="258"/>
        <w:gridCol w:w="258"/>
        <w:gridCol w:w="258"/>
        <w:gridCol w:w="1324"/>
        <w:gridCol w:w="2019"/>
        <w:gridCol w:w="1660"/>
        <w:gridCol w:w="1660"/>
      </w:tblGrid>
      <w:tr w:rsidR="005D3EDC" w:rsidRPr="005D3EDC" w14:paraId="62F8E939" w14:textId="77777777" w:rsidTr="008320B4">
        <w:trPr>
          <w:trHeight w:val="319"/>
        </w:trPr>
        <w:tc>
          <w:tcPr>
            <w:tcW w:w="7122" w:type="dxa"/>
            <w:gridSpan w:val="6"/>
            <w:tcBorders>
              <w:top w:val="nil"/>
              <w:left w:val="nil"/>
              <w:bottom w:val="nil"/>
              <w:right w:val="nil"/>
            </w:tcBorders>
            <w:shd w:val="clear" w:color="auto" w:fill="auto"/>
            <w:noWrap/>
            <w:vAlign w:val="bottom"/>
            <w:hideMark/>
          </w:tcPr>
          <w:p w14:paraId="3BA336B7" w14:textId="77777777" w:rsidR="005D3EDC" w:rsidRPr="005D3EDC" w:rsidRDefault="005D3EDC" w:rsidP="005D3EDC">
            <w:pPr>
              <w:spacing w:after="0" w:line="240" w:lineRule="auto"/>
              <w:rPr>
                <w:rFonts w:ascii="Arial" w:eastAsia="Times New Roman" w:hAnsi="Arial" w:cs="Arial"/>
                <w:b/>
                <w:bCs/>
                <w:color w:val="00B0F0"/>
                <w:sz w:val="28"/>
                <w:szCs w:val="28"/>
                <w:lang w:eastAsia="en-GB"/>
              </w:rPr>
            </w:pPr>
            <w:r w:rsidRPr="005D3EDC">
              <w:rPr>
                <w:rFonts w:ascii="Arial" w:eastAsia="Times New Roman" w:hAnsi="Arial" w:cs="Arial"/>
                <w:b/>
                <w:bCs/>
                <w:color w:val="00B0F0"/>
                <w:sz w:val="28"/>
                <w:szCs w:val="28"/>
                <w:lang w:eastAsia="en-GB"/>
              </w:rPr>
              <w:t>Condensed Consolidated Balance Sheet</w:t>
            </w:r>
          </w:p>
        </w:tc>
        <w:tc>
          <w:tcPr>
            <w:tcW w:w="1660" w:type="dxa"/>
            <w:tcBorders>
              <w:top w:val="nil"/>
              <w:left w:val="nil"/>
              <w:bottom w:val="nil"/>
              <w:right w:val="nil"/>
            </w:tcBorders>
            <w:shd w:val="clear" w:color="auto" w:fill="auto"/>
            <w:vAlign w:val="bottom"/>
            <w:hideMark/>
          </w:tcPr>
          <w:p w14:paraId="7F76E2F8" w14:textId="77777777" w:rsidR="005D3EDC" w:rsidRPr="005D3EDC" w:rsidRDefault="005D3EDC" w:rsidP="005D3EDC">
            <w:pPr>
              <w:spacing w:after="0" w:line="240" w:lineRule="auto"/>
              <w:rPr>
                <w:rFonts w:ascii="Arial" w:eastAsia="Times New Roman" w:hAnsi="Arial" w:cs="Arial"/>
                <w:b/>
                <w:bCs/>
                <w:color w:val="00B0F0"/>
                <w:sz w:val="28"/>
                <w:szCs w:val="28"/>
                <w:lang w:eastAsia="en-GB"/>
              </w:rPr>
            </w:pPr>
          </w:p>
        </w:tc>
        <w:tc>
          <w:tcPr>
            <w:tcW w:w="1660" w:type="dxa"/>
            <w:tcBorders>
              <w:top w:val="nil"/>
              <w:left w:val="nil"/>
              <w:bottom w:val="nil"/>
              <w:right w:val="nil"/>
            </w:tcBorders>
            <w:shd w:val="clear" w:color="auto" w:fill="auto"/>
            <w:vAlign w:val="bottom"/>
            <w:hideMark/>
          </w:tcPr>
          <w:p w14:paraId="0EEE31CB"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r>
      <w:tr w:rsidR="005D3EDC" w:rsidRPr="005D3EDC" w14:paraId="65B7A202" w14:textId="77777777" w:rsidTr="008320B4">
        <w:trPr>
          <w:trHeight w:val="345"/>
        </w:trPr>
        <w:tc>
          <w:tcPr>
            <w:tcW w:w="3263" w:type="dxa"/>
            <w:gridSpan w:val="2"/>
            <w:tcBorders>
              <w:top w:val="nil"/>
              <w:left w:val="nil"/>
              <w:bottom w:val="nil"/>
              <w:right w:val="nil"/>
            </w:tcBorders>
            <w:shd w:val="clear" w:color="auto" w:fill="auto"/>
            <w:noWrap/>
            <w:vAlign w:val="bottom"/>
            <w:hideMark/>
          </w:tcPr>
          <w:p w14:paraId="02181D8E" w14:textId="77777777" w:rsidR="005D3EDC" w:rsidRPr="005D3EDC" w:rsidRDefault="005D3EDC" w:rsidP="005D3EDC">
            <w:pPr>
              <w:spacing w:after="0" w:line="240" w:lineRule="auto"/>
              <w:rPr>
                <w:rFonts w:ascii="Arial" w:eastAsia="Times New Roman" w:hAnsi="Arial" w:cs="Arial"/>
                <w:sz w:val="26"/>
                <w:szCs w:val="26"/>
                <w:lang w:eastAsia="en-GB"/>
              </w:rPr>
            </w:pPr>
            <w:r w:rsidRPr="005D3EDC">
              <w:rPr>
                <w:rFonts w:ascii="Arial" w:eastAsia="Times New Roman" w:hAnsi="Arial" w:cs="Arial"/>
                <w:sz w:val="26"/>
                <w:szCs w:val="26"/>
                <w:lang w:eastAsia="en-GB"/>
              </w:rPr>
              <w:t xml:space="preserve">as </w:t>
            </w:r>
            <w:proofErr w:type="gramStart"/>
            <w:r w:rsidRPr="005D3EDC">
              <w:rPr>
                <w:rFonts w:ascii="Arial" w:eastAsia="Times New Roman" w:hAnsi="Arial" w:cs="Arial"/>
                <w:sz w:val="26"/>
                <w:szCs w:val="26"/>
                <w:lang w:eastAsia="en-GB"/>
              </w:rPr>
              <w:t>at</w:t>
            </w:r>
            <w:proofErr w:type="gramEnd"/>
            <w:r w:rsidRPr="005D3EDC">
              <w:rPr>
                <w:rFonts w:ascii="Arial" w:eastAsia="Times New Roman" w:hAnsi="Arial" w:cs="Arial"/>
                <w:sz w:val="26"/>
                <w:szCs w:val="26"/>
                <w:lang w:eastAsia="en-GB"/>
              </w:rPr>
              <w:t xml:space="preserve"> 2 July 2022</w:t>
            </w:r>
          </w:p>
        </w:tc>
        <w:tc>
          <w:tcPr>
            <w:tcW w:w="258" w:type="dxa"/>
            <w:tcBorders>
              <w:top w:val="nil"/>
              <w:left w:val="nil"/>
              <w:bottom w:val="nil"/>
              <w:right w:val="nil"/>
            </w:tcBorders>
            <w:shd w:val="clear" w:color="auto" w:fill="auto"/>
            <w:noWrap/>
            <w:vAlign w:val="bottom"/>
            <w:hideMark/>
          </w:tcPr>
          <w:p w14:paraId="72328F00" w14:textId="77777777" w:rsidR="005D3EDC" w:rsidRPr="005D3EDC" w:rsidRDefault="005D3EDC" w:rsidP="005D3EDC">
            <w:pPr>
              <w:spacing w:after="0" w:line="240" w:lineRule="auto"/>
              <w:rPr>
                <w:rFonts w:ascii="Arial" w:eastAsia="Times New Roman" w:hAnsi="Arial" w:cs="Arial"/>
                <w:sz w:val="26"/>
                <w:szCs w:val="26"/>
                <w:lang w:eastAsia="en-GB"/>
              </w:rPr>
            </w:pPr>
          </w:p>
        </w:tc>
        <w:tc>
          <w:tcPr>
            <w:tcW w:w="258" w:type="dxa"/>
            <w:tcBorders>
              <w:top w:val="nil"/>
              <w:left w:val="nil"/>
              <w:bottom w:val="nil"/>
              <w:right w:val="nil"/>
            </w:tcBorders>
            <w:shd w:val="clear" w:color="auto" w:fill="auto"/>
            <w:noWrap/>
            <w:vAlign w:val="bottom"/>
            <w:hideMark/>
          </w:tcPr>
          <w:p w14:paraId="18A4D89C"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0716888E"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auto"/>
            <w:vAlign w:val="bottom"/>
            <w:hideMark/>
          </w:tcPr>
          <w:p w14:paraId="068165B0" w14:textId="77777777" w:rsidR="005D3EDC" w:rsidRPr="005D3EDC" w:rsidRDefault="005D3EDC" w:rsidP="005D3EDC">
            <w:pPr>
              <w:spacing w:after="0" w:line="240" w:lineRule="auto"/>
              <w:jc w:val="right"/>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bottom"/>
            <w:hideMark/>
          </w:tcPr>
          <w:p w14:paraId="2D26C9F6"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bottom"/>
            <w:hideMark/>
          </w:tcPr>
          <w:p w14:paraId="441E9E9C"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r>
      <w:tr w:rsidR="005D3EDC" w:rsidRPr="005D3EDC" w14:paraId="26C34D85" w14:textId="77777777" w:rsidTr="008320B4">
        <w:trPr>
          <w:trHeight w:val="210"/>
        </w:trPr>
        <w:tc>
          <w:tcPr>
            <w:tcW w:w="3005" w:type="dxa"/>
            <w:tcBorders>
              <w:top w:val="nil"/>
              <w:left w:val="nil"/>
              <w:bottom w:val="nil"/>
              <w:right w:val="nil"/>
            </w:tcBorders>
            <w:shd w:val="clear" w:color="auto" w:fill="auto"/>
            <w:noWrap/>
            <w:vAlign w:val="bottom"/>
            <w:hideMark/>
          </w:tcPr>
          <w:p w14:paraId="50CF10AD"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58" w:type="dxa"/>
            <w:tcBorders>
              <w:top w:val="nil"/>
              <w:left w:val="nil"/>
              <w:bottom w:val="nil"/>
              <w:right w:val="nil"/>
            </w:tcBorders>
            <w:shd w:val="clear" w:color="auto" w:fill="auto"/>
            <w:noWrap/>
            <w:vAlign w:val="bottom"/>
            <w:hideMark/>
          </w:tcPr>
          <w:p w14:paraId="32BF908B"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58" w:type="dxa"/>
            <w:tcBorders>
              <w:top w:val="nil"/>
              <w:left w:val="nil"/>
              <w:bottom w:val="nil"/>
              <w:right w:val="nil"/>
            </w:tcBorders>
            <w:shd w:val="clear" w:color="auto" w:fill="auto"/>
            <w:noWrap/>
            <w:vAlign w:val="bottom"/>
            <w:hideMark/>
          </w:tcPr>
          <w:p w14:paraId="7A18FA36"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58" w:type="dxa"/>
            <w:tcBorders>
              <w:top w:val="nil"/>
              <w:left w:val="nil"/>
              <w:bottom w:val="nil"/>
              <w:right w:val="nil"/>
            </w:tcBorders>
            <w:shd w:val="clear" w:color="auto" w:fill="auto"/>
            <w:noWrap/>
            <w:vAlign w:val="bottom"/>
            <w:hideMark/>
          </w:tcPr>
          <w:p w14:paraId="2B43E207"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6642FC7C"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auto"/>
            <w:vAlign w:val="bottom"/>
            <w:hideMark/>
          </w:tcPr>
          <w:p w14:paraId="32DD0800" w14:textId="77777777" w:rsidR="005D3EDC" w:rsidRPr="005D3EDC" w:rsidRDefault="005D3EDC" w:rsidP="005D3EDC">
            <w:pPr>
              <w:spacing w:after="0" w:line="240" w:lineRule="auto"/>
              <w:jc w:val="right"/>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bottom"/>
            <w:hideMark/>
          </w:tcPr>
          <w:p w14:paraId="6488B181"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vAlign w:val="bottom"/>
            <w:hideMark/>
          </w:tcPr>
          <w:p w14:paraId="6B0E82F8"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r>
      <w:tr w:rsidR="005D3EDC" w:rsidRPr="005D3EDC" w14:paraId="636389A7" w14:textId="77777777" w:rsidTr="008320B4">
        <w:trPr>
          <w:trHeight w:val="600"/>
        </w:trPr>
        <w:tc>
          <w:tcPr>
            <w:tcW w:w="10442" w:type="dxa"/>
            <w:gridSpan w:val="8"/>
            <w:tcBorders>
              <w:top w:val="single" w:sz="4" w:space="0" w:color="D9D9D9"/>
              <w:left w:val="single" w:sz="4" w:space="0" w:color="D9D9D9"/>
              <w:bottom w:val="single" w:sz="4" w:space="0" w:color="D9D9D9"/>
              <w:right w:val="single" w:sz="4" w:space="0" w:color="D9D9D9"/>
            </w:tcBorders>
            <w:shd w:val="clear" w:color="auto" w:fill="CCECFF"/>
            <w:vAlign w:val="center"/>
            <w:hideMark/>
          </w:tcPr>
          <w:p w14:paraId="2D81B0AC" w14:textId="77777777" w:rsidR="005D3EDC" w:rsidRPr="005D3EDC" w:rsidRDefault="005D3EDC" w:rsidP="005D3EDC">
            <w:pPr>
              <w:spacing w:after="0" w:line="240" w:lineRule="auto"/>
              <w:rPr>
                <w:rFonts w:ascii="Arial" w:eastAsia="Times New Roman" w:hAnsi="Arial" w:cs="Arial"/>
                <w:sz w:val="18"/>
                <w:szCs w:val="18"/>
                <w:lang w:eastAsia="en-GB"/>
              </w:rPr>
            </w:pPr>
            <w:r w:rsidRPr="005D3EDC">
              <w:rPr>
                <w:rFonts w:ascii="Arial" w:eastAsia="Times New Roman" w:hAnsi="Arial" w:cs="Arial"/>
                <w:b/>
                <w:bCs/>
                <w:sz w:val="18"/>
                <w:szCs w:val="18"/>
                <w:lang w:eastAsia="en-GB"/>
              </w:rPr>
              <w:t>What does this show?</w:t>
            </w:r>
            <w:r w:rsidRPr="005D3EDC">
              <w:rPr>
                <w:rFonts w:ascii="Arial" w:eastAsia="Times New Roman" w:hAnsi="Arial" w:cs="Arial"/>
                <w:sz w:val="18"/>
                <w:szCs w:val="18"/>
                <w:lang w:eastAsia="en-GB"/>
              </w:rPr>
              <w:t xml:space="preserve"> Our balance sheet is a snapshot of our financial position as </w:t>
            </w:r>
            <w:proofErr w:type="gramStart"/>
            <w:r w:rsidRPr="005D3EDC">
              <w:rPr>
                <w:rFonts w:ascii="Arial" w:eastAsia="Times New Roman" w:hAnsi="Arial" w:cs="Arial"/>
                <w:sz w:val="18"/>
                <w:szCs w:val="18"/>
                <w:lang w:eastAsia="en-GB"/>
              </w:rPr>
              <w:t>at</w:t>
            </w:r>
            <w:proofErr w:type="gramEnd"/>
            <w:r w:rsidRPr="005D3EDC">
              <w:rPr>
                <w:rFonts w:ascii="Arial" w:eastAsia="Times New Roman" w:hAnsi="Arial" w:cs="Arial"/>
                <w:sz w:val="18"/>
                <w:szCs w:val="18"/>
                <w:lang w:eastAsia="en-GB"/>
              </w:rPr>
              <w:t xml:space="preserve"> 2 July 2022. It shows the assets we have and the amounts we owe. </w:t>
            </w:r>
          </w:p>
        </w:tc>
      </w:tr>
      <w:tr w:rsidR="005D3EDC" w:rsidRPr="005D3EDC" w14:paraId="1F2FB20E" w14:textId="77777777" w:rsidTr="008320B4">
        <w:trPr>
          <w:trHeight w:val="188"/>
        </w:trPr>
        <w:tc>
          <w:tcPr>
            <w:tcW w:w="3005" w:type="dxa"/>
            <w:tcBorders>
              <w:top w:val="nil"/>
              <w:left w:val="nil"/>
              <w:bottom w:val="single" w:sz="4" w:space="0" w:color="BFBFBF"/>
              <w:right w:val="nil"/>
            </w:tcBorders>
            <w:shd w:val="clear" w:color="auto" w:fill="auto"/>
            <w:noWrap/>
            <w:vAlign w:val="bottom"/>
            <w:hideMark/>
          </w:tcPr>
          <w:p w14:paraId="7CA4BD55"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single" w:sz="4" w:space="0" w:color="BFBFBF"/>
              <w:right w:val="nil"/>
            </w:tcBorders>
            <w:shd w:val="clear" w:color="auto" w:fill="auto"/>
            <w:noWrap/>
            <w:vAlign w:val="bottom"/>
            <w:hideMark/>
          </w:tcPr>
          <w:p w14:paraId="570054C6"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single" w:sz="4" w:space="0" w:color="BFBFBF"/>
              <w:right w:val="nil"/>
            </w:tcBorders>
            <w:shd w:val="clear" w:color="auto" w:fill="auto"/>
            <w:noWrap/>
            <w:vAlign w:val="bottom"/>
            <w:hideMark/>
          </w:tcPr>
          <w:p w14:paraId="42C1032D"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single" w:sz="4" w:space="0" w:color="BFBFBF"/>
              <w:right w:val="nil"/>
            </w:tcBorders>
            <w:shd w:val="clear" w:color="auto" w:fill="auto"/>
            <w:noWrap/>
            <w:vAlign w:val="bottom"/>
            <w:hideMark/>
          </w:tcPr>
          <w:p w14:paraId="01A3A7A0"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1324" w:type="dxa"/>
            <w:tcBorders>
              <w:top w:val="nil"/>
              <w:left w:val="nil"/>
              <w:bottom w:val="single" w:sz="4" w:space="0" w:color="BFBFBF"/>
              <w:right w:val="nil"/>
            </w:tcBorders>
            <w:shd w:val="clear" w:color="auto" w:fill="auto"/>
            <w:noWrap/>
            <w:vAlign w:val="bottom"/>
            <w:hideMark/>
          </w:tcPr>
          <w:p w14:paraId="7E62432B"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019" w:type="dxa"/>
            <w:tcBorders>
              <w:top w:val="nil"/>
              <w:left w:val="nil"/>
              <w:bottom w:val="single" w:sz="4" w:space="0" w:color="BFBFBF"/>
              <w:right w:val="nil"/>
            </w:tcBorders>
            <w:shd w:val="clear" w:color="auto" w:fill="auto"/>
            <w:noWrap/>
            <w:vAlign w:val="bottom"/>
            <w:hideMark/>
          </w:tcPr>
          <w:p w14:paraId="1AB7C29C"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1660" w:type="dxa"/>
            <w:tcBorders>
              <w:top w:val="nil"/>
              <w:left w:val="nil"/>
              <w:bottom w:val="single" w:sz="4" w:space="0" w:color="BFBFBF"/>
              <w:right w:val="nil"/>
            </w:tcBorders>
            <w:shd w:val="clear" w:color="auto" w:fill="auto"/>
            <w:noWrap/>
            <w:vAlign w:val="bottom"/>
            <w:hideMark/>
          </w:tcPr>
          <w:p w14:paraId="16B18E9A"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1660" w:type="dxa"/>
            <w:tcBorders>
              <w:top w:val="nil"/>
              <w:left w:val="nil"/>
              <w:bottom w:val="single" w:sz="4" w:space="0" w:color="BFBFBF"/>
              <w:right w:val="nil"/>
            </w:tcBorders>
            <w:shd w:val="clear" w:color="auto" w:fill="auto"/>
            <w:noWrap/>
            <w:vAlign w:val="bottom"/>
            <w:hideMark/>
          </w:tcPr>
          <w:p w14:paraId="34B858B4"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r>
      <w:tr w:rsidR="005D3EDC" w:rsidRPr="005D3EDC" w14:paraId="71B2A2A2" w14:textId="77777777" w:rsidTr="008320B4">
        <w:trPr>
          <w:trHeight w:val="70"/>
        </w:trPr>
        <w:tc>
          <w:tcPr>
            <w:tcW w:w="3005" w:type="dxa"/>
            <w:tcBorders>
              <w:top w:val="nil"/>
              <w:left w:val="single" w:sz="4" w:space="0" w:color="BFBFBF"/>
              <w:bottom w:val="nil"/>
              <w:right w:val="nil"/>
            </w:tcBorders>
            <w:shd w:val="clear" w:color="auto" w:fill="auto"/>
            <w:noWrap/>
            <w:vAlign w:val="bottom"/>
            <w:hideMark/>
          </w:tcPr>
          <w:p w14:paraId="03CE9390"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nil"/>
              <w:right w:val="nil"/>
            </w:tcBorders>
            <w:shd w:val="clear" w:color="auto" w:fill="auto"/>
            <w:noWrap/>
            <w:vAlign w:val="bottom"/>
            <w:hideMark/>
          </w:tcPr>
          <w:p w14:paraId="26FFB1F0"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nil"/>
              <w:right w:val="nil"/>
            </w:tcBorders>
            <w:shd w:val="clear" w:color="auto" w:fill="auto"/>
            <w:noWrap/>
            <w:vAlign w:val="bottom"/>
            <w:hideMark/>
          </w:tcPr>
          <w:p w14:paraId="3A5A07A0"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nil"/>
              <w:right w:val="nil"/>
            </w:tcBorders>
            <w:shd w:val="clear" w:color="auto" w:fill="auto"/>
            <w:noWrap/>
            <w:vAlign w:val="bottom"/>
            <w:hideMark/>
          </w:tcPr>
          <w:p w14:paraId="2AE34AE3"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1324" w:type="dxa"/>
            <w:tcBorders>
              <w:top w:val="nil"/>
              <w:left w:val="nil"/>
              <w:bottom w:val="nil"/>
              <w:right w:val="nil"/>
            </w:tcBorders>
            <w:shd w:val="clear" w:color="auto" w:fill="auto"/>
            <w:noWrap/>
            <w:vAlign w:val="bottom"/>
            <w:hideMark/>
          </w:tcPr>
          <w:p w14:paraId="6CBC9E0F"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019" w:type="dxa"/>
            <w:tcBorders>
              <w:top w:val="nil"/>
              <w:left w:val="nil"/>
              <w:bottom w:val="nil"/>
              <w:right w:val="nil"/>
            </w:tcBorders>
            <w:shd w:val="clear" w:color="auto" w:fill="auto"/>
            <w:hideMark/>
          </w:tcPr>
          <w:p w14:paraId="1B089D1D"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As </w:t>
            </w:r>
            <w:proofErr w:type="gramStart"/>
            <w:r w:rsidRPr="005D3EDC">
              <w:rPr>
                <w:rFonts w:ascii="Arial" w:eastAsia="Times New Roman" w:hAnsi="Arial" w:cs="Arial"/>
                <w:b/>
                <w:bCs/>
                <w:sz w:val="15"/>
                <w:szCs w:val="15"/>
                <w:lang w:eastAsia="en-GB"/>
              </w:rPr>
              <w:t>at</w:t>
            </w:r>
            <w:proofErr w:type="gramEnd"/>
            <w:r w:rsidRPr="005D3EDC">
              <w:rPr>
                <w:rFonts w:ascii="Arial" w:eastAsia="Times New Roman" w:hAnsi="Arial" w:cs="Arial"/>
                <w:b/>
                <w:bCs/>
                <w:sz w:val="15"/>
                <w:szCs w:val="15"/>
                <w:lang w:eastAsia="en-GB"/>
              </w:rPr>
              <w:t xml:space="preserve"> 2 July 2022 </w:t>
            </w:r>
          </w:p>
        </w:tc>
        <w:tc>
          <w:tcPr>
            <w:tcW w:w="1660" w:type="dxa"/>
            <w:tcBorders>
              <w:top w:val="nil"/>
              <w:left w:val="nil"/>
              <w:bottom w:val="nil"/>
              <w:right w:val="nil"/>
            </w:tcBorders>
            <w:shd w:val="clear" w:color="auto" w:fill="auto"/>
            <w:hideMark/>
          </w:tcPr>
          <w:p w14:paraId="34801829"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As </w:t>
            </w:r>
            <w:proofErr w:type="gramStart"/>
            <w:r w:rsidRPr="005D3EDC">
              <w:rPr>
                <w:rFonts w:ascii="Arial" w:eastAsia="Times New Roman" w:hAnsi="Arial" w:cs="Arial"/>
                <w:sz w:val="15"/>
                <w:szCs w:val="15"/>
                <w:lang w:eastAsia="en-GB"/>
              </w:rPr>
              <w:t>at</w:t>
            </w:r>
            <w:proofErr w:type="gramEnd"/>
            <w:r w:rsidRPr="005D3EDC">
              <w:rPr>
                <w:rFonts w:ascii="Arial" w:eastAsia="Times New Roman" w:hAnsi="Arial" w:cs="Arial"/>
                <w:sz w:val="15"/>
                <w:szCs w:val="15"/>
                <w:lang w:eastAsia="en-GB"/>
              </w:rPr>
              <w:t xml:space="preserve"> 3 July 2021 </w:t>
            </w:r>
          </w:p>
        </w:tc>
        <w:tc>
          <w:tcPr>
            <w:tcW w:w="1660" w:type="dxa"/>
            <w:tcBorders>
              <w:top w:val="nil"/>
              <w:left w:val="nil"/>
              <w:bottom w:val="nil"/>
              <w:right w:val="single" w:sz="4" w:space="0" w:color="BFBFBF"/>
            </w:tcBorders>
            <w:shd w:val="clear" w:color="auto" w:fill="auto"/>
            <w:hideMark/>
          </w:tcPr>
          <w:p w14:paraId="312BA055"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As </w:t>
            </w:r>
            <w:proofErr w:type="gramStart"/>
            <w:r w:rsidRPr="005D3EDC">
              <w:rPr>
                <w:rFonts w:ascii="Arial" w:eastAsia="Times New Roman" w:hAnsi="Arial" w:cs="Arial"/>
                <w:sz w:val="15"/>
                <w:szCs w:val="15"/>
                <w:lang w:eastAsia="en-GB"/>
              </w:rPr>
              <w:t>at</w:t>
            </w:r>
            <w:proofErr w:type="gramEnd"/>
            <w:r w:rsidRPr="005D3EDC">
              <w:rPr>
                <w:rFonts w:ascii="Arial" w:eastAsia="Times New Roman" w:hAnsi="Arial" w:cs="Arial"/>
                <w:sz w:val="15"/>
                <w:szCs w:val="15"/>
                <w:lang w:eastAsia="en-GB"/>
              </w:rPr>
              <w:t xml:space="preserve"> 1 January 2022 </w:t>
            </w:r>
          </w:p>
        </w:tc>
      </w:tr>
      <w:tr w:rsidR="005D3EDC" w:rsidRPr="005D3EDC" w14:paraId="1BAF59A2" w14:textId="77777777" w:rsidTr="008320B4">
        <w:trPr>
          <w:trHeight w:val="240"/>
        </w:trPr>
        <w:tc>
          <w:tcPr>
            <w:tcW w:w="3005" w:type="dxa"/>
            <w:tcBorders>
              <w:top w:val="nil"/>
              <w:left w:val="single" w:sz="4" w:space="0" w:color="BFBFBF"/>
              <w:bottom w:val="nil"/>
              <w:right w:val="nil"/>
            </w:tcBorders>
            <w:shd w:val="clear" w:color="auto" w:fill="auto"/>
            <w:noWrap/>
            <w:vAlign w:val="bottom"/>
            <w:hideMark/>
          </w:tcPr>
          <w:p w14:paraId="6D16252C"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nil"/>
              <w:right w:val="nil"/>
            </w:tcBorders>
            <w:shd w:val="clear" w:color="auto" w:fill="auto"/>
            <w:noWrap/>
            <w:vAlign w:val="bottom"/>
            <w:hideMark/>
          </w:tcPr>
          <w:p w14:paraId="059D00CC"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nil"/>
              <w:right w:val="nil"/>
            </w:tcBorders>
            <w:shd w:val="clear" w:color="auto" w:fill="auto"/>
            <w:noWrap/>
            <w:vAlign w:val="bottom"/>
            <w:hideMark/>
          </w:tcPr>
          <w:p w14:paraId="733456AA"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nil"/>
              <w:right w:val="nil"/>
            </w:tcBorders>
            <w:shd w:val="clear" w:color="auto" w:fill="auto"/>
            <w:noWrap/>
            <w:vAlign w:val="bottom"/>
            <w:hideMark/>
          </w:tcPr>
          <w:p w14:paraId="39EDBFAE"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1324" w:type="dxa"/>
            <w:tcBorders>
              <w:top w:val="nil"/>
              <w:left w:val="nil"/>
              <w:bottom w:val="nil"/>
              <w:right w:val="nil"/>
            </w:tcBorders>
            <w:shd w:val="clear" w:color="auto" w:fill="auto"/>
            <w:noWrap/>
            <w:vAlign w:val="bottom"/>
            <w:hideMark/>
          </w:tcPr>
          <w:p w14:paraId="70DF3CDE"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019" w:type="dxa"/>
            <w:tcBorders>
              <w:top w:val="nil"/>
              <w:left w:val="nil"/>
              <w:bottom w:val="nil"/>
              <w:right w:val="nil"/>
            </w:tcBorders>
            <w:shd w:val="clear" w:color="auto" w:fill="auto"/>
            <w:noWrap/>
            <w:hideMark/>
          </w:tcPr>
          <w:p w14:paraId="3F2EF581"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(unaudited)</w:t>
            </w:r>
          </w:p>
        </w:tc>
        <w:tc>
          <w:tcPr>
            <w:tcW w:w="1660" w:type="dxa"/>
            <w:tcBorders>
              <w:top w:val="nil"/>
              <w:left w:val="nil"/>
              <w:bottom w:val="nil"/>
              <w:right w:val="nil"/>
            </w:tcBorders>
            <w:shd w:val="clear" w:color="auto" w:fill="auto"/>
            <w:noWrap/>
            <w:hideMark/>
          </w:tcPr>
          <w:p w14:paraId="078D1C3A"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(unaudited)</w:t>
            </w:r>
          </w:p>
        </w:tc>
        <w:tc>
          <w:tcPr>
            <w:tcW w:w="1660" w:type="dxa"/>
            <w:tcBorders>
              <w:top w:val="nil"/>
              <w:left w:val="nil"/>
              <w:bottom w:val="nil"/>
              <w:right w:val="single" w:sz="4" w:space="0" w:color="BFBFBF"/>
            </w:tcBorders>
            <w:shd w:val="clear" w:color="auto" w:fill="auto"/>
            <w:noWrap/>
            <w:hideMark/>
          </w:tcPr>
          <w:p w14:paraId="4B807FB0"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(audited)</w:t>
            </w:r>
          </w:p>
        </w:tc>
      </w:tr>
      <w:tr w:rsidR="005D3EDC" w:rsidRPr="005D3EDC" w14:paraId="3EDB87A3" w14:textId="77777777" w:rsidTr="008320B4">
        <w:trPr>
          <w:trHeight w:val="192"/>
        </w:trPr>
        <w:tc>
          <w:tcPr>
            <w:tcW w:w="3005" w:type="dxa"/>
            <w:tcBorders>
              <w:top w:val="nil"/>
              <w:left w:val="single" w:sz="4" w:space="0" w:color="BFBFBF"/>
              <w:bottom w:val="single" w:sz="4" w:space="0" w:color="BFBFBF"/>
              <w:right w:val="nil"/>
            </w:tcBorders>
            <w:shd w:val="clear" w:color="auto" w:fill="auto"/>
            <w:noWrap/>
            <w:vAlign w:val="bottom"/>
            <w:hideMark/>
          </w:tcPr>
          <w:p w14:paraId="310E5566"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single" w:sz="4" w:space="0" w:color="BFBFBF"/>
              <w:right w:val="nil"/>
            </w:tcBorders>
            <w:shd w:val="clear" w:color="auto" w:fill="auto"/>
            <w:noWrap/>
            <w:vAlign w:val="bottom"/>
            <w:hideMark/>
          </w:tcPr>
          <w:p w14:paraId="0DEEF0B7"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single" w:sz="4" w:space="0" w:color="BFBFBF"/>
              <w:right w:val="nil"/>
            </w:tcBorders>
            <w:shd w:val="clear" w:color="auto" w:fill="auto"/>
            <w:noWrap/>
            <w:vAlign w:val="bottom"/>
            <w:hideMark/>
          </w:tcPr>
          <w:p w14:paraId="22955AF9"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single" w:sz="4" w:space="0" w:color="BFBFBF"/>
              <w:right w:val="nil"/>
            </w:tcBorders>
            <w:shd w:val="clear" w:color="auto" w:fill="auto"/>
            <w:noWrap/>
            <w:vAlign w:val="bottom"/>
            <w:hideMark/>
          </w:tcPr>
          <w:p w14:paraId="56CFC8AA"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1324" w:type="dxa"/>
            <w:tcBorders>
              <w:top w:val="nil"/>
              <w:left w:val="nil"/>
              <w:bottom w:val="single" w:sz="4" w:space="0" w:color="BFBFBF"/>
              <w:right w:val="nil"/>
            </w:tcBorders>
            <w:shd w:val="clear" w:color="auto" w:fill="auto"/>
            <w:noWrap/>
            <w:hideMark/>
          </w:tcPr>
          <w:p w14:paraId="7C520329"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Notes</w:t>
            </w:r>
          </w:p>
        </w:tc>
        <w:tc>
          <w:tcPr>
            <w:tcW w:w="2019" w:type="dxa"/>
            <w:tcBorders>
              <w:top w:val="nil"/>
              <w:left w:val="nil"/>
              <w:bottom w:val="single" w:sz="4" w:space="0" w:color="BFBFBF"/>
              <w:right w:val="nil"/>
            </w:tcBorders>
            <w:shd w:val="clear" w:color="auto" w:fill="auto"/>
            <w:noWrap/>
            <w:vAlign w:val="bottom"/>
            <w:hideMark/>
          </w:tcPr>
          <w:p w14:paraId="71504130"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£m</w:t>
            </w:r>
          </w:p>
        </w:tc>
        <w:tc>
          <w:tcPr>
            <w:tcW w:w="1660" w:type="dxa"/>
            <w:tcBorders>
              <w:top w:val="nil"/>
              <w:left w:val="nil"/>
              <w:bottom w:val="single" w:sz="4" w:space="0" w:color="BFBFBF"/>
              <w:right w:val="nil"/>
            </w:tcBorders>
            <w:shd w:val="clear" w:color="auto" w:fill="auto"/>
            <w:noWrap/>
            <w:vAlign w:val="bottom"/>
            <w:hideMark/>
          </w:tcPr>
          <w:p w14:paraId="2EE1D409"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£m</w:t>
            </w:r>
          </w:p>
        </w:tc>
        <w:tc>
          <w:tcPr>
            <w:tcW w:w="1660" w:type="dxa"/>
            <w:tcBorders>
              <w:top w:val="nil"/>
              <w:left w:val="nil"/>
              <w:bottom w:val="single" w:sz="4" w:space="0" w:color="BFBFBF"/>
              <w:right w:val="single" w:sz="4" w:space="0" w:color="BFBFBF"/>
            </w:tcBorders>
            <w:shd w:val="clear" w:color="auto" w:fill="auto"/>
            <w:noWrap/>
            <w:vAlign w:val="bottom"/>
            <w:hideMark/>
          </w:tcPr>
          <w:p w14:paraId="28903204"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£m</w:t>
            </w:r>
          </w:p>
        </w:tc>
      </w:tr>
      <w:tr w:rsidR="005D3EDC" w:rsidRPr="005D3EDC" w14:paraId="06138D06"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06EF5D4C"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Non-current assets</w:t>
            </w:r>
          </w:p>
        </w:tc>
        <w:tc>
          <w:tcPr>
            <w:tcW w:w="258" w:type="dxa"/>
            <w:tcBorders>
              <w:top w:val="nil"/>
              <w:left w:val="nil"/>
              <w:bottom w:val="nil"/>
              <w:right w:val="nil"/>
            </w:tcBorders>
            <w:shd w:val="clear" w:color="auto" w:fill="auto"/>
            <w:noWrap/>
            <w:vAlign w:val="bottom"/>
            <w:hideMark/>
          </w:tcPr>
          <w:p w14:paraId="27DAE15C" w14:textId="77777777" w:rsidR="005D3EDC" w:rsidRPr="005D3EDC" w:rsidRDefault="005D3EDC" w:rsidP="005D3EDC">
            <w:pPr>
              <w:spacing w:after="0" w:line="240" w:lineRule="auto"/>
              <w:rPr>
                <w:rFonts w:ascii="Arial" w:eastAsia="Times New Roman" w:hAnsi="Arial" w:cs="Arial"/>
                <w:b/>
                <w:bCs/>
                <w:sz w:val="15"/>
                <w:szCs w:val="15"/>
                <w:lang w:eastAsia="en-GB"/>
              </w:rPr>
            </w:pPr>
          </w:p>
        </w:tc>
        <w:tc>
          <w:tcPr>
            <w:tcW w:w="258" w:type="dxa"/>
            <w:tcBorders>
              <w:top w:val="nil"/>
              <w:left w:val="nil"/>
              <w:bottom w:val="nil"/>
              <w:right w:val="nil"/>
            </w:tcBorders>
            <w:shd w:val="clear" w:color="auto" w:fill="auto"/>
            <w:noWrap/>
            <w:vAlign w:val="bottom"/>
            <w:hideMark/>
          </w:tcPr>
          <w:p w14:paraId="13045B78"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2935C44A"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0EB81F7B"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w:t>
            </w:r>
          </w:p>
        </w:tc>
        <w:tc>
          <w:tcPr>
            <w:tcW w:w="1660" w:type="dxa"/>
            <w:tcBorders>
              <w:top w:val="nil"/>
              <w:left w:val="nil"/>
              <w:bottom w:val="nil"/>
              <w:right w:val="nil"/>
            </w:tcBorders>
            <w:shd w:val="clear" w:color="auto" w:fill="auto"/>
            <w:noWrap/>
            <w:vAlign w:val="bottom"/>
            <w:hideMark/>
          </w:tcPr>
          <w:p w14:paraId="489C67EE" w14:textId="77777777" w:rsidR="005D3EDC" w:rsidRPr="005D3EDC" w:rsidRDefault="005D3EDC" w:rsidP="005D3EDC">
            <w:pPr>
              <w:spacing w:after="0" w:line="240" w:lineRule="auto"/>
              <w:rPr>
                <w:rFonts w:ascii="Arial" w:eastAsia="Times New Roman" w:hAnsi="Arial" w:cs="Arial"/>
                <w:b/>
                <w:bCs/>
                <w:sz w:val="15"/>
                <w:szCs w:val="15"/>
                <w:lang w:eastAsia="en-GB"/>
              </w:rPr>
            </w:pPr>
          </w:p>
        </w:tc>
        <w:tc>
          <w:tcPr>
            <w:tcW w:w="1660" w:type="dxa"/>
            <w:tcBorders>
              <w:top w:val="nil"/>
              <w:left w:val="nil"/>
              <w:bottom w:val="nil"/>
              <w:right w:val="nil"/>
            </w:tcBorders>
            <w:shd w:val="clear" w:color="auto" w:fill="auto"/>
            <w:noWrap/>
            <w:vAlign w:val="bottom"/>
            <w:hideMark/>
          </w:tcPr>
          <w:p w14:paraId="334C02C8"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r>
      <w:tr w:rsidR="005D3EDC" w:rsidRPr="005D3EDC" w14:paraId="229290E2"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3715D4E7"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Property, </w:t>
            </w:r>
            <w:proofErr w:type="gramStart"/>
            <w:r w:rsidRPr="005D3EDC">
              <w:rPr>
                <w:rFonts w:ascii="Arial" w:eastAsia="Times New Roman" w:hAnsi="Arial" w:cs="Arial"/>
                <w:sz w:val="15"/>
                <w:szCs w:val="15"/>
                <w:lang w:eastAsia="en-GB"/>
              </w:rPr>
              <w:t>plant</w:t>
            </w:r>
            <w:proofErr w:type="gramEnd"/>
            <w:r w:rsidRPr="005D3EDC">
              <w:rPr>
                <w:rFonts w:ascii="Arial" w:eastAsia="Times New Roman" w:hAnsi="Arial" w:cs="Arial"/>
                <w:sz w:val="15"/>
                <w:szCs w:val="15"/>
                <w:lang w:eastAsia="en-GB"/>
              </w:rPr>
              <w:t xml:space="preserve"> and equipment</w:t>
            </w:r>
          </w:p>
        </w:tc>
        <w:tc>
          <w:tcPr>
            <w:tcW w:w="258" w:type="dxa"/>
            <w:tcBorders>
              <w:top w:val="nil"/>
              <w:left w:val="nil"/>
              <w:bottom w:val="nil"/>
              <w:right w:val="nil"/>
            </w:tcBorders>
            <w:shd w:val="clear" w:color="auto" w:fill="auto"/>
            <w:noWrap/>
            <w:vAlign w:val="bottom"/>
            <w:hideMark/>
          </w:tcPr>
          <w:p w14:paraId="5B9584D2" w14:textId="77777777" w:rsidR="005D3EDC" w:rsidRPr="005D3EDC" w:rsidRDefault="005D3ED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hideMark/>
          </w:tcPr>
          <w:p w14:paraId="12156381"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5996FEF7"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10C01EED"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1,721 </w:t>
            </w:r>
          </w:p>
        </w:tc>
        <w:tc>
          <w:tcPr>
            <w:tcW w:w="1660" w:type="dxa"/>
            <w:tcBorders>
              <w:top w:val="nil"/>
              <w:left w:val="nil"/>
              <w:bottom w:val="nil"/>
              <w:right w:val="nil"/>
            </w:tcBorders>
            <w:shd w:val="clear" w:color="auto" w:fill="auto"/>
            <w:noWrap/>
            <w:vAlign w:val="bottom"/>
            <w:hideMark/>
          </w:tcPr>
          <w:p w14:paraId="356F31BB"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1,956 </w:t>
            </w:r>
          </w:p>
        </w:tc>
        <w:tc>
          <w:tcPr>
            <w:tcW w:w="1660" w:type="dxa"/>
            <w:tcBorders>
              <w:top w:val="nil"/>
              <w:left w:val="nil"/>
              <w:bottom w:val="nil"/>
              <w:right w:val="nil"/>
            </w:tcBorders>
            <w:shd w:val="clear" w:color="auto" w:fill="auto"/>
            <w:noWrap/>
            <w:vAlign w:val="bottom"/>
            <w:hideMark/>
          </w:tcPr>
          <w:p w14:paraId="05D39F4A"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1,912 </w:t>
            </w:r>
          </w:p>
        </w:tc>
      </w:tr>
      <w:tr w:rsidR="003C1535" w:rsidRPr="005D3EDC" w14:paraId="19983C34" w14:textId="77777777" w:rsidTr="008320B4">
        <w:trPr>
          <w:trHeight w:val="248"/>
        </w:trPr>
        <w:tc>
          <w:tcPr>
            <w:tcW w:w="3263" w:type="dxa"/>
            <w:gridSpan w:val="2"/>
            <w:tcBorders>
              <w:top w:val="nil"/>
              <w:left w:val="nil"/>
              <w:bottom w:val="nil"/>
              <w:right w:val="nil"/>
            </w:tcBorders>
            <w:shd w:val="clear" w:color="auto" w:fill="auto"/>
            <w:noWrap/>
            <w:vAlign w:val="bottom"/>
          </w:tcPr>
          <w:p w14:paraId="3B8BF948" w14:textId="31A54BBB" w:rsidR="003C1535" w:rsidRPr="005D3EDC" w:rsidRDefault="003C1535"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Right-of-use assets</w:t>
            </w:r>
          </w:p>
        </w:tc>
        <w:tc>
          <w:tcPr>
            <w:tcW w:w="258" w:type="dxa"/>
            <w:tcBorders>
              <w:top w:val="nil"/>
              <w:left w:val="nil"/>
              <w:bottom w:val="nil"/>
              <w:right w:val="nil"/>
            </w:tcBorders>
            <w:shd w:val="clear" w:color="auto" w:fill="auto"/>
            <w:noWrap/>
            <w:vAlign w:val="bottom"/>
          </w:tcPr>
          <w:p w14:paraId="03E70332" w14:textId="77777777" w:rsidR="003C1535" w:rsidRPr="005D3EDC" w:rsidRDefault="003C1535"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tcPr>
          <w:p w14:paraId="507245F1" w14:textId="77777777" w:rsidR="003C1535" w:rsidRPr="005D3EDC" w:rsidRDefault="003C1535"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4AF211E8" w14:textId="77777777" w:rsidR="003C1535" w:rsidRPr="005D3EDC" w:rsidRDefault="003C1535"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tcPr>
          <w:p w14:paraId="43A5C593" w14:textId="01A0A5E3" w:rsidR="003C1535" w:rsidRPr="005D3EDC" w:rsidRDefault="00A37F2C"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920 </w:t>
            </w:r>
          </w:p>
        </w:tc>
        <w:tc>
          <w:tcPr>
            <w:tcW w:w="1660" w:type="dxa"/>
            <w:tcBorders>
              <w:top w:val="nil"/>
              <w:left w:val="nil"/>
              <w:bottom w:val="nil"/>
              <w:right w:val="nil"/>
            </w:tcBorders>
            <w:shd w:val="clear" w:color="auto" w:fill="auto"/>
            <w:noWrap/>
            <w:vAlign w:val="bottom"/>
          </w:tcPr>
          <w:p w14:paraId="49997F81" w14:textId="34FAF556" w:rsidR="003C1535" w:rsidRPr="005D3EDC" w:rsidRDefault="00A37F2C"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1,063 </w:t>
            </w:r>
          </w:p>
        </w:tc>
        <w:tc>
          <w:tcPr>
            <w:tcW w:w="1660" w:type="dxa"/>
            <w:tcBorders>
              <w:top w:val="nil"/>
              <w:left w:val="nil"/>
              <w:bottom w:val="nil"/>
              <w:right w:val="nil"/>
            </w:tcBorders>
            <w:shd w:val="clear" w:color="auto" w:fill="auto"/>
            <w:noWrap/>
            <w:vAlign w:val="bottom"/>
          </w:tcPr>
          <w:p w14:paraId="20BD4F4F" w14:textId="0F3D4770" w:rsidR="003C1535" w:rsidRPr="005D3EDC" w:rsidRDefault="00A37F2C"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1,086 </w:t>
            </w:r>
          </w:p>
        </w:tc>
      </w:tr>
      <w:tr w:rsidR="005D3EDC" w:rsidRPr="005D3EDC" w14:paraId="3FFE4CAB"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114E84CC"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Goodwill and intangible assets</w:t>
            </w:r>
          </w:p>
        </w:tc>
        <w:tc>
          <w:tcPr>
            <w:tcW w:w="258" w:type="dxa"/>
            <w:tcBorders>
              <w:top w:val="nil"/>
              <w:left w:val="nil"/>
              <w:bottom w:val="nil"/>
              <w:right w:val="nil"/>
            </w:tcBorders>
            <w:shd w:val="clear" w:color="auto" w:fill="auto"/>
            <w:noWrap/>
            <w:vAlign w:val="bottom"/>
            <w:hideMark/>
          </w:tcPr>
          <w:p w14:paraId="0C49340B" w14:textId="77777777" w:rsidR="005D3EDC" w:rsidRPr="005D3EDC" w:rsidRDefault="005D3ED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hideMark/>
          </w:tcPr>
          <w:p w14:paraId="6F5E4ABB"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0F65E5BE"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532B5C99"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1,067 </w:t>
            </w:r>
          </w:p>
        </w:tc>
        <w:tc>
          <w:tcPr>
            <w:tcW w:w="1660" w:type="dxa"/>
            <w:tcBorders>
              <w:top w:val="nil"/>
              <w:left w:val="nil"/>
              <w:bottom w:val="nil"/>
              <w:right w:val="nil"/>
            </w:tcBorders>
            <w:shd w:val="clear" w:color="auto" w:fill="auto"/>
            <w:noWrap/>
            <w:vAlign w:val="bottom"/>
            <w:hideMark/>
          </w:tcPr>
          <w:p w14:paraId="418C4AB9"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1,093 </w:t>
            </w:r>
          </w:p>
        </w:tc>
        <w:tc>
          <w:tcPr>
            <w:tcW w:w="1660" w:type="dxa"/>
            <w:tcBorders>
              <w:top w:val="nil"/>
              <w:left w:val="nil"/>
              <w:bottom w:val="nil"/>
              <w:right w:val="nil"/>
            </w:tcBorders>
            <w:shd w:val="clear" w:color="auto" w:fill="auto"/>
            <w:noWrap/>
            <w:vAlign w:val="bottom"/>
            <w:hideMark/>
          </w:tcPr>
          <w:p w14:paraId="3E1B7FB0"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1,075 </w:t>
            </w:r>
          </w:p>
        </w:tc>
      </w:tr>
      <w:tr w:rsidR="00A37F2C" w:rsidRPr="005D3EDC" w14:paraId="77DE8017" w14:textId="77777777" w:rsidTr="008320B4">
        <w:trPr>
          <w:trHeight w:val="248"/>
        </w:trPr>
        <w:tc>
          <w:tcPr>
            <w:tcW w:w="3263" w:type="dxa"/>
            <w:gridSpan w:val="2"/>
            <w:tcBorders>
              <w:top w:val="nil"/>
              <w:left w:val="nil"/>
              <w:bottom w:val="nil"/>
              <w:right w:val="nil"/>
            </w:tcBorders>
            <w:shd w:val="clear" w:color="auto" w:fill="auto"/>
            <w:noWrap/>
            <w:vAlign w:val="bottom"/>
          </w:tcPr>
          <w:p w14:paraId="597F13B5" w14:textId="373D440F" w:rsidR="00A37F2C" w:rsidRPr="005D3EDC" w:rsidRDefault="00A37F2C"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Investment properties</w:t>
            </w:r>
          </w:p>
        </w:tc>
        <w:tc>
          <w:tcPr>
            <w:tcW w:w="258" w:type="dxa"/>
            <w:tcBorders>
              <w:top w:val="nil"/>
              <w:left w:val="nil"/>
              <w:bottom w:val="nil"/>
              <w:right w:val="nil"/>
            </w:tcBorders>
            <w:shd w:val="clear" w:color="auto" w:fill="auto"/>
            <w:noWrap/>
            <w:vAlign w:val="bottom"/>
          </w:tcPr>
          <w:p w14:paraId="7B23D99F" w14:textId="77777777" w:rsidR="00A37F2C" w:rsidRPr="005D3EDC" w:rsidRDefault="00A37F2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tcPr>
          <w:p w14:paraId="2960A4EB" w14:textId="77777777" w:rsidR="00A37F2C" w:rsidRPr="005D3EDC" w:rsidRDefault="00A37F2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7BA3A475" w14:textId="77777777" w:rsidR="00A37F2C" w:rsidRPr="005D3EDC" w:rsidRDefault="00A37F2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tcPr>
          <w:p w14:paraId="4FE91B95" w14:textId="38E500DB" w:rsidR="00A37F2C" w:rsidRPr="005D3EDC" w:rsidRDefault="00A37F2C"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52 </w:t>
            </w:r>
          </w:p>
        </w:tc>
        <w:tc>
          <w:tcPr>
            <w:tcW w:w="1660" w:type="dxa"/>
            <w:tcBorders>
              <w:top w:val="nil"/>
              <w:left w:val="nil"/>
              <w:bottom w:val="nil"/>
              <w:right w:val="nil"/>
            </w:tcBorders>
            <w:shd w:val="clear" w:color="auto" w:fill="auto"/>
            <w:noWrap/>
            <w:vAlign w:val="bottom"/>
          </w:tcPr>
          <w:p w14:paraId="3CD3FF5E" w14:textId="6B5FB748" w:rsidR="00A37F2C" w:rsidRPr="005D3EDC" w:rsidRDefault="00A37F2C"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14 </w:t>
            </w:r>
          </w:p>
        </w:tc>
        <w:tc>
          <w:tcPr>
            <w:tcW w:w="1660" w:type="dxa"/>
            <w:tcBorders>
              <w:top w:val="nil"/>
              <w:left w:val="nil"/>
              <w:bottom w:val="nil"/>
              <w:right w:val="nil"/>
            </w:tcBorders>
            <w:shd w:val="clear" w:color="auto" w:fill="auto"/>
            <w:noWrap/>
            <w:vAlign w:val="bottom"/>
          </w:tcPr>
          <w:p w14:paraId="2BF883A1" w14:textId="7DFFBB5A" w:rsidR="00A37F2C" w:rsidRPr="005D3EDC" w:rsidRDefault="00A37F2C"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55 </w:t>
            </w:r>
          </w:p>
        </w:tc>
      </w:tr>
      <w:tr w:rsidR="007C64FD" w:rsidRPr="005D3EDC" w14:paraId="183EB09A" w14:textId="77777777" w:rsidTr="008320B4">
        <w:trPr>
          <w:trHeight w:val="248"/>
        </w:trPr>
        <w:tc>
          <w:tcPr>
            <w:tcW w:w="3263" w:type="dxa"/>
            <w:gridSpan w:val="2"/>
            <w:tcBorders>
              <w:top w:val="nil"/>
              <w:left w:val="nil"/>
              <w:bottom w:val="nil"/>
              <w:right w:val="nil"/>
            </w:tcBorders>
            <w:shd w:val="clear" w:color="auto" w:fill="auto"/>
            <w:noWrap/>
            <w:vAlign w:val="bottom"/>
          </w:tcPr>
          <w:p w14:paraId="47584FD6" w14:textId="6C65633D" w:rsidR="007C64FD" w:rsidRDefault="007C64FD"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Investments in associates and joint ventures</w:t>
            </w:r>
          </w:p>
        </w:tc>
        <w:tc>
          <w:tcPr>
            <w:tcW w:w="258" w:type="dxa"/>
            <w:tcBorders>
              <w:top w:val="nil"/>
              <w:left w:val="nil"/>
              <w:bottom w:val="nil"/>
              <w:right w:val="nil"/>
            </w:tcBorders>
            <w:shd w:val="clear" w:color="auto" w:fill="auto"/>
            <w:noWrap/>
            <w:vAlign w:val="bottom"/>
          </w:tcPr>
          <w:p w14:paraId="21FBAC12" w14:textId="77777777" w:rsidR="007C64FD" w:rsidRPr="005D3EDC" w:rsidRDefault="007C64FD"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tcPr>
          <w:p w14:paraId="4F04F486" w14:textId="77777777" w:rsidR="007C64FD" w:rsidRPr="005D3EDC" w:rsidRDefault="007C64FD"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0C25852F" w14:textId="77777777" w:rsidR="007C64FD" w:rsidRPr="005D3EDC" w:rsidRDefault="007C64FD"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tcPr>
          <w:p w14:paraId="16732103" w14:textId="356BA691" w:rsidR="007C64FD" w:rsidRDefault="00E64C72"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4 </w:t>
            </w:r>
          </w:p>
        </w:tc>
        <w:tc>
          <w:tcPr>
            <w:tcW w:w="1660" w:type="dxa"/>
            <w:tcBorders>
              <w:top w:val="nil"/>
              <w:left w:val="nil"/>
              <w:bottom w:val="nil"/>
              <w:right w:val="nil"/>
            </w:tcBorders>
            <w:shd w:val="clear" w:color="auto" w:fill="auto"/>
            <w:noWrap/>
            <w:vAlign w:val="bottom"/>
          </w:tcPr>
          <w:p w14:paraId="59C627C3" w14:textId="5ED28714" w:rsidR="007C64FD" w:rsidRDefault="00E64C72"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4 </w:t>
            </w:r>
          </w:p>
        </w:tc>
        <w:tc>
          <w:tcPr>
            <w:tcW w:w="1660" w:type="dxa"/>
            <w:tcBorders>
              <w:top w:val="nil"/>
              <w:left w:val="nil"/>
              <w:bottom w:val="nil"/>
              <w:right w:val="nil"/>
            </w:tcBorders>
            <w:shd w:val="clear" w:color="auto" w:fill="auto"/>
            <w:noWrap/>
            <w:vAlign w:val="bottom"/>
          </w:tcPr>
          <w:p w14:paraId="21F03C1C" w14:textId="67470BB7" w:rsidR="007C64FD" w:rsidRDefault="00E64C72"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4 </w:t>
            </w:r>
          </w:p>
        </w:tc>
      </w:tr>
      <w:tr w:rsidR="005D3EDC" w:rsidRPr="005D3EDC" w14:paraId="571354FA"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1B2196DC"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Funeral plan investments</w:t>
            </w:r>
          </w:p>
        </w:tc>
        <w:tc>
          <w:tcPr>
            <w:tcW w:w="258" w:type="dxa"/>
            <w:tcBorders>
              <w:top w:val="nil"/>
              <w:left w:val="nil"/>
              <w:bottom w:val="nil"/>
              <w:right w:val="nil"/>
            </w:tcBorders>
            <w:shd w:val="clear" w:color="auto" w:fill="auto"/>
            <w:noWrap/>
            <w:vAlign w:val="bottom"/>
            <w:hideMark/>
          </w:tcPr>
          <w:p w14:paraId="72A52918" w14:textId="77777777" w:rsidR="005D3EDC" w:rsidRPr="005D3EDC" w:rsidRDefault="005D3ED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hideMark/>
          </w:tcPr>
          <w:p w14:paraId="4526803E"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7112B48B"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12</w:t>
            </w:r>
          </w:p>
        </w:tc>
        <w:tc>
          <w:tcPr>
            <w:tcW w:w="2019" w:type="dxa"/>
            <w:tcBorders>
              <w:top w:val="nil"/>
              <w:left w:val="nil"/>
              <w:bottom w:val="nil"/>
              <w:right w:val="nil"/>
            </w:tcBorders>
            <w:shd w:val="clear" w:color="auto" w:fill="CCECFF"/>
            <w:noWrap/>
            <w:vAlign w:val="bottom"/>
            <w:hideMark/>
          </w:tcPr>
          <w:p w14:paraId="75A53985"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1,399 </w:t>
            </w:r>
          </w:p>
        </w:tc>
        <w:tc>
          <w:tcPr>
            <w:tcW w:w="1660" w:type="dxa"/>
            <w:tcBorders>
              <w:top w:val="nil"/>
              <w:left w:val="nil"/>
              <w:bottom w:val="nil"/>
              <w:right w:val="nil"/>
            </w:tcBorders>
            <w:shd w:val="clear" w:color="auto" w:fill="auto"/>
            <w:noWrap/>
            <w:vAlign w:val="bottom"/>
            <w:hideMark/>
          </w:tcPr>
          <w:p w14:paraId="5E9C9B6D"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1,344 </w:t>
            </w:r>
          </w:p>
        </w:tc>
        <w:tc>
          <w:tcPr>
            <w:tcW w:w="1660" w:type="dxa"/>
            <w:tcBorders>
              <w:top w:val="nil"/>
              <w:left w:val="nil"/>
              <w:bottom w:val="nil"/>
              <w:right w:val="nil"/>
            </w:tcBorders>
            <w:shd w:val="clear" w:color="auto" w:fill="auto"/>
            <w:noWrap/>
            <w:vAlign w:val="bottom"/>
            <w:hideMark/>
          </w:tcPr>
          <w:p w14:paraId="39038508"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1,372 </w:t>
            </w:r>
          </w:p>
        </w:tc>
      </w:tr>
      <w:tr w:rsidR="00680F51" w:rsidRPr="005D3EDC" w14:paraId="1E42C6E1" w14:textId="77777777" w:rsidTr="008320B4">
        <w:trPr>
          <w:trHeight w:val="248"/>
        </w:trPr>
        <w:tc>
          <w:tcPr>
            <w:tcW w:w="3263" w:type="dxa"/>
            <w:gridSpan w:val="2"/>
            <w:tcBorders>
              <w:top w:val="nil"/>
              <w:left w:val="nil"/>
              <w:bottom w:val="nil"/>
              <w:right w:val="nil"/>
            </w:tcBorders>
            <w:shd w:val="clear" w:color="auto" w:fill="auto"/>
            <w:noWrap/>
            <w:vAlign w:val="bottom"/>
          </w:tcPr>
          <w:p w14:paraId="4C7C445A" w14:textId="2D959F08" w:rsidR="00680F51" w:rsidRPr="005D3EDC" w:rsidRDefault="008D38E3"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Derivatives</w:t>
            </w:r>
          </w:p>
        </w:tc>
        <w:tc>
          <w:tcPr>
            <w:tcW w:w="258" w:type="dxa"/>
            <w:tcBorders>
              <w:top w:val="nil"/>
              <w:left w:val="nil"/>
              <w:bottom w:val="nil"/>
              <w:right w:val="nil"/>
            </w:tcBorders>
            <w:shd w:val="clear" w:color="auto" w:fill="auto"/>
            <w:noWrap/>
            <w:vAlign w:val="bottom"/>
          </w:tcPr>
          <w:p w14:paraId="56570FDA" w14:textId="77777777" w:rsidR="00680F51" w:rsidRPr="005D3EDC" w:rsidRDefault="00680F51"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tcPr>
          <w:p w14:paraId="65081242" w14:textId="77777777" w:rsidR="00680F51" w:rsidRPr="005D3EDC" w:rsidRDefault="00680F51"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01B155AE" w14:textId="77777777" w:rsidR="00680F51" w:rsidRPr="005D3EDC" w:rsidRDefault="00680F51"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tcPr>
          <w:p w14:paraId="0B30B6AD" w14:textId="6502D9EA" w:rsidR="00680F51" w:rsidRPr="005D3EDC" w:rsidRDefault="008D38E3"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4 </w:t>
            </w:r>
          </w:p>
        </w:tc>
        <w:tc>
          <w:tcPr>
            <w:tcW w:w="1660" w:type="dxa"/>
            <w:tcBorders>
              <w:top w:val="nil"/>
              <w:left w:val="nil"/>
              <w:bottom w:val="nil"/>
              <w:right w:val="nil"/>
            </w:tcBorders>
            <w:shd w:val="clear" w:color="auto" w:fill="auto"/>
            <w:noWrap/>
            <w:vAlign w:val="bottom"/>
          </w:tcPr>
          <w:p w14:paraId="66DCC2BF" w14:textId="69949010" w:rsidR="00680F51" w:rsidRPr="005D3EDC" w:rsidRDefault="008D38E3"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2 </w:t>
            </w:r>
          </w:p>
        </w:tc>
        <w:tc>
          <w:tcPr>
            <w:tcW w:w="1660" w:type="dxa"/>
            <w:tcBorders>
              <w:top w:val="nil"/>
              <w:left w:val="nil"/>
              <w:bottom w:val="nil"/>
              <w:right w:val="nil"/>
            </w:tcBorders>
            <w:shd w:val="clear" w:color="auto" w:fill="auto"/>
            <w:noWrap/>
            <w:vAlign w:val="bottom"/>
          </w:tcPr>
          <w:p w14:paraId="3E27F730" w14:textId="25C727B9" w:rsidR="00680F51" w:rsidRPr="005D3EDC" w:rsidRDefault="00A502B7"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 </w:t>
            </w:r>
          </w:p>
        </w:tc>
      </w:tr>
      <w:tr w:rsidR="005666F2" w:rsidRPr="005D3EDC" w14:paraId="67A8E741" w14:textId="77777777" w:rsidTr="008320B4">
        <w:trPr>
          <w:trHeight w:val="248"/>
        </w:trPr>
        <w:tc>
          <w:tcPr>
            <w:tcW w:w="3263" w:type="dxa"/>
            <w:gridSpan w:val="2"/>
            <w:tcBorders>
              <w:top w:val="nil"/>
              <w:left w:val="nil"/>
              <w:bottom w:val="nil"/>
              <w:right w:val="nil"/>
            </w:tcBorders>
            <w:shd w:val="clear" w:color="auto" w:fill="auto"/>
            <w:noWrap/>
            <w:vAlign w:val="bottom"/>
          </w:tcPr>
          <w:p w14:paraId="504A6901" w14:textId="6E25366B" w:rsidR="005666F2" w:rsidRPr="005D3EDC" w:rsidRDefault="005666F2" w:rsidP="005666F2">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Pension assets</w:t>
            </w:r>
          </w:p>
        </w:tc>
        <w:tc>
          <w:tcPr>
            <w:tcW w:w="258" w:type="dxa"/>
            <w:tcBorders>
              <w:top w:val="nil"/>
              <w:left w:val="nil"/>
              <w:bottom w:val="nil"/>
              <w:right w:val="nil"/>
            </w:tcBorders>
            <w:shd w:val="clear" w:color="auto" w:fill="auto"/>
            <w:noWrap/>
            <w:vAlign w:val="bottom"/>
          </w:tcPr>
          <w:p w14:paraId="51AB2773" w14:textId="77777777" w:rsidR="005666F2" w:rsidRPr="005D3EDC" w:rsidRDefault="005666F2" w:rsidP="005666F2">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tcPr>
          <w:p w14:paraId="2E1549AF" w14:textId="77777777" w:rsidR="005666F2" w:rsidRPr="005D3EDC" w:rsidRDefault="005666F2" w:rsidP="005666F2">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01B88F6D" w14:textId="49B7C292" w:rsidR="005666F2" w:rsidRPr="00E21A7D" w:rsidRDefault="005666F2" w:rsidP="00D0065D">
            <w:pPr>
              <w:spacing w:after="0" w:line="240" w:lineRule="auto"/>
              <w:jc w:val="right"/>
              <w:rPr>
                <w:rFonts w:ascii="Arial" w:eastAsia="Times New Roman" w:hAnsi="Arial" w:cs="Arial"/>
                <w:sz w:val="15"/>
                <w:szCs w:val="15"/>
                <w:lang w:eastAsia="en-GB"/>
              </w:rPr>
            </w:pPr>
            <w:r w:rsidRPr="00E21A7D">
              <w:rPr>
                <w:rFonts w:ascii="Arial" w:eastAsia="Times New Roman" w:hAnsi="Arial" w:cs="Arial"/>
                <w:sz w:val="15"/>
                <w:szCs w:val="15"/>
                <w:lang w:eastAsia="en-GB"/>
              </w:rPr>
              <w:t>7</w:t>
            </w:r>
          </w:p>
        </w:tc>
        <w:tc>
          <w:tcPr>
            <w:tcW w:w="2019" w:type="dxa"/>
            <w:tcBorders>
              <w:top w:val="nil"/>
              <w:left w:val="nil"/>
              <w:bottom w:val="nil"/>
              <w:right w:val="nil"/>
            </w:tcBorders>
            <w:shd w:val="clear" w:color="auto" w:fill="CCECFF"/>
            <w:noWrap/>
            <w:vAlign w:val="bottom"/>
          </w:tcPr>
          <w:p w14:paraId="2062FBB3" w14:textId="1A1E450A" w:rsidR="005666F2" w:rsidRPr="005D3EDC" w:rsidRDefault="005666F2" w:rsidP="005666F2">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2,464 </w:t>
            </w:r>
          </w:p>
        </w:tc>
        <w:tc>
          <w:tcPr>
            <w:tcW w:w="1660" w:type="dxa"/>
            <w:tcBorders>
              <w:top w:val="nil"/>
              <w:left w:val="nil"/>
              <w:bottom w:val="nil"/>
              <w:right w:val="nil"/>
            </w:tcBorders>
            <w:shd w:val="clear" w:color="auto" w:fill="auto"/>
            <w:noWrap/>
            <w:vAlign w:val="bottom"/>
          </w:tcPr>
          <w:p w14:paraId="105ED73A" w14:textId="047535B1" w:rsidR="005666F2" w:rsidRPr="005D3EDC" w:rsidRDefault="005666F2" w:rsidP="005666F2">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1,799 </w:t>
            </w:r>
          </w:p>
        </w:tc>
        <w:tc>
          <w:tcPr>
            <w:tcW w:w="1660" w:type="dxa"/>
            <w:tcBorders>
              <w:top w:val="nil"/>
              <w:left w:val="nil"/>
              <w:bottom w:val="nil"/>
              <w:right w:val="nil"/>
            </w:tcBorders>
            <w:shd w:val="clear" w:color="auto" w:fill="auto"/>
            <w:noWrap/>
            <w:vAlign w:val="bottom"/>
          </w:tcPr>
          <w:p w14:paraId="21738458" w14:textId="6E17C929" w:rsidR="005666F2" w:rsidRPr="005D3EDC" w:rsidRDefault="005666F2" w:rsidP="005666F2">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2,262 </w:t>
            </w:r>
          </w:p>
        </w:tc>
      </w:tr>
      <w:tr w:rsidR="005D3EDC" w:rsidRPr="005D3EDC" w14:paraId="296BF673"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1AAF306E"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Trade and other receivables</w:t>
            </w:r>
          </w:p>
        </w:tc>
        <w:tc>
          <w:tcPr>
            <w:tcW w:w="258" w:type="dxa"/>
            <w:tcBorders>
              <w:top w:val="nil"/>
              <w:left w:val="nil"/>
              <w:bottom w:val="nil"/>
              <w:right w:val="nil"/>
            </w:tcBorders>
            <w:shd w:val="clear" w:color="auto" w:fill="auto"/>
            <w:noWrap/>
            <w:vAlign w:val="bottom"/>
            <w:hideMark/>
          </w:tcPr>
          <w:p w14:paraId="4DE1AD26" w14:textId="77777777" w:rsidR="005D3EDC" w:rsidRPr="005D3EDC" w:rsidRDefault="005D3ED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hideMark/>
          </w:tcPr>
          <w:p w14:paraId="65BC65B1"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07961DCE"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25022DE5"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190 </w:t>
            </w:r>
          </w:p>
        </w:tc>
        <w:tc>
          <w:tcPr>
            <w:tcW w:w="1660" w:type="dxa"/>
            <w:tcBorders>
              <w:top w:val="nil"/>
              <w:left w:val="nil"/>
              <w:bottom w:val="nil"/>
              <w:right w:val="nil"/>
            </w:tcBorders>
            <w:shd w:val="clear" w:color="auto" w:fill="auto"/>
            <w:noWrap/>
            <w:vAlign w:val="bottom"/>
            <w:hideMark/>
          </w:tcPr>
          <w:p w14:paraId="5FA77DA9"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224 </w:t>
            </w:r>
          </w:p>
        </w:tc>
        <w:tc>
          <w:tcPr>
            <w:tcW w:w="1660" w:type="dxa"/>
            <w:tcBorders>
              <w:top w:val="nil"/>
              <w:left w:val="nil"/>
              <w:bottom w:val="nil"/>
              <w:right w:val="nil"/>
            </w:tcBorders>
            <w:shd w:val="clear" w:color="auto" w:fill="auto"/>
            <w:noWrap/>
            <w:vAlign w:val="bottom"/>
            <w:hideMark/>
          </w:tcPr>
          <w:p w14:paraId="378CA392"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214 </w:t>
            </w:r>
          </w:p>
        </w:tc>
      </w:tr>
      <w:tr w:rsidR="005D3EDC" w:rsidRPr="005D3EDC" w14:paraId="335F7C99"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2DDA6E86"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Finance lease receivables</w:t>
            </w:r>
          </w:p>
        </w:tc>
        <w:tc>
          <w:tcPr>
            <w:tcW w:w="258" w:type="dxa"/>
            <w:tcBorders>
              <w:top w:val="nil"/>
              <w:left w:val="nil"/>
              <w:bottom w:val="nil"/>
              <w:right w:val="nil"/>
            </w:tcBorders>
            <w:shd w:val="clear" w:color="auto" w:fill="auto"/>
            <w:noWrap/>
            <w:vAlign w:val="bottom"/>
            <w:hideMark/>
          </w:tcPr>
          <w:p w14:paraId="2FCECEDE" w14:textId="77777777" w:rsidR="005D3EDC" w:rsidRPr="005D3EDC" w:rsidRDefault="005D3ED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hideMark/>
          </w:tcPr>
          <w:p w14:paraId="2BE2D95D"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38B99FE6"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44380F99"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28 </w:t>
            </w:r>
          </w:p>
        </w:tc>
        <w:tc>
          <w:tcPr>
            <w:tcW w:w="1660" w:type="dxa"/>
            <w:tcBorders>
              <w:top w:val="nil"/>
              <w:left w:val="nil"/>
              <w:bottom w:val="nil"/>
              <w:right w:val="nil"/>
            </w:tcBorders>
            <w:shd w:val="clear" w:color="auto" w:fill="auto"/>
            <w:noWrap/>
            <w:vAlign w:val="bottom"/>
            <w:hideMark/>
          </w:tcPr>
          <w:p w14:paraId="35BB40A4"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30 </w:t>
            </w:r>
          </w:p>
        </w:tc>
        <w:tc>
          <w:tcPr>
            <w:tcW w:w="1660" w:type="dxa"/>
            <w:tcBorders>
              <w:top w:val="nil"/>
              <w:left w:val="nil"/>
              <w:bottom w:val="nil"/>
              <w:right w:val="nil"/>
            </w:tcBorders>
            <w:shd w:val="clear" w:color="auto" w:fill="auto"/>
            <w:noWrap/>
            <w:vAlign w:val="bottom"/>
            <w:hideMark/>
          </w:tcPr>
          <w:p w14:paraId="6BABA82B"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30 </w:t>
            </w:r>
          </w:p>
        </w:tc>
      </w:tr>
      <w:tr w:rsidR="005D3EDC" w:rsidRPr="005D3EDC" w14:paraId="49752675"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713BC089"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Contract assets (funeral plans)</w:t>
            </w:r>
          </w:p>
        </w:tc>
        <w:tc>
          <w:tcPr>
            <w:tcW w:w="258" w:type="dxa"/>
            <w:tcBorders>
              <w:top w:val="nil"/>
              <w:left w:val="nil"/>
              <w:bottom w:val="nil"/>
              <w:right w:val="nil"/>
            </w:tcBorders>
            <w:shd w:val="clear" w:color="auto" w:fill="auto"/>
            <w:noWrap/>
            <w:vAlign w:val="bottom"/>
            <w:hideMark/>
          </w:tcPr>
          <w:p w14:paraId="1C564880" w14:textId="77777777" w:rsidR="005D3EDC" w:rsidRPr="005D3EDC" w:rsidRDefault="005D3ED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hideMark/>
          </w:tcPr>
          <w:p w14:paraId="35280C60"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5C6F895A"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3DF530AA"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42 </w:t>
            </w:r>
          </w:p>
        </w:tc>
        <w:tc>
          <w:tcPr>
            <w:tcW w:w="1660" w:type="dxa"/>
            <w:tcBorders>
              <w:top w:val="nil"/>
              <w:left w:val="nil"/>
              <w:bottom w:val="nil"/>
              <w:right w:val="nil"/>
            </w:tcBorders>
            <w:shd w:val="clear" w:color="auto" w:fill="auto"/>
            <w:noWrap/>
            <w:vAlign w:val="bottom"/>
            <w:hideMark/>
          </w:tcPr>
          <w:p w14:paraId="0258C3FA"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62 </w:t>
            </w:r>
          </w:p>
        </w:tc>
        <w:tc>
          <w:tcPr>
            <w:tcW w:w="1660" w:type="dxa"/>
            <w:tcBorders>
              <w:top w:val="nil"/>
              <w:left w:val="nil"/>
              <w:bottom w:val="nil"/>
              <w:right w:val="nil"/>
            </w:tcBorders>
            <w:shd w:val="clear" w:color="auto" w:fill="auto"/>
            <w:noWrap/>
            <w:vAlign w:val="bottom"/>
            <w:hideMark/>
          </w:tcPr>
          <w:p w14:paraId="2262F59C"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43 </w:t>
            </w:r>
          </w:p>
        </w:tc>
      </w:tr>
      <w:tr w:rsidR="005D3EDC" w:rsidRPr="005D3EDC" w14:paraId="48295EAF" w14:textId="77777777" w:rsidTr="008320B4">
        <w:trPr>
          <w:trHeight w:val="248"/>
        </w:trPr>
        <w:tc>
          <w:tcPr>
            <w:tcW w:w="3263" w:type="dxa"/>
            <w:gridSpan w:val="2"/>
            <w:tcBorders>
              <w:top w:val="single" w:sz="4" w:space="0" w:color="BFBFBF"/>
              <w:left w:val="nil"/>
              <w:bottom w:val="single" w:sz="4" w:space="0" w:color="BFBFBF"/>
              <w:right w:val="nil"/>
            </w:tcBorders>
            <w:shd w:val="clear" w:color="auto" w:fill="auto"/>
            <w:noWrap/>
            <w:vAlign w:val="bottom"/>
            <w:hideMark/>
          </w:tcPr>
          <w:p w14:paraId="2E513D9B"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Total non-current assets</w:t>
            </w:r>
          </w:p>
        </w:tc>
        <w:tc>
          <w:tcPr>
            <w:tcW w:w="258" w:type="dxa"/>
            <w:tcBorders>
              <w:top w:val="single" w:sz="4" w:space="0" w:color="BFBFBF"/>
              <w:left w:val="nil"/>
              <w:bottom w:val="single" w:sz="4" w:space="0" w:color="BFBFBF"/>
              <w:right w:val="nil"/>
            </w:tcBorders>
            <w:shd w:val="clear" w:color="auto" w:fill="auto"/>
            <w:noWrap/>
            <w:vAlign w:val="bottom"/>
            <w:hideMark/>
          </w:tcPr>
          <w:p w14:paraId="7DB53ABF"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single" w:sz="4" w:space="0" w:color="BFBFBF"/>
              <w:left w:val="nil"/>
              <w:bottom w:val="single" w:sz="4" w:space="0" w:color="BFBFBF"/>
              <w:right w:val="nil"/>
            </w:tcBorders>
            <w:shd w:val="clear" w:color="auto" w:fill="auto"/>
            <w:noWrap/>
            <w:vAlign w:val="bottom"/>
            <w:hideMark/>
          </w:tcPr>
          <w:p w14:paraId="2C9BB09E"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1324" w:type="dxa"/>
            <w:tcBorders>
              <w:top w:val="single" w:sz="4" w:space="0" w:color="BFBFBF"/>
              <w:left w:val="nil"/>
              <w:bottom w:val="single" w:sz="4" w:space="0" w:color="BFBFBF"/>
              <w:right w:val="nil"/>
            </w:tcBorders>
            <w:shd w:val="clear" w:color="auto" w:fill="auto"/>
            <w:noWrap/>
            <w:vAlign w:val="bottom"/>
            <w:hideMark/>
          </w:tcPr>
          <w:p w14:paraId="6BD3615B"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019" w:type="dxa"/>
            <w:tcBorders>
              <w:top w:val="single" w:sz="4" w:space="0" w:color="BFBFBF"/>
              <w:left w:val="nil"/>
              <w:bottom w:val="single" w:sz="4" w:space="0" w:color="BFBFBF"/>
              <w:right w:val="nil"/>
            </w:tcBorders>
            <w:shd w:val="clear" w:color="auto" w:fill="CCECFF"/>
            <w:noWrap/>
            <w:vAlign w:val="bottom"/>
            <w:hideMark/>
          </w:tcPr>
          <w:p w14:paraId="274AD699"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7,891 </w:t>
            </w:r>
          </w:p>
        </w:tc>
        <w:tc>
          <w:tcPr>
            <w:tcW w:w="1660" w:type="dxa"/>
            <w:tcBorders>
              <w:top w:val="single" w:sz="4" w:space="0" w:color="BFBFBF"/>
              <w:left w:val="nil"/>
              <w:bottom w:val="single" w:sz="4" w:space="0" w:color="BFBFBF"/>
              <w:right w:val="nil"/>
            </w:tcBorders>
            <w:shd w:val="clear" w:color="auto" w:fill="auto"/>
            <w:noWrap/>
            <w:vAlign w:val="bottom"/>
            <w:hideMark/>
          </w:tcPr>
          <w:p w14:paraId="7D176CD7"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7,591 </w:t>
            </w:r>
          </w:p>
        </w:tc>
        <w:tc>
          <w:tcPr>
            <w:tcW w:w="1660" w:type="dxa"/>
            <w:tcBorders>
              <w:top w:val="single" w:sz="4" w:space="0" w:color="BFBFBF"/>
              <w:left w:val="nil"/>
              <w:bottom w:val="single" w:sz="4" w:space="0" w:color="BFBFBF"/>
              <w:right w:val="nil"/>
            </w:tcBorders>
            <w:shd w:val="clear" w:color="auto" w:fill="auto"/>
            <w:noWrap/>
            <w:vAlign w:val="bottom"/>
            <w:hideMark/>
          </w:tcPr>
          <w:p w14:paraId="06B77C54"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8,053 </w:t>
            </w:r>
          </w:p>
        </w:tc>
      </w:tr>
      <w:tr w:rsidR="005D3EDC" w:rsidRPr="005D3EDC" w14:paraId="6E738900" w14:textId="77777777" w:rsidTr="008320B4">
        <w:trPr>
          <w:trHeight w:val="248"/>
        </w:trPr>
        <w:tc>
          <w:tcPr>
            <w:tcW w:w="3005" w:type="dxa"/>
            <w:tcBorders>
              <w:top w:val="nil"/>
              <w:left w:val="nil"/>
              <w:bottom w:val="nil"/>
              <w:right w:val="nil"/>
            </w:tcBorders>
            <w:shd w:val="clear" w:color="auto" w:fill="auto"/>
            <w:noWrap/>
            <w:vAlign w:val="bottom"/>
            <w:hideMark/>
          </w:tcPr>
          <w:p w14:paraId="762233F1"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Current assets</w:t>
            </w:r>
          </w:p>
        </w:tc>
        <w:tc>
          <w:tcPr>
            <w:tcW w:w="258" w:type="dxa"/>
            <w:tcBorders>
              <w:top w:val="nil"/>
              <w:left w:val="nil"/>
              <w:bottom w:val="nil"/>
              <w:right w:val="nil"/>
            </w:tcBorders>
            <w:shd w:val="clear" w:color="auto" w:fill="auto"/>
            <w:noWrap/>
            <w:vAlign w:val="bottom"/>
            <w:hideMark/>
          </w:tcPr>
          <w:p w14:paraId="192F92A0" w14:textId="77777777" w:rsidR="005D3EDC" w:rsidRPr="005D3EDC" w:rsidRDefault="005D3EDC" w:rsidP="005D3EDC">
            <w:pPr>
              <w:spacing w:after="0" w:line="240" w:lineRule="auto"/>
              <w:rPr>
                <w:rFonts w:ascii="Arial" w:eastAsia="Times New Roman" w:hAnsi="Arial" w:cs="Arial"/>
                <w:b/>
                <w:bCs/>
                <w:sz w:val="15"/>
                <w:szCs w:val="15"/>
                <w:lang w:eastAsia="en-GB"/>
              </w:rPr>
            </w:pPr>
          </w:p>
        </w:tc>
        <w:tc>
          <w:tcPr>
            <w:tcW w:w="258" w:type="dxa"/>
            <w:tcBorders>
              <w:top w:val="nil"/>
              <w:left w:val="nil"/>
              <w:bottom w:val="nil"/>
              <w:right w:val="nil"/>
            </w:tcBorders>
            <w:shd w:val="clear" w:color="auto" w:fill="auto"/>
            <w:noWrap/>
            <w:vAlign w:val="bottom"/>
            <w:hideMark/>
          </w:tcPr>
          <w:p w14:paraId="5118B128"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58" w:type="dxa"/>
            <w:tcBorders>
              <w:top w:val="nil"/>
              <w:left w:val="nil"/>
              <w:bottom w:val="nil"/>
              <w:right w:val="nil"/>
            </w:tcBorders>
            <w:shd w:val="clear" w:color="auto" w:fill="auto"/>
            <w:noWrap/>
            <w:vAlign w:val="bottom"/>
            <w:hideMark/>
          </w:tcPr>
          <w:p w14:paraId="3B512BBD"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3407D431"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2B64302C"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1660" w:type="dxa"/>
            <w:tcBorders>
              <w:top w:val="nil"/>
              <w:left w:val="nil"/>
              <w:bottom w:val="nil"/>
              <w:right w:val="nil"/>
            </w:tcBorders>
            <w:shd w:val="clear" w:color="auto" w:fill="auto"/>
            <w:noWrap/>
            <w:vAlign w:val="bottom"/>
            <w:hideMark/>
          </w:tcPr>
          <w:p w14:paraId="3D98CFB1" w14:textId="77777777" w:rsidR="005D3EDC" w:rsidRPr="005D3EDC" w:rsidRDefault="005D3EDC" w:rsidP="005D3EDC">
            <w:pPr>
              <w:spacing w:after="0" w:line="240" w:lineRule="auto"/>
              <w:jc w:val="right"/>
              <w:rPr>
                <w:rFonts w:ascii="Arial" w:eastAsia="Times New Roman" w:hAnsi="Arial" w:cs="Arial"/>
                <w:sz w:val="15"/>
                <w:szCs w:val="15"/>
                <w:lang w:eastAsia="en-GB"/>
              </w:rPr>
            </w:pPr>
          </w:p>
        </w:tc>
        <w:tc>
          <w:tcPr>
            <w:tcW w:w="1660" w:type="dxa"/>
            <w:tcBorders>
              <w:top w:val="nil"/>
              <w:left w:val="nil"/>
              <w:bottom w:val="nil"/>
              <w:right w:val="nil"/>
            </w:tcBorders>
            <w:shd w:val="clear" w:color="auto" w:fill="auto"/>
            <w:noWrap/>
            <w:vAlign w:val="bottom"/>
            <w:hideMark/>
          </w:tcPr>
          <w:p w14:paraId="2A648C9F" w14:textId="77777777" w:rsidR="005D3EDC" w:rsidRPr="005D3EDC" w:rsidRDefault="005D3EDC" w:rsidP="005D3EDC">
            <w:pPr>
              <w:spacing w:after="0" w:line="240" w:lineRule="auto"/>
              <w:jc w:val="right"/>
              <w:rPr>
                <w:rFonts w:ascii="Times New Roman" w:eastAsia="Times New Roman" w:hAnsi="Times New Roman" w:cs="Times New Roman"/>
                <w:sz w:val="20"/>
                <w:szCs w:val="20"/>
                <w:lang w:eastAsia="en-GB"/>
              </w:rPr>
            </w:pPr>
          </w:p>
        </w:tc>
      </w:tr>
      <w:tr w:rsidR="00331E26" w:rsidRPr="005D3EDC" w14:paraId="10ECF866" w14:textId="77777777" w:rsidTr="008320B4">
        <w:trPr>
          <w:trHeight w:val="248"/>
        </w:trPr>
        <w:tc>
          <w:tcPr>
            <w:tcW w:w="3263" w:type="dxa"/>
            <w:gridSpan w:val="2"/>
            <w:tcBorders>
              <w:top w:val="nil"/>
              <w:left w:val="nil"/>
              <w:bottom w:val="nil"/>
              <w:right w:val="nil"/>
            </w:tcBorders>
            <w:shd w:val="clear" w:color="auto" w:fill="auto"/>
            <w:noWrap/>
            <w:vAlign w:val="bottom"/>
          </w:tcPr>
          <w:p w14:paraId="7F74DC20" w14:textId="22A735EF" w:rsidR="00331E26" w:rsidRPr="005D3EDC" w:rsidRDefault="00331E26"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lastRenderedPageBreak/>
              <w:t>Inventories</w:t>
            </w:r>
          </w:p>
        </w:tc>
        <w:tc>
          <w:tcPr>
            <w:tcW w:w="258" w:type="dxa"/>
            <w:tcBorders>
              <w:top w:val="nil"/>
              <w:left w:val="nil"/>
              <w:bottom w:val="nil"/>
              <w:right w:val="nil"/>
            </w:tcBorders>
            <w:shd w:val="clear" w:color="auto" w:fill="auto"/>
            <w:noWrap/>
            <w:vAlign w:val="bottom"/>
          </w:tcPr>
          <w:p w14:paraId="412DB61B" w14:textId="77777777" w:rsidR="00331E26" w:rsidRPr="005D3EDC" w:rsidRDefault="00331E26"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tcPr>
          <w:p w14:paraId="11AFF4AA" w14:textId="77777777" w:rsidR="00331E26" w:rsidRPr="005D3EDC" w:rsidRDefault="00331E26"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2649E2D8" w14:textId="77777777" w:rsidR="00331E26" w:rsidRPr="005D3EDC" w:rsidRDefault="00331E26"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tcPr>
          <w:p w14:paraId="7B903E13" w14:textId="2CAEEDFA" w:rsidR="00331E26" w:rsidRPr="005D3EDC" w:rsidRDefault="00331E26"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447 </w:t>
            </w:r>
          </w:p>
        </w:tc>
        <w:tc>
          <w:tcPr>
            <w:tcW w:w="1660" w:type="dxa"/>
            <w:tcBorders>
              <w:top w:val="nil"/>
              <w:left w:val="nil"/>
              <w:bottom w:val="nil"/>
              <w:right w:val="nil"/>
            </w:tcBorders>
            <w:shd w:val="clear" w:color="auto" w:fill="auto"/>
            <w:noWrap/>
            <w:vAlign w:val="bottom"/>
          </w:tcPr>
          <w:p w14:paraId="67AA5549" w14:textId="3268E680" w:rsidR="00331E26" w:rsidRPr="005D3EDC" w:rsidRDefault="00331E26"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454 </w:t>
            </w:r>
          </w:p>
        </w:tc>
        <w:tc>
          <w:tcPr>
            <w:tcW w:w="1660" w:type="dxa"/>
            <w:tcBorders>
              <w:top w:val="nil"/>
              <w:left w:val="nil"/>
              <w:bottom w:val="nil"/>
              <w:right w:val="nil"/>
            </w:tcBorders>
            <w:shd w:val="clear" w:color="auto" w:fill="auto"/>
            <w:noWrap/>
            <w:vAlign w:val="bottom"/>
          </w:tcPr>
          <w:p w14:paraId="0C96D16D" w14:textId="1491ED4B" w:rsidR="00331E26" w:rsidRPr="005D3EDC" w:rsidRDefault="00331E26"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488 </w:t>
            </w:r>
          </w:p>
        </w:tc>
      </w:tr>
      <w:tr w:rsidR="005D3EDC" w:rsidRPr="005D3EDC" w14:paraId="6475F584"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1632EC8D"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Trade and other receivables</w:t>
            </w:r>
          </w:p>
        </w:tc>
        <w:tc>
          <w:tcPr>
            <w:tcW w:w="258" w:type="dxa"/>
            <w:tcBorders>
              <w:top w:val="nil"/>
              <w:left w:val="nil"/>
              <w:bottom w:val="nil"/>
              <w:right w:val="nil"/>
            </w:tcBorders>
            <w:shd w:val="clear" w:color="auto" w:fill="auto"/>
            <w:noWrap/>
            <w:vAlign w:val="bottom"/>
            <w:hideMark/>
          </w:tcPr>
          <w:p w14:paraId="3AA99306" w14:textId="77777777" w:rsidR="005D3EDC" w:rsidRPr="005D3EDC" w:rsidRDefault="005D3ED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hideMark/>
          </w:tcPr>
          <w:p w14:paraId="167A10B1"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63DF2307"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024F9D63"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547 </w:t>
            </w:r>
          </w:p>
        </w:tc>
        <w:tc>
          <w:tcPr>
            <w:tcW w:w="1660" w:type="dxa"/>
            <w:tcBorders>
              <w:top w:val="nil"/>
              <w:left w:val="nil"/>
              <w:bottom w:val="nil"/>
              <w:right w:val="nil"/>
            </w:tcBorders>
            <w:shd w:val="clear" w:color="auto" w:fill="auto"/>
            <w:noWrap/>
            <w:vAlign w:val="bottom"/>
            <w:hideMark/>
          </w:tcPr>
          <w:p w14:paraId="43558A46"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556 </w:t>
            </w:r>
          </w:p>
        </w:tc>
        <w:tc>
          <w:tcPr>
            <w:tcW w:w="1660" w:type="dxa"/>
            <w:tcBorders>
              <w:top w:val="nil"/>
              <w:left w:val="nil"/>
              <w:bottom w:val="nil"/>
              <w:right w:val="nil"/>
            </w:tcBorders>
            <w:shd w:val="clear" w:color="auto" w:fill="auto"/>
            <w:noWrap/>
            <w:vAlign w:val="bottom"/>
            <w:hideMark/>
          </w:tcPr>
          <w:p w14:paraId="43A678D2"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551 </w:t>
            </w:r>
          </w:p>
        </w:tc>
      </w:tr>
      <w:tr w:rsidR="005D3EDC" w:rsidRPr="005D3EDC" w14:paraId="51F00019"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1C58B201"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Finance lease receivables</w:t>
            </w:r>
          </w:p>
        </w:tc>
        <w:tc>
          <w:tcPr>
            <w:tcW w:w="258" w:type="dxa"/>
            <w:tcBorders>
              <w:top w:val="nil"/>
              <w:left w:val="nil"/>
              <w:bottom w:val="nil"/>
              <w:right w:val="nil"/>
            </w:tcBorders>
            <w:shd w:val="clear" w:color="auto" w:fill="auto"/>
            <w:noWrap/>
            <w:vAlign w:val="bottom"/>
            <w:hideMark/>
          </w:tcPr>
          <w:p w14:paraId="11B19D2B" w14:textId="77777777" w:rsidR="005D3EDC" w:rsidRPr="005D3EDC" w:rsidRDefault="005D3ED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hideMark/>
          </w:tcPr>
          <w:p w14:paraId="65E73510"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71EB9AB9"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769BAB55"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12 </w:t>
            </w:r>
          </w:p>
        </w:tc>
        <w:tc>
          <w:tcPr>
            <w:tcW w:w="1660" w:type="dxa"/>
            <w:tcBorders>
              <w:top w:val="nil"/>
              <w:left w:val="nil"/>
              <w:bottom w:val="nil"/>
              <w:right w:val="nil"/>
            </w:tcBorders>
            <w:shd w:val="clear" w:color="auto" w:fill="auto"/>
            <w:noWrap/>
            <w:vAlign w:val="bottom"/>
            <w:hideMark/>
          </w:tcPr>
          <w:p w14:paraId="4D08CD18"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11 </w:t>
            </w:r>
          </w:p>
        </w:tc>
        <w:tc>
          <w:tcPr>
            <w:tcW w:w="1660" w:type="dxa"/>
            <w:tcBorders>
              <w:top w:val="nil"/>
              <w:left w:val="nil"/>
              <w:bottom w:val="nil"/>
              <w:right w:val="nil"/>
            </w:tcBorders>
            <w:shd w:val="clear" w:color="auto" w:fill="auto"/>
            <w:noWrap/>
            <w:vAlign w:val="bottom"/>
            <w:hideMark/>
          </w:tcPr>
          <w:p w14:paraId="65B0FD3D"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12 </w:t>
            </w:r>
          </w:p>
        </w:tc>
      </w:tr>
      <w:tr w:rsidR="00331E26" w:rsidRPr="005D3EDC" w14:paraId="309F5CC7" w14:textId="77777777" w:rsidTr="008320B4">
        <w:trPr>
          <w:trHeight w:val="248"/>
        </w:trPr>
        <w:tc>
          <w:tcPr>
            <w:tcW w:w="3263" w:type="dxa"/>
            <w:gridSpan w:val="2"/>
            <w:tcBorders>
              <w:top w:val="nil"/>
              <w:left w:val="nil"/>
              <w:bottom w:val="nil"/>
              <w:right w:val="nil"/>
            </w:tcBorders>
            <w:shd w:val="clear" w:color="auto" w:fill="auto"/>
            <w:noWrap/>
            <w:vAlign w:val="bottom"/>
          </w:tcPr>
          <w:p w14:paraId="10D05657" w14:textId="448E8431" w:rsidR="00331E26" w:rsidRPr="005D3EDC" w:rsidRDefault="00E21A7D"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Derivatives</w:t>
            </w:r>
          </w:p>
        </w:tc>
        <w:tc>
          <w:tcPr>
            <w:tcW w:w="258" w:type="dxa"/>
            <w:tcBorders>
              <w:top w:val="nil"/>
              <w:left w:val="nil"/>
              <w:bottom w:val="nil"/>
              <w:right w:val="nil"/>
            </w:tcBorders>
            <w:shd w:val="clear" w:color="auto" w:fill="auto"/>
            <w:noWrap/>
            <w:vAlign w:val="bottom"/>
          </w:tcPr>
          <w:p w14:paraId="238CF5C3" w14:textId="77777777" w:rsidR="00331E26" w:rsidRPr="005D3EDC" w:rsidRDefault="00331E26"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tcPr>
          <w:p w14:paraId="71BD0F7B" w14:textId="77777777" w:rsidR="00331E26" w:rsidRPr="005D3EDC" w:rsidRDefault="00331E26"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7D07D31F" w14:textId="77777777" w:rsidR="00331E26" w:rsidRPr="005D3EDC" w:rsidRDefault="00331E26"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tcPr>
          <w:p w14:paraId="303B4CC4" w14:textId="3D7C8B73" w:rsidR="00331E26" w:rsidRPr="005D3EDC" w:rsidRDefault="00E21A7D"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20 </w:t>
            </w:r>
          </w:p>
        </w:tc>
        <w:tc>
          <w:tcPr>
            <w:tcW w:w="1660" w:type="dxa"/>
            <w:tcBorders>
              <w:top w:val="nil"/>
              <w:left w:val="nil"/>
              <w:bottom w:val="nil"/>
              <w:right w:val="nil"/>
            </w:tcBorders>
            <w:shd w:val="clear" w:color="auto" w:fill="auto"/>
            <w:noWrap/>
            <w:vAlign w:val="bottom"/>
          </w:tcPr>
          <w:p w14:paraId="6DFCC275" w14:textId="2C9B0862" w:rsidR="00331E26" w:rsidRPr="005D3EDC" w:rsidRDefault="00E21A7D"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3 </w:t>
            </w:r>
          </w:p>
        </w:tc>
        <w:tc>
          <w:tcPr>
            <w:tcW w:w="1660" w:type="dxa"/>
            <w:tcBorders>
              <w:top w:val="nil"/>
              <w:left w:val="nil"/>
              <w:bottom w:val="nil"/>
              <w:right w:val="nil"/>
            </w:tcBorders>
            <w:shd w:val="clear" w:color="auto" w:fill="auto"/>
            <w:noWrap/>
            <w:vAlign w:val="bottom"/>
          </w:tcPr>
          <w:p w14:paraId="14BCF8BE" w14:textId="041E28C3" w:rsidR="00331E26" w:rsidRPr="005D3EDC" w:rsidRDefault="00E21A7D"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4 </w:t>
            </w:r>
          </w:p>
        </w:tc>
      </w:tr>
      <w:tr w:rsidR="005D3EDC" w:rsidRPr="005D3EDC" w14:paraId="1B3E11E4"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1F94430D"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Contract assets (funeral plans)</w:t>
            </w:r>
          </w:p>
        </w:tc>
        <w:tc>
          <w:tcPr>
            <w:tcW w:w="258" w:type="dxa"/>
            <w:tcBorders>
              <w:top w:val="nil"/>
              <w:left w:val="nil"/>
              <w:bottom w:val="nil"/>
              <w:right w:val="nil"/>
            </w:tcBorders>
            <w:shd w:val="clear" w:color="auto" w:fill="auto"/>
            <w:noWrap/>
            <w:vAlign w:val="bottom"/>
            <w:hideMark/>
          </w:tcPr>
          <w:p w14:paraId="15DD0C90" w14:textId="77777777" w:rsidR="005D3EDC" w:rsidRPr="005D3EDC" w:rsidRDefault="005D3ED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hideMark/>
          </w:tcPr>
          <w:p w14:paraId="5C37A4B0"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5DB5CC80"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22733F2A"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5 </w:t>
            </w:r>
          </w:p>
        </w:tc>
        <w:tc>
          <w:tcPr>
            <w:tcW w:w="1660" w:type="dxa"/>
            <w:tcBorders>
              <w:top w:val="nil"/>
              <w:left w:val="nil"/>
              <w:bottom w:val="nil"/>
              <w:right w:val="nil"/>
            </w:tcBorders>
            <w:shd w:val="clear" w:color="auto" w:fill="auto"/>
            <w:noWrap/>
            <w:vAlign w:val="bottom"/>
            <w:hideMark/>
          </w:tcPr>
          <w:p w14:paraId="3A4B00FB"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6 </w:t>
            </w:r>
          </w:p>
        </w:tc>
        <w:tc>
          <w:tcPr>
            <w:tcW w:w="1660" w:type="dxa"/>
            <w:tcBorders>
              <w:top w:val="nil"/>
              <w:left w:val="nil"/>
              <w:bottom w:val="nil"/>
              <w:right w:val="nil"/>
            </w:tcBorders>
            <w:shd w:val="clear" w:color="auto" w:fill="auto"/>
            <w:noWrap/>
            <w:vAlign w:val="bottom"/>
            <w:hideMark/>
          </w:tcPr>
          <w:p w14:paraId="6A71650A"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5 </w:t>
            </w:r>
          </w:p>
        </w:tc>
      </w:tr>
      <w:tr w:rsidR="005D3EDC" w:rsidRPr="005D3EDC" w14:paraId="2681B0A8"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374128D4"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Cash and cash equivalents</w:t>
            </w:r>
          </w:p>
        </w:tc>
        <w:tc>
          <w:tcPr>
            <w:tcW w:w="258" w:type="dxa"/>
            <w:tcBorders>
              <w:top w:val="nil"/>
              <w:left w:val="nil"/>
              <w:bottom w:val="nil"/>
              <w:right w:val="nil"/>
            </w:tcBorders>
            <w:shd w:val="clear" w:color="auto" w:fill="auto"/>
            <w:noWrap/>
            <w:vAlign w:val="bottom"/>
            <w:hideMark/>
          </w:tcPr>
          <w:p w14:paraId="59C80E0D" w14:textId="77777777" w:rsidR="005D3EDC" w:rsidRPr="005D3EDC" w:rsidRDefault="005D3ED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hideMark/>
          </w:tcPr>
          <w:p w14:paraId="6ACFFC09"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4804D403"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7C4662E9"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108 </w:t>
            </w:r>
          </w:p>
        </w:tc>
        <w:tc>
          <w:tcPr>
            <w:tcW w:w="1660" w:type="dxa"/>
            <w:tcBorders>
              <w:top w:val="nil"/>
              <w:left w:val="nil"/>
              <w:bottom w:val="nil"/>
              <w:right w:val="nil"/>
            </w:tcBorders>
            <w:shd w:val="clear" w:color="auto" w:fill="auto"/>
            <w:noWrap/>
            <w:vAlign w:val="bottom"/>
            <w:hideMark/>
          </w:tcPr>
          <w:p w14:paraId="334D6D18"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130 </w:t>
            </w:r>
          </w:p>
        </w:tc>
        <w:tc>
          <w:tcPr>
            <w:tcW w:w="1660" w:type="dxa"/>
            <w:tcBorders>
              <w:top w:val="nil"/>
              <w:left w:val="nil"/>
              <w:bottom w:val="nil"/>
              <w:right w:val="nil"/>
            </w:tcBorders>
            <w:shd w:val="clear" w:color="auto" w:fill="auto"/>
            <w:noWrap/>
            <w:vAlign w:val="bottom"/>
            <w:hideMark/>
          </w:tcPr>
          <w:p w14:paraId="3C5F13A7"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60 </w:t>
            </w:r>
          </w:p>
        </w:tc>
      </w:tr>
      <w:tr w:rsidR="00E21A7D" w:rsidRPr="005D3EDC" w14:paraId="368651C7" w14:textId="77777777" w:rsidTr="008320B4">
        <w:trPr>
          <w:trHeight w:val="248"/>
        </w:trPr>
        <w:tc>
          <w:tcPr>
            <w:tcW w:w="3263" w:type="dxa"/>
            <w:gridSpan w:val="2"/>
            <w:tcBorders>
              <w:top w:val="nil"/>
              <w:left w:val="nil"/>
              <w:bottom w:val="nil"/>
              <w:right w:val="nil"/>
            </w:tcBorders>
            <w:shd w:val="clear" w:color="auto" w:fill="auto"/>
            <w:noWrap/>
            <w:vAlign w:val="bottom"/>
          </w:tcPr>
          <w:p w14:paraId="42BD3671" w14:textId="4D991946" w:rsidR="00E21A7D" w:rsidRPr="005D3EDC" w:rsidRDefault="00E21A7D"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Assets held for sale</w:t>
            </w:r>
          </w:p>
        </w:tc>
        <w:tc>
          <w:tcPr>
            <w:tcW w:w="258" w:type="dxa"/>
            <w:tcBorders>
              <w:top w:val="nil"/>
              <w:left w:val="nil"/>
              <w:bottom w:val="nil"/>
              <w:right w:val="nil"/>
            </w:tcBorders>
            <w:shd w:val="clear" w:color="auto" w:fill="auto"/>
            <w:noWrap/>
            <w:vAlign w:val="bottom"/>
          </w:tcPr>
          <w:p w14:paraId="6FDE5A39" w14:textId="77777777" w:rsidR="00E21A7D" w:rsidRPr="005D3EDC" w:rsidRDefault="00E21A7D"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tcPr>
          <w:p w14:paraId="4038405B" w14:textId="77777777" w:rsidR="00E21A7D" w:rsidRPr="005D3EDC" w:rsidRDefault="00E21A7D"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4909C271" w14:textId="06B5F887" w:rsidR="00E21A7D" w:rsidRPr="00E21A7D" w:rsidRDefault="00E21A7D" w:rsidP="00E21A7D">
            <w:pPr>
              <w:spacing w:after="0" w:line="240" w:lineRule="auto"/>
              <w:jc w:val="right"/>
              <w:rPr>
                <w:rFonts w:ascii="Arial" w:eastAsia="Times New Roman" w:hAnsi="Arial" w:cs="Arial"/>
                <w:sz w:val="15"/>
                <w:szCs w:val="15"/>
                <w:lang w:eastAsia="en-GB"/>
              </w:rPr>
            </w:pPr>
            <w:r w:rsidRPr="00E21A7D">
              <w:rPr>
                <w:rFonts w:ascii="Arial" w:eastAsia="Times New Roman" w:hAnsi="Arial" w:cs="Arial"/>
                <w:sz w:val="15"/>
                <w:szCs w:val="15"/>
                <w:lang w:eastAsia="en-GB"/>
              </w:rPr>
              <w:t>8</w:t>
            </w:r>
          </w:p>
        </w:tc>
        <w:tc>
          <w:tcPr>
            <w:tcW w:w="2019" w:type="dxa"/>
            <w:tcBorders>
              <w:top w:val="nil"/>
              <w:left w:val="nil"/>
              <w:bottom w:val="nil"/>
              <w:right w:val="nil"/>
            </w:tcBorders>
            <w:shd w:val="clear" w:color="auto" w:fill="CCECFF"/>
            <w:noWrap/>
            <w:vAlign w:val="bottom"/>
          </w:tcPr>
          <w:p w14:paraId="16754BA9" w14:textId="5BBD0036" w:rsidR="00E21A7D" w:rsidRPr="005D3EDC" w:rsidRDefault="00E21A7D"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276 </w:t>
            </w:r>
          </w:p>
        </w:tc>
        <w:tc>
          <w:tcPr>
            <w:tcW w:w="1660" w:type="dxa"/>
            <w:tcBorders>
              <w:top w:val="nil"/>
              <w:left w:val="nil"/>
              <w:bottom w:val="nil"/>
              <w:right w:val="nil"/>
            </w:tcBorders>
            <w:shd w:val="clear" w:color="auto" w:fill="auto"/>
            <w:noWrap/>
            <w:vAlign w:val="bottom"/>
          </w:tcPr>
          <w:p w14:paraId="2CE4475F" w14:textId="1DD967B2" w:rsidR="00E21A7D" w:rsidRPr="005D3EDC" w:rsidRDefault="00E21A7D"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2 </w:t>
            </w:r>
          </w:p>
        </w:tc>
        <w:tc>
          <w:tcPr>
            <w:tcW w:w="1660" w:type="dxa"/>
            <w:tcBorders>
              <w:top w:val="nil"/>
              <w:left w:val="nil"/>
              <w:bottom w:val="nil"/>
              <w:right w:val="nil"/>
            </w:tcBorders>
            <w:shd w:val="clear" w:color="auto" w:fill="auto"/>
            <w:noWrap/>
            <w:vAlign w:val="bottom"/>
          </w:tcPr>
          <w:p w14:paraId="4C92CB19" w14:textId="1CC9D9D1" w:rsidR="00E21A7D" w:rsidRPr="005D3EDC" w:rsidRDefault="00E21A7D"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7 </w:t>
            </w:r>
          </w:p>
        </w:tc>
      </w:tr>
      <w:tr w:rsidR="005D3EDC" w:rsidRPr="005D3EDC" w14:paraId="2A25F51E" w14:textId="77777777" w:rsidTr="008320B4">
        <w:trPr>
          <w:trHeight w:val="248"/>
        </w:trPr>
        <w:tc>
          <w:tcPr>
            <w:tcW w:w="3263" w:type="dxa"/>
            <w:gridSpan w:val="2"/>
            <w:tcBorders>
              <w:top w:val="single" w:sz="4" w:space="0" w:color="BFBFBF"/>
              <w:left w:val="nil"/>
              <w:bottom w:val="single" w:sz="4" w:space="0" w:color="BFBFBF"/>
              <w:right w:val="nil"/>
            </w:tcBorders>
            <w:shd w:val="clear" w:color="auto" w:fill="auto"/>
            <w:noWrap/>
            <w:vAlign w:val="bottom"/>
            <w:hideMark/>
          </w:tcPr>
          <w:p w14:paraId="7587E42C"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Total current assets</w:t>
            </w:r>
          </w:p>
        </w:tc>
        <w:tc>
          <w:tcPr>
            <w:tcW w:w="258" w:type="dxa"/>
            <w:tcBorders>
              <w:top w:val="single" w:sz="4" w:space="0" w:color="BFBFBF"/>
              <w:left w:val="nil"/>
              <w:bottom w:val="single" w:sz="4" w:space="0" w:color="BFBFBF"/>
              <w:right w:val="nil"/>
            </w:tcBorders>
            <w:shd w:val="clear" w:color="auto" w:fill="auto"/>
            <w:noWrap/>
            <w:vAlign w:val="bottom"/>
            <w:hideMark/>
          </w:tcPr>
          <w:p w14:paraId="79495DA6"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single" w:sz="4" w:space="0" w:color="BFBFBF"/>
              <w:left w:val="nil"/>
              <w:bottom w:val="single" w:sz="4" w:space="0" w:color="BFBFBF"/>
              <w:right w:val="nil"/>
            </w:tcBorders>
            <w:shd w:val="clear" w:color="auto" w:fill="auto"/>
            <w:noWrap/>
            <w:vAlign w:val="bottom"/>
            <w:hideMark/>
          </w:tcPr>
          <w:p w14:paraId="0E9A9847"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1324" w:type="dxa"/>
            <w:tcBorders>
              <w:top w:val="single" w:sz="4" w:space="0" w:color="BFBFBF"/>
              <w:left w:val="nil"/>
              <w:bottom w:val="single" w:sz="4" w:space="0" w:color="BFBFBF"/>
              <w:right w:val="nil"/>
            </w:tcBorders>
            <w:shd w:val="clear" w:color="auto" w:fill="auto"/>
            <w:noWrap/>
            <w:vAlign w:val="bottom"/>
            <w:hideMark/>
          </w:tcPr>
          <w:p w14:paraId="5BD08FB8"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019" w:type="dxa"/>
            <w:tcBorders>
              <w:top w:val="single" w:sz="4" w:space="0" w:color="BFBFBF"/>
              <w:left w:val="nil"/>
              <w:bottom w:val="single" w:sz="4" w:space="0" w:color="BFBFBF"/>
              <w:right w:val="nil"/>
            </w:tcBorders>
            <w:shd w:val="clear" w:color="auto" w:fill="CCECFF"/>
            <w:noWrap/>
            <w:vAlign w:val="bottom"/>
            <w:hideMark/>
          </w:tcPr>
          <w:p w14:paraId="6B265AF6"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1,415 </w:t>
            </w:r>
          </w:p>
        </w:tc>
        <w:tc>
          <w:tcPr>
            <w:tcW w:w="1660" w:type="dxa"/>
            <w:tcBorders>
              <w:top w:val="single" w:sz="4" w:space="0" w:color="BFBFBF"/>
              <w:left w:val="nil"/>
              <w:bottom w:val="single" w:sz="4" w:space="0" w:color="BFBFBF"/>
              <w:right w:val="nil"/>
            </w:tcBorders>
            <w:shd w:val="clear" w:color="auto" w:fill="auto"/>
            <w:noWrap/>
            <w:vAlign w:val="bottom"/>
            <w:hideMark/>
          </w:tcPr>
          <w:p w14:paraId="397C7665"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1,162 </w:t>
            </w:r>
          </w:p>
        </w:tc>
        <w:tc>
          <w:tcPr>
            <w:tcW w:w="1660" w:type="dxa"/>
            <w:tcBorders>
              <w:top w:val="single" w:sz="4" w:space="0" w:color="BFBFBF"/>
              <w:left w:val="nil"/>
              <w:bottom w:val="single" w:sz="4" w:space="0" w:color="BFBFBF"/>
              <w:right w:val="nil"/>
            </w:tcBorders>
            <w:shd w:val="clear" w:color="auto" w:fill="auto"/>
            <w:noWrap/>
            <w:vAlign w:val="bottom"/>
            <w:hideMark/>
          </w:tcPr>
          <w:p w14:paraId="76D6D13C"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1,127 </w:t>
            </w:r>
          </w:p>
        </w:tc>
      </w:tr>
      <w:tr w:rsidR="005D3EDC" w:rsidRPr="005D3EDC" w14:paraId="38CCB374" w14:textId="77777777" w:rsidTr="008320B4">
        <w:trPr>
          <w:trHeight w:val="248"/>
        </w:trPr>
        <w:tc>
          <w:tcPr>
            <w:tcW w:w="3005" w:type="dxa"/>
            <w:tcBorders>
              <w:top w:val="nil"/>
              <w:left w:val="nil"/>
              <w:bottom w:val="single" w:sz="4" w:space="0" w:color="BFBFBF"/>
              <w:right w:val="nil"/>
            </w:tcBorders>
            <w:shd w:val="clear" w:color="auto" w:fill="auto"/>
            <w:noWrap/>
            <w:vAlign w:val="bottom"/>
            <w:hideMark/>
          </w:tcPr>
          <w:p w14:paraId="0D393F5E"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Total assets</w:t>
            </w:r>
          </w:p>
        </w:tc>
        <w:tc>
          <w:tcPr>
            <w:tcW w:w="258" w:type="dxa"/>
            <w:tcBorders>
              <w:top w:val="nil"/>
              <w:left w:val="nil"/>
              <w:bottom w:val="single" w:sz="4" w:space="0" w:color="BFBFBF"/>
              <w:right w:val="nil"/>
            </w:tcBorders>
            <w:shd w:val="clear" w:color="auto" w:fill="auto"/>
            <w:noWrap/>
            <w:vAlign w:val="bottom"/>
            <w:hideMark/>
          </w:tcPr>
          <w:p w14:paraId="6840A6DA"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single" w:sz="4" w:space="0" w:color="BFBFBF"/>
              <w:right w:val="nil"/>
            </w:tcBorders>
            <w:shd w:val="clear" w:color="auto" w:fill="auto"/>
            <w:noWrap/>
            <w:vAlign w:val="bottom"/>
            <w:hideMark/>
          </w:tcPr>
          <w:p w14:paraId="134DF1C2"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single" w:sz="4" w:space="0" w:color="BFBFBF"/>
              <w:right w:val="nil"/>
            </w:tcBorders>
            <w:shd w:val="clear" w:color="auto" w:fill="auto"/>
            <w:noWrap/>
            <w:vAlign w:val="bottom"/>
            <w:hideMark/>
          </w:tcPr>
          <w:p w14:paraId="30405CEB"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1324" w:type="dxa"/>
            <w:tcBorders>
              <w:top w:val="nil"/>
              <w:left w:val="nil"/>
              <w:bottom w:val="single" w:sz="4" w:space="0" w:color="BFBFBF"/>
              <w:right w:val="nil"/>
            </w:tcBorders>
            <w:shd w:val="clear" w:color="auto" w:fill="auto"/>
            <w:noWrap/>
            <w:vAlign w:val="bottom"/>
            <w:hideMark/>
          </w:tcPr>
          <w:p w14:paraId="30397B1D"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019" w:type="dxa"/>
            <w:tcBorders>
              <w:top w:val="nil"/>
              <w:left w:val="nil"/>
              <w:bottom w:val="single" w:sz="4" w:space="0" w:color="BFBFBF"/>
              <w:right w:val="nil"/>
            </w:tcBorders>
            <w:shd w:val="clear" w:color="auto" w:fill="CCECFF"/>
            <w:noWrap/>
            <w:vAlign w:val="bottom"/>
            <w:hideMark/>
          </w:tcPr>
          <w:p w14:paraId="2834D5E9"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9,306 </w:t>
            </w:r>
          </w:p>
        </w:tc>
        <w:tc>
          <w:tcPr>
            <w:tcW w:w="1660" w:type="dxa"/>
            <w:tcBorders>
              <w:top w:val="nil"/>
              <w:left w:val="nil"/>
              <w:bottom w:val="single" w:sz="4" w:space="0" w:color="BFBFBF"/>
              <w:right w:val="nil"/>
            </w:tcBorders>
            <w:shd w:val="clear" w:color="auto" w:fill="auto"/>
            <w:noWrap/>
            <w:vAlign w:val="bottom"/>
            <w:hideMark/>
          </w:tcPr>
          <w:p w14:paraId="0DFF2556"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8,753 </w:t>
            </w:r>
          </w:p>
        </w:tc>
        <w:tc>
          <w:tcPr>
            <w:tcW w:w="1660" w:type="dxa"/>
            <w:tcBorders>
              <w:top w:val="nil"/>
              <w:left w:val="nil"/>
              <w:bottom w:val="single" w:sz="4" w:space="0" w:color="BFBFBF"/>
              <w:right w:val="nil"/>
            </w:tcBorders>
            <w:shd w:val="clear" w:color="auto" w:fill="auto"/>
            <w:noWrap/>
            <w:vAlign w:val="bottom"/>
            <w:hideMark/>
          </w:tcPr>
          <w:p w14:paraId="104817FB"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9,180 </w:t>
            </w:r>
          </w:p>
        </w:tc>
      </w:tr>
      <w:tr w:rsidR="005D3EDC" w:rsidRPr="005D3EDC" w14:paraId="6217ACAF"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200D369E"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Non-current liabilities</w:t>
            </w:r>
          </w:p>
        </w:tc>
        <w:tc>
          <w:tcPr>
            <w:tcW w:w="258" w:type="dxa"/>
            <w:tcBorders>
              <w:top w:val="nil"/>
              <w:left w:val="nil"/>
              <w:bottom w:val="nil"/>
              <w:right w:val="nil"/>
            </w:tcBorders>
            <w:shd w:val="clear" w:color="auto" w:fill="auto"/>
            <w:noWrap/>
            <w:vAlign w:val="bottom"/>
            <w:hideMark/>
          </w:tcPr>
          <w:p w14:paraId="35F51E32" w14:textId="77777777" w:rsidR="005D3EDC" w:rsidRPr="005D3EDC" w:rsidRDefault="005D3EDC" w:rsidP="005D3EDC">
            <w:pPr>
              <w:spacing w:after="0" w:line="240" w:lineRule="auto"/>
              <w:rPr>
                <w:rFonts w:ascii="Arial" w:eastAsia="Times New Roman" w:hAnsi="Arial" w:cs="Arial"/>
                <w:b/>
                <w:bCs/>
                <w:sz w:val="15"/>
                <w:szCs w:val="15"/>
                <w:lang w:eastAsia="en-GB"/>
              </w:rPr>
            </w:pPr>
          </w:p>
        </w:tc>
        <w:tc>
          <w:tcPr>
            <w:tcW w:w="258" w:type="dxa"/>
            <w:tcBorders>
              <w:top w:val="nil"/>
              <w:left w:val="nil"/>
              <w:bottom w:val="nil"/>
              <w:right w:val="nil"/>
            </w:tcBorders>
            <w:shd w:val="clear" w:color="auto" w:fill="auto"/>
            <w:noWrap/>
            <w:vAlign w:val="bottom"/>
            <w:hideMark/>
          </w:tcPr>
          <w:p w14:paraId="179432FE"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2B74F10C"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40502ABB"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w:t>
            </w:r>
          </w:p>
        </w:tc>
        <w:tc>
          <w:tcPr>
            <w:tcW w:w="1660" w:type="dxa"/>
            <w:tcBorders>
              <w:top w:val="nil"/>
              <w:left w:val="nil"/>
              <w:bottom w:val="nil"/>
              <w:right w:val="nil"/>
            </w:tcBorders>
            <w:shd w:val="clear" w:color="auto" w:fill="auto"/>
            <w:noWrap/>
            <w:vAlign w:val="bottom"/>
            <w:hideMark/>
          </w:tcPr>
          <w:p w14:paraId="5E842BD0" w14:textId="77777777" w:rsidR="005D3EDC" w:rsidRPr="005D3EDC" w:rsidRDefault="005D3EDC" w:rsidP="005D3EDC">
            <w:pPr>
              <w:spacing w:after="0" w:line="240" w:lineRule="auto"/>
              <w:rPr>
                <w:rFonts w:ascii="Arial" w:eastAsia="Times New Roman" w:hAnsi="Arial" w:cs="Arial"/>
                <w:b/>
                <w:bCs/>
                <w:sz w:val="15"/>
                <w:szCs w:val="15"/>
                <w:lang w:eastAsia="en-GB"/>
              </w:rPr>
            </w:pPr>
          </w:p>
        </w:tc>
        <w:tc>
          <w:tcPr>
            <w:tcW w:w="1660" w:type="dxa"/>
            <w:tcBorders>
              <w:top w:val="nil"/>
              <w:left w:val="nil"/>
              <w:bottom w:val="nil"/>
              <w:right w:val="nil"/>
            </w:tcBorders>
            <w:shd w:val="clear" w:color="auto" w:fill="auto"/>
            <w:noWrap/>
            <w:vAlign w:val="bottom"/>
            <w:hideMark/>
          </w:tcPr>
          <w:p w14:paraId="0F91A946"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r>
      <w:tr w:rsidR="006E20AC" w:rsidRPr="005D3EDC" w14:paraId="6DDCC5B1" w14:textId="77777777" w:rsidTr="008320B4">
        <w:trPr>
          <w:trHeight w:val="248"/>
        </w:trPr>
        <w:tc>
          <w:tcPr>
            <w:tcW w:w="3263" w:type="dxa"/>
            <w:gridSpan w:val="2"/>
            <w:tcBorders>
              <w:top w:val="nil"/>
              <w:left w:val="nil"/>
              <w:bottom w:val="nil"/>
              <w:right w:val="nil"/>
            </w:tcBorders>
            <w:shd w:val="clear" w:color="auto" w:fill="auto"/>
            <w:noWrap/>
            <w:vAlign w:val="bottom"/>
          </w:tcPr>
          <w:p w14:paraId="7639AFDE" w14:textId="151434F8" w:rsidR="006E20AC" w:rsidRDefault="006E20AC"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Interest-bearing loans and borrowings</w:t>
            </w:r>
          </w:p>
        </w:tc>
        <w:tc>
          <w:tcPr>
            <w:tcW w:w="258" w:type="dxa"/>
            <w:tcBorders>
              <w:top w:val="nil"/>
              <w:left w:val="nil"/>
              <w:bottom w:val="nil"/>
              <w:right w:val="nil"/>
            </w:tcBorders>
            <w:shd w:val="clear" w:color="auto" w:fill="auto"/>
            <w:noWrap/>
          </w:tcPr>
          <w:p w14:paraId="1E1CBF94" w14:textId="77777777" w:rsidR="006E20AC" w:rsidRPr="005D3EDC" w:rsidRDefault="006E20A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tcPr>
          <w:p w14:paraId="4FEE41D8" w14:textId="77777777" w:rsidR="006E20AC" w:rsidRPr="005D3EDC" w:rsidRDefault="006E20A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0260D456" w14:textId="4340DA85" w:rsidR="006E20AC" w:rsidRPr="006E20AC" w:rsidRDefault="006E20AC" w:rsidP="006E20A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9</w:t>
            </w:r>
          </w:p>
        </w:tc>
        <w:tc>
          <w:tcPr>
            <w:tcW w:w="2019" w:type="dxa"/>
            <w:tcBorders>
              <w:top w:val="nil"/>
              <w:left w:val="nil"/>
              <w:bottom w:val="nil"/>
              <w:right w:val="nil"/>
            </w:tcBorders>
            <w:shd w:val="clear" w:color="auto" w:fill="CCECFF"/>
            <w:noWrap/>
            <w:vAlign w:val="bottom"/>
          </w:tcPr>
          <w:p w14:paraId="57BEAB0D" w14:textId="608C3AC4" w:rsidR="006E20AC" w:rsidRDefault="006E20AC"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765 </w:t>
            </w:r>
          </w:p>
        </w:tc>
        <w:tc>
          <w:tcPr>
            <w:tcW w:w="1660" w:type="dxa"/>
            <w:tcBorders>
              <w:top w:val="nil"/>
              <w:left w:val="nil"/>
              <w:bottom w:val="nil"/>
              <w:right w:val="nil"/>
            </w:tcBorders>
            <w:shd w:val="clear" w:color="auto" w:fill="auto"/>
            <w:noWrap/>
            <w:vAlign w:val="bottom"/>
          </w:tcPr>
          <w:p w14:paraId="48B4FA53" w14:textId="07B65BAB" w:rsidR="006E20AC" w:rsidRDefault="006E20AC"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803 </w:t>
            </w:r>
          </w:p>
        </w:tc>
        <w:tc>
          <w:tcPr>
            <w:tcW w:w="1660" w:type="dxa"/>
            <w:tcBorders>
              <w:top w:val="nil"/>
              <w:left w:val="nil"/>
              <w:bottom w:val="nil"/>
              <w:right w:val="nil"/>
            </w:tcBorders>
            <w:shd w:val="clear" w:color="auto" w:fill="auto"/>
            <w:noWrap/>
            <w:vAlign w:val="bottom"/>
          </w:tcPr>
          <w:p w14:paraId="61F42282" w14:textId="70EC715C" w:rsidR="006E20AC" w:rsidRDefault="006E20AC"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796 </w:t>
            </w:r>
          </w:p>
        </w:tc>
      </w:tr>
      <w:tr w:rsidR="00473879" w:rsidRPr="005D3EDC" w14:paraId="011563F7" w14:textId="77777777" w:rsidTr="008320B4">
        <w:trPr>
          <w:trHeight w:val="248"/>
        </w:trPr>
        <w:tc>
          <w:tcPr>
            <w:tcW w:w="3263" w:type="dxa"/>
            <w:gridSpan w:val="2"/>
            <w:tcBorders>
              <w:top w:val="nil"/>
              <w:left w:val="nil"/>
              <w:bottom w:val="nil"/>
              <w:right w:val="nil"/>
            </w:tcBorders>
            <w:shd w:val="clear" w:color="auto" w:fill="auto"/>
            <w:noWrap/>
            <w:vAlign w:val="bottom"/>
          </w:tcPr>
          <w:p w14:paraId="746B9060" w14:textId="018164D0" w:rsidR="00473879" w:rsidRPr="005D3EDC" w:rsidRDefault="006E20AC"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Lease liabilities</w:t>
            </w:r>
          </w:p>
        </w:tc>
        <w:tc>
          <w:tcPr>
            <w:tcW w:w="258" w:type="dxa"/>
            <w:tcBorders>
              <w:top w:val="nil"/>
              <w:left w:val="nil"/>
              <w:bottom w:val="nil"/>
              <w:right w:val="nil"/>
            </w:tcBorders>
            <w:shd w:val="clear" w:color="auto" w:fill="auto"/>
            <w:noWrap/>
          </w:tcPr>
          <w:p w14:paraId="5D8EA18B" w14:textId="77777777" w:rsidR="00473879" w:rsidRPr="005D3EDC" w:rsidRDefault="00473879"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tcPr>
          <w:p w14:paraId="43D83646" w14:textId="77777777" w:rsidR="00473879" w:rsidRPr="005D3EDC" w:rsidRDefault="00473879"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58A70108" w14:textId="5C053057" w:rsidR="00473879" w:rsidRPr="006E20AC" w:rsidRDefault="006E20AC" w:rsidP="006E20AC">
            <w:pPr>
              <w:spacing w:after="0" w:line="240" w:lineRule="auto"/>
              <w:jc w:val="right"/>
              <w:rPr>
                <w:rFonts w:ascii="Arial" w:eastAsia="Times New Roman" w:hAnsi="Arial" w:cs="Arial"/>
                <w:sz w:val="15"/>
                <w:szCs w:val="15"/>
                <w:lang w:eastAsia="en-GB"/>
              </w:rPr>
            </w:pPr>
            <w:r w:rsidRPr="006E20AC">
              <w:rPr>
                <w:rFonts w:ascii="Arial" w:eastAsia="Times New Roman" w:hAnsi="Arial" w:cs="Arial"/>
                <w:sz w:val="15"/>
                <w:szCs w:val="15"/>
                <w:lang w:eastAsia="en-GB"/>
              </w:rPr>
              <w:t>9</w:t>
            </w:r>
          </w:p>
        </w:tc>
        <w:tc>
          <w:tcPr>
            <w:tcW w:w="2019" w:type="dxa"/>
            <w:tcBorders>
              <w:top w:val="nil"/>
              <w:left w:val="nil"/>
              <w:bottom w:val="nil"/>
              <w:right w:val="nil"/>
            </w:tcBorders>
            <w:shd w:val="clear" w:color="auto" w:fill="CCECFF"/>
            <w:noWrap/>
            <w:vAlign w:val="bottom"/>
          </w:tcPr>
          <w:p w14:paraId="19DF7570" w14:textId="0534D61F" w:rsidR="00473879" w:rsidRPr="005D3EDC" w:rsidRDefault="006E20AC"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1,158 </w:t>
            </w:r>
          </w:p>
        </w:tc>
        <w:tc>
          <w:tcPr>
            <w:tcW w:w="1660" w:type="dxa"/>
            <w:tcBorders>
              <w:top w:val="nil"/>
              <w:left w:val="nil"/>
              <w:bottom w:val="nil"/>
              <w:right w:val="nil"/>
            </w:tcBorders>
            <w:shd w:val="clear" w:color="auto" w:fill="auto"/>
            <w:noWrap/>
            <w:vAlign w:val="bottom"/>
          </w:tcPr>
          <w:p w14:paraId="2CA901E3" w14:textId="0F6C8210" w:rsidR="00473879" w:rsidRPr="005D3EDC" w:rsidRDefault="006E20AC"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1,265 </w:t>
            </w:r>
          </w:p>
        </w:tc>
        <w:tc>
          <w:tcPr>
            <w:tcW w:w="1660" w:type="dxa"/>
            <w:tcBorders>
              <w:top w:val="nil"/>
              <w:left w:val="nil"/>
              <w:bottom w:val="nil"/>
              <w:right w:val="nil"/>
            </w:tcBorders>
            <w:shd w:val="clear" w:color="auto" w:fill="auto"/>
            <w:noWrap/>
            <w:vAlign w:val="bottom"/>
          </w:tcPr>
          <w:p w14:paraId="6ABA1DC8" w14:textId="39ED7F4C" w:rsidR="00473879" w:rsidRPr="005D3EDC" w:rsidRDefault="006E20AC"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1,306 </w:t>
            </w:r>
          </w:p>
        </w:tc>
      </w:tr>
      <w:tr w:rsidR="005D3EDC" w:rsidRPr="005D3EDC" w14:paraId="34C3BD0A"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1CB81660"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Trade and other payables</w:t>
            </w:r>
          </w:p>
        </w:tc>
        <w:tc>
          <w:tcPr>
            <w:tcW w:w="258" w:type="dxa"/>
            <w:tcBorders>
              <w:top w:val="nil"/>
              <w:left w:val="nil"/>
              <w:bottom w:val="nil"/>
              <w:right w:val="nil"/>
            </w:tcBorders>
            <w:shd w:val="clear" w:color="auto" w:fill="auto"/>
            <w:noWrap/>
            <w:hideMark/>
          </w:tcPr>
          <w:p w14:paraId="5D3F14CD" w14:textId="77777777" w:rsidR="005D3EDC" w:rsidRPr="005D3EDC" w:rsidRDefault="005D3ED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hideMark/>
          </w:tcPr>
          <w:p w14:paraId="580DD197"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252E74E2"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0246D294"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38 </w:t>
            </w:r>
          </w:p>
        </w:tc>
        <w:tc>
          <w:tcPr>
            <w:tcW w:w="1660" w:type="dxa"/>
            <w:tcBorders>
              <w:top w:val="nil"/>
              <w:left w:val="nil"/>
              <w:bottom w:val="nil"/>
              <w:right w:val="nil"/>
            </w:tcBorders>
            <w:shd w:val="clear" w:color="auto" w:fill="auto"/>
            <w:noWrap/>
            <w:vAlign w:val="bottom"/>
            <w:hideMark/>
          </w:tcPr>
          <w:p w14:paraId="72092E63"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55 </w:t>
            </w:r>
          </w:p>
        </w:tc>
        <w:tc>
          <w:tcPr>
            <w:tcW w:w="1660" w:type="dxa"/>
            <w:tcBorders>
              <w:top w:val="nil"/>
              <w:left w:val="nil"/>
              <w:bottom w:val="nil"/>
              <w:right w:val="nil"/>
            </w:tcBorders>
            <w:shd w:val="clear" w:color="auto" w:fill="auto"/>
            <w:noWrap/>
            <w:vAlign w:val="bottom"/>
            <w:hideMark/>
          </w:tcPr>
          <w:p w14:paraId="654575C4"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44 </w:t>
            </w:r>
          </w:p>
        </w:tc>
      </w:tr>
      <w:tr w:rsidR="005D3EDC" w:rsidRPr="005D3EDC" w14:paraId="137300C2"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5438047E"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Contract liabilities (funeral plans)</w:t>
            </w:r>
          </w:p>
        </w:tc>
        <w:tc>
          <w:tcPr>
            <w:tcW w:w="258" w:type="dxa"/>
            <w:tcBorders>
              <w:top w:val="nil"/>
              <w:left w:val="nil"/>
              <w:bottom w:val="nil"/>
              <w:right w:val="nil"/>
            </w:tcBorders>
            <w:shd w:val="clear" w:color="auto" w:fill="auto"/>
            <w:noWrap/>
            <w:hideMark/>
          </w:tcPr>
          <w:p w14:paraId="04114A24" w14:textId="77777777" w:rsidR="005D3EDC" w:rsidRPr="005D3EDC" w:rsidRDefault="005D3ED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hideMark/>
          </w:tcPr>
          <w:p w14:paraId="2655FDED"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4BFB4570"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01A3B973"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1,575 </w:t>
            </w:r>
          </w:p>
        </w:tc>
        <w:tc>
          <w:tcPr>
            <w:tcW w:w="1660" w:type="dxa"/>
            <w:tcBorders>
              <w:top w:val="nil"/>
              <w:left w:val="nil"/>
              <w:bottom w:val="nil"/>
              <w:right w:val="nil"/>
            </w:tcBorders>
            <w:shd w:val="clear" w:color="auto" w:fill="auto"/>
            <w:noWrap/>
            <w:vAlign w:val="bottom"/>
            <w:hideMark/>
          </w:tcPr>
          <w:p w14:paraId="010E2981"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1,606 </w:t>
            </w:r>
          </w:p>
        </w:tc>
        <w:tc>
          <w:tcPr>
            <w:tcW w:w="1660" w:type="dxa"/>
            <w:tcBorders>
              <w:top w:val="nil"/>
              <w:left w:val="nil"/>
              <w:bottom w:val="nil"/>
              <w:right w:val="nil"/>
            </w:tcBorders>
            <w:shd w:val="clear" w:color="auto" w:fill="auto"/>
            <w:noWrap/>
            <w:vAlign w:val="bottom"/>
            <w:hideMark/>
          </w:tcPr>
          <w:p w14:paraId="175ADA3C"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1,614 </w:t>
            </w:r>
          </w:p>
        </w:tc>
      </w:tr>
      <w:tr w:rsidR="006E20AC" w:rsidRPr="005D3EDC" w14:paraId="5C8992C3" w14:textId="77777777" w:rsidTr="008320B4">
        <w:trPr>
          <w:trHeight w:val="248"/>
        </w:trPr>
        <w:tc>
          <w:tcPr>
            <w:tcW w:w="3263" w:type="dxa"/>
            <w:gridSpan w:val="2"/>
            <w:tcBorders>
              <w:top w:val="nil"/>
              <w:left w:val="nil"/>
              <w:bottom w:val="nil"/>
              <w:right w:val="nil"/>
            </w:tcBorders>
            <w:shd w:val="clear" w:color="auto" w:fill="auto"/>
            <w:noWrap/>
            <w:vAlign w:val="bottom"/>
          </w:tcPr>
          <w:p w14:paraId="0E171DCB" w14:textId="1763678F" w:rsidR="006E20AC" w:rsidRPr="005D3EDC" w:rsidRDefault="006E20AC"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Provisions</w:t>
            </w:r>
          </w:p>
        </w:tc>
        <w:tc>
          <w:tcPr>
            <w:tcW w:w="258" w:type="dxa"/>
            <w:tcBorders>
              <w:top w:val="nil"/>
              <w:left w:val="nil"/>
              <w:bottom w:val="nil"/>
              <w:right w:val="nil"/>
            </w:tcBorders>
            <w:shd w:val="clear" w:color="auto" w:fill="auto"/>
            <w:noWrap/>
          </w:tcPr>
          <w:p w14:paraId="27DEB93B" w14:textId="77777777" w:rsidR="006E20AC" w:rsidRPr="005D3EDC" w:rsidRDefault="006E20A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tcPr>
          <w:p w14:paraId="2674E706" w14:textId="77777777" w:rsidR="006E20AC" w:rsidRPr="005D3EDC" w:rsidRDefault="006E20A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6DCF9BCE" w14:textId="77777777" w:rsidR="006E20AC" w:rsidRPr="005D3EDC" w:rsidRDefault="006E20A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tcPr>
          <w:p w14:paraId="50992ABE" w14:textId="250AD316" w:rsidR="006E20AC" w:rsidRPr="005D3EDC" w:rsidRDefault="006E20AC"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82 </w:t>
            </w:r>
          </w:p>
        </w:tc>
        <w:tc>
          <w:tcPr>
            <w:tcW w:w="1660" w:type="dxa"/>
            <w:tcBorders>
              <w:top w:val="nil"/>
              <w:left w:val="nil"/>
              <w:bottom w:val="nil"/>
              <w:right w:val="nil"/>
            </w:tcBorders>
            <w:shd w:val="clear" w:color="auto" w:fill="auto"/>
            <w:noWrap/>
            <w:vAlign w:val="bottom"/>
          </w:tcPr>
          <w:p w14:paraId="1F098D12" w14:textId="50F6762C" w:rsidR="006E20AC" w:rsidRPr="005D3EDC" w:rsidRDefault="006E20AC"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96 </w:t>
            </w:r>
          </w:p>
        </w:tc>
        <w:tc>
          <w:tcPr>
            <w:tcW w:w="1660" w:type="dxa"/>
            <w:tcBorders>
              <w:top w:val="nil"/>
              <w:left w:val="nil"/>
              <w:bottom w:val="nil"/>
              <w:right w:val="nil"/>
            </w:tcBorders>
            <w:shd w:val="clear" w:color="auto" w:fill="auto"/>
            <w:noWrap/>
            <w:vAlign w:val="bottom"/>
          </w:tcPr>
          <w:p w14:paraId="4C75C168" w14:textId="08CFF4E4" w:rsidR="006E20AC" w:rsidRPr="005D3EDC" w:rsidRDefault="006E20AC"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74 </w:t>
            </w:r>
          </w:p>
        </w:tc>
      </w:tr>
      <w:tr w:rsidR="006E20AC" w:rsidRPr="005D3EDC" w14:paraId="306D5110" w14:textId="77777777" w:rsidTr="008320B4">
        <w:trPr>
          <w:trHeight w:val="248"/>
        </w:trPr>
        <w:tc>
          <w:tcPr>
            <w:tcW w:w="3263" w:type="dxa"/>
            <w:gridSpan w:val="2"/>
            <w:tcBorders>
              <w:top w:val="nil"/>
              <w:left w:val="nil"/>
              <w:bottom w:val="nil"/>
              <w:right w:val="nil"/>
            </w:tcBorders>
            <w:shd w:val="clear" w:color="auto" w:fill="auto"/>
            <w:noWrap/>
            <w:vAlign w:val="bottom"/>
          </w:tcPr>
          <w:p w14:paraId="5DCAE9BA" w14:textId="50703FE3" w:rsidR="006E20AC" w:rsidRDefault="006E20AC"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Derivatives</w:t>
            </w:r>
          </w:p>
        </w:tc>
        <w:tc>
          <w:tcPr>
            <w:tcW w:w="258" w:type="dxa"/>
            <w:tcBorders>
              <w:top w:val="nil"/>
              <w:left w:val="nil"/>
              <w:bottom w:val="nil"/>
              <w:right w:val="nil"/>
            </w:tcBorders>
            <w:shd w:val="clear" w:color="auto" w:fill="auto"/>
            <w:noWrap/>
          </w:tcPr>
          <w:p w14:paraId="4C757DBB" w14:textId="77777777" w:rsidR="006E20AC" w:rsidRPr="005D3EDC" w:rsidRDefault="006E20A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tcPr>
          <w:p w14:paraId="52653DC2" w14:textId="77777777" w:rsidR="006E20AC" w:rsidRPr="005D3EDC" w:rsidRDefault="006E20A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10FF189E" w14:textId="77777777" w:rsidR="006E20AC" w:rsidRPr="005D3EDC" w:rsidRDefault="006E20A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tcPr>
          <w:p w14:paraId="25601069" w14:textId="77EE3C8C" w:rsidR="006E20AC" w:rsidRDefault="006E20AC"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9 </w:t>
            </w:r>
          </w:p>
        </w:tc>
        <w:tc>
          <w:tcPr>
            <w:tcW w:w="1660" w:type="dxa"/>
            <w:tcBorders>
              <w:top w:val="nil"/>
              <w:left w:val="nil"/>
              <w:bottom w:val="nil"/>
              <w:right w:val="nil"/>
            </w:tcBorders>
            <w:shd w:val="clear" w:color="auto" w:fill="auto"/>
            <w:noWrap/>
            <w:vAlign w:val="bottom"/>
          </w:tcPr>
          <w:p w14:paraId="716249A8" w14:textId="51B7C5EC" w:rsidR="006E20AC" w:rsidRDefault="006E20AC"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1 </w:t>
            </w:r>
          </w:p>
        </w:tc>
        <w:tc>
          <w:tcPr>
            <w:tcW w:w="1660" w:type="dxa"/>
            <w:tcBorders>
              <w:top w:val="nil"/>
              <w:left w:val="nil"/>
              <w:bottom w:val="nil"/>
              <w:right w:val="nil"/>
            </w:tcBorders>
            <w:shd w:val="clear" w:color="auto" w:fill="auto"/>
            <w:noWrap/>
            <w:vAlign w:val="bottom"/>
          </w:tcPr>
          <w:p w14:paraId="62B0B71A" w14:textId="7454E387" w:rsidR="006E20AC" w:rsidRDefault="006E20AC"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2 </w:t>
            </w:r>
          </w:p>
        </w:tc>
      </w:tr>
      <w:tr w:rsidR="006E20AC" w:rsidRPr="005D3EDC" w14:paraId="3225F3F9" w14:textId="77777777" w:rsidTr="008320B4">
        <w:trPr>
          <w:trHeight w:val="248"/>
        </w:trPr>
        <w:tc>
          <w:tcPr>
            <w:tcW w:w="3263" w:type="dxa"/>
            <w:gridSpan w:val="2"/>
            <w:tcBorders>
              <w:top w:val="nil"/>
              <w:left w:val="nil"/>
              <w:bottom w:val="nil"/>
              <w:right w:val="nil"/>
            </w:tcBorders>
            <w:shd w:val="clear" w:color="auto" w:fill="auto"/>
            <w:noWrap/>
            <w:vAlign w:val="bottom"/>
          </w:tcPr>
          <w:p w14:paraId="0BEFFDFE" w14:textId="2C0379AD" w:rsidR="006E20AC" w:rsidRDefault="006E20AC"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Pension liabilities</w:t>
            </w:r>
          </w:p>
        </w:tc>
        <w:tc>
          <w:tcPr>
            <w:tcW w:w="258" w:type="dxa"/>
            <w:tcBorders>
              <w:top w:val="nil"/>
              <w:left w:val="nil"/>
              <w:bottom w:val="nil"/>
              <w:right w:val="nil"/>
            </w:tcBorders>
            <w:shd w:val="clear" w:color="auto" w:fill="auto"/>
            <w:noWrap/>
          </w:tcPr>
          <w:p w14:paraId="10EFB30C" w14:textId="77777777" w:rsidR="006E20AC" w:rsidRPr="005D3EDC" w:rsidRDefault="006E20A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tcPr>
          <w:p w14:paraId="56B4888F" w14:textId="77777777" w:rsidR="006E20AC" w:rsidRPr="005D3EDC" w:rsidRDefault="006E20A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66E7AE70" w14:textId="46649E30" w:rsidR="006E20AC" w:rsidRPr="00583692" w:rsidRDefault="00583692" w:rsidP="00583692">
            <w:pPr>
              <w:spacing w:after="0" w:line="240" w:lineRule="auto"/>
              <w:jc w:val="right"/>
              <w:rPr>
                <w:rFonts w:ascii="Arial" w:eastAsia="Times New Roman" w:hAnsi="Arial" w:cs="Arial"/>
                <w:sz w:val="15"/>
                <w:szCs w:val="15"/>
                <w:lang w:eastAsia="en-GB"/>
              </w:rPr>
            </w:pPr>
            <w:r w:rsidRPr="00583692">
              <w:rPr>
                <w:rFonts w:ascii="Arial" w:eastAsia="Times New Roman" w:hAnsi="Arial" w:cs="Arial"/>
                <w:sz w:val="15"/>
                <w:szCs w:val="15"/>
                <w:lang w:eastAsia="en-GB"/>
              </w:rPr>
              <w:t>7</w:t>
            </w:r>
          </w:p>
        </w:tc>
        <w:tc>
          <w:tcPr>
            <w:tcW w:w="2019" w:type="dxa"/>
            <w:tcBorders>
              <w:top w:val="nil"/>
              <w:left w:val="nil"/>
              <w:bottom w:val="nil"/>
              <w:right w:val="nil"/>
            </w:tcBorders>
            <w:shd w:val="clear" w:color="auto" w:fill="CCECFF"/>
            <w:noWrap/>
            <w:vAlign w:val="bottom"/>
          </w:tcPr>
          <w:p w14:paraId="611BEC61" w14:textId="595A1177" w:rsidR="006E20AC" w:rsidRDefault="00583692"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4 </w:t>
            </w:r>
          </w:p>
        </w:tc>
        <w:tc>
          <w:tcPr>
            <w:tcW w:w="1660" w:type="dxa"/>
            <w:tcBorders>
              <w:top w:val="nil"/>
              <w:left w:val="nil"/>
              <w:bottom w:val="nil"/>
              <w:right w:val="nil"/>
            </w:tcBorders>
            <w:shd w:val="clear" w:color="auto" w:fill="auto"/>
            <w:noWrap/>
            <w:vAlign w:val="bottom"/>
          </w:tcPr>
          <w:p w14:paraId="07484272" w14:textId="72E7C3DB" w:rsidR="006E20AC" w:rsidRDefault="00583692"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13 </w:t>
            </w:r>
          </w:p>
        </w:tc>
        <w:tc>
          <w:tcPr>
            <w:tcW w:w="1660" w:type="dxa"/>
            <w:tcBorders>
              <w:top w:val="nil"/>
              <w:left w:val="nil"/>
              <w:bottom w:val="nil"/>
              <w:right w:val="nil"/>
            </w:tcBorders>
            <w:shd w:val="clear" w:color="auto" w:fill="auto"/>
            <w:noWrap/>
            <w:vAlign w:val="bottom"/>
          </w:tcPr>
          <w:p w14:paraId="7A29D6E4" w14:textId="1770B66A" w:rsidR="006E20AC" w:rsidRDefault="00583692"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4 </w:t>
            </w:r>
          </w:p>
        </w:tc>
      </w:tr>
      <w:tr w:rsidR="00583692" w:rsidRPr="005D3EDC" w14:paraId="0037AC61" w14:textId="77777777" w:rsidTr="008320B4">
        <w:trPr>
          <w:trHeight w:val="248"/>
        </w:trPr>
        <w:tc>
          <w:tcPr>
            <w:tcW w:w="3263" w:type="dxa"/>
            <w:gridSpan w:val="2"/>
            <w:tcBorders>
              <w:top w:val="nil"/>
              <w:left w:val="nil"/>
              <w:bottom w:val="nil"/>
              <w:right w:val="nil"/>
            </w:tcBorders>
            <w:shd w:val="clear" w:color="auto" w:fill="auto"/>
            <w:noWrap/>
            <w:vAlign w:val="bottom"/>
          </w:tcPr>
          <w:p w14:paraId="792019A5" w14:textId="0D5BD936" w:rsidR="00583692" w:rsidRDefault="00583692"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Deferred tax liabilities</w:t>
            </w:r>
          </w:p>
        </w:tc>
        <w:tc>
          <w:tcPr>
            <w:tcW w:w="258" w:type="dxa"/>
            <w:tcBorders>
              <w:top w:val="nil"/>
              <w:left w:val="nil"/>
              <w:bottom w:val="nil"/>
              <w:right w:val="nil"/>
            </w:tcBorders>
            <w:shd w:val="clear" w:color="auto" w:fill="auto"/>
            <w:noWrap/>
          </w:tcPr>
          <w:p w14:paraId="5F84B691" w14:textId="77777777" w:rsidR="00583692" w:rsidRPr="005D3EDC" w:rsidRDefault="00583692"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tcPr>
          <w:p w14:paraId="015CBA9C" w14:textId="77777777" w:rsidR="00583692" w:rsidRPr="005D3EDC" w:rsidRDefault="00583692"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5D6FB5A8" w14:textId="17A8A50A" w:rsidR="00583692" w:rsidRPr="00583692" w:rsidRDefault="00583692" w:rsidP="00583692">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5</w:t>
            </w:r>
          </w:p>
        </w:tc>
        <w:tc>
          <w:tcPr>
            <w:tcW w:w="2019" w:type="dxa"/>
            <w:tcBorders>
              <w:top w:val="nil"/>
              <w:left w:val="nil"/>
              <w:bottom w:val="nil"/>
              <w:right w:val="nil"/>
            </w:tcBorders>
            <w:shd w:val="clear" w:color="auto" w:fill="CCECFF"/>
            <w:noWrap/>
            <w:vAlign w:val="bottom"/>
          </w:tcPr>
          <w:p w14:paraId="2198D6B6" w14:textId="4DE030A5" w:rsidR="00583692" w:rsidRDefault="00583692"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397 </w:t>
            </w:r>
          </w:p>
        </w:tc>
        <w:tc>
          <w:tcPr>
            <w:tcW w:w="1660" w:type="dxa"/>
            <w:tcBorders>
              <w:top w:val="nil"/>
              <w:left w:val="nil"/>
              <w:bottom w:val="nil"/>
              <w:right w:val="nil"/>
            </w:tcBorders>
            <w:shd w:val="clear" w:color="auto" w:fill="auto"/>
            <w:noWrap/>
            <w:vAlign w:val="bottom"/>
          </w:tcPr>
          <w:p w14:paraId="7F71B98A" w14:textId="71C34260" w:rsidR="00583692" w:rsidRDefault="00583692"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185 </w:t>
            </w:r>
          </w:p>
        </w:tc>
        <w:tc>
          <w:tcPr>
            <w:tcW w:w="1660" w:type="dxa"/>
            <w:tcBorders>
              <w:top w:val="nil"/>
              <w:left w:val="nil"/>
              <w:bottom w:val="nil"/>
              <w:right w:val="nil"/>
            </w:tcBorders>
            <w:shd w:val="clear" w:color="auto" w:fill="auto"/>
            <w:noWrap/>
            <w:vAlign w:val="bottom"/>
          </w:tcPr>
          <w:p w14:paraId="48E7D087" w14:textId="6BC36433" w:rsidR="00583692" w:rsidRDefault="00583692"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314 </w:t>
            </w:r>
          </w:p>
        </w:tc>
      </w:tr>
      <w:tr w:rsidR="005D3EDC" w:rsidRPr="005D3EDC" w14:paraId="3B16599B" w14:textId="77777777" w:rsidTr="008320B4">
        <w:trPr>
          <w:trHeight w:val="248"/>
        </w:trPr>
        <w:tc>
          <w:tcPr>
            <w:tcW w:w="3263" w:type="dxa"/>
            <w:gridSpan w:val="2"/>
            <w:tcBorders>
              <w:top w:val="single" w:sz="4" w:space="0" w:color="BFBFBF"/>
              <w:left w:val="nil"/>
              <w:bottom w:val="single" w:sz="4" w:space="0" w:color="BFBFBF"/>
              <w:right w:val="nil"/>
            </w:tcBorders>
            <w:shd w:val="clear" w:color="auto" w:fill="auto"/>
            <w:noWrap/>
            <w:vAlign w:val="bottom"/>
            <w:hideMark/>
          </w:tcPr>
          <w:p w14:paraId="26DC812B"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Total non-current liabilities</w:t>
            </w:r>
          </w:p>
        </w:tc>
        <w:tc>
          <w:tcPr>
            <w:tcW w:w="258" w:type="dxa"/>
            <w:tcBorders>
              <w:top w:val="single" w:sz="4" w:space="0" w:color="BFBFBF"/>
              <w:left w:val="nil"/>
              <w:bottom w:val="single" w:sz="4" w:space="0" w:color="BFBFBF"/>
              <w:right w:val="nil"/>
            </w:tcBorders>
            <w:shd w:val="clear" w:color="auto" w:fill="auto"/>
            <w:noWrap/>
            <w:vAlign w:val="bottom"/>
            <w:hideMark/>
          </w:tcPr>
          <w:p w14:paraId="74542769"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single" w:sz="4" w:space="0" w:color="BFBFBF"/>
              <w:left w:val="nil"/>
              <w:bottom w:val="single" w:sz="4" w:space="0" w:color="BFBFBF"/>
              <w:right w:val="nil"/>
            </w:tcBorders>
            <w:shd w:val="clear" w:color="auto" w:fill="auto"/>
            <w:noWrap/>
            <w:vAlign w:val="bottom"/>
            <w:hideMark/>
          </w:tcPr>
          <w:p w14:paraId="5B78CA59"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1324" w:type="dxa"/>
            <w:tcBorders>
              <w:top w:val="single" w:sz="4" w:space="0" w:color="BFBFBF"/>
              <w:left w:val="nil"/>
              <w:bottom w:val="single" w:sz="4" w:space="0" w:color="BFBFBF"/>
              <w:right w:val="nil"/>
            </w:tcBorders>
            <w:shd w:val="clear" w:color="auto" w:fill="auto"/>
            <w:noWrap/>
            <w:vAlign w:val="bottom"/>
            <w:hideMark/>
          </w:tcPr>
          <w:p w14:paraId="43F7A50E"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019" w:type="dxa"/>
            <w:tcBorders>
              <w:top w:val="single" w:sz="4" w:space="0" w:color="BFBFBF"/>
              <w:left w:val="nil"/>
              <w:bottom w:val="single" w:sz="4" w:space="0" w:color="BFBFBF"/>
              <w:right w:val="nil"/>
            </w:tcBorders>
            <w:shd w:val="clear" w:color="auto" w:fill="CCECFF"/>
            <w:noWrap/>
            <w:vAlign w:val="bottom"/>
            <w:hideMark/>
          </w:tcPr>
          <w:p w14:paraId="0E83D312"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4,028 </w:t>
            </w:r>
          </w:p>
        </w:tc>
        <w:tc>
          <w:tcPr>
            <w:tcW w:w="1660" w:type="dxa"/>
            <w:tcBorders>
              <w:top w:val="single" w:sz="4" w:space="0" w:color="BFBFBF"/>
              <w:left w:val="nil"/>
              <w:bottom w:val="single" w:sz="4" w:space="0" w:color="BFBFBF"/>
              <w:right w:val="nil"/>
            </w:tcBorders>
            <w:shd w:val="clear" w:color="auto" w:fill="auto"/>
            <w:noWrap/>
            <w:vAlign w:val="bottom"/>
            <w:hideMark/>
          </w:tcPr>
          <w:p w14:paraId="724509DD"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4,024 </w:t>
            </w:r>
          </w:p>
        </w:tc>
        <w:tc>
          <w:tcPr>
            <w:tcW w:w="1660" w:type="dxa"/>
            <w:tcBorders>
              <w:top w:val="single" w:sz="4" w:space="0" w:color="BFBFBF"/>
              <w:left w:val="nil"/>
              <w:bottom w:val="single" w:sz="4" w:space="0" w:color="BFBFBF"/>
              <w:right w:val="nil"/>
            </w:tcBorders>
            <w:shd w:val="clear" w:color="auto" w:fill="auto"/>
            <w:noWrap/>
            <w:vAlign w:val="bottom"/>
            <w:hideMark/>
          </w:tcPr>
          <w:p w14:paraId="5D98698E"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4,154 </w:t>
            </w:r>
          </w:p>
        </w:tc>
      </w:tr>
      <w:tr w:rsidR="005D3EDC" w:rsidRPr="005D3EDC" w14:paraId="3B0AE99B" w14:textId="77777777" w:rsidTr="008320B4">
        <w:trPr>
          <w:trHeight w:val="248"/>
        </w:trPr>
        <w:tc>
          <w:tcPr>
            <w:tcW w:w="3005" w:type="dxa"/>
            <w:tcBorders>
              <w:top w:val="nil"/>
              <w:left w:val="nil"/>
              <w:bottom w:val="nil"/>
              <w:right w:val="nil"/>
            </w:tcBorders>
            <w:shd w:val="clear" w:color="auto" w:fill="auto"/>
            <w:noWrap/>
            <w:vAlign w:val="bottom"/>
            <w:hideMark/>
          </w:tcPr>
          <w:p w14:paraId="63787429"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Current liabilities</w:t>
            </w:r>
          </w:p>
        </w:tc>
        <w:tc>
          <w:tcPr>
            <w:tcW w:w="258" w:type="dxa"/>
            <w:tcBorders>
              <w:top w:val="nil"/>
              <w:left w:val="nil"/>
              <w:bottom w:val="nil"/>
              <w:right w:val="nil"/>
            </w:tcBorders>
            <w:shd w:val="clear" w:color="auto" w:fill="auto"/>
            <w:noWrap/>
            <w:vAlign w:val="bottom"/>
            <w:hideMark/>
          </w:tcPr>
          <w:p w14:paraId="1F0D3578" w14:textId="77777777" w:rsidR="005D3EDC" w:rsidRPr="005D3EDC" w:rsidRDefault="005D3EDC" w:rsidP="005D3EDC">
            <w:pPr>
              <w:spacing w:after="0" w:line="240" w:lineRule="auto"/>
              <w:rPr>
                <w:rFonts w:ascii="Arial" w:eastAsia="Times New Roman" w:hAnsi="Arial" w:cs="Arial"/>
                <w:b/>
                <w:bCs/>
                <w:sz w:val="15"/>
                <w:szCs w:val="15"/>
                <w:lang w:eastAsia="en-GB"/>
              </w:rPr>
            </w:pPr>
          </w:p>
        </w:tc>
        <w:tc>
          <w:tcPr>
            <w:tcW w:w="258" w:type="dxa"/>
            <w:tcBorders>
              <w:top w:val="nil"/>
              <w:left w:val="nil"/>
              <w:bottom w:val="nil"/>
              <w:right w:val="nil"/>
            </w:tcBorders>
            <w:shd w:val="clear" w:color="auto" w:fill="auto"/>
            <w:noWrap/>
            <w:vAlign w:val="bottom"/>
            <w:hideMark/>
          </w:tcPr>
          <w:p w14:paraId="58C8F7A3"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58" w:type="dxa"/>
            <w:tcBorders>
              <w:top w:val="nil"/>
              <w:left w:val="nil"/>
              <w:bottom w:val="nil"/>
              <w:right w:val="nil"/>
            </w:tcBorders>
            <w:shd w:val="clear" w:color="auto" w:fill="auto"/>
            <w:noWrap/>
            <w:vAlign w:val="bottom"/>
            <w:hideMark/>
          </w:tcPr>
          <w:p w14:paraId="30D10726"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5E0C1BF6"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1199A06F"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w:t>
            </w:r>
          </w:p>
        </w:tc>
        <w:tc>
          <w:tcPr>
            <w:tcW w:w="1660" w:type="dxa"/>
            <w:tcBorders>
              <w:top w:val="nil"/>
              <w:left w:val="nil"/>
              <w:bottom w:val="nil"/>
              <w:right w:val="nil"/>
            </w:tcBorders>
            <w:shd w:val="clear" w:color="auto" w:fill="auto"/>
            <w:noWrap/>
            <w:vAlign w:val="bottom"/>
            <w:hideMark/>
          </w:tcPr>
          <w:p w14:paraId="4DAC83A9" w14:textId="77777777" w:rsidR="005D3EDC" w:rsidRPr="005D3EDC" w:rsidRDefault="005D3EDC" w:rsidP="005D3EDC">
            <w:pPr>
              <w:spacing w:after="0" w:line="240" w:lineRule="auto"/>
              <w:rPr>
                <w:rFonts w:ascii="Arial" w:eastAsia="Times New Roman" w:hAnsi="Arial" w:cs="Arial"/>
                <w:b/>
                <w:bCs/>
                <w:sz w:val="15"/>
                <w:szCs w:val="15"/>
                <w:lang w:eastAsia="en-GB"/>
              </w:rPr>
            </w:pPr>
          </w:p>
        </w:tc>
        <w:tc>
          <w:tcPr>
            <w:tcW w:w="1660" w:type="dxa"/>
            <w:tcBorders>
              <w:top w:val="nil"/>
              <w:left w:val="nil"/>
              <w:bottom w:val="nil"/>
              <w:right w:val="nil"/>
            </w:tcBorders>
            <w:shd w:val="clear" w:color="auto" w:fill="auto"/>
            <w:noWrap/>
            <w:vAlign w:val="bottom"/>
            <w:hideMark/>
          </w:tcPr>
          <w:p w14:paraId="6E43D337"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r>
      <w:tr w:rsidR="000B3547" w:rsidRPr="005D3EDC" w14:paraId="1883C37C" w14:textId="77777777" w:rsidTr="008320B4">
        <w:trPr>
          <w:trHeight w:val="248"/>
        </w:trPr>
        <w:tc>
          <w:tcPr>
            <w:tcW w:w="3263" w:type="dxa"/>
            <w:gridSpan w:val="2"/>
            <w:tcBorders>
              <w:top w:val="nil"/>
              <w:left w:val="nil"/>
              <w:bottom w:val="nil"/>
              <w:right w:val="nil"/>
            </w:tcBorders>
            <w:shd w:val="clear" w:color="auto" w:fill="auto"/>
            <w:noWrap/>
            <w:vAlign w:val="bottom"/>
          </w:tcPr>
          <w:p w14:paraId="311D197C" w14:textId="5DAEB000" w:rsidR="000B3547" w:rsidRDefault="000B3547"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Overdrafts</w:t>
            </w:r>
          </w:p>
        </w:tc>
        <w:tc>
          <w:tcPr>
            <w:tcW w:w="258" w:type="dxa"/>
            <w:tcBorders>
              <w:top w:val="nil"/>
              <w:left w:val="nil"/>
              <w:bottom w:val="nil"/>
              <w:right w:val="nil"/>
            </w:tcBorders>
            <w:shd w:val="clear" w:color="auto" w:fill="auto"/>
            <w:noWrap/>
            <w:vAlign w:val="bottom"/>
          </w:tcPr>
          <w:p w14:paraId="4467793F" w14:textId="77777777" w:rsidR="000B3547" w:rsidRPr="005D3EDC" w:rsidRDefault="000B3547"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tcPr>
          <w:p w14:paraId="50A33F80" w14:textId="77777777" w:rsidR="000B3547" w:rsidRPr="005D3EDC" w:rsidRDefault="000B3547"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21C7F4A2" w14:textId="77777777" w:rsidR="000B3547" w:rsidRDefault="000B3547" w:rsidP="00583692">
            <w:pPr>
              <w:spacing w:after="0" w:line="240" w:lineRule="auto"/>
              <w:jc w:val="right"/>
              <w:rPr>
                <w:rFonts w:ascii="Arial" w:eastAsia="Times New Roman" w:hAnsi="Arial" w:cs="Arial"/>
                <w:sz w:val="15"/>
                <w:szCs w:val="15"/>
                <w:lang w:eastAsia="en-GB"/>
              </w:rPr>
            </w:pPr>
          </w:p>
        </w:tc>
        <w:tc>
          <w:tcPr>
            <w:tcW w:w="2019" w:type="dxa"/>
            <w:tcBorders>
              <w:top w:val="nil"/>
              <w:left w:val="nil"/>
              <w:bottom w:val="nil"/>
              <w:right w:val="nil"/>
            </w:tcBorders>
            <w:shd w:val="clear" w:color="auto" w:fill="CCECFF"/>
            <w:noWrap/>
            <w:vAlign w:val="bottom"/>
          </w:tcPr>
          <w:p w14:paraId="0F00AA3F" w14:textId="08BB800D" w:rsidR="000B3547" w:rsidRDefault="0099422F"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 </w:t>
            </w:r>
          </w:p>
        </w:tc>
        <w:tc>
          <w:tcPr>
            <w:tcW w:w="1660" w:type="dxa"/>
            <w:tcBorders>
              <w:top w:val="nil"/>
              <w:left w:val="nil"/>
              <w:bottom w:val="nil"/>
              <w:right w:val="nil"/>
            </w:tcBorders>
            <w:shd w:val="clear" w:color="auto" w:fill="auto"/>
            <w:noWrap/>
            <w:vAlign w:val="bottom"/>
          </w:tcPr>
          <w:p w14:paraId="278FD9A0" w14:textId="36AC0197" w:rsidR="000B3547" w:rsidRDefault="0099422F"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 </w:t>
            </w:r>
          </w:p>
        </w:tc>
        <w:tc>
          <w:tcPr>
            <w:tcW w:w="1660" w:type="dxa"/>
            <w:tcBorders>
              <w:top w:val="nil"/>
              <w:left w:val="nil"/>
              <w:bottom w:val="nil"/>
              <w:right w:val="nil"/>
            </w:tcBorders>
            <w:shd w:val="clear" w:color="auto" w:fill="auto"/>
            <w:noWrap/>
            <w:vAlign w:val="bottom"/>
          </w:tcPr>
          <w:p w14:paraId="549CA571" w14:textId="468447E7" w:rsidR="000B3547" w:rsidRDefault="0099422F"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4 </w:t>
            </w:r>
          </w:p>
        </w:tc>
      </w:tr>
      <w:tr w:rsidR="00583692" w:rsidRPr="005D3EDC" w14:paraId="441D5B5A" w14:textId="77777777" w:rsidTr="008320B4">
        <w:trPr>
          <w:trHeight w:val="248"/>
        </w:trPr>
        <w:tc>
          <w:tcPr>
            <w:tcW w:w="3263" w:type="dxa"/>
            <w:gridSpan w:val="2"/>
            <w:tcBorders>
              <w:top w:val="nil"/>
              <w:left w:val="nil"/>
              <w:bottom w:val="nil"/>
              <w:right w:val="nil"/>
            </w:tcBorders>
            <w:shd w:val="clear" w:color="auto" w:fill="auto"/>
            <w:noWrap/>
            <w:vAlign w:val="bottom"/>
          </w:tcPr>
          <w:p w14:paraId="350DDB71" w14:textId="44086EC9" w:rsidR="00583692" w:rsidRDefault="000B3547"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Interest-bearing loans and borrowings</w:t>
            </w:r>
          </w:p>
        </w:tc>
        <w:tc>
          <w:tcPr>
            <w:tcW w:w="258" w:type="dxa"/>
            <w:tcBorders>
              <w:top w:val="nil"/>
              <w:left w:val="nil"/>
              <w:bottom w:val="nil"/>
              <w:right w:val="nil"/>
            </w:tcBorders>
            <w:shd w:val="clear" w:color="auto" w:fill="auto"/>
            <w:noWrap/>
            <w:vAlign w:val="bottom"/>
          </w:tcPr>
          <w:p w14:paraId="6FA860F4" w14:textId="77777777" w:rsidR="00583692" w:rsidRPr="005D3EDC" w:rsidRDefault="00583692"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tcPr>
          <w:p w14:paraId="299C67DA" w14:textId="77777777" w:rsidR="00583692" w:rsidRPr="005D3EDC" w:rsidRDefault="00583692"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7048EFBB" w14:textId="128EF130" w:rsidR="00583692" w:rsidRPr="00583692" w:rsidRDefault="000B3547" w:rsidP="00583692">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9</w:t>
            </w:r>
          </w:p>
        </w:tc>
        <w:tc>
          <w:tcPr>
            <w:tcW w:w="2019" w:type="dxa"/>
            <w:tcBorders>
              <w:top w:val="nil"/>
              <w:left w:val="nil"/>
              <w:bottom w:val="nil"/>
              <w:right w:val="nil"/>
            </w:tcBorders>
            <w:shd w:val="clear" w:color="auto" w:fill="CCECFF"/>
            <w:noWrap/>
            <w:vAlign w:val="bottom"/>
          </w:tcPr>
          <w:p w14:paraId="3921DB76" w14:textId="3196789E" w:rsidR="00583692" w:rsidRDefault="000B3547"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74 </w:t>
            </w:r>
          </w:p>
        </w:tc>
        <w:tc>
          <w:tcPr>
            <w:tcW w:w="1660" w:type="dxa"/>
            <w:tcBorders>
              <w:top w:val="nil"/>
              <w:left w:val="nil"/>
              <w:bottom w:val="nil"/>
              <w:right w:val="nil"/>
            </w:tcBorders>
            <w:shd w:val="clear" w:color="auto" w:fill="auto"/>
            <w:noWrap/>
            <w:vAlign w:val="bottom"/>
          </w:tcPr>
          <w:p w14:paraId="62ED0187" w14:textId="404C9CCC" w:rsidR="00583692" w:rsidRDefault="000B3547"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39 </w:t>
            </w:r>
          </w:p>
        </w:tc>
        <w:tc>
          <w:tcPr>
            <w:tcW w:w="1660" w:type="dxa"/>
            <w:tcBorders>
              <w:top w:val="nil"/>
              <w:left w:val="nil"/>
              <w:bottom w:val="nil"/>
              <w:right w:val="nil"/>
            </w:tcBorders>
            <w:shd w:val="clear" w:color="auto" w:fill="auto"/>
            <w:noWrap/>
            <w:vAlign w:val="bottom"/>
          </w:tcPr>
          <w:p w14:paraId="396072B5" w14:textId="7FB86469" w:rsidR="00583692" w:rsidRDefault="000B3547"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180 </w:t>
            </w:r>
          </w:p>
        </w:tc>
      </w:tr>
      <w:tr w:rsidR="00583692" w:rsidRPr="005D3EDC" w14:paraId="4248F550" w14:textId="77777777" w:rsidTr="008320B4">
        <w:trPr>
          <w:trHeight w:val="248"/>
        </w:trPr>
        <w:tc>
          <w:tcPr>
            <w:tcW w:w="3263" w:type="dxa"/>
            <w:gridSpan w:val="2"/>
            <w:tcBorders>
              <w:top w:val="nil"/>
              <w:left w:val="nil"/>
              <w:bottom w:val="nil"/>
              <w:right w:val="nil"/>
            </w:tcBorders>
            <w:shd w:val="clear" w:color="auto" w:fill="auto"/>
            <w:noWrap/>
            <w:vAlign w:val="bottom"/>
          </w:tcPr>
          <w:p w14:paraId="7A327563" w14:textId="1BB9AF9F" w:rsidR="00583692" w:rsidRPr="005D3EDC" w:rsidRDefault="00583692"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Lease liabilities</w:t>
            </w:r>
          </w:p>
        </w:tc>
        <w:tc>
          <w:tcPr>
            <w:tcW w:w="258" w:type="dxa"/>
            <w:tcBorders>
              <w:top w:val="nil"/>
              <w:left w:val="nil"/>
              <w:bottom w:val="nil"/>
              <w:right w:val="nil"/>
            </w:tcBorders>
            <w:shd w:val="clear" w:color="auto" w:fill="auto"/>
            <w:noWrap/>
            <w:vAlign w:val="bottom"/>
          </w:tcPr>
          <w:p w14:paraId="7CCE48DA" w14:textId="77777777" w:rsidR="00583692" w:rsidRPr="005D3EDC" w:rsidRDefault="00583692"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tcPr>
          <w:p w14:paraId="10CDD6FF" w14:textId="77777777" w:rsidR="00583692" w:rsidRPr="005D3EDC" w:rsidRDefault="00583692"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43BDBB98" w14:textId="3D932B06" w:rsidR="00583692" w:rsidRPr="00583692" w:rsidRDefault="00583692" w:rsidP="00583692">
            <w:pPr>
              <w:spacing w:after="0" w:line="240" w:lineRule="auto"/>
              <w:jc w:val="right"/>
              <w:rPr>
                <w:rFonts w:ascii="Arial" w:eastAsia="Times New Roman" w:hAnsi="Arial" w:cs="Arial"/>
                <w:sz w:val="15"/>
                <w:szCs w:val="15"/>
                <w:lang w:eastAsia="en-GB"/>
              </w:rPr>
            </w:pPr>
            <w:r w:rsidRPr="00583692">
              <w:rPr>
                <w:rFonts w:ascii="Arial" w:eastAsia="Times New Roman" w:hAnsi="Arial" w:cs="Arial"/>
                <w:sz w:val="15"/>
                <w:szCs w:val="15"/>
                <w:lang w:eastAsia="en-GB"/>
              </w:rPr>
              <w:t>9</w:t>
            </w:r>
          </w:p>
        </w:tc>
        <w:tc>
          <w:tcPr>
            <w:tcW w:w="2019" w:type="dxa"/>
            <w:tcBorders>
              <w:top w:val="nil"/>
              <w:left w:val="nil"/>
              <w:bottom w:val="nil"/>
              <w:right w:val="nil"/>
            </w:tcBorders>
            <w:shd w:val="clear" w:color="auto" w:fill="CCECFF"/>
            <w:noWrap/>
            <w:vAlign w:val="bottom"/>
          </w:tcPr>
          <w:p w14:paraId="60D29095" w14:textId="02F69A56" w:rsidR="00583692" w:rsidRPr="005D3EDC" w:rsidRDefault="00583692"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180 </w:t>
            </w:r>
          </w:p>
        </w:tc>
        <w:tc>
          <w:tcPr>
            <w:tcW w:w="1660" w:type="dxa"/>
            <w:tcBorders>
              <w:top w:val="nil"/>
              <w:left w:val="nil"/>
              <w:bottom w:val="nil"/>
              <w:right w:val="nil"/>
            </w:tcBorders>
            <w:shd w:val="clear" w:color="auto" w:fill="auto"/>
            <w:noWrap/>
            <w:vAlign w:val="bottom"/>
          </w:tcPr>
          <w:p w14:paraId="09018038" w14:textId="2796B7D3" w:rsidR="00583692" w:rsidRPr="005D3EDC" w:rsidRDefault="00583692"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197 </w:t>
            </w:r>
          </w:p>
        </w:tc>
        <w:tc>
          <w:tcPr>
            <w:tcW w:w="1660" w:type="dxa"/>
            <w:tcBorders>
              <w:top w:val="nil"/>
              <w:left w:val="nil"/>
              <w:bottom w:val="nil"/>
              <w:right w:val="nil"/>
            </w:tcBorders>
            <w:shd w:val="clear" w:color="auto" w:fill="auto"/>
            <w:noWrap/>
            <w:vAlign w:val="bottom"/>
          </w:tcPr>
          <w:p w14:paraId="19A0A0E3" w14:textId="478E778D" w:rsidR="00583692" w:rsidRPr="005D3EDC" w:rsidRDefault="00583692"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210 </w:t>
            </w:r>
          </w:p>
        </w:tc>
      </w:tr>
      <w:tr w:rsidR="005D3EDC" w:rsidRPr="005D3EDC" w14:paraId="24EFCD74"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63E51431"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Trade and other payables</w:t>
            </w:r>
          </w:p>
        </w:tc>
        <w:tc>
          <w:tcPr>
            <w:tcW w:w="258" w:type="dxa"/>
            <w:tcBorders>
              <w:top w:val="nil"/>
              <w:left w:val="nil"/>
              <w:bottom w:val="nil"/>
              <w:right w:val="nil"/>
            </w:tcBorders>
            <w:shd w:val="clear" w:color="auto" w:fill="auto"/>
            <w:noWrap/>
            <w:vAlign w:val="bottom"/>
            <w:hideMark/>
          </w:tcPr>
          <w:p w14:paraId="664490C3" w14:textId="77777777" w:rsidR="005D3EDC" w:rsidRPr="005D3EDC" w:rsidRDefault="005D3ED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hideMark/>
          </w:tcPr>
          <w:p w14:paraId="6F72776E"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155CBB10"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21811148"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1,420 </w:t>
            </w:r>
          </w:p>
        </w:tc>
        <w:tc>
          <w:tcPr>
            <w:tcW w:w="1660" w:type="dxa"/>
            <w:tcBorders>
              <w:top w:val="nil"/>
              <w:left w:val="nil"/>
              <w:bottom w:val="nil"/>
              <w:right w:val="nil"/>
            </w:tcBorders>
            <w:shd w:val="clear" w:color="auto" w:fill="auto"/>
            <w:noWrap/>
            <w:vAlign w:val="bottom"/>
            <w:hideMark/>
          </w:tcPr>
          <w:p w14:paraId="6F80C108"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1,669 </w:t>
            </w:r>
          </w:p>
        </w:tc>
        <w:tc>
          <w:tcPr>
            <w:tcW w:w="1660" w:type="dxa"/>
            <w:tcBorders>
              <w:top w:val="nil"/>
              <w:left w:val="nil"/>
              <w:bottom w:val="nil"/>
              <w:right w:val="nil"/>
            </w:tcBorders>
            <w:shd w:val="clear" w:color="auto" w:fill="auto"/>
            <w:noWrap/>
            <w:vAlign w:val="bottom"/>
            <w:hideMark/>
          </w:tcPr>
          <w:p w14:paraId="397A53DB"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1,472 </w:t>
            </w:r>
          </w:p>
        </w:tc>
      </w:tr>
      <w:tr w:rsidR="005D3EDC" w:rsidRPr="005D3EDC" w14:paraId="472B7686"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1EA9AD44"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Contract liabilities (funeral plans)</w:t>
            </w:r>
          </w:p>
        </w:tc>
        <w:tc>
          <w:tcPr>
            <w:tcW w:w="258" w:type="dxa"/>
            <w:tcBorders>
              <w:top w:val="nil"/>
              <w:left w:val="nil"/>
              <w:bottom w:val="nil"/>
              <w:right w:val="nil"/>
            </w:tcBorders>
            <w:shd w:val="clear" w:color="auto" w:fill="auto"/>
            <w:noWrap/>
            <w:vAlign w:val="bottom"/>
            <w:hideMark/>
          </w:tcPr>
          <w:p w14:paraId="6E68C02C" w14:textId="77777777" w:rsidR="005D3EDC" w:rsidRPr="005D3EDC" w:rsidRDefault="005D3ED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hideMark/>
          </w:tcPr>
          <w:p w14:paraId="43A15A36"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200E97C5"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6AE12559"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183 </w:t>
            </w:r>
          </w:p>
        </w:tc>
        <w:tc>
          <w:tcPr>
            <w:tcW w:w="1660" w:type="dxa"/>
            <w:tcBorders>
              <w:top w:val="nil"/>
              <w:left w:val="nil"/>
              <w:bottom w:val="nil"/>
              <w:right w:val="nil"/>
            </w:tcBorders>
            <w:shd w:val="clear" w:color="auto" w:fill="auto"/>
            <w:noWrap/>
            <w:vAlign w:val="bottom"/>
            <w:hideMark/>
          </w:tcPr>
          <w:p w14:paraId="5A62BDCB"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176 </w:t>
            </w:r>
          </w:p>
        </w:tc>
        <w:tc>
          <w:tcPr>
            <w:tcW w:w="1660" w:type="dxa"/>
            <w:tcBorders>
              <w:top w:val="nil"/>
              <w:left w:val="nil"/>
              <w:bottom w:val="nil"/>
              <w:right w:val="nil"/>
            </w:tcBorders>
            <w:shd w:val="clear" w:color="auto" w:fill="auto"/>
            <w:noWrap/>
            <w:vAlign w:val="bottom"/>
            <w:hideMark/>
          </w:tcPr>
          <w:p w14:paraId="1917F555"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164 </w:t>
            </w:r>
          </w:p>
        </w:tc>
      </w:tr>
      <w:tr w:rsidR="0099422F" w:rsidRPr="005D3EDC" w14:paraId="5B875B73" w14:textId="77777777" w:rsidTr="008320B4">
        <w:trPr>
          <w:trHeight w:val="248"/>
        </w:trPr>
        <w:tc>
          <w:tcPr>
            <w:tcW w:w="3263" w:type="dxa"/>
            <w:gridSpan w:val="2"/>
            <w:tcBorders>
              <w:top w:val="nil"/>
              <w:left w:val="nil"/>
              <w:bottom w:val="nil"/>
              <w:right w:val="nil"/>
            </w:tcBorders>
            <w:shd w:val="clear" w:color="auto" w:fill="auto"/>
            <w:noWrap/>
            <w:vAlign w:val="bottom"/>
          </w:tcPr>
          <w:p w14:paraId="173F6315" w14:textId="5563490A" w:rsidR="0099422F" w:rsidRPr="005D3EDC" w:rsidRDefault="0099422F"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Derivatives</w:t>
            </w:r>
          </w:p>
        </w:tc>
        <w:tc>
          <w:tcPr>
            <w:tcW w:w="258" w:type="dxa"/>
            <w:tcBorders>
              <w:top w:val="nil"/>
              <w:left w:val="nil"/>
              <w:bottom w:val="nil"/>
              <w:right w:val="nil"/>
            </w:tcBorders>
            <w:shd w:val="clear" w:color="auto" w:fill="auto"/>
            <w:noWrap/>
            <w:vAlign w:val="bottom"/>
          </w:tcPr>
          <w:p w14:paraId="75C8CCBB" w14:textId="77777777" w:rsidR="0099422F" w:rsidRPr="005D3EDC" w:rsidRDefault="0099422F"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tcPr>
          <w:p w14:paraId="3363134D" w14:textId="77777777" w:rsidR="0099422F" w:rsidRPr="005D3EDC" w:rsidRDefault="0099422F"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7AE84411" w14:textId="77777777" w:rsidR="0099422F" w:rsidRPr="005D3EDC" w:rsidRDefault="0099422F"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tcPr>
          <w:p w14:paraId="3B882AE0" w14:textId="384BF510" w:rsidR="0099422F" w:rsidRPr="005D3EDC" w:rsidRDefault="00353FBF"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1 </w:t>
            </w:r>
          </w:p>
        </w:tc>
        <w:tc>
          <w:tcPr>
            <w:tcW w:w="1660" w:type="dxa"/>
            <w:tcBorders>
              <w:top w:val="nil"/>
              <w:left w:val="nil"/>
              <w:bottom w:val="nil"/>
              <w:right w:val="nil"/>
            </w:tcBorders>
            <w:shd w:val="clear" w:color="auto" w:fill="auto"/>
            <w:noWrap/>
            <w:vAlign w:val="bottom"/>
          </w:tcPr>
          <w:p w14:paraId="71E1A006" w14:textId="43047591" w:rsidR="0099422F" w:rsidRPr="005D3EDC" w:rsidRDefault="00353FBF"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2 </w:t>
            </w:r>
          </w:p>
        </w:tc>
        <w:tc>
          <w:tcPr>
            <w:tcW w:w="1660" w:type="dxa"/>
            <w:tcBorders>
              <w:top w:val="nil"/>
              <w:left w:val="nil"/>
              <w:bottom w:val="nil"/>
              <w:right w:val="nil"/>
            </w:tcBorders>
            <w:shd w:val="clear" w:color="auto" w:fill="auto"/>
            <w:noWrap/>
            <w:vAlign w:val="bottom"/>
          </w:tcPr>
          <w:p w14:paraId="77C4FF69" w14:textId="4E102909" w:rsidR="0099422F" w:rsidRPr="005D3EDC" w:rsidRDefault="00353FBF"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3 </w:t>
            </w:r>
          </w:p>
        </w:tc>
      </w:tr>
      <w:tr w:rsidR="00353FBF" w:rsidRPr="005D3EDC" w14:paraId="2EA17086" w14:textId="77777777" w:rsidTr="008320B4">
        <w:trPr>
          <w:trHeight w:val="248"/>
        </w:trPr>
        <w:tc>
          <w:tcPr>
            <w:tcW w:w="3263" w:type="dxa"/>
            <w:gridSpan w:val="2"/>
            <w:tcBorders>
              <w:top w:val="nil"/>
              <w:left w:val="nil"/>
              <w:bottom w:val="nil"/>
              <w:right w:val="nil"/>
            </w:tcBorders>
            <w:shd w:val="clear" w:color="auto" w:fill="auto"/>
            <w:noWrap/>
            <w:vAlign w:val="bottom"/>
          </w:tcPr>
          <w:p w14:paraId="6C3B7F92" w14:textId="27332BF9" w:rsidR="00353FBF" w:rsidRDefault="00353FBF"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Provisions</w:t>
            </w:r>
          </w:p>
        </w:tc>
        <w:tc>
          <w:tcPr>
            <w:tcW w:w="258" w:type="dxa"/>
            <w:tcBorders>
              <w:top w:val="nil"/>
              <w:left w:val="nil"/>
              <w:bottom w:val="nil"/>
              <w:right w:val="nil"/>
            </w:tcBorders>
            <w:shd w:val="clear" w:color="auto" w:fill="auto"/>
            <w:noWrap/>
            <w:vAlign w:val="bottom"/>
          </w:tcPr>
          <w:p w14:paraId="4199F269" w14:textId="77777777" w:rsidR="00353FBF" w:rsidRPr="005D3EDC" w:rsidRDefault="00353FBF"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tcPr>
          <w:p w14:paraId="49F56F0D" w14:textId="77777777" w:rsidR="00353FBF" w:rsidRPr="005D3EDC" w:rsidRDefault="00353FBF"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67B21572" w14:textId="77777777" w:rsidR="00353FBF" w:rsidRPr="005D3EDC" w:rsidRDefault="00353FBF"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tcPr>
          <w:p w14:paraId="35ED9A72" w14:textId="4238873E" w:rsidR="00353FBF" w:rsidRDefault="00353FBF"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34 </w:t>
            </w:r>
          </w:p>
        </w:tc>
        <w:tc>
          <w:tcPr>
            <w:tcW w:w="1660" w:type="dxa"/>
            <w:tcBorders>
              <w:top w:val="nil"/>
              <w:left w:val="nil"/>
              <w:bottom w:val="nil"/>
              <w:right w:val="nil"/>
            </w:tcBorders>
            <w:shd w:val="clear" w:color="auto" w:fill="auto"/>
            <w:noWrap/>
            <w:vAlign w:val="bottom"/>
          </w:tcPr>
          <w:p w14:paraId="774ACDB2" w14:textId="3A417053" w:rsidR="00353FBF" w:rsidRDefault="00353FBF"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42 </w:t>
            </w:r>
          </w:p>
        </w:tc>
        <w:tc>
          <w:tcPr>
            <w:tcW w:w="1660" w:type="dxa"/>
            <w:tcBorders>
              <w:top w:val="nil"/>
              <w:left w:val="nil"/>
              <w:bottom w:val="nil"/>
              <w:right w:val="nil"/>
            </w:tcBorders>
            <w:shd w:val="clear" w:color="auto" w:fill="auto"/>
            <w:noWrap/>
            <w:vAlign w:val="bottom"/>
          </w:tcPr>
          <w:p w14:paraId="0BC20E0B" w14:textId="2F7BE282" w:rsidR="00353FBF" w:rsidRDefault="00353FBF"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52 </w:t>
            </w:r>
          </w:p>
        </w:tc>
      </w:tr>
      <w:tr w:rsidR="00353FBF" w:rsidRPr="005D3EDC" w14:paraId="21D96579" w14:textId="77777777" w:rsidTr="008320B4">
        <w:trPr>
          <w:trHeight w:val="248"/>
        </w:trPr>
        <w:tc>
          <w:tcPr>
            <w:tcW w:w="3263" w:type="dxa"/>
            <w:gridSpan w:val="2"/>
            <w:tcBorders>
              <w:top w:val="nil"/>
              <w:left w:val="nil"/>
              <w:bottom w:val="nil"/>
              <w:right w:val="nil"/>
            </w:tcBorders>
            <w:shd w:val="clear" w:color="auto" w:fill="auto"/>
            <w:noWrap/>
            <w:vAlign w:val="bottom"/>
          </w:tcPr>
          <w:p w14:paraId="24DD2382" w14:textId="74DC4207" w:rsidR="00353FBF" w:rsidRDefault="00353FBF"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 xml:space="preserve">Liabilities </w:t>
            </w:r>
            <w:r w:rsidR="0040647D">
              <w:rPr>
                <w:rFonts w:ascii="Arial" w:eastAsia="Times New Roman" w:hAnsi="Arial" w:cs="Arial"/>
                <w:sz w:val="15"/>
                <w:szCs w:val="15"/>
                <w:lang w:eastAsia="en-GB"/>
              </w:rPr>
              <w:t>held for sale</w:t>
            </w:r>
          </w:p>
        </w:tc>
        <w:tc>
          <w:tcPr>
            <w:tcW w:w="258" w:type="dxa"/>
            <w:tcBorders>
              <w:top w:val="nil"/>
              <w:left w:val="nil"/>
              <w:bottom w:val="nil"/>
              <w:right w:val="nil"/>
            </w:tcBorders>
            <w:shd w:val="clear" w:color="auto" w:fill="auto"/>
            <w:noWrap/>
            <w:vAlign w:val="bottom"/>
          </w:tcPr>
          <w:p w14:paraId="52A7FC54" w14:textId="77777777" w:rsidR="00353FBF" w:rsidRPr="005D3EDC" w:rsidRDefault="00353FBF"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tcPr>
          <w:p w14:paraId="11881502" w14:textId="77777777" w:rsidR="00353FBF" w:rsidRPr="005D3EDC" w:rsidRDefault="00353FBF"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2C9AB62F" w14:textId="40DDEDB8" w:rsidR="00353FBF" w:rsidRPr="0040647D" w:rsidRDefault="0040647D" w:rsidP="0040647D">
            <w:pPr>
              <w:spacing w:after="0" w:line="240" w:lineRule="auto"/>
              <w:jc w:val="right"/>
              <w:rPr>
                <w:rFonts w:ascii="Arial" w:eastAsia="Times New Roman" w:hAnsi="Arial" w:cs="Arial"/>
                <w:sz w:val="15"/>
                <w:szCs w:val="15"/>
                <w:lang w:eastAsia="en-GB"/>
              </w:rPr>
            </w:pPr>
            <w:r w:rsidRPr="0040647D">
              <w:rPr>
                <w:rFonts w:ascii="Arial" w:eastAsia="Times New Roman" w:hAnsi="Arial" w:cs="Arial"/>
                <w:sz w:val="15"/>
                <w:szCs w:val="15"/>
                <w:lang w:eastAsia="en-GB"/>
              </w:rPr>
              <w:t>8</w:t>
            </w:r>
          </w:p>
        </w:tc>
        <w:tc>
          <w:tcPr>
            <w:tcW w:w="2019" w:type="dxa"/>
            <w:tcBorders>
              <w:top w:val="nil"/>
              <w:left w:val="nil"/>
              <w:bottom w:val="nil"/>
              <w:right w:val="nil"/>
            </w:tcBorders>
            <w:shd w:val="clear" w:color="auto" w:fill="CCECFF"/>
            <w:noWrap/>
            <w:vAlign w:val="bottom"/>
          </w:tcPr>
          <w:p w14:paraId="464BF55A" w14:textId="6721FC96" w:rsidR="00353FBF" w:rsidRDefault="0040647D"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268 </w:t>
            </w:r>
          </w:p>
        </w:tc>
        <w:tc>
          <w:tcPr>
            <w:tcW w:w="1660" w:type="dxa"/>
            <w:tcBorders>
              <w:top w:val="nil"/>
              <w:left w:val="nil"/>
              <w:bottom w:val="nil"/>
              <w:right w:val="nil"/>
            </w:tcBorders>
            <w:shd w:val="clear" w:color="auto" w:fill="auto"/>
            <w:noWrap/>
            <w:vAlign w:val="bottom"/>
          </w:tcPr>
          <w:p w14:paraId="6B105416" w14:textId="4F8B7037" w:rsidR="00353FBF" w:rsidRDefault="0040647D"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 </w:t>
            </w:r>
          </w:p>
        </w:tc>
        <w:tc>
          <w:tcPr>
            <w:tcW w:w="1660" w:type="dxa"/>
            <w:tcBorders>
              <w:top w:val="nil"/>
              <w:left w:val="nil"/>
              <w:bottom w:val="nil"/>
              <w:right w:val="nil"/>
            </w:tcBorders>
            <w:shd w:val="clear" w:color="auto" w:fill="auto"/>
            <w:noWrap/>
            <w:vAlign w:val="bottom"/>
          </w:tcPr>
          <w:p w14:paraId="6C76BA63" w14:textId="49AAB845" w:rsidR="00353FBF" w:rsidRDefault="0040647D"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2 </w:t>
            </w:r>
          </w:p>
        </w:tc>
      </w:tr>
      <w:tr w:rsidR="005D3EDC" w:rsidRPr="005D3EDC" w14:paraId="44B0079C" w14:textId="77777777" w:rsidTr="008320B4">
        <w:trPr>
          <w:trHeight w:val="248"/>
        </w:trPr>
        <w:tc>
          <w:tcPr>
            <w:tcW w:w="3263" w:type="dxa"/>
            <w:gridSpan w:val="2"/>
            <w:tcBorders>
              <w:top w:val="single" w:sz="4" w:space="0" w:color="BFBFBF"/>
              <w:left w:val="nil"/>
              <w:bottom w:val="single" w:sz="4" w:space="0" w:color="BFBFBF"/>
              <w:right w:val="nil"/>
            </w:tcBorders>
            <w:shd w:val="clear" w:color="auto" w:fill="auto"/>
            <w:noWrap/>
            <w:vAlign w:val="bottom"/>
            <w:hideMark/>
          </w:tcPr>
          <w:p w14:paraId="5E676EC0"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Total current liabilities</w:t>
            </w:r>
          </w:p>
        </w:tc>
        <w:tc>
          <w:tcPr>
            <w:tcW w:w="258" w:type="dxa"/>
            <w:tcBorders>
              <w:top w:val="single" w:sz="4" w:space="0" w:color="BFBFBF"/>
              <w:left w:val="nil"/>
              <w:bottom w:val="single" w:sz="4" w:space="0" w:color="BFBFBF"/>
              <w:right w:val="nil"/>
            </w:tcBorders>
            <w:shd w:val="clear" w:color="auto" w:fill="auto"/>
            <w:noWrap/>
            <w:vAlign w:val="bottom"/>
            <w:hideMark/>
          </w:tcPr>
          <w:p w14:paraId="4110A9E5"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single" w:sz="4" w:space="0" w:color="BFBFBF"/>
              <w:left w:val="nil"/>
              <w:bottom w:val="single" w:sz="4" w:space="0" w:color="BFBFBF"/>
              <w:right w:val="nil"/>
            </w:tcBorders>
            <w:shd w:val="clear" w:color="auto" w:fill="auto"/>
            <w:noWrap/>
            <w:vAlign w:val="bottom"/>
            <w:hideMark/>
          </w:tcPr>
          <w:p w14:paraId="3752907B"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1324" w:type="dxa"/>
            <w:tcBorders>
              <w:top w:val="single" w:sz="4" w:space="0" w:color="BFBFBF"/>
              <w:left w:val="nil"/>
              <w:bottom w:val="single" w:sz="4" w:space="0" w:color="BFBFBF"/>
              <w:right w:val="nil"/>
            </w:tcBorders>
            <w:shd w:val="clear" w:color="auto" w:fill="auto"/>
            <w:noWrap/>
            <w:vAlign w:val="bottom"/>
            <w:hideMark/>
          </w:tcPr>
          <w:p w14:paraId="757D93CD"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019" w:type="dxa"/>
            <w:tcBorders>
              <w:top w:val="single" w:sz="4" w:space="0" w:color="BFBFBF"/>
              <w:left w:val="nil"/>
              <w:bottom w:val="single" w:sz="4" w:space="0" w:color="BFBFBF"/>
              <w:right w:val="nil"/>
            </w:tcBorders>
            <w:shd w:val="clear" w:color="auto" w:fill="CCECFF"/>
            <w:noWrap/>
            <w:vAlign w:val="bottom"/>
            <w:hideMark/>
          </w:tcPr>
          <w:p w14:paraId="6D9C067F"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2,160 </w:t>
            </w:r>
          </w:p>
        </w:tc>
        <w:tc>
          <w:tcPr>
            <w:tcW w:w="1660" w:type="dxa"/>
            <w:tcBorders>
              <w:top w:val="single" w:sz="4" w:space="0" w:color="BFBFBF"/>
              <w:left w:val="nil"/>
              <w:bottom w:val="single" w:sz="4" w:space="0" w:color="BFBFBF"/>
              <w:right w:val="nil"/>
            </w:tcBorders>
            <w:shd w:val="clear" w:color="auto" w:fill="auto"/>
            <w:noWrap/>
            <w:vAlign w:val="bottom"/>
            <w:hideMark/>
          </w:tcPr>
          <w:p w14:paraId="15B22D0D"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2,125 </w:t>
            </w:r>
          </w:p>
        </w:tc>
        <w:tc>
          <w:tcPr>
            <w:tcW w:w="1660" w:type="dxa"/>
            <w:tcBorders>
              <w:top w:val="single" w:sz="4" w:space="0" w:color="BFBFBF"/>
              <w:left w:val="nil"/>
              <w:bottom w:val="single" w:sz="4" w:space="0" w:color="BFBFBF"/>
              <w:right w:val="nil"/>
            </w:tcBorders>
            <w:shd w:val="clear" w:color="auto" w:fill="auto"/>
            <w:noWrap/>
            <w:vAlign w:val="bottom"/>
            <w:hideMark/>
          </w:tcPr>
          <w:p w14:paraId="6F770963"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2,087 </w:t>
            </w:r>
          </w:p>
        </w:tc>
      </w:tr>
      <w:tr w:rsidR="005D3EDC" w:rsidRPr="005D3EDC" w14:paraId="505EB717" w14:textId="77777777" w:rsidTr="008320B4">
        <w:trPr>
          <w:trHeight w:val="248"/>
        </w:trPr>
        <w:tc>
          <w:tcPr>
            <w:tcW w:w="3005" w:type="dxa"/>
            <w:tcBorders>
              <w:top w:val="nil"/>
              <w:left w:val="nil"/>
              <w:bottom w:val="single" w:sz="4" w:space="0" w:color="BFBFBF"/>
              <w:right w:val="nil"/>
            </w:tcBorders>
            <w:shd w:val="clear" w:color="auto" w:fill="auto"/>
            <w:noWrap/>
            <w:vAlign w:val="bottom"/>
            <w:hideMark/>
          </w:tcPr>
          <w:p w14:paraId="3020D433"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Total liabilities</w:t>
            </w:r>
          </w:p>
        </w:tc>
        <w:tc>
          <w:tcPr>
            <w:tcW w:w="258" w:type="dxa"/>
            <w:tcBorders>
              <w:top w:val="nil"/>
              <w:left w:val="nil"/>
              <w:bottom w:val="single" w:sz="4" w:space="0" w:color="BFBFBF"/>
              <w:right w:val="nil"/>
            </w:tcBorders>
            <w:shd w:val="clear" w:color="auto" w:fill="auto"/>
            <w:noWrap/>
            <w:vAlign w:val="bottom"/>
            <w:hideMark/>
          </w:tcPr>
          <w:p w14:paraId="76796AE9"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single" w:sz="4" w:space="0" w:color="BFBFBF"/>
              <w:right w:val="nil"/>
            </w:tcBorders>
            <w:shd w:val="clear" w:color="auto" w:fill="auto"/>
            <w:noWrap/>
            <w:vAlign w:val="bottom"/>
            <w:hideMark/>
          </w:tcPr>
          <w:p w14:paraId="2B076A4D"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single" w:sz="4" w:space="0" w:color="BFBFBF"/>
              <w:right w:val="nil"/>
            </w:tcBorders>
            <w:shd w:val="clear" w:color="auto" w:fill="auto"/>
            <w:noWrap/>
            <w:vAlign w:val="bottom"/>
            <w:hideMark/>
          </w:tcPr>
          <w:p w14:paraId="5685D6FA"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1324" w:type="dxa"/>
            <w:tcBorders>
              <w:top w:val="nil"/>
              <w:left w:val="nil"/>
              <w:bottom w:val="single" w:sz="4" w:space="0" w:color="BFBFBF"/>
              <w:right w:val="nil"/>
            </w:tcBorders>
            <w:shd w:val="clear" w:color="auto" w:fill="auto"/>
            <w:noWrap/>
            <w:vAlign w:val="bottom"/>
            <w:hideMark/>
          </w:tcPr>
          <w:p w14:paraId="679507D7"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019" w:type="dxa"/>
            <w:tcBorders>
              <w:top w:val="nil"/>
              <w:left w:val="nil"/>
              <w:bottom w:val="single" w:sz="4" w:space="0" w:color="BFBFBF"/>
              <w:right w:val="nil"/>
            </w:tcBorders>
            <w:shd w:val="clear" w:color="auto" w:fill="CCECFF"/>
            <w:noWrap/>
            <w:vAlign w:val="bottom"/>
            <w:hideMark/>
          </w:tcPr>
          <w:p w14:paraId="5B5AA6D5"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6,188 </w:t>
            </w:r>
          </w:p>
        </w:tc>
        <w:tc>
          <w:tcPr>
            <w:tcW w:w="1660" w:type="dxa"/>
            <w:tcBorders>
              <w:top w:val="nil"/>
              <w:left w:val="nil"/>
              <w:bottom w:val="single" w:sz="4" w:space="0" w:color="BFBFBF"/>
              <w:right w:val="nil"/>
            </w:tcBorders>
            <w:shd w:val="clear" w:color="auto" w:fill="auto"/>
            <w:noWrap/>
            <w:vAlign w:val="bottom"/>
            <w:hideMark/>
          </w:tcPr>
          <w:p w14:paraId="3FBF3084"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6,149 </w:t>
            </w:r>
          </w:p>
        </w:tc>
        <w:tc>
          <w:tcPr>
            <w:tcW w:w="1660" w:type="dxa"/>
            <w:tcBorders>
              <w:top w:val="nil"/>
              <w:left w:val="nil"/>
              <w:bottom w:val="single" w:sz="4" w:space="0" w:color="BFBFBF"/>
              <w:right w:val="nil"/>
            </w:tcBorders>
            <w:shd w:val="clear" w:color="auto" w:fill="auto"/>
            <w:noWrap/>
            <w:vAlign w:val="bottom"/>
            <w:hideMark/>
          </w:tcPr>
          <w:p w14:paraId="24B50A73"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6,241 </w:t>
            </w:r>
          </w:p>
        </w:tc>
      </w:tr>
      <w:tr w:rsidR="005D3EDC" w:rsidRPr="005D3EDC" w14:paraId="3F117867" w14:textId="77777777" w:rsidTr="008320B4">
        <w:trPr>
          <w:trHeight w:val="248"/>
        </w:trPr>
        <w:tc>
          <w:tcPr>
            <w:tcW w:w="3005" w:type="dxa"/>
            <w:tcBorders>
              <w:top w:val="nil"/>
              <w:left w:val="nil"/>
              <w:bottom w:val="nil"/>
              <w:right w:val="nil"/>
            </w:tcBorders>
            <w:shd w:val="clear" w:color="auto" w:fill="auto"/>
            <w:noWrap/>
            <w:vAlign w:val="bottom"/>
            <w:hideMark/>
          </w:tcPr>
          <w:p w14:paraId="5CA2DAF9"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Equity</w:t>
            </w:r>
          </w:p>
        </w:tc>
        <w:tc>
          <w:tcPr>
            <w:tcW w:w="258" w:type="dxa"/>
            <w:tcBorders>
              <w:top w:val="nil"/>
              <w:left w:val="nil"/>
              <w:bottom w:val="nil"/>
              <w:right w:val="nil"/>
            </w:tcBorders>
            <w:shd w:val="clear" w:color="auto" w:fill="auto"/>
            <w:noWrap/>
            <w:vAlign w:val="bottom"/>
            <w:hideMark/>
          </w:tcPr>
          <w:p w14:paraId="6EB778B1" w14:textId="77777777" w:rsidR="005D3EDC" w:rsidRPr="005D3EDC" w:rsidRDefault="005D3EDC" w:rsidP="005D3EDC">
            <w:pPr>
              <w:spacing w:after="0" w:line="240" w:lineRule="auto"/>
              <w:rPr>
                <w:rFonts w:ascii="Arial" w:eastAsia="Times New Roman" w:hAnsi="Arial" w:cs="Arial"/>
                <w:b/>
                <w:bCs/>
                <w:sz w:val="15"/>
                <w:szCs w:val="15"/>
                <w:lang w:eastAsia="en-GB"/>
              </w:rPr>
            </w:pPr>
          </w:p>
        </w:tc>
        <w:tc>
          <w:tcPr>
            <w:tcW w:w="258" w:type="dxa"/>
            <w:tcBorders>
              <w:top w:val="nil"/>
              <w:left w:val="nil"/>
              <w:bottom w:val="nil"/>
              <w:right w:val="nil"/>
            </w:tcBorders>
            <w:shd w:val="clear" w:color="auto" w:fill="auto"/>
            <w:noWrap/>
            <w:vAlign w:val="bottom"/>
            <w:hideMark/>
          </w:tcPr>
          <w:p w14:paraId="0F9E1045"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58" w:type="dxa"/>
            <w:tcBorders>
              <w:top w:val="nil"/>
              <w:left w:val="nil"/>
              <w:bottom w:val="nil"/>
              <w:right w:val="nil"/>
            </w:tcBorders>
            <w:shd w:val="clear" w:color="auto" w:fill="auto"/>
            <w:noWrap/>
            <w:vAlign w:val="bottom"/>
            <w:hideMark/>
          </w:tcPr>
          <w:p w14:paraId="3DE2E52F"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447F05CE"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580E7F7C"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w:t>
            </w:r>
          </w:p>
        </w:tc>
        <w:tc>
          <w:tcPr>
            <w:tcW w:w="1660" w:type="dxa"/>
            <w:tcBorders>
              <w:top w:val="nil"/>
              <w:left w:val="nil"/>
              <w:bottom w:val="nil"/>
              <w:right w:val="nil"/>
            </w:tcBorders>
            <w:shd w:val="clear" w:color="auto" w:fill="auto"/>
            <w:noWrap/>
            <w:vAlign w:val="bottom"/>
            <w:hideMark/>
          </w:tcPr>
          <w:p w14:paraId="3F3D951C" w14:textId="77777777" w:rsidR="005D3EDC" w:rsidRPr="005D3EDC" w:rsidRDefault="005D3EDC" w:rsidP="005D3EDC">
            <w:pPr>
              <w:spacing w:after="0" w:line="240" w:lineRule="auto"/>
              <w:rPr>
                <w:rFonts w:ascii="Arial" w:eastAsia="Times New Roman" w:hAnsi="Arial" w:cs="Arial"/>
                <w:b/>
                <w:bCs/>
                <w:sz w:val="15"/>
                <w:szCs w:val="15"/>
                <w:lang w:eastAsia="en-GB"/>
              </w:rPr>
            </w:pPr>
          </w:p>
        </w:tc>
        <w:tc>
          <w:tcPr>
            <w:tcW w:w="1660" w:type="dxa"/>
            <w:tcBorders>
              <w:top w:val="nil"/>
              <w:left w:val="nil"/>
              <w:bottom w:val="nil"/>
              <w:right w:val="nil"/>
            </w:tcBorders>
            <w:shd w:val="clear" w:color="auto" w:fill="auto"/>
            <w:noWrap/>
            <w:vAlign w:val="bottom"/>
            <w:hideMark/>
          </w:tcPr>
          <w:p w14:paraId="388E1D94"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r>
      <w:tr w:rsidR="005D3EDC" w:rsidRPr="005D3EDC" w14:paraId="37CC4D06" w14:textId="77777777" w:rsidTr="008320B4">
        <w:trPr>
          <w:trHeight w:val="248"/>
        </w:trPr>
        <w:tc>
          <w:tcPr>
            <w:tcW w:w="3263" w:type="dxa"/>
            <w:gridSpan w:val="2"/>
            <w:tcBorders>
              <w:top w:val="nil"/>
              <w:left w:val="nil"/>
              <w:bottom w:val="nil"/>
              <w:right w:val="nil"/>
            </w:tcBorders>
            <w:shd w:val="clear" w:color="auto" w:fill="auto"/>
            <w:noWrap/>
            <w:vAlign w:val="bottom"/>
            <w:hideMark/>
          </w:tcPr>
          <w:p w14:paraId="1C44E5C1"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Members' share capital</w:t>
            </w:r>
          </w:p>
        </w:tc>
        <w:tc>
          <w:tcPr>
            <w:tcW w:w="258" w:type="dxa"/>
            <w:tcBorders>
              <w:top w:val="nil"/>
              <w:left w:val="nil"/>
              <w:bottom w:val="nil"/>
              <w:right w:val="nil"/>
            </w:tcBorders>
            <w:shd w:val="clear" w:color="auto" w:fill="auto"/>
            <w:noWrap/>
            <w:vAlign w:val="bottom"/>
            <w:hideMark/>
          </w:tcPr>
          <w:p w14:paraId="1A2EEAE4" w14:textId="77777777" w:rsidR="005D3EDC" w:rsidRPr="005D3EDC" w:rsidRDefault="005D3EDC"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hideMark/>
          </w:tcPr>
          <w:p w14:paraId="14F5F523"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3AC9FE0E"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hideMark/>
          </w:tcPr>
          <w:p w14:paraId="72243DB8"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74 </w:t>
            </w:r>
          </w:p>
        </w:tc>
        <w:tc>
          <w:tcPr>
            <w:tcW w:w="1660" w:type="dxa"/>
            <w:tcBorders>
              <w:top w:val="nil"/>
              <w:left w:val="nil"/>
              <w:bottom w:val="nil"/>
              <w:right w:val="nil"/>
            </w:tcBorders>
            <w:shd w:val="clear" w:color="auto" w:fill="auto"/>
            <w:noWrap/>
            <w:vAlign w:val="bottom"/>
            <w:hideMark/>
          </w:tcPr>
          <w:p w14:paraId="7360A57D"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74 </w:t>
            </w:r>
          </w:p>
        </w:tc>
        <w:tc>
          <w:tcPr>
            <w:tcW w:w="1660" w:type="dxa"/>
            <w:tcBorders>
              <w:top w:val="nil"/>
              <w:left w:val="nil"/>
              <w:bottom w:val="nil"/>
              <w:right w:val="nil"/>
            </w:tcBorders>
            <w:shd w:val="clear" w:color="auto" w:fill="auto"/>
            <w:noWrap/>
            <w:vAlign w:val="bottom"/>
            <w:hideMark/>
          </w:tcPr>
          <w:p w14:paraId="5DB9B11B"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74 </w:t>
            </w:r>
          </w:p>
        </w:tc>
      </w:tr>
      <w:tr w:rsidR="0040647D" w:rsidRPr="005D3EDC" w14:paraId="5F55341A" w14:textId="77777777" w:rsidTr="008320B4">
        <w:trPr>
          <w:trHeight w:val="248"/>
        </w:trPr>
        <w:tc>
          <w:tcPr>
            <w:tcW w:w="3263" w:type="dxa"/>
            <w:gridSpan w:val="2"/>
            <w:tcBorders>
              <w:top w:val="nil"/>
              <w:left w:val="nil"/>
              <w:bottom w:val="nil"/>
              <w:right w:val="nil"/>
            </w:tcBorders>
            <w:shd w:val="clear" w:color="auto" w:fill="auto"/>
            <w:noWrap/>
            <w:vAlign w:val="bottom"/>
          </w:tcPr>
          <w:p w14:paraId="6041492E" w14:textId="7F3F07C0" w:rsidR="0040647D" w:rsidRPr="005D3EDC" w:rsidRDefault="0040647D"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Retained earni</w:t>
            </w:r>
            <w:r w:rsidR="00F50391">
              <w:rPr>
                <w:rFonts w:ascii="Arial" w:eastAsia="Times New Roman" w:hAnsi="Arial" w:cs="Arial"/>
                <w:sz w:val="15"/>
                <w:szCs w:val="15"/>
                <w:lang w:eastAsia="en-GB"/>
              </w:rPr>
              <w:t>n</w:t>
            </w:r>
            <w:r>
              <w:rPr>
                <w:rFonts w:ascii="Arial" w:eastAsia="Times New Roman" w:hAnsi="Arial" w:cs="Arial"/>
                <w:sz w:val="15"/>
                <w:szCs w:val="15"/>
                <w:lang w:eastAsia="en-GB"/>
              </w:rPr>
              <w:t>gs</w:t>
            </w:r>
          </w:p>
        </w:tc>
        <w:tc>
          <w:tcPr>
            <w:tcW w:w="258" w:type="dxa"/>
            <w:tcBorders>
              <w:top w:val="nil"/>
              <w:left w:val="nil"/>
              <w:bottom w:val="nil"/>
              <w:right w:val="nil"/>
            </w:tcBorders>
            <w:shd w:val="clear" w:color="auto" w:fill="auto"/>
            <w:noWrap/>
            <w:vAlign w:val="bottom"/>
          </w:tcPr>
          <w:p w14:paraId="43A1450C" w14:textId="77777777" w:rsidR="0040647D" w:rsidRPr="005D3EDC" w:rsidRDefault="0040647D"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tcPr>
          <w:p w14:paraId="1CE2C74F" w14:textId="77777777" w:rsidR="0040647D" w:rsidRPr="005D3EDC" w:rsidRDefault="0040647D"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4304F565" w14:textId="77777777" w:rsidR="0040647D" w:rsidRPr="005D3EDC" w:rsidRDefault="0040647D"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tcPr>
          <w:p w14:paraId="3046F969" w14:textId="27418C08" w:rsidR="0040647D" w:rsidRPr="005D3EDC" w:rsidRDefault="00F50391"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3,038 </w:t>
            </w:r>
          </w:p>
        </w:tc>
        <w:tc>
          <w:tcPr>
            <w:tcW w:w="1660" w:type="dxa"/>
            <w:tcBorders>
              <w:top w:val="nil"/>
              <w:left w:val="nil"/>
              <w:bottom w:val="nil"/>
              <w:right w:val="nil"/>
            </w:tcBorders>
            <w:shd w:val="clear" w:color="auto" w:fill="auto"/>
            <w:noWrap/>
            <w:vAlign w:val="bottom"/>
          </w:tcPr>
          <w:p w14:paraId="2DDB0331" w14:textId="0C81CFF2" w:rsidR="0040647D" w:rsidRPr="005D3EDC" w:rsidRDefault="00F50391"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2,529 </w:t>
            </w:r>
          </w:p>
        </w:tc>
        <w:tc>
          <w:tcPr>
            <w:tcW w:w="1660" w:type="dxa"/>
            <w:tcBorders>
              <w:top w:val="nil"/>
              <w:left w:val="nil"/>
              <w:bottom w:val="nil"/>
              <w:right w:val="nil"/>
            </w:tcBorders>
            <w:shd w:val="clear" w:color="auto" w:fill="auto"/>
            <w:noWrap/>
            <w:vAlign w:val="bottom"/>
          </w:tcPr>
          <w:p w14:paraId="461644AB" w14:textId="7025AD96" w:rsidR="0040647D" w:rsidRPr="005D3EDC" w:rsidRDefault="00F50391"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2,859</w:t>
            </w:r>
          </w:p>
        </w:tc>
      </w:tr>
      <w:tr w:rsidR="00F50391" w:rsidRPr="005D3EDC" w14:paraId="4FA4BA88" w14:textId="77777777" w:rsidTr="008320B4">
        <w:trPr>
          <w:trHeight w:val="248"/>
        </w:trPr>
        <w:tc>
          <w:tcPr>
            <w:tcW w:w="3263" w:type="dxa"/>
            <w:gridSpan w:val="2"/>
            <w:tcBorders>
              <w:top w:val="nil"/>
              <w:left w:val="nil"/>
              <w:bottom w:val="nil"/>
              <w:right w:val="nil"/>
            </w:tcBorders>
            <w:shd w:val="clear" w:color="auto" w:fill="auto"/>
            <w:noWrap/>
            <w:vAlign w:val="bottom"/>
          </w:tcPr>
          <w:p w14:paraId="5A3AFC93" w14:textId="10424AC4" w:rsidR="00F50391" w:rsidRDefault="00F50391" w:rsidP="005D3EDC">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Other reserves</w:t>
            </w:r>
          </w:p>
        </w:tc>
        <w:tc>
          <w:tcPr>
            <w:tcW w:w="258" w:type="dxa"/>
            <w:tcBorders>
              <w:top w:val="nil"/>
              <w:left w:val="nil"/>
              <w:bottom w:val="nil"/>
              <w:right w:val="nil"/>
            </w:tcBorders>
            <w:shd w:val="clear" w:color="auto" w:fill="auto"/>
            <w:noWrap/>
            <w:vAlign w:val="bottom"/>
          </w:tcPr>
          <w:p w14:paraId="23F88046" w14:textId="77777777" w:rsidR="00F50391" w:rsidRPr="005D3EDC" w:rsidRDefault="00F50391" w:rsidP="005D3EDC">
            <w:pPr>
              <w:spacing w:after="0" w:line="240" w:lineRule="auto"/>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tcPr>
          <w:p w14:paraId="0F5DD45A" w14:textId="77777777" w:rsidR="00F50391" w:rsidRPr="005D3EDC" w:rsidRDefault="00F50391"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tcPr>
          <w:p w14:paraId="1DA828C9" w14:textId="77777777" w:rsidR="00F50391" w:rsidRPr="005D3EDC" w:rsidRDefault="00F50391"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CCECFF"/>
            <w:noWrap/>
            <w:vAlign w:val="bottom"/>
          </w:tcPr>
          <w:p w14:paraId="57316150" w14:textId="22E64797" w:rsidR="00F50391" w:rsidRDefault="00F50391" w:rsidP="005D3EDC">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6 </w:t>
            </w:r>
          </w:p>
        </w:tc>
        <w:tc>
          <w:tcPr>
            <w:tcW w:w="1660" w:type="dxa"/>
            <w:tcBorders>
              <w:top w:val="nil"/>
              <w:left w:val="nil"/>
              <w:bottom w:val="nil"/>
              <w:right w:val="nil"/>
            </w:tcBorders>
            <w:shd w:val="clear" w:color="auto" w:fill="auto"/>
            <w:noWrap/>
            <w:vAlign w:val="bottom"/>
          </w:tcPr>
          <w:p w14:paraId="1C6F200B" w14:textId="1CE11507" w:rsidR="00F50391" w:rsidRDefault="00F50391"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1 </w:t>
            </w:r>
          </w:p>
        </w:tc>
        <w:tc>
          <w:tcPr>
            <w:tcW w:w="1660" w:type="dxa"/>
            <w:tcBorders>
              <w:top w:val="nil"/>
              <w:left w:val="nil"/>
              <w:bottom w:val="nil"/>
              <w:right w:val="nil"/>
            </w:tcBorders>
            <w:shd w:val="clear" w:color="auto" w:fill="auto"/>
            <w:noWrap/>
            <w:vAlign w:val="bottom"/>
          </w:tcPr>
          <w:p w14:paraId="6E2D01A3" w14:textId="01E89EE7" w:rsidR="00F50391" w:rsidRDefault="00F50391" w:rsidP="005D3EDC">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 xml:space="preserve">6 </w:t>
            </w:r>
          </w:p>
        </w:tc>
      </w:tr>
      <w:tr w:rsidR="005D3EDC" w:rsidRPr="005D3EDC" w14:paraId="4E796DFB" w14:textId="77777777" w:rsidTr="008320B4">
        <w:trPr>
          <w:trHeight w:val="248"/>
        </w:trPr>
        <w:tc>
          <w:tcPr>
            <w:tcW w:w="3005" w:type="dxa"/>
            <w:tcBorders>
              <w:top w:val="nil"/>
              <w:left w:val="nil"/>
              <w:bottom w:val="single" w:sz="4" w:space="0" w:color="BFBFBF"/>
              <w:right w:val="nil"/>
            </w:tcBorders>
            <w:shd w:val="clear" w:color="auto" w:fill="auto"/>
            <w:noWrap/>
            <w:vAlign w:val="bottom"/>
            <w:hideMark/>
          </w:tcPr>
          <w:p w14:paraId="344FDADD"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Total equity</w:t>
            </w:r>
          </w:p>
        </w:tc>
        <w:tc>
          <w:tcPr>
            <w:tcW w:w="258" w:type="dxa"/>
            <w:tcBorders>
              <w:top w:val="nil"/>
              <w:left w:val="nil"/>
              <w:bottom w:val="single" w:sz="4" w:space="0" w:color="BFBFBF"/>
              <w:right w:val="nil"/>
            </w:tcBorders>
            <w:shd w:val="clear" w:color="auto" w:fill="auto"/>
            <w:noWrap/>
            <w:vAlign w:val="bottom"/>
            <w:hideMark/>
          </w:tcPr>
          <w:p w14:paraId="768C2387"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single" w:sz="4" w:space="0" w:color="BFBFBF"/>
              <w:right w:val="nil"/>
            </w:tcBorders>
            <w:shd w:val="clear" w:color="auto" w:fill="auto"/>
            <w:noWrap/>
            <w:vAlign w:val="bottom"/>
            <w:hideMark/>
          </w:tcPr>
          <w:p w14:paraId="793BEAAD"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single" w:sz="4" w:space="0" w:color="BFBFBF"/>
              <w:right w:val="nil"/>
            </w:tcBorders>
            <w:shd w:val="clear" w:color="auto" w:fill="auto"/>
            <w:noWrap/>
            <w:vAlign w:val="bottom"/>
            <w:hideMark/>
          </w:tcPr>
          <w:p w14:paraId="0AA6D9C6"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1324" w:type="dxa"/>
            <w:tcBorders>
              <w:top w:val="nil"/>
              <w:left w:val="nil"/>
              <w:bottom w:val="single" w:sz="4" w:space="0" w:color="BFBFBF"/>
              <w:right w:val="nil"/>
            </w:tcBorders>
            <w:shd w:val="clear" w:color="auto" w:fill="auto"/>
            <w:noWrap/>
            <w:vAlign w:val="bottom"/>
            <w:hideMark/>
          </w:tcPr>
          <w:p w14:paraId="3DFD3C33"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019" w:type="dxa"/>
            <w:tcBorders>
              <w:top w:val="nil"/>
              <w:left w:val="nil"/>
              <w:bottom w:val="single" w:sz="4" w:space="0" w:color="BFBFBF"/>
              <w:right w:val="nil"/>
            </w:tcBorders>
            <w:shd w:val="clear" w:color="auto" w:fill="CCECFF"/>
            <w:noWrap/>
            <w:vAlign w:val="bottom"/>
            <w:hideMark/>
          </w:tcPr>
          <w:p w14:paraId="36FB3E01"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3,118 </w:t>
            </w:r>
          </w:p>
        </w:tc>
        <w:tc>
          <w:tcPr>
            <w:tcW w:w="1660" w:type="dxa"/>
            <w:tcBorders>
              <w:top w:val="single" w:sz="4" w:space="0" w:color="BFBFBF"/>
              <w:left w:val="nil"/>
              <w:bottom w:val="single" w:sz="4" w:space="0" w:color="BFBFBF"/>
              <w:right w:val="nil"/>
            </w:tcBorders>
            <w:shd w:val="clear" w:color="auto" w:fill="auto"/>
            <w:noWrap/>
            <w:vAlign w:val="bottom"/>
            <w:hideMark/>
          </w:tcPr>
          <w:p w14:paraId="5F867F28"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2,604 </w:t>
            </w:r>
          </w:p>
        </w:tc>
        <w:tc>
          <w:tcPr>
            <w:tcW w:w="1660" w:type="dxa"/>
            <w:tcBorders>
              <w:top w:val="nil"/>
              <w:left w:val="nil"/>
              <w:bottom w:val="single" w:sz="4" w:space="0" w:color="BFBFBF"/>
              <w:right w:val="nil"/>
            </w:tcBorders>
            <w:shd w:val="clear" w:color="auto" w:fill="auto"/>
            <w:noWrap/>
            <w:vAlign w:val="bottom"/>
            <w:hideMark/>
          </w:tcPr>
          <w:p w14:paraId="45C916B8"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2,939 </w:t>
            </w:r>
          </w:p>
        </w:tc>
      </w:tr>
      <w:tr w:rsidR="005D3EDC" w:rsidRPr="005D3EDC" w14:paraId="358553CB" w14:textId="77777777" w:rsidTr="008320B4">
        <w:trPr>
          <w:trHeight w:val="248"/>
        </w:trPr>
        <w:tc>
          <w:tcPr>
            <w:tcW w:w="3263" w:type="dxa"/>
            <w:gridSpan w:val="2"/>
            <w:tcBorders>
              <w:top w:val="single" w:sz="4" w:space="0" w:color="BFBFBF"/>
              <w:left w:val="nil"/>
              <w:bottom w:val="single" w:sz="4" w:space="0" w:color="BFBFBF"/>
              <w:right w:val="nil"/>
            </w:tcBorders>
            <w:shd w:val="clear" w:color="auto" w:fill="auto"/>
            <w:noWrap/>
            <w:vAlign w:val="bottom"/>
            <w:hideMark/>
          </w:tcPr>
          <w:p w14:paraId="237D078F" w14:textId="77777777" w:rsidR="005D3EDC" w:rsidRPr="005D3EDC" w:rsidRDefault="005D3EDC" w:rsidP="005D3EDC">
            <w:pPr>
              <w:spacing w:after="0" w:line="240" w:lineRule="auto"/>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Total equity and liabilities</w:t>
            </w:r>
          </w:p>
        </w:tc>
        <w:tc>
          <w:tcPr>
            <w:tcW w:w="258" w:type="dxa"/>
            <w:tcBorders>
              <w:top w:val="nil"/>
              <w:left w:val="nil"/>
              <w:bottom w:val="single" w:sz="4" w:space="0" w:color="BFBFBF"/>
              <w:right w:val="nil"/>
            </w:tcBorders>
            <w:shd w:val="clear" w:color="auto" w:fill="auto"/>
            <w:noWrap/>
            <w:vAlign w:val="bottom"/>
            <w:hideMark/>
          </w:tcPr>
          <w:p w14:paraId="0E97B678"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58" w:type="dxa"/>
            <w:tcBorders>
              <w:top w:val="nil"/>
              <w:left w:val="nil"/>
              <w:bottom w:val="single" w:sz="4" w:space="0" w:color="BFBFBF"/>
              <w:right w:val="nil"/>
            </w:tcBorders>
            <w:shd w:val="clear" w:color="auto" w:fill="auto"/>
            <w:noWrap/>
            <w:vAlign w:val="bottom"/>
            <w:hideMark/>
          </w:tcPr>
          <w:p w14:paraId="6D3FD1F0"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1324" w:type="dxa"/>
            <w:tcBorders>
              <w:top w:val="nil"/>
              <w:left w:val="nil"/>
              <w:bottom w:val="single" w:sz="4" w:space="0" w:color="BFBFBF"/>
              <w:right w:val="nil"/>
            </w:tcBorders>
            <w:shd w:val="clear" w:color="auto" w:fill="auto"/>
            <w:noWrap/>
            <w:vAlign w:val="bottom"/>
            <w:hideMark/>
          </w:tcPr>
          <w:p w14:paraId="4465D4CE" w14:textId="77777777"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 </w:t>
            </w:r>
          </w:p>
        </w:tc>
        <w:tc>
          <w:tcPr>
            <w:tcW w:w="2019" w:type="dxa"/>
            <w:tcBorders>
              <w:top w:val="nil"/>
              <w:left w:val="nil"/>
              <w:bottom w:val="single" w:sz="4" w:space="0" w:color="BFBFBF"/>
              <w:right w:val="nil"/>
            </w:tcBorders>
            <w:shd w:val="clear" w:color="auto" w:fill="CCECFF"/>
            <w:noWrap/>
            <w:vAlign w:val="bottom"/>
            <w:hideMark/>
          </w:tcPr>
          <w:p w14:paraId="11A1BCFA" w14:textId="77777777" w:rsidR="005D3EDC" w:rsidRPr="005D3EDC" w:rsidRDefault="005D3EDC" w:rsidP="005D3EDC">
            <w:pPr>
              <w:spacing w:after="0" w:line="240" w:lineRule="auto"/>
              <w:jc w:val="right"/>
              <w:rPr>
                <w:rFonts w:ascii="Arial" w:eastAsia="Times New Roman" w:hAnsi="Arial" w:cs="Arial"/>
                <w:b/>
                <w:bCs/>
                <w:sz w:val="15"/>
                <w:szCs w:val="15"/>
                <w:lang w:eastAsia="en-GB"/>
              </w:rPr>
            </w:pPr>
            <w:r w:rsidRPr="005D3EDC">
              <w:rPr>
                <w:rFonts w:ascii="Arial" w:eastAsia="Times New Roman" w:hAnsi="Arial" w:cs="Arial"/>
                <w:b/>
                <w:bCs/>
                <w:sz w:val="15"/>
                <w:szCs w:val="15"/>
                <w:lang w:eastAsia="en-GB"/>
              </w:rPr>
              <w:t xml:space="preserve">9,306 </w:t>
            </w:r>
          </w:p>
        </w:tc>
        <w:tc>
          <w:tcPr>
            <w:tcW w:w="1660" w:type="dxa"/>
            <w:tcBorders>
              <w:top w:val="nil"/>
              <w:left w:val="nil"/>
              <w:bottom w:val="single" w:sz="4" w:space="0" w:color="BFBFBF"/>
              <w:right w:val="nil"/>
            </w:tcBorders>
            <w:shd w:val="clear" w:color="auto" w:fill="auto"/>
            <w:noWrap/>
            <w:vAlign w:val="bottom"/>
            <w:hideMark/>
          </w:tcPr>
          <w:p w14:paraId="04DB8A02"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8,753 </w:t>
            </w:r>
          </w:p>
        </w:tc>
        <w:tc>
          <w:tcPr>
            <w:tcW w:w="1660" w:type="dxa"/>
            <w:tcBorders>
              <w:top w:val="nil"/>
              <w:left w:val="nil"/>
              <w:bottom w:val="single" w:sz="4" w:space="0" w:color="BFBFBF"/>
              <w:right w:val="nil"/>
            </w:tcBorders>
            <w:shd w:val="clear" w:color="auto" w:fill="auto"/>
            <w:noWrap/>
            <w:vAlign w:val="bottom"/>
            <w:hideMark/>
          </w:tcPr>
          <w:p w14:paraId="754A1144" w14:textId="77777777" w:rsidR="005D3EDC" w:rsidRPr="005D3EDC" w:rsidRDefault="005D3EDC" w:rsidP="005D3EDC">
            <w:pPr>
              <w:spacing w:after="0" w:line="240" w:lineRule="auto"/>
              <w:jc w:val="right"/>
              <w:rPr>
                <w:rFonts w:ascii="Arial" w:eastAsia="Times New Roman" w:hAnsi="Arial" w:cs="Arial"/>
                <w:sz w:val="15"/>
                <w:szCs w:val="15"/>
                <w:lang w:eastAsia="en-GB"/>
              </w:rPr>
            </w:pPr>
            <w:r w:rsidRPr="005D3EDC">
              <w:rPr>
                <w:rFonts w:ascii="Arial" w:eastAsia="Times New Roman" w:hAnsi="Arial" w:cs="Arial"/>
                <w:sz w:val="15"/>
                <w:szCs w:val="15"/>
                <w:lang w:eastAsia="en-GB"/>
              </w:rPr>
              <w:t xml:space="preserve">9,180 </w:t>
            </w:r>
          </w:p>
        </w:tc>
      </w:tr>
      <w:tr w:rsidR="005D3EDC" w:rsidRPr="005D3EDC" w14:paraId="395A6B0E" w14:textId="77777777" w:rsidTr="008320B4">
        <w:trPr>
          <w:trHeight w:val="199"/>
        </w:trPr>
        <w:tc>
          <w:tcPr>
            <w:tcW w:w="3005" w:type="dxa"/>
            <w:tcBorders>
              <w:top w:val="nil"/>
              <w:left w:val="nil"/>
              <w:bottom w:val="nil"/>
              <w:right w:val="nil"/>
            </w:tcBorders>
            <w:shd w:val="clear" w:color="auto" w:fill="auto"/>
            <w:noWrap/>
            <w:vAlign w:val="bottom"/>
            <w:hideMark/>
          </w:tcPr>
          <w:p w14:paraId="56EC5069" w14:textId="77777777" w:rsidR="005D3EDC" w:rsidRPr="005D3EDC" w:rsidRDefault="005D3EDC" w:rsidP="005D3EDC">
            <w:pPr>
              <w:spacing w:after="0" w:line="240" w:lineRule="auto"/>
              <w:jc w:val="right"/>
              <w:rPr>
                <w:rFonts w:ascii="Arial" w:eastAsia="Times New Roman" w:hAnsi="Arial" w:cs="Arial"/>
                <w:sz w:val="15"/>
                <w:szCs w:val="15"/>
                <w:lang w:eastAsia="en-GB"/>
              </w:rPr>
            </w:pPr>
          </w:p>
        </w:tc>
        <w:tc>
          <w:tcPr>
            <w:tcW w:w="258" w:type="dxa"/>
            <w:tcBorders>
              <w:top w:val="nil"/>
              <w:left w:val="nil"/>
              <w:bottom w:val="nil"/>
              <w:right w:val="nil"/>
            </w:tcBorders>
            <w:shd w:val="clear" w:color="auto" w:fill="auto"/>
            <w:noWrap/>
            <w:vAlign w:val="bottom"/>
            <w:hideMark/>
          </w:tcPr>
          <w:p w14:paraId="42D5B8CA"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58" w:type="dxa"/>
            <w:tcBorders>
              <w:top w:val="nil"/>
              <w:left w:val="nil"/>
              <w:bottom w:val="nil"/>
              <w:right w:val="nil"/>
            </w:tcBorders>
            <w:shd w:val="clear" w:color="auto" w:fill="auto"/>
            <w:noWrap/>
            <w:vAlign w:val="bottom"/>
            <w:hideMark/>
          </w:tcPr>
          <w:p w14:paraId="1C1F05C3"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58" w:type="dxa"/>
            <w:tcBorders>
              <w:top w:val="nil"/>
              <w:left w:val="nil"/>
              <w:bottom w:val="nil"/>
              <w:right w:val="nil"/>
            </w:tcBorders>
            <w:shd w:val="clear" w:color="auto" w:fill="auto"/>
            <w:noWrap/>
            <w:vAlign w:val="bottom"/>
            <w:hideMark/>
          </w:tcPr>
          <w:p w14:paraId="6D2CBE4A"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auto"/>
            <w:noWrap/>
            <w:vAlign w:val="bottom"/>
            <w:hideMark/>
          </w:tcPr>
          <w:p w14:paraId="688CFC6A" w14:textId="77777777" w:rsidR="005D3EDC" w:rsidRPr="005D3EDC" w:rsidRDefault="005D3EDC" w:rsidP="005D3EDC">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auto"/>
            <w:noWrap/>
            <w:vAlign w:val="bottom"/>
            <w:hideMark/>
          </w:tcPr>
          <w:p w14:paraId="03BC5F21" w14:textId="77777777" w:rsidR="005D3EDC" w:rsidRPr="005D3EDC" w:rsidRDefault="005D3EDC" w:rsidP="005D3EDC">
            <w:pPr>
              <w:spacing w:after="0" w:line="240" w:lineRule="auto"/>
              <w:jc w:val="right"/>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6C9A28B0" w14:textId="77777777" w:rsidR="005D3EDC" w:rsidRPr="005D3EDC" w:rsidRDefault="005D3EDC" w:rsidP="005D3EDC">
            <w:pPr>
              <w:spacing w:after="0" w:line="240" w:lineRule="auto"/>
              <w:jc w:val="right"/>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7117CE83" w14:textId="77777777" w:rsidR="005D3EDC" w:rsidRPr="005D3EDC" w:rsidRDefault="005D3EDC" w:rsidP="005D3EDC">
            <w:pPr>
              <w:spacing w:after="0" w:line="240" w:lineRule="auto"/>
              <w:jc w:val="right"/>
              <w:rPr>
                <w:rFonts w:ascii="Times New Roman" w:eastAsia="Times New Roman" w:hAnsi="Times New Roman" w:cs="Times New Roman"/>
                <w:sz w:val="20"/>
                <w:szCs w:val="20"/>
                <w:lang w:eastAsia="en-GB"/>
              </w:rPr>
            </w:pPr>
          </w:p>
        </w:tc>
      </w:tr>
      <w:tr w:rsidR="005D3EDC" w:rsidRPr="005D3EDC" w14:paraId="450308B8" w14:textId="77777777" w:rsidTr="008320B4">
        <w:trPr>
          <w:trHeight w:val="255"/>
        </w:trPr>
        <w:tc>
          <w:tcPr>
            <w:tcW w:w="10442" w:type="dxa"/>
            <w:gridSpan w:val="8"/>
            <w:tcBorders>
              <w:top w:val="nil"/>
              <w:left w:val="nil"/>
              <w:bottom w:val="nil"/>
              <w:right w:val="nil"/>
            </w:tcBorders>
            <w:shd w:val="clear" w:color="auto" w:fill="auto"/>
            <w:vAlign w:val="center"/>
            <w:hideMark/>
          </w:tcPr>
          <w:p w14:paraId="5CC9CE7A" w14:textId="678F0C3F" w:rsidR="005D3EDC" w:rsidRPr="005D3EDC" w:rsidRDefault="005D3EDC" w:rsidP="005D3EDC">
            <w:pPr>
              <w:spacing w:after="0" w:line="240" w:lineRule="auto"/>
              <w:rPr>
                <w:rFonts w:ascii="Arial" w:eastAsia="Times New Roman" w:hAnsi="Arial" w:cs="Arial"/>
                <w:sz w:val="15"/>
                <w:szCs w:val="15"/>
                <w:lang w:eastAsia="en-GB"/>
              </w:rPr>
            </w:pPr>
            <w:r w:rsidRPr="005D3EDC">
              <w:rPr>
                <w:rFonts w:ascii="Arial" w:eastAsia="Times New Roman" w:hAnsi="Arial" w:cs="Arial"/>
                <w:sz w:val="15"/>
                <w:szCs w:val="15"/>
                <w:lang w:eastAsia="en-GB"/>
              </w:rPr>
              <w:t>The accompanying notes form an integral part of these financial statements.</w:t>
            </w:r>
          </w:p>
        </w:tc>
      </w:tr>
    </w:tbl>
    <w:p w14:paraId="56DFA955" w14:textId="0ECEFD3D" w:rsidR="0098037E" w:rsidRDefault="0098037E"/>
    <w:tbl>
      <w:tblPr>
        <w:tblW w:w="10348" w:type="dxa"/>
        <w:tblLook w:val="04A0" w:firstRow="1" w:lastRow="0" w:firstColumn="1" w:lastColumn="0" w:noHBand="0" w:noVBand="1"/>
      </w:tblPr>
      <w:tblGrid>
        <w:gridCol w:w="340"/>
        <w:gridCol w:w="2220"/>
        <w:gridCol w:w="2260"/>
        <w:gridCol w:w="1134"/>
        <w:gridCol w:w="1276"/>
        <w:gridCol w:w="1134"/>
        <w:gridCol w:w="992"/>
        <w:gridCol w:w="992"/>
      </w:tblGrid>
      <w:tr w:rsidR="00B57A59" w:rsidRPr="00B57A59" w14:paraId="18816E18" w14:textId="77777777" w:rsidTr="00CA0E46">
        <w:trPr>
          <w:trHeight w:val="360"/>
        </w:trPr>
        <w:tc>
          <w:tcPr>
            <w:tcW w:w="9356" w:type="dxa"/>
            <w:gridSpan w:val="7"/>
            <w:tcBorders>
              <w:top w:val="nil"/>
              <w:left w:val="nil"/>
              <w:bottom w:val="nil"/>
              <w:right w:val="nil"/>
            </w:tcBorders>
            <w:shd w:val="clear" w:color="auto" w:fill="auto"/>
            <w:noWrap/>
            <w:vAlign w:val="bottom"/>
            <w:hideMark/>
          </w:tcPr>
          <w:p w14:paraId="694D42EB" w14:textId="77777777" w:rsidR="00B57A59" w:rsidRPr="00B57A59" w:rsidRDefault="00B57A59" w:rsidP="00B57A59">
            <w:pPr>
              <w:spacing w:after="0" w:line="240" w:lineRule="auto"/>
              <w:rPr>
                <w:rFonts w:ascii="Arial" w:eastAsia="Times New Roman" w:hAnsi="Arial" w:cs="Arial"/>
                <w:b/>
                <w:bCs/>
                <w:color w:val="00B0F0"/>
                <w:sz w:val="28"/>
                <w:szCs w:val="28"/>
                <w:lang w:eastAsia="en-GB"/>
              </w:rPr>
            </w:pPr>
            <w:r w:rsidRPr="00B57A59">
              <w:rPr>
                <w:rFonts w:ascii="Arial" w:eastAsia="Times New Roman" w:hAnsi="Arial" w:cs="Arial"/>
                <w:b/>
                <w:bCs/>
                <w:color w:val="00B0F0"/>
                <w:sz w:val="28"/>
                <w:szCs w:val="28"/>
                <w:lang w:eastAsia="en-GB"/>
              </w:rPr>
              <w:t>Condensed Consolidated Statement of Changes in Equity</w:t>
            </w:r>
          </w:p>
        </w:tc>
        <w:tc>
          <w:tcPr>
            <w:tcW w:w="992" w:type="dxa"/>
            <w:tcBorders>
              <w:top w:val="nil"/>
              <w:left w:val="nil"/>
              <w:bottom w:val="nil"/>
              <w:right w:val="nil"/>
            </w:tcBorders>
            <w:shd w:val="clear" w:color="auto" w:fill="auto"/>
            <w:noWrap/>
            <w:vAlign w:val="bottom"/>
            <w:hideMark/>
          </w:tcPr>
          <w:p w14:paraId="540D2CED" w14:textId="77777777" w:rsidR="00B57A59" w:rsidRPr="00B57A59" w:rsidRDefault="00B57A59" w:rsidP="00B57A59">
            <w:pPr>
              <w:spacing w:after="0" w:line="240" w:lineRule="auto"/>
              <w:rPr>
                <w:rFonts w:ascii="Arial" w:eastAsia="Times New Roman" w:hAnsi="Arial" w:cs="Arial"/>
                <w:b/>
                <w:bCs/>
                <w:color w:val="00B0F0"/>
                <w:sz w:val="28"/>
                <w:szCs w:val="28"/>
                <w:lang w:eastAsia="en-GB"/>
              </w:rPr>
            </w:pPr>
          </w:p>
        </w:tc>
      </w:tr>
      <w:tr w:rsidR="00B57A59" w:rsidRPr="00B57A59" w14:paraId="0EC65269" w14:textId="77777777" w:rsidTr="00CA0E46">
        <w:trPr>
          <w:trHeight w:val="345"/>
        </w:trPr>
        <w:tc>
          <w:tcPr>
            <w:tcW w:w="4820" w:type="dxa"/>
            <w:gridSpan w:val="3"/>
            <w:tcBorders>
              <w:top w:val="nil"/>
              <w:left w:val="nil"/>
              <w:bottom w:val="nil"/>
              <w:right w:val="nil"/>
            </w:tcBorders>
            <w:shd w:val="clear" w:color="auto" w:fill="auto"/>
            <w:noWrap/>
            <w:vAlign w:val="bottom"/>
            <w:hideMark/>
          </w:tcPr>
          <w:p w14:paraId="38695B12" w14:textId="77777777" w:rsidR="00B57A59" w:rsidRPr="00B57A59" w:rsidRDefault="00B57A59" w:rsidP="00B57A59">
            <w:pPr>
              <w:spacing w:after="0" w:line="240" w:lineRule="auto"/>
              <w:rPr>
                <w:rFonts w:ascii="Arial" w:eastAsia="Times New Roman" w:hAnsi="Arial" w:cs="Arial"/>
                <w:sz w:val="26"/>
                <w:szCs w:val="26"/>
                <w:lang w:eastAsia="en-GB"/>
              </w:rPr>
            </w:pPr>
            <w:r w:rsidRPr="00B57A59">
              <w:rPr>
                <w:rFonts w:ascii="Arial" w:eastAsia="Times New Roman" w:hAnsi="Arial" w:cs="Arial"/>
                <w:sz w:val="26"/>
                <w:szCs w:val="26"/>
                <w:lang w:eastAsia="en-GB"/>
              </w:rPr>
              <w:t>for the 26 weeks ended 2 July 2022</w:t>
            </w:r>
          </w:p>
        </w:tc>
        <w:tc>
          <w:tcPr>
            <w:tcW w:w="1134" w:type="dxa"/>
            <w:tcBorders>
              <w:top w:val="nil"/>
              <w:left w:val="nil"/>
              <w:bottom w:val="nil"/>
              <w:right w:val="nil"/>
            </w:tcBorders>
            <w:shd w:val="clear" w:color="auto" w:fill="auto"/>
            <w:noWrap/>
            <w:vAlign w:val="bottom"/>
            <w:hideMark/>
          </w:tcPr>
          <w:p w14:paraId="3CD79EE6" w14:textId="77777777" w:rsidR="00B57A59" w:rsidRPr="00B57A59" w:rsidRDefault="00B57A59" w:rsidP="00B57A59">
            <w:pPr>
              <w:spacing w:after="0" w:line="240" w:lineRule="auto"/>
              <w:rPr>
                <w:rFonts w:ascii="Arial" w:eastAsia="Times New Roman" w:hAnsi="Arial" w:cs="Arial"/>
                <w:sz w:val="26"/>
                <w:szCs w:val="26"/>
                <w:lang w:eastAsia="en-GB"/>
              </w:rPr>
            </w:pPr>
          </w:p>
        </w:tc>
        <w:tc>
          <w:tcPr>
            <w:tcW w:w="1276" w:type="dxa"/>
            <w:tcBorders>
              <w:top w:val="nil"/>
              <w:left w:val="nil"/>
              <w:bottom w:val="nil"/>
              <w:right w:val="nil"/>
            </w:tcBorders>
            <w:shd w:val="clear" w:color="auto" w:fill="auto"/>
            <w:noWrap/>
            <w:vAlign w:val="bottom"/>
            <w:hideMark/>
          </w:tcPr>
          <w:p w14:paraId="36F7C3D5"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5A2099E5"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2FBCC607"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7805BA3B"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r>
      <w:tr w:rsidR="00B57A59" w:rsidRPr="00B57A59" w14:paraId="6C09A969" w14:textId="77777777" w:rsidTr="00CA0E46">
        <w:trPr>
          <w:trHeight w:val="263"/>
        </w:trPr>
        <w:tc>
          <w:tcPr>
            <w:tcW w:w="340" w:type="dxa"/>
            <w:tcBorders>
              <w:top w:val="nil"/>
              <w:left w:val="nil"/>
              <w:bottom w:val="nil"/>
              <w:right w:val="nil"/>
            </w:tcBorders>
            <w:shd w:val="clear" w:color="auto" w:fill="auto"/>
            <w:noWrap/>
            <w:vAlign w:val="bottom"/>
            <w:hideMark/>
          </w:tcPr>
          <w:p w14:paraId="2BC05C44"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2220" w:type="dxa"/>
            <w:tcBorders>
              <w:top w:val="nil"/>
              <w:left w:val="nil"/>
              <w:bottom w:val="nil"/>
              <w:right w:val="nil"/>
            </w:tcBorders>
            <w:shd w:val="clear" w:color="auto" w:fill="auto"/>
            <w:noWrap/>
            <w:vAlign w:val="bottom"/>
            <w:hideMark/>
          </w:tcPr>
          <w:p w14:paraId="0DA06191"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2260" w:type="dxa"/>
            <w:tcBorders>
              <w:top w:val="nil"/>
              <w:left w:val="nil"/>
              <w:bottom w:val="nil"/>
              <w:right w:val="nil"/>
            </w:tcBorders>
            <w:shd w:val="clear" w:color="auto" w:fill="auto"/>
            <w:noWrap/>
            <w:vAlign w:val="bottom"/>
            <w:hideMark/>
          </w:tcPr>
          <w:p w14:paraId="5CCBA861"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C076DA1"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4056B8B"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2EFB73DC"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7F9899E2"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C546093"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r>
      <w:tr w:rsidR="00B57A59" w:rsidRPr="00B57A59" w14:paraId="44F28353" w14:textId="77777777" w:rsidTr="00777B4E">
        <w:trPr>
          <w:trHeight w:val="360"/>
        </w:trPr>
        <w:tc>
          <w:tcPr>
            <w:tcW w:w="10348" w:type="dxa"/>
            <w:gridSpan w:val="8"/>
            <w:tcBorders>
              <w:top w:val="single" w:sz="4" w:space="0" w:color="D9D9D9"/>
              <w:left w:val="single" w:sz="4" w:space="0" w:color="D9D9D9"/>
              <w:bottom w:val="single" w:sz="4" w:space="0" w:color="D9D9D9"/>
              <w:right w:val="single" w:sz="4" w:space="0" w:color="D9D9D9"/>
            </w:tcBorders>
            <w:shd w:val="clear" w:color="auto" w:fill="CCECFF"/>
            <w:vAlign w:val="center"/>
            <w:hideMark/>
          </w:tcPr>
          <w:p w14:paraId="49B52252" w14:textId="77777777" w:rsidR="00B57A59" w:rsidRPr="00B57A59" w:rsidRDefault="00B57A59" w:rsidP="00B57A59">
            <w:pPr>
              <w:spacing w:after="0" w:line="240" w:lineRule="auto"/>
              <w:rPr>
                <w:rFonts w:ascii="Arial" w:eastAsia="Times New Roman" w:hAnsi="Arial" w:cs="Arial"/>
                <w:sz w:val="18"/>
                <w:szCs w:val="18"/>
                <w:lang w:eastAsia="en-GB"/>
              </w:rPr>
            </w:pPr>
            <w:r w:rsidRPr="00B57A59">
              <w:rPr>
                <w:rFonts w:ascii="Arial" w:eastAsia="Times New Roman" w:hAnsi="Arial" w:cs="Arial"/>
                <w:b/>
                <w:bCs/>
                <w:sz w:val="18"/>
                <w:szCs w:val="18"/>
                <w:lang w:eastAsia="en-GB"/>
              </w:rPr>
              <w:t>What does this show?</w:t>
            </w:r>
            <w:r w:rsidRPr="00B57A59">
              <w:rPr>
                <w:rFonts w:ascii="Arial" w:eastAsia="Times New Roman" w:hAnsi="Arial" w:cs="Arial"/>
                <w:sz w:val="18"/>
                <w:szCs w:val="18"/>
                <w:lang w:eastAsia="en-GB"/>
              </w:rPr>
              <w:t xml:space="preserve"> Our statement of changes in equity shows how our net assets have changed during the year.</w:t>
            </w:r>
          </w:p>
        </w:tc>
      </w:tr>
      <w:tr w:rsidR="00B57A59" w:rsidRPr="00B57A59" w14:paraId="7008F86B" w14:textId="77777777" w:rsidTr="00CA0E46">
        <w:trPr>
          <w:trHeight w:val="70"/>
        </w:trPr>
        <w:tc>
          <w:tcPr>
            <w:tcW w:w="340" w:type="dxa"/>
            <w:tcBorders>
              <w:top w:val="nil"/>
              <w:left w:val="nil"/>
              <w:bottom w:val="nil"/>
              <w:right w:val="nil"/>
            </w:tcBorders>
            <w:shd w:val="clear" w:color="auto" w:fill="auto"/>
            <w:noWrap/>
            <w:vAlign w:val="bottom"/>
            <w:hideMark/>
          </w:tcPr>
          <w:p w14:paraId="26A4D155" w14:textId="77777777" w:rsidR="00B57A59" w:rsidRPr="00B57A59" w:rsidRDefault="00B57A59" w:rsidP="00B57A59">
            <w:pPr>
              <w:spacing w:after="0" w:line="240" w:lineRule="auto"/>
              <w:rPr>
                <w:rFonts w:ascii="Arial" w:eastAsia="Times New Roman" w:hAnsi="Arial" w:cs="Arial"/>
                <w:sz w:val="18"/>
                <w:szCs w:val="18"/>
                <w:lang w:eastAsia="en-GB"/>
              </w:rPr>
            </w:pPr>
          </w:p>
        </w:tc>
        <w:tc>
          <w:tcPr>
            <w:tcW w:w="2220" w:type="dxa"/>
            <w:tcBorders>
              <w:top w:val="nil"/>
              <w:left w:val="nil"/>
              <w:bottom w:val="nil"/>
              <w:right w:val="nil"/>
            </w:tcBorders>
            <w:shd w:val="clear" w:color="auto" w:fill="auto"/>
            <w:noWrap/>
            <w:vAlign w:val="bottom"/>
            <w:hideMark/>
          </w:tcPr>
          <w:p w14:paraId="1BFF7CFA"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2260" w:type="dxa"/>
            <w:tcBorders>
              <w:top w:val="nil"/>
              <w:left w:val="nil"/>
              <w:bottom w:val="nil"/>
              <w:right w:val="nil"/>
            </w:tcBorders>
            <w:shd w:val="clear" w:color="auto" w:fill="auto"/>
            <w:noWrap/>
            <w:vAlign w:val="bottom"/>
            <w:hideMark/>
          </w:tcPr>
          <w:p w14:paraId="336A4728"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F389630"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8E65BF3"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86228B6" w14:textId="77777777" w:rsidR="00B57A59" w:rsidRPr="00B57A59" w:rsidRDefault="00B57A59" w:rsidP="00B57A59">
            <w:pPr>
              <w:spacing w:after="0" w:line="240" w:lineRule="auto"/>
              <w:jc w:val="right"/>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8C080C5" w14:textId="77777777" w:rsidR="00B57A59" w:rsidRPr="00B57A59" w:rsidRDefault="00B57A59" w:rsidP="00B57A59">
            <w:pPr>
              <w:spacing w:after="0" w:line="240" w:lineRule="auto"/>
              <w:jc w:val="right"/>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C18D750" w14:textId="77777777" w:rsidR="00B57A59" w:rsidRPr="00B57A59" w:rsidRDefault="00B57A59" w:rsidP="00B57A59">
            <w:pPr>
              <w:spacing w:after="0" w:line="240" w:lineRule="auto"/>
              <w:jc w:val="right"/>
              <w:rPr>
                <w:rFonts w:ascii="Times New Roman" w:eastAsia="Times New Roman" w:hAnsi="Times New Roman" w:cs="Times New Roman"/>
                <w:sz w:val="20"/>
                <w:szCs w:val="20"/>
                <w:lang w:eastAsia="en-GB"/>
              </w:rPr>
            </w:pPr>
          </w:p>
        </w:tc>
      </w:tr>
      <w:tr w:rsidR="00B57A59" w:rsidRPr="00B57A59" w14:paraId="6E0CC4C0" w14:textId="77777777" w:rsidTr="00CA0E46">
        <w:trPr>
          <w:trHeight w:val="255"/>
        </w:trPr>
        <w:tc>
          <w:tcPr>
            <w:tcW w:w="340" w:type="dxa"/>
            <w:tcBorders>
              <w:top w:val="nil"/>
              <w:left w:val="nil"/>
              <w:bottom w:val="single" w:sz="4" w:space="0" w:color="BFBFBF"/>
              <w:right w:val="nil"/>
            </w:tcBorders>
            <w:shd w:val="clear" w:color="auto" w:fill="auto"/>
            <w:noWrap/>
            <w:vAlign w:val="bottom"/>
            <w:hideMark/>
          </w:tcPr>
          <w:p w14:paraId="232F1157" w14:textId="77777777" w:rsidR="00B57A59" w:rsidRPr="00B57A59" w:rsidRDefault="00B57A59" w:rsidP="00B57A59">
            <w:pPr>
              <w:spacing w:after="0" w:line="240" w:lineRule="auto"/>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2220" w:type="dxa"/>
            <w:tcBorders>
              <w:top w:val="nil"/>
              <w:left w:val="nil"/>
              <w:bottom w:val="single" w:sz="4" w:space="0" w:color="BFBFBF"/>
              <w:right w:val="nil"/>
            </w:tcBorders>
            <w:shd w:val="clear" w:color="auto" w:fill="auto"/>
            <w:noWrap/>
            <w:vAlign w:val="bottom"/>
            <w:hideMark/>
          </w:tcPr>
          <w:p w14:paraId="5FB902CE" w14:textId="77777777" w:rsidR="00B57A59" w:rsidRPr="00B57A59" w:rsidRDefault="00B57A59" w:rsidP="00B57A59">
            <w:pPr>
              <w:spacing w:after="0" w:line="240" w:lineRule="auto"/>
              <w:rPr>
                <w:rFonts w:ascii="Arial" w:eastAsia="Times New Roman" w:hAnsi="Arial" w:cs="Arial"/>
                <w:sz w:val="18"/>
                <w:szCs w:val="18"/>
                <w:lang w:eastAsia="en-GB"/>
              </w:rPr>
            </w:pPr>
            <w:r w:rsidRPr="00B57A59">
              <w:rPr>
                <w:rFonts w:ascii="Arial" w:eastAsia="Times New Roman" w:hAnsi="Arial" w:cs="Arial"/>
                <w:sz w:val="18"/>
                <w:szCs w:val="18"/>
                <w:lang w:eastAsia="en-GB"/>
              </w:rPr>
              <w:t> </w:t>
            </w:r>
          </w:p>
        </w:tc>
        <w:tc>
          <w:tcPr>
            <w:tcW w:w="2260" w:type="dxa"/>
            <w:tcBorders>
              <w:top w:val="nil"/>
              <w:left w:val="nil"/>
              <w:bottom w:val="single" w:sz="4" w:space="0" w:color="BFBFBF"/>
              <w:right w:val="nil"/>
            </w:tcBorders>
            <w:shd w:val="clear" w:color="auto" w:fill="auto"/>
            <w:noWrap/>
            <w:vAlign w:val="bottom"/>
            <w:hideMark/>
          </w:tcPr>
          <w:p w14:paraId="57AD8E9F" w14:textId="77777777" w:rsidR="00B57A59" w:rsidRPr="00B57A59" w:rsidRDefault="00B57A59" w:rsidP="00B57A59">
            <w:pPr>
              <w:spacing w:after="0" w:line="240" w:lineRule="auto"/>
              <w:rPr>
                <w:rFonts w:ascii="Arial" w:eastAsia="Times New Roman" w:hAnsi="Arial" w:cs="Arial"/>
                <w:sz w:val="18"/>
                <w:szCs w:val="18"/>
                <w:lang w:eastAsia="en-GB"/>
              </w:rPr>
            </w:pPr>
            <w:r w:rsidRPr="00B57A59">
              <w:rPr>
                <w:rFonts w:ascii="Arial" w:eastAsia="Times New Roman" w:hAnsi="Arial" w:cs="Arial"/>
                <w:sz w:val="18"/>
                <w:szCs w:val="18"/>
                <w:lang w:eastAsia="en-GB"/>
              </w:rPr>
              <w:t> </w:t>
            </w:r>
          </w:p>
        </w:tc>
        <w:tc>
          <w:tcPr>
            <w:tcW w:w="1134" w:type="dxa"/>
            <w:tcBorders>
              <w:top w:val="nil"/>
              <w:left w:val="nil"/>
              <w:bottom w:val="single" w:sz="4" w:space="0" w:color="BFBFBF"/>
              <w:right w:val="nil"/>
            </w:tcBorders>
            <w:shd w:val="clear" w:color="auto" w:fill="auto"/>
            <w:noWrap/>
            <w:vAlign w:val="bottom"/>
            <w:hideMark/>
          </w:tcPr>
          <w:p w14:paraId="38455848" w14:textId="77777777" w:rsidR="00B57A59" w:rsidRPr="00B57A59" w:rsidRDefault="00B57A59" w:rsidP="00B57A59">
            <w:pPr>
              <w:spacing w:after="0" w:line="240" w:lineRule="auto"/>
              <w:rPr>
                <w:rFonts w:ascii="Arial" w:eastAsia="Times New Roman" w:hAnsi="Arial" w:cs="Arial"/>
                <w:sz w:val="18"/>
                <w:szCs w:val="18"/>
                <w:lang w:eastAsia="en-GB"/>
              </w:rPr>
            </w:pPr>
            <w:r w:rsidRPr="00B57A59">
              <w:rPr>
                <w:rFonts w:ascii="Arial" w:eastAsia="Times New Roman" w:hAnsi="Arial" w:cs="Arial"/>
                <w:sz w:val="18"/>
                <w:szCs w:val="18"/>
                <w:lang w:eastAsia="en-GB"/>
              </w:rPr>
              <w:t> </w:t>
            </w:r>
          </w:p>
        </w:tc>
        <w:tc>
          <w:tcPr>
            <w:tcW w:w="1276" w:type="dxa"/>
            <w:tcBorders>
              <w:top w:val="nil"/>
              <w:left w:val="nil"/>
              <w:bottom w:val="single" w:sz="4" w:space="0" w:color="BFBFBF"/>
              <w:right w:val="nil"/>
            </w:tcBorders>
            <w:shd w:val="clear" w:color="auto" w:fill="auto"/>
            <w:noWrap/>
            <w:vAlign w:val="bottom"/>
            <w:hideMark/>
          </w:tcPr>
          <w:p w14:paraId="575898EC" w14:textId="77777777" w:rsidR="00B57A59" w:rsidRPr="00B57A59" w:rsidRDefault="00B57A59" w:rsidP="00B57A59">
            <w:pPr>
              <w:spacing w:after="0" w:line="240" w:lineRule="auto"/>
              <w:jc w:val="right"/>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1134" w:type="dxa"/>
            <w:tcBorders>
              <w:top w:val="nil"/>
              <w:left w:val="nil"/>
              <w:bottom w:val="single" w:sz="4" w:space="0" w:color="BFBFBF"/>
              <w:right w:val="nil"/>
            </w:tcBorders>
            <w:shd w:val="clear" w:color="auto" w:fill="auto"/>
            <w:noWrap/>
            <w:vAlign w:val="bottom"/>
            <w:hideMark/>
          </w:tcPr>
          <w:p w14:paraId="7CEF7C9C" w14:textId="77777777" w:rsidR="00B57A59" w:rsidRPr="00B57A59" w:rsidRDefault="00B57A59" w:rsidP="00B57A59">
            <w:pPr>
              <w:spacing w:after="0" w:line="240" w:lineRule="auto"/>
              <w:jc w:val="right"/>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992" w:type="dxa"/>
            <w:tcBorders>
              <w:top w:val="nil"/>
              <w:left w:val="nil"/>
              <w:bottom w:val="single" w:sz="4" w:space="0" w:color="BFBFBF"/>
              <w:right w:val="nil"/>
            </w:tcBorders>
            <w:shd w:val="clear" w:color="auto" w:fill="auto"/>
            <w:noWrap/>
            <w:vAlign w:val="bottom"/>
            <w:hideMark/>
          </w:tcPr>
          <w:p w14:paraId="0A8C5593" w14:textId="77777777" w:rsidR="00B57A59" w:rsidRPr="00B57A59" w:rsidRDefault="00B57A59" w:rsidP="00B57A59">
            <w:pPr>
              <w:spacing w:after="0" w:line="240" w:lineRule="auto"/>
              <w:jc w:val="right"/>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992" w:type="dxa"/>
            <w:tcBorders>
              <w:top w:val="nil"/>
              <w:left w:val="nil"/>
              <w:bottom w:val="single" w:sz="4" w:space="0" w:color="BFBFBF"/>
              <w:right w:val="nil"/>
            </w:tcBorders>
            <w:shd w:val="clear" w:color="auto" w:fill="auto"/>
            <w:noWrap/>
            <w:vAlign w:val="bottom"/>
            <w:hideMark/>
          </w:tcPr>
          <w:p w14:paraId="44BBA744" w14:textId="77777777" w:rsidR="00B57A59" w:rsidRPr="00B57A59" w:rsidRDefault="00B57A59" w:rsidP="00B57A59">
            <w:pPr>
              <w:spacing w:after="0" w:line="240" w:lineRule="auto"/>
              <w:jc w:val="right"/>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r>
      <w:tr w:rsidR="00B57A59" w:rsidRPr="00B57A59" w14:paraId="29F6307A" w14:textId="77777777" w:rsidTr="00CA0E46">
        <w:trPr>
          <w:trHeight w:val="570"/>
        </w:trPr>
        <w:tc>
          <w:tcPr>
            <w:tcW w:w="4820" w:type="dxa"/>
            <w:gridSpan w:val="3"/>
            <w:tcBorders>
              <w:top w:val="single" w:sz="4" w:space="0" w:color="BFBFBF"/>
              <w:left w:val="single" w:sz="4" w:space="0" w:color="BFBFBF"/>
              <w:bottom w:val="nil"/>
              <w:right w:val="nil"/>
            </w:tcBorders>
            <w:shd w:val="clear" w:color="auto" w:fill="auto"/>
            <w:noWrap/>
            <w:vAlign w:val="bottom"/>
            <w:hideMark/>
          </w:tcPr>
          <w:p w14:paraId="7AE4ECE9"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For the 26 weeks ended 2 July 2022 (unaudited)</w:t>
            </w:r>
          </w:p>
        </w:tc>
        <w:tc>
          <w:tcPr>
            <w:tcW w:w="1134" w:type="dxa"/>
            <w:tcBorders>
              <w:top w:val="nil"/>
              <w:left w:val="nil"/>
              <w:bottom w:val="nil"/>
              <w:right w:val="nil"/>
            </w:tcBorders>
            <w:shd w:val="clear" w:color="auto" w:fill="auto"/>
            <w:vAlign w:val="bottom"/>
            <w:hideMark/>
          </w:tcPr>
          <w:p w14:paraId="3B61ADE4" w14:textId="77777777" w:rsidR="00B57A59" w:rsidRPr="00B57A59" w:rsidRDefault="00B57A59" w:rsidP="00B57A59">
            <w:pPr>
              <w:spacing w:after="0" w:line="240" w:lineRule="auto"/>
              <w:jc w:val="right"/>
              <w:rPr>
                <w:rFonts w:ascii="Arial" w:eastAsia="Times New Roman" w:hAnsi="Arial" w:cs="Arial"/>
                <w:b/>
                <w:bCs/>
                <w:sz w:val="12"/>
                <w:szCs w:val="12"/>
                <w:lang w:eastAsia="en-GB"/>
              </w:rPr>
            </w:pPr>
            <w:r w:rsidRPr="00B57A59">
              <w:rPr>
                <w:rFonts w:ascii="Arial" w:eastAsia="Times New Roman" w:hAnsi="Arial" w:cs="Arial"/>
                <w:b/>
                <w:bCs/>
                <w:sz w:val="12"/>
                <w:szCs w:val="12"/>
                <w:lang w:eastAsia="en-GB"/>
              </w:rPr>
              <w:t> </w:t>
            </w:r>
          </w:p>
        </w:tc>
        <w:tc>
          <w:tcPr>
            <w:tcW w:w="1276" w:type="dxa"/>
            <w:tcBorders>
              <w:top w:val="nil"/>
              <w:left w:val="nil"/>
              <w:bottom w:val="nil"/>
              <w:right w:val="nil"/>
            </w:tcBorders>
            <w:shd w:val="clear" w:color="auto" w:fill="auto"/>
            <w:vAlign w:val="bottom"/>
            <w:hideMark/>
          </w:tcPr>
          <w:p w14:paraId="2D58D86C"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Members'      share capital</w:t>
            </w:r>
          </w:p>
        </w:tc>
        <w:tc>
          <w:tcPr>
            <w:tcW w:w="1134" w:type="dxa"/>
            <w:tcBorders>
              <w:top w:val="nil"/>
              <w:left w:val="nil"/>
              <w:bottom w:val="nil"/>
              <w:right w:val="nil"/>
            </w:tcBorders>
            <w:shd w:val="clear" w:color="auto" w:fill="auto"/>
            <w:vAlign w:val="bottom"/>
            <w:hideMark/>
          </w:tcPr>
          <w:p w14:paraId="447383D9"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Retained earnings</w:t>
            </w:r>
          </w:p>
        </w:tc>
        <w:tc>
          <w:tcPr>
            <w:tcW w:w="992" w:type="dxa"/>
            <w:tcBorders>
              <w:top w:val="nil"/>
              <w:left w:val="nil"/>
              <w:bottom w:val="nil"/>
              <w:right w:val="nil"/>
            </w:tcBorders>
            <w:shd w:val="clear" w:color="auto" w:fill="auto"/>
            <w:vAlign w:val="bottom"/>
            <w:hideMark/>
          </w:tcPr>
          <w:p w14:paraId="1E95E2CB"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Other      reserves</w:t>
            </w:r>
          </w:p>
        </w:tc>
        <w:tc>
          <w:tcPr>
            <w:tcW w:w="992" w:type="dxa"/>
            <w:tcBorders>
              <w:top w:val="nil"/>
              <w:left w:val="nil"/>
              <w:bottom w:val="nil"/>
              <w:right w:val="single" w:sz="4" w:space="0" w:color="BFBFBF"/>
            </w:tcBorders>
            <w:shd w:val="clear" w:color="auto" w:fill="auto"/>
            <w:vAlign w:val="bottom"/>
            <w:hideMark/>
          </w:tcPr>
          <w:p w14:paraId="5ACE4C18" w14:textId="77777777" w:rsidR="00777B4E"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 xml:space="preserve">Total </w:t>
            </w:r>
          </w:p>
          <w:p w14:paraId="772A39BE" w14:textId="292064F8"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equity</w:t>
            </w:r>
          </w:p>
        </w:tc>
      </w:tr>
      <w:tr w:rsidR="00B57A59" w:rsidRPr="00B57A59" w14:paraId="34E23335" w14:textId="77777777" w:rsidTr="00CA0E46">
        <w:trPr>
          <w:trHeight w:val="255"/>
        </w:trPr>
        <w:tc>
          <w:tcPr>
            <w:tcW w:w="340" w:type="dxa"/>
            <w:tcBorders>
              <w:top w:val="nil"/>
              <w:left w:val="single" w:sz="4" w:space="0" w:color="BFBFBF"/>
              <w:bottom w:val="single" w:sz="4" w:space="0" w:color="BFBFBF"/>
              <w:right w:val="nil"/>
            </w:tcBorders>
            <w:shd w:val="clear" w:color="auto" w:fill="auto"/>
            <w:noWrap/>
            <w:vAlign w:val="bottom"/>
            <w:hideMark/>
          </w:tcPr>
          <w:p w14:paraId="64AE74EF" w14:textId="77777777" w:rsidR="00B57A59" w:rsidRPr="00B57A59" w:rsidRDefault="00B57A59" w:rsidP="00B57A59">
            <w:pPr>
              <w:spacing w:after="0" w:line="240" w:lineRule="auto"/>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2220" w:type="dxa"/>
            <w:tcBorders>
              <w:top w:val="nil"/>
              <w:left w:val="nil"/>
              <w:bottom w:val="single" w:sz="4" w:space="0" w:color="BFBFBF"/>
              <w:right w:val="nil"/>
            </w:tcBorders>
            <w:shd w:val="clear" w:color="auto" w:fill="auto"/>
            <w:noWrap/>
            <w:vAlign w:val="bottom"/>
            <w:hideMark/>
          </w:tcPr>
          <w:p w14:paraId="13C8F302" w14:textId="77777777" w:rsidR="00B57A59" w:rsidRPr="00B57A59" w:rsidRDefault="00B57A59" w:rsidP="00B57A59">
            <w:pPr>
              <w:spacing w:after="0" w:line="240" w:lineRule="auto"/>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2260" w:type="dxa"/>
            <w:tcBorders>
              <w:top w:val="nil"/>
              <w:left w:val="nil"/>
              <w:bottom w:val="single" w:sz="4" w:space="0" w:color="BFBFBF"/>
              <w:right w:val="nil"/>
            </w:tcBorders>
            <w:shd w:val="clear" w:color="auto" w:fill="auto"/>
            <w:vAlign w:val="bottom"/>
            <w:hideMark/>
          </w:tcPr>
          <w:p w14:paraId="1F1F42B5"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1134" w:type="dxa"/>
            <w:tcBorders>
              <w:top w:val="nil"/>
              <w:left w:val="nil"/>
              <w:bottom w:val="single" w:sz="4" w:space="0" w:color="BFBFBF"/>
              <w:right w:val="nil"/>
            </w:tcBorders>
            <w:shd w:val="clear" w:color="auto" w:fill="auto"/>
            <w:vAlign w:val="bottom"/>
            <w:hideMark/>
          </w:tcPr>
          <w:p w14:paraId="0D4EEF53"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Notes</w:t>
            </w:r>
          </w:p>
        </w:tc>
        <w:tc>
          <w:tcPr>
            <w:tcW w:w="1276" w:type="dxa"/>
            <w:tcBorders>
              <w:top w:val="nil"/>
              <w:left w:val="nil"/>
              <w:bottom w:val="single" w:sz="4" w:space="0" w:color="BFBFBF"/>
              <w:right w:val="nil"/>
            </w:tcBorders>
            <w:shd w:val="clear" w:color="auto" w:fill="auto"/>
            <w:hideMark/>
          </w:tcPr>
          <w:p w14:paraId="28400744"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£m</w:t>
            </w:r>
          </w:p>
        </w:tc>
        <w:tc>
          <w:tcPr>
            <w:tcW w:w="1134" w:type="dxa"/>
            <w:tcBorders>
              <w:top w:val="nil"/>
              <w:left w:val="nil"/>
              <w:bottom w:val="single" w:sz="4" w:space="0" w:color="BFBFBF"/>
              <w:right w:val="nil"/>
            </w:tcBorders>
            <w:shd w:val="clear" w:color="auto" w:fill="auto"/>
            <w:hideMark/>
          </w:tcPr>
          <w:p w14:paraId="3B637373"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£m</w:t>
            </w:r>
          </w:p>
        </w:tc>
        <w:tc>
          <w:tcPr>
            <w:tcW w:w="992" w:type="dxa"/>
            <w:tcBorders>
              <w:top w:val="nil"/>
              <w:left w:val="nil"/>
              <w:bottom w:val="single" w:sz="4" w:space="0" w:color="BFBFBF"/>
              <w:right w:val="nil"/>
            </w:tcBorders>
            <w:shd w:val="clear" w:color="auto" w:fill="auto"/>
            <w:hideMark/>
          </w:tcPr>
          <w:p w14:paraId="7150E202"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£m</w:t>
            </w:r>
          </w:p>
        </w:tc>
        <w:tc>
          <w:tcPr>
            <w:tcW w:w="992" w:type="dxa"/>
            <w:tcBorders>
              <w:top w:val="nil"/>
              <w:left w:val="nil"/>
              <w:bottom w:val="single" w:sz="4" w:space="0" w:color="BFBFBF"/>
              <w:right w:val="single" w:sz="4" w:space="0" w:color="BFBFBF"/>
            </w:tcBorders>
            <w:shd w:val="clear" w:color="auto" w:fill="auto"/>
            <w:hideMark/>
          </w:tcPr>
          <w:p w14:paraId="46FB61C2"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£m</w:t>
            </w:r>
          </w:p>
        </w:tc>
      </w:tr>
      <w:tr w:rsidR="00CA0E46" w:rsidRPr="00B57A59" w14:paraId="3F3295AE" w14:textId="77777777" w:rsidTr="00CA0E46">
        <w:trPr>
          <w:trHeight w:val="278"/>
        </w:trPr>
        <w:tc>
          <w:tcPr>
            <w:tcW w:w="2560" w:type="dxa"/>
            <w:gridSpan w:val="2"/>
            <w:tcBorders>
              <w:top w:val="single" w:sz="4" w:space="0" w:color="BFBFBF"/>
              <w:left w:val="nil"/>
              <w:bottom w:val="single" w:sz="4" w:space="0" w:color="BFBFBF"/>
              <w:right w:val="nil"/>
            </w:tcBorders>
            <w:shd w:val="clear" w:color="auto" w:fill="auto"/>
            <w:noWrap/>
            <w:vAlign w:val="bottom"/>
            <w:hideMark/>
          </w:tcPr>
          <w:p w14:paraId="64D34906"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Balance </w:t>
            </w:r>
            <w:proofErr w:type="gramStart"/>
            <w:r w:rsidRPr="00B57A59">
              <w:rPr>
                <w:rFonts w:ascii="Arial" w:eastAsia="Times New Roman" w:hAnsi="Arial" w:cs="Arial"/>
                <w:b/>
                <w:bCs/>
                <w:sz w:val="15"/>
                <w:szCs w:val="15"/>
                <w:lang w:eastAsia="en-GB"/>
              </w:rPr>
              <w:t>at</w:t>
            </w:r>
            <w:proofErr w:type="gramEnd"/>
            <w:r w:rsidRPr="00B57A59">
              <w:rPr>
                <w:rFonts w:ascii="Arial" w:eastAsia="Times New Roman" w:hAnsi="Arial" w:cs="Arial"/>
                <w:b/>
                <w:bCs/>
                <w:sz w:val="15"/>
                <w:szCs w:val="15"/>
                <w:lang w:eastAsia="en-GB"/>
              </w:rPr>
              <w:t xml:space="preserve"> 1 January 2022 </w:t>
            </w:r>
          </w:p>
        </w:tc>
        <w:tc>
          <w:tcPr>
            <w:tcW w:w="2260" w:type="dxa"/>
            <w:tcBorders>
              <w:top w:val="nil"/>
              <w:left w:val="nil"/>
              <w:bottom w:val="single" w:sz="4" w:space="0" w:color="BFBFBF"/>
              <w:right w:val="nil"/>
            </w:tcBorders>
            <w:shd w:val="clear" w:color="auto" w:fill="auto"/>
            <w:noWrap/>
            <w:vAlign w:val="bottom"/>
            <w:hideMark/>
          </w:tcPr>
          <w:p w14:paraId="18A5640B"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134" w:type="dxa"/>
            <w:tcBorders>
              <w:top w:val="nil"/>
              <w:left w:val="nil"/>
              <w:bottom w:val="single" w:sz="4" w:space="0" w:color="BFBFBF"/>
              <w:right w:val="nil"/>
            </w:tcBorders>
            <w:shd w:val="clear" w:color="auto" w:fill="auto"/>
            <w:noWrap/>
            <w:vAlign w:val="bottom"/>
            <w:hideMark/>
          </w:tcPr>
          <w:p w14:paraId="1BFBACF3"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276" w:type="dxa"/>
            <w:tcBorders>
              <w:top w:val="nil"/>
              <w:left w:val="nil"/>
              <w:bottom w:val="single" w:sz="4" w:space="0" w:color="BFBFBF"/>
              <w:right w:val="nil"/>
            </w:tcBorders>
            <w:shd w:val="clear" w:color="auto" w:fill="CCECFF"/>
            <w:noWrap/>
            <w:vAlign w:val="bottom"/>
            <w:hideMark/>
          </w:tcPr>
          <w:p w14:paraId="2126AD89"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74 </w:t>
            </w:r>
          </w:p>
        </w:tc>
        <w:tc>
          <w:tcPr>
            <w:tcW w:w="1134" w:type="dxa"/>
            <w:tcBorders>
              <w:top w:val="nil"/>
              <w:left w:val="nil"/>
              <w:bottom w:val="single" w:sz="4" w:space="0" w:color="BFBFBF"/>
              <w:right w:val="nil"/>
            </w:tcBorders>
            <w:shd w:val="clear" w:color="auto" w:fill="CCECFF"/>
            <w:noWrap/>
            <w:vAlign w:val="bottom"/>
            <w:hideMark/>
          </w:tcPr>
          <w:p w14:paraId="63DC30A4"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2,859 </w:t>
            </w:r>
          </w:p>
        </w:tc>
        <w:tc>
          <w:tcPr>
            <w:tcW w:w="992" w:type="dxa"/>
            <w:tcBorders>
              <w:top w:val="nil"/>
              <w:left w:val="nil"/>
              <w:bottom w:val="single" w:sz="4" w:space="0" w:color="BFBFBF"/>
              <w:right w:val="nil"/>
            </w:tcBorders>
            <w:shd w:val="clear" w:color="auto" w:fill="CCECFF"/>
            <w:noWrap/>
            <w:vAlign w:val="bottom"/>
            <w:hideMark/>
          </w:tcPr>
          <w:p w14:paraId="1142F58C"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6 </w:t>
            </w:r>
          </w:p>
        </w:tc>
        <w:tc>
          <w:tcPr>
            <w:tcW w:w="992" w:type="dxa"/>
            <w:tcBorders>
              <w:top w:val="nil"/>
              <w:left w:val="nil"/>
              <w:bottom w:val="single" w:sz="4" w:space="0" w:color="BFBFBF"/>
              <w:right w:val="nil"/>
            </w:tcBorders>
            <w:shd w:val="clear" w:color="auto" w:fill="CCECFF"/>
            <w:noWrap/>
            <w:vAlign w:val="bottom"/>
            <w:hideMark/>
          </w:tcPr>
          <w:p w14:paraId="50D2B9E6"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2,939 </w:t>
            </w:r>
          </w:p>
        </w:tc>
      </w:tr>
      <w:tr w:rsidR="00CA0E46" w:rsidRPr="00B57A59" w14:paraId="2C5AA0B4" w14:textId="77777777" w:rsidTr="00CA0E46">
        <w:trPr>
          <w:trHeight w:val="278"/>
        </w:trPr>
        <w:tc>
          <w:tcPr>
            <w:tcW w:w="2560" w:type="dxa"/>
            <w:gridSpan w:val="2"/>
            <w:tcBorders>
              <w:top w:val="nil"/>
              <w:left w:val="nil"/>
              <w:bottom w:val="single" w:sz="4" w:space="0" w:color="BFBFBF"/>
              <w:right w:val="nil"/>
            </w:tcBorders>
            <w:shd w:val="clear" w:color="auto" w:fill="auto"/>
            <w:noWrap/>
            <w:vAlign w:val="bottom"/>
            <w:hideMark/>
          </w:tcPr>
          <w:p w14:paraId="12A507FC"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Profit for the period</w:t>
            </w:r>
          </w:p>
        </w:tc>
        <w:tc>
          <w:tcPr>
            <w:tcW w:w="2260" w:type="dxa"/>
            <w:tcBorders>
              <w:top w:val="nil"/>
              <w:left w:val="nil"/>
              <w:bottom w:val="single" w:sz="4" w:space="0" w:color="BFBFBF"/>
              <w:right w:val="nil"/>
            </w:tcBorders>
            <w:shd w:val="clear" w:color="auto" w:fill="auto"/>
            <w:noWrap/>
            <w:vAlign w:val="bottom"/>
            <w:hideMark/>
          </w:tcPr>
          <w:p w14:paraId="603004DE"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134" w:type="dxa"/>
            <w:tcBorders>
              <w:top w:val="nil"/>
              <w:left w:val="nil"/>
              <w:bottom w:val="single" w:sz="4" w:space="0" w:color="BFBFBF"/>
              <w:right w:val="nil"/>
            </w:tcBorders>
            <w:shd w:val="clear" w:color="auto" w:fill="auto"/>
            <w:noWrap/>
            <w:vAlign w:val="bottom"/>
            <w:hideMark/>
          </w:tcPr>
          <w:p w14:paraId="2D37ACF0"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276" w:type="dxa"/>
            <w:tcBorders>
              <w:top w:val="nil"/>
              <w:left w:val="nil"/>
              <w:bottom w:val="single" w:sz="4" w:space="0" w:color="BFBFBF"/>
              <w:right w:val="nil"/>
            </w:tcBorders>
            <w:shd w:val="clear" w:color="auto" w:fill="CCECFF"/>
            <w:noWrap/>
            <w:vAlign w:val="bottom"/>
            <w:hideMark/>
          </w:tcPr>
          <w:p w14:paraId="4BF2496E"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 </w:t>
            </w:r>
          </w:p>
        </w:tc>
        <w:tc>
          <w:tcPr>
            <w:tcW w:w="1134" w:type="dxa"/>
            <w:tcBorders>
              <w:top w:val="nil"/>
              <w:left w:val="nil"/>
              <w:bottom w:val="single" w:sz="4" w:space="0" w:color="BFBFBF"/>
              <w:right w:val="nil"/>
            </w:tcBorders>
            <w:shd w:val="clear" w:color="auto" w:fill="CCECFF"/>
            <w:noWrap/>
            <w:vAlign w:val="bottom"/>
            <w:hideMark/>
          </w:tcPr>
          <w:p w14:paraId="28F7DD6D"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48 </w:t>
            </w:r>
          </w:p>
        </w:tc>
        <w:tc>
          <w:tcPr>
            <w:tcW w:w="992" w:type="dxa"/>
            <w:tcBorders>
              <w:top w:val="nil"/>
              <w:left w:val="nil"/>
              <w:bottom w:val="single" w:sz="4" w:space="0" w:color="BFBFBF"/>
              <w:right w:val="nil"/>
            </w:tcBorders>
            <w:shd w:val="clear" w:color="auto" w:fill="CCECFF"/>
            <w:noWrap/>
            <w:vAlign w:val="bottom"/>
            <w:hideMark/>
          </w:tcPr>
          <w:p w14:paraId="47F6579E"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 </w:t>
            </w:r>
          </w:p>
        </w:tc>
        <w:tc>
          <w:tcPr>
            <w:tcW w:w="992" w:type="dxa"/>
            <w:tcBorders>
              <w:top w:val="nil"/>
              <w:left w:val="nil"/>
              <w:bottom w:val="single" w:sz="4" w:space="0" w:color="BFBFBF"/>
              <w:right w:val="nil"/>
            </w:tcBorders>
            <w:shd w:val="clear" w:color="auto" w:fill="CCECFF"/>
            <w:noWrap/>
            <w:vAlign w:val="bottom"/>
            <w:hideMark/>
          </w:tcPr>
          <w:p w14:paraId="508C2B01"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48 </w:t>
            </w:r>
          </w:p>
        </w:tc>
      </w:tr>
      <w:tr w:rsidR="00CA0E46" w:rsidRPr="00B57A59" w14:paraId="3FB9CB22" w14:textId="77777777" w:rsidTr="00CA0E46">
        <w:trPr>
          <w:trHeight w:val="278"/>
        </w:trPr>
        <w:tc>
          <w:tcPr>
            <w:tcW w:w="4820" w:type="dxa"/>
            <w:gridSpan w:val="3"/>
            <w:tcBorders>
              <w:top w:val="nil"/>
              <w:left w:val="nil"/>
              <w:bottom w:val="nil"/>
              <w:right w:val="nil"/>
            </w:tcBorders>
            <w:shd w:val="clear" w:color="000000" w:fill="FFFFFF"/>
            <w:vAlign w:val="bottom"/>
            <w:hideMark/>
          </w:tcPr>
          <w:p w14:paraId="2BD3DCFA"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Other comprehensive income / (losses):</w:t>
            </w:r>
          </w:p>
        </w:tc>
        <w:tc>
          <w:tcPr>
            <w:tcW w:w="1134" w:type="dxa"/>
            <w:tcBorders>
              <w:top w:val="nil"/>
              <w:left w:val="nil"/>
              <w:bottom w:val="nil"/>
              <w:right w:val="nil"/>
            </w:tcBorders>
            <w:shd w:val="clear" w:color="000000" w:fill="FFFFFF"/>
            <w:vAlign w:val="bottom"/>
            <w:hideMark/>
          </w:tcPr>
          <w:p w14:paraId="79D13683" w14:textId="77777777" w:rsidR="00B57A59" w:rsidRPr="00B57A59" w:rsidRDefault="00B57A59" w:rsidP="00B57A59">
            <w:pPr>
              <w:spacing w:after="0" w:line="240" w:lineRule="auto"/>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1276" w:type="dxa"/>
            <w:tcBorders>
              <w:top w:val="nil"/>
              <w:left w:val="nil"/>
              <w:bottom w:val="nil"/>
              <w:right w:val="nil"/>
            </w:tcBorders>
            <w:shd w:val="clear" w:color="auto" w:fill="CCECFF"/>
            <w:noWrap/>
            <w:vAlign w:val="bottom"/>
            <w:hideMark/>
          </w:tcPr>
          <w:p w14:paraId="6A253BAB" w14:textId="77777777" w:rsidR="00B57A59" w:rsidRPr="00B57A59" w:rsidRDefault="00B57A59" w:rsidP="00B57A59">
            <w:pPr>
              <w:spacing w:after="0" w:line="240" w:lineRule="auto"/>
              <w:rPr>
                <w:rFonts w:ascii="Arial" w:eastAsia="Times New Roman" w:hAnsi="Arial" w:cs="Arial"/>
                <w:b/>
                <w:bCs/>
                <w:color w:val="CCECFF"/>
                <w:sz w:val="15"/>
                <w:szCs w:val="15"/>
                <w:lang w:eastAsia="en-GB"/>
              </w:rPr>
            </w:pPr>
            <w:r w:rsidRPr="00B57A59">
              <w:rPr>
                <w:rFonts w:ascii="Arial" w:eastAsia="Times New Roman" w:hAnsi="Arial" w:cs="Arial"/>
                <w:b/>
                <w:bCs/>
                <w:color w:val="CCECFF"/>
                <w:sz w:val="15"/>
                <w:szCs w:val="15"/>
                <w:lang w:eastAsia="en-GB"/>
              </w:rPr>
              <w:t> </w:t>
            </w:r>
          </w:p>
        </w:tc>
        <w:tc>
          <w:tcPr>
            <w:tcW w:w="1134" w:type="dxa"/>
            <w:tcBorders>
              <w:top w:val="nil"/>
              <w:left w:val="nil"/>
              <w:bottom w:val="nil"/>
              <w:right w:val="nil"/>
            </w:tcBorders>
            <w:shd w:val="clear" w:color="auto" w:fill="CCECFF"/>
            <w:noWrap/>
            <w:vAlign w:val="bottom"/>
            <w:hideMark/>
          </w:tcPr>
          <w:p w14:paraId="316F0788" w14:textId="77777777" w:rsidR="00B57A59" w:rsidRPr="00B57A59" w:rsidRDefault="00B57A59" w:rsidP="00B57A59">
            <w:pPr>
              <w:spacing w:after="0" w:line="240" w:lineRule="auto"/>
              <w:rPr>
                <w:rFonts w:ascii="Arial" w:eastAsia="Times New Roman" w:hAnsi="Arial" w:cs="Arial"/>
                <w:b/>
                <w:bCs/>
                <w:color w:val="CCECFF"/>
                <w:sz w:val="15"/>
                <w:szCs w:val="15"/>
                <w:lang w:eastAsia="en-GB"/>
              </w:rPr>
            </w:pPr>
            <w:r w:rsidRPr="00B57A59">
              <w:rPr>
                <w:rFonts w:ascii="Arial" w:eastAsia="Times New Roman" w:hAnsi="Arial" w:cs="Arial"/>
                <w:b/>
                <w:bCs/>
                <w:color w:val="CCECFF"/>
                <w:sz w:val="15"/>
                <w:szCs w:val="15"/>
                <w:lang w:eastAsia="en-GB"/>
              </w:rPr>
              <w:t> </w:t>
            </w:r>
          </w:p>
        </w:tc>
        <w:tc>
          <w:tcPr>
            <w:tcW w:w="992" w:type="dxa"/>
            <w:tcBorders>
              <w:top w:val="nil"/>
              <w:left w:val="nil"/>
              <w:bottom w:val="nil"/>
              <w:right w:val="nil"/>
            </w:tcBorders>
            <w:shd w:val="clear" w:color="auto" w:fill="CCECFF"/>
            <w:noWrap/>
            <w:vAlign w:val="bottom"/>
            <w:hideMark/>
          </w:tcPr>
          <w:p w14:paraId="0B80C247" w14:textId="77777777" w:rsidR="00B57A59" w:rsidRPr="00B57A59" w:rsidRDefault="00B57A59" w:rsidP="00B57A59">
            <w:pPr>
              <w:spacing w:after="0" w:line="240" w:lineRule="auto"/>
              <w:rPr>
                <w:rFonts w:ascii="Arial" w:eastAsia="Times New Roman" w:hAnsi="Arial" w:cs="Arial"/>
                <w:b/>
                <w:bCs/>
                <w:color w:val="CCECFF"/>
                <w:sz w:val="15"/>
                <w:szCs w:val="15"/>
                <w:lang w:eastAsia="en-GB"/>
              </w:rPr>
            </w:pPr>
            <w:r w:rsidRPr="00B57A59">
              <w:rPr>
                <w:rFonts w:ascii="Arial" w:eastAsia="Times New Roman" w:hAnsi="Arial" w:cs="Arial"/>
                <w:b/>
                <w:bCs/>
                <w:color w:val="CCECFF"/>
                <w:sz w:val="15"/>
                <w:szCs w:val="15"/>
                <w:lang w:eastAsia="en-GB"/>
              </w:rPr>
              <w:t> </w:t>
            </w:r>
          </w:p>
        </w:tc>
        <w:tc>
          <w:tcPr>
            <w:tcW w:w="992" w:type="dxa"/>
            <w:tcBorders>
              <w:top w:val="nil"/>
              <w:left w:val="nil"/>
              <w:bottom w:val="nil"/>
              <w:right w:val="nil"/>
            </w:tcBorders>
            <w:shd w:val="clear" w:color="auto" w:fill="CCECFF"/>
            <w:noWrap/>
            <w:vAlign w:val="bottom"/>
            <w:hideMark/>
          </w:tcPr>
          <w:p w14:paraId="65A9D769" w14:textId="77777777" w:rsidR="00B57A59" w:rsidRPr="00B57A59" w:rsidRDefault="00B57A59" w:rsidP="00B57A59">
            <w:pPr>
              <w:spacing w:after="0" w:line="240" w:lineRule="auto"/>
              <w:rPr>
                <w:rFonts w:ascii="Arial" w:eastAsia="Times New Roman" w:hAnsi="Arial" w:cs="Arial"/>
                <w:b/>
                <w:bCs/>
                <w:color w:val="CCECFF"/>
                <w:sz w:val="15"/>
                <w:szCs w:val="15"/>
                <w:lang w:eastAsia="en-GB"/>
              </w:rPr>
            </w:pPr>
            <w:r w:rsidRPr="00B57A59">
              <w:rPr>
                <w:rFonts w:ascii="Arial" w:eastAsia="Times New Roman" w:hAnsi="Arial" w:cs="Arial"/>
                <w:b/>
                <w:bCs/>
                <w:color w:val="CCECFF"/>
                <w:sz w:val="15"/>
                <w:szCs w:val="15"/>
                <w:lang w:eastAsia="en-GB"/>
              </w:rPr>
              <w:t> </w:t>
            </w:r>
          </w:p>
        </w:tc>
      </w:tr>
      <w:tr w:rsidR="00CA0E46" w:rsidRPr="00B57A59" w14:paraId="1028343E" w14:textId="77777777" w:rsidTr="00CA0E46">
        <w:trPr>
          <w:trHeight w:val="278"/>
        </w:trPr>
        <w:tc>
          <w:tcPr>
            <w:tcW w:w="4820" w:type="dxa"/>
            <w:gridSpan w:val="3"/>
            <w:tcBorders>
              <w:top w:val="nil"/>
              <w:left w:val="nil"/>
              <w:bottom w:val="nil"/>
              <w:right w:val="nil"/>
            </w:tcBorders>
            <w:shd w:val="clear" w:color="000000" w:fill="FFFFFF"/>
            <w:vAlign w:val="bottom"/>
            <w:hideMark/>
          </w:tcPr>
          <w:p w14:paraId="55B2B815"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Remeasurement gains on employee pension schemes </w:t>
            </w:r>
          </w:p>
        </w:tc>
        <w:tc>
          <w:tcPr>
            <w:tcW w:w="1134" w:type="dxa"/>
            <w:tcBorders>
              <w:top w:val="nil"/>
              <w:left w:val="nil"/>
              <w:bottom w:val="nil"/>
              <w:right w:val="nil"/>
            </w:tcBorders>
            <w:shd w:val="clear" w:color="000000" w:fill="FFFFFF"/>
            <w:vAlign w:val="bottom"/>
            <w:hideMark/>
          </w:tcPr>
          <w:p w14:paraId="444CEA93"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7</w:t>
            </w:r>
          </w:p>
        </w:tc>
        <w:tc>
          <w:tcPr>
            <w:tcW w:w="1276" w:type="dxa"/>
            <w:tcBorders>
              <w:top w:val="nil"/>
              <w:left w:val="nil"/>
              <w:bottom w:val="nil"/>
              <w:right w:val="nil"/>
            </w:tcBorders>
            <w:shd w:val="clear" w:color="auto" w:fill="CCECFF"/>
            <w:noWrap/>
            <w:vAlign w:val="bottom"/>
            <w:hideMark/>
          </w:tcPr>
          <w:p w14:paraId="55CFE749"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 </w:t>
            </w:r>
          </w:p>
        </w:tc>
        <w:tc>
          <w:tcPr>
            <w:tcW w:w="1134" w:type="dxa"/>
            <w:tcBorders>
              <w:top w:val="nil"/>
              <w:left w:val="nil"/>
              <w:bottom w:val="nil"/>
              <w:right w:val="nil"/>
            </w:tcBorders>
            <w:shd w:val="clear" w:color="auto" w:fill="CCECFF"/>
            <w:noWrap/>
            <w:vAlign w:val="bottom"/>
            <w:hideMark/>
          </w:tcPr>
          <w:p w14:paraId="23E8CC37"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175 </w:t>
            </w:r>
          </w:p>
        </w:tc>
        <w:tc>
          <w:tcPr>
            <w:tcW w:w="992" w:type="dxa"/>
            <w:tcBorders>
              <w:top w:val="nil"/>
              <w:left w:val="nil"/>
              <w:bottom w:val="nil"/>
              <w:right w:val="nil"/>
            </w:tcBorders>
            <w:shd w:val="clear" w:color="auto" w:fill="CCECFF"/>
            <w:noWrap/>
            <w:vAlign w:val="bottom"/>
            <w:hideMark/>
          </w:tcPr>
          <w:p w14:paraId="34EF14A6"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 </w:t>
            </w:r>
          </w:p>
        </w:tc>
        <w:tc>
          <w:tcPr>
            <w:tcW w:w="992" w:type="dxa"/>
            <w:tcBorders>
              <w:top w:val="nil"/>
              <w:left w:val="nil"/>
              <w:bottom w:val="nil"/>
              <w:right w:val="nil"/>
            </w:tcBorders>
            <w:shd w:val="clear" w:color="auto" w:fill="CCECFF"/>
            <w:noWrap/>
            <w:vAlign w:val="bottom"/>
            <w:hideMark/>
          </w:tcPr>
          <w:p w14:paraId="52F806C2"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175 </w:t>
            </w:r>
          </w:p>
        </w:tc>
      </w:tr>
      <w:tr w:rsidR="00CA0E46" w:rsidRPr="00B57A59" w14:paraId="05399779" w14:textId="77777777" w:rsidTr="00CA0E46">
        <w:trPr>
          <w:trHeight w:val="278"/>
        </w:trPr>
        <w:tc>
          <w:tcPr>
            <w:tcW w:w="4820" w:type="dxa"/>
            <w:gridSpan w:val="3"/>
            <w:tcBorders>
              <w:top w:val="nil"/>
              <w:left w:val="nil"/>
              <w:bottom w:val="single" w:sz="4" w:space="0" w:color="BFBFBF"/>
              <w:right w:val="nil"/>
            </w:tcBorders>
            <w:shd w:val="clear" w:color="000000" w:fill="FFFFFF"/>
            <w:vAlign w:val="bottom"/>
            <w:hideMark/>
          </w:tcPr>
          <w:p w14:paraId="7168FA59"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Tax on items taken directly to other comprehensive income</w:t>
            </w:r>
          </w:p>
        </w:tc>
        <w:tc>
          <w:tcPr>
            <w:tcW w:w="1134" w:type="dxa"/>
            <w:tcBorders>
              <w:top w:val="nil"/>
              <w:left w:val="nil"/>
              <w:bottom w:val="single" w:sz="4" w:space="0" w:color="BFBFBF"/>
              <w:right w:val="nil"/>
            </w:tcBorders>
            <w:shd w:val="clear" w:color="000000" w:fill="FFFFFF"/>
            <w:vAlign w:val="bottom"/>
            <w:hideMark/>
          </w:tcPr>
          <w:p w14:paraId="635921A4"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5</w:t>
            </w:r>
          </w:p>
        </w:tc>
        <w:tc>
          <w:tcPr>
            <w:tcW w:w="1276" w:type="dxa"/>
            <w:tcBorders>
              <w:top w:val="nil"/>
              <w:left w:val="nil"/>
              <w:bottom w:val="single" w:sz="4" w:space="0" w:color="BFBFBF"/>
              <w:right w:val="nil"/>
            </w:tcBorders>
            <w:shd w:val="clear" w:color="auto" w:fill="CCECFF"/>
            <w:noWrap/>
            <w:vAlign w:val="bottom"/>
            <w:hideMark/>
          </w:tcPr>
          <w:p w14:paraId="6D6C6D69"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 </w:t>
            </w:r>
          </w:p>
        </w:tc>
        <w:tc>
          <w:tcPr>
            <w:tcW w:w="1134" w:type="dxa"/>
            <w:tcBorders>
              <w:top w:val="nil"/>
              <w:left w:val="nil"/>
              <w:bottom w:val="single" w:sz="4" w:space="0" w:color="BFBFBF"/>
              <w:right w:val="nil"/>
            </w:tcBorders>
            <w:shd w:val="clear" w:color="auto" w:fill="CCECFF"/>
            <w:noWrap/>
            <w:vAlign w:val="bottom"/>
            <w:hideMark/>
          </w:tcPr>
          <w:p w14:paraId="73AE575E"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(44)</w:t>
            </w:r>
          </w:p>
        </w:tc>
        <w:tc>
          <w:tcPr>
            <w:tcW w:w="992" w:type="dxa"/>
            <w:tcBorders>
              <w:top w:val="nil"/>
              <w:left w:val="nil"/>
              <w:bottom w:val="single" w:sz="4" w:space="0" w:color="BFBFBF"/>
              <w:right w:val="nil"/>
            </w:tcBorders>
            <w:shd w:val="clear" w:color="auto" w:fill="CCECFF"/>
            <w:noWrap/>
            <w:vAlign w:val="bottom"/>
            <w:hideMark/>
          </w:tcPr>
          <w:p w14:paraId="025AA5AB"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 </w:t>
            </w:r>
          </w:p>
        </w:tc>
        <w:tc>
          <w:tcPr>
            <w:tcW w:w="992" w:type="dxa"/>
            <w:tcBorders>
              <w:top w:val="nil"/>
              <w:left w:val="nil"/>
              <w:bottom w:val="nil"/>
              <w:right w:val="nil"/>
            </w:tcBorders>
            <w:shd w:val="clear" w:color="auto" w:fill="CCECFF"/>
            <w:noWrap/>
            <w:vAlign w:val="bottom"/>
            <w:hideMark/>
          </w:tcPr>
          <w:p w14:paraId="6A922F9D"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(44)</w:t>
            </w:r>
          </w:p>
        </w:tc>
      </w:tr>
      <w:tr w:rsidR="00CA0E46" w:rsidRPr="00B57A59" w14:paraId="326118AD" w14:textId="77777777" w:rsidTr="00CA0E46">
        <w:trPr>
          <w:trHeight w:val="278"/>
        </w:trPr>
        <w:tc>
          <w:tcPr>
            <w:tcW w:w="4820" w:type="dxa"/>
            <w:gridSpan w:val="3"/>
            <w:tcBorders>
              <w:top w:val="single" w:sz="4" w:space="0" w:color="BFBFBF"/>
              <w:left w:val="nil"/>
              <w:bottom w:val="single" w:sz="4" w:space="0" w:color="BFBFBF"/>
              <w:right w:val="nil"/>
            </w:tcBorders>
            <w:shd w:val="clear" w:color="auto" w:fill="auto"/>
            <w:noWrap/>
            <w:vAlign w:val="bottom"/>
            <w:hideMark/>
          </w:tcPr>
          <w:p w14:paraId="0D74A3A0"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Total other comprehensive income </w:t>
            </w:r>
          </w:p>
        </w:tc>
        <w:tc>
          <w:tcPr>
            <w:tcW w:w="1134" w:type="dxa"/>
            <w:tcBorders>
              <w:top w:val="nil"/>
              <w:left w:val="nil"/>
              <w:bottom w:val="single" w:sz="4" w:space="0" w:color="BFBFBF"/>
              <w:right w:val="nil"/>
            </w:tcBorders>
            <w:shd w:val="clear" w:color="auto" w:fill="auto"/>
            <w:noWrap/>
            <w:vAlign w:val="bottom"/>
            <w:hideMark/>
          </w:tcPr>
          <w:p w14:paraId="4EB5DA1C" w14:textId="77777777" w:rsidR="00B57A59" w:rsidRPr="00B57A59" w:rsidRDefault="00B57A59" w:rsidP="00B57A59">
            <w:pPr>
              <w:spacing w:after="0" w:line="240" w:lineRule="auto"/>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1276" w:type="dxa"/>
            <w:tcBorders>
              <w:top w:val="nil"/>
              <w:left w:val="nil"/>
              <w:bottom w:val="single" w:sz="4" w:space="0" w:color="BFBFBF"/>
              <w:right w:val="nil"/>
            </w:tcBorders>
            <w:shd w:val="clear" w:color="auto" w:fill="CCECFF"/>
            <w:noWrap/>
            <w:vAlign w:val="bottom"/>
            <w:hideMark/>
          </w:tcPr>
          <w:p w14:paraId="317D4BB9"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 </w:t>
            </w:r>
          </w:p>
        </w:tc>
        <w:tc>
          <w:tcPr>
            <w:tcW w:w="1134" w:type="dxa"/>
            <w:tcBorders>
              <w:top w:val="nil"/>
              <w:left w:val="nil"/>
              <w:bottom w:val="single" w:sz="4" w:space="0" w:color="BFBFBF"/>
              <w:right w:val="nil"/>
            </w:tcBorders>
            <w:shd w:val="clear" w:color="auto" w:fill="CCECFF"/>
            <w:noWrap/>
            <w:vAlign w:val="bottom"/>
            <w:hideMark/>
          </w:tcPr>
          <w:p w14:paraId="2ECED319"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131 </w:t>
            </w:r>
          </w:p>
        </w:tc>
        <w:tc>
          <w:tcPr>
            <w:tcW w:w="992" w:type="dxa"/>
            <w:tcBorders>
              <w:top w:val="nil"/>
              <w:left w:val="nil"/>
              <w:bottom w:val="single" w:sz="4" w:space="0" w:color="BFBFBF"/>
              <w:right w:val="nil"/>
            </w:tcBorders>
            <w:shd w:val="clear" w:color="auto" w:fill="CCECFF"/>
            <w:noWrap/>
            <w:vAlign w:val="bottom"/>
            <w:hideMark/>
          </w:tcPr>
          <w:p w14:paraId="4F852638"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 </w:t>
            </w:r>
          </w:p>
        </w:tc>
        <w:tc>
          <w:tcPr>
            <w:tcW w:w="992" w:type="dxa"/>
            <w:tcBorders>
              <w:top w:val="single" w:sz="4" w:space="0" w:color="BFBFBF"/>
              <w:left w:val="nil"/>
              <w:bottom w:val="single" w:sz="4" w:space="0" w:color="BFBFBF"/>
              <w:right w:val="nil"/>
            </w:tcBorders>
            <w:shd w:val="clear" w:color="auto" w:fill="CCECFF"/>
            <w:noWrap/>
            <w:vAlign w:val="bottom"/>
            <w:hideMark/>
          </w:tcPr>
          <w:p w14:paraId="42181EC4"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131 </w:t>
            </w:r>
          </w:p>
        </w:tc>
      </w:tr>
      <w:tr w:rsidR="00CA0E46" w:rsidRPr="00B57A59" w14:paraId="50C7B3D8" w14:textId="77777777" w:rsidTr="00CA0E46">
        <w:trPr>
          <w:trHeight w:val="278"/>
        </w:trPr>
        <w:tc>
          <w:tcPr>
            <w:tcW w:w="4820" w:type="dxa"/>
            <w:gridSpan w:val="3"/>
            <w:tcBorders>
              <w:top w:val="single" w:sz="4" w:space="0" w:color="BFBFBF"/>
              <w:left w:val="nil"/>
              <w:bottom w:val="single" w:sz="4" w:space="0" w:color="BFBFBF"/>
              <w:right w:val="nil"/>
            </w:tcBorders>
            <w:shd w:val="clear" w:color="auto" w:fill="auto"/>
            <w:vAlign w:val="bottom"/>
            <w:hideMark/>
          </w:tcPr>
          <w:p w14:paraId="51FC65A9"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Balance </w:t>
            </w:r>
            <w:proofErr w:type="gramStart"/>
            <w:r w:rsidRPr="00B57A59">
              <w:rPr>
                <w:rFonts w:ascii="Arial" w:eastAsia="Times New Roman" w:hAnsi="Arial" w:cs="Arial"/>
                <w:b/>
                <w:bCs/>
                <w:sz w:val="15"/>
                <w:szCs w:val="15"/>
                <w:lang w:eastAsia="en-GB"/>
              </w:rPr>
              <w:t>at</w:t>
            </w:r>
            <w:proofErr w:type="gramEnd"/>
            <w:r w:rsidRPr="00B57A59">
              <w:rPr>
                <w:rFonts w:ascii="Arial" w:eastAsia="Times New Roman" w:hAnsi="Arial" w:cs="Arial"/>
                <w:b/>
                <w:bCs/>
                <w:sz w:val="15"/>
                <w:szCs w:val="15"/>
                <w:lang w:eastAsia="en-GB"/>
              </w:rPr>
              <w:t xml:space="preserve"> 2 July 2022</w:t>
            </w:r>
          </w:p>
        </w:tc>
        <w:tc>
          <w:tcPr>
            <w:tcW w:w="1134" w:type="dxa"/>
            <w:tcBorders>
              <w:top w:val="nil"/>
              <w:left w:val="nil"/>
              <w:bottom w:val="single" w:sz="4" w:space="0" w:color="BFBFBF"/>
              <w:right w:val="nil"/>
            </w:tcBorders>
            <w:shd w:val="clear" w:color="auto" w:fill="auto"/>
            <w:vAlign w:val="bottom"/>
            <w:hideMark/>
          </w:tcPr>
          <w:p w14:paraId="5AD4E2CE" w14:textId="77777777" w:rsidR="00B57A59" w:rsidRPr="00B57A59" w:rsidRDefault="00B57A59" w:rsidP="00B57A59">
            <w:pPr>
              <w:spacing w:after="0" w:line="240" w:lineRule="auto"/>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1276" w:type="dxa"/>
            <w:tcBorders>
              <w:top w:val="nil"/>
              <w:left w:val="nil"/>
              <w:bottom w:val="single" w:sz="4" w:space="0" w:color="BFBFBF"/>
              <w:right w:val="nil"/>
            </w:tcBorders>
            <w:shd w:val="clear" w:color="auto" w:fill="CCECFF"/>
            <w:noWrap/>
            <w:vAlign w:val="bottom"/>
            <w:hideMark/>
          </w:tcPr>
          <w:p w14:paraId="340DCD95"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74 </w:t>
            </w:r>
          </w:p>
        </w:tc>
        <w:tc>
          <w:tcPr>
            <w:tcW w:w="1134" w:type="dxa"/>
            <w:tcBorders>
              <w:top w:val="nil"/>
              <w:left w:val="nil"/>
              <w:bottom w:val="single" w:sz="4" w:space="0" w:color="BFBFBF"/>
              <w:right w:val="nil"/>
            </w:tcBorders>
            <w:shd w:val="clear" w:color="auto" w:fill="CCECFF"/>
            <w:noWrap/>
            <w:vAlign w:val="bottom"/>
            <w:hideMark/>
          </w:tcPr>
          <w:p w14:paraId="10949151"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3,038 </w:t>
            </w:r>
          </w:p>
        </w:tc>
        <w:tc>
          <w:tcPr>
            <w:tcW w:w="992" w:type="dxa"/>
            <w:tcBorders>
              <w:top w:val="nil"/>
              <w:left w:val="nil"/>
              <w:bottom w:val="single" w:sz="4" w:space="0" w:color="BFBFBF"/>
              <w:right w:val="nil"/>
            </w:tcBorders>
            <w:shd w:val="clear" w:color="auto" w:fill="CCECFF"/>
            <w:noWrap/>
            <w:vAlign w:val="bottom"/>
            <w:hideMark/>
          </w:tcPr>
          <w:p w14:paraId="2E978F24"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6 </w:t>
            </w:r>
          </w:p>
        </w:tc>
        <w:tc>
          <w:tcPr>
            <w:tcW w:w="992" w:type="dxa"/>
            <w:tcBorders>
              <w:top w:val="nil"/>
              <w:left w:val="nil"/>
              <w:bottom w:val="single" w:sz="4" w:space="0" w:color="BFBFBF"/>
              <w:right w:val="nil"/>
            </w:tcBorders>
            <w:shd w:val="clear" w:color="auto" w:fill="CCECFF"/>
            <w:noWrap/>
            <w:vAlign w:val="bottom"/>
            <w:hideMark/>
          </w:tcPr>
          <w:p w14:paraId="075B3332"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3,118 </w:t>
            </w:r>
          </w:p>
        </w:tc>
      </w:tr>
      <w:tr w:rsidR="00CA0E46" w:rsidRPr="00B57A59" w14:paraId="32FE95B3" w14:textId="77777777" w:rsidTr="00CA0E46">
        <w:trPr>
          <w:trHeight w:val="349"/>
        </w:trPr>
        <w:tc>
          <w:tcPr>
            <w:tcW w:w="340" w:type="dxa"/>
            <w:tcBorders>
              <w:top w:val="nil"/>
              <w:left w:val="nil"/>
              <w:bottom w:val="nil"/>
              <w:right w:val="nil"/>
            </w:tcBorders>
            <w:shd w:val="clear" w:color="000000" w:fill="FFFFFF"/>
            <w:noWrap/>
            <w:vAlign w:val="bottom"/>
            <w:hideMark/>
          </w:tcPr>
          <w:p w14:paraId="184B4588"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2220" w:type="dxa"/>
            <w:tcBorders>
              <w:top w:val="nil"/>
              <w:left w:val="nil"/>
              <w:bottom w:val="nil"/>
              <w:right w:val="nil"/>
            </w:tcBorders>
            <w:shd w:val="clear" w:color="000000" w:fill="FFFFFF"/>
            <w:noWrap/>
            <w:vAlign w:val="bottom"/>
            <w:hideMark/>
          </w:tcPr>
          <w:p w14:paraId="1AB720A4"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2260" w:type="dxa"/>
            <w:tcBorders>
              <w:top w:val="nil"/>
              <w:left w:val="nil"/>
              <w:bottom w:val="nil"/>
              <w:right w:val="nil"/>
            </w:tcBorders>
            <w:shd w:val="clear" w:color="000000" w:fill="FFFFFF"/>
            <w:noWrap/>
            <w:vAlign w:val="bottom"/>
            <w:hideMark/>
          </w:tcPr>
          <w:p w14:paraId="7E6BE9D3"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134" w:type="dxa"/>
            <w:tcBorders>
              <w:top w:val="nil"/>
              <w:left w:val="nil"/>
              <w:bottom w:val="nil"/>
              <w:right w:val="nil"/>
            </w:tcBorders>
            <w:shd w:val="clear" w:color="000000" w:fill="FFFFFF"/>
            <w:noWrap/>
            <w:vAlign w:val="bottom"/>
            <w:hideMark/>
          </w:tcPr>
          <w:p w14:paraId="0CF630FA"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276" w:type="dxa"/>
            <w:tcBorders>
              <w:top w:val="nil"/>
              <w:left w:val="nil"/>
              <w:bottom w:val="nil"/>
              <w:right w:val="nil"/>
            </w:tcBorders>
            <w:shd w:val="clear" w:color="000000" w:fill="FFFFFF"/>
            <w:noWrap/>
            <w:vAlign w:val="bottom"/>
            <w:hideMark/>
          </w:tcPr>
          <w:p w14:paraId="5BC19AE5"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134" w:type="dxa"/>
            <w:tcBorders>
              <w:top w:val="nil"/>
              <w:left w:val="nil"/>
              <w:bottom w:val="nil"/>
              <w:right w:val="nil"/>
            </w:tcBorders>
            <w:shd w:val="clear" w:color="000000" w:fill="FFFFFF"/>
            <w:noWrap/>
            <w:vAlign w:val="bottom"/>
            <w:hideMark/>
          </w:tcPr>
          <w:p w14:paraId="2D602640"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992" w:type="dxa"/>
            <w:tcBorders>
              <w:top w:val="nil"/>
              <w:left w:val="nil"/>
              <w:bottom w:val="nil"/>
              <w:right w:val="nil"/>
            </w:tcBorders>
            <w:shd w:val="clear" w:color="000000" w:fill="FFFFFF"/>
            <w:noWrap/>
            <w:vAlign w:val="bottom"/>
            <w:hideMark/>
          </w:tcPr>
          <w:p w14:paraId="5CA81DAB"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992" w:type="dxa"/>
            <w:tcBorders>
              <w:top w:val="nil"/>
              <w:left w:val="nil"/>
              <w:bottom w:val="nil"/>
              <w:right w:val="nil"/>
            </w:tcBorders>
            <w:shd w:val="clear" w:color="000000" w:fill="FFFFFF"/>
            <w:noWrap/>
            <w:vAlign w:val="bottom"/>
            <w:hideMark/>
          </w:tcPr>
          <w:p w14:paraId="388720B5"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r>
      <w:tr w:rsidR="00CA0E46" w:rsidRPr="00B57A59" w14:paraId="0BBF429B" w14:textId="77777777" w:rsidTr="00CA0E46">
        <w:trPr>
          <w:trHeight w:val="360"/>
        </w:trPr>
        <w:tc>
          <w:tcPr>
            <w:tcW w:w="340" w:type="dxa"/>
            <w:tcBorders>
              <w:top w:val="nil"/>
              <w:left w:val="nil"/>
              <w:bottom w:val="single" w:sz="4" w:space="0" w:color="BFBFBF"/>
              <w:right w:val="nil"/>
            </w:tcBorders>
            <w:shd w:val="clear" w:color="000000" w:fill="FFFFFF"/>
            <w:noWrap/>
            <w:vAlign w:val="bottom"/>
            <w:hideMark/>
          </w:tcPr>
          <w:p w14:paraId="6BC1B49D"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lastRenderedPageBreak/>
              <w:t> </w:t>
            </w:r>
          </w:p>
        </w:tc>
        <w:tc>
          <w:tcPr>
            <w:tcW w:w="2220" w:type="dxa"/>
            <w:tcBorders>
              <w:top w:val="nil"/>
              <w:left w:val="nil"/>
              <w:bottom w:val="single" w:sz="4" w:space="0" w:color="BFBFBF"/>
              <w:right w:val="nil"/>
            </w:tcBorders>
            <w:shd w:val="clear" w:color="000000" w:fill="FFFFFF"/>
            <w:noWrap/>
            <w:vAlign w:val="bottom"/>
            <w:hideMark/>
          </w:tcPr>
          <w:p w14:paraId="124D2CDF" w14:textId="77777777" w:rsid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p w14:paraId="02649CAF" w14:textId="77777777" w:rsidR="00B31605" w:rsidRDefault="00B31605" w:rsidP="00B57A59">
            <w:pPr>
              <w:spacing w:after="0" w:line="240" w:lineRule="auto"/>
              <w:rPr>
                <w:rFonts w:ascii="Arial" w:eastAsia="Times New Roman" w:hAnsi="Arial" w:cs="Arial"/>
                <w:sz w:val="15"/>
                <w:szCs w:val="15"/>
                <w:lang w:eastAsia="en-GB"/>
              </w:rPr>
            </w:pPr>
          </w:p>
          <w:p w14:paraId="4DECBDFB" w14:textId="77777777" w:rsidR="00B31605" w:rsidRDefault="00B31605" w:rsidP="00B57A59">
            <w:pPr>
              <w:spacing w:after="0" w:line="240" w:lineRule="auto"/>
              <w:rPr>
                <w:rFonts w:ascii="Arial" w:eastAsia="Times New Roman" w:hAnsi="Arial" w:cs="Arial"/>
                <w:sz w:val="15"/>
                <w:szCs w:val="15"/>
                <w:lang w:eastAsia="en-GB"/>
              </w:rPr>
            </w:pPr>
          </w:p>
          <w:p w14:paraId="72654422" w14:textId="77777777" w:rsidR="00B31605" w:rsidRDefault="00B31605" w:rsidP="00B57A59">
            <w:pPr>
              <w:spacing w:after="0" w:line="240" w:lineRule="auto"/>
              <w:rPr>
                <w:rFonts w:ascii="Arial" w:eastAsia="Times New Roman" w:hAnsi="Arial" w:cs="Arial"/>
                <w:sz w:val="15"/>
                <w:szCs w:val="15"/>
                <w:lang w:eastAsia="en-GB"/>
              </w:rPr>
            </w:pPr>
          </w:p>
          <w:p w14:paraId="013ADAE8" w14:textId="6F2CF75F" w:rsidR="003C2626" w:rsidRPr="00B57A59" w:rsidRDefault="003C2626" w:rsidP="00B57A59">
            <w:pPr>
              <w:spacing w:after="0" w:line="240" w:lineRule="auto"/>
              <w:rPr>
                <w:rFonts w:ascii="Arial" w:eastAsia="Times New Roman" w:hAnsi="Arial" w:cs="Arial"/>
                <w:sz w:val="15"/>
                <w:szCs w:val="15"/>
                <w:lang w:eastAsia="en-GB"/>
              </w:rPr>
            </w:pPr>
          </w:p>
        </w:tc>
        <w:tc>
          <w:tcPr>
            <w:tcW w:w="2260" w:type="dxa"/>
            <w:tcBorders>
              <w:top w:val="nil"/>
              <w:left w:val="nil"/>
              <w:bottom w:val="single" w:sz="4" w:space="0" w:color="BFBFBF"/>
              <w:right w:val="nil"/>
            </w:tcBorders>
            <w:shd w:val="clear" w:color="000000" w:fill="FFFFFF"/>
            <w:noWrap/>
            <w:vAlign w:val="bottom"/>
            <w:hideMark/>
          </w:tcPr>
          <w:p w14:paraId="49ECB11A"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134" w:type="dxa"/>
            <w:tcBorders>
              <w:top w:val="nil"/>
              <w:left w:val="nil"/>
              <w:bottom w:val="single" w:sz="4" w:space="0" w:color="BFBFBF"/>
              <w:right w:val="nil"/>
            </w:tcBorders>
            <w:shd w:val="clear" w:color="000000" w:fill="FFFFFF"/>
            <w:noWrap/>
            <w:vAlign w:val="bottom"/>
            <w:hideMark/>
          </w:tcPr>
          <w:p w14:paraId="1852FC7A"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276" w:type="dxa"/>
            <w:tcBorders>
              <w:top w:val="nil"/>
              <w:left w:val="nil"/>
              <w:bottom w:val="single" w:sz="4" w:space="0" w:color="BFBFBF"/>
              <w:right w:val="nil"/>
            </w:tcBorders>
            <w:shd w:val="clear" w:color="000000" w:fill="FFFFFF"/>
            <w:noWrap/>
            <w:vAlign w:val="bottom"/>
            <w:hideMark/>
          </w:tcPr>
          <w:p w14:paraId="42ACA4F1"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134" w:type="dxa"/>
            <w:tcBorders>
              <w:top w:val="nil"/>
              <w:left w:val="nil"/>
              <w:bottom w:val="single" w:sz="4" w:space="0" w:color="BFBFBF"/>
              <w:right w:val="nil"/>
            </w:tcBorders>
            <w:shd w:val="clear" w:color="000000" w:fill="FFFFFF"/>
            <w:noWrap/>
            <w:vAlign w:val="bottom"/>
            <w:hideMark/>
          </w:tcPr>
          <w:p w14:paraId="74409C78"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992" w:type="dxa"/>
            <w:tcBorders>
              <w:top w:val="nil"/>
              <w:left w:val="nil"/>
              <w:bottom w:val="single" w:sz="4" w:space="0" w:color="BFBFBF"/>
              <w:right w:val="nil"/>
            </w:tcBorders>
            <w:shd w:val="clear" w:color="000000" w:fill="FFFFFF"/>
            <w:noWrap/>
            <w:vAlign w:val="bottom"/>
            <w:hideMark/>
          </w:tcPr>
          <w:p w14:paraId="6DBFAF83"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992" w:type="dxa"/>
            <w:tcBorders>
              <w:top w:val="nil"/>
              <w:left w:val="nil"/>
              <w:bottom w:val="single" w:sz="4" w:space="0" w:color="BFBFBF"/>
              <w:right w:val="nil"/>
            </w:tcBorders>
            <w:shd w:val="clear" w:color="000000" w:fill="FFFFFF"/>
            <w:noWrap/>
            <w:vAlign w:val="bottom"/>
            <w:hideMark/>
          </w:tcPr>
          <w:p w14:paraId="6DBD219C" w14:textId="77777777" w:rsidR="00B57A59" w:rsidRPr="00B57A59" w:rsidRDefault="00B57A59" w:rsidP="00B57A59">
            <w:pPr>
              <w:spacing w:after="0" w:line="240" w:lineRule="auto"/>
              <w:jc w:val="right"/>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r>
      <w:tr w:rsidR="00B57A59" w:rsidRPr="00B57A59" w14:paraId="72B23120" w14:textId="77777777" w:rsidTr="00CA0E46">
        <w:trPr>
          <w:trHeight w:val="518"/>
        </w:trPr>
        <w:tc>
          <w:tcPr>
            <w:tcW w:w="4820" w:type="dxa"/>
            <w:gridSpan w:val="3"/>
            <w:tcBorders>
              <w:top w:val="single" w:sz="4" w:space="0" w:color="BFBFBF"/>
              <w:left w:val="single" w:sz="4" w:space="0" w:color="BFBFBF"/>
              <w:bottom w:val="nil"/>
              <w:right w:val="nil"/>
            </w:tcBorders>
            <w:shd w:val="clear" w:color="auto" w:fill="auto"/>
            <w:noWrap/>
            <w:vAlign w:val="bottom"/>
            <w:hideMark/>
          </w:tcPr>
          <w:p w14:paraId="436ADB32"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For the 26 weeks ended 3 July 2021 (unaudited)</w:t>
            </w:r>
          </w:p>
        </w:tc>
        <w:tc>
          <w:tcPr>
            <w:tcW w:w="1134" w:type="dxa"/>
            <w:tcBorders>
              <w:top w:val="nil"/>
              <w:left w:val="nil"/>
              <w:bottom w:val="nil"/>
              <w:right w:val="nil"/>
            </w:tcBorders>
            <w:shd w:val="clear" w:color="auto" w:fill="auto"/>
            <w:vAlign w:val="bottom"/>
            <w:hideMark/>
          </w:tcPr>
          <w:p w14:paraId="7567F16A" w14:textId="77777777" w:rsidR="00B57A59" w:rsidRPr="00B57A59" w:rsidRDefault="00B57A59" w:rsidP="00B57A59">
            <w:pPr>
              <w:spacing w:after="0" w:line="240" w:lineRule="auto"/>
              <w:jc w:val="right"/>
              <w:rPr>
                <w:rFonts w:ascii="Arial" w:eastAsia="Times New Roman" w:hAnsi="Arial" w:cs="Arial"/>
                <w:b/>
                <w:bCs/>
                <w:sz w:val="12"/>
                <w:szCs w:val="12"/>
                <w:lang w:eastAsia="en-GB"/>
              </w:rPr>
            </w:pPr>
            <w:r w:rsidRPr="00B57A59">
              <w:rPr>
                <w:rFonts w:ascii="Arial" w:eastAsia="Times New Roman" w:hAnsi="Arial" w:cs="Arial"/>
                <w:b/>
                <w:bCs/>
                <w:sz w:val="12"/>
                <w:szCs w:val="12"/>
                <w:lang w:eastAsia="en-GB"/>
              </w:rPr>
              <w:t> </w:t>
            </w:r>
          </w:p>
        </w:tc>
        <w:tc>
          <w:tcPr>
            <w:tcW w:w="1276" w:type="dxa"/>
            <w:tcBorders>
              <w:top w:val="nil"/>
              <w:left w:val="nil"/>
              <w:bottom w:val="nil"/>
              <w:right w:val="nil"/>
            </w:tcBorders>
            <w:shd w:val="clear" w:color="auto" w:fill="auto"/>
            <w:vAlign w:val="bottom"/>
            <w:hideMark/>
          </w:tcPr>
          <w:p w14:paraId="2FA5710F"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Members'      share capital</w:t>
            </w:r>
          </w:p>
        </w:tc>
        <w:tc>
          <w:tcPr>
            <w:tcW w:w="1134" w:type="dxa"/>
            <w:tcBorders>
              <w:top w:val="nil"/>
              <w:left w:val="nil"/>
              <w:bottom w:val="nil"/>
              <w:right w:val="nil"/>
            </w:tcBorders>
            <w:shd w:val="clear" w:color="auto" w:fill="auto"/>
            <w:vAlign w:val="bottom"/>
            <w:hideMark/>
          </w:tcPr>
          <w:p w14:paraId="78EF2888"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Retained earnings</w:t>
            </w:r>
          </w:p>
        </w:tc>
        <w:tc>
          <w:tcPr>
            <w:tcW w:w="992" w:type="dxa"/>
            <w:tcBorders>
              <w:top w:val="nil"/>
              <w:left w:val="nil"/>
              <w:bottom w:val="nil"/>
              <w:right w:val="nil"/>
            </w:tcBorders>
            <w:shd w:val="clear" w:color="auto" w:fill="auto"/>
            <w:vAlign w:val="bottom"/>
            <w:hideMark/>
          </w:tcPr>
          <w:p w14:paraId="09F2F2AE"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Other      reserves</w:t>
            </w:r>
          </w:p>
        </w:tc>
        <w:tc>
          <w:tcPr>
            <w:tcW w:w="992" w:type="dxa"/>
            <w:tcBorders>
              <w:top w:val="nil"/>
              <w:left w:val="nil"/>
              <w:bottom w:val="nil"/>
              <w:right w:val="single" w:sz="4" w:space="0" w:color="BFBFBF"/>
            </w:tcBorders>
            <w:shd w:val="clear" w:color="auto" w:fill="auto"/>
            <w:vAlign w:val="bottom"/>
            <w:hideMark/>
          </w:tcPr>
          <w:p w14:paraId="4854A7B2"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Total            equity</w:t>
            </w:r>
          </w:p>
        </w:tc>
      </w:tr>
      <w:tr w:rsidR="00B57A59" w:rsidRPr="00B57A59" w14:paraId="0E94C74A" w14:textId="77777777" w:rsidTr="00CA0E46">
        <w:trPr>
          <w:trHeight w:val="229"/>
        </w:trPr>
        <w:tc>
          <w:tcPr>
            <w:tcW w:w="340" w:type="dxa"/>
            <w:tcBorders>
              <w:top w:val="nil"/>
              <w:left w:val="single" w:sz="4" w:space="0" w:color="BFBFBF"/>
              <w:bottom w:val="single" w:sz="4" w:space="0" w:color="BFBFBF"/>
              <w:right w:val="nil"/>
            </w:tcBorders>
            <w:shd w:val="clear" w:color="auto" w:fill="auto"/>
            <w:noWrap/>
            <w:vAlign w:val="bottom"/>
            <w:hideMark/>
          </w:tcPr>
          <w:p w14:paraId="3913942F" w14:textId="77777777" w:rsidR="00B57A59" w:rsidRPr="00B57A59" w:rsidRDefault="00B57A59" w:rsidP="00B57A59">
            <w:pPr>
              <w:spacing w:after="0" w:line="240" w:lineRule="auto"/>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2220" w:type="dxa"/>
            <w:tcBorders>
              <w:top w:val="nil"/>
              <w:left w:val="nil"/>
              <w:bottom w:val="single" w:sz="4" w:space="0" w:color="BFBFBF"/>
              <w:right w:val="nil"/>
            </w:tcBorders>
            <w:shd w:val="clear" w:color="auto" w:fill="auto"/>
            <w:noWrap/>
            <w:vAlign w:val="bottom"/>
            <w:hideMark/>
          </w:tcPr>
          <w:p w14:paraId="3F2896C8" w14:textId="77777777" w:rsidR="00B57A59" w:rsidRPr="00B57A59" w:rsidRDefault="00B57A59" w:rsidP="00B57A59">
            <w:pPr>
              <w:spacing w:after="0" w:line="240" w:lineRule="auto"/>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2260" w:type="dxa"/>
            <w:tcBorders>
              <w:top w:val="nil"/>
              <w:left w:val="nil"/>
              <w:bottom w:val="single" w:sz="4" w:space="0" w:color="BFBFBF"/>
              <w:right w:val="nil"/>
            </w:tcBorders>
            <w:shd w:val="clear" w:color="auto" w:fill="auto"/>
            <w:vAlign w:val="bottom"/>
            <w:hideMark/>
          </w:tcPr>
          <w:p w14:paraId="132D49FB"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1134" w:type="dxa"/>
            <w:tcBorders>
              <w:top w:val="nil"/>
              <w:left w:val="nil"/>
              <w:bottom w:val="single" w:sz="4" w:space="0" w:color="BFBFBF"/>
              <w:right w:val="nil"/>
            </w:tcBorders>
            <w:shd w:val="clear" w:color="auto" w:fill="auto"/>
            <w:vAlign w:val="bottom"/>
            <w:hideMark/>
          </w:tcPr>
          <w:p w14:paraId="4B7BD50F"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Notes</w:t>
            </w:r>
          </w:p>
        </w:tc>
        <w:tc>
          <w:tcPr>
            <w:tcW w:w="1276" w:type="dxa"/>
            <w:tcBorders>
              <w:top w:val="nil"/>
              <w:left w:val="nil"/>
              <w:bottom w:val="single" w:sz="4" w:space="0" w:color="BFBFBF"/>
              <w:right w:val="nil"/>
            </w:tcBorders>
            <w:shd w:val="clear" w:color="auto" w:fill="auto"/>
            <w:hideMark/>
          </w:tcPr>
          <w:p w14:paraId="68A98719"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£m</w:t>
            </w:r>
          </w:p>
        </w:tc>
        <w:tc>
          <w:tcPr>
            <w:tcW w:w="1134" w:type="dxa"/>
            <w:tcBorders>
              <w:top w:val="nil"/>
              <w:left w:val="nil"/>
              <w:bottom w:val="single" w:sz="4" w:space="0" w:color="BFBFBF"/>
              <w:right w:val="nil"/>
            </w:tcBorders>
            <w:shd w:val="clear" w:color="auto" w:fill="auto"/>
            <w:hideMark/>
          </w:tcPr>
          <w:p w14:paraId="4AB0C471"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£m</w:t>
            </w:r>
          </w:p>
        </w:tc>
        <w:tc>
          <w:tcPr>
            <w:tcW w:w="992" w:type="dxa"/>
            <w:tcBorders>
              <w:top w:val="nil"/>
              <w:left w:val="nil"/>
              <w:bottom w:val="single" w:sz="4" w:space="0" w:color="BFBFBF"/>
              <w:right w:val="nil"/>
            </w:tcBorders>
            <w:shd w:val="clear" w:color="auto" w:fill="auto"/>
            <w:hideMark/>
          </w:tcPr>
          <w:p w14:paraId="7A6CEE47"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£m</w:t>
            </w:r>
          </w:p>
        </w:tc>
        <w:tc>
          <w:tcPr>
            <w:tcW w:w="992" w:type="dxa"/>
            <w:tcBorders>
              <w:top w:val="nil"/>
              <w:left w:val="nil"/>
              <w:bottom w:val="single" w:sz="4" w:space="0" w:color="BFBFBF"/>
              <w:right w:val="single" w:sz="4" w:space="0" w:color="BFBFBF"/>
            </w:tcBorders>
            <w:shd w:val="clear" w:color="auto" w:fill="auto"/>
            <w:hideMark/>
          </w:tcPr>
          <w:p w14:paraId="3FFE01B8"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£m</w:t>
            </w:r>
          </w:p>
        </w:tc>
      </w:tr>
      <w:tr w:rsidR="00CA0E46" w:rsidRPr="00B57A59" w14:paraId="2F69CCDC" w14:textId="77777777" w:rsidTr="00CA0E46">
        <w:trPr>
          <w:trHeight w:val="278"/>
        </w:trPr>
        <w:tc>
          <w:tcPr>
            <w:tcW w:w="2560" w:type="dxa"/>
            <w:gridSpan w:val="2"/>
            <w:tcBorders>
              <w:top w:val="nil"/>
              <w:left w:val="nil"/>
              <w:bottom w:val="single" w:sz="4" w:space="0" w:color="BFBFBF"/>
              <w:right w:val="nil"/>
            </w:tcBorders>
            <w:shd w:val="clear" w:color="000000" w:fill="FFFFFF"/>
            <w:noWrap/>
            <w:vAlign w:val="bottom"/>
            <w:hideMark/>
          </w:tcPr>
          <w:p w14:paraId="7CAE1462"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Balance </w:t>
            </w:r>
            <w:proofErr w:type="gramStart"/>
            <w:r w:rsidRPr="00B57A59">
              <w:rPr>
                <w:rFonts w:ascii="Arial" w:eastAsia="Times New Roman" w:hAnsi="Arial" w:cs="Arial"/>
                <w:b/>
                <w:bCs/>
                <w:sz w:val="15"/>
                <w:szCs w:val="15"/>
                <w:lang w:eastAsia="en-GB"/>
              </w:rPr>
              <w:t>at</w:t>
            </w:r>
            <w:proofErr w:type="gramEnd"/>
            <w:r w:rsidRPr="00B57A59">
              <w:rPr>
                <w:rFonts w:ascii="Arial" w:eastAsia="Times New Roman" w:hAnsi="Arial" w:cs="Arial"/>
                <w:b/>
                <w:bCs/>
                <w:sz w:val="15"/>
                <w:szCs w:val="15"/>
                <w:lang w:eastAsia="en-GB"/>
              </w:rPr>
              <w:t xml:space="preserve"> 2 January 2021</w:t>
            </w:r>
          </w:p>
        </w:tc>
        <w:tc>
          <w:tcPr>
            <w:tcW w:w="2260" w:type="dxa"/>
            <w:tcBorders>
              <w:top w:val="nil"/>
              <w:left w:val="nil"/>
              <w:bottom w:val="single" w:sz="4" w:space="0" w:color="BFBFBF"/>
              <w:right w:val="nil"/>
            </w:tcBorders>
            <w:shd w:val="clear" w:color="000000" w:fill="FFFFFF"/>
            <w:noWrap/>
            <w:vAlign w:val="bottom"/>
            <w:hideMark/>
          </w:tcPr>
          <w:p w14:paraId="3D50DDC7"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134" w:type="dxa"/>
            <w:tcBorders>
              <w:top w:val="nil"/>
              <w:left w:val="nil"/>
              <w:bottom w:val="single" w:sz="4" w:space="0" w:color="BFBFBF"/>
              <w:right w:val="nil"/>
            </w:tcBorders>
            <w:shd w:val="clear" w:color="000000" w:fill="FFFFFF"/>
            <w:noWrap/>
            <w:vAlign w:val="bottom"/>
            <w:hideMark/>
          </w:tcPr>
          <w:p w14:paraId="6258DD9A"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276" w:type="dxa"/>
            <w:tcBorders>
              <w:top w:val="nil"/>
              <w:left w:val="nil"/>
              <w:bottom w:val="single" w:sz="4" w:space="0" w:color="BFBFBF"/>
              <w:right w:val="nil"/>
            </w:tcBorders>
            <w:shd w:val="clear" w:color="000000" w:fill="FFFFFF"/>
            <w:noWrap/>
            <w:vAlign w:val="bottom"/>
            <w:hideMark/>
          </w:tcPr>
          <w:p w14:paraId="063A53A3"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74 </w:t>
            </w:r>
          </w:p>
        </w:tc>
        <w:tc>
          <w:tcPr>
            <w:tcW w:w="1134" w:type="dxa"/>
            <w:tcBorders>
              <w:top w:val="nil"/>
              <w:left w:val="nil"/>
              <w:bottom w:val="single" w:sz="4" w:space="0" w:color="BFBFBF"/>
              <w:right w:val="nil"/>
            </w:tcBorders>
            <w:shd w:val="clear" w:color="000000" w:fill="FFFFFF"/>
            <w:noWrap/>
            <w:vAlign w:val="bottom"/>
            <w:hideMark/>
          </w:tcPr>
          <w:p w14:paraId="06A73CE8"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2,594 </w:t>
            </w:r>
          </w:p>
        </w:tc>
        <w:tc>
          <w:tcPr>
            <w:tcW w:w="992" w:type="dxa"/>
            <w:tcBorders>
              <w:top w:val="nil"/>
              <w:left w:val="nil"/>
              <w:bottom w:val="single" w:sz="4" w:space="0" w:color="BFBFBF"/>
              <w:right w:val="nil"/>
            </w:tcBorders>
            <w:shd w:val="clear" w:color="000000" w:fill="FFFFFF"/>
            <w:noWrap/>
            <w:vAlign w:val="bottom"/>
            <w:hideMark/>
          </w:tcPr>
          <w:p w14:paraId="58D83598"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1 </w:t>
            </w:r>
          </w:p>
        </w:tc>
        <w:tc>
          <w:tcPr>
            <w:tcW w:w="992" w:type="dxa"/>
            <w:tcBorders>
              <w:top w:val="nil"/>
              <w:left w:val="nil"/>
              <w:bottom w:val="single" w:sz="4" w:space="0" w:color="BFBFBF"/>
              <w:right w:val="nil"/>
            </w:tcBorders>
            <w:shd w:val="clear" w:color="000000" w:fill="FFFFFF"/>
            <w:noWrap/>
            <w:vAlign w:val="bottom"/>
            <w:hideMark/>
          </w:tcPr>
          <w:p w14:paraId="798CF396"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2,669 </w:t>
            </w:r>
          </w:p>
        </w:tc>
      </w:tr>
      <w:tr w:rsidR="00CA0E46" w:rsidRPr="00B57A59" w14:paraId="7C35EF22" w14:textId="77777777" w:rsidTr="00CA0E46">
        <w:trPr>
          <w:trHeight w:val="278"/>
        </w:trPr>
        <w:tc>
          <w:tcPr>
            <w:tcW w:w="2560" w:type="dxa"/>
            <w:gridSpan w:val="2"/>
            <w:tcBorders>
              <w:top w:val="single" w:sz="4" w:space="0" w:color="BFBFBF"/>
              <w:left w:val="nil"/>
              <w:bottom w:val="single" w:sz="4" w:space="0" w:color="BFBFBF"/>
              <w:right w:val="nil"/>
            </w:tcBorders>
            <w:shd w:val="clear" w:color="000000" w:fill="FFFFFF"/>
            <w:noWrap/>
            <w:vAlign w:val="bottom"/>
            <w:hideMark/>
          </w:tcPr>
          <w:p w14:paraId="08E4E812"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Profit for the period</w:t>
            </w:r>
          </w:p>
        </w:tc>
        <w:tc>
          <w:tcPr>
            <w:tcW w:w="2260" w:type="dxa"/>
            <w:tcBorders>
              <w:top w:val="nil"/>
              <w:left w:val="nil"/>
              <w:bottom w:val="single" w:sz="4" w:space="0" w:color="BFBFBF"/>
              <w:right w:val="nil"/>
            </w:tcBorders>
            <w:shd w:val="clear" w:color="000000" w:fill="FFFFFF"/>
            <w:noWrap/>
            <w:vAlign w:val="bottom"/>
            <w:hideMark/>
          </w:tcPr>
          <w:p w14:paraId="50A7AD57"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134" w:type="dxa"/>
            <w:tcBorders>
              <w:top w:val="nil"/>
              <w:left w:val="nil"/>
              <w:bottom w:val="single" w:sz="4" w:space="0" w:color="BFBFBF"/>
              <w:right w:val="nil"/>
            </w:tcBorders>
            <w:shd w:val="clear" w:color="000000" w:fill="FFFFFF"/>
            <w:noWrap/>
            <w:vAlign w:val="bottom"/>
            <w:hideMark/>
          </w:tcPr>
          <w:p w14:paraId="4BB1C24A"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276" w:type="dxa"/>
            <w:tcBorders>
              <w:top w:val="nil"/>
              <w:left w:val="nil"/>
              <w:bottom w:val="single" w:sz="4" w:space="0" w:color="BFBFBF"/>
              <w:right w:val="nil"/>
            </w:tcBorders>
            <w:shd w:val="clear" w:color="000000" w:fill="FFFFFF"/>
            <w:noWrap/>
            <w:vAlign w:val="bottom"/>
            <w:hideMark/>
          </w:tcPr>
          <w:p w14:paraId="7D7768FF"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1134" w:type="dxa"/>
            <w:tcBorders>
              <w:top w:val="nil"/>
              <w:left w:val="nil"/>
              <w:bottom w:val="single" w:sz="4" w:space="0" w:color="BFBFBF"/>
              <w:right w:val="nil"/>
            </w:tcBorders>
            <w:shd w:val="clear" w:color="000000" w:fill="FFFFFF"/>
            <w:noWrap/>
            <w:vAlign w:val="bottom"/>
            <w:hideMark/>
          </w:tcPr>
          <w:p w14:paraId="6903EFDA"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47 </w:t>
            </w:r>
          </w:p>
        </w:tc>
        <w:tc>
          <w:tcPr>
            <w:tcW w:w="992" w:type="dxa"/>
            <w:tcBorders>
              <w:top w:val="nil"/>
              <w:left w:val="nil"/>
              <w:bottom w:val="single" w:sz="4" w:space="0" w:color="BFBFBF"/>
              <w:right w:val="nil"/>
            </w:tcBorders>
            <w:shd w:val="clear" w:color="000000" w:fill="FFFFFF"/>
            <w:noWrap/>
            <w:vAlign w:val="bottom"/>
            <w:hideMark/>
          </w:tcPr>
          <w:p w14:paraId="571569B7"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992" w:type="dxa"/>
            <w:tcBorders>
              <w:top w:val="nil"/>
              <w:left w:val="nil"/>
              <w:bottom w:val="single" w:sz="4" w:space="0" w:color="BFBFBF"/>
              <w:right w:val="nil"/>
            </w:tcBorders>
            <w:shd w:val="clear" w:color="000000" w:fill="FFFFFF"/>
            <w:noWrap/>
            <w:vAlign w:val="bottom"/>
            <w:hideMark/>
          </w:tcPr>
          <w:p w14:paraId="6B85846B"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47 </w:t>
            </w:r>
          </w:p>
        </w:tc>
      </w:tr>
      <w:tr w:rsidR="00CA0E46" w:rsidRPr="00B57A59" w14:paraId="70549637" w14:textId="77777777" w:rsidTr="00CA0E46">
        <w:trPr>
          <w:trHeight w:val="278"/>
        </w:trPr>
        <w:tc>
          <w:tcPr>
            <w:tcW w:w="4820" w:type="dxa"/>
            <w:gridSpan w:val="3"/>
            <w:tcBorders>
              <w:top w:val="nil"/>
              <w:left w:val="nil"/>
              <w:bottom w:val="nil"/>
              <w:right w:val="nil"/>
            </w:tcBorders>
            <w:shd w:val="clear" w:color="000000" w:fill="FFFFFF"/>
            <w:vAlign w:val="bottom"/>
            <w:hideMark/>
          </w:tcPr>
          <w:p w14:paraId="3C23EBB4"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Other comprehensive income / (losses):</w:t>
            </w:r>
          </w:p>
        </w:tc>
        <w:tc>
          <w:tcPr>
            <w:tcW w:w="1134" w:type="dxa"/>
            <w:tcBorders>
              <w:top w:val="nil"/>
              <w:left w:val="nil"/>
              <w:bottom w:val="nil"/>
              <w:right w:val="nil"/>
            </w:tcBorders>
            <w:shd w:val="clear" w:color="000000" w:fill="FFFFFF"/>
            <w:vAlign w:val="bottom"/>
            <w:hideMark/>
          </w:tcPr>
          <w:p w14:paraId="49163813" w14:textId="77777777" w:rsidR="00B57A59" w:rsidRPr="00B57A59" w:rsidRDefault="00B57A59" w:rsidP="00B57A59">
            <w:pPr>
              <w:spacing w:after="0" w:line="240" w:lineRule="auto"/>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1276" w:type="dxa"/>
            <w:tcBorders>
              <w:top w:val="nil"/>
              <w:left w:val="nil"/>
              <w:bottom w:val="nil"/>
              <w:right w:val="nil"/>
            </w:tcBorders>
            <w:shd w:val="clear" w:color="000000" w:fill="FFFFFF"/>
            <w:noWrap/>
            <w:vAlign w:val="bottom"/>
            <w:hideMark/>
          </w:tcPr>
          <w:p w14:paraId="74720904"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1134" w:type="dxa"/>
            <w:tcBorders>
              <w:top w:val="nil"/>
              <w:left w:val="nil"/>
              <w:bottom w:val="nil"/>
              <w:right w:val="nil"/>
            </w:tcBorders>
            <w:shd w:val="clear" w:color="000000" w:fill="FFFFFF"/>
            <w:noWrap/>
            <w:vAlign w:val="bottom"/>
            <w:hideMark/>
          </w:tcPr>
          <w:p w14:paraId="55D0CFAB"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992" w:type="dxa"/>
            <w:tcBorders>
              <w:top w:val="nil"/>
              <w:left w:val="nil"/>
              <w:bottom w:val="nil"/>
              <w:right w:val="nil"/>
            </w:tcBorders>
            <w:shd w:val="clear" w:color="000000" w:fill="FFFFFF"/>
            <w:noWrap/>
            <w:vAlign w:val="bottom"/>
            <w:hideMark/>
          </w:tcPr>
          <w:p w14:paraId="46BBBEA5"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992" w:type="dxa"/>
            <w:tcBorders>
              <w:top w:val="nil"/>
              <w:left w:val="nil"/>
              <w:bottom w:val="nil"/>
              <w:right w:val="nil"/>
            </w:tcBorders>
            <w:shd w:val="clear" w:color="000000" w:fill="FFFFFF"/>
            <w:noWrap/>
            <w:vAlign w:val="bottom"/>
            <w:hideMark/>
          </w:tcPr>
          <w:p w14:paraId="2B8D8C85"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r>
      <w:tr w:rsidR="00CA0E46" w:rsidRPr="00B57A59" w14:paraId="0556E404" w14:textId="77777777" w:rsidTr="00CA0E46">
        <w:trPr>
          <w:trHeight w:val="278"/>
        </w:trPr>
        <w:tc>
          <w:tcPr>
            <w:tcW w:w="4820" w:type="dxa"/>
            <w:gridSpan w:val="3"/>
            <w:tcBorders>
              <w:top w:val="nil"/>
              <w:left w:val="nil"/>
              <w:bottom w:val="nil"/>
              <w:right w:val="nil"/>
            </w:tcBorders>
            <w:shd w:val="clear" w:color="000000" w:fill="FFFFFF"/>
            <w:vAlign w:val="bottom"/>
            <w:hideMark/>
          </w:tcPr>
          <w:p w14:paraId="7813BC41"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Remeasurement losses on employee pension schemes </w:t>
            </w:r>
          </w:p>
        </w:tc>
        <w:tc>
          <w:tcPr>
            <w:tcW w:w="1134" w:type="dxa"/>
            <w:tcBorders>
              <w:top w:val="nil"/>
              <w:left w:val="nil"/>
              <w:bottom w:val="nil"/>
              <w:right w:val="nil"/>
            </w:tcBorders>
            <w:shd w:val="clear" w:color="000000" w:fill="FFFFFF"/>
            <w:vAlign w:val="bottom"/>
            <w:hideMark/>
          </w:tcPr>
          <w:p w14:paraId="282A089E"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7</w:t>
            </w:r>
          </w:p>
        </w:tc>
        <w:tc>
          <w:tcPr>
            <w:tcW w:w="1276" w:type="dxa"/>
            <w:tcBorders>
              <w:top w:val="nil"/>
              <w:left w:val="nil"/>
              <w:bottom w:val="nil"/>
              <w:right w:val="nil"/>
            </w:tcBorders>
            <w:shd w:val="clear" w:color="000000" w:fill="FFFFFF"/>
            <w:noWrap/>
            <w:vAlign w:val="bottom"/>
            <w:hideMark/>
          </w:tcPr>
          <w:p w14:paraId="6F996ABD"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1134" w:type="dxa"/>
            <w:tcBorders>
              <w:top w:val="nil"/>
              <w:left w:val="nil"/>
              <w:bottom w:val="nil"/>
              <w:right w:val="nil"/>
            </w:tcBorders>
            <w:shd w:val="clear" w:color="000000" w:fill="FFFFFF"/>
            <w:noWrap/>
            <w:vAlign w:val="bottom"/>
            <w:hideMark/>
          </w:tcPr>
          <w:p w14:paraId="6BA0D097"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(95)</w:t>
            </w:r>
          </w:p>
        </w:tc>
        <w:tc>
          <w:tcPr>
            <w:tcW w:w="992" w:type="dxa"/>
            <w:tcBorders>
              <w:top w:val="nil"/>
              <w:left w:val="nil"/>
              <w:bottom w:val="nil"/>
              <w:right w:val="nil"/>
            </w:tcBorders>
            <w:shd w:val="clear" w:color="000000" w:fill="FFFFFF"/>
            <w:noWrap/>
            <w:vAlign w:val="bottom"/>
            <w:hideMark/>
          </w:tcPr>
          <w:p w14:paraId="136F1B7B"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992" w:type="dxa"/>
            <w:tcBorders>
              <w:top w:val="nil"/>
              <w:left w:val="nil"/>
              <w:bottom w:val="nil"/>
              <w:right w:val="nil"/>
            </w:tcBorders>
            <w:shd w:val="clear" w:color="000000" w:fill="FFFFFF"/>
            <w:noWrap/>
            <w:vAlign w:val="bottom"/>
            <w:hideMark/>
          </w:tcPr>
          <w:p w14:paraId="287E0372"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(95)</w:t>
            </w:r>
          </w:p>
        </w:tc>
      </w:tr>
      <w:tr w:rsidR="00CA0E46" w:rsidRPr="00B57A59" w14:paraId="2F860DE2" w14:textId="77777777" w:rsidTr="00CA0E46">
        <w:trPr>
          <w:trHeight w:val="278"/>
        </w:trPr>
        <w:tc>
          <w:tcPr>
            <w:tcW w:w="4820" w:type="dxa"/>
            <w:gridSpan w:val="3"/>
            <w:tcBorders>
              <w:top w:val="nil"/>
              <w:left w:val="nil"/>
              <w:bottom w:val="single" w:sz="4" w:space="0" w:color="BFBFBF"/>
              <w:right w:val="nil"/>
            </w:tcBorders>
            <w:shd w:val="clear" w:color="000000" w:fill="FFFFFF"/>
            <w:vAlign w:val="bottom"/>
            <w:hideMark/>
          </w:tcPr>
          <w:p w14:paraId="71761862"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Tax on items taken directly to other comprehensive income</w:t>
            </w:r>
          </w:p>
        </w:tc>
        <w:tc>
          <w:tcPr>
            <w:tcW w:w="1134" w:type="dxa"/>
            <w:tcBorders>
              <w:top w:val="nil"/>
              <w:left w:val="nil"/>
              <w:bottom w:val="single" w:sz="4" w:space="0" w:color="BFBFBF"/>
              <w:right w:val="nil"/>
            </w:tcBorders>
            <w:shd w:val="clear" w:color="000000" w:fill="FFFFFF"/>
            <w:vAlign w:val="bottom"/>
            <w:hideMark/>
          </w:tcPr>
          <w:p w14:paraId="5A926AE0"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5</w:t>
            </w:r>
          </w:p>
        </w:tc>
        <w:tc>
          <w:tcPr>
            <w:tcW w:w="1276" w:type="dxa"/>
            <w:tcBorders>
              <w:top w:val="nil"/>
              <w:left w:val="nil"/>
              <w:bottom w:val="single" w:sz="4" w:space="0" w:color="BFBFBF"/>
              <w:right w:val="nil"/>
            </w:tcBorders>
            <w:shd w:val="clear" w:color="000000" w:fill="FFFFFF"/>
            <w:noWrap/>
            <w:vAlign w:val="bottom"/>
            <w:hideMark/>
          </w:tcPr>
          <w:p w14:paraId="3E1AF635"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1134" w:type="dxa"/>
            <w:tcBorders>
              <w:top w:val="nil"/>
              <w:left w:val="nil"/>
              <w:bottom w:val="single" w:sz="4" w:space="0" w:color="BFBFBF"/>
              <w:right w:val="nil"/>
            </w:tcBorders>
            <w:shd w:val="clear" w:color="000000" w:fill="FFFFFF"/>
            <w:noWrap/>
            <w:vAlign w:val="bottom"/>
            <w:hideMark/>
          </w:tcPr>
          <w:p w14:paraId="2B641923"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(17)</w:t>
            </w:r>
          </w:p>
        </w:tc>
        <w:tc>
          <w:tcPr>
            <w:tcW w:w="992" w:type="dxa"/>
            <w:tcBorders>
              <w:top w:val="nil"/>
              <w:left w:val="nil"/>
              <w:bottom w:val="single" w:sz="4" w:space="0" w:color="BFBFBF"/>
              <w:right w:val="nil"/>
            </w:tcBorders>
            <w:shd w:val="clear" w:color="000000" w:fill="FFFFFF"/>
            <w:noWrap/>
            <w:vAlign w:val="bottom"/>
            <w:hideMark/>
          </w:tcPr>
          <w:p w14:paraId="3A250AF0"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992" w:type="dxa"/>
            <w:tcBorders>
              <w:top w:val="nil"/>
              <w:left w:val="nil"/>
              <w:bottom w:val="single" w:sz="4" w:space="0" w:color="BFBFBF"/>
              <w:right w:val="nil"/>
            </w:tcBorders>
            <w:shd w:val="clear" w:color="000000" w:fill="FFFFFF"/>
            <w:noWrap/>
            <w:vAlign w:val="bottom"/>
            <w:hideMark/>
          </w:tcPr>
          <w:p w14:paraId="3A216E02"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(17)</w:t>
            </w:r>
          </w:p>
        </w:tc>
      </w:tr>
      <w:tr w:rsidR="00CA0E46" w:rsidRPr="00B57A59" w14:paraId="2C40DF60" w14:textId="77777777" w:rsidTr="00CA0E46">
        <w:trPr>
          <w:trHeight w:val="278"/>
        </w:trPr>
        <w:tc>
          <w:tcPr>
            <w:tcW w:w="4820" w:type="dxa"/>
            <w:gridSpan w:val="3"/>
            <w:tcBorders>
              <w:top w:val="nil"/>
              <w:left w:val="nil"/>
              <w:bottom w:val="nil"/>
              <w:right w:val="nil"/>
            </w:tcBorders>
            <w:shd w:val="clear" w:color="000000" w:fill="FFFFFF"/>
            <w:noWrap/>
            <w:vAlign w:val="bottom"/>
            <w:hideMark/>
          </w:tcPr>
          <w:p w14:paraId="44CF51B2"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Total other comprehensive loss:</w:t>
            </w:r>
          </w:p>
        </w:tc>
        <w:tc>
          <w:tcPr>
            <w:tcW w:w="1134" w:type="dxa"/>
            <w:tcBorders>
              <w:top w:val="nil"/>
              <w:left w:val="nil"/>
              <w:bottom w:val="nil"/>
              <w:right w:val="nil"/>
            </w:tcBorders>
            <w:shd w:val="clear" w:color="000000" w:fill="FFFFFF"/>
            <w:noWrap/>
            <w:vAlign w:val="bottom"/>
            <w:hideMark/>
          </w:tcPr>
          <w:p w14:paraId="607DF526" w14:textId="77777777" w:rsidR="00B57A59" w:rsidRPr="00B57A59" w:rsidRDefault="00B57A59" w:rsidP="00B57A59">
            <w:pPr>
              <w:spacing w:after="0" w:line="240" w:lineRule="auto"/>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1276" w:type="dxa"/>
            <w:tcBorders>
              <w:top w:val="nil"/>
              <w:left w:val="nil"/>
              <w:bottom w:val="nil"/>
              <w:right w:val="nil"/>
            </w:tcBorders>
            <w:shd w:val="clear" w:color="000000" w:fill="FFFFFF"/>
            <w:noWrap/>
            <w:vAlign w:val="bottom"/>
            <w:hideMark/>
          </w:tcPr>
          <w:p w14:paraId="5B32AAB0"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1134" w:type="dxa"/>
            <w:tcBorders>
              <w:top w:val="nil"/>
              <w:left w:val="nil"/>
              <w:bottom w:val="nil"/>
              <w:right w:val="nil"/>
            </w:tcBorders>
            <w:shd w:val="clear" w:color="000000" w:fill="FFFFFF"/>
            <w:noWrap/>
            <w:vAlign w:val="bottom"/>
            <w:hideMark/>
          </w:tcPr>
          <w:p w14:paraId="41CB13C1"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(112)</w:t>
            </w:r>
          </w:p>
        </w:tc>
        <w:tc>
          <w:tcPr>
            <w:tcW w:w="992" w:type="dxa"/>
            <w:tcBorders>
              <w:top w:val="nil"/>
              <w:left w:val="nil"/>
              <w:bottom w:val="nil"/>
              <w:right w:val="nil"/>
            </w:tcBorders>
            <w:shd w:val="clear" w:color="000000" w:fill="FFFFFF"/>
            <w:noWrap/>
            <w:vAlign w:val="bottom"/>
            <w:hideMark/>
          </w:tcPr>
          <w:p w14:paraId="26C1A995"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992" w:type="dxa"/>
            <w:tcBorders>
              <w:top w:val="nil"/>
              <w:left w:val="nil"/>
              <w:bottom w:val="nil"/>
              <w:right w:val="nil"/>
            </w:tcBorders>
            <w:shd w:val="clear" w:color="000000" w:fill="FFFFFF"/>
            <w:noWrap/>
            <w:vAlign w:val="bottom"/>
            <w:hideMark/>
          </w:tcPr>
          <w:p w14:paraId="6E938421"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(112)</w:t>
            </w:r>
          </w:p>
        </w:tc>
      </w:tr>
      <w:tr w:rsidR="00CA0E46" w:rsidRPr="00B57A59" w14:paraId="58B90902" w14:textId="77777777" w:rsidTr="00CA0E46">
        <w:trPr>
          <w:trHeight w:val="278"/>
        </w:trPr>
        <w:tc>
          <w:tcPr>
            <w:tcW w:w="2560" w:type="dxa"/>
            <w:gridSpan w:val="2"/>
            <w:tcBorders>
              <w:top w:val="single" w:sz="4" w:space="0" w:color="BFBFBF"/>
              <w:left w:val="nil"/>
              <w:bottom w:val="single" w:sz="4" w:space="0" w:color="BFBFBF"/>
              <w:right w:val="nil"/>
            </w:tcBorders>
            <w:shd w:val="clear" w:color="000000" w:fill="FFFFFF"/>
            <w:noWrap/>
            <w:vAlign w:val="center"/>
            <w:hideMark/>
          </w:tcPr>
          <w:p w14:paraId="4FC6233E"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Balance </w:t>
            </w:r>
            <w:proofErr w:type="gramStart"/>
            <w:r w:rsidRPr="00B57A59">
              <w:rPr>
                <w:rFonts w:ascii="Arial" w:eastAsia="Times New Roman" w:hAnsi="Arial" w:cs="Arial"/>
                <w:b/>
                <w:bCs/>
                <w:sz w:val="15"/>
                <w:szCs w:val="15"/>
                <w:lang w:eastAsia="en-GB"/>
              </w:rPr>
              <w:t>at</w:t>
            </w:r>
            <w:proofErr w:type="gramEnd"/>
            <w:r w:rsidRPr="00B57A59">
              <w:rPr>
                <w:rFonts w:ascii="Arial" w:eastAsia="Times New Roman" w:hAnsi="Arial" w:cs="Arial"/>
                <w:b/>
                <w:bCs/>
                <w:sz w:val="15"/>
                <w:szCs w:val="15"/>
                <w:lang w:eastAsia="en-GB"/>
              </w:rPr>
              <w:t xml:space="preserve"> 3 July 2021</w:t>
            </w:r>
          </w:p>
        </w:tc>
        <w:tc>
          <w:tcPr>
            <w:tcW w:w="2260" w:type="dxa"/>
            <w:tcBorders>
              <w:top w:val="single" w:sz="4" w:space="0" w:color="BFBFBF"/>
              <w:left w:val="nil"/>
              <w:bottom w:val="single" w:sz="4" w:space="0" w:color="BFBFBF"/>
              <w:right w:val="nil"/>
            </w:tcBorders>
            <w:shd w:val="clear" w:color="000000" w:fill="FFFFFF"/>
            <w:noWrap/>
            <w:vAlign w:val="center"/>
            <w:hideMark/>
          </w:tcPr>
          <w:p w14:paraId="7F42D24B"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1134" w:type="dxa"/>
            <w:tcBorders>
              <w:top w:val="single" w:sz="4" w:space="0" w:color="BFBFBF"/>
              <w:left w:val="nil"/>
              <w:bottom w:val="single" w:sz="4" w:space="0" w:color="BFBFBF"/>
              <w:right w:val="nil"/>
            </w:tcBorders>
            <w:shd w:val="clear" w:color="000000" w:fill="FFFFFF"/>
            <w:noWrap/>
            <w:vAlign w:val="center"/>
            <w:hideMark/>
          </w:tcPr>
          <w:p w14:paraId="418A801B"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1276" w:type="dxa"/>
            <w:tcBorders>
              <w:top w:val="single" w:sz="4" w:space="0" w:color="BFBFBF"/>
              <w:left w:val="nil"/>
              <w:bottom w:val="single" w:sz="4" w:space="0" w:color="BFBFBF"/>
              <w:right w:val="nil"/>
            </w:tcBorders>
            <w:shd w:val="clear" w:color="000000" w:fill="FFFFFF"/>
            <w:noWrap/>
            <w:vAlign w:val="center"/>
            <w:hideMark/>
          </w:tcPr>
          <w:p w14:paraId="79616532"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74 </w:t>
            </w:r>
          </w:p>
        </w:tc>
        <w:tc>
          <w:tcPr>
            <w:tcW w:w="1134" w:type="dxa"/>
            <w:tcBorders>
              <w:top w:val="single" w:sz="4" w:space="0" w:color="BFBFBF"/>
              <w:left w:val="nil"/>
              <w:bottom w:val="single" w:sz="4" w:space="0" w:color="BFBFBF"/>
              <w:right w:val="nil"/>
            </w:tcBorders>
            <w:shd w:val="clear" w:color="000000" w:fill="FFFFFF"/>
            <w:noWrap/>
            <w:vAlign w:val="center"/>
            <w:hideMark/>
          </w:tcPr>
          <w:p w14:paraId="287423C1"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2,529 </w:t>
            </w:r>
          </w:p>
        </w:tc>
        <w:tc>
          <w:tcPr>
            <w:tcW w:w="992" w:type="dxa"/>
            <w:tcBorders>
              <w:top w:val="single" w:sz="4" w:space="0" w:color="BFBFBF"/>
              <w:left w:val="nil"/>
              <w:bottom w:val="single" w:sz="4" w:space="0" w:color="BFBFBF"/>
              <w:right w:val="nil"/>
            </w:tcBorders>
            <w:shd w:val="clear" w:color="000000" w:fill="FFFFFF"/>
            <w:noWrap/>
            <w:vAlign w:val="center"/>
            <w:hideMark/>
          </w:tcPr>
          <w:p w14:paraId="0A8C6EDF"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1 </w:t>
            </w:r>
          </w:p>
        </w:tc>
        <w:tc>
          <w:tcPr>
            <w:tcW w:w="992" w:type="dxa"/>
            <w:tcBorders>
              <w:top w:val="single" w:sz="4" w:space="0" w:color="BFBFBF"/>
              <w:left w:val="nil"/>
              <w:bottom w:val="single" w:sz="4" w:space="0" w:color="BFBFBF"/>
              <w:right w:val="nil"/>
            </w:tcBorders>
            <w:shd w:val="clear" w:color="000000" w:fill="FFFFFF"/>
            <w:noWrap/>
            <w:vAlign w:val="center"/>
            <w:hideMark/>
          </w:tcPr>
          <w:p w14:paraId="488606A0"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2,604 </w:t>
            </w:r>
          </w:p>
        </w:tc>
      </w:tr>
      <w:tr w:rsidR="00B57A59" w:rsidRPr="00B57A59" w14:paraId="5DAE5487" w14:textId="77777777" w:rsidTr="00777B4E">
        <w:trPr>
          <w:trHeight w:val="552"/>
        </w:trPr>
        <w:tc>
          <w:tcPr>
            <w:tcW w:w="10348" w:type="dxa"/>
            <w:gridSpan w:val="8"/>
            <w:tcBorders>
              <w:top w:val="nil"/>
              <w:left w:val="nil"/>
              <w:bottom w:val="nil"/>
              <w:right w:val="nil"/>
            </w:tcBorders>
            <w:shd w:val="clear" w:color="000000" w:fill="FFFFFF"/>
            <w:vAlign w:val="bottom"/>
            <w:hideMark/>
          </w:tcPr>
          <w:p w14:paraId="4D9B663F"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r>
      <w:tr w:rsidR="00CA0E46" w:rsidRPr="00B57A59" w14:paraId="4FBCA8F1" w14:textId="77777777" w:rsidTr="00CA0E46">
        <w:trPr>
          <w:trHeight w:val="218"/>
        </w:trPr>
        <w:tc>
          <w:tcPr>
            <w:tcW w:w="340" w:type="dxa"/>
            <w:tcBorders>
              <w:top w:val="nil"/>
              <w:left w:val="nil"/>
              <w:bottom w:val="single" w:sz="4" w:space="0" w:color="BFBFBF"/>
              <w:right w:val="nil"/>
            </w:tcBorders>
            <w:shd w:val="clear" w:color="000000" w:fill="FFFFFF"/>
            <w:vAlign w:val="bottom"/>
            <w:hideMark/>
          </w:tcPr>
          <w:p w14:paraId="03EDB07D"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2220" w:type="dxa"/>
            <w:tcBorders>
              <w:top w:val="nil"/>
              <w:left w:val="nil"/>
              <w:bottom w:val="single" w:sz="4" w:space="0" w:color="BFBFBF"/>
              <w:right w:val="nil"/>
            </w:tcBorders>
            <w:shd w:val="clear" w:color="000000" w:fill="FFFFFF"/>
            <w:vAlign w:val="bottom"/>
            <w:hideMark/>
          </w:tcPr>
          <w:p w14:paraId="50985F09"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2260" w:type="dxa"/>
            <w:tcBorders>
              <w:top w:val="nil"/>
              <w:left w:val="nil"/>
              <w:bottom w:val="single" w:sz="4" w:space="0" w:color="BFBFBF"/>
              <w:right w:val="nil"/>
            </w:tcBorders>
            <w:shd w:val="clear" w:color="000000" w:fill="FFFFFF"/>
            <w:vAlign w:val="bottom"/>
            <w:hideMark/>
          </w:tcPr>
          <w:p w14:paraId="0082BBE2"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1134" w:type="dxa"/>
            <w:tcBorders>
              <w:top w:val="nil"/>
              <w:left w:val="nil"/>
              <w:bottom w:val="single" w:sz="4" w:space="0" w:color="BFBFBF"/>
              <w:right w:val="nil"/>
            </w:tcBorders>
            <w:shd w:val="clear" w:color="000000" w:fill="FFFFFF"/>
            <w:vAlign w:val="bottom"/>
            <w:hideMark/>
          </w:tcPr>
          <w:p w14:paraId="326E77E3"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1276" w:type="dxa"/>
            <w:tcBorders>
              <w:top w:val="nil"/>
              <w:left w:val="nil"/>
              <w:bottom w:val="single" w:sz="4" w:space="0" w:color="BFBFBF"/>
              <w:right w:val="nil"/>
            </w:tcBorders>
            <w:shd w:val="clear" w:color="000000" w:fill="FFFFFF"/>
            <w:vAlign w:val="bottom"/>
            <w:hideMark/>
          </w:tcPr>
          <w:p w14:paraId="52FA0E71"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1134" w:type="dxa"/>
            <w:tcBorders>
              <w:top w:val="nil"/>
              <w:left w:val="nil"/>
              <w:bottom w:val="single" w:sz="4" w:space="0" w:color="BFBFBF"/>
              <w:right w:val="nil"/>
            </w:tcBorders>
            <w:shd w:val="clear" w:color="000000" w:fill="FFFFFF"/>
            <w:vAlign w:val="bottom"/>
            <w:hideMark/>
          </w:tcPr>
          <w:p w14:paraId="5E08D543"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992" w:type="dxa"/>
            <w:tcBorders>
              <w:top w:val="nil"/>
              <w:left w:val="nil"/>
              <w:bottom w:val="single" w:sz="4" w:space="0" w:color="BFBFBF"/>
              <w:right w:val="nil"/>
            </w:tcBorders>
            <w:shd w:val="clear" w:color="000000" w:fill="FFFFFF"/>
            <w:vAlign w:val="bottom"/>
            <w:hideMark/>
          </w:tcPr>
          <w:p w14:paraId="13EA4329"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992" w:type="dxa"/>
            <w:tcBorders>
              <w:top w:val="nil"/>
              <w:left w:val="nil"/>
              <w:bottom w:val="single" w:sz="4" w:space="0" w:color="BFBFBF"/>
              <w:right w:val="nil"/>
            </w:tcBorders>
            <w:shd w:val="clear" w:color="000000" w:fill="FFFFFF"/>
            <w:vAlign w:val="bottom"/>
            <w:hideMark/>
          </w:tcPr>
          <w:p w14:paraId="1D1F2AE1"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r>
      <w:tr w:rsidR="00B57A59" w:rsidRPr="00B57A59" w14:paraId="552D2B81" w14:textId="77777777" w:rsidTr="00CA0E46">
        <w:trPr>
          <w:trHeight w:val="443"/>
        </w:trPr>
        <w:tc>
          <w:tcPr>
            <w:tcW w:w="4820" w:type="dxa"/>
            <w:gridSpan w:val="3"/>
            <w:tcBorders>
              <w:top w:val="single" w:sz="4" w:space="0" w:color="BFBFBF"/>
              <w:left w:val="single" w:sz="4" w:space="0" w:color="BFBFBF"/>
              <w:bottom w:val="nil"/>
              <w:right w:val="nil"/>
            </w:tcBorders>
            <w:shd w:val="clear" w:color="auto" w:fill="auto"/>
            <w:noWrap/>
            <w:vAlign w:val="bottom"/>
            <w:hideMark/>
          </w:tcPr>
          <w:p w14:paraId="13AA1007"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For the 26 weeks ended 1 July 2022 (audited)</w:t>
            </w:r>
          </w:p>
        </w:tc>
        <w:tc>
          <w:tcPr>
            <w:tcW w:w="1134" w:type="dxa"/>
            <w:tcBorders>
              <w:top w:val="nil"/>
              <w:left w:val="nil"/>
              <w:bottom w:val="nil"/>
              <w:right w:val="nil"/>
            </w:tcBorders>
            <w:shd w:val="clear" w:color="auto" w:fill="auto"/>
            <w:vAlign w:val="bottom"/>
            <w:hideMark/>
          </w:tcPr>
          <w:p w14:paraId="7E359449" w14:textId="77777777" w:rsidR="00B57A59" w:rsidRPr="00B57A59" w:rsidRDefault="00B57A59" w:rsidP="00B57A59">
            <w:pPr>
              <w:spacing w:after="0" w:line="240" w:lineRule="auto"/>
              <w:jc w:val="right"/>
              <w:rPr>
                <w:rFonts w:ascii="Arial" w:eastAsia="Times New Roman" w:hAnsi="Arial" w:cs="Arial"/>
                <w:b/>
                <w:bCs/>
                <w:sz w:val="12"/>
                <w:szCs w:val="12"/>
                <w:lang w:eastAsia="en-GB"/>
              </w:rPr>
            </w:pPr>
            <w:r w:rsidRPr="00B57A59">
              <w:rPr>
                <w:rFonts w:ascii="Arial" w:eastAsia="Times New Roman" w:hAnsi="Arial" w:cs="Arial"/>
                <w:b/>
                <w:bCs/>
                <w:sz w:val="12"/>
                <w:szCs w:val="12"/>
                <w:lang w:eastAsia="en-GB"/>
              </w:rPr>
              <w:t> </w:t>
            </w:r>
          </w:p>
        </w:tc>
        <w:tc>
          <w:tcPr>
            <w:tcW w:w="1276" w:type="dxa"/>
            <w:tcBorders>
              <w:top w:val="nil"/>
              <w:left w:val="nil"/>
              <w:bottom w:val="nil"/>
              <w:right w:val="nil"/>
            </w:tcBorders>
            <w:shd w:val="clear" w:color="auto" w:fill="auto"/>
            <w:vAlign w:val="bottom"/>
            <w:hideMark/>
          </w:tcPr>
          <w:p w14:paraId="6886BA1D"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Members'      share capital</w:t>
            </w:r>
          </w:p>
        </w:tc>
        <w:tc>
          <w:tcPr>
            <w:tcW w:w="1134" w:type="dxa"/>
            <w:tcBorders>
              <w:top w:val="nil"/>
              <w:left w:val="nil"/>
              <w:bottom w:val="nil"/>
              <w:right w:val="nil"/>
            </w:tcBorders>
            <w:shd w:val="clear" w:color="auto" w:fill="auto"/>
            <w:vAlign w:val="bottom"/>
            <w:hideMark/>
          </w:tcPr>
          <w:p w14:paraId="139EE5A5"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Retained earnings</w:t>
            </w:r>
          </w:p>
        </w:tc>
        <w:tc>
          <w:tcPr>
            <w:tcW w:w="992" w:type="dxa"/>
            <w:tcBorders>
              <w:top w:val="nil"/>
              <w:left w:val="nil"/>
              <w:bottom w:val="nil"/>
              <w:right w:val="nil"/>
            </w:tcBorders>
            <w:shd w:val="clear" w:color="auto" w:fill="auto"/>
            <w:vAlign w:val="bottom"/>
            <w:hideMark/>
          </w:tcPr>
          <w:p w14:paraId="51DCAF20"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Other      reserves</w:t>
            </w:r>
          </w:p>
        </w:tc>
        <w:tc>
          <w:tcPr>
            <w:tcW w:w="992" w:type="dxa"/>
            <w:tcBorders>
              <w:top w:val="nil"/>
              <w:left w:val="nil"/>
              <w:bottom w:val="nil"/>
              <w:right w:val="single" w:sz="4" w:space="0" w:color="BFBFBF"/>
            </w:tcBorders>
            <w:shd w:val="clear" w:color="auto" w:fill="auto"/>
            <w:vAlign w:val="bottom"/>
            <w:hideMark/>
          </w:tcPr>
          <w:p w14:paraId="1A3743B5"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Total            equity</w:t>
            </w:r>
          </w:p>
        </w:tc>
      </w:tr>
      <w:tr w:rsidR="00B57A59" w:rsidRPr="00B57A59" w14:paraId="17A08F92" w14:textId="77777777" w:rsidTr="00CA0E46">
        <w:trPr>
          <w:trHeight w:val="203"/>
        </w:trPr>
        <w:tc>
          <w:tcPr>
            <w:tcW w:w="340" w:type="dxa"/>
            <w:tcBorders>
              <w:top w:val="nil"/>
              <w:left w:val="single" w:sz="4" w:space="0" w:color="BFBFBF"/>
              <w:bottom w:val="single" w:sz="4" w:space="0" w:color="BFBFBF"/>
              <w:right w:val="nil"/>
            </w:tcBorders>
            <w:shd w:val="clear" w:color="auto" w:fill="auto"/>
            <w:noWrap/>
            <w:vAlign w:val="bottom"/>
            <w:hideMark/>
          </w:tcPr>
          <w:p w14:paraId="40EAC8E8" w14:textId="77777777" w:rsidR="00B57A59" w:rsidRPr="00B57A59" w:rsidRDefault="00B57A59" w:rsidP="00B57A59">
            <w:pPr>
              <w:spacing w:after="0" w:line="240" w:lineRule="auto"/>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2220" w:type="dxa"/>
            <w:tcBorders>
              <w:top w:val="nil"/>
              <w:left w:val="nil"/>
              <w:bottom w:val="single" w:sz="4" w:space="0" w:color="BFBFBF"/>
              <w:right w:val="nil"/>
            </w:tcBorders>
            <w:shd w:val="clear" w:color="auto" w:fill="auto"/>
            <w:noWrap/>
            <w:vAlign w:val="bottom"/>
            <w:hideMark/>
          </w:tcPr>
          <w:p w14:paraId="0A2A4C58" w14:textId="77777777" w:rsidR="00B57A59" w:rsidRPr="00B57A59" w:rsidRDefault="00B57A59" w:rsidP="00B57A59">
            <w:pPr>
              <w:spacing w:after="0" w:line="240" w:lineRule="auto"/>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2260" w:type="dxa"/>
            <w:tcBorders>
              <w:top w:val="nil"/>
              <w:left w:val="nil"/>
              <w:bottom w:val="single" w:sz="4" w:space="0" w:color="BFBFBF"/>
              <w:right w:val="nil"/>
            </w:tcBorders>
            <w:shd w:val="clear" w:color="auto" w:fill="auto"/>
            <w:vAlign w:val="bottom"/>
            <w:hideMark/>
          </w:tcPr>
          <w:p w14:paraId="13BF7A34"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1134" w:type="dxa"/>
            <w:tcBorders>
              <w:top w:val="nil"/>
              <w:left w:val="nil"/>
              <w:bottom w:val="single" w:sz="4" w:space="0" w:color="BFBFBF"/>
              <w:right w:val="nil"/>
            </w:tcBorders>
            <w:shd w:val="clear" w:color="auto" w:fill="auto"/>
            <w:vAlign w:val="bottom"/>
            <w:hideMark/>
          </w:tcPr>
          <w:p w14:paraId="33BFD324"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Notes</w:t>
            </w:r>
          </w:p>
        </w:tc>
        <w:tc>
          <w:tcPr>
            <w:tcW w:w="1276" w:type="dxa"/>
            <w:tcBorders>
              <w:top w:val="nil"/>
              <w:left w:val="nil"/>
              <w:bottom w:val="single" w:sz="4" w:space="0" w:color="BFBFBF"/>
              <w:right w:val="nil"/>
            </w:tcBorders>
            <w:shd w:val="clear" w:color="auto" w:fill="auto"/>
            <w:hideMark/>
          </w:tcPr>
          <w:p w14:paraId="6113D309"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£m</w:t>
            </w:r>
          </w:p>
        </w:tc>
        <w:tc>
          <w:tcPr>
            <w:tcW w:w="1134" w:type="dxa"/>
            <w:tcBorders>
              <w:top w:val="nil"/>
              <w:left w:val="nil"/>
              <w:bottom w:val="single" w:sz="4" w:space="0" w:color="BFBFBF"/>
              <w:right w:val="nil"/>
            </w:tcBorders>
            <w:shd w:val="clear" w:color="auto" w:fill="auto"/>
            <w:hideMark/>
          </w:tcPr>
          <w:p w14:paraId="5093DAA2"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£m</w:t>
            </w:r>
          </w:p>
        </w:tc>
        <w:tc>
          <w:tcPr>
            <w:tcW w:w="992" w:type="dxa"/>
            <w:tcBorders>
              <w:top w:val="nil"/>
              <w:left w:val="nil"/>
              <w:bottom w:val="single" w:sz="4" w:space="0" w:color="BFBFBF"/>
              <w:right w:val="nil"/>
            </w:tcBorders>
            <w:shd w:val="clear" w:color="auto" w:fill="auto"/>
            <w:hideMark/>
          </w:tcPr>
          <w:p w14:paraId="533754F0"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£m</w:t>
            </w:r>
          </w:p>
        </w:tc>
        <w:tc>
          <w:tcPr>
            <w:tcW w:w="992" w:type="dxa"/>
            <w:tcBorders>
              <w:top w:val="nil"/>
              <w:left w:val="nil"/>
              <w:bottom w:val="single" w:sz="4" w:space="0" w:color="BFBFBF"/>
              <w:right w:val="single" w:sz="4" w:space="0" w:color="BFBFBF"/>
            </w:tcBorders>
            <w:shd w:val="clear" w:color="auto" w:fill="auto"/>
            <w:hideMark/>
          </w:tcPr>
          <w:p w14:paraId="0CC25E19" w14:textId="77777777" w:rsidR="00B57A59" w:rsidRPr="00B57A59" w:rsidRDefault="00B57A59" w:rsidP="00B57A59">
            <w:pPr>
              <w:spacing w:after="0" w:line="240" w:lineRule="auto"/>
              <w:jc w:val="right"/>
              <w:rPr>
                <w:rFonts w:ascii="Arial" w:eastAsia="Times New Roman" w:hAnsi="Arial" w:cs="Arial"/>
                <w:b/>
                <w:bCs/>
                <w:sz w:val="14"/>
                <w:szCs w:val="14"/>
                <w:lang w:eastAsia="en-GB"/>
              </w:rPr>
            </w:pPr>
            <w:r w:rsidRPr="00B57A59">
              <w:rPr>
                <w:rFonts w:ascii="Arial" w:eastAsia="Times New Roman" w:hAnsi="Arial" w:cs="Arial"/>
                <w:b/>
                <w:bCs/>
                <w:sz w:val="14"/>
                <w:szCs w:val="14"/>
                <w:lang w:eastAsia="en-GB"/>
              </w:rPr>
              <w:t>£m</w:t>
            </w:r>
          </w:p>
        </w:tc>
      </w:tr>
      <w:tr w:rsidR="00CA0E46" w:rsidRPr="00B57A59" w14:paraId="39EEA69E" w14:textId="77777777" w:rsidTr="00CA0E46">
        <w:trPr>
          <w:trHeight w:val="278"/>
        </w:trPr>
        <w:tc>
          <w:tcPr>
            <w:tcW w:w="2560" w:type="dxa"/>
            <w:gridSpan w:val="2"/>
            <w:tcBorders>
              <w:top w:val="single" w:sz="4" w:space="0" w:color="BFBFBF"/>
              <w:left w:val="nil"/>
              <w:bottom w:val="single" w:sz="4" w:space="0" w:color="BFBFBF"/>
              <w:right w:val="nil"/>
            </w:tcBorders>
            <w:shd w:val="clear" w:color="000000" w:fill="FFFFFF"/>
            <w:noWrap/>
            <w:vAlign w:val="bottom"/>
            <w:hideMark/>
          </w:tcPr>
          <w:p w14:paraId="05B08725"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Balance </w:t>
            </w:r>
            <w:proofErr w:type="gramStart"/>
            <w:r w:rsidRPr="00B57A59">
              <w:rPr>
                <w:rFonts w:ascii="Arial" w:eastAsia="Times New Roman" w:hAnsi="Arial" w:cs="Arial"/>
                <w:b/>
                <w:bCs/>
                <w:sz w:val="15"/>
                <w:szCs w:val="15"/>
                <w:lang w:eastAsia="en-GB"/>
              </w:rPr>
              <w:t>at</w:t>
            </w:r>
            <w:proofErr w:type="gramEnd"/>
            <w:r w:rsidRPr="00B57A59">
              <w:rPr>
                <w:rFonts w:ascii="Arial" w:eastAsia="Times New Roman" w:hAnsi="Arial" w:cs="Arial"/>
                <w:b/>
                <w:bCs/>
                <w:sz w:val="15"/>
                <w:szCs w:val="15"/>
                <w:lang w:eastAsia="en-GB"/>
              </w:rPr>
              <w:t xml:space="preserve"> 2 January 2021 </w:t>
            </w:r>
          </w:p>
        </w:tc>
        <w:tc>
          <w:tcPr>
            <w:tcW w:w="2260" w:type="dxa"/>
            <w:tcBorders>
              <w:top w:val="nil"/>
              <w:left w:val="nil"/>
              <w:bottom w:val="single" w:sz="4" w:space="0" w:color="BFBFBF"/>
              <w:right w:val="nil"/>
            </w:tcBorders>
            <w:shd w:val="clear" w:color="000000" w:fill="FFFFFF"/>
            <w:noWrap/>
            <w:vAlign w:val="bottom"/>
            <w:hideMark/>
          </w:tcPr>
          <w:p w14:paraId="603D4545"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134" w:type="dxa"/>
            <w:tcBorders>
              <w:top w:val="nil"/>
              <w:left w:val="nil"/>
              <w:bottom w:val="single" w:sz="4" w:space="0" w:color="BFBFBF"/>
              <w:right w:val="nil"/>
            </w:tcBorders>
            <w:shd w:val="clear" w:color="000000" w:fill="FFFFFF"/>
            <w:vAlign w:val="bottom"/>
            <w:hideMark/>
          </w:tcPr>
          <w:p w14:paraId="29975610"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1276" w:type="dxa"/>
            <w:tcBorders>
              <w:top w:val="nil"/>
              <w:left w:val="nil"/>
              <w:bottom w:val="single" w:sz="4" w:space="0" w:color="BFBFBF"/>
              <w:right w:val="nil"/>
            </w:tcBorders>
            <w:shd w:val="clear" w:color="000000" w:fill="FFFFFF"/>
            <w:noWrap/>
            <w:vAlign w:val="bottom"/>
            <w:hideMark/>
          </w:tcPr>
          <w:p w14:paraId="2DCD702A"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74 </w:t>
            </w:r>
          </w:p>
        </w:tc>
        <w:tc>
          <w:tcPr>
            <w:tcW w:w="1134" w:type="dxa"/>
            <w:tcBorders>
              <w:top w:val="nil"/>
              <w:left w:val="nil"/>
              <w:bottom w:val="single" w:sz="4" w:space="0" w:color="BFBFBF"/>
              <w:right w:val="nil"/>
            </w:tcBorders>
            <w:shd w:val="clear" w:color="000000" w:fill="FFFFFF"/>
            <w:noWrap/>
            <w:vAlign w:val="bottom"/>
            <w:hideMark/>
          </w:tcPr>
          <w:p w14:paraId="3D54D89E"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2,594 </w:t>
            </w:r>
          </w:p>
        </w:tc>
        <w:tc>
          <w:tcPr>
            <w:tcW w:w="992" w:type="dxa"/>
            <w:tcBorders>
              <w:top w:val="nil"/>
              <w:left w:val="nil"/>
              <w:bottom w:val="single" w:sz="4" w:space="0" w:color="BFBFBF"/>
              <w:right w:val="nil"/>
            </w:tcBorders>
            <w:shd w:val="clear" w:color="000000" w:fill="FFFFFF"/>
            <w:noWrap/>
            <w:vAlign w:val="bottom"/>
            <w:hideMark/>
          </w:tcPr>
          <w:p w14:paraId="7B070BAC"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1 </w:t>
            </w:r>
          </w:p>
        </w:tc>
        <w:tc>
          <w:tcPr>
            <w:tcW w:w="992" w:type="dxa"/>
            <w:tcBorders>
              <w:top w:val="nil"/>
              <w:left w:val="nil"/>
              <w:bottom w:val="single" w:sz="4" w:space="0" w:color="BFBFBF"/>
              <w:right w:val="nil"/>
            </w:tcBorders>
            <w:shd w:val="clear" w:color="000000" w:fill="FFFFFF"/>
            <w:noWrap/>
            <w:vAlign w:val="bottom"/>
            <w:hideMark/>
          </w:tcPr>
          <w:p w14:paraId="5857C35D"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2,669 </w:t>
            </w:r>
          </w:p>
        </w:tc>
      </w:tr>
      <w:tr w:rsidR="00CA0E46" w:rsidRPr="00B57A59" w14:paraId="094C98E1" w14:textId="77777777" w:rsidTr="00CA0E46">
        <w:trPr>
          <w:trHeight w:val="278"/>
        </w:trPr>
        <w:tc>
          <w:tcPr>
            <w:tcW w:w="2560" w:type="dxa"/>
            <w:gridSpan w:val="2"/>
            <w:tcBorders>
              <w:top w:val="single" w:sz="4" w:space="0" w:color="BFBFBF"/>
              <w:left w:val="nil"/>
              <w:bottom w:val="single" w:sz="4" w:space="0" w:color="BFBFBF"/>
              <w:right w:val="nil"/>
            </w:tcBorders>
            <w:shd w:val="clear" w:color="000000" w:fill="FFFFFF"/>
            <w:noWrap/>
            <w:vAlign w:val="bottom"/>
            <w:hideMark/>
          </w:tcPr>
          <w:p w14:paraId="137AE174"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Profit for the period</w:t>
            </w:r>
          </w:p>
        </w:tc>
        <w:tc>
          <w:tcPr>
            <w:tcW w:w="2260" w:type="dxa"/>
            <w:tcBorders>
              <w:top w:val="nil"/>
              <w:left w:val="nil"/>
              <w:bottom w:val="single" w:sz="4" w:space="0" w:color="BFBFBF"/>
              <w:right w:val="nil"/>
            </w:tcBorders>
            <w:shd w:val="clear" w:color="000000" w:fill="FFFFFF"/>
            <w:noWrap/>
            <w:vAlign w:val="bottom"/>
            <w:hideMark/>
          </w:tcPr>
          <w:p w14:paraId="6C27E1C0"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134" w:type="dxa"/>
            <w:tcBorders>
              <w:top w:val="nil"/>
              <w:left w:val="nil"/>
              <w:bottom w:val="single" w:sz="4" w:space="0" w:color="BFBFBF"/>
              <w:right w:val="nil"/>
            </w:tcBorders>
            <w:shd w:val="clear" w:color="000000" w:fill="FFFFFF"/>
            <w:noWrap/>
            <w:vAlign w:val="bottom"/>
            <w:hideMark/>
          </w:tcPr>
          <w:p w14:paraId="510C6EF2"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1276" w:type="dxa"/>
            <w:tcBorders>
              <w:top w:val="nil"/>
              <w:left w:val="nil"/>
              <w:bottom w:val="single" w:sz="4" w:space="0" w:color="BFBFBF"/>
              <w:right w:val="nil"/>
            </w:tcBorders>
            <w:shd w:val="clear" w:color="000000" w:fill="FFFFFF"/>
            <w:noWrap/>
            <w:vAlign w:val="bottom"/>
            <w:hideMark/>
          </w:tcPr>
          <w:p w14:paraId="65091ED7"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1134" w:type="dxa"/>
            <w:tcBorders>
              <w:top w:val="nil"/>
              <w:left w:val="nil"/>
              <w:bottom w:val="single" w:sz="4" w:space="0" w:color="BFBFBF"/>
              <w:right w:val="nil"/>
            </w:tcBorders>
            <w:shd w:val="clear" w:color="000000" w:fill="FFFFFF"/>
            <w:noWrap/>
            <w:vAlign w:val="bottom"/>
            <w:hideMark/>
          </w:tcPr>
          <w:p w14:paraId="29F111A6"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45 </w:t>
            </w:r>
          </w:p>
        </w:tc>
        <w:tc>
          <w:tcPr>
            <w:tcW w:w="992" w:type="dxa"/>
            <w:tcBorders>
              <w:top w:val="nil"/>
              <w:left w:val="nil"/>
              <w:bottom w:val="single" w:sz="4" w:space="0" w:color="BFBFBF"/>
              <w:right w:val="nil"/>
            </w:tcBorders>
            <w:shd w:val="clear" w:color="000000" w:fill="FFFFFF"/>
            <w:noWrap/>
            <w:vAlign w:val="bottom"/>
            <w:hideMark/>
          </w:tcPr>
          <w:p w14:paraId="203EC43B"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992" w:type="dxa"/>
            <w:tcBorders>
              <w:top w:val="nil"/>
              <w:left w:val="nil"/>
              <w:bottom w:val="single" w:sz="4" w:space="0" w:color="BFBFBF"/>
              <w:right w:val="nil"/>
            </w:tcBorders>
            <w:shd w:val="clear" w:color="000000" w:fill="FFFFFF"/>
            <w:noWrap/>
            <w:vAlign w:val="bottom"/>
            <w:hideMark/>
          </w:tcPr>
          <w:p w14:paraId="22FAC462"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45 </w:t>
            </w:r>
          </w:p>
        </w:tc>
      </w:tr>
      <w:tr w:rsidR="00CA0E46" w:rsidRPr="00B57A59" w14:paraId="0755B3F2" w14:textId="77777777" w:rsidTr="00CA0E46">
        <w:trPr>
          <w:trHeight w:val="278"/>
        </w:trPr>
        <w:tc>
          <w:tcPr>
            <w:tcW w:w="4820" w:type="dxa"/>
            <w:gridSpan w:val="3"/>
            <w:tcBorders>
              <w:top w:val="nil"/>
              <w:left w:val="nil"/>
              <w:bottom w:val="nil"/>
              <w:right w:val="nil"/>
            </w:tcBorders>
            <w:shd w:val="clear" w:color="000000" w:fill="FFFFFF"/>
            <w:vAlign w:val="bottom"/>
            <w:hideMark/>
          </w:tcPr>
          <w:p w14:paraId="5A91A8D5"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Other comprehensive income / (losses):</w:t>
            </w:r>
          </w:p>
        </w:tc>
        <w:tc>
          <w:tcPr>
            <w:tcW w:w="1134" w:type="dxa"/>
            <w:tcBorders>
              <w:top w:val="nil"/>
              <w:left w:val="nil"/>
              <w:bottom w:val="nil"/>
              <w:right w:val="nil"/>
            </w:tcBorders>
            <w:shd w:val="clear" w:color="000000" w:fill="FFFFFF"/>
            <w:vAlign w:val="bottom"/>
            <w:hideMark/>
          </w:tcPr>
          <w:p w14:paraId="2106DCF5" w14:textId="77777777" w:rsidR="00B57A59" w:rsidRPr="00B57A59" w:rsidRDefault="00B57A59" w:rsidP="00B57A59">
            <w:pPr>
              <w:spacing w:after="0" w:line="240" w:lineRule="auto"/>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1276" w:type="dxa"/>
            <w:tcBorders>
              <w:top w:val="nil"/>
              <w:left w:val="nil"/>
              <w:bottom w:val="nil"/>
              <w:right w:val="nil"/>
            </w:tcBorders>
            <w:shd w:val="clear" w:color="000000" w:fill="FFFFFF"/>
            <w:noWrap/>
            <w:vAlign w:val="bottom"/>
            <w:hideMark/>
          </w:tcPr>
          <w:p w14:paraId="1F5753DC"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1134" w:type="dxa"/>
            <w:tcBorders>
              <w:top w:val="nil"/>
              <w:left w:val="nil"/>
              <w:bottom w:val="nil"/>
              <w:right w:val="nil"/>
            </w:tcBorders>
            <w:shd w:val="clear" w:color="000000" w:fill="FFFFFF"/>
            <w:noWrap/>
            <w:vAlign w:val="bottom"/>
            <w:hideMark/>
          </w:tcPr>
          <w:p w14:paraId="7438E2E1"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992" w:type="dxa"/>
            <w:tcBorders>
              <w:top w:val="nil"/>
              <w:left w:val="nil"/>
              <w:bottom w:val="nil"/>
              <w:right w:val="nil"/>
            </w:tcBorders>
            <w:shd w:val="clear" w:color="000000" w:fill="FFFFFF"/>
            <w:noWrap/>
            <w:vAlign w:val="bottom"/>
            <w:hideMark/>
          </w:tcPr>
          <w:p w14:paraId="4564C846"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992" w:type="dxa"/>
            <w:tcBorders>
              <w:top w:val="nil"/>
              <w:left w:val="nil"/>
              <w:bottom w:val="nil"/>
              <w:right w:val="nil"/>
            </w:tcBorders>
            <w:shd w:val="clear" w:color="000000" w:fill="FFFFFF"/>
            <w:noWrap/>
            <w:vAlign w:val="bottom"/>
            <w:hideMark/>
          </w:tcPr>
          <w:p w14:paraId="46640D0E"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r>
      <w:tr w:rsidR="00CA0E46" w:rsidRPr="00B57A59" w14:paraId="2F12B19F" w14:textId="77777777" w:rsidTr="00CA0E46">
        <w:trPr>
          <w:trHeight w:val="278"/>
        </w:trPr>
        <w:tc>
          <w:tcPr>
            <w:tcW w:w="4820" w:type="dxa"/>
            <w:gridSpan w:val="3"/>
            <w:tcBorders>
              <w:top w:val="nil"/>
              <w:left w:val="nil"/>
              <w:bottom w:val="nil"/>
              <w:right w:val="nil"/>
            </w:tcBorders>
            <w:shd w:val="clear" w:color="000000" w:fill="FFFFFF"/>
            <w:vAlign w:val="bottom"/>
            <w:hideMark/>
          </w:tcPr>
          <w:p w14:paraId="7DE506EE"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Remeasurement gains on employee pension schemes </w:t>
            </w:r>
          </w:p>
        </w:tc>
        <w:tc>
          <w:tcPr>
            <w:tcW w:w="1134" w:type="dxa"/>
            <w:tcBorders>
              <w:top w:val="nil"/>
              <w:left w:val="nil"/>
              <w:bottom w:val="nil"/>
              <w:right w:val="nil"/>
            </w:tcBorders>
            <w:shd w:val="clear" w:color="000000" w:fill="FFFFFF"/>
            <w:vAlign w:val="bottom"/>
            <w:hideMark/>
          </w:tcPr>
          <w:p w14:paraId="5647C541"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7</w:t>
            </w:r>
          </w:p>
        </w:tc>
        <w:tc>
          <w:tcPr>
            <w:tcW w:w="1276" w:type="dxa"/>
            <w:tcBorders>
              <w:top w:val="nil"/>
              <w:left w:val="nil"/>
              <w:bottom w:val="nil"/>
              <w:right w:val="nil"/>
            </w:tcBorders>
            <w:shd w:val="clear" w:color="000000" w:fill="FFFFFF"/>
            <w:noWrap/>
            <w:vAlign w:val="bottom"/>
            <w:hideMark/>
          </w:tcPr>
          <w:p w14:paraId="1A6744ED"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1134" w:type="dxa"/>
            <w:tcBorders>
              <w:top w:val="nil"/>
              <w:left w:val="nil"/>
              <w:bottom w:val="nil"/>
              <w:right w:val="nil"/>
            </w:tcBorders>
            <w:shd w:val="clear" w:color="000000" w:fill="FFFFFF"/>
            <w:noWrap/>
            <w:vAlign w:val="bottom"/>
            <w:hideMark/>
          </w:tcPr>
          <w:p w14:paraId="06CC0AAC"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350 </w:t>
            </w:r>
          </w:p>
        </w:tc>
        <w:tc>
          <w:tcPr>
            <w:tcW w:w="992" w:type="dxa"/>
            <w:tcBorders>
              <w:top w:val="nil"/>
              <w:left w:val="nil"/>
              <w:bottom w:val="nil"/>
              <w:right w:val="nil"/>
            </w:tcBorders>
            <w:shd w:val="clear" w:color="000000" w:fill="FFFFFF"/>
            <w:noWrap/>
            <w:vAlign w:val="bottom"/>
            <w:hideMark/>
          </w:tcPr>
          <w:p w14:paraId="5CC22267"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992" w:type="dxa"/>
            <w:tcBorders>
              <w:top w:val="nil"/>
              <w:left w:val="nil"/>
              <w:bottom w:val="nil"/>
              <w:right w:val="nil"/>
            </w:tcBorders>
            <w:shd w:val="clear" w:color="000000" w:fill="FFFFFF"/>
            <w:noWrap/>
            <w:vAlign w:val="bottom"/>
            <w:hideMark/>
          </w:tcPr>
          <w:p w14:paraId="1EAEB2EB"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350 </w:t>
            </w:r>
          </w:p>
        </w:tc>
      </w:tr>
      <w:tr w:rsidR="00CA0E46" w:rsidRPr="00B57A59" w14:paraId="3E09940C" w14:textId="77777777" w:rsidTr="00CA0E46">
        <w:trPr>
          <w:trHeight w:val="443"/>
        </w:trPr>
        <w:tc>
          <w:tcPr>
            <w:tcW w:w="4820" w:type="dxa"/>
            <w:gridSpan w:val="3"/>
            <w:tcBorders>
              <w:top w:val="nil"/>
              <w:left w:val="nil"/>
              <w:bottom w:val="nil"/>
              <w:right w:val="nil"/>
            </w:tcBorders>
            <w:shd w:val="clear" w:color="000000" w:fill="FFFFFF"/>
            <w:vAlign w:val="bottom"/>
            <w:hideMark/>
          </w:tcPr>
          <w:p w14:paraId="7B34E8D7"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Gain on revaluation of Right-of-use assets prior to transfer to </w:t>
            </w:r>
            <w:r w:rsidRPr="00B57A59">
              <w:rPr>
                <w:rFonts w:ascii="Arial" w:eastAsia="Times New Roman" w:hAnsi="Arial" w:cs="Arial"/>
                <w:sz w:val="15"/>
                <w:szCs w:val="15"/>
                <w:lang w:eastAsia="en-GB"/>
              </w:rPr>
              <w:br/>
              <w:t>Investment property</w:t>
            </w:r>
          </w:p>
        </w:tc>
        <w:tc>
          <w:tcPr>
            <w:tcW w:w="1134" w:type="dxa"/>
            <w:tcBorders>
              <w:top w:val="nil"/>
              <w:left w:val="nil"/>
              <w:bottom w:val="nil"/>
              <w:right w:val="nil"/>
            </w:tcBorders>
            <w:shd w:val="clear" w:color="000000" w:fill="FFFFFF"/>
            <w:noWrap/>
            <w:vAlign w:val="bottom"/>
            <w:hideMark/>
          </w:tcPr>
          <w:p w14:paraId="37D57645"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1276" w:type="dxa"/>
            <w:tcBorders>
              <w:top w:val="nil"/>
              <w:left w:val="nil"/>
              <w:bottom w:val="nil"/>
              <w:right w:val="nil"/>
            </w:tcBorders>
            <w:shd w:val="clear" w:color="000000" w:fill="FFFFFF"/>
            <w:noWrap/>
            <w:vAlign w:val="center"/>
            <w:hideMark/>
          </w:tcPr>
          <w:p w14:paraId="1326F9C7"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1134" w:type="dxa"/>
            <w:tcBorders>
              <w:top w:val="nil"/>
              <w:left w:val="nil"/>
              <w:bottom w:val="nil"/>
              <w:right w:val="nil"/>
            </w:tcBorders>
            <w:shd w:val="clear" w:color="000000" w:fill="FFFFFF"/>
            <w:noWrap/>
            <w:vAlign w:val="center"/>
            <w:hideMark/>
          </w:tcPr>
          <w:p w14:paraId="5949106C"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992" w:type="dxa"/>
            <w:tcBorders>
              <w:top w:val="nil"/>
              <w:left w:val="nil"/>
              <w:bottom w:val="nil"/>
              <w:right w:val="nil"/>
            </w:tcBorders>
            <w:shd w:val="clear" w:color="000000" w:fill="FFFFFF"/>
            <w:noWrap/>
            <w:vAlign w:val="center"/>
            <w:hideMark/>
          </w:tcPr>
          <w:p w14:paraId="6307E3DC"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5 </w:t>
            </w:r>
          </w:p>
        </w:tc>
        <w:tc>
          <w:tcPr>
            <w:tcW w:w="992" w:type="dxa"/>
            <w:tcBorders>
              <w:top w:val="nil"/>
              <w:left w:val="nil"/>
              <w:bottom w:val="nil"/>
              <w:right w:val="nil"/>
            </w:tcBorders>
            <w:shd w:val="clear" w:color="000000" w:fill="FFFFFF"/>
            <w:noWrap/>
            <w:vAlign w:val="center"/>
            <w:hideMark/>
          </w:tcPr>
          <w:p w14:paraId="40BD6CF4"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5 </w:t>
            </w:r>
          </w:p>
        </w:tc>
      </w:tr>
      <w:tr w:rsidR="00CA0E46" w:rsidRPr="00B57A59" w14:paraId="3A8A9F6A" w14:textId="77777777" w:rsidTr="00CA0E46">
        <w:trPr>
          <w:trHeight w:val="323"/>
        </w:trPr>
        <w:tc>
          <w:tcPr>
            <w:tcW w:w="4820" w:type="dxa"/>
            <w:gridSpan w:val="3"/>
            <w:tcBorders>
              <w:top w:val="nil"/>
              <w:left w:val="nil"/>
              <w:bottom w:val="single" w:sz="4" w:space="0" w:color="BFBFBF"/>
              <w:right w:val="nil"/>
            </w:tcBorders>
            <w:shd w:val="clear" w:color="000000" w:fill="FFFFFF"/>
            <w:vAlign w:val="bottom"/>
            <w:hideMark/>
          </w:tcPr>
          <w:p w14:paraId="10816E2C"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Tax on items taken directly to other comprehensive income</w:t>
            </w:r>
          </w:p>
        </w:tc>
        <w:tc>
          <w:tcPr>
            <w:tcW w:w="1134" w:type="dxa"/>
            <w:tcBorders>
              <w:top w:val="nil"/>
              <w:left w:val="nil"/>
              <w:bottom w:val="single" w:sz="4" w:space="0" w:color="BFBFBF"/>
              <w:right w:val="nil"/>
            </w:tcBorders>
            <w:shd w:val="clear" w:color="000000" w:fill="FFFFFF"/>
            <w:vAlign w:val="bottom"/>
            <w:hideMark/>
          </w:tcPr>
          <w:p w14:paraId="506C5158"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5</w:t>
            </w:r>
          </w:p>
        </w:tc>
        <w:tc>
          <w:tcPr>
            <w:tcW w:w="1276" w:type="dxa"/>
            <w:tcBorders>
              <w:top w:val="nil"/>
              <w:left w:val="nil"/>
              <w:bottom w:val="single" w:sz="4" w:space="0" w:color="BFBFBF"/>
              <w:right w:val="nil"/>
            </w:tcBorders>
            <w:shd w:val="clear" w:color="000000" w:fill="FFFFFF"/>
            <w:noWrap/>
            <w:vAlign w:val="bottom"/>
            <w:hideMark/>
          </w:tcPr>
          <w:p w14:paraId="6679821F"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1134" w:type="dxa"/>
            <w:tcBorders>
              <w:top w:val="nil"/>
              <w:left w:val="nil"/>
              <w:bottom w:val="single" w:sz="4" w:space="0" w:color="BFBFBF"/>
              <w:right w:val="nil"/>
            </w:tcBorders>
            <w:shd w:val="clear" w:color="000000" w:fill="FFFFFF"/>
            <w:noWrap/>
            <w:vAlign w:val="bottom"/>
            <w:hideMark/>
          </w:tcPr>
          <w:p w14:paraId="5E81C157"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(130)</w:t>
            </w:r>
          </w:p>
        </w:tc>
        <w:tc>
          <w:tcPr>
            <w:tcW w:w="992" w:type="dxa"/>
            <w:tcBorders>
              <w:top w:val="nil"/>
              <w:left w:val="nil"/>
              <w:bottom w:val="single" w:sz="4" w:space="0" w:color="BFBFBF"/>
              <w:right w:val="nil"/>
            </w:tcBorders>
            <w:shd w:val="clear" w:color="000000" w:fill="FFFFFF"/>
            <w:noWrap/>
            <w:vAlign w:val="bottom"/>
            <w:hideMark/>
          </w:tcPr>
          <w:p w14:paraId="32E31DE4"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992" w:type="dxa"/>
            <w:tcBorders>
              <w:top w:val="nil"/>
              <w:left w:val="nil"/>
              <w:bottom w:val="single" w:sz="4" w:space="0" w:color="BFBFBF"/>
              <w:right w:val="nil"/>
            </w:tcBorders>
            <w:shd w:val="clear" w:color="000000" w:fill="FFFFFF"/>
            <w:noWrap/>
            <w:vAlign w:val="bottom"/>
            <w:hideMark/>
          </w:tcPr>
          <w:p w14:paraId="4DFE9443"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(130)</w:t>
            </w:r>
          </w:p>
        </w:tc>
      </w:tr>
      <w:tr w:rsidR="00CA0E46" w:rsidRPr="00B57A59" w14:paraId="180C232E" w14:textId="77777777" w:rsidTr="00CA0E46">
        <w:trPr>
          <w:trHeight w:val="278"/>
        </w:trPr>
        <w:tc>
          <w:tcPr>
            <w:tcW w:w="4820" w:type="dxa"/>
            <w:gridSpan w:val="3"/>
            <w:tcBorders>
              <w:top w:val="nil"/>
              <w:left w:val="nil"/>
              <w:bottom w:val="nil"/>
              <w:right w:val="nil"/>
            </w:tcBorders>
            <w:shd w:val="clear" w:color="000000" w:fill="FFFFFF"/>
            <w:noWrap/>
            <w:vAlign w:val="bottom"/>
            <w:hideMark/>
          </w:tcPr>
          <w:p w14:paraId="73126D83"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Total other comprehensive income:</w:t>
            </w:r>
          </w:p>
        </w:tc>
        <w:tc>
          <w:tcPr>
            <w:tcW w:w="1134" w:type="dxa"/>
            <w:tcBorders>
              <w:top w:val="nil"/>
              <w:left w:val="nil"/>
              <w:bottom w:val="nil"/>
              <w:right w:val="nil"/>
            </w:tcBorders>
            <w:shd w:val="clear" w:color="000000" w:fill="FFFFFF"/>
            <w:noWrap/>
            <w:vAlign w:val="bottom"/>
            <w:hideMark/>
          </w:tcPr>
          <w:p w14:paraId="250029C9" w14:textId="77777777" w:rsidR="00B57A59" w:rsidRPr="00B57A59" w:rsidRDefault="00B57A59" w:rsidP="00B57A59">
            <w:pPr>
              <w:spacing w:after="0" w:line="240" w:lineRule="auto"/>
              <w:rPr>
                <w:rFonts w:ascii="Arial" w:eastAsia="Times New Roman" w:hAnsi="Arial" w:cs="Arial"/>
                <w:sz w:val="20"/>
                <w:szCs w:val="20"/>
                <w:lang w:eastAsia="en-GB"/>
              </w:rPr>
            </w:pPr>
            <w:r w:rsidRPr="00B57A59">
              <w:rPr>
                <w:rFonts w:ascii="Arial" w:eastAsia="Times New Roman" w:hAnsi="Arial" w:cs="Arial"/>
                <w:sz w:val="20"/>
                <w:szCs w:val="20"/>
                <w:lang w:eastAsia="en-GB"/>
              </w:rPr>
              <w:t> </w:t>
            </w:r>
          </w:p>
        </w:tc>
        <w:tc>
          <w:tcPr>
            <w:tcW w:w="1276" w:type="dxa"/>
            <w:tcBorders>
              <w:top w:val="nil"/>
              <w:left w:val="nil"/>
              <w:bottom w:val="nil"/>
              <w:right w:val="nil"/>
            </w:tcBorders>
            <w:shd w:val="clear" w:color="000000" w:fill="FFFFFF"/>
            <w:noWrap/>
            <w:vAlign w:val="bottom"/>
            <w:hideMark/>
          </w:tcPr>
          <w:p w14:paraId="124FCCC7"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 </w:t>
            </w:r>
          </w:p>
        </w:tc>
        <w:tc>
          <w:tcPr>
            <w:tcW w:w="1134" w:type="dxa"/>
            <w:tcBorders>
              <w:top w:val="nil"/>
              <w:left w:val="nil"/>
              <w:bottom w:val="nil"/>
              <w:right w:val="nil"/>
            </w:tcBorders>
            <w:shd w:val="clear" w:color="000000" w:fill="FFFFFF"/>
            <w:noWrap/>
            <w:vAlign w:val="bottom"/>
            <w:hideMark/>
          </w:tcPr>
          <w:p w14:paraId="1A6FB015"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220 </w:t>
            </w:r>
          </w:p>
        </w:tc>
        <w:tc>
          <w:tcPr>
            <w:tcW w:w="992" w:type="dxa"/>
            <w:tcBorders>
              <w:top w:val="nil"/>
              <w:left w:val="nil"/>
              <w:bottom w:val="nil"/>
              <w:right w:val="nil"/>
            </w:tcBorders>
            <w:shd w:val="clear" w:color="000000" w:fill="FFFFFF"/>
            <w:noWrap/>
            <w:vAlign w:val="bottom"/>
            <w:hideMark/>
          </w:tcPr>
          <w:p w14:paraId="49C2DB89"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5 </w:t>
            </w:r>
          </w:p>
        </w:tc>
        <w:tc>
          <w:tcPr>
            <w:tcW w:w="992" w:type="dxa"/>
            <w:tcBorders>
              <w:top w:val="nil"/>
              <w:left w:val="nil"/>
              <w:bottom w:val="nil"/>
              <w:right w:val="nil"/>
            </w:tcBorders>
            <w:shd w:val="clear" w:color="000000" w:fill="FFFFFF"/>
            <w:noWrap/>
            <w:vAlign w:val="bottom"/>
            <w:hideMark/>
          </w:tcPr>
          <w:p w14:paraId="536D02AA"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225 </w:t>
            </w:r>
          </w:p>
        </w:tc>
      </w:tr>
      <w:tr w:rsidR="00CA0E46" w:rsidRPr="00B57A59" w14:paraId="4A420BCF" w14:textId="77777777" w:rsidTr="00CA0E46">
        <w:trPr>
          <w:trHeight w:val="278"/>
        </w:trPr>
        <w:tc>
          <w:tcPr>
            <w:tcW w:w="4820" w:type="dxa"/>
            <w:gridSpan w:val="3"/>
            <w:tcBorders>
              <w:top w:val="single" w:sz="4" w:space="0" w:color="BFBFBF"/>
              <w:left w:val="nil"/>
              <w:bottom w:val="single" w:sz="4" w:space="0" w:color="BFBFBF"/>
              <w:right w:val="nil"/>
            </w:tcBorders>
            <w:shd w:val="clear" w:color="000000" w:fill="FFFFFF"/>
            <w:vAlign w:val="bottom"/>
            <w:hideMark/>
          </w:tcPr>
          <w:p w14:paraId="24AE5303"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xml:space="preserve">Balance </w:t>
            </w:r>
            <w:proofErr w:type="gramStart"/>
            <w:r w:rsidRPr="00B57A59">
              <w:rPr>
                <w:rFonts w:ascii="Arial" w:eastAsia="Times New Roman" w:hAnsi="Arial" w:cs="Arial"/>
                <w:b/>
                <w:bCs/>
                <w:sz w:val="15"/>
                <w:szCs w:val="15"/>
                <w:lang w:eastAsia="en-GB"/>
              </w:rPr>
              <w:t>at</w:t>
            </w:r>
            <w:proofErr w:type="gramEnd"/>
            <w:r w:rsidRPr="00B57A59">
              <w:rPr>
                <w:rFonts w:ascii="Arial" w:eastAsia="Times New Roman" w:hAnsi="Arial" w:cs="Arial"/>
                <w:b/>
                <w:bCs/>
                <w:sz w:val="15"/>
                <w:szCs w:val="15"/>
                <w:lang w:eastAsia="en-GB"/>
              </w:rPr>
              <w:t xml:space="preserve"> 1 January 2022</w:t>
            </w:r>
          </w:p>
        </w:tc>
        <w:tc>
          <w:tcPr>
            <w:tcW w:w="1134" w:type="dxa"/>
            <w:tcBorders>
              <w:top w:val="single" w:sz="4" w:space="0" w:color="BFBFBF"/>
              <w:left w:val="nil"/>
              <w:bottom w:val="single" w:sz="4" w:space="0" w:color="BFBFBF"/>
              <w:right w:val="nil"/>
            </w:tcBorders>
            <w:shd w:val="clear" w:color="000000" w:fill="FFFFFF"/>
            <w:vAlign w:val="bottom"/>
            <w:hideMark/>
          </w:tcPr>
          <w:p w14:paraId="4EB34F83"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1276" w:type="dxa"/>
            <w:tcBorders>
              <w:top w:val="single" w:sz="4" w:space="0" w:color="BFBFBF"/>
              <w:left w:val="nil"/>
              <w:bottom w:val="single" w:sz="4" w:space="0" w:color="BFBFBF"/>
              <w:right w:val="nil"/>
            </w:tcBorders>
            <w:shd w:val="clear" w:color="000000" w:fill="FFFFFF"/>
            <w:noWrap/>
            <w:vAlign w:val="bottom"/>
            <w:hideMark/>
          </w:tcPr>
          <w:p w14:paraId="4FFE41FC"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74 </w:t>
            </w:r>
          </w:p>
        </w:tc>
        <w:tc>
          <w:tcPr>
            <w:tcW w:w="1134" w:type="dxa"/>
            <w:tcBorders>
              <w:top w:val="single" w:sz="4" w:space="0" w:color="BFBFBF"/>
              <w:left w:val="nil"/>
              <w:bottom w:val="single" w:sz="4" w:space="0" w:color="BFBFBF"/>
              <w:right w:val="nil"/>
            </w:tcBorders>
            <w:shd w:val="clear" w:color="000000" w:fill="FFFFFF"/>
            <w:noWrap/>
            <w:vAlign w:val="bottom"/>
            <w:hideMark/>
          </w:tcPr>
          <w:p w14:paraId="683641E0"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2,859 </w:t>
            </w:r>
          </w:p>
        </w:tc>
        <w:tc>
          <w:tcPr>
            <w:tcW w:w="992" w:type="dxa"/>
            <w:tcBorders>
              <w:top w:val="single" w:sz="4" w:space="0" w:color="BFBFBF"/>
              <w:left w:val="nil"/>
              <w:bottom w:val="single" w:sz="4" w:space="0" w:color="BFBFBF"/>
              <w:right w:val="nil"/>
            </w:tcBorders>
            <w:shd w:val="clear" w:color="000000" w:fill="FFFFFF"/>
            <w:noWrap/>
            <w:vAlign w:val="bottom"/>
            <w:hideMark/>
          </w:tcPr>
          <w:p w14:paraId="048A2CB5"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6 </w:t>
            </w:r>
          </w:p>
        </w:tc>
        <w:tc>
          <w:tcPr>
            <w:tcW w:w="992" w:type="dxa"/>
            <w:tcBorders>
              <w:top w:val="single" w:sz="4" w:space="0" w:color="BFBFBF"/>
              <w:left w:val="nil"/>
              <w:bottom w:val="single" w:sz="4" w:space="0" w:color="BFBFBF"/>
              <w:right w:val="nil"/>
            </w:tcBorders>
            <w:shd w:val="clear" w:color="000000" w:fill="FFFFFF"/>
            <w:noWrap/>
            <w:vAlign w:val="bottom"/>
            <w:hideMark/>
          </w:tcPr>
          <w:p w14:paraId="43E1D8AC" w14:textId="77777777" w:rsidR="00B57A59" w:rsidRPr="00B57A59" w:rsidRDefault="00B57A59" w:rsidP="00B57A59">
            <w:pPr>
              <w:spacing w:after="0" w:line="240" w:lineRule="auto"/>
              <w:jc w:val="right"/>
              <w:rPr>
                <w:rFonts w:ascii="Arial" w:eastAsia="Times New Roman" w:hAnsi="Arial" w:cs="Arial"/>
                <w:sz w:val="15"/>
                <w:szCs w:val="15"/>
                <w:lang w:eastAsia="en-GB"/>
              </w:rPr>
            </w:pPr>
            <w:r w:rsidRPr="00B57A59">
              <w:rPr>
                <w:rFonts w:ascii="Arial" w:eastAsia="Times New Roman" w:hAnsi="Arial" w:cs="Arial"/>
                <w:sz w:val="15"/>
                <w:szCs w:val="15"/>
                <w:lang w:eastAsia="en-GB"/>
              </w:rPr>
              <w:t xml:space="preserve">2,939 </w:t>
            </w:r>
          </w:p>
        </w:tc>
      </w:tr>
      <w:tr w:rsidR="00CA0E46" w:rsidRPr="00B57A59" w14:paraId="2E7C97FE" w14:textId="77777777" w:rsidTr="00CA0E46">
        <w:trPr>
          <w:trHeight w:val="255"/>
        </w:trPr>
        <w:tc>
          <w:tcPr>
            <w:tcW w:w="340" w:type="dxa"/>
            <w:tcBorders>
              <w:top w:val="nil"/>
              <w:left w:val="nil"/>
              <w:bottom w:val="nil"/>
              <w:right w:val="nil"/>
            </w:tcBorders>
            <w:shd w:val="clear" w:color="000000" w:fill="FFFFFF"/>
            <w:vAlign w:val="bottom"/>
            <w:hideMark/>
          </w:tcPr>
          <w:p w14:paraId="62CBEF6B" w14:textId="77777777" w:rsidR="00B57A59" w:rsidRPr="00B57A59" w:rsidRDefault="00B57A59" w:rsidP="00B57A59">
            <w:pPr>
              <w:spacing w:after="0" w:line="240" w:lineRule="auto"/>
              <w:rPr>
                <w:rFonts w:ascii="Arial" w:eastAsia="Times New Roman" w:hAnsi="Arial" w:cs="Arial"/>
                <w:b/>
                <w:bCs/>
                <w:sz w:val="15"/>
                <w:szCs w:val="15"/>
                <w:lang w:eastAsia="en-GB"/>
              </w:rPr>
            </w:pPr>
            <w:r w:rsidRPr="00B57A59">
              <w:rPr>
                <w:rFonts w:ascii="Arial" w:eastAsia="Times New Roman" w:hAnsi="Arial" w:cs="Arial"/>
                <w:b/>
                <w:bCs/>
                <w:sz w:val="15"/>
                <w:szCs w:val="15"/>
                <w:lang w:eastAsia="en-GB"/>
              </w:rPr>
              <w:t> </w:t>
            </w:r>
          </w:p>
        </w:tc>
        <w:tc>
          <w:tcPr>
            <w:tcW w:w="2220" w:type="dxa"/>
            <w:tcBorders>
              <w:top w:val="nil"/>
              <w:left w:val="nil"/>
              <w:bottom w:val="nil"/>
              <w:right w:val="nil"/>
            </w:tcBorders>
            <w:shd w:val="clear" w:color="000000" w:fill="FFFFFF"/>
            <w:vAlign w:val="bottom"/>
            <w:hideMark/>
          </w:tcPr>
          <w:p w14:paraId="44ACD94D"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2260" w:type="dxa"/>
            <w:tcBorders>
              <w:top w:val="nil"/>
              <w:left w:val="nil"/>
              <w:bottom w:val="nil"/>
              <w:right w:val="nil"/>
            </w:tcBorders>
            <w:shd w:val="clear" w:color="000000" w:fill="FFFFFF"/>
            <w:vAlign w:val="bottom"/>
            <w:hideMark/>
          </w:tcPr>
          <w:p w14:paraId="36193B5C"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1134" w:type="dxa"/>
            <w:tcBorders>
              <w:top w:val="nil"/>
              <w:left w:val="nil"/>
              <w:bottom w:val="nil"/>
              <w:right w:val="nil"/>
            </w:tcBorders>
            <w:shd w:val="clear" w:color="000000" w:fill="FFFFFF"/>
            <w:vAlign w:val="bottom"/>
            <w:hideMark/>
          </w:tcPr>
          <w:p w14:paraId="010710D7"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1276" w:type="dxa"/>
            <w:tcBorders>
              <w:top w:val="nil"/>
              <w:left w:val="nil"/>
              <w:bottom w:val="nil"/>
              <w:right w:val="nil"/>
            </w:tcBorders>
            <w:shd w:val="clear" w:color="000000" w:fill="FFFFFF"/>
            <w:noWrap/>
            <w:vAlign w:val="bottom"/>
            <w:hideMark/>
          </w:tcPr>
          <w:p w14:paraId="071DC879"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1134" w:type="dxa"/>
            <w:tcBorders>
              <w:top w:val="nil"/>
              <w:left w:val="nil"/>
              <w:bottom w:val="nil"/>
              <w:right w:val="nil"/>
            </w:tcBorders>
            <w:shd w:val="clear" w:color="000000" w:fill="FFFFFF"/>
            <w:noWrap/>
            <w:vAlign w:val="bottom"/>
            <w:hideMark/>
          </w:tcPr>
          <w:p w14:paraId="1CA07E8F"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992" w:type="dxa"/>
            <w:tcBorders>
              <w:top w:val="nil"/>
              <w:left w:val="nil"/>
              <w:bottom w:val="nil"/>
              <w:right w:val="nil"/>
            </w:tcBorders>
            <w:shd w:val="clear" w:color="000000" w:fill="FFFFFF"/>
            <w:noWrap/>
            <w:vAlign w:val="bottom"/>
            <w:hideMark/>
          </w:tcPr>
          <w:p w14:paraId="5424068F"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c>
          <w:tcPr>
            <w:tcW w:w="992" w:type="dxa"/>
            <w:tcBorders>
              <w:top w:val="nil"/>
              <w:left w:val="nil"/>
              <w:bottom w:val="nil"/>
              <w:right w:val="nil"/>
            </w:tcBorders>
            <w:shd w:val="clear" w:color="000000" w:fill="FFFFFF"/>
            <w:noWrap/>
            <w:vAlign w:val="bottom"/>
            <w:hideMark/>
          </w:tcPr>
          <w:p w14:paraId="051C6C8A" w14:textId="77777777"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 </w:t>
            </w:r>
          </w:p>
        </w:tc>
      </w:tr>
      <w:tr w:rsidR="00B57A59" w:rsidRPr="00B57A59" w14:paraId="2ACB728F" w14:textId="77777777" w:rsidTr="00777B4E">
        <w:trPr>
          <w:trHeight w:val="300"/>
        </w:trPr>
        <w:tc>
          <w:tcPr>
            <w:tcW w:w="10348" w:type="dxa"/>
            <w:gridSpan w:val="8"/>
            <w:tcBorders>
              <w:top w:val="nil"/>
              <w:left w:val="nil"/>
              <w:bottom w:val="nil"/>
              <w:right w:val="nil"/>
            </w:tcBorders>
            <w:shd w:val="clear" w:color="000000" w:fill="FFFFFF"/>
            <w:noWrap/>
            <w:vAlign w:val="center"/>
            <w:hideMark/>
          </w:tcPr>
          <w:p w14:paraId="7CDFA50A" w14:textId="1260421E" w:rsidR="00B57A59" w:rsidRPr="00B57A59" w:rsidRDefault="00B57A59" w:rsidP="00B57A59">
            <w:pPr>
              <w:spacing w:after="0" w:line="240" w:lineRule="auto"/>
              <w:rPr>
                <w:rFonts w:ascii="Arial" w:eastAsia="Times New Roman" w:hAnsi="Arial" w:cs="Arial"/>
                <w:sz w:val="15"/>
                <w:szCs w:val="15"/>
                <w:lang w:eastAsia="en-GB"/>
              </w:rPr>
            </w:pPr>
            <w:r w:rsidRPr="00B57A59">
              <w:rPr>
                <w:rFonts w:ascii="Arial" w:eastAsia="Times New Roman" w:hAnsi="Arial" w:cs="Arial"/>
                <w:sz w:val="15"/>
                <w:szCs w:val="15"/>
                <w:lang w:eastAsia="en-GB"/>
              </w:rPr>
              <w:t>The accompanying notes form an integral part of these financial statements.</w:t>
            </w:r>
          </w:p>
        </w:tc>
      </w:tr>
      <w:tr w:rsidR="00B57A59" w:rsidRPr="00B57A59" w14:paraId="442E5B5A" w14:textId="77777777" w:rsidTr="00CA0E46">
        <w:trPr>
          <w:trHeight w:val="75"/>
        </w:trPr>
        <w:tc>
          <w:tcPr>
            <w:tcW w:w="340" w:type="dxa"/>
            <w:tcBorders>
              <w:top w:val="nil"/>
              <w:left w:val="nil"/>
              <w:bottom w:val="nil"/>
              <w:right w:val="nil"/>
            </w:tcBorders>
            <w:shd w:val="clear" w:color="auto" w:fill="auto"/>
            <w:noWrap/>
            <w:vAlign w:val="bottom"/>
            <w:hideMark/>
          </w:tcPr>
          <w:p w14:paraId="59F6B097" w14:textId="77777777" w:rsidR="00B57A59" w:rsidRPr="00B57A59" w:rsidRDefault="00B57A59" w:rsidP="00B57A59">
            <w:pPr>
              <w:spacing w:after="0" w:line="240" w:lineRule="auto"/>
              <w:rPr>
                <w:rFonts w:ascii="Arial" w:eastAsia="Times New Roman" w:hAnsi="Arial" w:cs="Arial"/>
                <w:sz w:val="15"/>
                <w:szCs w:val="15"/>
                <w:lang w:eastAsia="en-GB"/>
              </w:rPr>
            </w:pPr>
          </w:p>
        </w:tc>
        <w:tc>
          <w:tcPr>
            <w:tcW w:w="2220" w:type="dxa"/>
            <w:tcBorders>
              <w:top w:val="nil"/>
              <w:left w:val="nil"/>
              <w:bottom w:val="nil"/>
              <w:right w:val="nil"/>
            </w:tcBorders>
            <w:shd w:val="clear" w:color="auto" w:fill="auto"/>
            <w:noWrap/>
            <w:vAlign w:val="bottom"/>
            <w:hideMark/>
          </w:tcPr>
          <w:p w14:paraId="67E1661F"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2260" w:type="dxa"/>
            <w:tcBorders>
              <w:top w:val="nil"/>
              <w:left w:val="nil"/>
              <w:bottom w:val="nil"/>
              <w:right w:val="nil"/>
            </w:tcBorders>
            <w:shd w:val="clear" w:color="auto" w:fill="auto"/>
            <w:noWrap/>
            <w:vAlign w:val="bottom"/>
            <w:hideMark/>
          </w:tcPr>
          <w:p w14:paraId="4D17A839"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F9D814E"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87644B4" w14:textId="77777777" w:rsidR="00B57A59" w:rsidRPr="00B57A59" w:rsidRDefault="00B57A59" w:rsidP="00B57A59">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6C36B682" w14:textId="77777777" w:rsidR="00B57A59" w:rsidRPr="00B57A59" w:rsidRDefault="00B57A59" w:rsidP="00B57A59">
            <w:pPr>
              <w:spacing w:after="0" w:line="240" w:lineRule="auto"/>
              <w:jc w:val="right"/>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A0482A7" w14:textId="77777777" w:rsidR="00B57A59" w:rsidRPr="00B57A59" w:rsidRDefault="00B57A59" w:rsidP="00B57A59">
            <w:pPr>
              <w:spacing w:after="0" w:line="240" w:lineRule="auto"/>
              <w:jc w:val="right"/>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A150A05" w14:textId="77777777" w:rsidR="00B57A59" w:rsidRPr="00B57A59" w:rsidRDefault="00B57A59" w:rsidP="00B57A59">
            <w:pPr>
              <w:spacing w:after="0" w:line="240" w:lineRule="auto"/>
              <w:jc w:val="right"/>
              <w:rPr>
                <w:rFonts w:ascii="Times New Roman" w:eastAsia="Times New Roman" w:hAnsi="Times New Roman" w:cs="Times New Roman"/>
                <w:sz w:val="20"/>
                <w:szCs w:val="20"/>
                <w:lang w:eastAsia="en-GB"/>
              </w:rPr>
            </w:pPr>
          </w:p>
        </w:tc>
      </w:tr>
    </w:tbl>
    <w:p w14:paraId="3ED5C294" w14:textId="7E3227F9" w:rsidR="004C5BF7" w:rsidRDefault="004C5BF7"/>
    <w:tbl>
      <w:tblPr>
        <w:tblW w:w="10767" w:type="dxa"/>
        <w:tblLook w:val="04A0" w:firstRow="1" w:lastRow="0" w:firstColumn="1" w:lastColumn="0" w:noHBand="0" w:noVBand="1"/>
      </w:tblPr>
      <w:tblGrid>
        <w:gridCol w:w="2500"/>
        <w:gridCol w:w="1044"/>
        <w:gridCol w:w="1559"/>
        <w:gridCol w:w="608"/>
        <w:gridCol w:w="1560"/>
        <w:gridCol w:w="1701"/>
        <w:gridCol w:w="1559"/>
        <w:gridCol w:w="236"/>
      </w:tblGrid>
      <w:tr w:rsidR="00D336A4" w:rsidRPr="00D336A4" w14:paraId="3F8F7501" w14:textId="77777777" w:rsidTr="00D35A38">
        <w:trPr>
          <w:gridAfter w:val="1"/>
          <w:wAfter w:w="236" w:type="dxa"/>
          <w:trHeight w:val="360"/>
        </w:trPr>
        <w:tc>
          <w:tcPr>
            <w:tcW w:w="8972" w:type="dxa"/>
            <w:gridSpan w:val="6"/>
            <w:tcBorders>
              <w:top w:val="nil"/>
              <w:left w:val="nil"/>
              <w:bottom w:val="nil"/>
              <w:right w:val="nil"/>
            </w:tcBorders>
            <w:shd w:val="clear" w:color="auto" w:fill="auto"/>
            <w:noWrap/>
            <w:vAlign w:val="bottom"/>
            <w:hideMark/>
          </w:tcPr>
          <w:p w14:paraId="0006189C" w14:textId="77777777" w:rsidR="00D336A4" w:rsidRPr="00D336A4" w:rsidRDefault="00D336A4" w:rsidP="00D336A4">
            <w:pPr>
              <w:spacing w:after="0" w:line="240" w:lineRule="auto"/>
              <w:rPr>
                <w:rFonts w:ascii="Arial" w:eastAsia="Times New Roman" w:hAnsi="Arial" w:cs="Arial"/>
                <w:b/>
                <w:bCs/>
                <w:color w:val="00B0F0"/>
                <w:sz w:val="28"/>
                <w:szCs w:val="28"/>
                <w:lang w:eastAsia="en-GB"/>
              </w:rPr>
            </w:pPr>
            <w:r w:rsidRPr="00D336A4">
              <w:rPr>
                <w:rFonts w:ascii="Arial" w:eastAsia="Times New Roman" w:hAnsi="Arial" w:cs="Arial"/>
                <w:b/>
                <w:bCs/>
                <w:color w:val="00B0F0"/>
                <w:sz w:val="28"/>
                <w:szCs w:val="28"/>
                <w:lang w:eastAsia="en-GB"/>
              </w:rPr>
              <w:t>Condensed Consolidated Statement of Cash Flows</w:t>
            </w:r>
          </w:p>
        </w:tc>
        <w:tc>
          <w:tcPr>
            <w:tcW w:w="1559" w:type="dxa"/>
            <w:tcBorders>
              <w:top w:val="nil"/>
              <w:left w:val="nil"/>
              <w:bottom w:val="nil"/>
              <w:right w:val="nil"/>
            </w:tcBorders>
            <w:shd w:val="clear" w:color="auto" w:fill="auto"/>
            <w:noWrap/>
            <w:vAlign w:val="bottom"/>
            <w:hideMark/>
          </w:tcPr>
          <w:p w14:paraId="04EAD239" w14:textId="77777777" w:rsidR="00D336A4" w:rsidRPr="00D336A4" w:rsidRDefault="00D336A4" w:rsidP="00D336A4">
            <w:pPr>
              <w:spacing w:after="0" w:line="240" w:lineRule="auto"/>
              <w:rPr>
                <w:rFonts w:ascii="Arial" w:eastAsia="Times New Roman" w:hAnsi="Arial" w:cs="Arial"/>
                <w:b/>
                <w:bCs/>
                <w:color w:val="00B0F0"/>
                <w:sz w:val="28"/>
                <w:szCs w:val="28"/>
                <w:lang w:eastAsia="en-GB"/>
              </w:rPr>
            </w:pPr>
          </w:p>
        </w:tc>
      </w:tr>
      <w:tr w:rsidR="00D336A4" w:rsidRPr="00D336A4" w14:paraId="1D2C5373" w14:textId="77777777" w:rsidTr="00D35A38">
        <w:trPr>
          <w:gridAfter w:val="1"/>
          <w:wAfter w:w="236" w:type="dxa"/>
          <w:trHeight w:val="349"/>
        </w:trPr>
        <w:tc>
          <w:tcPr>
            <w:tcW w:w="5103" w:type="dxa"/>
            <w:gridSpan w:val="3"/>
            <w:tcBorders>
              <w:top w:val="nil"/>
              <w:left w:val="nil"/>
              <w:bottom w:val="nil"/>
              <w:right w:val="nil"/>
            </w:tcBorders>
            <w:shd w:val="clear" w:color="auto" w:fill="auto"/>
            <w:noWrap/>
            <w:vAlign w:val="bottom"/>
            <w:hideMark/>
          </w:tcPr>
          <w:p w14:paraId="7D887381" w14:textId="77777777" w:rsidR="00D336A4" w:rsidRPr="00D336A4" w:rsidRDefault="00D336A4" w:rsidP="00D336A4">
            <w:pPr>
              <w:spacing w:after="0" w:line="240" w:lineRule="auto"/>
              <w:rPr>
                <w:rFonts w:ascii="Arial" w:eastAsia="Times New Roman" w:hAnsi="Arial" w:cs="Arial"/>
                <w:sz w:val="26"/>
                <w:szCs w:val="26"/>
                <w:lang w:eastAsia="en-GB"/>
              </w:rPr>
            </w:pPr>
            <w:r w:rsidRPr="00D336A4">
              <w:rPr>
                <w:rFonts w:ascii="Arial" w:eastAsia="Times New Roman" w:hAnsi="Arial" w:cs="Arial"/>
                <w:sz w:val="26"/>
                <w:szCs w:val="26"/>
                <w:lang w:eastAsia="en-GB"/>
              </w:rPr>
              <w:t>for the 26 weeks ended 2 July 2022</w:t>
            </w:r>
          </w:p>
        </w:tc>
        <w:tc>
          <w:tcPr>
            <w:tcW w:w="608" w:type="dxa"/>
            <w:tcBorders>
              <w:top w:val="nil"/>
              <w:left w:val="nil"/>
              <w:bottom w:val="nil"/>
              <w:right w:val="nil"/>
            </w:tcBorders>
            <w:shd w:val="clear" w:color="auto" w:fill="auto"/>
            <w:noWrap/>
            <w:vAlign w:val="bottom"/>
            <w:hideMark/>
          </w:tcPr>
          <w:p w14:paraId="76C4292D" w14:textId="77777777" w:rsidR="00D336A4" w:rsidRPr="00D336A4" w:rsidRDefault="00D336A4" w:rsidP="00D336A4">
            <w:pPr>
              <w:spacing w:after="0" w:line="240" w:lineRule="auto"/>
              <w:rPr>
                <w:rFonts w:ascii="Arial" w:eastAsia="Times New Roman" w:hAnsi="Arial" w:cs="Arial"/>
                <w:sz w:val="26"/>
                <w:szCs w:val="26"/>
                <w:lang w:eastAsia="en-GB"/>
              </w:rPr>
            </w:pPr>
          </w:p>
        </w:tc>
        <w:tc>
          <w:tcPr>
            <w:tcW w:w="1560" w:type="dxa"/>
            <w:tcBorders>
              <w:top w:val="nil"/>
              <w:left w:val="nil"/>
              <w:bottom w:val="nil"/>
              <w:right w:val="nil"/>
            </w:tcBorders>
            <w:shd w:val="clear" w:color="auto" w:fill="auto"/>
            <w:noWrap/>
            <w:vAlign w:val="bottom"/>
            <w:hideMark/>
          </w:tcPr>
          <w:p w14:paraId="5E6C935D"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065E45E8" w14:textId="77777777" w:rsidR="00D336A4" w:rsidRPr="00D336A4" w:rsidRDefault="00D336A4" w:rsidP="00D336A4">
            <w:pPr>
              <w:spacing w:after="0" w:line="240" w:lineRule="auto"/>
              <w:jc w:val="right"/>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bottom"/>
            <w:hideMark/>
          </w:tcPr>
          <w:p w14:paraId="69AC9711" w14:textId="77777777" w:rsidR="00D336A4" w:rsidRPr="00D336A4" w:rsidRDefault="00D336A4" w:rsidP="00D336A4">
            <w:pPr>
              <w:spacing w:after="0" w:line="240" w:lineRule="auto"/>
              <w:jc w:val="right"/>
              <w:rPr>
                <w:rFonts w:ascii="Times New Roman" w:eastAsia="Times New Roman" w:hAnsi="Times New Roman" w:cs="Times New Roman"/>
                <w:sz w:val="20"/>
                <w:szCs w:val="20"/>
                <w:lang w:eastAsia="en-GB"/>
              </w:rPr>
            </w:pPr>
          </w:p>
        </w:tc>
      </w:tr>
      <w:tr w:rsidR="00D336A4" w:rsidRPr="00D336A4" w14:paraId="2DF1D926" w14:textId="77777777" w:rsidTr="00D35A38">
        <w:trPr>
          <w:gridAfter w:val="1"/>
          <w:wAfter w:w="236" w:type="dxa"/>
          <w:trHeight w:val="150"/>
        </w:trPr>
        <w:tc>
          <w:tcPr>
            <w:tcW w:w="2500" w:type="dxa"/>
            <w:tcBorders>
              <w:top w:val="nil"/>
              <w:left w:val="nil"/>
              <w:bottom w:val="nil"/>
              <w:right w:val="nil"/>
            </w:tcBorders>
            <w:shd w:val="clear" w:color="auto" w:fill="auto"/>
            <w:noWrap/>
            <w:vAlign w:val="bottom"/>
            <w:hideMark/>
          </w:tcPr>
          <w:p w14:paraId="488A2850"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044" w:type="dxa"/>
            <w:tcBorders>
              <w:top w:val="nil"/>
              <w:left w:val="nil"/>
              <w:bottom w:val="nil"/>
              <w:right w:val="nil"/>
            </w:tcBorders>
            <w:shd w:val="clear" w:color="auto" w:fill="auto"/>
            <w:noWrap/>
            <w:vAlign w:val="bottom"/>
            <w:hideMark/>
          </w:tcPr>
          <w:p w14:paraId="77394E1D"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bottom"/>
            <w:hideMark/>
          </w:tcPr>
          <w:p w14:paraId="6C76B28E"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20ACF3E3"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auto"/>
            <w:noWrap/>
            <w:vAlign w:val="bottom"/>
            <w:hideMark/>
          </w:tcPr>
          <w:p w14:paraId="26152083"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138CFB4A" w14:textId="77777777" w:rsidR="00D336A4" w:rsidRPr="00D336A4" w:rsidRDefault="00D336A4" w:rsidP="00D336A4">
            <w:pPr>
              <w:spacing w:after="0" w:line="240" w:lineRule="auto"/>
              <w:jc w:val="right"/>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bottom"/>
            <w:hideMark/>
          </w:tcPr>
          <w:p w14:paraId="2290F41E"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D336A4" w:rsidRPr="00D336A4" w14:paraId="35C80C34" w14:textId="77777777" w:rsidTr="00D35A38">
        <w:trPr>
          <w:gridAfter w:val="1"/>
          <w:wAfter w:w="236" w:type="dxa"/>
          <w:trHeight w:val="450"/>
        </w:trPr>
        <w:tc>
          <w:tcPr>
            <w:tcW w:w="10531" w:type="dxa"/>
            <w:gridSpan w:val="7"/>
            <w:vMerge w:val="restart"/>
            <w:tcBorders>
              <w:top w:val="single" w:sz="4" w:space="0" w:color="D9D9D9"/>
              <w:left w:val="single" w:sz="4" w:space="0" w:color="D9D9D9"/>
              <w:bottom w:val="single" w:sz="4" w:space="0" w:color="D9D9D9"/>
              <w:right w:val="single" w:sz="4" w:space="0" w:color="D9D9D9"/>
            </w:tcBorders>
            <w:shd w:val="clear" w:color="auto" w:fill="CCECFF"/>
            <w:vAlign w:val="center"/>
            <w:hideMark/>
          </w:tcPr>
          <w:p w14:paraId="32244DC3" w14:textId="77777777" w:rsidR="00D336A4" w:rsidRPr="00D336A4" w:rsidRDefault="00D336A4" w:rsidP="00D336A4">
            <w:pPr>
              <w:spacing w:after="0" w:line="240" w:lineRule="auto"/>
              <w:rPr>
                <w:rFonts w:ascii="Arial" w:eastAsia="Times New Roman" w:hAnsi="Arial" w:cs="Arial"/>
                <w:sz w:val="18"/>
                <w:szCs w:val="18"/>
                <w:lang w:eastAsia="en-GB"/>
              </w:rPr>
            </w:pPr>
            <w:r w:rsidRPr="00D336A4">
              <w:rPr>
                <w:rFonts w:ascii="Arial" w:eastAsia="Times New Roman" w:hAnsi="Arial" w:cs="Arial"/>
                <w:b/>
                <w:bCs/>
                <w:sz w:val="18"/>
                <w:szCs w:val="18"/>
                <w:lang w:eastAsia="en-GB"/>
              </w:rPr>
              <w:t>What does this show?</w:t>
            </w:r>
            <w:r w:rsidRPr="00D336A4">
              <w:rPr>
                <w:rFonts w:ascii="Arial" w:eastAsia="Times New Roman" w:hAnsi="Arial" w:cs="Arial"/>
                <w:sz w:val="18"/>
                <w:szCs w:val="18"/>
                <w:lang w:eastAsia="en-GB"/>
              </w:rPr>
              <w:t xml:space="preserve"> Our statement of cash flows shows the cash coming in and out during the period. It splits the cash by type of activity - showing how we've generated cash and then how we've spent it.  </w:t>
            </w:r>
          </w:p>
        </w:tc>
      </w:tr>
      <w:tr w:rsidR="00D336A4" w:rsidRPr="00D336A4" w14:paraId="0BB5976C" w14:textId="77777777" w:rsidTr="00D35A38">
        <w:trPr>
          <w:trHeight w:val="199"/>
        </w:trPr>
        <w:tc>
          <w:tcPr>
            <w:tcW w:w="10531" w:type="dxa"/>
            <w:gridSpan w:val="7"/>
            <w:vMerge/>
            <w:tcBorders>
              <w:top w:val="single" w:sz="4" w:space="0" w:color="D9D9D9"/>
              <w:left w:val="single" w:sz="4" w:space="0" w:color="D9D9D9"/>
              <w:bottom w:val="single" w:sz="4" w:space="0" w:color="D9D9D9"/>
              <w:right w:val="single" w:sz="4" w:space="0" w:color="D9D9D9"/>
            </w:tcBorders>
            <w:shd w:val="clear" w:color="auto" w:fill="CCECFF"/>
            <w:vAlign w:val="center"/>
            <w:hideMark/>
          </w:tcPr>
          <w:p w14:paraId="568902FA" w14:textId="77777777" w:rsidR="00D336A4" w:rsidRPr="00D336A4" w:rsidRDefault="00D336A4" w:rsidP="00D336A4">
            <w:pPr>
              <w:spacing w:after="0" w:line="240" w:lineRule="auto"/>
              <w:rPr>
                <w:rFonts w:ascii="Arial" w:eastAsia="Times New Roman" w:hAnsi="Arial" w:cs="Arial"/>
                <w:sz w:val="18"/>
                <w:szCs w:val="18"/>
                <w:lang w:eastAsia="en-GB"/>
              </w:rPr>
            </w:pPr>
          </w:p>
        </w:tc>
        <w:tc>
          <w:tcPr>
            <w:tcW w:w="236" w:type="dxa"/>
            <w:tcBorders>
              <w:top w:val="nil"/>
              <w:left w:val="nil"/>
              <w:bottom w:val="nil"/>
              <w:right w:val="nil"/>
            </w:tcBorders>
            <w:shd w:val="clear" w:color="auto" w:fill="auto"/>
            <w:noWrap/>
            <w:vAlign w:val="bottom"/>
            <w:hideMark/>
          </w:tcPr>
          <w:p w14:paraId="614413B9" w14:textId="77777777" w:rsidR="00D336A4" w:rsidRPr="00D336A4" w:rsidRDefault="00D336A4" w:rsidP="00D336A4">
            <w:pPr>
              <w:spacing w:after="0" w:line="240" w:lineRule="auto"/>
              <w:rPr>
                <w:rFonts w:ascii="Arial" w:eastAsia="Times New Roman" w:hAnsi="Arial" w:cs="Arial"/>
                <w:sz w:val="18"/>
                <w:szCs w:val="18"/>
                <w:lang w:eastAsia="en-GB"/>
              </w:rPr>
            </w:pPr>
          </w:p>
        </w:tc>
      </w:tr>
      <w:tr w:rsidR="00D336A4" w:rsidRPr="00D336A4" w14:paraId="0CD0CD53" w14:textId="77777777" w:rsidTr="00D35A38">
        <w:trPr>
          <w:trHeight w:val="70"/>
        </w:trPr>
        <w:tc>
          <w:tcPr>
            <w:tcW w:w="10531" w:type="dxa"/>
            <w:gridSpan w:val="7"/>
            <w:vMerge/>
            <w:tcBorders>
              <w:top w:val="single" w:sz="4" w:space="0" w:color="D9D9D9"/>
              <w:left w:val="single" w:sz="4" w:space="0" w:color="D9D9D9"/>
              <w:bottom w:val="single" w:sz="4" w:space="0" w:color="D9D9D9"/>
              <w:right w:val="single" w:sz="4" w:space="0" w:color="D9D9D9"/>
            </w:tcBorders>
            <w:shd w:val="clear" w:color="auto" w:fill="CCECFF"/>
            <w:vAlign w:val="center"/>
            <w:hideMark/>
          </w:tcPr>
          <w:p w14:paraId="507EBD56" w14:textId="77777777" w:rsidR="00D336A4" w:rsidRPr="00D336A4" w:rsidRDefault="00D336A4" w:rsidP="00D336A4">
            <w:pPr>
              <w:spacing w:after="0" w:line="240" w:lineRule="auto"/>
              <w:rPr>
                <w:rFonts w:ascii="Arial" w:eastAsia="Times New Roman" w:hAnsi="Arial" w:cs="Arial"/>
                <w:sz w:val="18"/>
                <w:szCs w:val="18"/>
                <w:lang w:eastAsia="en-GB"/>
              </w:rPr>
            </w:pPr>
          </w:p>
        </w:tc>
        <w:tc>
          <w:tcPr>
            <w:tcW w:w="236" w:type="dxa"/>
            <w:tcBorders>
              <w:top w:val="nil"/>
              <w:left w:val="nil"/>
              <w:bottom w:val="nil"/>
              <w:right w:val="nil"/>
            </w:tcBorders>
            <w:shd w:val="clear" w:color="auto" w:fill="auto"/>
            <w:noWrap/>
            <w:vAlign w:val="bottom"/>
            <w:hideMark/>
          </w:tcPr>
          <w:p w14:paraId="29326170"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42206" w:rsidRPr="00D336A4" w14:paraId="3A3DA126" w14:textId="77777777" w:rsidTr="00D35A38">
        <w:trPr>
          <w:trHeight w:val="158"/>
        </w:trPr>
        <w:tc>
          <w:tcPr>
            <w:tcW w:w="2500" w:type="dxa"/>
            <w:tcBorders>
              <w:top w:val="nil"/>
              <w:left w:val="nil"/>
              <w:bottom w:val="nil"/>
              <w:right w:val="nil"/>
            </w:tcBorders>
            <w:shd w:val="clear" w:color="auto" w:fill="auto"/>
            <w:noWrap/>
            <w:vAlign w:val="bottom"/>
            <w:hideMark/>
          </w:tcPr>
          <w:p w14:paraId="41618F24"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044" w:type="dxa"/>
            <w:tcBorders>
              <w:top w:val="nil"/>
              <w:left w:val="nil"/>
              <w:bottom w:val="nil"/>
              <w:right w:val="nil"/>
            </w:tcBorders>
            <w:shd w:val="clear" w:color="auto" w:fill="auto"/>
            <w:noWrap/>
            <w:vAlign w:val="bottom"/>
            <w:hideMark/>
          </w:tcPr>
          <w:p w14:paraId="56BD3570"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bottom"/>
            <w:hideMark/>
          </w:tcPr>
          <w:p w14:paraId="33B7EFF7"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327DAE3F"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auto"/>
            <w:noWrap/>
            <w:vAlign w:val="bottom"/>
            <w:hideMark/>
          </w:tcPr>
          <w:p w14:paraId="1A9286B9"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000000" w:fill="FFFFFF"/>
            <w:noWrap/>
            <w:vAlign w:val="bottom"/>
            <w:hideMark/>
          </w:tcPr>
          <w:p w14:paraId="024726E6"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1559" w:type="dxa"/>
            <w:tcBorders>
              <w:top w:val="nil"/>
              <w:left w:val="nil"/>
              <w:bottom w:val="nil"/>
              <w:right w:val="nil"/>
            </w:tcBorders>
            <w:shd w:val="clear" w:color="000000" w:fill="FFFFFF"/>
            <w:noWrap/>
            <w:vAlign w:val="bottom"/>
            <w:hideMark/>
          </w:tcPr>
          <w:p w14:paraId="7EAC082A"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236" w:type="dxa"/>
            <w:vAlign w:val="center"/>
            <w:hideMark/>
          </w:tcPr>
          <w:p w14:paraId="28C21F75"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D336A4" w:rsidRPr="00D336A4" w14:paraId="035DFFEB" w14:textId="77777777" w:rsidTr="00D35A38">
        <w:trPr>
          <w:trHeight w:val="70"/>
        </w:trPr>
        <w:tc>
          <w:tcPr>
            <w:tcW w:w="2500" w:type="dxa"/>
            <w:tcBorders>
              <w:top w:val="single" w:sz="4" w:space="0" w:color="BFBFBF"/>
              <w:left w:val="single" w:sz="4" w:space="0" w:color="BFBFBF"/>
              <w:bottom w:val="nil"/>
              <w:right w:val="nil"/>
            </w:tcBorders>
            <w:shd w:val="clear" w:color="auto" w:fill="auto"/>
            <w:noWrap/>
            <w:vAlign w:val="bottom"/>
            <w:hideMark/>
          </w:tcPr>
          <w:p w14:paraId="695BF9E1"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1044" w:type="dxa"/>
            <w:tcBorders>
              <w:top w:val="single" w:sz="4" w:space="0" w:color="BFBFBF"/>
              <w:left w:val="nil"/>
              <w:bottom w:val="nil"/>
              <w:right w:val="nil"/>
            </w:tcBorders>
            <w:shd w:val="clear" w:color="auto" w:fill="auto"/>
            <w:noWrap/>
            <w:vAlign w:val="bottom"/>
            <w:hideMark/>
          </w:tcPr>
          <w:p w14:paraId="088E2D18"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1559" w:type="dxa"/>
            <w:tcBorders>
              <w:top w:val="single" w:sz="4" w:space="0" w:color="BFBFBF"/>
              <w:left w:val="nil"/>
              <w:bottom w:val="nil"/>
              <w:right w:val="nil"/>
            </w:tcBorders>
            <w:shd w:val="clear" w:color="auto" w:fill="auto"/>
            <w:noWrap/>
            <w:vAlign w:val="bottom"/>
            <w:hideMark/>
          </w:tcPr>
          <w:p w14:paraId="5164AAF7"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608" w:type="dxa"/>
            <w:tcBorders>
              <w:top w:val="single" w:sz="4" w:space="0" w:color="BFBFBF"/>
              <w:left w:val="nil"/>
              <w:bottom w:val="nil"/>
              <w:right w:val="nil"/>
            </w:tcBorders>
            <w:shd w:val="clear" w:color="auto" w:fill="auto"/>
            <w:noWrap/>
            <w:vAlign w:val="bottom"/>
            <w:hideMark/>
          </w:tcPr>
          <w:p w14:paraId="1DFF96E1"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1560" w:type="dxa"/>
            <w:tcBorders>
              <w:top w:val="single" w:sz="4" w:space="0" w:color="BFBFBF"/>
              <w:left w:val="nil"/>
              <w:bottom w:val="nil"/>
              <w:right w:val="nil"/>
            </w:tcBorders>
            <w:shd w:val="clear" w:color="auto" w:fill="auto"/>
            <w:noWrap/>
            <w:hideMark/>
          </w:tcPr>
          <w:p w14:paraId="714C04B6"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26 weeks ended</w:t>
            </w:r>
          </w:p>
        </w:tc>
        <w:tc>
          <w:tcPr>
            <w:tcW w:w="1701" w:type="dxa"/>
            <w:tcBorders>
              <w:top w:val="single" w:sz="4" w:space="0" w:color="BFBFBF"/>
              <w:left w:val="nil"/>
              <w:bottom w:val="nil"/>
              <w:right w:val="nil"/>
            </w:tcBorders>
            <w:shd w:val="clear" w:color="auto" w:fill="auto"/>
            <w:noWrap/>
            <w:hideMark/>
          </w:tcPr>
          <w:p w14:paraId="0C5DA531"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26 weeks ended</w:t>
            </w:r>
          </w:p>
        </w:tc>
        <w:tc>
          <w:tcPr>
            <w:tcW w:w="1559" w:type="dxa"/>
            <w:tcBorders>
              <w:top w:val="single" w:sz="4" w:space="0" w:color="BFBFBF"/>
              <w:left w:val="nil"/>
              <w:bottom w:val="nil"/>
              <w:right w:val="single" w:sz="4" w:space="0" w:color="BFBFBF"/>
            </w:tcBorders>
            <w:shd w:val="clear" w:color="auto" w:fill="auto"/>
            <w:noWrap/>
            <w:hideMark/>
          </w:tcPr>
          <w:p w14:paraId="7F971201"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52 weeks ended</w:t>
            </w:r>
          </w:p>
        </w:tc>
        <w:tc>
          <w:tcPr>
            <w:tcW w:w="236" w:type="dxa"/>
            <w:vAlign w:val="center"/>
            <w:hideMark/>
          </w:tcPr>
          <w:p w14:paraId="619A9BF5"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D336A4" w:rsidRPr="00D336A4" w14:paraId="09E80663" w14:textId="77777777" w:rsidTr="00D35A38">
        <w:trPr>
          <w:trHeight w:val="80"/>
        </w:trPr>
        <w:tc>
          <w:tcPr>
            <w:tcW w:w="2500" w:type="dxa"/>
            <w:tcBorders>
              <w:top w:val="nil"/>
              <w:left w:val="single" w:sz="4" w:space="0" w:color="BFBFBF"/>
              <w:bottom w:val="nil"/>
              <w:right w:val="nil"/>
            </w:tcBorders>
            <w:shd w:val="clear" w:color="auto" w:fill="auto"/>
            <w:noWrap/>
            <w:vAlign w:val="bottom"/>
            <w:hideMark/>
          </w:tcPr>
          <w:p w14:paraId="482F7BCA"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1044" w:type="dxa"/>
            <w:tcBorders>
              <w:top w:val="nil"/>
              <w:left w:val="nil"/>
              <w:bottom w:val="nil"/>
              <w:right w:val="nil"/>
            </w:tcBorders>
            <w:shd w:val="clear" w:color="auto" w:fill="auto"/>
            <w:noWrap/>
            <w:vAlign w:val="bottom"/>
            <w:hideMark/>
          </w:tcPr>
          <w:p w14:paraId="60ACCEAB"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1559" w:type="dxa"/>
            <w:tcBorders>
              <w:top w:val="nil"/>
              <w:left w:val="nil"/>
              <w:bottom w:val="nil"/>
              <w:right w:val="nil"/>
            </w:tcBorders>
            <w:shd w:val="clear" w:color="auto" w:fill="auto"/>
            <w:noWrap/>
            <w:vAlign w:val="bottom"/>
            <w:hideMark/>
          </w:tcPr>
          <w:p w14:paraId="6081719A"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608" w:type="dxa"/>
            <w:tcBorders>
              <w:top w:val="nil"/>
              <w:left w:val="nil"/>
              <w:bottom w:val="nil"/>
              <w:right w:val="nil"/>
            </w:tcBorders>
            <w:shd w:val="clear" w:color="auto" w:fill="auto"/>
            <w:noWrap/>
            <w:vAlign w:val="bottom"/>
            <w:hideMark/>
          </w:tcPr>
          <w:p w14:paraId="60F007F8"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1560" w:type="dxa"/>
            <w:tcBorders>
              <w:top w:val="nil"/>
              <w:left w:val="nil"/>
              <w:bottom w:val="nil"/>
              <w:right w:val="nil"/>
            </w:tcBorders>
            <w:shd w:val="clear" w:color="auto" w:fill="auto"/>
            <w:noWrap/>
            <w:hideMark/>
          </w:tcPr>
          <w:p w14:paraId="736EABED"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2 July 2022</w:t>
            </w:r>
          </w:p>
        </w:tc>
        <w:tc>
          <w:tcPr>
            <w:tcW w:w="1701" w:type="dxa"/>
            <w:tcBorders>
              <w:top w:val="nil"/>
              <w:left w:val="nil"/>
              <w:bottom w:val="nil"/>
              <w:right w:val="nil"/>
            </w:tcBorders>
            <w:shd w:val="clear" w:color="auto" w:fill="auto"/>
            <w:noWrap/>
            <w:hideMark/>
          </w:tcPr>
          <w:p w14:paraId="77C6A672"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3 July 2021</w:t>
            </w:r>
          </w:p>
        </w:tc>
        <w:tc>
          <w:tcPr>
            <w:tcW w:w="1559" w:type="dxa"/>
            <w:tcBorders>
              <w:top w:val="nil"/>
              <w:left w:val="nil"/>
              <w:bottom w:val="nil"/>
              <w:right w:val="single" w:sz="4" w:space="0" w:color="BFBFBF"/>
            </w:tcBorders>
            <w:shd w:val="clear" w:color="auto" w:fill="auto"/>
            <w:noWrap/>
            <w:hideMark/>
          </w:tcPr>
          <w:p w14:paraId="1AEC4D4A"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1 January 2022</w:t>
            </w:r>
          </w:p>
        </w:tc>
        <w:tc>
          <w:tcPr>
            <w:tcW w:w="236" w:type="dxa"/>
            <w:vAlign w:val="center"/>
            <w:hideMark/>
          </w:tcPr>
          <w:p w14:paraId="765DDCAE"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D336A4" w:rsidRPr="00D336A4" w14:paraId="6DF443A5" w14:textId="77777777" w:rsidTr="00D35A38">
        <w:trPr>
          <w:trHeight w:val="252"/>
        </w:trPr>
        <w:tc>
          <w:tcPr>
            <w:tcW w:w="2500" w:type="dxa"/>
            <w:tcBorders>
              <w:top w:val="nil"/>
              <w:left w:val="single" w:sz="4" w:space="0" w:color="BFBFBF"/>
              <w:bottom w:val="nil"/>
              <w:right w:val="nil"/>
            </w:tcBorders>
            <w:shd w:val="clear" w:color="auto" w:fill="auto"/>
            <w:noWrap/>
            <w:vAlign w:val="bottom"/>
            <w:hideMark/>
          </w:tcPr>
          <w:p w14:paraId="2549AB28"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1044" w:type="dxa"/>
            <w:tcBorders>
              <w:top w:val="nil"/>
              <w:left w:val="nil"/>
              <w:bottom w:val="nil"/>
              <w:right w:val="nil"/>
            </w:tcBorders>
            <w:shd w:val="clear" w:color="auto" w:fill="auto"/>
            <w:noWrap/>
            <w:vAlign w:val="bottom"/>
            <w:hideMark/>
          </w:tcPr>
          <w:p w14:paraId="1637D0EF"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1559" w:type="dxa"/>
            <w:tcBorders>
              <w:top w:val="nil"/>
              <w:left w:val="nil"/>
              <w:bottom w:val="nil"/>
              <w:right w:val="nil"/>
            </w:tcBorders>
            <w:shd w:val="clear" w:color="auto" w:fill="auto"/>
            <w:noWrap/>
            <w:vAlign w:val="bottom"/>
            <w:hideMark/>
          </w:tcPr>
          <w:p w14:paraId="76572B86"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608" w:type="dxa"/>
            <w:tcBorders>
              <w:top w:val="nil"/>
              <w:left w:val="nil"/>
              <w:bottom w:val="nil"/>
              <w:right w:val="nil"/>
            </w:tcBorders>
            <w:shd w:val="clear" w:color="auto" w:fill="auto"/>
            <w:noWrap/>
            <w:vAlign w:val="bottom"/>
            <w:hideMark/>
          </w:tcPr>
          <w:p w14:paraId="092DB78F"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1560" w:type="dxa"/>
            <w:tcBorders>
              <w:top w:val="nil"/>
              <w:left w:val="nil"/>
              <w:bottom w:val="nil"/>
              <w:right w:val="nil"/>
            </w:tcBorders>
            <w:shd w:val="clear" w:color="auto" w:fill="auto"/>
            <w:noWrap/>
            <w:hideMark/>
          </w:tcPr>
          <w:p w14:paraId="39E79070"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(unaudited)</w:t>
            </w:r>
          </w:p>
        </w:tc>
        <w:tc>
          <w:tcPr>
            <w:tcW w:w="1701" w:type="dxa"/>
            <w:tcBorders>
              <w:top w:val="nil"/>
              <w:left w:val="nil"/>
              <w:bottom w:val="nil"/>
              <w:right w:val="nil"/>
            </w:tcBorders>
            <w:shd w:val="clear" w:color="auto" w:fill="auto"/>
            <w:noWrap/>
            <w:hideMark/>
          </w:tcPr>
          <w:p w14:paraId="039CE7F7"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(unaudited)</w:t>
            </w:r>
          </w:p>
        </w:tc>
        <w:tc>
          <w:tcPr>
            <w:tcW w:w="1559" w:type="dxa"/>
            <w:tcBorders>
              <w:top w:val="nil"/>
              <w:left w:val="nil"/>
              <w:bottom w:val="nil"/>
              <w:right w:val="single" w:sz="4" w:space="0" w:color="BFBFBF"/>
            </w:tcBorders>
            <w:shd w:val="clear" w:color="auto" w:fill="auto"/>
            <w:noWrap/>
            <w:hideMark/>
          </w:tcPr>
          <w:p w14:paraId="357BA8F3"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(audited)</w:t>
            </w:r>
          </w:p>
        </w:tc>
        <w:tc>
          <w:tcPr>
            <w:tcW w:w="236" w:type="dxa"/>
            <w:vAlign w:val="center"/>
            <w:hideMark/>
          </w:tcPr>
          <w:p w14:paraId="640D5149"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D336A4" w:rsidRPr="00D336A4" w14:paraId="501E5469" w14:textId="77777777" w:rsidTr="00D35A38">
        <w:trPr>
          <w:trHeight w:val="218"/>
        </w:trPr>
        <w:tc>
          <w:tcPr>
            <w:tcW w:w="2500" w:type="dxa"/>
            <w:tcBorders>
              <w:top w:val="nil"/>
              <w:left w:val="single" w:sz="4" w:space="0" w:color="BFBFBF"/>
              <w:bottom w:val="single" w:sz="4" w:space="0" w:color="BFBFBF"/>
              <w:right w:val="nil"/>
            </w:tcBorders>
            <w:shd w:val="clear" w:color="auto" w:fill="auto"/>
            <w:noWrap/>
            <w:vAlign w:val="bottom"/>
            <w:hideMark/>
          </w:tcPr>
          <w:p w14:paraId="4ED400E2" w14:textId="77777777" w:rsidR="00D336A4" w:rsidRPr="00D336A4" w:rsidRDefault="00D336A4" w:rsidP="00D336A4">
            <w:pPr>
              <w:spacing w:after="0" w:line="240" w:lineRule="auto"/>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1044" w:type="dxa"/>
            <w:tcBorders>
              <w:top w:val="nil"/>
              <w:left w:val="nil"/>
              <w:bottom w:val="single" w:sz="4" w:space="0" w:color="BFBFBF"/>
              <w:right w:val="nil"/>
            </w:tcBorders>
            <w:shd w:val="clear" w:color="auto" w:fill="auto"/>
            <w:noWrap/>
            <w:vAlign w:val="bottom"/>
            <w:hideMark/>
          </w:tcPr>
          <w:p w14:paraId="3632C654" w14:textId="77777777" w:rsidR="00D336A4" w:rsidRPr="00D336A4" w:rsidRDefault="00D336A4" w:rsidP="00D336A4">
            <w:pPr>
              <w:spacing w:after="0" w:line="240" w:lineRule="auto"/>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1559" w:type="dxa"/>
            <w:tcBorders>
              <w:top w:val="nil"/>
              <w:left w:val="nil"/>
              <w:bottom w:val="single" w:sz="4" w:space="0" w:color="BFBFBF"/>
              <w:right w:val="nil"/>
            </w:tcBorders>
            <w:shd w:val="clear" w:color="auto" w:fill="auto"/>
            <w:noWrap/>
            <w:vAlign w:val="bottom"/>
            <w:hideMark/>
          </w:tcPr>
          <w:p w14:paraId="54EF5164" w14:textId="77777777" w:rsidR="00D336A4" w:rsidRPr="00D336A4" w:rsidRDefault="00D336A4" w:rsidP="00D336A4">
            <w:pPr>
              <w:spacing w:after="0" w:line="240" w:lineRule="auto"/>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608" w:type="dxa"/>
            <w:tcBorders>
              <w:top w:val="nil"/>
              <w:left w:val="nil"/>
              <w:bottom w:val="single" w:sz="4" w:space="0" w:color="BFBFBF"/>
              <w:right w:val="nil"/>
            </w:tcBorders>
            <w:shd w:val="clear" w:color="auto" w:fill="auto"/>
            <w:noWrap/>
            <w:vAlign w:val="bottom"/>
            <w:hideMark/>
          </w:tcPr>
          <w:p w14:paraId="7C12511A"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Notes</w:t>
            </w:r>
          </w:p>
        </w:tc>
        <w:tc>
          <w:tcPr>
            <w:tcW w:w="1560" w:type="dxa"/>
            <w:tcBorders>
              <w:top w:val="nil"/>
              <w:left w:val="nil"/>
              <w:bottom w:val="single" w:sz="4" w:space="0" w:color="BFBFBF"/>
              <w:right w:val="nil"/>
            </w:tcBorders>
            <w:shd w:val="clear" w:color="auto" w:fill="auto"/>
            <w:hideMark/>
          </w:tcPr>
          <w:p w14:paraId="65BE423D"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£m</w:t>
            </w:r>
          </w:p>
        </w:tc>
        <w:tc>
          <w:tcPr>
            <w:tcW w:w="1701" w:type="dxa"/>
            <w:tcBorders>
              <w:top w:val="nil"/>
              <w:left w:val="nil"/>
              <w:bottom w:val="single" w:sz="4" w:space="0" w:color="BFBFBF"/>
              <w:right w:val="nil"/>
            </w:tcBorders>
            <w:shd w:val="clear" w:color="auto" w:fill="auto"/>
            <w:hideMark/>
          </w:tcPr>
          <w:p w14:paraId="4EFFF84C"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£m</w:t>
            </w:r>
          </w:p>
        </w:tc>
        <w:tc>
          <w:tcPr>
            <w:tcW w:w="1559" w:type="dxa"/>
            <w:tcBorders>
              <w:top w:val="nil"/>
              <w:left w:val="nil"/>
              <w:bottom w:val="single" w:sz="4" w:space="0" w:color="BFBFBF"/>
              <w:right w:val="single" w:sz="4" w:space="0" w:color="BFBFBF"/>
            </w:tcBorders>
            <w:shd w:val="clear" w:color="auto" w:fill="auto"/>
            <w:hideMark/>
          </w:tcPr>
          <w:p w14:paraId="4CE56927"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£m</w:t>
            </w:r>
          </w:p>
        </w:tc>
        <w:tc>
          <w:tcPr>
            <w:tcW w:w="236" w:type="dxa"/>
            <w:vAlign w:val="center"/>
            <w:hideMark/>
          </w:tcPr>
          <w:p w14:paraId="17FFEC70"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7388E05B" w14:textId="77777777" w:rsidTr="00D35A38">
        <w:trPr>
          <w:trHeight w:val="180"/>
        </w:trPr>
        <w:tc>
          <w:tcPr>
            <w:tcW w:w="2500" w:type="dxa"/>
            <w:tcBorders>
              <w:top w:val="nil"/>
              <w:left w:val="nil"/>
              <w:bottom w:val="nil"/>
              <w:right w:val="nil"/>
            </w:tcBorders>
            <w:shd w:val="clear" w:color="auto" w:fill="auto"/>
            <w:noWrap/>
            <w:vAlign w:val="bottom"/>
            <w:hideMark/>
          </w:tcPr>
          <w:p w14:paraId="3699242D" w14:textId="77777777" w:rsidR="00D336A4" w:rsidRPr="00D336A4" w:rsidRDefault="00D336A4" w:rsidP="00D336A4">
            <w:pPr>
              <w:spacing w:after="0" w:line="240" w:lineRule="auto"/>
              <w:jc w:val="right"/>
              <w:rPr>
                <w:rFonts w:ascii="Arial" w:eastAsia="Times New Roman" w:hAnsi="Arial" w:cs="Arial"/>
                <w:color w:val="FFFFFF"/>
                <w:sz w:val="15"/>
                <w:szCs w:val="15"/>
                <w:lang w:eastAsia="en-GB"/>
              </w:rPr>
            </w:pPr>
          </w:p>
        </w:tc>
        <w:tc>
          <w:tcPr>
            <w:tcW w:w="1044" w:type="dxa"/>
            <w:tcBorders>
              <w:top w:val="nil"/>
              <w:left w:val="nil"/>
              <w:bottom w:val="nil"/>
              <w:right w:val="nil"/>
            </w:tcBorders>
            <w:shd w:val="clear" w:color="auto" w:fill="auto"/>
            <w:noWrap/>
            <w:vAlign w:val="bottom"/>
            <w:hideMark/>
          </w:tcPr>
          <w:p w14:paraId="2C0D98A2"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bottom"/>
            <w:hideMark/>
          </w:tcPr>
          <w:p w14:paraId="20A540DE"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7EB63918"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000000" w:fill="FFFFFF"/>
            <w:vAlign w:val="bottom"/>
            <w:hideMark/>
          </w:tcPr>
          <w:p w14:paraId="2FB9539E" w14:textId="77777777" w:rsidR="00D336A4" w:rsidRPr="00D336A4" w:rsidRDefault="00D336A4" w:rsidP="00D336A4">
            <w:pPr>
              <w:spacing w:after="0" w:line="240" w:lineRule="auto"/>
              <w:jc w:val="right"/>
              <w:rPr>
                <w:rFonts w:ascii="Arial" w:eastAsia="Times New Roman" w:hAnsi="Arial" w:cs="Arial"/>
                <w:b/>
                <w:bCs/>
                <w:sz w:val="12"/>
                <w:szCs w:val="12"/>
                <w:lang w:eastAsia="en-GB"/>
              </w:rPr>
            </w:pPr>
            <w:r w:rsidRPr="00D336A4">
              <w:rPr>
                <w:rFonts w:ascii="Arial" w:eastAsia="Times New Roman" w:hAnsi="Arial" w:cs="Arial"/>
                <w:b/>
                <w:bCs/>
                <w:sz w:val="12"/>
                <w:szCs w:val="12"/>
                <w:lang w:eastAsia="en-GB"/>
              </w:rPr>
              <w:t> </w:t>
            </w:r>
          </w:p>
        </w:tc>
        <w:tc>
          <w:tcPr>
            <w:tcW w:w="1701" w:type="dxa"/>
            <w:tcBorders>
              <w:top w:val="nil"/>
              <w:left w:val="nil"/>
              <w:bottom w:val="nil"/>
              <w:right w:val="nil"/>
            </w:tcBorders>
            <w:shd w:val="clear" w:color="000000" w:fill="FFFFFF"/>
            <w:vAlign w:val="bottom"/>
            <w:hideMark/>
          </w:tcPr>
          <w:p w14:paraId="73C99EA6" w14:textId="77777777" w:rsidR="00D336A4" w:rsidRPr="00D336A4" w:rsidRDefault="00D336A4" w:rsidP="00D336A4">
            <w:pPr>
              <w:spacing w:after="0" w:line="240" w:lineRule="auto"/>
              <w:jc w:val="right"/>
              <w:rPr>
                <w:rFonts w:ascii="Arial" w:eastAsia="Times New Roman" w:hAnsi="Arial" w:cs="Arial"/>
                <w:sz w:val="12"/>
                <w:szCs w:val="12"/>
                <w:lang w:eastAsia="en-GB"/>
              </w:rPr>
            </w:pPr>
            <w:r w:rsidRPr="00D336A4">
              <w:rPr>
                <w:rFonts w:ascii="Arial" w:eastAsia="Times New Roman" w:hAnsi="Arial" w:cs="Arial"/>
                <w:sz w:val="12"/>
                <w:szCs w:val="12"/>
                <w:lang w:eastAsia="en-GB"/>
              </w:rPr>
              <w:t> </w:t>
            </w:r>
          </w:p>
        </w:tc>
        <w:tc>
          <w:tcPr>
            <w:tcW w:w="1559" w:type="dxa"/>
            <w:tcBorders>
              <w:top w:val="nil"/>
              <w:left w:val="nil"/>
              <w:bottom w:val="nil"/>
              <w:right w:val="nil"/>
            </w:tcBorders>
            <w:shd w:val="clear" w:color="000000" w:fill="FFFFFF"/>
            <w:noWrap/>
            <w:vAlign w:val="bottom"/>
            <w:hideMark/>
          </w:tcPr>
          <w:p w14:paraId="18D846BC" w14:textId="77777777" w:rsidR="00D336A4" w:rsidRPr="00D336A4" w:rsidRDefault="00D336A4" w:rsidP="00D336A4">
            <w:pPr>
              <w:spacing w:after="0" w:line="240" w:lineRule="auto"/>
              <w:jc w:val="right"/>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236" w:type="dxa"/>
            <w:vAlign w:val="center"/>
            <w:hideMark/>
          </w:tcPr>
          <w:p w14:paraId="3C1E5AA9"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3868D410" w14:textId="77777777" w:rsidTr="00D35A38">
        <w:trPr>
          <w:trHeight w:val="255"/>
        </w:trPr>
        <w:tc>
          <w:tcPr>
            <w:tcW w:w="3544" w:type="dxa"/>
            <w:gridSpan w:val="2"/>
            <w:tcBorders>
              <w:top w:val="single" w:sz="4" w:space="0" w:color="BFBFBF"/>
              <w:left w:val="nil"/>
              <w:bottom w:val="single" w:sz="4" w:space="0" w:color="BFBFBF"/>
              <w:right w:val="nil"/>
            </w:tcBorders>
            <w:shd w:val="clear" w:color="auto" w:fill="auto"/>
            <w:noWrap/>
            <w:vAlign w:val="bottom"/>
            <w:hideMark/>
          </w:tcPr>
          <w:p w14:paraId="6513F087"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Net cash from operating activities</w:t>
            </w:r>
          </w:p>
        </w:tc>
        <w:tc>
          <w:tcPr>
            <w:tcW w:w="1559" w:type="dxa"/>
            <w:tcBorders>
              <w:top w:val="single" w:sz="4" w:space="0" w:color="BFBFBF"/>
              <w:left w:val="nil"/>
              <w:bottom w:val="single" w:sz="4" w:space="0" w:color="BFBFBF"/>
              <w:right w:val="nil"/>
            </w:tcBorders>
            <w:shd w:val="clear" w:color="auto" w:fill="auto"/>
            <w:noWrap/>
            <w:vAlign w:val="bottom"/>
            <w:hideMark/>
          </w:tcPr>
          <w:p w14:paraId="48FF536B"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w:t>
            </w:r>
          </w:p>
        </w:tc>
        <w:tc>
          <w:tcPr>
            <w:tcW w:w="608" w:type="dxa"/>
            <w:tcBorders>
              <w:top w:val="single" w:sz="4" w:space="0" w:color="BFBFBF"/>
              <w:left w:val="nil"/>
              <w:bottom w:val="single" w:sz="4" w:space="0" w:color="BFBFBF"/>
              <w:right w:val="nil"/>
            </w:tcBorders>
            <w:shd w:val="clear" w:color="auto" w:fill="auto"/>
            <w:noWrap/>
            <w:vAlign w:val="bottom"/>
            <w:hideMark/>
          </w:tcPr>
          <w:p w14:paraId="06300AB0"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10</w:t>
            </w:r>
          </w:p>
        </w:tc>
        <w:tc>
          <w:tcPr>
            <w:tcW w:w="1560" w:type="dxa"/>
            <w:tcBorders>
              <w:top w:val="single" w:sz="4" w:space="0" w:color="BFBFBF"/>
              <w:left w:val="nil"/>
              <w:bottom w:val="single" w:sz="4" w:space="0" w:color="BFBFBF"/>
              <w:right w:val="nil"/>
            </w:tcBorders>
            <w:shd w:val="clear" w:color="auto" w:fill="CCECFF"/>
            <w:noWrap/>
            <w:vAlign w:val="bottom"/>
            <w:hideMark/>
          </w:tcPr>
          <w:p w14:paraId="7C16BB1B"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315 </w:t>
            </w:r>
          </w:p>
        </w:tc>
        <w:tc>
          <w:tcPr>
            <w:tcW w:w="1701" w:type="dxa"/>
            <w:tcBorders>
              <w:top w:val="single" w:sz="4" w:space="0" w:color="BFBFBF"/>
              <w:left w:val="nil"/>
              <w:bottom w:val="single" w:sz="4" w:space="0" w:color="BFBFBF"/>
              <w:right w:val="nil"/>
            </w:tcBorders>
            <w:shd w:val="clear" w:color="000000" w:fill="FFFFFF"/>
            <w:noWrap/>
            <w:vAlign w:val="bottom"/>
            <w:hideMark/>
          </w:tcPr>
          <w:p w14:paraId="0F14EB5B"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162 </w:t>
            </w:r>
          </w:p>
        </w:tc>
        <w:tc>
          <w:tcPr>
            <w:tcW w:w="1559" w:type="dxa"/>
            <w:tcBorders>
              <w:top w:val="single" w:sz="4" w:space="0" w:color="BFBFBF"/>
              <w:left w:val="nil"/>
              <w:bottom w:val="single" w:sz="4" w:space="0" w:color="BFBFBF"/>
              <w:right w:val="nil"/>
            </w:tcBorders>
            <w:shd w:val="clear" w:color="000000" w:fill="FFFFFF"/>
            <w:noWrap/>
            <w:vAlign w:val="bottom"/>
            <w:hideMark/>
          </w:tcPr>
          <w:p w14:paraId="3095AEF1"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178 </w:t>
            </w:r>
          </w:p>
        </w:tc>
        <w:tc>
          <w:tcPr>
            <w:tcW w:w="236" w:type="dxa"/>
            <w:vAlign w:val="center"/>
            <w:hideMark/>
          </w:tcPr>
          <w:p w14:paraId="796525D2"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5735088D" w14:textId="77777777" w:rsidTr="00D35A38">
        <w:trPr>
          <w:trHeight w:val="255"/>
        </w:trPr>
        <w:tc>
          <w:tcPr>
            <w:tcW w:w="3544" w:type="dxa"/>
            <w:gridSpan w:val="2"/>
            <w:tcBorders>
              <w:top w:val="nil"/>
              <w:left w:val="nil"/>
              <w:bottom w:val="nil"/>
              <w:right w:val="nil"/>
            </w:tcBorders>
            <w:shd w:val="clear" w:color="auto" w:fill="auto"/>
            <w:noWrap/>
            <w:vAlign w:val="bottom"/>
            <w:hideMark/>
          </w:tcPr>
          <w:p w14:paraId="289C3D82"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Cash flows from investing activities</w:t>
            </w:r>
          </w:p>
        </w:tc>
        <w:tc>
          <w:tcPr>
            <w:tcW w:w="1559" w:type="dxa"/>
            <w:tcBorders>
              <w:top w:val="nil"/>
              <w:left w:val="nil"/>
              <w:bottom w:val="nil"/>
              <w:right w:val="nil"/>
            </w:tcBorders>
            <w:shd w:val="clear" w:color="auto" w:fill="auto"/>
            <w:noWrap/>
            <w:vAlign w:val="bottom"/>
            <w:hideMark/>
          </w:tcPr>
          <w:p w14:paraId="0CF079F3" w14:textId="77777777" w:rsidR="00D336A4" w:rsidRPr="00D336A4" w:rsidRDefault="00D336A4" w:rsidP="00D336A4">
            <w:pPr>
              <w:spacing w:after="0" w:line="240" w:lineRule="auto"/>
              <w:rPr>
                <w:rFonts w:ascii="Arial" w:eastAsia="Times New Roman" w:hAnsi="Arial" w:cs="Arial"/>
                <w:b/>
                <w:bCs/>
                <w:sz w:val="15"/>
                <w:szCs w:val="15"/>
                <w:lang w:eastAsia="en-GB"/>
              </w:rPr>
            </w:pPr>
          </w:p>
        </w:tc>
        <w:tc>
          <w:tcPr>
            <w:tcW w:w="608" w:type="dxa"/>
            <w:tcBorders>
              <w:top w:val="nil"/>
              <w:left w:val="nil"/>
              <w:bottom w:val="nil"/>
              <w:right w:val="nil"/>
            </w:tcBorders>
            <w:shd w:val="clear" w:color="auto" w:fill="auto"/>
            <w:noWrap/>
            <w:vAlign w:val="bottom"/>
            <w:hideMark/>
          </w:tcPr>
          <w:p w14:paraId="00830AF7"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3E48553C"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w:t>
            </w:r>
          </w:p>
        </w:tc>
        <w:tc>
          <w:tcPr>
            <w:tcW w:w="1701" w:type="dxa"/>
            <w:tcBorders>
              <w:top w:val="nil"/>
              <w:left w:val="nil"/>
              <w:bottom w:val="nil"/>
              <w:right w:val="nil"/>
            </w:tcBorders>
            <w:shd w:val="clear" w:color="000000" w:fill="FFFFFF"/>
            <w:noWrap/>
            <w:vAlign w:val="bottom"/>
            <w:hideMark/>
          </w:tcPr>
          <w:p w14:paraId="77FABEC7"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59" w:type="dxa"/>
            <w:tcBorders>
              <w:top w:val="nil"/>
              <w:left w:val="nil"/>
              <w:bottom w:val="nil"/>
              <w:right w:val="nil"/>
            </w:tcBorders>
            <w:shd w:val="clear" w:color="000000" w:fill="FFFFFF"/>
            <w:noWrap/>
            <w:vAlign w:val="bottom"/>
            <w:hideMark/>
          </w:tcPr>
          <w:p w14:paraId="6975D7BE"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236" w:type="dxa"/>
            <w:vAlign w:val="center"/>
            <w:hideMark/>
          </w:tcPr>
          <w:p w14:paraId="68E2932D"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6ABC01D7" w14:textId="77777777" w:rsidTr="00D35A38">
        <w:trPr>
          <w:trHeight w:val="255"/>
        </w:trPr>
        <w:tc>
          <w:tcPr>
            <w:tcW w:w="3544" w:type="dxa"/>
            <w:gridSpan w:val="2"/>
            <w:tcBorders>
              <w:top w:val="nil"/>
              <w:left w:val="nil"/>
              <w:bottom w:val="nil"/>
              <w:right w:val="nil"/>
            </w:tcBorders>
            <w:shd w:val="clear" w:color="auto" w:fill="auto"/>
            <w:noWrap/>
            <w:vAlign w:val="bottom"/>
            <w:hideMark/>
          </w:tcPr>
          <w:p w14:paraId="2895F5F2"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Purchase of property, </w:t>
            </w:r>
            <w:proofErr w:type="gramStart"/>
            <w:r w:rsidRPr="00D336A4">
              <w:rPr>
                <w:rFonts w:ascii="Arial" w:eastAsia="Times New Roman" w:hAnsi="Arial" w:cs="Arial"/>
                <w:sz w:val="15"/>
                <w:szCs w:val="15"/>
                <w:lang w:eastAsia="en-GB"/>
              </w:rPr>
              <w:t>plant</w:t>
            </w:r>
            <w:proofErr w:type="gramEnd"/>
            <w:r w:rsidRPr="00D336A4">
              <w:rPr>
                <w:rFonts w:ascii="Arial" w:eastAsia="Times New Roman" w:hAnsi="Arial" w:cs="Arial"/>
                <w:sz w:val="15"/>
                <w:szCs w:val="15"/>
                <w:lang w:eastAsia="en-GB"/>
              </w:rPr>
              <w:t xml:space="preserve"> and equipment</w:t>
            </w:r>
          </w:p>
        </w:tc>
        <w:tc>
          <w:tcPr>
            <w:tcW w:w="1559" w:type="dxa"/>
            <w:tcBorders>
              <w:top w:val="nil"/>
              <w:left w:val="nil"/>
              <w:bottom w:val="nil"/>
              <w:right w:val="nil"/>
            </w:tcBorders>
            <w:shd w:val="clear" w:color="auto" w:fill="auto"/>
            <w:noWrap/>
            <w:vAlign w:val="bottom"/>
            <w:hideMark/>
          </w:tcPr>
          <w:p w14:paraId="1C090DE6"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608" w:type="dxa"/>
            <w:tcBorders>
              <w:top w:val="nil"/>
              <w:left w:val="nil"/>
              <w:bottom w:val="nil"/>
              <w:right w:val="nil"/>
            </w:tcBorders>
            <w:shd w:val="clear" w:color="auto" w:fill="auto"/>
            <w:noWrap/>
            <w:vAlign w:val="bottom"/>
            <w:hideMark/>
          </w:tcPr>
          <w:p w14:paraId="2266E0E3"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5FCE1E02"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(62)</w:t>
            </w:r>
          </w:p>
        </w:tc>
        <w:tc>
          <w:tcPr>
            <w:tcW w:w="1701" w:type="dxa"/>
            <w:tcBorders>
              <w:top w:val="nil"/>
              <w:left w:val="nil"/>
              <w:bottom w:val="nil"/>
              <w:right w:val="nil"/>
            </w:tcBorders>
            <w:shd w:val="clear" w:color="000000" w:fill="FFFFFF"/>
            <w:noWrap/>
            <w:vAlign w:val="bottom"/>
            <w:hideMark/>
          </w:tcPr>
          <w:p w14:paraId="01621FC0"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(150)</w:t>
            </w:r>
          </w:p>
        </w:tc>
        <w:tc>
          <w:tcPr>
            <w:tcW w:w="1559" w:type="dxa"/>
            <w:tcBorders>
              <w:top w:val="nil"/>
              <w:left w:val="nil"/>
              <w:bottom w:val="nil"/>
              <w:right w:val="nil"/>
            </w:tcBorders>
            <w:shd w:val="clear" w:color="000000" w:fill="FFFFFF"/>
            <w:noWrap/>
            <w:vAlign w:val="bottom"/>
            <w:hideMark/>
          </w:tcPr>
          <w:p w14:paraId="2C68C73E"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(297)</w:t>
            </w:r>
          </w:p>
        </w:tc>
        <w:tc>
          <w:tcPr>
            <w:tcW w:w="236" w:type="dxa"/>
            <w:vAlign w:val="center"/>
            <w:hideMark/>
          </w:tcPr>
          <w:p w14:paraId="4AB05BBB"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66EECBE1" w14:textId="77777777" w:rsidTr="00D35A38">
        <w:trPr>
          <w:trHeight w:val="255"/>
        </w:trPr>
        <w:tc>
          <w:tcPr>
            <w:tcW w:w="2500" w:type="dxa"/>
            <w:tcBorders>
              <w:top w:val="nil"/>
              <w:left w:val="nil"/>
              <w:bottom w:val="nil"/>
              <w:right w:val="nil"/>
            </w:tcBorders>
            <w:shd w:val="clear" w:color="auto" w:fill="auto"/>
            <w:noWrap/>
            <w:vAlign w:val="bottom"/>
            <w:hideMark/>
          </w:tcPr>
          <w:p w14:paraId="499F82A6"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Purchase of intangible assets</w:t>
            </w:r>
          </w:p>
        </w:tc>
        <w:tc>
          <w:tcPr>
            <w:tcW w:w="1044" w:type="dxa"/>
            <w:tcBorders>
              <w:top w:val="nil"/>
              <w:left w:val="nil"/>
              <w:bottom w:val="nil"/>
              <w:right w:val="nil"/>
            </w:tcBorders>
            <w:shd w:val="clear" w:color="auto" w:fill="auto"/>
            <w:noWrap/>
            <w:vAlign w:val="bottom"/>
            <w:hideMark/>
          </w:tcPr>
          <w:p w14:paraId="07640994"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1559" w:type="dxa"/>
            <w:tcBorders>
              <w:top w:val="nil"/>
              <w:left w:val="nil"/>
              <w:bottom w:val="nil"/>
              <w:right w:val="nil"/>
            </w:tcBorders>
            <w:shd w:val="clear" w:color="auto" w:fill="auto"/>
            <w:noWrap/>
            <w:vAlign w:val="bottom"/>
            <w:hideMark/>
          </w:tcPr>
          <w:p w14:paraId="23D01C21"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01D3DBA9"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379E8251"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(7)</w:t>
            </w:r>
          </w:p>
        </w:tc>
        <w:tc>
          <w:tcPr>
            <w:tcW w:w="1701" w:type="dxa"/>
            <w:tcBorders>
              <w:top w:val="nil"/>
              <w:left w:val="nil"/>
              <w:bottom w:val="nil"/>
              <w:right w:val="nil"/>
            </w:tcBorders>
            <w:shd w:val="clear" w:color="000000" w:fill="FFFFFF"/>
            <w:noWrap/>
            <w:vAlign w:val="bottom"/>
            <w:hideMark/>
          </w:tcPr>
          <w:p w14:paraId="56FA1F70"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(11)</w:t>
            </w:r>
          </w:p>
        </w:tc>
        <w:tc>
          <w:tcPr>
            <w:tcW w:w="1559" w:type="dxa"/>
            <w:tcBorders>
              <w:top w:val="nil"/>
              <w:left w:val="nil"/>
              <w:bottom w:val="nil"/>
              <w:right w:val="nil"/>
            </w:tcBorders>
            <w:shd w:val="clear" w:color="000000" w:fill="FFFFFF"/>
            <w:noWrap/>
            <w:vAlign w:val="bottom"/>
            <w:hideMark/>
          </w:tcPr>
          <w:p w14:paraId="5494FD81"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(28)</w:t>
            </w:r>
          </w:p>
        </w:tc>
        <w:tc>
          <w:tcPr>
            <w:tcW w:w="236" w:type="dxa"/>
            <w:vAlign w:val="center"/>
            <w:hideMark/>
          </w:tcPr>
          <w:p w14:paraId="72CE1454"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45483828" w14:textId="77777777" w:rsidTr="00D35A38">
        <w:trPr>
          <w:trHeight w:val="255"/>
        </w:trPr>
        <w:tc>
          <w:tcPr>
            <w:tcW w:w="5103" w:type="dxa"/>
            <w:gridSpan w:val="3"/>
            <w:tcBorders>
              <w:top w:val="nil"/>
              <w:left w:val="nil"/>
              <w:bottom w:val="nil"/>
              <w:right w:val="nil"/>
            </w:tcBorders>
            <w:shd w:val="clear" w:color="auto" w:fill="auto"/>
            <w:noWrap/>
            <w:vAlign w:val="bottom"/>
            <w:hideMark/>
          </w:tcPr>
          <w:p w14:paraId="72107032"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Proceeds from sale of property, </w:t>
            </w:r>
            <w:proofErr w:type="gramStart"/>
            <w:r w:rsidRPr="00D336A4">
              <w:rPr>
                <w:rFonts w:ascii="Arial" w:eastAsia="Times New Roman" w:hAnsi="Arial" w:cs="Arial"/>
                <w:sz w:val="15"/>
                <w:szCs w:val="15"/>
                <w:lang w:eastAsia="en-GB"/>
              </w:rPr>
              <w:t>plant</w:t>
            </w:r>
            <w:proofErr w:type="gramEnd"/>
            <w:r w:rsidRPr="00D336A4">
              <w:rPr>
                <w:rFonts w:ascii="Arial" w:eastAsia="Times New Roman" w:hAnsi="Arial" w:cs="Arial"/>
                <w:sz w:val="15"/>
                <w:szCs w:val="15"/>
                <w:lang w:eastAsia="en-GB"/>
              </w:rPr>
              <w:t xml:space="preserve"> and equipment</w:t>
            </w:r>
          </w:p>
        </w:tc>
        <w:tc>
          <w:tcPr>
            <w:tcW w:w="608" w:type="dxa"/>
            <w:tcBorders>
              <w:top w:val="nil"/>
              <w:left w:val="nil"/>
              <w:bottom w:val="nil"/>
              <w:right w:val="nil"/>
            </w:tcBorders>
            <w:shd w:val="clear" w:color="auto" w:fill="auto"/>
            <w:noWrap/>
            <w:vAlign w:val="bottom"/>
            <w:hideMark/>
          </w:tcPr>
          <w:p w14:paraId="7BAD18DC"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1560" w:type="dxa"/>
            <w:tcBorders>
              <w:top w:val="nil"/>
              <w:left w:val="nil"/>
              <w:bottom w:val="nil"/>
              <w:right w:val="nil"/>
            </w:tcBorders>
            <w:shd w:val="clear" w:color="auto" w:fill="CCECFF"/>
            <w:noWrap/>
            <w:vAlign w:val="bottom"/>
            <w:hideMark/>
          </w:tcPr>
          <w:p w14:paraId="3A9FA2F0"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19 </w:t>
            </w:r>
          </w:p>
        </w:tc>
        <w:tc>
          <w:tcPr>
            <w:tcW w:w="1701" w:type="dxa"/>
            <w:tcBorders>
              <w:top w:val="nil"/>
              <w:left w:val="nil"/>
              <w:bottom w:val="nil"/>
              <w:right w:val="nil"/>
            </w:tcBorders>
            <w:shd w:val="clear" w:color="000000" w:fill="FFFFFF"/>
            <w:noWrap/>
            <w:vAlign w:val="bottom"/>
            <w:hideMark/>
          </w:tcPr>
          <w:p w14:paraId="193AA423"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19 </w:t>
            </w:r>
          </w:p>
        </w:tc>
        <w:tc>
          <w:tcPr>
            <w:tcW w:w="1559" w:type="dxa"/>
            <w:tcBorders>
              <w:top w:val="nil"/>
              <w:left w:val="nil"/>
              <w:bottom w:val="nil"/>
              <w:right w:val="nil"/>
            </w:tcBorders>
            <w:shd w:val="clear" w:color="000000" w:fill="FFFFFF"/>
            <w:noWrap/>
            <w:vAlign w:val="bottom"/>
            <w:hideMark/>
          </w:tcPr>
          <w:p w14:paraId="79B7891C"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80 </w:t>
            </w:r>
          </w:p>
        </w:tc>
        <w:tc>
          <w:tcPr>
            <w:tcW w:w="236" w:type="dxa"/>
            <w:vAlign w:val="center"/>
            <w:hideMark/>
          </w:tcPr>
          <w:p w14:paraId="1113F26F"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0AF78FE2" w14:textId="77777777" w:rsidTr="00D35A38">
        <w:trPr>
          <w:trHeight w:val="255"/>
        </w:trPr>
        <w:tc>
          <w:tcPr>
            <w:tcW w:w="3544" w:type="dxa"/>
            <w:gridSpan w:val="2"/>
            <w:tcBorders>
              <w:top w:val="nil"/>
              <w:left w:val="nil"/>
              <w:bottom w:val="nil"/>
              <w:right w:val="nil"/>
            </w:tcBorders>
            <w:shd w:val="clear" w:color="auto" w:fill="auto"/>
            <w:noWrap/>
            <w:vAlign w:val="bottom"/>
            <w:hideMark/>
          </w:tcPr>
          <w:p w14:paraId="7E9F3A55"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Acquisition of businesses, net of cash acquired</w:t>
            </w:r>
          </w:p>
        </w:tc>
        <w:tc>
          <w:tcPr>
            <w:tcW w:w="1559" w:type="dxa"/>
            <w:tcBorders>
              <w:top w:val="nil"/>
              <w:left w:val="nil"/>
              <w:bottom w:val="nil"/>
              <w:right w:val="nil"/>
            </w:tcBorders>
            <w:shd w:val="clear" w:color="auto" w:fill="auto"/>
            <w:noWrap/>
            <w:vAlign w:val="bottom"/>
            <w:hideMark/>
          </w:tcPr>
          <w:p w14:paraId="3D8DCCFC"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608" w:type="dxa"/>
            <w:tcBorders>
              <w:top w:val="nil"/>
              <w:left w:val="nil"/>
              <w:bottom w:val="nil"/>
              <w:right w:val="nil"/>
            </w:tcBorders>
            <w:shd w:val="clear" w:color="auto" w:fill="auto"/>
            <w:noWrap/>
            <w:vAlign w:val="bottom"/>
            <w:hideMark/>
          </w:tcPr>
          <w:p w14:paraId="03FDAE00"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3608F04C"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(2)</w:t>
            </w:r>
          </w:p>
        </w:tc>
        <w:tc>
          <w:tcPr>
            <w:tcW w:w="1701" w:type="dxa"/>
            <w:tcBorders>
              <w:top w:val="nil"/>
              <w:left w:val="nil"/>
              <w:bottom w:val="nil"/>
              <w:right w:val="nil"/>
            </w:tcBorders>
            <w:shd w:val="clear" w:color="000000" w:fill="FFFFFF"/>
            <w:noWrap/>
            <w:vAlign w:val="bottom"/>
            <w:hideMark/>
          </w:tcPr>
          <w:p w14:paraId="0FF7533A"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(26)</w:t>
            </w:r>
          </w:p>
        </w:tc>
        <w:tc>
          <w:tcPr>
            <w:tcW w:w="1559" w:type="dxa"/>
            <w:tcBorders>
              <w:top w:val="nil"/>
              <w:left w:val="nil"/>
              <w:bottom w:val="nil"/>
              <w:right w:val="nil"/>
            </w:tcBorders>
            <w:shd w:val="clear" w:color="000000" w:fill="FFFFFF"/>
            <w:noWrap/>
            <w:vAlign w:val="bottom"/>
            <w:hideMark/>
          </w:tcPr>
          <w:p w14:paraId="1E4093B7"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(30)</w:t>
            </w:r>
          </w:p>
        </w:tc>
        <w:tc>
          <w:tcPr>
            <w:tcW w:w="236" w:type="dxa"/>
            <w:vAlign w:val="center"/>
            <w:hideMark/>
          </w:tcPr>
          <w:p w14:paraId="2E6F9D70"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49279C71" w14:textId="77777777" w:rsidTr="00D35A38">
        <w:trPr>
          <w:trHeight w:val="255"/>
        </w:trPr>
        <w:tc>
          <w:tcPr>
            <w:tcW w:w="2500" w:type="dxa"/>
            <w:tcBorders>
              <w:top w:val="nil"/>
              <w:left w:val="nil"/>
              <w:bottom w:val="nil"/>
              <w:right w:val="nil"/>
            </w:tcBorders>
            <w:shd w:val="clear" w:color="auto" w:fill="auto"/>
            <w:noWrap/>
            <w:vAlign w:val="bottom"/>
            <w:hideMark/>
          </w:tcPr>
          <w:p w14:paraId="56577B6F"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Disposal of business</w:t>
            </w:r>
          </w:p>
        </w:tc>
        <w:tc>
          <w:tcPr>
            <w:tcW w:w="1044" w:type="dxa"/>
            <w:tcBorders>
              <w:top w:val="nil"/>
              <w:left w:val="nil"/>
              <w:bottom w:val="nil"/>
              <w:right w:val="nil"/>
            </w:tcBorders>
            <w:shd w:val="clear" w:color="auto" w:fill="auto"/>
            <w:noWrap/>
            <w:vAlign w:val="bottom"/>
            <w:hideMark/>
          </w:tcPr>
          <w:p w14:paraId="75274336"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1559" w:type="dxa"/>
            <w:tcBorders>
              <w:top w:val="nil"/>
              <w:left w:val="nil"/>
              <w:bottom w:val="nil"/>
              <w:right w:val="nil"/>
            </w:tcBorders>
            <w:shd w:val="clear" w:color="auto" w:fill="auto"/>
            <w:noWrap/>
            <w:vAlign w:val="bottom"/>
            <w:hideMark/>
          </w:tcPr>
          <w:p w14:paraId="7E4A726A"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091439D5"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67FB5474"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 </w:t>
            </w:r>
          </w:p>
        </w:tc>
        <w:tc>
          <w:tcPr>
            <w:tcW w:w="1701" w:type="dxa"/>
            <w:tcBorders>
              <w:top w:val="nil"/>
              <w:left w:val="nil"/>
              <w:bottom w:val="nil"/>
              <w:right w:val="nil"/>
            </w:tcBorders>
            <w:shd w:val="clear" w:color="000000" w:fill="FFFFFF"/>
            <w:noWrap/>
            <w:vAlign w:val="bottom"/>
            <w:hideMark/>
          </w:tcPr>
          <w:p w14:paraId="2FE3C932"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6 </w:t>
            </w:r>
          </w:p>
        </w:tc>
        <w:tc>
          <w:tcPr>
            <w:tcW w:w="1559" w:type="dxa"/>
            <w:tcBorders>
              <w:top w:val="nil"/>
              <w:left w:val="nil"/>
              <w:bottom w:val="nil"/>
              <w:right w:val="nil"/>
            </w:tcBorders>
            <w:shd w:val="clear" w:color="000000" w:fill="FFFFFF"/>
            <w:noWrap/>
            <w:vAlign w:val="bottom"/>
            <w:hideMark/>
          </w:tcPr>
          <w:p w14:paraId="50AA61F3"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22 </w:t>
            </w:r>
          </w:p>
        </w:tc>
        <w:tc>
          <w:tcPr>
            <w:tcW w:w="236" w:type="dxa"/>
            <w:vAlign w:val="center"/>
            <w:hideMark/>
          </w:tcPr>
          <w:p w14:paraId="337C7880"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33A055A7" w14:textId="77777777" w:rsidTr="00D35A38">
        <w:trPr>
          <w:trHeight w:val="255"/>
        </w:trPr>
        <w:tc>
          <w:tcPr>
            <w:tcW w:w="3544" w:type="dxa"/>
            <w:gridSpan w:val="2"/>
            <w:tcBorders>
              <w:top w:val="nil"/>
              <w:left w:val="nil"/>
              <w:bottom w:val="nil"/>
              <w:right w:val="nil"/>
            </w:tcBorders>
            <w:shd w:val="clear" w:color="auto" w:fill="auto"/>
            <w:noWrap/>
            <w:vAlign w:val="bottom"/>
            <w:hideMark/>
          </w:tcPr>
          <w:p w14:paraId="0FA98201"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Payments to funds for pre-paid funeral plans</w:t>
            </w:r>
          </w:p>
        </w:tc>
        <w:tc>
          <w:tcPr>
            <w:tcW w:w="1559" w:type="dxa"/>
            <w:tcBorders>
              <w:top w:val="nil"/>
              <w:left w:val="nil"/>
              <w:bottom w:val="nil"/>
              <w:right w:val="nil"/>
            </w:tcBorders>
            <w:shd w:val="clear" w:color="auto" w:fill="auto"/>
            <w:noWrap/>
            <w:vAlign w:val="bottom"/>
            <w:hideMark/>
          </w:tcPr>
          <w:p w14:paraId="74ED29DD"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608" w:type="dxa"/>
            <w:tcBorders>
              <w:top w:val="nil"/>
              <w:left w:val="nil"/>
              <w:bottom w:val="nil"/>
              <w:right w:val="nil"/>
            </w:tcBorders>
            <w:shd w:val="clear" w:color="auto" w:fill="auto"/>
            <w:noWrap/>
            <w:vAlign w:val="bottom"/>
            <w:hideMark/>
          </w:tcPr>
          <w:p w14:paraId="496C0AC1"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50E57789"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(36)</w:t>
            </w:r>
          </w:p>
        </w:tc>
        <w:tc>
          <w:tcPr>
            <w:tcW w:w="1701" w:type="dxa"/>
            <w:tcBorders>
              <w:top w:val="nil"/>
              <w:left w:val="nil"/>
              <w:bottom w:val="nil"/>
              <w:right w:val="nil"/>
            </w:tcBorders>
            <w:shd w:val="clear" w:color="000000" w:fill="FFFFFF"/>
            <w:noWrap/>
            <w:vAlign w:val="bottom"/>
            <w:hideMark/>
          </w:tcPr>
          <w:p w14:paraId="0E27B26B"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(42)</w:t>
            </w:r>
          </w:p>
        </w:tc>
        <w:tc>
          <w:tcPr>
            <w:tcW w:w="1559" w:type="dxa"/>
            <w:tcBorders>
              <w:top w:val="nil"/>
              <w:left w:val="nil"/>
              <w:bottom w:val="nil"/>
              <w:right w:val="nil"/>
            </w:tcBorders>
            <w:shd w:val="clear" w:color="000000" w:fill="FFFFFF"/>
            <w:noWrap/>
            <w:vAlign w:val="bottom"/>
            <w:hideMark/>
          </w:tcPr>
          <w:p w14:paraId="23F458B6"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(93)</w:t>
            </w:r>
          </w:p>
        </w:tc>
        <w:tc>
          <w:tcPr>
            <w:tcW w:w="236" w:type="dxa"/>
            <w:vAlign w:val="center"/>
            <w:hideMark/>
          </w:tcPr>
          <w:p w14:paraId="6FFC0D8A"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42206" w:rsidRPr="00D336A4" w14:paraId="13661E1A" w14:textId="77777777" w:rsidTr="00D35A38">
        <w:trPr>
          <w:trHeight w:val="255"/>
        </w:trPr>
        <w:tc>
          <w:tcPr>
            <w:tcW w:w="5711" w:type="dxa"/>
            <w:gridSpan w:val="4"/>
            <w:tcBorders>
              <w:top w:val="nil"/>
              <w:left w:val="nil"/>
              <w:bottom w:val="single" w:sz="4" w:space="0" w:color="BFBFBF"/>
              <w:right w:val="nil"/>
            </w:tcBorders>
            <w:shd w:val="clear" w:color="auto" w:fill="auto"/>
            <w:noWrap/>
            <w:vAlign w:val="bottom"/>
            <w:hideMark/>
          </w:tcPr>
          <w:p w14:paraId="2902BE83"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Receipts from funds for pre-paid funeral plans performed and cancelled</w:t>
            </w:r>
          </w:p>
        </w:tc>
        <w:tc>
          <w:tcPr>
            <w:tcW w:w="1560" w:type="dxa"/>
            <w:tcBorders>
              <w:top w:val="nil"/>
              <w:left w:val="nil"/>
              <w:bottom w:val="single" w:sz="4" w:space="0" w:color="BFBFBF"/>
              <w:right w:val="nil"/>
            </w:tcBorders>
            <w:shd w:val="clear" w:color="auto" w:fill="CCECFF"/>
            <w:noWrap/>
            <w:vAlign w:val="bottom"/>
            <w:hideMark/>
          </w:tcPr>
          <w:p w14:paraId="69536F12"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57 </w:t>
            </w:r>
          </w:p>
        </w:tc>
        <w:tc>
          <w:tcPr>
            <w:tcW w:w="1701" w:type="dxa"/>
            <w:tcBorders>
              <w:top w:val="nil"/>
              <w:left w:val="nil"/>
              <w:bottom w:val="single" w:sz="4" w:space="0" w:color="BFBFBF"/>
              <w:right w:val="nil"/>
            </w:tcBorders>
            <w:shd w:val="clear" w:color="000000" w:fill="FFFFFF"/>
            <w:noWrap/>
            <w:vAlign w:val="bottom"/>
            <w:hideMark/>
          </w:tcPr>
          <w:p w14:paraId="40D8EA51"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54 </w:t>
            </w:r>
          </w:p>
        </w:tc>
        <w:tc>
          <w:tcPr>
            <w:tcW w:w="1559" w:type="dxa"/>
            <w:tcBorders>
              <w:top w:val="nil"/>
              <w:left w:val="nil"/>
              <w:bottom w:val="single" w:sz="4" w:space="0" w:color="BFBFBF"/>
              <w:right w:val="nil"/>
            </w:tcBorders>
            <w:shd w:val="clear" w:color="000000" w:fill="FFFFFF"/>
            <w:noWrap/>
            <w:vAlign w:val="bottom"/>
            <w:hideMark/>
          </w:tcPr>
          <w:p w14:paraId="5CA20B07"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105 </w:t>
            </w:r>
          </w:p>
        </w:tc>
        <w:tc>
          <w:tcPr>
            <w:tcW w:w="236" w:type="dxa"/>
            <w:vAlign w:val="center"/>
            <w:hideMark/>
          </w:tcPr>
          <w:p w14:paraId="4F8DF112"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57401FB1" w14:textId="77777777" w:rsidTr="00D35A38">
        <w:trPr>
          <w:trHeight w:val="255"/>
        </w:trPr>
        <w:tc>
          <w:tcPr>
            <w:tcW w:w="3544" w:type="dxa"/>
            <w:gridSpan w:val="2"/>
            <w:tcBorders>
              <w:top w:val="single" w:sz="4" w:space="0" w:color="BFBFBF"/>
              <w:left w:val="nil"/>
              <w:bottom w:val="single" w:sz="4" w:space="0" w:color="BFBFBF"/>
              <w:right w:val="nil"/>
            </w:tcBorders>
            <w:shd w:val="clear" w:color="auto" w:fill="auto"/>
            <w:noWrap/>
            <w:vAlign w:val="bottom"/>
            <w:hideMark/>
          </w:tcPr>
          <w:p w14:paraId="4F9D87C3"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Net cash used in investing activities</w:t>
            </w:r>
          </w:p>
        </w:tc>
        <w:tc>
          <w:tcPr>
            <w:tcW w:w="1559" w:type="dxa"/>
            <w:tcBorders>
              <w:top w:val="nil"/>
              <w:left w:val="nil"/>
              <w:bottom w:val="single" w:sz="4" w:space="0" w:color="BFBFBF"/>
              <w:right w:val="nil"/>
            </w:tcBorders>
            <w:shd w:val="clear" w:color="auto" w:fill="auto"/>
            <w:noWrap/>
            <w:vAlign w:val="bottom"/>
            <w:hideMark/>
          </w:tcPr>
          <w:p w14:paraId="696E2625"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w:t>
            </w:r>
          </w:p>
        </w:tc>
        <w:tc>
          <w:tcPr>
            <w:tcW w:w="608" w:type="dxa"/>
            <w:tcBorders>
              <w:top w:val="nil"/>
              <w:left w:val="nil"/>
              <w:bottom w:val="single" w:sz="4" w:space="0" w:color="BFBFBF"/>
              <w:right w:val="nil"/>
            </w:tcBorders>
            <w:shd w:val="clear" w:color="auto" w:fill="auto"/>
            <w:vAlign w:val="bottom"/>
            <w:hideMark/>
          </w:tcPr>
          <w:p w14:paraId="41BA3F45"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w:t>
            </w:r>
          </w:p>
        </w:tc>
        <w:tc>
          <w:tcPr>
            <w:tcW w:w="1560" w:type="dxa"/>
            <w:tcBorders>
              <w:top w:val="nil"/>
              <w:left w:val="nil"/>
              <w:bottom w:val="single" w:sz="4" w:space="0" w:color="BFBFBF"/>
              <w:right w:val="nil"/>
            </w:tcBorders>
            <w:shd w:val="clear" w:color="auto" w:fill="CCECFF"/>
            <w:noWrap/>
            <w:vAlign w:val="bottom"/>
            <w:hideMark/>
          </w:tcPr>
          <w:p w14:paraId="211A0E23"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(31)</w:t>
            </w:r>
          </w:p>
        </w:tc>
        <w:tc>
          <w:tcPr>
            <w:tcW w:w="1701" w:type="dxa"/>
            <w:tcBorders>
              <w:top w:val="nil"/>
              <w:left w:val="nil"/>
              <w:bottom w:val="single" w:sz="4" w:space="0" w:color="BFBFBF"/>
              <w:right w:val="nil"/>
            </w:tcBorders>
            <w:shd w:val="clear" w:color="000000" w:fill="FFFFFF"/>
            <w:noWrap/>
            <w:vAlign w:val="bottom"/>
            <w:hideMark/>
          </w:tcPr>
          <w:p w14:paraId="7F9D26E8"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(150)</w:t>
            </w:r>
          </w:p>
        </w:tc>
        <w:tc>
          <w:tcPr>
            <w:tcW w:w="1559" w:type="dxa"/>
            <w:tcBorders>
              <w:top w:val="nil"/>
              <w:left w:val="nil"/>
              <w:bottom w:val="single" w:sz="4" w:space="0" w:color="BFBFBF"/>
              <w:right w:val="nil"/>
            </w:tcBorders>
            <w:shd w:val="clear" w:color="000000" w:fill="FFFFFF"/>
            <w:noWrap/>
            <w:vAlign w:val="bottom"/>
            <w:hideMark/>
          </w:tcPr>
          <w:p w14:paraId="4AEA9C73"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(241)</w:t>
            </w:r>
          </w:p>
        </w:tc>
        <w:tc>
          <w:tcPr>
            <w:tcW w:w="236" w:type="dxa"/>
            <w:vAlign w:val="center"/>
            <w:hideMark/>
          </w:tcPr>
          <w:p w14:paraId="2580BF85"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297B9B47" w14:textId="77777777" w:rsidTr="00D35A38">
        <w:trPr>
          <w:trHeight w:val="255"/>
        </w:trPr>
        <w:tc>
          <w:tcPr>
            <w:tcW w:w="3544" w:type="dxa"/>
            <w:gridSpan w:val="2"/>
            <w:tcBorders>
              <w:top w:val="nil"/>
              <w:left w:val="nil"/>
              <w:bottom w:val="nil"/>
              <w:right w:val="nil"/>
            </w:tcBorders>
            <w:shd w:val="clear" w:color="auto" w:fill="auto"/>
            <w:noWrap/>
            <w:vAlign w:val="bottom"/>
            <w:hideMark/>
          </w:tcPr>
          <w:p w14:paraId="520CA2FD"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Cash flows from financing activities</w:t>
            </w:r>
          </w:p>
        </w:tc>
        <w:tc>
          <w:tcPr>
            <w:tcW w:w="1559" w:type="dxa"/>
            <w:tcBorders>
              <w:top w:val="nil"/>
              <w:left w:val="nil"/>
              <w:bottom w:val="nil"/>
              <w:right w:val="nil"/>
            </w:tcBorders>
            <w:shd w:val="clear" w:color="auto" w:fill="auto"/>
            <w:noWrap/>
            <w:vAlign w:val="bottom"/>
            <w:hideMark/>
          </w:tcPr>
          <w:p w14:paraId="49D5AE02" w14:textId="77777777" w:rsidR="00D336A4" w:rsidRPr="00D336A4" w:rsidRDefault="00D336A4" w:rsidP="00D336A4">
            <w:pPr>
              <w:spacing w:after="0" w:line="240" w:lineRule="auto"/>
              <w:rPr>
                <w:rFonts w:ascii="Arial" w:eastAsia="Times New Roman" w:hAnsi="Arial" w:cs="Arial"/>
                <w:b/>
                <w:bCs/>
                <w:sz w:val="15"/>
                <w:szCs w:val="15"/>
                <w:lang w:eastAsia="en-GB"/>
              </w:rPr>
            </w:pPr>
          </w:p>
        </w:tc>
        <w:tc>
          <w:tcPr>
            <w:tcW w:w="608" w:type="dxa"/>
            <w:tcBorders>
              <w:top w:val="nil"/>
              <w:left w:val="nil"/>
              <w:bottom w:val="nil"/>
              <w:right w:val="nil"/>
            </w:tcBorders>
            <w:shd w:val="clear" w:color="auto" w:fill="auto"/>
            <w:noWrap/>
            <w:vAlign w:val="bottom"/>
            <w:hideMark/>
          </w:tcPr>
          <w:p w14:paraId="2581645C"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6FF3EAE5"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w:t>
            </w:r>
          </w:p>
        </w:tc>
        <w:tc>
          <w:tcPr>
            <w:tcW w:w="1701" w:type="dxa"/>
            <w:tcBorders>
              <w:top w:val="nil"/>
              <w:left w:val="nil"/>
              <w:bottom w:val="nil"/>
              <w:right w:val="nil"/>
            </w:tcBorders>
            <w:shd w:val="clear" w:color="000000" w:fill="FFFFFF"/>
            <w:noWrap/>
            <w:vAlign w:val="bottom"/>
            <w:hideMark/>
          </w:tcPr>
          <w:p w14:paraId="7B874C59"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59" w:type="dxa"/>
            <w:tcBorders>
              <w:top w:val="nil"/>
              <w:left w:val="nil"/>
              <w:bottom w:val="nil"/>
              <w:right w:val="nil"/>
            </w:tcBorders>
            <w:shd w:val="clear" w:color="000000" w:fill="FFFFFF"/>
            <w:noWrap/>
            <w:vAlign w:val="bottom"/>
            <w:hideMark/>
          </w:tcPr>
          <w:p w14:paraId="1088E799"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236" w:type="dxa"/>
            <w:vAlign w:val="center"/>
            <w:hideMark/>
          </w:tcPr>
          <w:p w14:paraId="6F299665"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6835F4D6" w14:textId="77777777" w:rsidTr="00D35A38">
        <w:trPr>
          <w:trHeight w:val="255"/>
        </w:trPr>
        <w:tc>
          <w:tcPr>
            <w:tcW w:w="2500" w:type="dxa"/>
            <w:tcBorders>
              <w:top w:val="nil"/>
              <w:left w:val="nil"/>
              <w:bottom w:val="nil"/>
              <w:right w:val="nil"/>
            </w:tcBorders>
            <w:shd w:val="clear" w:color="auto" w:fill="auto"/>
            <w:noWrap/>
            <w:vAlign w:val="bottom"/>
            <w:hideMark/>
          </w:tcPr>
          <w:p w14:paraId="0600AC91"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Interest paid on borrowings</w:t>
            </w:r>
          </w:p>
        </w:tc>
        <w:tc>
          <w:tcPr>
            <w:tcW w:w="1044" w:type="dxa"/>
            <w:tcBorders>
              <w:top w:val="nil"/>
              <w:left w:val="nil"/>
              <w:bottom w:val="nil"/>
              <w:right w:val="nil"/>
            </w:tcBorders>
            <w:shd w:val="clear" w:color="auto" w:fill="auto"/>
            <w:noWrap/>
            <w:vAlign w:val="bottom"/>
            <w:hideMark/>
          </w:tcPr>
          <w:p w14:paraId="62E8EBE0"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1559" w:type="dxa"/>
            <w:tcBorders>
              <w:top w:val="nil"/>
              <w:left w:val="nil"/>
              <w:bottom w:val="nil"/>
              <w:right w:val="nil"/>
            </w:tcBorders>
            <w:shd w:val="clear" w:color="auto" w:fill="auto"/>
            <w:noWrap/>
            <w:vAlign w:val="bottom"/>
            <w:hideMark/>
          </w:tcPr>
          <w:p w14:paraId="1CADC8DE"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51FFB3FB"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59A87B06"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(10)</w:t>
            </w:r>
          </w:p>
        </w:tc>
        <w:tc>
          <w:tcPr>
            <w:tcW w:w="1701" w:type="dxa"/>
            <w:tcBorders>
              <w:top w:val="nil"/>
              <w:left w:val="nil"/>
              <w:bottom w:val="nil"/>
              <w:right w:val="nil"/>
            </w:tcBorders>
            <w:shd w:val="clear" w:color="000000" w:fill="FFFFFF"/>
            <w:noWrap/>
            <w:vAlign w:val="bottom"/>
            <w:hideMark/>
          </w:tcPr>
          <w:p w14:paraId="2F848307"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(10)</w:t>
            </w:r>
          </w:p>
        </w:tc>
        <w:tc>
          <w:tcPr>
            <w:tcW w:w="1559" w:type="dxa"/>
            <w:tcBorders>
              <w:top w:val="nil"/>
              <w:left w:val="nil"/>
              <w:bottom w:val="nil"/>
              <w:right w:val="nil"/>
            </w:tcBorders>
            <w:shd w:val="clear" w:color="000000" w:fill="FFFFFF"/>
            <w:noWrap/>
            <w:vAlign w:val="bottom"/>
            <w:hideMark/>
          </w:tcPr>
          <w:p w14:paraId="09A361F6"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(57)</w:t>
            </w:r>
          </w:p>
        </w:tc>
        <w:tc>
          <w:tcPr>
            <w:tcW w:w="236" w:type="dxa"/>
            <w:vAlign w:val="center"/>
            <w:hideMark/>
          </w:tcPr>
          <w:p w14:paraId="5BF1D99B"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3F07168D" w14:textId="77777777" w:rsidTr="00D35A38">
        <w:trPr>
          <w:trHeight w:val="255"/>
        </w:trPr>
        <w:tc>
          <w:tcPr>
            <w:tcW w:w="2500" w:type="dxa"/>
            <w:tcBorders>
              <w:top w:val="nil"/>
              <w:left w:val="nil"/>
              <w:bottom w:val="nil"/>
              <w:right w:val="nil"/>
            </w:tcBorders>
            <w:shd w:val="clear" w:color="auto" w:fill="auto"/>
            <w:noWrap/>
            <w:vAlign w:val="bottom"/>
            <w:hideMark/>
          </w:tcPr>
          <w:p w14:paraId="78FE944C"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Interest paid on lease liabilities </w:t>
            </w:r>
          </w:p>
        </w:tc>
        <w:tc>
          <w:tcPr>
            <w:tcW w:w="1044" w:type="dxa"/>
            <w:tcBorders>
              <w:top w:val="nil"/>
              <w:left w:val="nil"/>
              <w:bottom w:val="nil"/>
              <w:right w:val="nil"/>
            </w:tcBorders>
            <w:shd w:val="clear" w:color="auto" w:fill="auto"/>
            <w:noWrap/>
            <w:vAlign w:val="bottom"/>
            <w:hideMark/>
          </w:tcPr>
          <w:p w14:paraId="598C30A7"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1559" w:type="dxa"/>
            <w:tcBorders>
              <w:top w:val="nil"/>
              <w:left w:val="nil"/>
              <w:bottom w:val="nil"/>
              <w:right w:val="nil"/>
            </w:tcBorders>
            <w:shd w:val="clear" w:color="auto" w:fill="auto"/>
            <w:noWrap/>
            <w:vAlign w:val="bottom"/>
            <w:hideMark/>
          </w:tcPr>
          <w:p w14:paraId="7233590C"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36EC0E28"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18E7E47C"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(39)</w:t>
            </w:r>
          </w:p>
        </w:tc>
        <w:tc>
          <w:tcPr>
            <w:tcW w:w="1701" w:type="dxa"/>
            <w:tcBorders>
              <w:top w:val="nil"/>
              <w:left w:val="nil"/>
              <w:bottom w:val="nil"/>
              <w:right w:val="nil"/>
            </w:tcBorders>
            <w:shd w:val="clear" w:color="000000" w:fill="FFFFFF"/>
            <w:noWrap/>
            <w:vAlign w:val="bottom"/>
            <w:hideMark/>
          </w:tcPr>
          <w:p w14:paraId="13351542"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(39)</w:t>
            </w:r>
          </w:p>
        </w:tc>
        <w:tc>
          <w:tcPr>
            <w:tcW w:w="1559" w:type="dxa"/>
            <w:tcBorders>
              <w:top w:val="nil"/>
              <w:left w:val="nil"/>
              <w:bottom w:val="nil"/>
              <w:right w:val="nil"/>
            </w:tcBorders>
            <w:shd w:val="clear" w:color="000000" w:fill="FFFFFF"/>
            <w:noWrap/>
            <w:vAlign w:val="bottom"/>
            <w:hideMark/>
          </w:tcPr>
          <w:p w14:paraId="767D3EE5"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(79)</w:t>
            </w:r>
          </w:p>
        </w:tc>
        <w:tc>
          <w:tcPr>
            <w:tcW w:w="236" w:type="dxa"/>
            <w:vAlign w:val="center"/>
            <w:hideMark/>
          </w:tcPr>
          <w:p w14:paraId="3DE2C0B1"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6EB574F1" w14:textId="77777777" w:rsidTr="00D35A38">
        <w:trPr>
          <w:trHeight w:val="255"/>
        </w:trPr>
        <w:tc>
          <w:tcPr>
            <w:tcW w:w="3544" w:type="dxa"/>
            <w:gridSpan w:val="2"/>
            <w:tcBorders>
              <w:top w:val="nil"/>
              <w:left w:val="nil"/>
              <w:bottom w:val="nil"/>
              <w:right w:val="nil"/>
            </w:tcBorders>
            <w:shd w:val="clear" w:color="auto" w:fill="auto"/>
            <w:noWrap/>
            <w:vAlign w:val="bottom"/>
            <w:hideMark/>
          </w:tcPr>
          <w:p w14:paraId="0DF8E74F"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lastRenderedPageBreak/>
              <w:t>Payments and interest received on subleases</w:t>
            </w:r>
          </w:p>
        </w:tc>
        <w:tc>
          <w:tcPr>
            <w:tcW w:w="1559" w:type="dxa"/>
            <w:tcBorders>
              <w:top w:val="nil"/>
              <w:left w:val="nil"/>
              <w:bottom w:val="nil"/>
              <w:right w:val="nil"/>
            </w:tcBorders>
            <w:shd w:val="clear" w:color="auto" w:fill="auto"/>
            <w:noWrap/>
            <w:vAlign w:val="bottom"/>
            <w:hideMark/>
          </w:tcPr>
          <w:p w14:paraId="20CE6B23"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608" w:type="dxa"/>
            <w:tcBorders>
              <w:top w:val="nil"/>
              <w:left w:val="nil"/>
              <w:bottom w:val="nil"/>
              <w:right w:val="nil"/>
            </w:tcBorders>
            <w:shd w:val="clear" w:color="auto" w:fill="auto"/>
            <w:noWrap/>
            <w:vAlign w:val="bottom"/>
            <w:hideMark/>
          </w:tcPr>
          <w:p w14:paraId="29F0E25A"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192858DC"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1 </w:t>
            </w:r>
          </w:p>
        </w:tc>
        <w:tc>
          <w:tcPr>
            <w:tcW w:w="1701" w:type="dxa"/>
            <w:tcBorders>
              <w:top w:val="nil"/>
              <w:left w:val="nil"/>
              <w:bottom w:val="nil"/>
              <w:right w:val="nil"/>
            </w:tcBorders>
            <w:shd w:val="clear" w:color="000000" w:fill="FFFFFF"/>
            <w:noWrap/>
            <w:vAlign w:val="bottom"/>
            <w:hideMark/>
          </w:tcPr>
          <w:p w14:paraId="3BE5B24F"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5 </w:t>
            </w:r>
          </w:p>
        </w:tc>
        <w:tc>
          <w:tcPr>
            <w:tcW w:w="1559" w:type="dxa"/>
            <w:tcBorders>
              <w:top w:val="nil"/>
              <w:left w:val="nil"/>
              <w:bottom w:val="nil"/>
              <w:right w:val="nil"/>
            </w:tcBorders>
            <w:shd w:val="clear" w:color="000000" w:fill="FFFFFF"/>
            <w:noWrap/>
            <w:vAlign w:val="bottom"/>
            <w:hideMark/>
          </w:tcPr>
          <w:p w14:paraId="75F657FD"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3 </w:t>
            </w:r>
          </w:p>
        </w:tc>
        <w:tc>
          <w:tcPr>
            <w:tcW w:w="236" w:type="dxa"/>
            <w:vAlign w:val="center"/>
            <w:hideMark/>
          </w:tcPr>
          <w:p w14:paraId="069A7635"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4E7A4199" w14:textId="77777777" w:rsidTr="00D35A38">
        <w:trPr>
          <w:trHeight w:val="255"/>
        </w:trPr>
        <w:tc>
          <w:tcPr>
            <w:tcW w:w="5103" w:type="dxa"/>
            <w:gridSpan w:val="3"/>
            <w:tcBorders>
              <w:top w:val="nil"/>
              <w:left w:val="nil"/>
              <w:bottom w:val="nil"/>
              <w:right w:val="nil"/>
            </w:tcBorders>
            <w:shd w:val="clear" w:color="auto" w:fill="auto"/>
            <w:noWrap/>
            <w:vAlign w:val="bottom"/>
            <w:hideMark/>
          </w:tcPr>
          <w:p w14:paraId="42542967"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Settlement of Group Relief Creditor owed to The Co-operative Bank Plc</w:t>
            </w:r>
          </w:p>
        </w:tc>
        <w:tc>
          <w:tcPr>
            <w:tcW w:w="608" w:type="dxa"/>
            <w:tcBorders>
              <w:top w:val="nil"/>
              <w:left w:val="nil"/>
              <w:bottom w:val="nil"/>
              <w:right w:val="nil"/>
            </w:tcBorders>
            <w:shd w:val="clear" w:color="auto" w:fill="auto"/>
            <w:noWrap/>
            <w:vAlign w:val="bottom"/>
            <w:hideMark/>
          </w:tcPr>
          <w:p w14:paraId="31C524F8"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1560" w:type="dxa"/>
            <w:tcBorders>
              <w:top w:val="nil"/>
              <w:left w:val="nil"/>
              <w:bottom w:val="nil"/>
              <w:right w:val="nil"/>
            </w:tcBorders>
            <w:shd w:val="clear" w:color="auto" w:fill="CCECFF"/>
            <w:noWrap/>
            <w:vAlign w:val="bottom"/>
            <w:hideMark/>
          </w:tcPr>
          <w:p w14:paraId="7327FBAF"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 </w:t>
            </w:r>
          </w:p>
        </w:tc>
        <w:tc>
          <w:tcPr>
            <w:tcW w:w="1701" w:type="dxa"/>
            <w:tcBorders>
              <w:top w:val="nil"/>
              <w:left w:val="nil"/>
              <w:bottom w:val="nil"/>
              <w:right w:val="nil"/>
            </w:tcBorders>
            <w:shd w:val="clear" w:color="000000" w:fill="FFFFFF"/>
            <w:noWrap/>
            <w:vAlign w:val="bottom"/>
            <w:hideMark/>
          </w:tcPr>
          <w:p w14:paraId="5FEF4E40"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(48)</w:t>
            </w:r>
          </w:p>
        </w:tc>
        <w:tc>
          <w:tcPr>
            <w:tcW w:w="1559" w:type="dxa"/>
            <w:tcBorders>
              <w:top w:val="nil"/>
              <w:left w:val="nil"/>
              <w:bottom w:val="nil"/>
              <w:right w:val="nil"/>
            </w:tcBorders>
            <w:shd w:val="clear" w:color="000000" w:fill="FFFFFF"/>
            <w:noWrap/>
            <w:vAlign w:val="bottom"/>
            <w:hideMark/>
          </w:tcPr>
          <w:p w14:paraId="7A99D9D1"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(48)</w:t>
            </w:r>
          </w:p>
        </w:tc>
        <w:tc>
          <w:tcPr>
            <w:tcW w:w="236" w:type="dxa"/>
            <w:vAlign w:val="center"/>
            <w:hideMark/>
          </w:tcPr>
          <w:p w14:paraId="7B462EB1"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57932078" w14:textId="77777777" w:rsidTr="00D35A38">
        <w:trPr>
          <w:trHeight w:val="255"/>
        </w:trPr>
        <w:tc>
          <w:tcPr>
            <w:tcW w:w="3544" w:type="dxa"/>
            <w:gridSpan w:val="2"/>
            <w:tcBorders>
              <w:top w:val="nil"/>
              <w:left w:val="nil"/>
              <w:bottom w:val="nil"/>
              <w:right w:val="nil"/>
            </w:tcBorders>
            <w:shd w:val="clear" w:color="auto" w:fill="auto"/>
            <w:noWrap/>
            <w:vAlign w:val="bottom"/>
            <w:hideMark/>
          </w:tcPr>
          <w:p w14:paraId="433369D1"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(Repayment) / issue of corporate investor shares</w:t>
            </w:r>
          </w:p>
        </w:tc>
        <w:tc>
          <w:tcPr>
            <w:tcW w:w="1559" w:type="dxa"/>
            <w:tcBorders>
              <w:top w:val="nil"/>
              <w:left w:val="nil"/>
              <w:bottom w:val="nil"/>
              <w:right w:val="nil"/>
            </w:tcBorders>
            <w:shd w:val="clear" w:color="auto" w:fill="auto"/>
            <w:noWrap/>
            <w:vAlign w:val="bottom"/>
            <w:hideMark/>
          </w:tcPr>
          <w:p w14:paraId="266F4B99"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608" w:type="dxa"/>
            <w:tcBorders>
              <w:top w:val="nil"/>
              <w:left w:val="nil"/>
              <w:bottom w:val="nil"/>
              <w:right w:val="nil"/>
            </w:tcBorders>
            <w:shd w:val="clear" w:color="auto" w:fill="auto"/>
            <w:noWrap/>
            <w:vAlign w:val="bottom"/>
            <w:hideMark/>
          </w:tcPr>
          <w:p w14:paraId="16B3E9CD"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9</w:t>
            </w:r>
          </w:p>
        </w:tc>
        <w:tc>
          <w:tcPr>
            <w:tcW w:w="1560" w:type="dxa"/>
            <w:tcBorders>
              <w:top w:val="nil"/>
              <w:left w:val="nil"/>
              <w:bottom w:val="nil"/>
              <w:right w:val="nil"/>
            </w:tcBorders>
            <w:shd w:val="clear" w:color="auto" w:fill="CCECFF"/>
            <w:noWrap/>
            <w:vAlign w:val="bottom"/>
            <w:hideMark/>
          </w:tcPr>
          <w:p w14:paraId="0F1D2050"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(1)</w:t>
            </w:r>
          </w:p>
        </w:tc>
        <w:tc>
          <w:tcPr>
            <w:tcW w:w="1701" w:type="dxa"/>
            <w:tcBorders>
              <w:top w:val="nil"/>
              <w:left w:val="nil"/>
              <w:bottom w:val="nil"/>
              <w:right w:val="nil"/>
            </w:tcBorders>
            <w:shd w:val="clear" w:color="000000" w:fill="FFFFFF"/>
            <w:noWrap/>
            <w:vAlign w:val="bottom"/>
            <w:hideMark/>
          </w:tcPr>
          <w:p w14:paraId="6B6D516F"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6 </w:t>
            </w:r>
          </w:p>
        </w:tc>
        <w:tc>
          <w:tcPr>
            <w:tcW w:w="1559" w:type="dxa"/>
            <w:tcBorders>
              <w:top w:val="nil"/>
              <w:left w:val="nil"/>
              <w:bottom w:val="nil"/>
              <w:right w:val="nil"/>
            </w:tcBorders>
            <w:shd w:val="clear" w:color="000000" w:fill="FFFFFF"/>
            <w:noWrap/>
            <w:vAlign w:val="bottom"/>
            <w:hideMark/>
          </w:tcPr>
          <w:p w14:paraId="5BDA0E40"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1 </w:t>
            </w:r>
          </w:p>
        </w:tc>
        <w:tc>
          <w:tcPr>
            <w:tcW w:w="236" w:type="dxa"/>
            <w:vAlign w:val="center"/>
            <w:hideMark/>
          </w:tcPr>
          <w:p w14:paraId="5761A210"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0DBBB27C" w14:textId="77777777" w:rsidTr="00D35A38">
        <w:trPr>
          <w:trHeight w:val="255"/>
        </w:trPr>
        <w:tc>
          <w:tcPr>
            <w:tcW w:w="2500" w:type="dxa"/>
            <w:tcBorders>
              <w:top w:val="nil"/>
              <w:left w:val="nil"/>
              <w:bottom w:val="nil"/>
              <w:right w:val="nil"/>
            </w:tcBorders>
            <w:shd w:val="clear" w:color="auto" w:fill="auto"/>
            <w:noWrap/>
            <w:vAlign w:val="bottom"/>
            <w:hideMark/>
          </w:tcPr>
          <w:p w14:paraId="42518192"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Repayment of borrowings </w:t>
            </w:r>
          </w:p>
        </w:tc>
        <w:tc>
          <w:tcPr>
            <w:tcW w:w="1044" w:type="dxa"/>
            <w:tcBorders>
              <w:top w:val="nil"/>
              <w:left w:val="nil"/>
              <w:bottom w:val="nil"/>
              <w:right w:val="nil"/>
            </w:tcBorders>
            <w:shd w:val="clear" w:color="auto" w:fill="auto"/>
            <w:noWrap/>
            <w:vAlign w:val="bottom"/>
            <w:hideMark/>
          </w:tcPr>
          <w:p w14:paraId="4BE4A00B"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1559" w:type="dxa"/>
            <w:tcBorders>
              <w:top w:val="nil"/>
              <w:left w:val="nil"/>
              <w:bottom w:val="nil"/>
              <w:right w:val="nil"/>
            </w:tcBorders>
            <w:shd w:val="clear" w:color="auto" w:fill="auto"/>
            <w:noWrap/>
            <w:vAlign w:val="bottom"/>
            <w:hideMark/>
          </w:tcPr>
          <w:p w14:paraId="1CDCB651"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5A4AFF9D"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9</w:t>
            </w:r>
          </w:p>
        </w:tc>
        <w:tc>
          <w:tcPr>
            <w:tcW w:w="1560" w:type="dxa"/>
            <w:tcBorders>
              <w:top w:val="nil"/>
              <w:left w:val="nil"/>
              <w:bottom w:val="nil"/>
              <w:right w:val="nil"/>
            </w:tcBorders>
            <w:shd w:val="clear" w:color="auto" w:fill="CCECFF"/>
            <w:noWrap/>
            <w:vAlign w:val="bottom"/>
            <w:hideMark/>
          </w:tcPr>
          <w:p w14:paraId="0A3D211A"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 </w:t>
            </w:r>
          </w:p>
        </w:tc>
        <w:tc>
          <w:tcPr>
            <w:tcW w:w="1701" w:type="dxa"/>
            <w:tcBorders>
              <w:top w:val="nil"/>
              <w:left w:val="nil"/>
              <w:bottom w:val="nil"/>
              <w:right w:val="nil"/>
            </w:tcBorders>
            <w:shd w:val="clear" w:color="000000" w:fill="FFFFFF"/>
            <w:noWrap/>
            <w:vAlign w:val="bottom"/>
            <w:hideMark/>
          </w:tcPr>
          <w:p w14:paraId="662B879C"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 </w:t>
            </w:r>
          </w:p>
        </w:tc>
        <w:tc>
          <w:tcPr>
            <w:tcW w:w="1559" w:type="dxa"/>
            <w:tcBorders>
              <w:top w:val="nil"/>
              <w:left w:val="nil"/>
              <w:bottom w:val="nil"/>
              <w:right w:val="nil"/>
            </w:tcBorders>
            <w:shd w:val="clear" w:color="000000" w:fill="FFFFFF"/>
            <w:noWrap/>
            <w:vAlign w:val="bottom"/>
            <w:hideMark/>
          </w:tcPr>
          <w:p w14:paraId="2EFE491C"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(2)</w:t>
            </w:r>
          </w:p>
        </w:tc>
        <w:tc>
          <w:tcPr>
            <w:tcW w:w="236" w:type="dxa"/>
            <w:vAlign w:val="center"/>
            <w:hideMark/>
          </w:tcPr>
          <w:p w14:paraId="6C477E0D"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54C855CF" w14:textId="77777777" w:rsidTr="00D35A38">
        <w:trPr>
          <w:trHeight w:val="255"/>
        </w:trPr>
        <w:tc>
          <w:tcPr>
            <w:tcW w:w="2500" w:type="dxa"/>
            <w:tcBorders>
              <w:top w:val="nil"/>
              <w:left w:val="nil"/>
              <w:bottom w:val="nil"/>
              <w:right w:val="nil"/>
            </w:tcBorders>
            <w:shd w:val="clear" w:color="auto" w:fill="auto"/>
            <w:noWrap/>
            <w:vAlign w:val="bottom"/>
            <w:hideMark/>
          </w:tcPr>
          <w:p w14:paraId="74BAF8F7"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RCF (repayment) / drawdown</w:t>
            </w:r>
          </w:p>
        </w:tc>
        <w:tc>
          <w:tcPr>
            <w:tcW w:w="1044" w:type="dxa"/>
            <w:tcBorders>
              <w:top w:val="nil"/>
              <w:left w:val="nil"/>
              <w:bottom w:val="nil"/>
              <w:right w:val="nil"/>
            </w:tcBorders>
            <w:shd w:val="clear" w:color="auto" w:fill="auto"/>
            <w:noWrap/>
            <w:vAlign w:val="bottom"/>
            <w:hideMark/>
          </w:tcPr>
          <w:p w14:paraId="43EE053B"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1559" w:type="dxa"/>
            <w:tcBorders>
              <w:top w:val="nil"/>
              <w:left w:val="nil"/>
              <w:bottom w:val="nil"/>
              <w:right w:val="nil"/>
            </w:tcBorders>
            <w:shd w:val="clear" w:color="auto" w:fill="auto"/>
            <w:noWrap/>
            <w:vAlign w:val="bottom"/>
            <w:hideMark/>
          </w:tcPr>
          <w:p w14:paraId="1D4B78AF"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736199A7"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025091D5"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(123)</w:t>
            </w:r>
          </w:p>
        </w:tc>
        <w:tc>
          <w:tcPr>
            <w:tcW w:w="1701" w:type="dxa"/>
            <w:tcBorders>
              <w:top w:val="nil"/>
              <w:left w:val="nil"/>
              <w:bottom w:val="nil"/>
              <w:right w:val="nil"/>
            </w:tcBorders>
            <w:shd w:val="clear" w:color="000000" w:fill="FFFFFF"/>
            <w:noWrap/>
            <w:vAlign w:val="bottom"/>
            <w:hideMark/>
          </w:tcPr>
          <w:p w14:paraId="67F75D16"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 </w:t>
            </w:r>
          </w:p>
        </w:tc>
        <w:tc>
          <w:tcPr>
            <w:tcW w:w="1559" w:type="dxa"/>
            <w:tcBorders>
              <w:top w:val="nil"/>
              <w:left w:val="nil"/>
              <w:bottom w:val="nil"/>
              <w:right w:val="nil"/>
            </w:tcBorders>
            <w:shd w:val="clear" w:color="000000" w:fill="FFFFFF"/>
            <w:noWrap/>
            <w:vAlign w:val="bottom"/>
            <w:hideMark/>
          </w:tcPr>
          <w:p w14:paraId="17BB047E"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163 </w:t>
            </w:r>
          </w:p>
        </w:tc>
        <w:tc>
          <w:tcPr>
            <w:tcW w:w="236" w:type="dxa"/>
            <w:vAlign w:val="center"/>
            <w:hideMark/>
          </w:tcPr>
          <w:p w14:paraId="7CA804AD"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00C3D6B7" w14:textId="77777777" w:rsidTr="00D35A38">
        <w:trPr>
          <w:trHeight w:val="255"/>
        </w:trPr>
        <w:tc>
          <w:tcPr>
            <w:tcW w:w="2500" w:type="dxa"/>
            <w:tcBorders>
              <w:top w:val="nil"/>
              <w:left w:val="nil"/>
              <w:bottom w:val="nil"/>
              <w:right w:val="nil"/>
            </w:tcBorders>
            <w:shd w:val="clear" w:color="auto" w:fill="auto"/>
            <w:noWrap/>
            <w:vAlign w:val="bottom"/>
            <w:hideMark/>
          </w:tcPr>
          <w:p w14:paraId="2490D4DF"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Payment of lease liabilities </w:t>
            </w:r>
          </w:p>
        </w:tc>
        <w:tc>
          <w:tcPr>
            <w:tcW w:w="1044" w:type="dxa"/>
            <w:tcBorders>
              <w:top w:val="nil"/>
              <w:left w:val="nil"/>
              <w:bottom w:val="nil"/>
              <w:right w:val="nil"/>
            </w:tcBorders>
            <w:shd w:val="clear" w:color="auto" w:fill="auto"/>
            <w:noWrap/>
            <w:vAlign w:val="bottom"/>
            <w:hideMark/>
          </w:tcPr>
          <w:p w14:paraId="63432D5A"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1559" w:type="dxa"/>
            <w:tcBorders>
              <w:top w:val="nil"/>
              <w:left w:val="nil"/>
              <w:bottom w:val="nil"/>
              <w:right w:val="nil"/>
            </w:tcBorders>
            <w:shd w:val="clear" w:color="auto" w:fill="auto"/>
            <w:noWrap/>
            <w:vAlign w:val="bottom"/>
            <w:hideMark/>
          </w:tcPr>
          <w:p w14:paraId="232FB455"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7825E429"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60AEFD71"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(66)</w:t>
            </w:r>
          </w:p>
        </w:tc>
        <w:tc>
          <w:tcPr>
            <w:tcW w:w="1701" w:type="dxa"/>
            <w:tcBorders>
              <w:top w:val="nil"/>
              <w:left w:val="nil"/>
              <w:bottom w:val="nil"/>
              <w:right w:val="nil"/>
            </w:tcBorders>
            <w:shd w:val="clear" w:color="000000" w:fill="FFFFFF"/>
            <w:noWrap/>
            <w:vAlign w:val="bottom"/>
            <w:hideMark/>
          </w:tcPr>
          <w:p w14:paraId="343DBE54"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(65)</w:t>
            </w:r>
          </w:p>
        </w:tc>
        <w:tc>
          <w:tcPr>
            <w:tcW w:w="1559" w:type="dxa"/>
            <w:tcBorders>
              <w:top w:val="nil"/>
              <w:left w:val="nil"/>
              <w:bottom w:val="nil"/>
              <w:right w:val="nil"/>
            </w:tcBorders>
            <w:shd w:val="clear" w:color="000000" w:fill="FFFFFF"/>
            <w:noWrap/>
            <w:vAlign w:val="bottom"/>
            <w:hideMark/>
          </w:tcPr>
          <w:p w14:paraId="3FBB7408"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(134)</w:t>
            </w:r>
          </w:p>
        </w:tc>
        <w:tc>
          <w:tcPr>
            <w:tcW w:w="236" w:type="dxa"/>
            <w:vAlign w:val="center"/>
            <w:hideMark/>
          </w:tcPr>
          <w:p w14:paraId="155F36BE"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1D6FD23D" w14:textId="77777777" w:rsidTr="00D35A38">
        <w:trPr>
          <w:trHeight w:val="255"/>
        </w:trPr>
        <w:tc>
          <w:tcPr>
            <w:tcW w:w="2500" w:type="dxa"/>
            <w:tcBorders>
              <w:top w:val="nil"/>
              <w:left w:val="nil"/>
              <w:bottom w:val="single" w:sz="4" w:space="0" w:color="BFBFBF"/>
              <w:right w:val="nil"/>
            </w:tcBorders>
            <w:shd w:val="clear" w:color="auto" w:fill="auto"/>
            <w:noWrap/>
            <w:vAlign w:val="bottom"/>
            <w:hideMark/>
          </w:tcPr>
          <w:p w14:paraId="7410ED17"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Derivative settlements</w:t>
            </w:r>
          </w:p>
        </w:tc>
        <w:tc>
          <w:tcPr>
            <w:tcW w:w="1044" w:type="dxa"/>
            <w:tcBorders>
              <w:top w:val="nil"/>
              <w:left w:val="nil"/>
              <w:bottom w:val="single" w:sz="4" w:space="0" w:color="BFBFBF"/>
              <w:right w:val="nil"/>
            </w:tcBorders>
            <w:shd w:val="clear" w:color="auto" w:fill="auto"/>
            <w:noWrap/>
            <w:vAlign w:val="bottom"/>
            <w:hideMark/>
          </w:tcPr>
          <w:p w14:paraId="4864778E"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59" w:type="dxa"/>
            <w:tcBorders>
              <w:top w:val="nil"/>
              <w:left w:val="nil"/>
              <w:bottom w:val="single" w:sz="4" w:space="0" w:color="BFBFBF"/>
              <w:right w:val="nil"/>
            </w:tcBorders>
            <w:shd w:val="clear" w:color="auto" w:fill="auto"/>
            <w:noWrap/>
            <w:vAlign w:val="bottom"/>
            <w:hideMark/>
          </w:tcPr>
          <w:p w14:paraId="514B4CB0"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608" w:type="dxa"/>
            <w:tcBorders>
              <w:top w:val="nil"/>
              <w:left w:val="nil"/>
              <w:bottom w:val="single" w:sz="4" w:space="0" w:color="BFBFBF"/>
              <w:right w:val="nil"/>
            </w:tcBorders>
            <w:shd w:val="clear" w:color="auto" w:fill="auto"/>
            <w:noWrap/>
            <w:vAlign w:val="bottom"/>
            <w:hideMark/>
          </w:tcPr>
          <w:p w14:paraId="50C9EE6D"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60" w:type="dxa"/>
            <w:tcBorders>
              <w:top w:val="nil"/>
              <w:left w:val="nil"/>
              <w:bottom w:val="single" w:sz="4" w:space="0" w:color="BFBFBF"/>
              <w:right w:val="nil"/>
            </w:tcBorders>
            <w:shd w:val="clear" w:color="auto" w:fill="CCECFF"/>
            <w:noWrap/>
            <w:vAlign w:val="bottom"/>
            <w:hideMark/>
          </w:tcPr>
          <w:p w14:paraId="6DCCBA6A"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6 </w:t>
            </w:r>
          </w:p>
        </w:tc>
        <w:tc>
          <w:tcPr>
            <w:tcW w:w="1701" w:type="dxa"/>
            <w:tcBorders>
              <w:top w:val="nil"/>
              <w:left w:val="nil"/>
              <w:bottom w:val="single" w:sz="4" w:space="0" w:color="BFBFBF"/>
              <w:right w:val="nil"/>
            </w:tcBorders>
            <w:shd w:val="clear" w:color="000000" w:fill="FFFFFF"/>
            <w:noWrap/>
            <w:vAlign w:val="bottom"/>
            <w:hideMark/>
          </w:tcPr>
          <w:p w14:paraId="62186725"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 </w:t>
            </w:r>
          </w:p>
        </w:tc>
        <w:tc>
          <w:tcPr>
            <w:tcW w:w="1559" w:type="dxa"/>
            <w:tcBorders>
              <w:top w:val="nil"/>
              <w:left w:val="nil"/>
              <w:bottom w:val="single" w:sz="4" w:space="0" w:color="BFBFBF"/>
              <w:right w:val="nil"/>
            </w:tcBorders>
            <w:shd w:val="clear" w:color="000000" w:fill="FFFFFF"/>
            <w:noWrap/>
            <w:vAlign w:val="bottom"/>
            <w:hideMark/>
          </w:tcPr>
          <w:p w14:paraId="5D39F358"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3 </w:t>
            </w:r>
          </w:p>
        </w:tc>
        <w:tc>
          <w:tcPr>
            <w:tcW w:w="236" w:type="dxa"/>
            <w:vAlign w:val="center"/>
            <w:hideMark/>
          </w:tcPr>
          <w:p w14:paraId="13396F4F"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46ACC73F" w14:textId="77777777" w:rsidTr="00D35A38">
        <w:trPr>
          <w:trHeight w:val="255"/>
        </w:trPr>
        <w:tc>
          <w:tcPr>
            <w:tcW w:w="3544" w:type="dxa"/>
            <w:gridSpan w:val="2"/>
            <w:tcBorders>
              <w:top w:val="single" w:sz="4" w:space="0" w:color="BFBFBF"/>
              <w:left w:val="nil"/>
              <w:bottom w:val="single" w:sz="4" w:space="0" w:color="BFBFBF"/>
              <w:right w:val="nil"/>
            </w:tcBorders>
            <w:shd w:val="clear" w:color="auto" w:fill="auto"/>
            <w:noWrap/>
            <w:vAlign w:val="bottom"/>
            <w:hideMark/>
          </w:tcPr>
          <w:p w14:paraId="65E12BE6"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Net cash used in financing activities</w:t>
            </w:r>
          </w:p>
        </w:tc>
        <w:tc>
          <w:tcPr>
            <w:tcW w:w="1559" w:type="dxa"/>
            <w:tcBorders>
              <w:top w:val="nil"/>
              <w:left w:val="nil"/>
              <w:bottom w:val="single" w:sz="4" w:space="0" w:color="BFBFBF"/>
              <w:right w:val="nil"/>
            </w:tcBorders>
            <w:shd w:val="clear" w:color="auto" w:fill="auto"/>
            <w:noWrap/>
            <w:vAlign w:val="bottom"/>
            <w:hideMark/>
          </w:tcPr>
          <w:p w14:paraId="0A5E0A2C"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w:t>
            </w:r>
          </w:p>
        </w:tc>
        <w:tc>
          <w:tcPr>
            <w:tcW w:w="608" w:type="dxa"/>
            <w:tcBorders>
              <w:top w:val="nil"/>
              <w:left w:val="nil"/>
              <w:bottom w:val="single" w:sz="4" w:space="0" w:color="BFBFBF"/>
              <w:right w:val="nil"/>
            </w:tcBorders>
            <w:shd w:val="clear" w:color="auto" w:fill="auto"/>
            <w:noWrap/>
            <w:vAlign w:val="bottom"/>
            <w:hideMark/>
          </w:tcPr>
          <w:p w14:paraId="54B8F7E0"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60" w:type="dxa"/>
            <w:tcBorders>
              <w:top w:val="nil"/>
              <w:left w:val="nil"/>
              <w:bottom w:val="single" w:sz="4" w:space="0" w:color="BFBFBF"/>
              <w:right w:val="nil"/>
            </w:tcBorders>
            <w:shd w:val="clear" w:color="auto" w:fill="CCECFF"/>
            <w:noWrap/>
            <w:vAlign w:val="bottom"/>
            <w:hideMark/>
          </w:tcPr>
          <w:p w14:paraId="570A2790"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(232)</w:t>
            </w:r>
          </w:p>
        </w:tc>
        <w:tc>
          <w:tcPr>
            <w:tcW w:w="1701" w:type="dxa"/>
            <w:tcBorders>
              <w:top w:val="nil"/>
              <w:left w:val="nil"/>
              <w:bottom w:val="single" w:sz="4" w:space="0" w:color="BFBFBF"/>
              <w:right w:val="nil"/>
            </w:tcBorders>
            <w:shd w:val="clear" w:color="000000" w:fill="FFFFFF"/>
            <w:noWrap/>
            <w:vAlign w:val="bottom"/>
            <w:hideMark/>
          </w:tcPr>
          <w:p w14:paraId="3B9C9B53"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(151)</w:t>
            </w:r>
          </w:p>
        </w:tc>
        <w:tc>
          <w:tcPr>
            <w:tcW w:w="1559" w:type="dxa"/>
            <w:tcBorders>
              <w:top w:val="nil"/>
              <w:left w:val="nil"/>
              <w:bottom w:val="single" w:sz="4" w:space="0" w:color="BFBFBF"/>
              <w:right w:val="nil"/>
            </w:tcBorders>
            <w:shd w:val="clear" w:color="000000" w:fill="FFFFFF"/>
            <w:noWrap/>
            <w:vAlign w:val="bottom"/>
            <w:hideMark/>
          </w:tcPr>
          <w:p w14:paraId="01FF9B18"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(150)</w:t>
            </w:r>
          </w:p>
        </w:tc>
        <w:tc>
          <w:tcPr>
            <w:tcW w:w="236" w:type="dxa"/>
            <w:vAlign w:val="center"/>
            <w:hideMark/>
          </w:tcPr>
          <w:p w14:paraId="45ED9653"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5D5B542A" w14:textId="77777777" w:rsidTr="00D35A38">
        <w:trPr>
          <w:trHeight w:val="255"/>
        </w:trPr>
        <w:tc>
          <w:tcPr>
            <w:tcW w:w="5103" w:type="dxa"/>
            <w:gridSpan w:val="3"/>
            <w:tcBorders>
              <w:top w:val="nil"/>
              <w:left w:val="nil"/>
              <w:bottom w:val="nil"/>
              <w:right w:val="nil"/>
            </w:tcBorders>
            <w:shd w:val="clear" w:color="auto" w:fill="auto"/>
            <w:noWrap/>
            <w:vAlign w:val="bottom"/>
            <w:hideMark/>
          </w:tcPr>
          <w:p w14:paraId="6D64853D"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Net increase / (decrease) in cash and cash equivalents</w:t>
            </w:r>
          </w:p>
        </w:tc>
        <w:tc>
          <w:tcPr>
            <w:tcW w:w="608" w:type="dxa"/>
            <w:tcBorders>
              <w:top w:val="nil"/>
              <w:left w:val="nil"/>
              <w:bottom w:val="nil"/>
              <w:right w:val="nil"/>
            </w:tcBorders>
            <w:shd w:val="clear" w:color="auto" w:fill="auto"/>
            <w:noWrap/>
            <w:vAlign w:val="bottom"/>
            <w:hideMark/>
          </w:tcPr>
          <w:p w14:paraId="44586EB2"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1560" w:type="dxa"/>
            <w:tcBorders>
              <w:top w:val="nil"/>
              <w:left w:val="nil"/>
              <w:bottom w:val="nil"/>
              <w:right w:val="nil"/>
            </w:tcBorders>
            <w:shd w:val="clear" w:color="auto" w:fill="CCECFF"/>
            <w:noWrap/>
            <w:vAlign w:val="bottom"/>
            <w:hideMark/>
          </w:tcPr>
          <w:p w14:paraId="0F9B6E1F"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52 </w:t>
            </w:r>
          </w:p>
        </w:tc>
        <w:tc>
          <w:tcPr>
            <w:tcW w:w="1701" w:type="dxa"/>
            <w:tcBorders>
              <w:top w:val="nil"/>
              <w:left w:val="nil"/>
              <w:bottom w:val="nil"/>
              <w:right w:val="nil"/>
            </w:tcBorders>
            <w:shd w:val="clear" w:color="000000" w:fill="FFFFFF"/>
            <w:noWrap/>
            <w:vAlign w:val="bottom"/>
            <w:hideMark/>
          </w:tcPr>
          <w:p w14:paraId="58DC4B5D"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(139)</w:t>
            </w:r>
          </w:p>
        </w:tc>
        <w:tc>
          <w:tcPr>
            <w:tcW w:w="1559" w:type="dxa"/>
            <w:tcBorders>
              <w:top w:val="nil"/>
              <w:left w:val="nil"/>
              <w:bottom w:val="nil"/>
              <w:right w:val="nil"/>
            </w:tcBorders>
            <w:shd w:val="clear" w:color="000000" w:fill="FFFFFF"/>
            <w:noWrap/>
            <w:vAlign w:val="bottom"/>
            <w:hideMark/>
          </w:tcPr>
          <w:p w14:paraId="16442028"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(213)</w:t>
            </w:r>
          </w:p>
        </w:tc>
        <w:tc>
          <w:tcPr>
            <w:tcW w:w="236" w:type="dxa"/>
            <w:vAlign w:val="center"/>
            <w:hideMark/>
          </w:tcPr>
          <w:p w14:paraId="4E924B30"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64EE5814" w14:textId="77777777" w:rsidTr="00D35A38">
        <w:trPr>
          <w:trHeight w:val="255"/>
        </w:trPr>
        <w:tc>
          <w:tcPr>
            <w:tcW w:w="5103" w:type="dxa"/>
            <w:gridSpan w:val="3"/>
            <w:tcBorders>
              <w:top w:val="nil"/>
              <w:left w:val="nil"/>
              <w:bottom w:val="single" w:sz="4" w:space="0" w:color="BFBFBF"/>
              <w:right w:val="nil"/>
            </w:tcBorders>
            <w:shd w:val="clear" w:color="auto" w:fill="auto"/>
            <w:noWrap/>
            <w:vAlign w:val="bottom"/>
            <w:hideMark/>
          </w:tcPr>
          <w:p w14:paraId="13B8C666"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Cash and cash equivalents at beginning of period</w:t>
            </w:r>
          </w:p>
        </w:tc>
        <w:tc>
          <w:tcPr>
            <w:tcW w:w="608" w:type="dxa"/>
            <w:tcBorders>
              <w:top w:val="nil"/>
              <w:left w:val="nil"/>
              <w:bottom w:val="single" w:sz="4" w:space="0" w:color="BFBFBF"/>
              <w:right w:val="nil"/>
            </w:tcBorders>
            <w:shd w:val="clear" w:color="auto" w:fill="auto"/>
            <w:noWrap/>
            <w:vAlign w:val="bottom"/>
            <w:hideMark/>
          </w:tcPr>
          <w:p w14:paraId="329FE330"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60" w:type="dxa"/>
            <w:tcBorders>
              <w:top w:val="nil"/>
              <w:left w:val="nil"/>
              <w:bottom w:val="single" w:sz="4" w:space="0" w:color="BFBFBF"/>
              <w:right w:val="nil"/>
            </w:tcBorders>
            <w:shd w:val="clear" w:color="auto" w:fill="CCECFF"/>
            <w:noWrap/>
            <w:vAlign w:val="bottom"/>
            <w:hideMark/>
          </w:tcPr>
          <w:p w14:paraId="3ADB81C1"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56 </w:t>
            </w:r>
          </w:p>
        </w:tc>
        <w:tc>
          <w:tcPr>
            <w:tcW w:w="1701" w:type="dxa"/>
            <w:tcBorders>
              <w:top w:val="nil"/>
              <w:left w:val="nil"/>
              <w:bottom w:val="single" w:sz="4" w:space="0" w:color="BFBFBF"/>
              <w:right w:val="nil"/>
            </w:tcBorders>
            <w:shd w:val="clear" w:color="000000" w:fill="FFFFFF"/>
            <w:noWrap/>
            <w:vAlign w:val="bottom"/>
            <w:hideMark/>
          </w:tcPr>
          <w:p w14:paraId="120D9060"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269 </w:t>
            </w:r>
          </w:p>
        </w:tc>
        <w:tc>
          <w:tcPr>
            <w:tcW w:w="1559" w:type="dxa"/>
            <w:tcBorders>
              <w:top w:val="nil"/>
              <w:left w:val="nil"/>
              <w:bottom w:val="single" w:sz="4" w:space="0" w:color="BFBFBF"/>
              <w:right w:val="nil"/>
            </w:tcBorders>
            <w:shd w:val="clear" w:color="000000" w:fill="FFFFFF"/>
            <w:noWrap/>
            <w:vAlign w:val="bottom"/>
            <w:hideMark/>
          </w:tcPr>
          <w:p w14:paraId="2D685C63"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269 </w:t>
            </w:r>
          </w:p>
        </w:tc>
        <w:tc>
          <w:tcPr>
            <w:tcW w:w="236" w:type="dxa"/>
            <w:vAlign w:val="center"/>
            <w:hideMark/>
          </w:tcPr>
          <w:p w14:paraId="17AD0D92"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690A8364" w14:textId="77777777" w:rsidTr="00D35A38">
        <w:trPr>
          <w:trHeight w:val="255"/>
        </w:trPr>
        <w:tc>
          <w:tcPr>
            <w:tcW w:w="5103" w:type="dxa"/>
            <w:gridSpan w:val="3"/>
            <w:tcBorders>
              <w:top w:val="single" w:sz="4" w:space="0" w:color="BFBFBF"/>
              <w:left w:val="nil"/>
              <w:bottom w:val="single" w:sz="4" w:space="0" w:color="BFBFBF"/>
              <w:right w:val="nil"/>
            </w:tcBorders>
            <w:shd w:val="clear" w:color="auto" w:fill="auto"/>
            <w:noWrap/>
            <w:vAlign w:val="bottom"/>
            <w:hideMark/>
          </w:tcPr>
          <w:p w14:paraId="26B5E064"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Cash and cash equivalents at end of period</w:t>
            </w:r>
          </w:p>
        </w:tc>
        <w:tc>
          <w:tcPr>
            <w:tcW w:w="608" w:type="dxa"/>
            <w:tcBorders>
              <w:top w:val="nil"/>
              <w:left w:val="nil"/>
              <w:bottom w:val="single" w:sz="4" w:space="0" w:color="BFBFBF"/>
              <w:right w:val="nil"/>
            </w:tcBorders>
            <w:shd w:val="clear" w:color="auto" w:fill="auto"/>
            <w:noWrap/>
            <w:vAlign w:val="bottom"/>
            <w:hideMark/>
          </w:tcPr>
          <w:p w14:paraId="2A6E3019"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1560" w:type="dxa"/>
            <w:tcBorders>
              <w:top w:val="nil"/>
              <w:left w:val="nil"/>
              <w:bottom w:val="single" w:sz="4" w:space="0" w:color="BFBFBF"/>
              <w:right w:val="nil"/>
            </w:tcBorders>
            <w:shd w:val="clear" w:color="auto" w:fill="CCECFF"/>
            <w:noWrap/>
            <w:vAlign w:val="bottom"/>
            <w:hideMark/>
          </w:tcPr>
          <w:p w14:paraId="60380BC4"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108 </w:t>
            </w:r>
          </w:p>
        </w:tc>
        <w:tc>
          <w:tcPr>
            <w:tcW w:w="1701" w:type="dxa"/>
            <w:tcBorders>
              <w:top w:val="nil"/>
              <w:left w:val="nil"/>
              <w:bottom w:val="single" w:sz="4" w:space="0" w:color="BFBFBF"/>
              <w:right w:val="nil"/>
            </w:tcBorders>
            <w:shd w:val="clear" w:color="000000" w:fill="FFFFFF"/>
            <w:noWrap/>
            <w:vAlign w:val="bottom"/>
            <w:hideMark/>
          </w:tcPr>
          <w:p w14:paraId="6128527D"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130 </w:t>
            </w:r>
          </w:p>
        </w:tc>
        <w:tc>
          <w:tcPr>
            <w:tcW w:w="1559" w:type="dxa"/>
            <w:tcBorders>
              <w:top w:val="nil"/>
              <w:left w:val="nil"/>
              <w:bottom w:val="single" w:sz="4" w:space="0" w:color="BFBFBF"/>
              <w:right w:val="nil"/>
            </w:tcBorders>
            <w:shd w:val="clear" w:color="000000" w:fill="FFFFFF"/>
            <w:noWrap/>
            <w:vAlign w:val="bottom"/>
            <w:hideMark/>
          </w:tcPr>
          <w:p w14:paraId="62F18204"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56 </w:t>
            </w:r>
          </w:p>
        </w:tc>
        <w:tc>
          <w:tcPr>
            <w:tcW w:w="236" w:type="dxa"/>
            <w:vAlign w:val="center"/>
            <w:hideMark/>
          </w:tcPr>
          <w:p w14:paraId="6615AFEA"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6D6ABF23" w14:textId="77777777" w:rsidTr="00D35A38">
        <w:trPr>
          <w:trHeight w:val="255"/>
        </w:trPr>
        <w:tc>
          <w:tcPr>
            <w:tcW w:w="3544" w:type="dxa"/>
            <w:gridSpan w:val="2"/>
            <w:tcBorders>
              <w:top w:val="nil"/>
              <w:left w:val="nil"/>
              <w:bottom w:val="nil"/>
              <w:right w:val="nil"/>
            </w:tcBorders>
            <w:shd w:val="clear" w:color="auto" w:fill="auto"/>
            <w:noWrap/>
            <w:vAlign w:val="bottom"/>
            <w:hideMark/>
          </w:tcPr>
          <w:p w14:paraId="535F75EF"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Analysis of cash and cash equivalents</w:t>
            </w:r>
          </w:p>
        </w:tc>
        <w:tc>
          <w:tcPr>
            <w:tcW w:w="1559" w:type="dxa"/>
            <w:tcBorders>
              <w:top w:val="nil"/>
              <w:left w:val="nil"/>
              <w:bottom w:val="nil"/>
              <w:right w:val="nil"/>
            </w:tcBorders>
            <w:shd w:val="clear" w:color="auto" w:fill="auto"/>
            <w:noWrap/>
            <w:vAlign w:val="bottom"/>
            <w:hideMark/>
          </w:tcPr>
          <w:p w14:paraId="103C2D2A" w14:textId="77777777" w:rsidR="00D336A4" w:rsidRPr="00D336A4" w:rsidRDefault="00D336A4" w:rsidP="00D336A4">
            <w:pPr>
              <w:spacing w:after="0" w:line="240" w:lineRule="auto"/>
              <w:rPr>
                <w:rFonts w:ascii="Arial" w:eastAsia="Times New Roman" w:hAnsi="Arial" w:cs="Arial"/>
                <w:b/>
                <w:bCs/>
                <w:sz w:val="15"/>
                <w:szCs w:val="15"/>
                <w:lang w:eastAsia="en-GB"/>
              </w:rPr>
            </w:pPr>
          </w:p>
        </w:tc>
        <w:tc>
          <w:tcPr>
            <w:tcW w:w="608" w:type="dxa"/>
            <w:tcBorders>
              <w:top w:val="nil"/>
              <w:left w:val="nil"/>
              <w:bottom w:val="nil"/>
              <w:right w:val="nil"/>
            </w:tcBorders>
            <w:shd w:val="clear" w:color="auto" w:fill="auto"/>
            <w:noWrap/>
            <w:vAlign w:val="bottom"/>
            <w:hideMark/>
          </w:tcPr>
          <w:p w14:paraId="6F9D67D7"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04A59D2B"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w:t>
            </w:r>
          </w:p>
        </w:tc>
        <w:tc>
          <w:tcPr>
            <w:tcW w:w="1701" w:type="dxa"/>
            <w:tcBorders>
              <w:top w:val="nil"/>
              <w:left w:val="nil"/>
              <w:bottom w:val="nil"/>
              <w:right w:val="nil"/>
            </w:tcBorders>
            <w:shd w:val="clear" w:color="000000" w:fill="FFFFFF"/>
            <w:noWrap/>
            <w:vAlign w:val="bottom"/>
            <w:hideMark/>
          </w:tcPr>
          <w:p w14:paraId="608B2A0D"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59" w:type="dxa"/>
            <w:tcBorders>
              <w:top w:val="nil"/>
              <w:left w:val="nil"/>
              <w:bottom w:val="nil"/>
              <w:right w:val="nil"/>
            </w:tcBorders>
            <w:shd w:val="clear" w:color="000000" w:fill="FFFFFF"/>
            <w:noWrap/>
            <w:vAlign w:val="bottom"/>
            <w:hideMark/>
          </w:tcPr>
          <w:p w14:paraId="55D90DBD"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236" w:type="dxa"/>
            <w:vAlign w:val="center"/>
            <w:hideMark/>
          </w:tcPr>
          <w:p w14:paraId="02F0DD69"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1BAD7033" w14:textId="77777777" w:rsidTr="00D35A38">
        <w:trPr>
          <w:trHeight w:val="255"/>
        </w:trPr>
        <w:tc>
          <w:tcPr>
            <w:tcW w:w="3544" w:type="dxa"/>
            <w:gridSpan w:val="2"/>
            <w:tcBorders>
              <w:top w:val="nil"/>
              <w:left w:val="nil"/>
              <w:bottom w:val="nil"/>
              <w:right w:val="nil"/>
            </w:tcBorders>
            <w:shd w:val="clear" w:color="auto" w:fill="auto"/>
            <w:noWrap/>
            <w:vAlign w:val="bottom"/>
            <w:hideMark/>
          </w:tcPr>
          <w:p w14:paraId="33339230"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Cash and cash equivalents (per balance sheet)</w:t>
            </w:r>
          </w:p>
        </w:tc>
        <w:tc>
          <w:tcPr>
            <w:tcW w:w="1559" w:type="dxa"/>
            <w:tcBorders>
              <w:top w:val="nil"/>
              <w:left w:val="nil"/>
              <w:bottom w:val="nil"/>
              <w:right w:val="nil"/>
            </w:tcBorders>
            <w:shd w:val="clear" w:color="auto" w:fill="auto"/>
            <w:noWrap/>
            <w:vAlign w:val="bottom"/>
            <w:hideMark/>
          </w:tcPr>
          <w:p w14:paraId="5C7BF834"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608" w:type="dxa"/>
            <w:tcBorders>
              <w:top w:val="nil"/>
              <w:left w:val="nil"/>
              <w:bottom w:val="nil"/>
              <w:right w:val="nil"/>
            </w:tcBorders>
            <w:shd w:val="clear" w:color="auto" w:fill="auto"/>
            <w:noWrap/>
            <w:vAlign w:val="bottom"/>
            <w:hideMark/>
          </w:tcPr>
          <w:p w14:paraId="1AEDC8A5"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2F372F0B"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108 </w:t>
            </w:r>
          </w:p>
        </w:tc>
        <w:tc>
          <w:tcPr>
            <w:tcW w:w="1701" w:type="dxa"/>
            <w:tcBorders>
              <w:top w:val="nil"/>
              <w:left w:val="nil"/>
              <w:bottom w:val="nil"/>
              <w:right w:val="nil"/>
            </w:tcBorders>
            <w:shd w:val="clear" w:color="000000" w:fill="FFFFFF"/>
            <w:noWrap/>
            <w:vAlign w:val="bottom"/>
            <w:hideMark/>
          </w:tcPr>
          <w:p w14:paraId="73148F50"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130 </w:t>
            </w:r>
          </w:p>
        </w:tc>
        <w:tc>
          <w:tcPr>
            <w:tcW w:w="1559" w:type="dxa"/>
            <w:tcBorders>
              <w:top w:val="nil"/>
              <w:left w:val="nil"/>
              <w:bottom w:val="nil"/>
              <w:right w:val="nil"/>
            </w:tcBorders>
            <w:shd w:val="clear" w:color="000000" w:fill="FFFFFF"/>
            <w:noWrap/>
            <w:vAlign w:val="bottom"/>
            <w:hideMark/>
          </w:tcPr>
          <w:p w14:paraId="76CAD37D"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60 </w:t>
            </w:r>
          </w:p>
        </w:tc>
        <w:tc>
          <w:tcPr>
            <w:tcW w:w="236" w:type="dxa"/>
            <w:vAlign w:val="center"/>
            <w:hideMark/>
          </w:tcPr>
          <w:p w14:paraId="5E20641C"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319D84E8" w14:textId="77777777" w:rsidTr="00D35A38">
        <w:trPr>
          <w:trHeight w:val="255"/>
        </w:trPr>
        <w:tc>
          <w:tcPr>
            <w:tcW w:w="2500" w:type="dxa"/>
            <w:tcBorders>
              <w:top w:val="nil"/>
              <w:left w:val="nil"/>
              <w:bottom w:val="single" w:sz="4" w:space="0" w:color="BFBFBF"/>
              <w:right w:val="nil"/>
            </w:tcBorders>
            <w:shd w:val="clear" w:color="auto" w:fill="auto"/>
            <w:noWrap/>
            <w:vAlign w:val="bottom"/>
            <w:hideMark/>
          </w:tcPr>
          <w:p w14:paraId="67B608D3"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Overdrafts (per balance sheet)</w:t>
            </w:r>
          </w:p>
        </w:tc>
        <w:tc>
          <w:tcPr>
            <w:tcW w:w="1044" w:type="dxa"/>
            <w:tcBorders>
              <w:top w:val="nil"/>
              <w:left w:val="nil"/>
              <w:bottom w:val="single" w:sz="4" w:space="0" w:color="BFBFBF"/>
              <w:right w:val="nil"/>
            </w:tcBorders>
            <w:shd w:val="clear" w:color="auto" w:fill="auto"/>
            <w:noWrap/>
            <w:vAlign w:val="bottom"/>
            <w:hideMark/>
          </w:tcPr>
          <w:p w14:paraId="4D7D7E9D"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59" w:type="dxa"/>
            <w:tcBorders>
              <w:top w:val="nil"/>
              <w:left w:val="nil"/>
              <w:bottom w:val="single" w:sz="4" w:space="0" w:color="BFBFBF"/>
              <w:right w:val="nil"/>
            </w:tcBorders>
            <w:shd w:val="clear" w:color="auto" w:fill="auto"/>
            <w:noWrap/>
            <w:vAlign w:val="bottom"/>
            <w:hideMark/>
          </w:tcPr>
          <w:p w14:paraId="626F1F74"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608" w:type="dxa"/>
            <w:tcBorders>
              <w:top w:val="nil"/>
              <w:left w:val="nil"/>
              <w:bottom w:val="single" w:sz="4" w:space="0" w:color="BFBFBF"/>
              <w:right w:val="nil"/>
            </w:tcBorders>
            <w:shd w:val="clear" w:color="auto" w:fill="auto"/>
            <w:noWrap/>
            <w:vAlign w:val="bottom"/>
            <w:hideMark/>
          </w:tcPr>
          <w:p w14:paraId="5C169DD9"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60" w:type="dxa"/>
            <w:tcBorders>
              <w:top w:val="nil"/>
              <w:left w:val="nil"/>
              <w:bottom w:val="single" w:sz="4" w:space="0" w:color="BFBFBF"/>
              <w:right w:val="nil"/>
            </w:tcBorders>
            <w:shd w:val="clear" w:color="auto" w:fill="CCECFF"/>
            <w:noWrap/>
            <w:vAlign w:val="bottom"/>
            <w:hideMark/>
          </w:tcPr>
          <w:p w14:paraId="6AB27F92"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 </w:t>
            </w:r>
          </w:p>
        </w:tc>
        <w:tc>
          <w:tcPr>
            <w:tcW w:w="1701" w:type="dxa"/>
            <w:tcBorders>
              <w:top w:val="nil"/>
              <w:left w:val="nil"/>
              <w:bottom w:val="single" w:sz="4" w:space="0" w:color="BFBFBF"/>
              <w:right w:val="nil"/>
            </w:tcBorders>
            <w:shd w:val="clear" w:color="000000" w:fill="FFFFFF"/>
            <w:noWrap/>
            <w:vAlign w:val="bottom"/>
            <w:hideMark/>
          </w:tcPr>
          <w:p w14:paraId="5CD4F9E6"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 </w:t>
            </w:r>
          </w:p>
        </w:tc>
        <w:tc>
          <w:tcPr>
            <w:tcW w:w="1559" w:type="dxa"/>
            <w:tcBorders>
              <w:top w:val="nil"/>
              <w:left w:val="nil"/>
              <w:bottom w:val="single" w:sz="4" w:space="0" w:color="BFBFBF"/>
              <w:right w:val="nil"/>
            </w:tcBorders>
            <w:shd w:val="clear" w:color="000000" w:fill="FFFFFF"/>
            <w:noWrap/>
            <w:vAlign w:val="bottom"/>
            <w:hideMark/>
          </w:tcPr>
          <w:p w14:paraId="7183E20A"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(4)</w:t>
            </w:r>
          </w:p>
        </w:tc>
        <w:tc>
          <w:tcPr>
            <w:tcW w:w="236" w:type="dxa"/>
            <w:vAlign w:val="center"/>
            <w:hideMark/>
          </w:tcPr>
          <w:p w14:paraId="6B8392A4"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0D4D1393" w14:textId="77777777" w:rsidTr="00D35A38">
        <w:trPr>
          <w:trHeight w:val="255"/>
        </w:trPr>
        <w:tc>
          <w:tcPr>
            <w:tcW w:w="2500" w:type="dxa"/>
            <w:tcBorders>
              <w:top w:val="nil"/>
              <w:left w:val="nil"/>
              <w:bottom w:val="single" w:sz="4" w:space="0" w:color="BFBFBF"/>
              <w:right w:val="nil"/>
            </w:tcBorders>
            <w:shd w:val="clear" w:color="auto" w:fill="auto"/>
            <w:noWrap/>
            <w:vAlign w:val="bottom"/>
            <w:hideMark/>
          </w:tcPr>
          <w:p w14:paraId="03007E58"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044" w:type="dxa"/>
            <w:tcBorders>
              <w:top w:val="nil"/>
              <w:left w:val="nil"/>
              <w:bottom w:val="single" w:sz="4" w:space="0" w:color="BFBFBF"/>
              <w:right w:val="nil"/>
            </w:tcBorders>
            <w:shd w:val="clear" w:color="auto" w:fill="auto"/>
            <w:noWrap/>
            <w:vAlign w:val="bottom"/>
            <w:hideMark/>
          </w:tcPr>
          <w:p w14:paraId="44FBA313"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59" w:type="dxa"/>
            <w:tcBorders>
              <w:top w:val="nil"/>
              <w:left w:val="nil"/>
              <w:bottom w:val="single" w:sz="4" w:space="0" w:color="BFBFBF"/>
              <w:right w:val="nil"/>
            </w:tcBorders>
            <w:shd w:val="clear" w:color="auto" w:fill="auto"/>
            <w:noWrap/>
            <w:vAlign w:val="bottom"/>
            <w:hideMark/>
          </w:tcPr>
          <w:p w14:paraId="04ABF716"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608" w:type="dxa"/>
            <w:tcBorders>
              <w:top w:val="nil"/>
              <w:left w:val="nil"/>
              <w:bottom w:val="single" w:sz="4" w:space="0" w:color="BFBFBF"/>
              <w:right w:val="nil"/>
            </w:tcBorders>
            <w:shd w:val="clear" w:color="auto" w:fill="auto"/>
            <w:noWrap/>
            <w:vAlign w:val="bottom"/>
            <w:hideMark/>
          </w:tcPr>
          <w:p w14:paraId="5432AFAD"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60" w:type="dxa"/>
            <w:tcBorders>
              <w:top w:val="nil"/>
              <w:left w:val="nil"/>
              <w:bottom w:val="single" w:sz="4" w:space="0" w:color="BFBFBF"/>
              <w:right w:val="nil"/>
            </w:tcBorders>
            <w:shd w:val="clear" w:color="auto" w:fill="CCECFF"/>
            <w:noWrap/>
            <w:vAlign w:val="bottom"/>
            <w:hideMark/>
          </w:tcPr>
          <w:p w14:paraId="378A71E4"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108 </w:t>
            </w:r>
          </w:p>
        </w:tc>
        <w:tc>
          <w:tcPr>
            <w:tcW w:w="1701" w:type="dxa"/>
            <w:tcBorders>
              <w:top w:val="nil"/>
              <w:left w:val="nil"/>
              <w:bottom w:val="single" w:sz="4" w:space="0" w:color="BFBFBF"/>
              <w:right w:val="nil"/>
            </w:tcBorders>
            <w:shd w:val="clear" w:color="000000" w:fill="FFFFFF"/>
            <w:noWrap/>
            <w:vAlign w:val="bottom"/>
            <w:hideMark/>
          </w:tcPr>
          <w:p w14:paraId="553FFCD6"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130 </w:t>
            </w:r>
          </w:p>
        </w:tc>
        <w:tc>
          <w:tcPr>
            <w:tcW w:w="1559" w:type="dxa"/>
            <w:tcBorders>
              <w:top w:val="nil"/>
              <w:left w:val="nil"/>
              <w:bottom w:val="single" w:sz="4" w:space="0" w:color="BFBFBF"/>
              <w:right w:val="nil"/>
            </w:tcBorders>
            <w:shd w:val="clear" w:color="000000" w:fill="FFFFFF"/>
            <w:noWrap/>
            <w:vAlign w:val="bottom"/>
            <w:hideMark/>
          </w:tcPr>
          <w:p w14:paraId="12D382C0"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56 </w:t>
            </w:r>
          </w:p>
        </w:tc>
        <w:tc>
          <w:tcPr>
            <w:tcW w:w="236" w:type="dxa"/>
            <w:vAlign w:val="center"/>
            <w:hideMark/>
          </w:tcPr>
          <w:p w14:paraId="574BAD88"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42206" w:rsidRPr="00D336A4" w14:paraId="43044F08" w14:textId="77777777" w:rsidTr="00D35A38">
        <w:trPr>
          <w:trHeight w:val="98"/>
        </w:trPr>
        <w:tc>
          <w:tcPr>
            <w:tcW w:w="2500" w:type="dxa"/>
            <w:tcBorders>
              <w:top w:val="nil"/>
              <w:left w:val="nil"/>
              <w:bottom w:val="nil"/>
              <w:right w:val="nil"/>
            </w:tcBorders>
            <w:shd w:val="clear" w:color="auto" w:fill="auto"/>
            <w:noWrap/>
            <w:vAlign w:val="bottom"/>
            <w:hideMark/>
          </w:tcPr>
          <w:p w14:paraId="60F4A7B9" w14:textId="77777777" w:rsidR="00D336A4" w:rsidRPr="00D336A4" w:rsidRDefault="00D336A4" w:rsidP="00D336A4">
            <w:pPr>
              <w:spacing w:after="0" w:line="240" w:lineRule="auto"/>
              <w:jc w:val="right"/>
              <w:rPr>
                <w:rFonts w:ascii="Arial" w:eastAsia="Times New Roman" w:hAnsi="Arial" w:cs="Arial"/>
                <w:sz w:val="15"/>
                <w:szCs w:val="15"/>
                <w:lang w:eastAsia="en-GB"/>
              </w:rPr>
            </w:pPr>
          </w:p>
        </w:tc>
        <w:tc>
          <w:tcPr>
            <w:tcW w:w="1044" w:type="dxa"/>
            <w:tcBorders>
              <w:top w:val="nil"/>
              <w:left w:val="nil"/>
              <w:bottom w:val="nil"/>
              <w:right w:val="nil"/>
            </w:tcBorders>
            <w:shd w:val="clear" w:color="auto" w:fill="auto"/>
            <w:noWrap/>
            <w:vAlign w:val="bottom"/>
            <w:hideMark/>
          </w:tcPr>
          <w:p w14:paraId="24D33C53"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bottom"/>
            <w:hideMark/>
          </w:tcPr>
          <w:p w14:paraId="56BE0701"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531F9CCF"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000000" w:fill="FFFFFF"/>
            <w:noWrap/>
            <w:vAlign w:val="bottom"/>
            <w:hideMark/>
          </w:tcPr>
          <w:p w14:paraId="7ECF9D2B"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w:t>
            </w:r>
          </w:p>
        </w:tc>
        <w:tc>
          <w:tcPr>
            <w:tcW w:w="1701" w:type="dxa"/>
            <w:tcBorders>
              <w:top w:val="nil"/>
              <w:left w:val="nil"/>
              <w:bottom w:val="nil"/>
              <w:right w:val="nil"/>
            </w:tcBorders>
            <w:shd w:val="clear" w:color="000000" w:fill="FFFFFF"/>
            <w:noWrap/>
            <w:vAlign w:val="bottom"/>
            <w:hideMark/>
          </w:tcPr>
          <w:p w14:paraId="7DCD7101"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59" w:type="dxa"/>
            <w:tcBorders>
              <w:top w:val="nil"/>
              <w:left w:val="nil"/>
              <w:bottom w:val="nil"/>
              <w:right w:val="nil"/>
            </w:tcBorders>
            <w:shd w:val="clear" w:color="000000" w:fill="FFFFFF"/>
            <w:noWrap/>
            <w:vAlign w:val="bottom"/>
            <w:hideMark/>
          </w:tcPr>
          <w:p w14:paraId="4D753344"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236" w:type="dxa"/>
            <w:vAlign w:val="center"/>
            <w:hideMark/>
          </w:tcPr>
          <w:p w14:paraId="243C93F1"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D336A4" w:rsidRPr="00D336A4" w14:paraId="6750F9FC" w14:textId="77777777" w:rsidTr="00D35A38">
        <w:trPr>
          <w:trHeight w:val="300"/>
        </w:trPr>
        <w:tc>
          <w:tcPr>
            <w:tcW w:w="10531" w:type="dxa"/>
            <w:gridSpan w:val="7"/>
            <w:tcBorders>
              <w:top w:val="nil"/>
              <w:left w:val="nil"/>
              <w:bottom w:val="nil"/>
              <w:right w:val="nil"/>
            </w:tcBorders>
            <w:shd w:val="clear" w:color="000000" w:fill="FFFFFF"/>
            <w:vAlign w:val="center"/>
            <w:hideMark/>
          </w:tcPr>
          <w:p w14:paraId="1758AE84"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The balances above include cashflows from Discontinued operations. </w:t>
            </w:r>
          </w:p>
        </w:tc>
        <w:tc>
          <w:tcPr>
            <w:tcW w:w="236" w:type="dxa"/>
            <w:vAlign w:val="center"/>
            <w:hideMark/>
          </w:tcPr>
          <w:p w14:paraId="402BB1CE"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D336A4" w:rsidRPr="00D336A4" w14:paraId="6E47A058" w14:textId="77777777" w:rsidTr="00D35A38">
        <w:trPr>
          <w:trHeight w:val="300"/>
        </w:trPr>
        <w:tc>
          <w:tcPr>
            <w:tcW w:w="10531" w:type="dxa"/>
            <w:gridSpan w:val="7"/>
            <w:tcBorders>
              <w:top w:val="nil"/>
              <w:left w:val="nil"/>
              <w:bottom w:val="nil"/>
              <w:right w:val="nil"/>
            </w:tcBorders>
            <w:shd w:val="clear" w:color="000000" w:fill="FFFFFF"/>
            <w:vAlign w:val="center"/>
            <w:hideMark/>
          </w:tcPr>
          <w:p w14:paraId="289323B2" w14:textId="631237D1"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The accompanying notes form an integral part of these financial statements. </w:t>
            </w:r>
          </w:p>
        </w:tc>
        <w:tc>
          <w:tcPr>
            <w:tcW w:w="236" w:type="dxa"/>
            <w:vAlign w:val="center"/>
            <w:hideMark/>
          </w:tcPr>
          <w:p w14:paraId="2FCD33C4"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67CD319C" w14:textId="77777777" w:rsidTr="00D35A38">
        <w:trPr>
          <w:trHeight w:val="128"/>
        </w:trPr>
        <w:tc>
          <w:tcPr>
            <w:tcW w:w="2500" w:type="dxa"/>
            <w:tcBorders>
              <w:top w:val="nil"/>
              <w:left w:val="nil"/>
              <w:bottom w:val="nil"/>
              <w:right w:val="nil"/>
            </w:tcBorders>
            <w:shd w:val="clear" w:color="000000" w:fill="FFFFFF"/>
            <w:noWrap/>
            <w:vAlign w:val="bottom"/>
            <w:hideMark/>
          </w:tcPr>
          <w:p w14:paraId="4CDF4E5F" w14:textId="77777777" w:rsidR="00D336A4" w:rsidRPr="00D336A4" w:rsidRDefault="00D336A4" w:rsidP="00D336A4">
            <w:pPr>
              <w:spacing w:after="0" w:line="240" w:lineRule="auto"/>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1044" w:type="dxa"/>
            <w:tcBorders>
              <w:top w:val="nil"/>
              <w:left w:val="nil"/>
              <w:bottom w:val="nil"/>
              <w:right w:val="nil"/>
            </w:tcBorders>
            <w:shd w:val="clear" w:color="000000" w:fill="FFFFFF"/>
            <w:noWrap/>
            <w:vAlign w:val="bottom"/>
            <w:hideMark/>
          </w:tcPr>
          <w:p w14:paraId="2DCE7CD6" w14:textId="77777777" w:rsidR="00D336A4" w:rsidRPr="00D336A4" w:rsidRDefault="00D336A4" w:rsidP="00D336A4">
            <w:pPr>
              <w:spacing w:after="0" w:line="240" w:lineRule="auto"/>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1559" w:type="dxa"/>
            <w:tcBorders>
              <w:top w:val="nil"/>
              <w:left w:val="nil"/>
              <w:bottom w:val="nil"/>
              <w:right w:val="nil"/>
            </w:tcBorders>
            <w:shd w:val="clear" w:color="000000" w:fill="FFFFFF"/>
            <w:noWrap/>
            <w:vAlign w:val="bottom"/>
            <w:hideMark/>
          </w:tcPr>
          <w:p w14:paraId="6597EDEA" w14:textId="77777777" w:rsidR="00D336A4" w:rsidRPr="00D336A4" w:rsidRDefault="00D336A4" w:rsidP="00D336A4">
            <w:pPr>
              <w:spacing w:after="0" w:line="240" w:lineRule="auto"/>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608" w:type="dxa"/>
            <w:tcBorders>
              <w:top w:val="nil"/>
              <w:left w:val="nil"/>
              <w:bottom w:val="nil"/>
              <w:right w:val="nil"/>
            </w:tcBorders>
            <w:shd w:val="clear" w:color="000000" w:fill="FFFFFF"/>
            <w:noWrap/>
            <w:vAlign w:val="bottom"/>
            <w:hideMark/>
          </w:tcPr>
          <w:p w14:paraId="108F117D" w14:textId="77777777" w:rsidR="00D336A4" w:rsidRPr="00D336A4" w:rsidRDefault="00D336A4" w:rsidP="00D336A4">
            <w:pPr>
              <w:spacing w:after="0" w:line="240" w:lineRule="auto"/>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1560" w:type="dxa"/>
            <w:tcBorders>
              <w:top w:val="nil"/>
              <w:left w:val="nil"/>
              <w:bottom w:val="nil"/>
              <w:right w:val="nil"/>
            </w:tcBorders>
            <w:shd w:val="clear" w:color="000000" w:fill="FFFFFF"/>
            <w:noWrap/>
            <w:vAlign w:val="bottom"/>
            <w:hideMark/>
          </w:tcPr>
          <w:p w14:paraId="5B9E95F7" w14:textId="77777777" w:rsidR="00D336A4" w:rsidRPr="00D336A4" w:rsidRDefault="00D336A4" w:rsidP="00D336A4">
            <w:pPr>
              <w:spacing w:after="0" w:line="240" w:lineRule="auto"/>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1701" w:type="dxa"/>
            <w:tcBorders>
              <w:top w:val="nil"/>
              <w:left w:val="nil"/>
              <w:bottom w:val="nil"/>
              <w:right w:val="nil"/>
            </w:tcBorders>
            <w:shd w:val="clear" w:color="000000" w:fill="FFFFFF"/>
            <w:noWrap/>
            <w:vAlign w:val="bottom"/>
            <w:hideMark/>
          </w:tcPr>
          <w:p w14:paraId="6DEC0F5A" w14:textId="77777777" w:rsidR="00D336A4" w:rsidRPr="00D336A4" w:rsidRDefault="00D336A4" w:rsidP="00D336A4">
            <w:pPr>
              <w:spacing w:after="0" w:line="240" w:lineRule="auto"/>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1559" w:type="dxa"/>
            <w:tcBorders>
              <w:top w:val="nil"/>
              <w:left w:val="nil"/>
              <w:bottom w:val="nil"/>
              <w:right w:val="nil"/>
            </w:tcBorders>
            <w:shd w:val="clear" w:color="000000" w:fill="FFFFFF"/>
            <w:noWrap/>
            <w:vAlign w:val="bottom"/>
            <w:hideMark/>
          </w:tcPr>
          <w:p w14:paraId="1415DBBF" w14:textId="77777777" w:rsidR="00D336A4" w:rsidRPr="00D336A4" w:rsidRDefault="00D336A4" w:rsidP="00D336A4">
            <w:pPr>
              <w:spacing w:after="0" w:line="240" w:lineRule="auto"/>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236" w:type="dxa"/>
            <w:vAlign w:val="center"/>
            <w:hideMark/>
          </w:tcPr>
          <w:p w14:paraId="259BDF2B"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166C15" w:rsidRPr="00D336A4" w14:paraId="6138DFFF" w14:textId="77777777" w:rsidTr="00D35A38">
        <w:trPr>
          <w:trHeight w:val="70"/>
        </w:trPr>
        <w:tc>
          <w:tcPr>
            <w:tcW w:w="2500" w:type="dxa"/>
            <w:vMerge w:val="restart"/>
            <w:tcBorders>
              <w:top w:val="single" w:sz="4" w:space="0" w:color="BFBFBF"/>
              <w:left w:val="single" w:sz="4" w:space="0" w:color="BFBFBF"/>
              <w:bottom w:val="single" w:sz="4" w:space="0" w:color="BFBFBF"/>
              <w:right w:val="nil"/>
            </w:tcBorders>
            <w:shd w:val="clear" w:color="auto" w:fill="auto"/>
            <w:noWrap/>
            <w:vAlign w:val="center"/>
            <w:hideMark/>
          </w:tcPr>
          <w:p w14:paraId="45F52854" w14:textId="77777777" w:rsidR="00166C15" w:rsidRPr="00D336A4" w:rsidRDefault="00166C15" w:rsidP="00166C15">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Group Net Debt</w:t>
            </w:r>
          </w:p>
        </w:tc>
        <w:tc>
          <w:tcPr>
            <w:tcW w:w="1044" w:type="dxa"/>
            <w:tcBorders>
              <w:top w:val="single" w:sz="4" w:space="0" w:color="BFBFBF"/>
              <w:left w:val="nil"/>
              <w:bottom w:val="nil"/>
              <w:right w:val="nil"/>
            </w:tcBorders>
            <w:shd w:val="clear" w:color="auto" w:fill="auto"/>
            <w:noWrap/>
            <w:vAlign w:val="bottom"/>
            <w:hideMark/>
          </w:tcPr>
          <w:p w14:paraId="6919059D" w14:textId="77777777" w:rsidR="00166C15" w:rsidRPr="00D336A4" w:rsidRDefault="00166C15" w:rsidP="00166C15">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1559" w:type="dxa"/>
            <w:tcBorders>
              <w:top w:val="single" w:sz="4" w:space="0" w:color="BFBFBF"/>
              <w:left w:val="nil"/>
              <w:bottom w:val="nil"/>
              <w:right w:val="nil"/>
            </w:tcBorders>
            <w:shd w:val="clear" w:color="auto" w:fill="auto"/>
            <w:noWrap/>
            <w:vAlign w:val="bottom"/>
            <w:hideMark/>
          </w:tcPr>
          <w:p w14:paraId="7FF955D6" w14:textId="77777777" w:rsidR="00166C15" w:rsidRPr="00D336A4" w:rsidRDefault="00166C15" w:rsidP="00166C15">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608" w:type="dxa"/>
            <w:tcBorders>
              <w:top w:val="single" w:sz="4" w:space="0" w:color="BFBFBF"/>
              <w:left w:val="nil"/>
              <w:bottom w:val="nil"/>
              <w:right w:val="nil"/>
            </w:tcBorders>
            <w:shd w:val="clear" w:color="auto" w:fill="auto"/>
            <w:noWrap/>
            <w:vAlign w:val="bottom"/>
            <w:hideMark/>
          </w:tcPr>
          <w:p w14:paraId="1B5EF1F9" w14:textId="77777777" w:rsidR="00166C15" w:rsidRPr="00D336A4" w:rsidRDefault="00166C15" w:rsidP="00166C15">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1560" w:type="dxa"/>
            <w:tcBorders>
              <w:top w:val="single" w:sz="4" w:space="0" w:color="BFBFBF"/>
              <w:left w:val="nil"/>
              <w:bottom w:val="nil"/>
              <w:right w:val="nil"/>
            </w:tcBorders>
            <w:shd w:val="clear" w:color="auto" w:fill="auto"/>
            <w:hideMark/>
          </w:tcPr>
          <w:p w14:paraId="1B9B59F6" w14:textId="77777777" w:rsidR="00166C15" w:rsidRDefault="00166C15" w:rsidP="00166C15">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As </w:t>
            </w:r>
            <w:proofErr w:type="gramStart"/>
            <w:r w:rsidRPr="00D336A4">
              <w:rPr>
                <w:rFonts w:ascii="Arial" w:eastAsia="Times New Roman" w:hAnsi="Arial" w:cs="Arial"/>
                <w:b/>
                <w:bCs/>
                <w:sz w:val="15"/>
                <w:szCs w:val="15"/>
                <w:lang w:eastAsia="en-GB"/>
              </w:rPr>
              <w:t>at</w:t>
            </w:r>
            <w:proofErr w:type="gramEnd"/>
            <w:r w:rsidRPr="00D336A4">
              <w:rPr>
                <w:rFonts w:ascii="Arial" w:eastAsia="Times New Roman" w:hAnsi="Arial" w:cs="Arial"/>
                <w:b/>
                <w:bCs/>
                <w:sz w:val="15"/>
                <w:szCs w:val="15"/>
                <w:lang w:eastAsia="en-GB"/>
              </w:rPr>
              <w:t xml:space="preserve"> 2 July </w:t>
            </w:r>
          </w:p>
          <w:p w14:paraId="2475A16B" w14:textId="6ABE24EC" w:rsidR="00166C15" w:rsidRPr="00D336A4" w:rsidRDefault="00166C15" w:rsidP="00166C15">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2022 </w:t>
            </w:r>
          </w:p>
        </w:tc>
        <w:tc>
          <w:tcPr>
            <w:tcW w:w="1701" w:type="dxa"/>
            <w:tcBorders>
              <w:top w:val="single" w:sz="4" w:space="0" w:color="BFBFBF"/>
              <w:left w:val="nil"/>
              <w:bottom w:val="nil"/>
              <w:right w:val="nil"/>
            </w:tcBorders>
            <w:shd w:val="clear" w:color="auto" w:fill="auto"/>
            <w:hideMark/>
          </w:tcPr>
          <w:p w14:paraId="2658010E" w14:textId="77777777" w:rsidR="00166C15" w:rsidRPr="00013138" w:rsidRDefault="00166C15" w:rsidP="00166C15">
            <w:pPr>
              <w:spacing w:after="0" w:line="240" w:lineRule="auto"/>
              <w:jc w:val="right"/>
              <w:rPr>
                <w:rFonts w:ascii="Arial" w:eastAsia="Times New Roman" w:hAnsi="Arial" w:cs="Arial"/>
                <w:sz w:val="15"/>
                <w:szCs w:val="15"/>
                <w:lang w:eastAsia="en-GB"/>
              </w:rPr>
            </w:pPr>
            <w:r w:rsidRPr="00013138">
              <w:rPr>
                <w:rFonts w:ascii="Arial" w:eastAsia="Times New Roman" w:hAnsi="Arial" w:cs="Arial"/>
                <w:sz w:val="15"/>
                <w:szCs w:val="15"/>
                <w:lang w:eastAsia="en-GB"/>
              </w:rPr>
              <w:t xml:space="preserve">As </w:t>
            </w:r>
            <w:proofErr w:type="gramStart"/>
            <w:r w:rsidRPr="00013138">
              <w:rPr>
                <w:rFonts w:ascii="Arial" w:eastAsia="Times New Roman" w:hAnsi="Arial" w:cs="Arial"/>
                <w:sz w:val="15"/>
                <w:szCs w:val="15"/>
                <w:lang w:eastAsia="en-GB"/>
              </w:rPr>
              <w:t>at</w:t>
            </w:r>
            <w:proofErr w:type="gramEnd"/>
            <w:r w:rsidRPr="00013138">
              <w:rPr>
                <w:rFonts w:ascii="Arial" w:eastAsia="Times New Roman" w:hAnsi="Arial" w:cs="Arial"/>
                <w:sz w:val="15"/>
                <w:szCs w:val="15"/>
                <w:lang w:eastAsia="en-GB"/>
              </w:rPr>
              <w:t xml:space="preserve"> </w:t>
            </w:r>
            <w:r>
              <w:rPr>
                <w:rFonts w:ascii="Arial" w:eastAsia="Times New Roman" w:hAnsi="Arial" w:cs="Arial"/>
                <w:sz w:val="15"/>
                <w:szCs w:val="15"/>
                <w:lang w:eastAsia="en-GB"/>
              </w:rPr>
              <w:t>3</w:t>
            </w:r>
            <w:r w:rsidRPr="00013138">
              <w:rPr>
                <w:rFonts w:ascii="Arial" w:eastAsia="Times New Roman" w:hAnsi="Arial" w:cs="Arial"/>
                <w:sz w:val="15"/>
                <w:szCs w:val="15"/>
                <w:lang w:eastAsia="en-GB"/>
              </w:rPr>
              <w:t xml:space="preserve"> July </w:t>
            </w:r>
          </w:p>
          <w:p w14:paraId="4FBE560B" w14:textId="192D328E" w:rsidR="00166C15" w:rsidRPr="00D336A4" w:rsidRDefault="00166C15" w:rsidP="00166C15">
            <w:pPr>
              <w:spacing w:after="0" w:line="240" w:lineRule="auto"/>
              <w:jc w:val="right"/>
              <w:rPr>
                <w:rFonts w:ascii="Arial" w:eastAsia="Times New Roman" w:hAnsi="Arial" w:cs="Arial"/>
                <w:sz w:val="15"/>
                <w:szCs w:val="15"/>
                <w:lang w:eastAsia="en-GB"/>
              </w:rPr>
            </w:pPr>
            <w:r w:rsidRPr="00013138">
              <w:rPr>
                <w:rFonts w:ascii="Arial" w:eastAsia="Times New Roman" w:hAnsi="Arial" w:cs="Arial"/>
                <w:sz w:val="15"/>
                <w:szCs w:val="15"/>
                <w:lang w:eastAsia="en-GB"/>
              </w:rPr>
              <w:t>202</w:t>
            </w:r>
            <w:r>
              <w:rPr>
                <w:rFonts w:ascii="Arial" w:eastAsia="Times New Roman" w:hAnsi="Arial" w:cs="Arial"/>
                <w:sz w:val="15"/>
                <w:szCs w:val="15"/>
                <w:lang w:eastAsia="en-GB"/>
              </w:rPr>
              <w:t>1</w:t>
            </w:r>
            <w:r w:rsidRPr="00013138">
              <w:rPr>
                <w:rFonts w:ascii="Arial" w:eastAsia="Times New Roman" w:hAnsi="Arial" w:cs="Arial"/>
                <w:sz w:val="15"/>
                <w:szCs w:val="15"/>
                <w:lang w:eastAsia="en-GB"/>
              </w:rPr>
              <w:t xml:space="preserve"> </w:t>
            </w:r>
          </w:p>
        </w:tc>
        <w:tc>
          <w:tcPr>
            <w:tcW w:w="1559" w:type="dxa"/>
            <w:tcBorders>
              <w:top w:val="single" w:sz="4" w:space="0" w:color="BFBFBF"/>
              <w:left w:val="nil"/>
              <w:bottom w:val="nil"/>
              <w:right w:val="single" w:sz="4" w:space="0" w:color="BFBFBF"/>
            </w:tcBorders>
            <w:shd w:val="clear" w:color="auto" w:fill="auto"/>
            <w:hideMark/>
          </w:tcPr>
          <w:p w14:paraId="20F48670" w14:textId="77777777" w:rsidR="00166C15" w:rsidRPr="00013138" w:rsidRDefault="00166C15" w:rsidP="00166C15">
            <w:pPr>
              <w:spacing w:after="0" w:line="240" w:lineRule="auto"/>
              <w:jc w:val="right"/>
              <w:rPr>
                <w:rFonts w:ascii="Arial" w:eastAsia="Times New Roman" w:hAnsi="Arial" w:cs="Arial"/>
                <w:sz w:val="15"/>
                <w:szCs w:val="15"/>
                <w:lang w:eastAsia="en-GB"/>
              </w:rPr>
            </w:pPr>
            <w:r w:rsidRPr="00013138">
              <w:rPr>
                <w:rFonts w:ascii="Arial" w:eastAsia="Times New Roman" w:hAnsi="Arial" w:cs="Arial"/>
                <w:sz w:val="15"/>
                <w:szCs w:val="15"/>
                <w:lang w:eastAsia="en-GB"/>
              </w:rPr>
              <w:t xml:space="preserve">As </w:t>
            </w:r>
            <w:proofErr w:type="gramStart"/>
            <w:r w:rsidRPr="00013138">
              <w:rPr>
                <w:rFonts w:ascii="Arial" w:eastAsia="Times New Roman" w:hAnsi="Arial" w:cs="Arial"/>
                <w:sz w:val="15"/>
                <w:szCs w:val="15"/>
                <w:lang w:eastAsia="en-GB"/>
              </w:rPr>
              <w:t>at</w:t>
            </w:r>
            <w:proofErr w:type="gramEnd"/>
            <w:r w:rsidRPr="00013138">
              <w:rPr>
                <w:rFonts w:ascii="Arial" w:eastAsia="Times New Roman" w:hAnsi="Arial" w:cs="Arial"/>
                <w:sz w:val="15"/>
                <w:szCs w:val="15"/>
                <w:lang w:eastAsia="en-GB"/>
              </w:rPr>
              <w:t xml:space="preserve"> </w:t>
            </w:r>
            <w:r>
              <w:rPr>
                <w:rFonts w:ascii="Arial" w:eastAsia="Times New Roman" w:hAnsi="Arial" w:cs="Arial"/>
                <w:sz w:val="15"/>
                <w:szCs w:val="15"/>
                <w:lang w:eastAsia="en-GB"/>
              </w:rPr>
              <w:t>1</w:t>
            </w:r>
            <w:r w:rsidRPr="00013138">
              <w:rPr>
                <w:rFonts w:ascii="Arial" w:eastAsia="Times New Roman" w:hAnsi="Arial" w:cs="Arial"/>
                <w:sz w:val="15"/>
                <w:szCs w:val="15"/>
                <w:lang w:eastAsia="en-GB"/>
              </w:rPr>
              <w:t xml:space="preserve"> J</w:t>
            </w:r>
            <w:r>
              <w:rPr>
                <w:rFonts w:ascii="Arial" w:eastAsia="Times New Roman" w:hAnsi="Arial" w:cs="Arial"/>
                <w:sz w:val="15"/>
                <w:szCs w:val="15"/>
                <w:lang w:eastAsia="en-GB"/>
              </w:rPr>
              <w:t>anuary</w:t>
            </w:r>
            <w:r w:rsidRPr="00013138">
              <w:rPr>
                <w:rFonts w:ascii="Arial" w:eastAsia="Times New Roman" w:hAnsi="Arial" w:cs="Arial"/>
                <w:sz w:val="15"/>
                <w:szCs w:val="15"/>
                <w:lang w:eastAsia="en-GB"/>
              </w:rPr>
              <w:t xml:space="preserve"> </w:t>
            </w:r>
          </w:p>
          <w:p w14:paraId="53F7CB79" w14:textId="5FD63EC4" w:rsidR="00166C15" w:rsidRPr="00D336A4" w:rsidRDefault="00166C15" w:rsidP="00166C15">
            <w:pPr>
              <w:spacing w:after="0" w:line="240" w:lineRule="auto"/>
              <w:jc w:val="right"/>
              <w:rPr>
                <w:rFonts w:ascii="Arial" w:eastAsia="Times New Roman" w:hAnsi="Arial" w:cs="Arial"/>
                <w:sz w:val="15"/>
                <w:szCs w:val="15"/>
                <w:lang w:eastAsia="en-GB"/>
              </w:rPr>
            </w:pPr>
            <w:r w:rsidRPr="00013138">
              <w:rPr>
                <w:rFonts w:ascii="Arial" w:eastAsia="Times New Roman" w:hAnsi="Arial" w:cs="Arial"/>
                <w:sz w:val="15"/>
                <w:szCs w:val="15"/>
                <w:lang w:eastAsia="en-GB"/>
              </w:rPr>
              <w:t>202</w:t>
            </w:r>
            <w:r>
              <w:rPr>
                <w:rFonts w:ascii="Arial" w:eastAsia="Times New Roman" w:hAnsi="Arial" w:cs="Arial"/>
                <w:sz w:val="15"/>
                <w:szCs w:val="15"/>
                <w:lang w:eastAsia="en-GB"/>
              </w:rPr>
              <w:t>2</w:t>
            </w:r>
            <w:r w:rsidRPr="00013138">
              <w:rPr>
                <w:rFonts w:ascii="Arial" w:eastAsia="Times New Roman" w:hAnsi="Arial" w:cs="Arial"/>
                <w:sz w:val="15"/>
                <w:szCs w:val="15"/>
                <w:lang w:eastAsia="en-GB"/>
              </w:rPr>
              <w:t xml:space="preserve"> </w:t>
            </w:r>
          </w:p>
        </w:tc>
        <w:tc>
          <w:tcPr>
            <w:tcW w:w="236" w:type="dxa"/>
            <w:vAlign w:val="center"/>
            <w:hideMark/>
          </w:tcPr>
          <w:p w14:paraId="6445B4E0" w14:textId="77777777" w:rsidR="00166C15" w:rsidRPr="00D336A4" w:rsidRDefault="00166C15" w:rsidP="00166C15">
            <w:pPr>
              <w:spacing w:after="0" w:line="240" w:lineRule="auto"/>
              <w:rPr>
                <w:rFonts w:ascii="Times New Roman" w:eastAsia="Times New Roman" w:hAnsi="Times New Roman" w:cs="Times New Roman"/>
                <w:sz w:val="20"/>
                <w:szCs w:val="20"/>
                <w:lang w:eastAsia="en-GB"/>
              </w:rPr>
            </w:pPr>
          </w:p>
        </w:tc>
      </w:tr>
      <w:tr w:rsidR="006F66E1" w:rsidRPr="00D336A4" w14:paraId="51D420A3" w14:textId="77777777" w:rsidTr="00D35A38">
        <w:trPr>
          <w:trHeight w:val="300"/>
        </w:trPr>
        <w:tc>
          <w:tcPr>
            <w:tcW w:w="2500" w:type="dxa"/>
            <w:vMerge/>
            <w:tcBorders>
              <w:top w:val="single" w:sz="4" w:space="0" w:color="BFBFBF"/>
              <w:left w:val="single" w:sz="4" w:space="0" w:color="BFBFBF"/>
              <w:bottom w:val="single" w:sz="4" w:space="0" w:color="BFBFBF"/>
              <w:right w:val="nil"/>
            </w:tcBorders>
            <w:shd w:val="clear" w:color="auto" w:fill="auto"/>
            <w:vAlign w:val="center"/>
            <w:hideMark/>
          </w:tcPr>
          <w:p w14:paraId="5DF625AF" w14:textId="77777777" w:rsidR="00D336A4" w:rsidRPr="00D336A4" w:rsidRDefault="00D336A4" w:rsidP="00D336A4">
            <w:pPr>
              <w:spacing w:after="0" w:line="240" w:lineRule="auto"/>
              <w:rPr>
                <w:rFonts w:ascii="Arial" w:eastAsia="Times New Roman" w:hAnsi="Arial" w:cs="Arial"/>
                <w:b/>
                <w:bCs/>
                <w:sz w:val="15"/>
                <w:szCs w:val="15"/>
                <w:lang w:eastAsia="en-GB"/>
              </w:rPr>
            </w:pPr>
          </w:p>
        </w:tc>
        <w:tc>
          <w:tcPr>
            <w:tcW w:w="1044" w:type="dxa"/>
            <w:tcBorders>
              <w:top w:val="nil"/>
              <w:left w:val="nil"/>
              <w:bottom w:val="nil"/>
              <w:right w:val="nil"/>
            </w:tcBorders>
            <w:shd w:val="clear" w:color="auto" w:fill="auto"/>
            <w:noWrap/>
            <w:vAlign w:val="bottom"/>
            <w:hideMark/>
          </w:tcPr>
          <w:p w14:paraId="47108191"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1559" w:type="dxa"/>
            <w:tcBorders>
              <w:top w:val="nil"/>
              <w:left w:val="nil"/>
              <w:bottom w:val="nil"/>
              <w:right w:val="nil"/>
            </w:tcBorders>
            <w:shd w:val="clear" w:color="auto" w:fill="auto"/>
            <w:noWrap/>
            <w:vAlign w:val="bottom"/>
            <w:hideMark/>
          </w:tcPr>
          <w:p w14:paraId="5F476D18"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608" w:type="dxa"/>
            <w:tcBorders>
              <w:top w:val="nil"/>
              <w:left w:val="nil"/>
              <w:bottom w:val="nil"/>
              <w:right w:val="nil"/>
            </w:tcBorders>
            <w:shd w:val="clear" w:color="auto" w:fill="auto"/>
            <w:noWrap/>
            <w:vAlign w:val="bottom"/>
            <w:hideMark/>
          </w:tcPr>
          <w:p w14:paraId="52310E41" w14:textId="77777777" w:rsidR="00D336A4" w:rsidRPr="00D336A4" w:rsidRDefault="00D336A4" w:rsidP="00D336A4">
            <w:pPr>
              <w:spacing w:after="0" w:line="240" w:lineRule="auto"/>
              <w:rPr>
                <w:rFonts w:ascii="Arial" w:eastAsia="Times New Roman" w:hAnsi="Arial" w:cs="Arial"/>
                <w:sz w:val="14"/>
                <w:szCs w:val="14"/>
                <w:lang w:eastAsia="en-GB"/>
              </w:rPr>
            </w:pPr>
            <w:r w:rsidRPr="00D336A4">
              <w:rPr>
                <w:rFonts w:ascii="Arial" w:eastAsia="Times New Roman" w:hAnsi="Arial" w:cs="Arial"/>
                <w:sz w:val="14"/>
                <w:szCs w:val="14"/>
                <w:lang w:eastAsia="en-GB"/>
              </w:rPr>
              <w:t> </w:t>
            </w:r>
          </w:p>
        </w:tc>
        <w:tc>
          <w:tcPr>
            <w:tcW w:w="1560" w:type="dxa"/>
            <w:tcBorders>
              <w:top w:val="nil"/>
              <w:left w:val="nil"/>
              <w:bottom w:val="nil"/>
              <w:right w:val="nil"/>
            </w:tcBorders>
            <w:shd w:val="clear" w:color="auto" w:fill="auto"/>
            <w:noWrap/>
            <w:hideMark/>
          </w:tcPr>
          <w:p w14:paraId="3EFCB9F7" w14:textId="77777777" w:rsidR="00D336A4" w:rsidRPr="00D336A4" w:rsidRDefault="00D336A4" w:rsidP="006F477E">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(unaudited)</w:t>
            </w:r>
          </w:p>
        </w:tc>
        <w:tc>
          <w:tcPr>
            <w:tcW w:w="1701" w:type="dxa"/>
            <w:tcBorders>
              <w:top w:val="nil"/>
              <w:left w:val="nil"/>
              <w:bottom w:val="nil"/>
              <w:right w:val="nil"/>
            </w:tcBorders>
            <w:shd w:val="clear" w:color="auto" w:fill="auto"/>
            <w:noWrap/>
            <w:hideMark/>
          </w:tcPr>
          <w:p w14:paraId="00771738" w14:textId="77777777" w:rsidR="00D336A4" w:rsidRPr="00D336A4" w:rsidRDefault="00D336A4" w:rsidP="006F477E">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(unaudited)</w:t>
            </w:r>
          </w:p>
        </w:tc>
        <w:tc>
          <w:tcPr>
            <w:tcW w:w="1559" w:type="dxa"/>
            <w:tcBorders>
              <w:top w:val="nil"/>
              <w:left w:val="nil"/>
              <w:bottom w:val="nil"/>
              <w:right w:val="single" w:sz="4" w:space="0" w:color="BFBFBF"/>
            </w:tcBorders>
            <w:shd w:val="clear" w:color="auto" w:fill="auto"/>
            <w:noWrap/>
            <w:hideMark/>
          </w:tcPr>
          <w:p w14:paraId="73C274B1" w14:textId="77777777" w:rsidR="00D336A4" w:rsidRPr="00D336A4" w:rsidRDefault="00D336A4" w:rsidP="006F477E">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(audited)</w:t>
            </w:r>
          </w:p>
        </w:tc>
        <w:tc>
          <w:tcPr>
            <w:tcW w:w="236" w:type="dxa"/>
            <w:vAlign w:val="center"/>
            <w:hideMark/>
          </w:tcPr>
          <w:p w14:paraId="060390BC"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6F66E1" w:rsidRPr="00D336A4" w14:paraId="4BA9E052" w14:textId="77777777" w:rsidTr="00D35A38">
        <w:trPr>
          <w:trHeight w:val="229"/>
        </w:trPr>
        <w:tc>
          <w:tcPr>
            <w:tcW w:w="2500" w:type="dxa"/>
            <w:vMerge/>
            <w:tcBorders>
              <w:top w:val="single" w:sz="4" w:space="0" w:color="BFBFBF"/>
              <w:left w:val="single" w:sz="4" w:space="0" w:color="BFBFBF"/>
              <w:bottom w:val="single" w:sz="4" w:space="0" w:color="BFBFBF"/>
              <w:right w:val="nil"/>
            </w:tcBorders>
            <w:shd w:val="clear" w:color="auto" w:fill="auto"/>
            <w:vAlign w:val="center"/>
            <w:hideMark/>
          </w:tcPr>
          <w:p w14:paraId="51F4EAB9" w14:textId="77777777" w:rsidR="00D336A4" w:rsidRPr="00D336A4" w:rsidRDefault="00D336A4" w:rsidP="00D336A4">
            <w:pPr>
              <w:spacing w:after="0" w:line="240" w:lineRule="auto"/>
              <w:rPr>
                <w:rFonts w:ascii="Arial" w:eastAsia="Times New Roman" w:hAnsi="Arial" w:cs="Arial"/>
                <w:b/>
                <w:bCs/>
                <w:sz w:val="15"/>
                <w:szCs w:val="15"/>
                <w:lang w:eastAsia="en-GB"/>
              </w:rPr>
            </w:pPr>
          </w:p>
        </w:tc>
        <w:tc>
          <w:tcPr>
            <w:tcW w:w="1044" w:type="dxa"/>
            <w:tcBorders>
              <w:top w:val="nil"/>
              <w:left w:val="nil"/>
              <w:bottom w:val="single" w:sz="4" w:space="0" w:color="BFBFBF"/>
              <w:right w:val="nil"/>
            </w:tcBorders>
            <w:shd w:val="clear" w:color="auto" w:fill="auto"/>
            <w:noWrap/>
            <w:vAlign w:val="bottom"/>
            <w:hideMark/>
          </w:tcPr>
          <w:p w14:paraId="3BDDAF6C" w14:textId="77777777" w:rsidR="00D336A4" w:rsidRPr="00D336A4" w:rsidRDefault="00D336A4" w:rsidP="00D336A4">
            <w:pPr>
              <w:spacing w:after="0" w:line="240" w:lineRule="auto"/>
              <w:jc w:val="right"/>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1559" w:type="dxa"/>
            <w:tcBorders>
              <w:top w:val="nil"/>
              <w:left w:val="nil"/>
              <w:bottom w:val="single" w:sz="4" w:space="0" w:color="BFBFBF"/>
              <w:right w:val="nil"/>
            </w:tcBorders>
            <w:shd w:val="clear" w:color="auto" w:fill="auto"/>
            <w:noWrap/>
            <w:vAlign w:val="bottom"/>
            <w:hideMark/>
          </w:tcPr>
          <w:p w14:paraId="429F9182" w14:textId="77777777" w:rsidR="00D336A4" w:rsidRPr="00D336A4" w:rsidRDefault="00D336A4" w:rsidP="00D336A4">
            <w:pPr>
              <w:spacing w:after="0" w:line="240" w:lineRule="auto"/>
              <w:jc w:val="right"/>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608" w:type="dxa"/>
            <w:tcBorders>
              <w:top w:val="nil"/>
              <w:left w:val="nil"/>
              <w:bottom w:val="single" w:sz="4" w:space="0" w:color="BFBFBF"/>
              <w:right w:val="nil"/>
            </w:tcBorders>
            <w:shd w:val="clear" w:color="auto" w:fill="auto"/>
            <w:noWrap/>
            <w:vAlign w:val="bottom"/>
            <w:hideMark/>
          </w:tcPr>
          <w:p w14:paraId="7E9E08CE"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Notes</w:t>
            </w:r>
          </w:p>
        </w:tc>
        <w:tc>
          <w:tcPr>
            <w:tcW w:w="1560" w:type="dxa"/>
            <w:tcBorders>
              <w:top w:val="nil"/>
              <w:left w:val="nil"/>
              <w:bottom w:val="single" w:sz="4" w:space="0" w:color="BFBFBF"/>
              <w:right w:val="nil"/>
            </w:tcBorders>
            <w:shd w:val="clear" w:color="auto" w:fill="auto"/>
            <w:noWrap/>
            <w:vAlign w:val="bottom"/>
            <w:hideMark/>
          </w:tcPr>
          <w:p w14:paraId="0FC4CC36" w14:textId="77777777" w:rsidR="00D336A4" w:rsidRPr="00D336A4" w:rsidRDefault="00D336A4" w:rsidP="006F477E">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£m</w:t>
            </w:r>
          </w:p>
        </w:tc>
        <w:tc>
          <w:tcPr>
            <w:tcW w:w="1701" w:type="dxa"/>
            <w:tcBorders>
              <w:top w:val="nil"/>
              <w:left w:val="nil"/>
              <w:bottom w:val="single" w:sz="4" w:space="0" w:color="BFBFBF"/>
              <w:right w:val="nil"/>
            </w:tcBorders>
            <w:shd w:val="clear" w:color="auto" w:fill="auto"/>
            <w:noWrap/>
            <w:vAlign w:val="bottom"/>
            <w:hideMark/>
          </w:tcPr>
          <w:p w14:paraId="0BDAF362" w14:textId="77777777" w:rsidR="00D336A4" w:rsidRPr="00D336A4" w:rsidRDefault="00D336A4" w:rsidP="006F477E">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£m</w:t>
            </w:r>
          </w:p>
        </w:tc>
        <w:tc>
          <w:tcPr>
            <w:tcW w:w="1559" w:type="dxa"/>
            <w:tcBorders>
              <w:top w:val="nil"/>
              <w:left w:val="nil"/>
              <w:bottom w:val="single" w:sz="4" w:space="0" w:color="BFBFBF"/>
              <w:right w:val="single" w:sz="4" w:space="0" w:color="BFBFBF"/>
            </w:tcBorders>
            <w:shd w:val="clear" w:color="auto" w:fill="auto"/>
            <w:noWrap/>
            <w:vAlign w:val="bottom"/>
            <w:hideMark/>
          </w:tcPr>
          <w:p w14:paraId="69B7C02E" w14:textId="77777777" w:rsidR="00D336A4" w:rsidRPr="00D336A4" w:rsidRDefault="00D336A4" w:rsidP="006F477E">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£m</w:t>
            </w:r>
          </w:p>
        </w:tc>
        <w:tc>
          <w:tcPr>
            <w:tcW w:w="236" w:type="dxa"/>
            <w:vAlign w:val="center"/>
            <w:hideMark/>
          </w:tcPr>
          <w:p w14:paraId="49548CC9"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037A5999" w14:textId="77777777" w:rsidTr="00D35A38">
        <w:trPr>
          <w:trHeight w:val="255"/>
        </w:trPr>
        <w:tc>
          <w:tcPr>
            <w:tcW w:w="3544" w:type="dxa"/>
            <w:gridSpan w:val="2"/>
            <w:tcBorders>
              <w:top w:val="nil"/>
              <w:left w:val="nil"/>
              <w:bottom w:val="nil"/>
              <w:right w:val="nil"/>
            </w:tcBorders>
            <w:shd w:val="clear" w:color="auto" w:fill="auto"/>
            <w:noWrap/>
            <w:vAlign w:val="bottom"/>
            <w:hideMark/>
          </w:tcPr>
          <w:p w14:paraId="4F0F99CE"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Interest-bearing loans and borrowings:</w:t>
            </w:r>
          </w:p>
        </w:tc>
        <w:tc>
          <w:tcPr>
            <w:tcW w:w="1559" w:type="dxa"/>
            <w:tcBorders>
              <w:top w:val="nil"/>
              <w:left w:val="nil"/>
              <w:bottom w:val="nil"/>
              <w:right w:val="nil"/>
            </w:tcBorders>
            <w:shd w:val="clear" w:color="auto" w:fill="auto"/>
            <w:noWrap/>
            <w:vAlign w:val="bottom"/>
            <w:hideMark/>
          </w:tcPr>
          <w:p w14:paraId="248C62E2"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608" w:type="dxa"/>
            <w:tcBorders>
              <w:top w:val="nil"/>
              <w:left w:val="nil"/>
              <w:bottom w:val="nil"/>
              <w:right w:val="nil"/>
            </w:tcBorders>
            <w:shd w:val="clear" w:color="auto" w:fill="auto"/>
            <w:noWrap/>
            <w:vAlign w:val="bottom"/>
            <w:hideMark/>
          </w:tcPr>
          <w:p w14:paraId="38BA32EC"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5A4051C3" w14:textId="77777777" w:rsidR="00D336A4" w:rsidRPr="00D336A4" w:rsidRDefault="00D336A4" w:rsidP="00D336A4">
            <w:pPr>
              <w:spacing w:after="0" w:line="240" w:lineRule="auto"/>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1701" w:type="dxa"/>
            <w:tcBorders>
              <w:top w:val="nil"/>
              <w:left w:val="nil"/>
              <w:bottom w:val="nil"/>
              <w:right w:val="nil"/>
            </w:tcBorders>
            <w:shd w:val="clear" w:color="000000" w:fill="FFFFFF"/>
            <w:noWrap/>
            <w:vAlign w:val="bottom"/>
            <w:hideMark/>
          </w:tcPr>
          <w:p w14:paraId="708D915C" w14:textId="77777777" w:rsidR="00D336A4" w:rsidRPr="00D336A4" w:rsidRDefault="00D336A4" w:rsidP="00D336A4">
            <w:pPr>
              <w:spacing w:after="0" w:line="240" w:lineRule="auto"/>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1559" w:type="dxa"/>
            <w:tcBorders>
              <w:top w:val="nil"/>
              <w:left w:val="nil"/>
              <w:bottom w:val="nil"/>
              <w:right w:val="nil"/>
            </w:tcBorders>
            <w:shd w:val="clear" w:color="000000" w:fill="FFFFFF"/>
            <w:noWrap/>
            <w:vAlign w:val="bottom"/>
            <w:hideMark/>
          </w:tcPr>
          <w:p w14:paraId="020E695E" w14:textId="77777777" w:rsidR="00D336A4" w:rsidRPr="00D336A4" w:rsidRDefault="00D336A4" w:rsidP="00D336A4">
            <w:pPr>
              <w:spacing w:after="0" w:line="240" w:lineRule="auto"/>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236" w:type="dxa"/>
            <w:vAlign w:val="center"/>
            <w:hideMark/>
          </w:tcPr>
          <w:p w14:paraId="7DECE0D5"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3A3EEDA4" w14:textId="77777777" w:rsidTr="00D35A38">
        <w:trPr>
          <w:trHeight w:val="255"/>
        </w:trPr>
        <w:tc>
          <w:tcPr>
            <w:tcW w:w="3544" w:type="dxa"/>
            <w:gridSpan w:val="2"/>
            <w:tcBorders>
              <w:top w:val="nil"/>
              <w:left w:val="nil"/>
              <w:bottom w:val="nil"/>
              <w:right w:val="nil"/>
            </w:tcBorders>
            <w:shd w:val="clear" w:color="auto" w:fill="auto"/>
            <w:vAlign w:val="center"/>
            <w:hideMark/>
          </w:tcPr>
          <w:p w14:paraId="07CC03B3"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 - current </w:t>
            </w:r>
          </w:p>
        </w:tc>
        <w:tc>
          <w:tcPr>
            <w:tcW w:w="1559" w:type="dxa"/>
            <w:tcBorders>
              <w:top w:val="nil"/>
              <w:left w:val="nil"/>
              <w:bottom w:val="nil"/>
              <w:right w:val="nil"/>
            </w:tcBorders>
            <w:shd w:val="clear" w:color="auto" w:fill="auto"/>
            <w:noWrap/>
            <w:vAlign w:val="bottom"/>
            <w:hideMark/>
          </w:tcPr>
          <w:p w14:paraId="38B69796"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608" w:type="dxa"/>
            <w:tcBorders>
              <w:top w:val="nil"/>
              <w:left w:val="nil"/>
              <w:bottom w:val="nil"/>
              <w:right w:val="nil"/>
            </w:tcBorders>
            <w:shd w:val="clear" w:color="auto" w:fill="auto"/>
            <w:noWrap/>
            <w:vAlign w:val="bottom"/>
            <w:hideMark/>
          </w:tcPr>
          <w:p w14:paraId="4FE219C0"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3002C6CC"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(74)</w:t>
            </w:r>
          </w:p>
        </w:tc>
        <w:tc>
          <w:tcPr>
            <w:tcW w:w="1701" w:type="dxa"/>
            <w:tcBorders>
              <w:top w:val="nil"/>
              <w:left w:val="nil"/>
              <w:bottom w:val="nil"/>
              <w:right w:val="nil"/>
            </w:tcBorders>
            <w:shd w:val="clear" w:color="000000" w:fill="FFFFFF"/>
            <w:noWrap/>
            <w:vAlign w:val="bottom"/>
            <w:hideMark/>
          </w:tcPr>
          <w:p w14:paraId="75915719"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(39)</w:t>
            </w:r>
          </w:p>
        </w:tc>
        <w:tc>
          <w:tcPr>
            <w:tcW w:w="1559" w:type="dxa"/>
            <w:tcBorders>
              <w:top w:val="nil"/>
              <w:left w:val="nil"/>
              <w:bottom w:val="nil"/>
              <w:right w:val="nil"/>
            </w:tcBorders>
            <w:shd w:val="clear" w:color="000000" w:fill="FFFFFF"/>
            <w:noWrap/>
            <w:vAlign w:val="bottom"/>
            <w:hideMark/>
          </w:tcPr>
          <w:p w14:paraId="63C755DD"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(180)</w:t>
            </w:r>
          </w:p>
        </w:tc>
        <w:tc>
          <w:tcPr>
            <w:tcW w:w="236" w:type="dxa"/>
            <w:vAlign w:val="center"/>
            <w:hideMark/>
          </w:tcPr>
          <w:p w14:paraId="7135DBD2"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5BBC7443" w14:textId="77777777" w:rsidTr="00D35A38">
        <w:trPr>
          <w:trHeight w:val="255"/>
        </w:trPr>
        <w:tc>
          <w:tcPr>
            <w:tcW w:w="3544" w:type="dxa"/>
            <w:gridSpan w:val="2"/>
            <w:tcBorders>
              <w:top w:val="nil"/>
              <w:left w:val="nil"/>
              <w:bottom w:val="single" w:sz="4" w:space="0" w:color="BFBFBF"/>
              <w:right w:val="nil"/>
            </w:tcBorders>
            <w:shd w:val="clear" w:color="auto" w:fill="auto"/>
            <w:vAlign w:val="center"/>
            <w:hideMark/>
          </w:tcPr>
          <w:p w14:paraId="1B2F8B37"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 - non-current </w:t>
            </w:r>
          </w:p>
        </w:tc>
        <w:tc>
          <w:tcPr>
            <w:tcW w:w="1559" w:type="dxa"/>
            <w:tcBorders>
              <w:top w:val="nil"/>
              <w:left w:val="nil"/>
              <w:bottom w:val="single" w:sz="4" w:space="0" w:color="BFBFBF"/>
              <w:right w:val="nil"/>
            </w:tcBorders>
            <w:shd w:val="clear" w:color="auto" w:fill="auto"/>
            <w:noWrap/>
            <w:vAlign w:val="bottom"/>
            <w:hideMark/>
          </w:tcPr>
          <w:p w14:paraId="09FC8045" w14:textId="77777777" w:rsidR="00D336A4" w:rsidRPr="00D336A4" w:rsidRDefault="00D336A4" w:rsidP="00D336A4">
            <w:pPr>
              <w:spacing w:after="0" w:line="240" w:lineRule="auto"/>
              <w:rPr>
                <w:rFonts w:ascii="Arial" w:eastAsia="Times New Roman" w:hAnsi="Arial" w:cs="Arial"/>
                <w:sz w:val="20"/>
                <w:szCs w:val="20"/>
                <w:lang w:eastAsia="en-GB"/>
              </w:rPr>
            </w:pPr>
            <w:r w:rsidRPr="00D336A4">
              <w:rPr>
                <w:rFonts w:ascii="Arial" w:eastAsia="Times New Roman" w:hAnsi="Arial" w:cs="Arial"/>
                <w:sz w:val="20"/>
                <w:szCs w:val="20"/>
                <w:lang w:eastAsia="en-GB"/>
              </w:rPr>
              <w:t> </w:t>
            </w:r>
          </w:p>
        </w:tc>
        <w:tc>
          <w:tcPr>
            <w:tcW w:w="608" w:type="dxa"/>
            <w:tcBorders>
              <w:top w:val="nil"/>
              <w:left w:val="nil"/>
              <w:bottom w:val="single" w:sz="4" w:space="0" w:color="BFBFBF"/>
              <w:right w:val="nil"/>
            </w:tcBorders>
            <w:shd w:val="clear" w:color="auto" w:fill="auto"/>
            <w:noWrap/>
            <w:vAlign w:val="bottom"/>
            <w:hideMark/>
          </w:tcPr>
          <w:p w14:paraId="36D18EE4"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60" w:type="dxa"/>
            <w:tcBorders>
              <w:top w:val="nil"/>
              <w:left w:val="nil"/>
              <w:bottom w:val="single" w:sz="4" w:space="0" w:color="BFBFBF"/>
              <w:right w:val="nil"/>
            </w:tcBorders>
            <w:shd w:val="clear" w:color="auto" w:fill="CCECFF"/>
            <w:noWrap/>
            <w:vAlign w:val="bottom"/>
            <w:hideMark/>
          </w:tcPr>
          <w:p w14:paraId="206380AB"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(765)</w:t>
            </w:r>
          </w:p>
        </w:tc>
        <w:tc>
          <w:tcPr>
            <w:tcW w:w="1701" w:type="dxa"/>
            <w:tcBorders>
              <w:top w:val="nil"/>
              <w:left w:val="nil"/>
              <w:bottom w:val="single" w:sz="4" w:space="0" w:color="BFBFBF"/>
              <w:right w:val="nil"/>
            </w:tcBorders>
            <w:shd w:val="clear" w:color="000000" w:fill="FFFFFF"/>
            <w:noWrap/>
            <w:vAlign w:val="bottom"/>
            <w:hideMark/>
          </w:tcPr>
          <w:p w14:paraId="244BF0AC"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(803)</w:t>
            </w:r>
          </w:p>
        </w:tc>
        <w:tc>
          <w:tcPr>
            <w:tcW w:w="1559" w:type="dxa"/>
            <w:tcBorders>
              <w:top w:val="nil"/>
              <w:left w:val="nil"/>
              <w:bottom w:val="single" w:sz="4" w:space="0" w:color="BFBFBF"/>
              <w:right w:val="nil"/>
            </w:tcBorders>
            <w:shd w:val="clear" w:color="000000" w:fill="FFFFFF"/>
            <w:noWrap/>
            <w:vAlign w:val="bottom"/>
            <w:hideMark/>
          </w:tcPr>
          <w:p w14:paraId="105CB414"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(796)</w:t>
            </w:r>
          </w:p>
        </w:tc>
        <w:tc>
          <w:tcPr>
            <w:tcW w:w="236" w:type="dxa"/>
            <w:vAlign w:val="center"/>
            <w:hideMark/>
          </w:tcPr>
          <w:p w14:paraId="4F752294"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781D7290" w14:textId="77777777" w:rsidTr="00D35A38">
        <w:trPr>
          <w:trHeight w:val="255"/>
        </w:trPr>
        <w:tc>
          <w:tcPr>
            <w:tcW w:w="3544" w:type="dxa"/>
            <w:gridSpan w:val="2"/>
            <w:tcBorders>
              <w:top w:val="single" w:sz="4" w:space="0" w:color="BFBFBF"/>
              <w:left w:val="nil"/>
              <w:bottom w:val="single" w:sz="4" w:space="0" w:color="BFBFBF"/>
              <w:right w:val="nil"/>
            </w:tcBorders>
            <w:shd w:val="clear" w:color="auto" w:fill="auto"/>
            <w:noWrap/>
            <w:vAlign w:val="center"/>
            <w:hideMark/>
          </w:tcPr>
          <w:p w14:paraId="67C508C7"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Total Interest-bearing loans and borrowings </w:t>
            </w:r>
          </w:p>
        </w:tc>
        <w:tc>
          <w:tcPr>
            <w:tcW w:w="1559" w:type="dxa"/>
            <w:tcBorders>
              <w:top w:val="nil"/>
              <w:left w:val="nil"/>
              <w:bottom w:val="single" w:sz="4" w:space="0" w:color="BFBFBF"/>
              <w:right w:val="nil"/>
            </w:tcBorders>
            <w:shd w:val="clear" w:color="auto" w:fill="auto"/>
            <w:vAlign w:val="center"/>
            <w:hideMark/>
          </w:tcPr>
          <w:p w14:paraId="0CEE9D5A"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608" w:type="dxa"/>
            <w:tcBorders>
              <w:top w:val="nil"/>
              <w:left w:val="nil"/>
              <w:bottom w:val="single" w:sz="4" w:space="0" w:color="BFBFBF"/>
              <w:right w:val="nil"/>
            </w:tcBorders>
            <w:shd w:val="clear" w:color="auto" w:fill="auto"/>
            <w:vAlign w:val="center"/>
            <w:hideMark/>
          </w:tcPr>
          <w:p w14:paraId="39173E1E"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60" w:type="dxa"/>
            <w:tcBorders>
              <w:top w:val="nil"/>
              <w:left w:val="nil"/>
              <w:bottom w:val="single" w:sz="4" w:space="0" w:color="BFBFBF"/>
              <w:right w:val="nil"/>
            </w:tcBorders>
            <w:shd w:val="clear" w:color="auto" w:fill="CCECFF"/>
            <w:noWrap/>
            <w:vAlign w:val="bottom"/>
            <w:hideMark/>
          </w:tcPr>
          <w:p w14:paraId="4BB6D61F"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(839)</w:t>
            </w:r>
          </w:p>
        </w:tc>
        <w:tc>
          <w:tcPr>
            <w:tcW w:w="1701" w:type="dxa"/>
            <w:tcBorders>
              <w:top w:val="nil"/>
              <w:left w:val="nil"/>
              <w:bottom w:val="single" w:sz="4" w:space="0" w:color="BFBFBF"/>
              <w:right w:val="nil"/>
            </w:tcBorders>
            <w:shd w:val="clear" w:color="000000" w:fill="FFFFFF"/>
            <w:noWrap/>
            <w:vAlign w:val="bottom"/>
            <w:hideMark/>
          </w:tcPr>
          <w:p w14:paraId="40413934"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(842)</w:t>
            </w:r>
          </w:p>
        </w:tc>
        <w:tc>
          <w:tcPr>
            <w:tcW w:w="1559" w:type="dxa"/>
            <w:tcBorders>
              <w:top w:val="nil"/>
              <w:left w:val="nil"/>
              <w:bottom w:val="single" w:sz="4" w:space="0" w:color="BFBFBF"/>
              <w:right w:val="nil"/>
            </w:tcBorders>
            <w:shd w:val="clear" w:color="000000" w:fill="FFFFFF"/>
            <w:noWrap/>
            <w:vAlign w:val="bottom"/>
            <w:hideMark/>
          </w:tcPr>
          <w:p w14:paraId="213C66D8"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(976)</w:t>
            </w:r>
          </w:p>
        </w:tc>
        <w:tc>
          <w:tcPr>
            <w:tcW w:w="236" w:type="dxa"/>
            <w:vAlign w:val="center"/>
            <w:hideMark/>
          </w:tcPr>
          <w:p w14:paraId="254235FA"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2ECCFFD3" w14:textId="77777777" w:rsidTr="00D35A38">
        <w:trPr>
          <w:trHeight w:val="255"/>
        </w:trPr>
        <w:tc>
          <w:tcPr>
            <w:tcW w:w="2500" w:type="dxa"/>
            <w:tcBorders>
              <w:top w:val="nil"/>
              <w:left w:val="nil"/>
              <w:bottom w:val="nil"/>
              <w:right w:val="nil"/>
            </w:tcBorders>
            <w:shd w:val="clear" w:color="auto" w:fill="auto"/>
            <w:vAlign w:val="center"/>
            <w:hideMark/>
          </w:tcPr>
          <w:p w14:paraId="1CC0E7BD"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Lease liabilities:</w:t>
            </w:r>
          </w:p>
        </w:tc>
        <w:tc>
          <w:tcPr>
            <w:tcW w:w="1044" w:type="dxa"/>
            <w:tcBorders>
              <w:top w:val="nil"/>
              <w:left w:val="nil"/>
              <w:bottom w:val="nil"/>
              <w:right w:val="nil"/>
            </w:tcBorders>
            <w:shd w:val="clear" w:color="auto" w:fill="auto"/>
            <w:vAlign w:val="center"/>
            <w:hideMark/>
          </w:tcPr>
          <w:p w14:paraId="2F870704"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1559" w:type="dxa"/>
            <w:tcBorders>
              <w:top w:val="nil"/>
              <w:left w:val="nil"/>
              <w:bottom w:val="nil"/>
              <w:right w:val="nil"/>
            </w:tcBorders>
            <w:shd w:val="clear" w:color="auto" w:fill="auto"/>
            <w:vAlign w:val="center"/>
            <w:hideMark/>
          </w:tcPr>
          <w:p w14:paraId="6A24F79F"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vAlign w:val="center"/>
            <w:hideMark/>
          </w:tcPr>
          <w:p w14:paraId="273C806E"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5717C47E"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w:t>
            </w:r>
          </w:p>
        </w:tc>
        <w:tc>
          <w:tcPr>
            <w:tcW w:w="1701" w:type="dxa"/>
            <w:tcBorders>
              <w:top w:val="nil"/>
              <w:left w:val="nil"/>
              <w:bottom w:val="nil"/>
              <w:right w:val="nil"/>
            </w:tcBorders>
            <w:shd w:val="clear" w:color="000000" w:fill="FFFFFF"/>
            <w:noWrap/>
            <w:vAlign w:val="bottom"/>
            <w:hideMark/>
          </w:tcPr>
          <w:p w14:paraId="45D9E905"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59" w:type="dxa"/>
            <w:tcBorders>
              <w:top w:val="nil"/>
              <w:left w:val="nil"/>
              <w:bottom w:val="nil"/>
              <w:right w:val="nil"/>
            </w:tcBorders>
            <w:shd w:val="clear" w:color="000000" w:fill="FFFFFF"/>
            <w:noWrap/>
            <w:vAlign w:val="bottom"/>
            <w:hideMark/>
          </w:tcPr>
          <w:p w14:paraId="53CD3716"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236" w:type="dxa"/>
            <w:vAlign w:val="center"/>
            <w:hideMark/>
          </w:tcPr>
          <w:p w14:paraId="02C731C5"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7CABC78A" w14:textId="77777777" w:rsidTr="00D35A38">
        <w:trPr>
          <w:trHeight w:val="255"/>
        </w:trPr>
        <w:tc>
          <w:tcPr>
            <w:tcW w:w="3544" w:type="dxa"/>
            <w:gridSpan w:val="2"/>
            <w:tcBorders>
              <w:top w:val="nil"/>
              <w:left w:val="nil"/>
              <w:bottom w:val="nil"/>
              <w:right w:val="nil"/>
            </w:tcBorders>
            <w:shd w:val="clear" w:color="auto" w:fill="auto"/>
            <w:vAlign w:val="center"/>
            <w:hideMark/>
          </w:tcPr>
          <w:p w14:paraId="097F1068"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 - current *</w:t>
            </w:r>
          </w:p>
        </w:tc>
        <w:tc>
          <w:tcPr>
            <w:tcW w:w="1559" w:type="dxa"/>
            <w:tcBorders>
              <w:top w:val="nil"/>
              <w:left w:val="nil"/>
              <w:bottom w:val="nil"/>
              <w:right w:val="nil"/>
            </w:tcBorders>
            <w:shd w:val="clear" w:color="auto" w:fill="auto"/>
            <w:vAlign w:val="center"/>
            <w:hideMark/>
          </w:tcPr>
          <w:p w14:paraId="6AA52C96"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608" w:type="dxa"/>
            <w:tcBorders>
              <w:top w:val="nil"/>
              <w:left w:val="nil"/>
              <w:bottom w:val="nil"/>
              <w:right w:val="nil"/>
            </w:tcBorders>
            <w:shd w:val="clear" w:color="auto" w:fill="auto"/>
            <w:vAlign w:val="center"/>
            <w:hideMark/>
          </w:tcPr>
          <w:p w14:paraId="5DAC6948"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3A4FD37C"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(180)</w:t>
            </w:r>
          </w:p>
        </w:tc>
        <w:tc>
          <w:tcPr>
            <w:tcW w:w="1701" w:type="dxa"/>
            <w:tcBorders>
              <w:top w:val="nil"/>
              <w:left w:val="nil"/>
              <w:bottom w:val="nil"/>
              <w:right w:val="nil"/>
            </w:tcBorders>
            <w:shd w:val="clear" w:color="000000" w:fill="FFFFFF"/>
            <w:noWrap/>
            <w:vAlign w:val="bottom"/>
            <w:hideMark/>
          </w:tcPr>
          <w:p w14:paraId="23711E34"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(197)</w:t>
            </w:r>
          </w:p>
        </w:tc>
        <w:tc>
          <w:tcPr>
            <w:tcW w:w="1559" w:type="dxa"/>
            <w:tcBorders>
              <w:top w:val="nil"/>
              <w:left w:val="nil"/>
              <w:bottom w:val="nil"/>
              <w:right w:val="nil"/>
            </w:tcBorders>
            <w:shd w:val="clear" w:color="000000" w:fill="FFFFFF"/>
            <w:noWrap/>
            <w:vAlign w:val="bottom"/>
            <w:hideMark/>
          </w:tcPr>
          <w:p w14:paraId="45A088C8"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(210)</w:t>
            </w:r>
          </w:p>
        </w:tc>
        <w:tc>
          <w:tcPr>
            <w:tcW w:w="236" w:type="dxa"/>
            <w:vAlign w:val="center"/>
            <w:hideMark/>
          </w:tcPr>
          <w:p w14:paraId="3AAC3CF8"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562628AF" w14:textId="77777777" w:rsidTr="00D35A38">
        <w:trPr>
          <w:trHeight w:val="255"/>
        </w:trPr>
        <w:tc>
          <w:tcPr>
            <w:tcW w:w="3544" w:type="dxa"/>
            <w:gridSpan w:val="2"/>
            <w:tcBorders>
              <w:top w:val="nil"/>
              <w:left w:val="nil"/>
              <w:bottom w:val="nil"/>
              <w:right w:val="nil"/>
            </w:tcBorders>
            <w:shd w:val="clear" w:color="auto" w:fill="auto"/>
            <w:vAlign w:val="center"/>
            <w:hideMark/>
          </w:tcPr>
          <w:p w14:paraId="6512E3FB"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 - non-current *</w:t>
            </w:r>
          </w:p>
        </w:tc>
        <w:tc>
          <w:tcPr>
            <w:tcW w:w="1559" w:type="dxa"/>
            <w:tcBorders>
              <w:top w:val="nil"/>
              <w:left w:val="nil"/>
              <w:bottom w:val="nil"/>
              <w:right w:val="nil"/>
            </w:tcBorders>
            <w:shd w:val="clear" w:color="auto" w:fill="auto"/>
            <w:vAlign w:val="center"/>
            <w:hideMark/>
          </w:tcPr>
          <w:p w14:paraId="20C0EEED" w14:textId="77777777" w:rsidR="00D336A4" w:rsidRPr="00D336A4" w:rsidRDefault="00D336A4" w:rsidP="00D336A4">
            <w:pPr>
              <w:spacing w:after="0" w:line="240" w:lineRule="auto"/>
              <w:rPr>
                <w:rFonts w:ascii="Arial" w:eastAsia="Times New Roman" w:hAnsi="Arial" w:cs="Arial"/>
                <w:sz w:val="15"/>
                <w:szCs w:val="15"/>
                <w:lang w:eastAsia="en-GB"/>
              </w:rPr>
            </w:pPr>
          </w:p>
        </w:tc>
        <w:tc>
          <w:tcPr>
            <w:tcW w:w="608" w:type="dxa"/>
            <w:tcBorders>
              <w:top w:val="nil"/>
              <w:left w:val="nil"/>
              <w:bottom w:val="nil"/>
              <w:right w:val="nil"/>
            </w:tcBorders>
            <w:shd w:val="clear" w:color="auto" w:fill="auto"/>
            <w:vAlign w:val="center"/>
            <w:hideMark/>
          </w:tcPr>
          <w:p w14:paraId="249AAC4D"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CCECFF"/>
            <w:noWrap/>
            <w:vAlign w:val="bottom"/>
            <w:hideMark/>
          </w:tcPr>
          <w:p w14:paraId="5CD0D445"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(1,158)</w:t>
            </w:r>
          </w:p>
        </w:tc>
        <w:tc>
          <w:tcPr>
            <w:tcW w:w="1701" w:type="dxa"/>
            <w:tcBorders>
              <w:top w:val="nil"/>
              <w:left w:val="nil"/>
              <w:bottom w:val="nil"/>
              <w:right w:val="nil"/>
            </w:tcBorders>
            <w:shd w:val="clear" w:color="000000" w:fill="FFFFFF"/>
            <w:noWrap/>
            <w:vAlign w:val="bottom"/>
            <w:hideMark/>
          </w:tcPr>
          <w:p w14:paraId="526C5426"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(1,265)</w:t>
            </w:r>
          </w:p>
        </w:tc>
        <w:tc>
          <w:tcPr>
            <w:tcW w:w="1559" w:type="dxa"/>
            <w:tcBorders>
              <w:top w:val="nil"/>
              <w:left w:val="nil"/>
              <w:bottom w:val="nil"/>
              <w:right w:val="nil"/>
            </w:tcBorders>
            <w:shd w:val="clear" w:color="000000" w:fill="FFFFFF"/>
            <w:noWrap/>
            <w:vAlign w:val="bottom"/>
            <w:hideMark/>
          </w:tcPr>
          <w:p w14:paraId="20E52407"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(1,306)</w:t>
            </w:r>
          </w:p>
        </w:tc>
        <w:tc>
          <w:tcPr>
            <w:tcW w:w="236" w:type="dxa"/>
            <w:vAlign w:val="center"/>
            <w:hideMark/>
          </w:tcPr>
          <w:p w14:paraId="11A3DB71"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5156C8AD" w14:textId="77777777" w:rsidTr="00D35A38">
        <w:trPr>
          <w:trHeight w:val="255"/>
        </w:trPr>
        <w:tc>
          <w:tcPr>
            <w:tcW w:w="2500" w:type="dxa"/>
            <w:tcBorders>
              <w:top w:val="single" w:sz="4" w:space="0" w:color="BFBFBF"/>
              <w:left w:val="nil"/>
              <w:bottom w:val="single" w:sz="4" w:space="0" w:color="BFBFBF"/>
              <w:right w:val="nil"/>
            </w:tcBorders>
            <w:shd w:val="clear" w:color="auto" w:fill="auto"/>
            <w:vAlign w:val="center"/>
            <w:hideMark/>
          </w:tcPr>
          <w:p w14:paraId="10F3A8FA"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Total lease liabilities</w:t>
            </w:r>
          </w:p>
        </w:tc>
        <w:tc>
          <w:tcPr>
            <w:tcW w:w="1044" w:type="dxa"/>
            <w:tcBorders>
              <w:top w:val="single" w:sz="4" w:space="0" w:color="BFBFBF"/>
              <w:left w:val="nil"/>
              <w:bottom w:val="single" w:sz="4" w:space="0" w:color="BFBFBF"/>
              <w:right w:val="nil"/>
            </w:tcBorders>
            <w:shd w:val="clear" w:color="auto" w:fill="auto"/>
            <w:vAlign w:val="center"/>
            <w:hideMark/>
          </w:tcPr>
          <w:p w14:paraId="6EA64BC5"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59" w:type="dxa"/>
            <w:tcBorders>
              <w:top w:val="single" w:sz="4" w:space="0" w:color="BFBFBF"/>
              <w:left w:val="nil"/>
              <w:bottom w:val="single" w:sz="4" w:space="0" w:color="BFBFBF"/>
              <w:right w:val="nil"/>
            </w:tcBorders>
            <w:shd w:val="clear" w:color="auto" w:fill="auto"/>
            <w:vAlign w:val="center"/>
            <w:hideMark/>
          </w:tcPr>
          <w:p w14:paraId="7CB5B34F"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608" w:type="dxa"/>
            <w:tcBorders>
              <w:top w:val="single" w:sz="4" w:space="0" w:color="BFBFBF"/>
              <w:left w:val="nil"/>
              <w:bottom w:val="single" w:sz="4" w:space="0" w:color="BFBFBF"/>
              <w:right w:val="nil"/>
            </w:tcBorders>
            <w:shd w:val="clear" w:color="auto" w:fill="auto"/>
            <w:vAlign w:val="center"/>
            <w:hideMark/>
          </w:tcPr>
          <w:p w14:paraId="61ACC985"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60" w:type="dxa"/>
            <w:tcBorders>
              <w:top w:val="single" w:sz="4" w:space="0" w:color="BFBFBF"/>
              <w:left w:val="nil"/>
              <w:bottom w:val="single" w:sz="4" w:space="0" w:color="BFBFBF"/>
              <w:right w:val="nil"/>
            </w:tcBorders>
            <w:shd w:val="clear" w:color="auto" w:fill="CCECFF"/>
            <w:noWrap/>
            <w:vAlign w:val="bottom"/>
            <w:hideMark/>
          </w:tcPr>
          <w:p w14:paraId="3CBBDBD8"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(1,338)</w:t>
            </w:r>
          </w:p>
        </w:tc>
        <w:tc>
          <w:tcPr>
            <w:tcW w:w="1701" w:type="dxa"/>
            <w:tcBorders>
              <w:top w:val="single" w:sz="4" w:space="0" w:color="BFBFBF"/>
              <w:left w:val="nil"/>
              <w:bottom w:val="single" w:sz="4" w:space="0" w:color="BFBFBF"/>
              <w:right w:val="nil"/>
            </w:tcBorders>
            <w:shd w:val="clear" w:color="000000" w:fill="FFFFFF"/>
            <w:noWrap/>
            <w:vAlign w:val="bottom"/>
            <w:hideMark/>
          </w:tcPr>
          <w:p w14:paraId="0DEDAFDC"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(1,462)</w:t>
            </w:r>
          </w:p>
        </w:tc>
        <w:tc>
          <w:tcPr>
            <w:tcW w:w="1559" w:type="dxa"/>
            <w:tcBorders>
              <w:top w:val="single" w:sz="4" w:space="0" w:color="BFBFBF"/>
              <w:left w:val="nil"/>
              <w:bottom w:val="single" w:sz="4" w:space="0" w:color="BFBFBF"/>
              <w:right w:val="nil"/>
            </w:tcBorders>
            <w:shd w:val="clear" w:color="000000" w:fill="FFFFFF"/>
            <w:noWrap/>
            <w:vAlign w:val="bottom"/>
            <w:hideMark/>
          </w:tcPr>
          <w:p w14:paraId="72803BD9"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(1,516)</w:t>
            </w:r>
          </w:p>
        </w:tc>
        <w:tc>
          <w:tcPr>
            <w:tcW w:w="236" w:type="dxa"/>
            <w:vAlign w:val="center"/>
            <w:hideMark/>
          </w:tcPr>
          <w:p w14:paraId="3C84E520"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3E3DBD4E" w14:textId="77777777" w:rsidTr="00D35A38">
        <w:trPr>
          <w:trHeight w:val="255"/>
        </w:trPr>
        <w:tc>
          <w:tcPr>
            <w:tcW w:w="2500" w:type="dxa"/>
            <w:tcBorders>
              <w:top w:val="nil"/>
              <w:left w:val="nil"/>
              <w:bottom w:val="single" w:sz="4" w:space="0" w:color="BFBFBF"/>
              <w:right w:val="nil"/>
            </w:tcBorders>
            <w:shd w:val="clear" w:color="auto" w:fill="auto"/>
            <w:vAlign w:val="center"/>
            <w:hideMark/>
          </w:tcPr>
          <w:p w14:paraId="095D7CB4"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Total Debt</w:t>
            </w:r>
          </w:p>
        </w:tc>
        <w:tc>
          <w:tcPr>
            <w:tcW w:w="1044" w:type="dxa"/>
            <w:tcBorders>
              <w:top w:val="nil"/>
              <w:left w:val="nil"/>
              <w:bottom w:val="single" w:sz="4" w:space="0" w:color="BFBFBF"/>
              <w:right w:val="nil"/>
            </w:tcBorders>
            <w:shd w:val="clear" w:color="auto" w:fill="auto"/>
            <w:vAlign w:val="center"/>
            <w:hideMark/>
          </w:tcPr>
          <w:p w14:paraId="6285AF6C"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59" w:type="dxa"/>
            <w:tcBorders>
              <w:top w:val="nil"/>
              <w:left w:val="nil"/>
              <w:bottom w:val="single" w:sz="4" w:space="0" w:color="BFBFBF"/>
              <w:right w:val="nil"/>
            </w:tcBorders>
            <w:shd w:val="clear" w:color="auto" w:fill="auto"/>
            <w:vAlign w:val="center"/>
            <w:hideMark/>
          </w:tcPr>
          <w:p w14:paraId="3DA7BE9E"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608" w:type="dxa"/>
            <w:tcBorders>
              <w:top w:val="nil"/>
              <w:left w:val="nil"/>
              <w:bottom w:val="single" w:sz="4" w:space="0" w:color="BFBFBF"/>
              <w:right w:val="nil"/>
            </w:tcBorders>
            <w:shd w:val="clear" w:color="auto" w:fill="auto"/>
            <w:vAlign w:val="center"/>
            <w:hideMark/>
          </w:tcPr>
          <w:p w14:paraId="67487AF4"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60" w:type="dxa"/>
            <w:tcBorders>
              <w:top w:val="nil"/>
              <w:left w:val="nil"/>
              <w:bottom w:val="single" w:sz="4" w:space="0" w:color="BFBFBF"/>
              <w:right w:val="nil"/>
            </w:tcBorders>
            <w:shd w:val="clear" w:color="auto" w:fill="CCECFF"/>
            <w:noWrap/>
            <w:vAlign w:val="bottom"/>
            <w:hideMark/>
          </w:tcPr>
          <w:p w14:paraId="62A1CE63"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(2,177)</w:t>
            </w:r>
          </w:p>
        </w:tc>
        <w:tc>
          <w:tcPr>
            <w:tcW w:w="1701" w:type="dxa"/>
            <w:tcBorders>
              <w:top w:val="nil"/>
              <w:left w:val="nil"/>
              <w:bottom w:val="single" w:sz="4" w:space="0" w:color="BFBFBF"/>
              <w:right w:val="nil"/>
            </w:tcBorders>
            <w:shd w:val="clear" w:color="000000" w:fill="FFFFFF"/>
            <w:noWrap/>
            <w:vAlign w:val="bottom"/>
            <w:hideMark/>
          </w:tcPr>
          <w:p w14:paraId="74778D72"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(2,304)</w:t>
            </w:r>
          </w:p>
        </w:tc>
        <w:tc>
          <w:tcPr>
            <w:tcW w:w="1559" w:type="dxa"/>
            <w:tcBorders>
              <w:top w:val="nil"/>
              <w:left w:val="nil"/>
              <w:bottom w:val="single" w:sz="4" w:space="0" w:color="BFBFBF"/>
              <w:right w:val="nil"/>
            </w:tcBorders>
            <w:shd w:val="clear" w:color="000000" w:fill="FFFFFF"/>
            <w:noWrap/>
            <w:vAlign w:val="bottom"/>
            <w:hideMark/>
          </w:tcPr>
          <w:p w14:paraId="297A3451"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(2,492)</w:t>
            </w:r>
          </w:p>
        </w:tc>
        <w:tc>
          <w:tcPr>
            <w:tcW w:w="236" w:type="dxa"/>
            <w:vAlign w:val="center"/>
            <w:hideMark/>
          </w:tcPr>
          <w:p w14:paraId="5035E277"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68712CF4" w14:textId="77777777" w:rsidTr="00D35A38">
        <w:trPr>
          <w:trHeight w:val="255"/>
        </w:trPr>
        <w:tc>
          <w:tcPr>
            <w:tcW w:w="3544" w:type="dxa"/>
            <w:gridSpan w:val="2"/>
            <w:tcBorders>
              <w:top w:val="single" w:sz="4" w:space="0" w:color="BFBFBF"/>
              <w:left w:val="nil"/>
              <w:bottom w:val="single" w:sz="4" w:space="0" w:color="BFBFBF"/>
              <w:right w:val="nil"/>
            </w:tcBorders>
            <w:shd w:val="clear" w:color="auto" w:fill="auto"/>
            <w:vAlign w:val="center"/>
            <w:hideMark/>
          </w:tcPr>
          <w:p w14:paraId="61943D83"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 - Group cash </w:t>
            </w:r>
          </w:p>
        </w:tc>
        <w:tc>
          <w:tcPr>
            <w:tcW w:w="2167" w:type="dxa"/>
            <w:gridSpan w:val="2"/>
            <w:tcBorders>
              <w:top w:val="single" w:sz="4" w:space="0" w:color="BFBFBF"/>
              <w:left w:val="nil"/>
              <w:bottom w:val="single" w:sz="4" w:space="0" w:color="BFBFBF"/>
              <w:right w:val="nil"/>
            </w:tcBorders>
            <w:shd w:val="clear" w:color="auto" w:fill="auto"/>
            <w:vAlign w:val="center"/>
            <w:hideMark/>
          </w:tcPr>
          <w:p w14:paraId="0F08C52D"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60" w:type="dxa"/>
            <w:tcBorders>
              <w:top w:val="nil"/>
              <w:left w:val="nil"/>
              <w:bottom w:val="single" w:sz="4" w:space="0" w:color="BFBFBF"/>
              <w:right w:val="nil"/>
            </w:tcBorders>
            <w:shd w:val="clear" w:color="auto" w:fill="CCECFF"/>
            <w:vAlign w:val="center"/>
            <w:hideMark/>
          </w:tcPr>
          <w:p w14:paraId="5E81091E"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108 </w:t>
            </w:r>
          </w:p>
        </w:tc>
        <w:tc>
          <w:tcPr>
            <w:tcW w:w="1701" w:type="dxa"/>
            <w:tcBorders>
              <w:top w:val="nil"/>
              <w:left w:val="nil"/>
              <w:bottom w:val="single" w:sz="4" w:space="0" w:color="BFBFBF"/>
              <w:right w:val="nil"/>
            </w:tcBorders>
            <w:shd w:val="clear" w:color="000000" w:fill="FFFFFF"/>
            <w:vAlign w:val="center"/>
            <w:hideMark/>
          </w:tcPr>
          <w:p w14:paraId="17479F77"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130 </w:t>
            </w:r>
          </w:p>
        </w:tc>
        <w:tc>
          <w:tcPr>
            <w:tcW w:w="1559" w:type="dxa"/>
            <w:tcBorders>
              <w:top w:val="nil"/>
              <w:left w:val="nil"/>
              <w:bottom w:val="single" w:sz="4" w:space="0" w:color="BFBFBF"/>
              <w:right w:val="nil"/>
            </w:tcBorders>
            <w:shd w:val="clear" w:color="000000" w:fill="FFFFFF"/>
            <w:vAlign w:val="center"/>
            <w:hideMark/>
          </w:tcPr>
          <w:p w14:paraId="31BD4A5C"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60 </w:t>
            </w:r>
          </w:p>
        </w:tc>
        <w:tc>
          <w:tcPr>
            <w:tcW w:w="236" w:type="dxa"/>
            <w:vAlign w:val="center"/>
            <w:hideMark/>
          </w:tcPr>
          <w:p w14:paraId="45DA72C1"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06FFE4F8" w14:textId="77777777" w:rsidTr="00D35A38">
        <w:trPr>
          <w:trHeight w:val="255"/>
        </w:trPr>
        <w:tc>
          <w:tcPr>
            <w:tcW w:w="3544" w:type="dxa"/>
            <w:gridSpan w:val="2"/>
            <w:tcBorders>
              <w:top w:val="single" w:sz="4" w:space="0" w:color="BFBFBF"/>
              <w:left w:val="nil"/>
              <w:bottom w:val="single" w:sz="4" w:space="0" w:color="BFBFBF"/>
              <w:right w:val="nil"/>
            </w:tcBorders>
            <w:shd w:val="clear" w:color="auto" w:fill="auto"/>
            <w:vAlign w:val="center"/>
            <w:hideMark/>
          </w:tcPr>
          <w:p w14:paraId="58D67A7C"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 - Overdrafts</w:t>
            </w:r>
          </w:p>
        </w:tc>
        <w:tc>
          <w:tcPr>
            <w:tcW w:w="1559" w:type="dxa"/>
            <w:tcBorders>
              <w:top w:val="nil"/>
              <w:left w:val="nil"/>
              <w:bottom w:val="single" w:sz="4" w:space="0" w:color="BFBFBF"/>
              <w:right w:val="nil"/>
            </w:tcBorders>
            <w:shd w:val="clear" w:color="auto" w:fill="auto"/>
            <w:vAlign w:val="center"/>
            <w:hideMark/>
          </w:tcPr>
          <w:p w14:paraId="3725CBD4"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608" w:type="dxa"/>
            <w:tcBorders>
              <w:top w:val="nil"/>
              <w:left w:val="nil"/>
              <w:bottom w:val="single" w:sz="4" w:space="0" w:color="BFBFBF"/>
              <w:right w:val="nil"/>
            </w:tcBorders>
            <w:shd w:val="clear" w:color="auto" w:fill="auto"/>
            <w:vAlign w:val="center"/>
            <w:hideMark/>
          </w:tcPr>
          <w:p w14:paraId="40094341"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60" w:type="dxa"/>
            <w:tcBorders>
              <w:top w:val="nil"/>
              <w:left w:val="nil"/>
              <w:bottom w:val="single" w:sz="4" w:space="0" w:color="BFBFBF"/>
              <w:right w:val="nil"/>
            </w:tcBorders>
            <w:shd w:val="clear" w:color="auto" w:fill="CCECFF"/>
            <w:vAlign w:val="center"/>
            <w:hideMark/>
          </w:tcPr>
          <w:p w14:paraId="3E65FA24"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w:t>
            </w:r>
          </w:p>
        </w:tc>
        <w:tc>
          <w:tcPr>
            <w:tcW w:w="1701" w:type="dxa"/>
            <w:tcBorders>
              <w:top w:val="nil"/>
              <w:left w:val="nil"/>
              <w:bottom w:val="single" w:sz="4" w:space="0" w:color="BFBFBF"/>
              <w:right w:val="nil"/>
            </w:tcBorders>
            <w:shd w:val="clear" w:color="000000" w:fill="FFFFFF"/>
            <w:vAlign w:val="center"/>
            <w:hideMark/>
          </w:tcPr>
          <w:p w14:paraId="693A15A3"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w:t>
            </w:r>
          </w:p>
        </w:tc>
        <w:tc>
          <w:tcPr>
            <w:tcW w:w="1559" w:type="dxa"/>
            <w:tcBorders>
              <w:top w:val="nil"/>
              <w:left w:val="nil"/>
              <w:bottom w:val="single" w:sz="4" w:space="0" w:color="BFBFBF"/>
              <w:right w:val="nil"/>
            </w:tcBorders>
            <w:shd w:val="clear" w:color="000000" w:fill="FFFFFF"/>
            <w:vAlign w:val="center"/>
            <w:hideMark/>
          </w:tcPr>
          <w:p w14:paraId="745CF0E4"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(4)</w:t>
            </w:r>
          </w:p>
        </w:tc>
        <w:tc>
          <w:tcPr>
            <w:tcW w:w="236" w:type="dxa"/>
            <w:vAlign w:val="center"/>
            <w:hideMark/>
          </w:tcPr>
          <w:p w14:paraId="2C926380"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1BB11447" w14:textId="77777777" w:rsidTr="00D35A38">
        <w:trPr>
          <w:trHeight w:val="255"/>
        </w:trPr>
        <w:tc>
          <w:tcPr>
            <w:tcW w:w="2500" w:type="dxa"/>
            <w:tcBorders>
              <w:top w:val="nil"/>
              <w:left w:val="nil"/>
              <w:bottom w:val="single" w:sz="4" w:space="0" w:color="BFBFBF"/>
              <w:right w:val="nil"/>
            </w:tcBorders>
            <w:shd w:val="clear" w:color="auto" w:fill="auto"/>
            <w:noWrap/>
            <w:vAlign w:val="center"/>
            <w:hideMark/>
          </w:tcPr>
          <w:p w14:paraId="21FFABCD"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xml:space="preserve">Group Net Debt </w:t>
            </w:r>
          </w:p>
        </w:tc>
        <w:tc>
          <w:tcPr>
            <w:tcW w:w="1044" w:type="dxa"/>
            <w:tcBorders>
              <w:top w:val="nil"/>
              <w:left w:val="nil"/>
              <w:bottom w:val="single" w:sz="4" w:space="0" w:color="BFBFBF"/>
              <w:right w:val="nil"/>
            </w:tcBorders>
            <w:shd w:val="clear" w:color="auto" w:fill="auto"/>
            <w:vAlign w:val="center"/>
            <w:hideMark/>
          </w:tcPr>
          <w:p w14:paraId="686EA9AB"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59" w:type="dxa"/>
            <w:tcBorders>
              <w:top w:val="nil"/>
              <w:left w:val="nil"/>
              <w:bottom w:val="single" w:sz="4" w:space="0" w:color="BFBFBF"/>
              <w:right w:val="nil"/>
            </w:tcBorders>
            <w:shd w:val="clear" w:color="auto" w:fill="auto"/>
            <w:vAlign w:val="center"/>
            <w:hideMark/>
          </w:tcPr>
          <w:p w14:paraId="786FE8EC"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608" w:type="dxa"/>
            <w:tcBorders>
              <w:top w:val="nil"/>
              <w:left w:val="nil"/>
              <w:bottom w:val="single" w:sz="4" w:space="0" w:color="BFBFBF"/>
              <w:right w:val="nil"/>
            </w:tcBorders>
            <w:shd w:val="clear" w:color="auto" w:fill="auto"/>
            <w:vAlign w:val="center"/>
            <w:hideMark/>
          </w:tcPr>
          <w:p w14:paraId="7847A3D6"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60" w:type="dxa"/>
            <w:tcBorders>
              <w:top w:val="nil"/>
              <w:left w:val="nil"/>
              <w:bottom w:val="single" w:sz="4" w:space="0" w:color="BFBFBF"/>
              <w:right w:val="nil"/>
            </w:tcBorders>
            <w:shd w:val="clear" w:color="auto" w:fill="CCECFF"/>
            <w:vAlign w:val="center"/>
            <w:hideMark/>
          </w:tcPr>
          <w:p w14:paraId="6F653D8E"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(2,069)</w:t>
            </w:r>
          </w:p>
        </w:tc>
        <w:tc>
          <w:tcPr>
            <w:tcW w:w="1701" w:type="dxa"/>
            <w:tcBorders>
              <w:top w:val="nil"/>
              <w:left w:val="nil"/>
              <w:bottom w:val="single" w:sz="4" w:space="0" w:color="BFBFBF"/>
              <w:right w:val="nil"/>
            </w:tcBorders>
            <w:shd w:val="clear" w:color="000000" w:fill="FFFFFF"/>
            <w:vAlign w:val="center"/>
            <w:hideMark/>
          </w:tcPr>
          <w:p w14:paraId="19F75152"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(2,174)</w:t>
            </w:r>
          </w:p>
        </w:tc>
        <w:tc>
          <w:tcPr>
            <w:tcW w:w="1559" w:type="dxa"/>
            <w:tcBorders>
              <w:top w:val="nil"/>
              <w:left w:val="nil"/>
              <w:bottom w:val="single" w:sz="4" w:space="0" w:color="BFBFBF"/>
              <w:right w:val="nil"/>
            </w:tcBorders>
            <w:shd w:val="clear" w:color="000000" w:fill="FFFFFF"/>
            <w:vAlign w:val="center"/>
            <w:hideMark/>
          </w:tcPr>
          <w:p w14:paraId="3FF77D72"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(2,436)</w:t>
            </w:r>
          </w:p>
        </w:tc>
        <w:tc>
          <w:tcPr>
            <w:tcW w:w="236" w:type="dxa"/>
            <w:vAlign w:val="center"/>
            <w:hideMark/>
          </w:tcPr>
          <w:p w14:paraId="14946345"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01AC1" w:rsidRPr="00D336A4" w14:paraId="69FFA684" w14:textId="77777777" w:rsidTr="00D35A38">
        <w:trPr>
          <w:trHeight w:val="255"/>
        </w:trPr>
        <w:tc>
          <w:tcPr>
            <w:tcW w:w="2500" w:type="dxa"/>
            <w:tcBorders>
              <w:top w:val="nil"/>
              <w:left w:val="nil"/>
              <w:bottom w:val="single" w:sz="4" w:space="0" w:color="BFBFBF"/>
              <w:right w:val="nil"/>
            </w:tcBorders>
            <w:shd w:val="clear" w:color="auto" w:fill="auto"/>
            <w:noWrap/>
            <w:vAlign w:val="center"/>
            <w:hideMark/>
          </w:tcPr>
          <w:p w14:paraId="7363A2D5"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w:t>
            </w:r>
          </w:p>
        </w:tc>
        <w:tc>
          <w:tcPr>
            <w:tcW w:w="1044" w:type="dxa"/>
            <w:tcBorders>
              <w:top w:val="nil"/>
              <w:left w:val="nil"/>
              <w:bottom w:val="single" w:sz="4" w:space="0" w:color="BFBFBF"/>
              <w:right w:val="nil"/>
            </w:tcBorders>
            <w:shd w:val="clear" w:color="auto" w:fill="auto"/>
            <w:vAlign w:val="center"/>
            <w:hideMark/>
          </w:tcPr>
          <w:p w14:paraId="506ACAAD"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59" w:type="dxa"/>
            <w:tcBorders>
              <w:top w:val="nil"/>
              <w:left w:val="nil"/>
              <w:bottom w:val="single" w:sz="4" w:space="0" w:color="BFBFBF"/>
              <w:right w:val="nil"/>
            </w:tcBorders>
            <w:shd w:val="clear" w:color="auto" w:fill="auto"/>
            <w:vAlign w:val="center"/>
            <w:hideMark/>
          </w:tcPr>
          <w:p w14:paraId="2BEE2E15"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608" w:type="dxa"/>
            <w:tcBorders>
              <w:top w:val="nil"/>
              <w:left w:val="nil"/>
              <w:bottom w:val="single" w:sz="4" w:space="0" w:color="BFBFBF"/>
              <w:right w:val="nil"/>
            </w:tcBorders>
            <w:shd w:val="clear" w:color="auto" w:fill="auto"/>
            <w:vAlign w:val="center"/>
            <w:hideMark/>
          </w:tcPr>
          <w:p w14:paraId="6B6AB04C"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60" w:type="dxa"/>
            <w:tcBorders>
              <w:top w:val="nil"/>
              <w:left w:val="nil"/>
              <w:bottom w:val="single" w:sz="4" w:space="0" w:color="BFBFBF"/>
              <w:right w:val="nil"/>
            </w:tcBorders>
            <w:shd w:val="clear" w:color="auto" w:fill="CCECFF"/>
            <w:vAlign w:val="center"/>
            <w:hideMark/>
          </w:tcPr>
          <w:p w14:paraId="76FA3730"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 </w:t>
            </w:r>
          </w:p>
        </w:tc>
        <w:tc>
          <w:tcPr>
            <w:tcW w:w="1701" w:type="dxa"/>
            <w:tcBorders>
              <w:top w:val="nil"/>
              <w:left w:val="nil"/>
              <w:bottom w:val="single" w:sz="4" w:space="0" w:color="BFBFBF"/>
              <w:right w:val="nil"/>
            </w:tcBorders>
            <w:shd w:val="clear" w:color="000000" w:fill="FFFFFF"/>
            <w:vAlign w:val="center"/>
            <w:hideMark/>
          </w:tcPr>
          <w:p w14:paraId="782415B5"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1559" w:type="dxa"/>
            <w:tcBorders>
              <w:top w:val="nil"/>
              <w:left w:val="nil"/>
              <w:bottom w:val="single" w:sz="4" w:space="0" w:color="BFBFBF"/>
              <w:right w:val="nil"/>
            </w:tcBorders>
            <w:shd w:val="clear" w:color="000000" w:fill="FFFFFF"/>
            <w:vAlign w:val="center"/>
            <w:hideMark/>
          </w:tcPr>
          <w:p w14:paraId="1B61C8E7"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w:t>
            </w:r>
          </w:p>
        </w:tc>
        <w:tc>
          <w:tcPr>
            <w:tcW w:w="236" w:type="dxa"/>
            <w:vAlign w:val="center"/>
            <w:hideMark/>
          </w:tcPr>
          <w:p w14:paraId="1164FB0C"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A42206" w:rsidRPr="00D336A4" w14:paraId="1814745F" w14:textId="77777777" w:rsidTr="00D35A38">
        <w:trPr>
          <w:trHeight w:val="402"/>
        </w:trPr>
        <w:tc>
          <w:tcPr>
            <w:tcW w:w="5103" w:type="dxa"/>
            <w:gridSpan w:val="3"/>
            <w:tcBorders>
              <w:top w:val="single" w:sz="4" w:space="0" w:color="BFBFBF"/>
              <w:left w:val="nil"/>
              <w:bottom w:val="single" w:sz="4" w:space="0" w:color="BFBFBF"/>
              <w:right w:val="nil"/>
            </w:tcBorders>
            <w:shd w:val="clear" w:color="auto" w:fill="auto"/>
            <w:vAlign w:val="center"/>
            <w:hideMark/>
          </w:tcPr>
          <w:p w14:paraId="0FA407C6" w14:textId="77777777" w:rsidR="00D336A4" w:rsidRPr="00D336A4" w:rsidRDefault="00D336A4" w:rsidP="00D336A4">
            <w:pPr>
              <w:spacing w:after="0" w:line="240" w:lineRule="auto"/>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Group Net Debt (excluding lease liabilities)</w:t>
            </w:r>
          </w:p>
        </w:tc>
        <w:tc>
          <w:tcPr>
            <w:tcW w:w="608" w:type="dxa"/>
            <w:tcBorders>
              <w:top w:val="nil"/>
              <w:left w:val="nil"/>
              <w:bottom w:val="single" w:sz="4" w:space="0" w:color="BFBFBF"/>
              <w:right w:val="nil"/>
            </w:tcBorders>
            <w:shd w:val="clear" w:color="auto" w:fill="auto"/>
            <w:noWrap/>
            <w:vAlign w:val="center"/>
            <w:hideMark/>
          </w:tcPr>
          <w:p w14:paraId="22CAE709"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9</w:t>
            </w:r>
          </w:p>
        </w:tc>
        <w:tc>
          <w:tcPr>
            <w:tcW w:w="1560" w:type="dxa"/>
            <w:tcBorders>
              <w:top w:val="nil"/>
              <w:left w:val="nil"/>
              <w:bottom w:val="single" w:sz="4" w:space="0" w:color="BFBFBF"/>
              <w:right w:val="nil"/>
            </w:tcBorders>
            <w:shd w:val="clear" w:color="auto" w:fill="CCECFF"/>
            <w:noWrap/>
            <w:vAlign w:val="center"/>
            <w:hideMark/>
          </w:tcPr>
          <w:p w14:paraId="5D0E0F45" w14:textId="77777777" w:rsidR="00D336A4" w:rsidRPr="00D336A4" w:rsidRDefault="00D336A4" w:rsidP="00D336A4">
            <w:pPr>
              <w:spacing w:after="0" w:line="240" w:lineRule="auto"/>
              <w:jc w:val="right"/>
              <w:rPr>
                <w:rFonts w:ascii="Arial" w:eastAsia="Times New Roman" w:hAnsi="Arial" w:cs="Arial"/>
                <w:b/>
                <w:bCs/>
                <w:sz w:val="15"/>
                <w:szCs w:val="15"/>
                <w:lang w:eastAsia="en-GB"/>
              </w:rPr>
            </w:pPr>
            <w:r w:rsidRPr="00D336A4">
              <w:rPr>
                <w:rFonts w:ascii="Arial" w:eastAsia="Times New Roman" w:hAnsi="Arial" w:cs="Arial"/>
                <w:b/>
                <w:bCs/>
                <w:sz w:val="15"/>
                <w:szCs w:val="15"/>
                <w:lang w:eastAsia="en-GB"/>
              </w:rPr>
              <w:t>(731)</w:t>
            </w:r>
          </w:p>
        </w:tc>
        <w:tc>
          <w:tcPr>
            <w:tcW w:w="1701" w:type="dxa"/>
            <w:tcBorders>
              <w:top w:val="nil"/>
              <w:left w:val="nil"/>
              <w:bottom w:val="single" w:sz="4" w:space="0" w:color="BFBFBF"/>
              <w:right w:val="nil"/>
            </w:tcBorders>
            <w:shd w:val="clear" w:color="auto" w:fill="auto"/>
            <w:noWrap/>
            <w:vAlign w:val="center"/>
            <w:hideMark/>
          </w:tcPr>
          <w:p w14:paraId="7F6CC372"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(712)</w:t>
            </w:r>
          </w:p>
        </w:tc>
        <w:tc>
          <w:tcPr>
            <w:tcW w:w="1559" w:type="dxa"/>
            <w:tcBorders>
              <w:top w:val="nil"/>
              <w:left w:val="nil"/>
              <w:bottom w:val="single" w:sz="4" w:space="0" w:color="BFBFBF"/>
              <w:right w:val="nil"/>
            </w:tcBorders>
            <w:shd w:val="clear" w:color="auto" w:fill="auto"/>
            <w:noWrap/>
            <w:vAlign w:val="center"/>
            <w:hideMark/>
          </w:tcPr>
          <w:p w14:paraId="0A92F683" w14:textId="77777777" w:rsidR="00D336A4" w:rsidRPr="00D336A4" w:rsidRDefault="00D336A4" w:rsidP="00D336A4">
            <w:pPr>
              <w:spacing w:after="0" w:line="240" w:lineRule="auto"/>
              <w:jc w:val="right"/>
              <w:rPr>
                <w:rFonts w:ascii="Arial" w:eastAsia="Times New Roman" w:hAnsi="Arial" w:cs="Arial"/>
                <w:sz w:val="15"/>
                <w:szCs w:val="15"/>
                <w:lang w:eastAsia="en-GB"/>
              </w:rPr>
            </w:pPr>
            <w:r w:rsidRPr="00D336A4">
              <w:rPr>
                <w:rFonts w:ascii="Arial" w:eastAsia="Times New Roman" w:hAnsi="Arial" w:cs="Arial"/>
                <w:sz w:val="15"/>
                <w:szCs w:val="15"/>
                <w:lang w:eastAsia="en-GB"/>
              </w:rPr>
              <w:t>(920)</w:t>
            </w:r>
          </w:p>
        </w:tc>
        <w:tc>
          <w:tcPr>
            <w:tcW w:w="236" w:type="dxa"/>
            <w:vAlign w:val="center"/>
            <w:hideMark/>
          </w:tcPr>
          <w:p w14:paraId="4307AA13"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D35A38" w:rsidRPr="00D336A4" w14:paraId="38EBDE88" w14:textId="77777777" w:rsidTr="00D35A38">
        <w:trPr>
          <w:trHeight w:val="98"/>
        </w:trPr>
        <w:tc>
          <w:tcPr>
            <w:tcW w:w="2500" w:type="dxa"/>
            <w:tcBorders>
              <w:top w:val="nil"/>
              <w:left w:val="nil"/>
              <w:bottom w:val="nil"/>
              <w:right w:val="nil"/>
            </w:tcBorders>
            <w:shd w:val="clear" w:color="auto" w:fill="auto"/>
            <w:noWrap/>
            <w:vAlign w:val="center"/>
            <w:hideMark/>
          </w:tcPr>
          <w:p w14:paraId="63C10F57" w14:textId="77777777" w:rsidR="00D336A4" w:rsidRPr="00D336A4" w:rsidRDefault="00D336A4" w:rsidP="00D336A4">
            <w:pPr>
              <w:spacing w:after="0" w:line="240" w:lineRule="auto"/>
              <w:jc w:val="right"/>
              <w:rPr>
                <w:rFonts w:ascii="Arial" w:eastAsia="Times New Roman" w:hAnsi="Arial" w:cs="Arial"/>
                <w:sz w:val="15"/>
                <w:szCs w:val="15"/>
                <w:lang w:eastAsia="en-GB"/>
              </w:rPr>
            </w:pPr>
          </w:p>
        </w:tc>
        <w:tc>
          <w:tcPr>
            <w:tcW w:w="1044" w:type="dxa"/>
            <w:tcBorders>
              <w:top w:val="nil"/>
              <w:left w:val="nil"/>
              <w:bottom w:val="nil"/>
              <w:right w:val="nil"/>
            </w:tcBorders>
            <w:shd w:val="clear" w:color="auto" w:fill="auto"/>
            <w:noWrap/>
            <w:vAlign w:val="bottom"/>
            <w:hideMark/>
          </w:tcPr>
          <w:p w14:paraId="00766A9B"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bottom"/>
            <w:hideMark/>
          </w:tcPr>
          <w:p w14:paraId="59E4624C"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608" w:type="dxa"/>
            <w:tcBorders>
              <w:top w:val="nil"/>
              <w:left w:val="nil"/>
              <w:bottom w:val="nil"/>
              <w:right w:val="nil"/>
            </w:tcBorders>
            <w:shd w:val="clear" w:color="auto" w:fill="auto"/>
            <w:noWrap/>
            <w:vAlign w:val="bottom"/>
            <w:hideMark/>
          </w:tcPr>
          <w:p w14:paraId="299BDAF9"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auto"/>
            <w:noWrap/>
            <w:vAlign w:val="bottom"/>
            <w:hideMark/>
          </w:tcPr>
          <w:p w14:paraId="5B2C4DD5"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4DB2DA3E"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bottom"/>
            <w:hideMark/>
          </w:tcPr>
          <w:p w14:paraId="616B4BA5"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c>
          <w:tcPr>
            <w:tcW w:w="236" w:type="dxa"/>
            <w:vAlign w:val="center"/>
            <w:hideMark/>
          </w:tcPr>
          <w:p w14:paraId="6C41F1F3"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r w:rsidR="00D336A4" w:rsidRPr="00D336A4" w14:paraId="1CCAA944" w14:textId="77777777" w:rsidTr="00D35A38">
        <w:trPr>
          <w:trHeight w:val="383"/>
        </w:trPr>
        <w:tc>
          <w:tcPr>
            <w:tcW w:w="10531" w:type="dxa"/>
            <w:gridSpan w:val="7"/>
            <w:tcBorders>
              <w:top w:val="nil"/>
              <w:left w:val="nil"/>
              <w:bottom w:val="nil"/>
              <w:right w:val="nil"/>
            </w:tcBorders>
            <w:shd w:val="clear" w:color="000000" w:fill="FFFFFF"/>
            <w:vAlign w:val="center"/>
            <w:hideMark/>
          </w:tcPr>
          <w:p w14:paraId="4BC4C692" w14:textId="77777777" w:rsidR="00D336A4" w:rsidRPr="00D336A4" w:rsidRDefault="00D336A4" w:rsidP="00D336A4">
            <w:pPr>
              <w:spacing w:after="0" w:line="240" w:lineRule="auto"/>
              <w:rPr>
                <w:rFonts w:ascii="Arial" w:eastAsia="Times New Roman" w:hAnsi="Arial" w:cs="Arial"/>
                <w:sz w:val="15"/>
                <w:szCs w:val="15"/>
                <w:lang w:eastAsia="en-GB"/>
              </w:rPr>
            </w:pPr>
            <w:r w:rsidRPr="00D336A4">
              <w:rPr>
                <w:rFonts w:ascii="Arial" w:eastAsia="Times New Roman" w:hAnsi="Arial" w:cs="Arial"/>
                <w:sz w:val="15"/>
                <w:szCs w:val="15"/>
                <w:lang w:eastAsia="en-GB"/>
              </w:rPr>
              <w:t xml:space="preserve">*As </w:t>
            </w:r>
            <w:proofErr w:type="gramStart"/>
            <w:r w:rsidRPr="00D336A4">
              <w:rPr>
                <w:rFonts w:ascii="Arial" w:eastAsia="Times New Roman" w:hAnsi="Arial" w:cs="Arial"/>
                <w:sz w:val="15"/>
                <w:szCs w:val="15"/>
                <w:lang w:eastAsia="en-GB"/>
              </w:rPr>
              <w:t>at</w:t>
            </w:r>
            <w:proofErr w:type="gramEnd"/>
            <w:r w:rsidRPr="00D336A4">
              <w:rPr>
                <w:rFonts w:ascii="Arial" w:eastAsia="Times New Roman" w:hAnsi="Arial" w:cs="Arial"/>
                <w:sz w:val="15"/>
                <w:szCs w:val="15"/>
                <w:lang w:eastAsia="en-GB"/>
              </w:rPr>
              <w:t xml:space="preserve"> 2 July 2022 a total of £167m of lease liabilities have been reclassified to liabilities held for sale (and excluded from the table above); split £22m (current) and £145m (non-current). See Note 8 for further details). </w:t>
            </w:r>
          </w:p>
        </w:tc>
        <w:tc>
          <w:tcPr>
            <w:tcW w:w="236" w:type="dxa"/>
            <w:vAlign w:val="center"/>
            <w:hideMark/>
          </w:tcPr>
          <w:p w14:paraId="5702AD99" w14:textId="77777777" w:rsidR="00D336A4" w:rsidRPr="00D336A4" w:rsidRDefault="00D336A4" w:rsidP="00D336A4">
            <w:pPr>
              <w:spacing w:after="0" w:line="240" w:lineRule="auto"/>
              <w:rPr>
                <w:rFonts w:ascii="Times New Roman" w:eastAsia="Times New Roman" w:hAnsi="Times New Roman" w:cs="Times New Roman"/>
                <w:sz w:val="20"/>
                <w:szCs w:val="20"/>
                <w:lang w:eastAsia="en-GB"/>
              </w:rPr>
            </w:pPr>
          </w:p>
        </w:tc>
      </w:tr>
    </w:tbl>
    <w:p w14:paraId="452C01AD" w14:textId="74EBB066" w:rsidR="00D336A4" w:rsidRDefault="00D336A4"/>
    <w:tbl>
      <w:tblPr>
        <w:tblW w:w="11219" w:type="dxa"/>
        <w:tblLook w:val="04A0" w:firstRow="1" w:lastRow="0" w:firstColumn="1" w:lastColumn="0" w:noHBand="0" w:noVBand="1"/>
      </w:tblPr>
      <w:tblGrid>
        <w:gridCol w:w="2496"/>
        <w:gridCol w:w="272"/>
        <w:gridCol w:w="918"/>
        <w:gridCol w:w="457"/>
        <w:gridCol w:w="135"/>
        <w:gridCol w:w="123"/>
        <w:gridCol w:w="258"/>
        <w:gridCol w:w="258"/>
        <w:gridCol w:w="258"/>
        <w:gridCol w:w="61"/>
        <w:gridCol w:w="758"/>
        <w:gridCol w:w="527"/>
        <w:gridCol w:w="409"/>
        <w:gridCol w:w="441"/>
        <w:gridCol w:w="167"/>
        <w:gridCol w:w="542"/>
        <w:gridCol w:w="492"/>
        <w:gridCol w:w="289"/>
        <w:gridCol w:w="461"/>
        <w:gridCol w:w="22"/>
        <w:gridCol w:w="978"/>
        <w:gridCol w:w="26"/>
        <w:gridCol w:w="567"/>
        <w:gridCol w:w="82"/>
        <w:gridCol w:w="222"/>
      </w:tblGrid>
      <w:tr w:rsidR="00DE25A2" w:rsidRPr="00DE25A2" w14:paraId="4A25849B" w14:textId="77777777" w:rsidTr="008C4883">
        <w:trPr>
          <w:gridAfter w:val="1"/>
          <w:wAfter w:w="222" w:type="dxa"/>
          <w:trHeight w:val="360"/>
        </w:trPr>
        <w:tc>
          <w:tcPr>
            <w:tcW w:w="10997" w:type="dxa"/>
            <w:gridSpan w:val="24"/>
            <w:tcBorders>
              <w:top w:val="nil"/>
              <w:left w:val="nil"/>
              <w:bottom w:val="nil"/>
              <w:right w:val="nil"/>
            </w:tcBorders>
            <w:shd w:val="clear" w:color="auto" w:fill="auto"/>
            <w:noWrap/>
            <w:vAlign w:val="bottom"/>
            <w:hideMark/>
          </w:tcPr>
          <w:p w14:paraId="7D65EC41" w14:textId="77777777" w:rsidR="00DE25A2" w:rsidRPr="00DE25A2" w:rsidRDefault="00DE25A2" w:rsidP="00DE25A2">
            <w:pPr>
              <w:spacing w:after="0" w:line="240" w:lineRule="auto"/>
              <w:rPr>
                <w:rFonts w:ascii="Arial" w:eastAsia="Times New Roman" w:hAnsi="Arial" w:cs="Arial"/>
                <w:b/>
                <w:bCs/>
                <w:color w:val="00B0F0"/>
                <w:sz w:val="28"/>
                <w:szCs w:val="28"/>
                <w:lang w:eastAsia="en-GB"/>
              </w:rPr>
            </w:pPr>
            <w:r w:rsidRPr="00DE25A2">
              <w:rPr>
                <w:rFonts w:ascii="Arial" w:eastAsia="Times New Roman" w:hAnsi="Arial" w:cs="Arial"/>
                <w:b/>
                <w:bCs/>
                <w:color w:val="00B0F0"/>
                <w:sz w:val="28"/>
                <w:szCs w:val="28"/>
                <w:lang w:eastAsia="en-GB"/>
              </w:rPr>
              <w:t>Notes to the interim financial statements</w:t>
            </w:r>
          </w:p>
        </w:tc>
      </w:tr>
      <w:tr w:rsidR="00E469A5" w:rsidRPr="00DE25A2" w14:paraId="5F93E09F" w14:textId="77777777" w:rsidTr="008C4883">
        <w:trPr>
          <w:gridAfter w:val="1"/>
          <w:wAfter w:w="222" w:type="dxa"/>
          <w:trHeight w:val="255"/>
        </w:trPr>
        <w:tc>
          <w:tcPr>
            <w:tcW w:w="2496" w:type="dxa"/>
            <w:tcBorders>
              <w:top w:val="nil"/>
              <w:left w:val="nil"/>
              <w:bottom w:val="nil"/>
              <w:right w:val="nil"/>
            </w:tcBorders>
            <w:shd w:val="clear" w:color="auto" w:fill="auto"/>
            <w:noWrap/>
            <w:vAlign w:val="bottom"/>
            <w:hideMark/>
          </w:tcPr>
          <w:p w14:paraId="1C5D060D" w14:textId="77777777" w:rsidR="00DE25A2" w:rsidRPr="00DE25A2" w:rsidRDefault="00DE25A2" w:rsidP="00DE25A2">
            <w:pPr>
              <w:spacing w:after="0" w:line="240" w:lineRule="auto"/>
              <w:rPr>
                <w:rFonts w:ascii="Arial" w:eastAsia="Times New Roman" w:hAnsi="Arial" w:cs="Arial"/>
                <w:b/>
                <w:bCs/>
                <w:color w:val="00B0F0"/>
                <w:sz w:val="28"/>
                <w:szCs w:val="28"/>
                <w:lang w:eastAsia="en-GB"/>
              </w:rPr>
            </w:pPr>
          </w:p>
        </w:tc>
        <w:tc>
          <w:tcPr>
            <w:tcW w:w="272" w:type="dxa"/>
            <w:tcBorders>
              <w:top w:val="nil"/>
              <w:left w:val="nil"/>
              <w:bottom w:val="nil"/>
              <w:right w:val="nil"/>
            </w:tcBorders>
            <w:shd w:val="clear" w:color="auto" w:fill="auto"/>
            <w:noWrap/>
            <w:vAlign w:val="bottom"/>
            <w:hideMark/>
          </w:tcPr>
          <w:p w14:paraId="37BDEF19"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918" w:type="dxa"/>
            <w:tcBorders>
              <w:top w:val="nil"/>
              <w:left w:val="nil"/>
              <w:bottom w:val="nil"/>
              <w:right w:val="nil"/>
            </w:tcBorders>
            <w:shd w:val="clear" w:color="auto" w:fill="auto"/>
            <w:noWrap/>
            <w:vAlign w:val="bottom"/>
            <w:hideMark/>
          </w:tcPr>
          <w:p w14:paraId="0C8A6BC6"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592" w:type="dxa"/>
            <w:gridSpan w:val="2"/>
            <w:tcBorders>
              <w:top w:val="nil"/>
              <w:left w:val="nil"/>
              <w:bottom w:val="nil"/>
              <w:right w:val="nil"/>
            </w:tcBorders>
            <w:shd w:val="clear" w:color="auto" w:fill="auto"/>
            <w:noWrap/>
            <w:vAlign w:val="bottom"/>
            <w:hideMark/>
          </w:tcPr>
          <w:p w14:paraId="35554EAA"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958" w:type="dxa"/>
            <w:gridSpan w:val="5"/>
            <w:tcBorders>
              <w:top w:val="nil"/>
              <w:left w:val="nil"/>
              <w:bottom w:val="nil"/>
              <w:right w:val="nil"/>
            </w:tcBorders>
            <w:shd w:val="clear" w:color="auto" w:fill="auto"/>
            <w:noWrap/>
            <w:vAlign w:val="bottom"/>
            <w:hideMark/>
          </w:tcPr>
          <w:p w14:paraId="24B7B164"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758" w:type="dxa"/>
            <w:tcBorders>
              <w:top w:val="nil"/>
              <w:left w:val="nil"/>
              <w:bottom w:val="nil"/>
              <w:right w:val="nil"/>
            </w:tcBorders>
            <w:shd w:val="clear" w:color="auto" w:fill="auto"/>
            <w:noWrap/>
            <w:vAlign w:val="bottom"/>
            <w:hideMark/>
          </w:tcPr>
          <w:p w14:paraId="361D16CE"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936" w:type="dxa"/>
            <w:gridSpan w:val="2"/>
            <w:tcBorders>
              <w:top w:val="nil"/>
              <w:left w:val="nil"/>
              <w:bottom w:val="nil"/>
              <w:right w:val="nil"/>
            </w:tcBorders>
            <w:shd w:val="clear" w:color="auto" w:fill="auto"/>
            <w:noWrap/>
            <w:vAlign w:val="bottom"/>
            <w:hideMark/>
          </w:tcPr>
          <w:p w14:paraId="1500AFA2"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608" w:type="dxa"/>
            <w:gridSpan w:val="2"/>
            <w:tcBorders>
              <w:top w:val="nil"/>
              <w:left w:val="nil"/>
              <w:bottom w:val="nil"/>
              <w:right w:val="nil"/>
            </w:tcBorders>
            <w:shd w:val="clear" w:color="auto" w:fill="auto"/>
            <w:noWrap/>
            <w:vAlign w:val="bottom"/>
            <w:hideMark/>
          </w:tcPr>
          <w:p w14:paraId="565EA8AD" w14:textId="77777777" w:rsidR="00DE25A2" w:rsidRPr="00DE25A2" w:rsidRDefault="00DE25A2" w:rsidP="00DE25A2">
            <w:pPr>
              <w:spacing w:after="0" w:line="240" w:lineRule="auto"/>
              <w:jc w:val="right"/>
              <w:rPr>
                <w:rFonts w:ascii="Times New Roman" w:eastAsia="Times New Roman" w:hAnsi="Times New Roman" w:cs="Times New Roman"/>
                <w:sz w:val="20"/>
                <w:szCs w:val="20"/>
                <w:lang w:eastAsia="en-GB"/>
              </w:rPr>
            </w:pPr>
          </w:p>
        </w:tc>
        <w:tc>
          <w:tcPr>
            <w:tcW w:w="1034" w:type="dxa"/>
            <w:gridSpan w:val="2"/>
            <w:tcBorders>
              <w:top w:val="nil"/>
              <w:left w:val="nil"/>
              <w:bottom w:val="nil"/>
              <w:right w:val="nil"/>
            </w:tcBorders>
            <w:shd w:val="clear" w:color="auto" w:fill="auto"/>
            <w:noWrap/>
            <w:vAlign w:val="bottom"/>
            <w:hideMark/>
          </w:tcPr>
          <w:p w14:paraId="0879D1FD" w14:textId="77777777" w:rsidR="00DE25A2" w:rsidRPr="00DE25A2" w:rsidRDefault="00DE25A2" w:rsidP="00DE25A2">
            <w:pPr>
              <w:spacing w:after="0" w:line="240" w:lineRule="auto"/>
              <w:jc w:val="right"/>
              <w:rPr>
                <w:rFonts w:ascii="Times New Roman" w:eastAsia="Times New Roman" w:hAnsi="Times New Roman" w:cs="Times New Roman"/>
                <w:sz w:val="20"/>
                <w:szCs w:val="20"/>
                <w:lang w:eastAsia="en-GB"/>
              </w:rPr>
            </w:pPr>
          </w:p>
        </w:tc>
        <w:tc>
          <w:tcPr>
            <w:tcW w:w="750" w:type="dxa"/>
            <w:gridSpan w:val="2"/>
            <w:tcBorders>
              <w:top w:val="nil"/>
              <w:left w:val="nil"/>
              <w:bottom w:val="nil"/>
              <w:right w:val="nil"/>
            </w:tcBorders>
            <w:shd w:val="clear" w:color="auto" w:fill="auto"/>
            <w:noWrap/>
            <w:vAlign w:val="bottom"/>
            <w:hideMark/>
          </w:tcPr>
          <w:p w14:paraId="447981EB" w14:textId="77777777" w:rsidR="00DE25A2" w:rsidRPr="00DE25A2" w:rsidRDefault="00DE25A2" w:rsidP="00DE25A2">
            <w:pPr>
              <w:spacing w:after="0" w:line="240" w:lineRule="auto"/>
              <w:jc w:val="right"/>
              <w:rPr>
                <w:rFonts w:ascii="Times New Roman" w:eastAsia="Times New Roman" w:hAnsi="Times New Roman" w:cs="Times New Roman"/>
                <w:sz w:val="20"/>
                <w:szCs w:val="20"/>
                <w:lang w:eastAsia="en-GB"/>
              </w:rPr>
            </w:pPr>
          </w:p>
        </w:tc>
        <w:tc>
          <w:tcPr>
            <w:tcW w:w="1000" w:type="dxa"/>
            <w:gridSpan w:val="2"/>
            <w:tcBorders>
              <w:top w:val="nil"/>
              <w:left w:val="nil"/>
              <w:bottom w:val="nil"/>
              <w:right w:val="nil"/>
            </w:tcBorders>
            <w:shd w:val="clear" w:color="auto" w:fill="auto"/>
            <w:noWrap/>
            <w:vAlign w:val="bottom"/>
            <w:hideMark/>
          </w:tcPr>
          <w:p w14:paraId="0479F841" w14:textId="77777777" w:rsidR="00DE25A2" w:rsidRPr="00DE25A2" w:rsidRDefault="00DE25A2" w:rsidP="00DE25A2">
            <w:pPr>
              <w:spacing w:after="0" w:line="240" w:lineRule="auto"/>
              <w:jc w:val="right"/>
              <w:rPr>
                <w:rFonts w:ascii="Times New Roman" w:eastAsia="Times New Roman" w:hAnsi="Times New Roman" w:cs="Times New Roman"/>
                <w:sz w:val="20"/>
                <w:szCs w:val="20"/>
                <w:lang w:eastAsia="en-GB"/>
              </w:rPr>
            </w:pPr>
          </w:p>
        </w:tc>
        <w:tc>
          <w:tcPr>
            <w:tcW w:w="675" w:type="dxa"/>
            <w:gridSpan w:val="3"/>
            <w:tcBorders>
              <w:top w:val="nil"/>
              <w:left w:val="nil"/>
              <w:bottom w:val="nil"/>
              <w:right w:val="nil"/>
            </w:tcBorders>
            <w:shd w:val="clear" w:color="auto" w:fill="auto"/>
            <w:noWrap/>
            <w:vAlign w:val="bottom"/>
            <w:hideMark/>
          </w:tcPr>
          <w:p w14:paraId="56358DF5" w14:textId="77777777" w:rsidR="00DE25A2" w:rsidRPr="00DE25A2" w:rsidRDefault="00DE25A2" w:rsidP="00DE25A2">
            <w:pPr>
              <w:spacing w:after="0" w:line="240" w:lineRule="auto"/>
              <w:jc w:val="right"/>
              <w:rPr>
                <w:rFonts w:ascii="Times New Roman" w:eastAsia="Times New Roman" w:hAnsi="Times New Roman" w:cs="Times New Roman"/>
                <w:sz w:val="20"/>
                <w:szCs w:val="20"/>
                <w:lang w:eastAsia="en-GB"/>
              </w:rPr>
            </w:pPr>
          </w:p>
        </w:tc>
      </w:tr>
      <w:tr w:rsidR="00DE25A2" w:rsidRPr="00DE25A2" w14:paraId="40A83E3B" w14:textId="77777777" w:rsidTr="008C4883">
        <w:trPr>
          <w:gridAfter w:val="1"/>
          <w:wAfter w:w="222" w:type="dxa"/>
          <w:trHeight w:val="255"/>
        </w:trPr>
        <w:tc>
          <w:tcPr>
            <w:tcW w:w="10997" w:type="dxa"/>
            <w:gridSpan w:val="24"/>
            <w:tcBorders>
              <w:top w:val="nil"/>
              <w:left w:val="nil"/>
              <w:bottom w:val="nil"/>
              <w:right w:val="nil"/>
            </w:tcBorders>
            <w:shd w:val="clear" w:color="auto" w:fill="auto"/>
            <w:noWrap/>
            <w:vAlign w:val="bottom"/>
            <w:hideMark/>
          </w:tcPr>
          <w:p w14:paraId="471D0DD3" w14:textId="77777777" w:rsidR="00DE25A2" w:rsidRPr="00DE25A2" w:rsidRDefault="00DE25A2" w:rsidP="00DE25A2">
            <w:pPr>
              <w:spacing w:after="0" w:line="240" w:lineRule="auto"/>
              <w:rPr>
                <w:rFonts w:ascii="Arial" w:eastAsia="Times New Roman" w:hAnsi="Arial" w:cs="Arial"/>
                <w:b/>
                <w:bCs/>
                <w:sz w:val="18"/>
                <w:szCs w:val="18"/>
                <w:lang w:eastAsia="en-GB"/>
              </w:rPr>
            </w:pPr>
            <w:r w:rsidRPr="00DE25A2">
              <w:rPr>
                <w:rFonts w:ascii="Arial" w:eastAsia="Times New Roman" w:hAnsi="Arial" w:cs="Arial"/>
                <w:b/>
                <w:bCs/>
                <w:sz w:val="18"/>
                <w:szCs w:val="18"/>
                <w:lang w:eastAsia="en-GB"/>
              </w:rPr>
              <w:t>1    Operating segments</w:t>
            </w:r>
          </w:p>
        </w:tc>
      </w:tr>
      <w:tr w:rsidR="00E469A5" w:rsidRPr="00DE25A2" w14:paraId="1A36C928" w14:textId="77777777" w:rsidTr="008C4883">
        <w:trPr>
          <w:gridAfter w:val="1"/>
          <w:wAfter w:w="222" w:type="dxa"/>
          <w:trHeight w:val="162"/>
        </w:trPr>
        <w:tc>
          <w:tcPr>
            <w:tcW w:w="2496" w:type="dxa"/>
            <w:tcBorders>
              <w:top w:val="nil"/>
              <w:left w:val="nil"/>
              <w:bottom w:val="nil"/>
              <w:right w:val="nil"/>
            </w:tcBorders>
            <w:shd w:val="clear" w:color="auto" w:fill="auto"/>
            <w:noWrap/>
            <w:vAlign w:val="bottom"/>
            <w:hideMark/>
          </w:tcPr>
          <w:p w14:paraId="11682A77" w14:textId="77777777" w:rsidR="00DE25A2" w:rsidRPr="00DE25A2" w:rsidRDefault="00DE25A2" w:rsidP="00DE25A2">
            <w:pPr>
              <w:spacing w:after="0" w:line="240" w:lineRule="auto"/>
              <w:rPr>
                <w:rFonts w:ascii="Arial" w:eastAsia="Times New Roman" w:hAnsi="Arial" w:cs="Arial"/>
                <w:b/>
                <w:bCs/>
                <w:sz w:val="18"/>
                <w:szCs w:val="18"/>
                <w:lang w:eastAsia="en-GB"/>
              </w:rPr>
            </w:pPr>
          </w:p>
        </w:tc>
        <w:tc>
          <w:tcPr>
            <w:tcW w:w="272" w:type="dxa"/>
            <w:tcBorders>
              <w:top w:val="nil"/>
              <w:left w:val="nil"/>
              <w:bottom w:val="nil"/>
              <w:right w:val="nil"/>
            </w:tcBorders>
            <w:shd w:val="clear" w:color="auto" w:fill="auto"/>
            <w:noWrap/>
            <w:vAlign w:val="bottom"/>
            <w:hideMark/>
          </w:tcPr>
          <w:p w14:paraId="6431C037"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918" w:type="dxa"/>
            <w:tcBorders>
              <w:top w:val="nil"/>
              <w:left w:val="nil"/>
              <w:bottom w:val="nil"/>
              <w:right w:val="nil"/>
            </w:tcBorders>
            <w:shd w:val="clear" w:color="auto" w:fill="auto"/>
            <w:noWrap/>
            <w:vAlign w:val="bottom"/>
            <w:hideMark/>
          </w:tcPr>
          <w:p w14:paraId="63A7E588"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592" w:type="dxa"/>
            <w:gridSpan w:val="2"/>
            <w:tcBorders>
              <w:top w:val="nil"/>
              <w:left w:val="nil"/>
              <w:bottom w:val="nil"/>
              <w:right w:val="nil"/>
            </w:tcBorders>
            <w:shd w:val="clear" w:color="auto" w:fill="auto"/>
            <w:noWrap/>
            <w:vAlign w:val="bottom"/>
            <w:hideMark/>
          </w:tcPr>
          <w:p w14:paraId="3B1D6D4B"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958" w:type="dxa"/>
            <w:gridSpan w:val="5"/>
            <w:tcBorders>
              <w:top w:val="nil"/>
              <w:left w:val="nil"/>
              <w:bottom w:val="nil"/>
              <w:right w:val="nil"/>
            </w:tcBorders>
            <w:shd w:val="clear" w:color="auto" w:fill="auto"/>
            <w:noWrap/>
            <w:vAlign w:val="bottom"/>
            <w:hideMark/>
          </w:tcPr>
          <w:p w14:paraId="72F6BCBF"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758" w:type="dxa"/>
            <w:tcBorders>
              <w:top w:val="nil"/>
              <w:left w:val="nil"/>
              <w:bottom w:val="nil"/>
              <w:right w:val="nil"/>
            </w:tcBorders>
            <w:shd w:val="clear" w:color="auto" w:fill="auto"/>
            <w:noWrap/>
            <w:vAlign w:val="bottom"/>
            <w:hideMark/>
          </w:tcPr>
          <w:p w14:paraId="7EB3D7CE"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936" w:type="dxa"/>
            <w:gridSpan w:val="2"/>
            <w:tcBorders>
              <w:top w:val="nil"/>
              <w:left w:val="nil"/>
              <w:bottom w:val="nil"/>
              <w:right w:val="nil"/>
            </w:tcBorders>
            <w:shd w:val="clear" w:color="auto" w:fill="auto"/>
            <w:noWrap/>
            <w:vAlign w:val="bottom"/>
            <w:hideMark/>
          </w:tcPr>
          <w:p w14:paraId="546AF3BE"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608" w:type="dxa"/>
            <w:gridSpan w:val="2"/>
            <w:tcBorders>
              <w:top w:val="nil"/>
              <w:left w:val="nil"/>
              <w:bottom w:val="nil"/>
              <w:right w:val="nil"/>
            </w:tcBorders>
            <w:shd w:val="clear" w:color="auto" w:fill="auto"/>
            <w:noWrap/>
            <w:vAlign w:val="bottom"/>
            <w:hideMark/>
          </w:tcPr>
          <w:p w14:paraId="2615AE3F"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1034" w:type="dxa"/>
            <w:gridSpan w:val="2"/>
            <w:tcBorders>
              <w:top w:val="nil"/>
              <w:left w:val="nil"/>
              <w:bottom w:val="nil"/>
              <w:right w:val="nil"/>
            </w:tcBorders>
            <w:shd w:val="clear" w:color="auto" w:fill="auto"/>
            <w:noWrap/>
            <w:vAlign w:val="bottom"/>
            <w:hideMark/>
          </w:tcPr>
          <w:p w14:paraId="28CA61C8"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750" w:type="dxa"/>
            <w:gridSpan w:val="2"/>
            <w:tcBorders>
              <w:top w:val="nil"/>
              <w:left w:val="nil"/>
              <w:bottom w:val="nil"/>
              <w:right w:val="nil"/>
            </w:tcBorders>
            <w:shd w:val="clear" w:color="auto" w:fill="auto"/>
            <w:noWrap/>
            <w:vAlign w:val="bottom"/>
            <w:hideMark/>
          </w:tcPr>
          <w:p w14:paraId="771606A7"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1000" w:type="dxa"/>
            <w:gridSpan w:val="2"/>
            <w:tcBorders>
              <w:top w:val="nil"/>
              <w:left w:val="nil"/>
              <w:bottom w:val="nil"/>
              <w:right w:val="nil"/>
            </w:tcBorders>
            <w:shd w:val="clear" w:color="auto" w:fill="auto"/>
            <w:noWrap/>
            <w:vAlign w:val="bottom"/>
            <w:hideMark/>
          </w:tcPr>
          <w:p w14:paraId="230A1C12"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675" w:type="dxa"/>
            <w:gridSpan w:val="3"/>
            <w:tcBorders>
              <w:top w:val="nil"/>
              <w:left w:val="nil"/>
              <w:bottom w:val="nil"/>
              <w:right w:val="nil"/>
            </w:tcBorders>
            <w:shd w:val="clear" w:color="auto" w:fill="auto"/>
            <w:noWrap/>
            <w:vAlign w:val="bottom"/>
            <w:hideMark/>
          </w:tcPr>
          <w:p w14:paraId="55E3AB7D"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3858BA9F" w14:textId="77777777" w:rsidTr="008C4883">
        <w:trPr>
          <w:gridAfter w:val="1"/>
          <w:wAfter w:w="222" w:type="dxa"/>
          <w:trHeight w:val="450"/>
        </w:trPr>
        <w:tc>
          <w:tcPr>
            <w:tcW w:w="10997" w:type="dxa"/>
            <w:gridSpan w:val="24"/>
            <w:vMerge w:val="restart"/>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42CFC8D7" w14:textId="77777777" w:rsidR="00DE25A2" w:rsidRPr="00DE25A2" w:rsidRDefault="00DE25A2" w:rsidP="00DE25A2">
            <w:pPr>
              <w:spacing w:after="0" w:line="240" w:lineRule="auto"/>
              <w:rPr>
                <w:rFonts w:ascii="Arial" w:eastAsia="Times New Roman" w:hAnsi="Arial" w:cs="Arial"/>
                <w:sz w:val="18"/>
                <w:szCs w:val="18"/>
                <w:lang w:eastAsia="en-GB"/>
              </w:rPr>
            </w:pPr>
            <w:r w:rsidRPr="00DE25A2">
              <w:rPr>
                <w:rFonts w:ascii="Arial" w:eastAsia="Times New Roman" w:hAnsi="Arial" w:cs="Arial"/>
                <w:b/>
                <w:bCs/>
                <w:sz w:val="18"/>
                <w:szCs w:val="18"/>
                <w:lang w:eastAsia="en-GB"/>
              </w:rPr>
              <w:t>What does this show?</w:t>
            </w:r>
            <w:r w:rsidRPr="00DE25A2">
              <w:rPr>
                <w:rFonts w:ascii="Arial" w:eastAsia="Times New Roman" w:hAnsi="Arial" w:cs="Arial"/>
                <w:sz w:val="18"/>
                <w:szCs w:val="18"/>
                <w:lang w:eastAsia="en-GB"/>
              </w:rPr>
              <w:t xml:space="preserve"> This note shows how our different businesses have performed. This is how we report and monitor our performance internally. These are the numbers that our Board reviews during the year. </w:t>
            </w:r>
          </w:p>
        </w:tc>
      </w:tr>
      <w:tr w:rsidR="00DE25A2" w:rsidRPr="00DE25A2" w14:paraId="7952BF26" w14:textId="77777777" w:rsidTr="008C4883">
        <w:trPr>
          <w:trHeight w:val="180"/>
        </w:trPr>
        <w:tc>
          <w:tcPr>
            <w:tcW w:w="10997" w:type="dxa"/>
            <w:gridSpan w:val="24"/>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3EFC296C" w14:textId="77777777" w:rsidR="00DE25A2" w:rsidRPr="00DE25A2" w:rsidRDefault="00DE25A2" w:rsidP="00DE25A2">
            <w:pPr>
              <w:spacing w:after="0" w:line="240" w:lineRule="auto"/>
              <w:rPr>
                <w:rFonts w:ascii="Arial" w:eastAsia="Times New Roman" w:hAnsi="Arial" w:cs="Arial"/>
                <w:sz w:val="18"/>
                <w:szCs w:val="18"/>
                <w:lang w:eastAsia="en-GB"/>
              </w:rPr>
            </w:pPr>
          </w:p>
        </w:tc>
        <w:tc>
          <w:tcPr>
            <w:tcW w:w="222" w:type="dxa"/>
            <w:tcBorders>
              <w:top w:val="nil"/>
              <w:left w:val="nil"/>
              <w:bottom w:val="nil"/>
              <w:right w:val="nil"/>
            </w:tcBorders>
            <w:shd w:val="clear" w:color="auto" w:fill="auto"/>
            <w:noWrap/>
            <w:vAlign w:val="bottom"/>
            <w:hideMark/>
          </w:tcPr>
          <w:p w14:paraId="6ACDEEE5" w14:textId="77777777" w:rsidR="00DE25A2" w:rsidRPr="00DE25A2" w:rsidRDefault="00DE25A2" w:rsidP="00DE25A2">
            <w:pPr>
              <w:spacing w:after="0" w:line="240" w:lineRule="auto"/>
              <w:rPr>
                <w:rFonts w:ascii="Arial" w:eastAsia="Times New Roman" w:hAnsi="Arial" w:cs="Arial"/>
                <w:sz w:val="18"/>
                <w:szCs w:val="18"/>
                <w:lang w:eastAsia="en-GB"/>
              </w:rPr>
            </w:pPr>
          </w:p>
        </w:tc>
      </w:tr>
      <w:tr w:rsidR="00DE25A2" w:rsidRPr="00DE25A2" w14:paraId="784FDC1A" w14:textId="77777777" w:rsidTr="008C4883">
        <w:trPr>
          <w:trHeight w:val="70"/>
        </w:trPr>
        <w:tc>
          <w:tcPr>
            <w:tcW w:w="10997" w:type="dxa"/>
            <w:gridSpan w:val="24"/>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767C0DA9" w14:textId="77777777" w:rsidR="00DE25A2" w:rsidRPr="00DE25A2" w:rsidRDefault="00DE25A2" w:rsidP="00DE25A2">
            <w:pPr>
              <w:spacing w:after="0" w:line="240" w:lineRule="auto"/>
              <w:rPr>
                <w:rFonts w:ascii="Arial" w:eastAsia="Times New Roman" w:hAnsi="Arial" w:cs="Arial"/>
                <w:sz w:val="18"/>
                <w:szCs w:val="18"/>
                <w:lang w:eastAsia="en-GB"/>
              </w:rPr>
            </w:pPr>
          </w:p>
        </w:tc>
        <w:tc>
          <w:tcPr>
            <w:tcW w:w="222" w:type="dxa"/>
            <w:tcBorders>
              <w:top w:val="nil"/>
              <w:left w:val="nil"/>
              <w:bottom w:val="nil"/>
              <w:right w:val="nil"/>
            </w:tcBorders>
            <w:shd w:val="clear" w:color="auto" w:fill="auto"/>
            <w:noWrap/>
            <w:vAlign w:val="bottom"/>
            <w:hideMark/>
          </w:tcPr>
          <w:p w14:paraId="10250C27"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E469A5" w:rsidRPr="00DE25A2" w14:paraId="31371A26" w14:textId="77777777" w:rsidTr="008C4883">
        <w:trPr>
          <w:trHeight w:val="300"/>
        </w:trPr>
        <w:tc>
          <w:tcPr>
            <w:tcW w:w="2496" w:type="dxa"/>
            <w:tcBorders>
              <w:top w:val="nil"/>
              <w:left w:val="nil"/>
              <w:bottom w:val="nil"/>
              <w:right w:val="nil"/>
            </w:tcBorders>
            <w:shd w:val="clear" w:color="auto" w:fill="auto"/>
            <w:noWrap/>
            <w:vAlign w:val="bottom"/>
            <w:hideMark/>
          </w:tcPr>
          <w:p w14:paraId="2ABBCA88"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hideMark/>
          </w:tcPr>
          <w:p w14:paraId="01558B44"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918" w:type="dxa"/>
            <w:tcBorders>
              <w:top w:val="nil"/>
              <w:left w:val="nil"/>
              <w:bottom w:val="nil"/>
              <w:right w:val="nil"/>
            </w:tcBorders>
            <w:shd w:val="clear" w:color="auto" w:fill="auto"/>
            <w:noWrap/>
            <w:vAlign w:val="bottom"/>
            <w:hideMark/>
          </w:tcPr>
          <w:p w14:paraId="49CC6A99"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592" w:type="dxa"/>
            <w:gridSpan w:val="2"/>
            <w:tcBorders>
              <w:top w:val="nil"/>
              <w:left w:val="nil"/>
              <w:bottom w:val="nil"/>
              <w:right w:val="nil"/>
            </w:tcBorders>
            <w:shd w:val="clear" w:color="auto" w:fill="auto"/>
            <w:noWrap/>
            <w:vAlign w:val="bottom"/>
            <w:hideMark/>
          </w:tcPr>
          <w:p w14:paraId="42224095"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958" w:type="dxa"/>
            <w:gridSpan w:val="5"/>
            <w:tcBorders>
              <w:top w:val="nil"/>
              <w:left w:val="nil"/>
              <w:bottom w:val="nil"/>
              <w:right w:val="nil"/>
            </w:tcBorders>
            <w:shd w:val="clear" w:color="auto" w:fill="auto"/>
            <w:noWrap/>
            <w:vAlign w:val="bottom"/>
            <w:hideMark/>
          </w:tcPr>
          <w:p w14:paraId="371460A2"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758" w:type="dxa"/>
            <w:tcBorders>
              <w:top w:val="nil"/>
              <w:left w:val="nil"/>
              <w:bottom w:val="nil"/>
              <w:right w:val="nil"/>
            </w:tcBorders>
            <w:shd w:val="clear" w:color="auto" w:fill="auto"/>
            <w:noWrap/>
            <w:vAlign w:val="bottom"/>
            <w:hideMark/>
          </w:tcPr>
          <w:p w14:paraId="23CBEBCA"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936" w:type="dxa"/>
            <w:gridSpan w:val="2"/>
            <w:tcBorders>
              <w:top w:val="nil"/>
              <w:left w:val="nil"/>
              <w:bottom w:val="nil"/>
              <w:right w:val="nil"/>
            </w:tcBorders>
            <w:shd w:val="clear" w:color="auto" w:fill="auto"/>
            <w:noWrap/>
            <w:vAlign w:val="bottom"/>
            <w:hideMark/>
          </w:tcPr>
          <w:p w14:paraId="61215C0E"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608" w:type="dxa"/>
            <w:gridSpan w:val="2"/>
            <w:tcBorders>
              <w:top w:val="nil"/>
              <w:left w:val="nil"/>
              <w:bottom w:val="nil"/>
              <w:right w:val="nil"/>
            </w:tcBorders>
            <w:shd w:val="clear" w:color="auto" w:fill="auto"/>
            <w:noWrap/>
            <w:vAlign w:val="bottom"/>
            <w:hideMark/>
          </w:tcPr>
          <w:p w14:paraId="57D55D5A"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1034" w:type="dxa"/>
            <w:gridSpan w:val="2"/>
            <w:tcBorders>
              <w:top w:val="nil"/>
              <w:left w:val="nil"/>
              <w:bottom w:val="nil"/>
              <w:right w:val="nil"/>
            </w:tcBorders>
            <w:shd w:val="clear" w:color="auto" w:fill="auto"/>
            <w:noWrap/>
            <w:vAlign w:val="bottom"/>
            <w:hideMark/>
          </w:tcPr>
          <w:p w14:paraId="2F6B1E7D"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750" w:type="dxa"/>
            <w:gridSpan w:val="2"/>
            <w:tcBorders>
              <w:top w:val="nil"/>
              <w:left w:val="nil"/>
              <w:bottom w:val="nil"/>
              <w:right w:val="nil"/>
            </w:tcBorders>
            <w:shd w:val="clear" w:color="auto" w:fill="auto"/>
            <w:noWrap/>
            <w:vAlign w:val="bottom"/>
            <w:hideMark/>
          </w:tcPr>
          <w:p w14:paraId="3B7D5E41"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1000" w:type="dxa"/>
            <w:gridSpan w:val="2"/>
            <w:tcBorders>
              <w:top w:val="nil"/>
              <w:left w:val="nil"/>
              <w:bottom w:val="nil"/>
              <w:right w:val="nil"/>
            </w:tcBorders>
            <w:shd w:val="clear" w:color="auto" w:fill="auto"/>
            <w:noWrap/>
            <w:vAlign w:val="bottom"/>
            <w:hideMark/>
          </w:tcPr>
          <w:p w14:paraId="5395A9F8"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675" w:type="dxa"/>
            <w:gridSpan w:val="3"/>
            <w:tcBorders>
              <w:top w:val="nil"/>
              <w:left w:val="nil"/>
              <w:bottom w:val="nil"/>
              <w:right w:val="nil"/>
            </w:tcBorders>
            <w:shd w:val="clear" w:color="auto" w:fill="auto"/>
            <w:noWrap/>
            <w:vAlign w:val="bottom"/>
            <w:hideMark/>
          </w:tcPr>
          <w:p w14:paraId="2FA67E70"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214D6562"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45F1A811" w14:textId="77777777" w:rsidTr="008C4883">
        <w:trPr>
          <w:trHeight w:val="728"/>
        </w:trPr>
        <w:tc>
          <w:tcPr>
            <w:tcW w:w="2496" w:type="dxa"/>
            <w:tcBorders>
              <w:top w:val="single" w:sz="4" w:space="0" w:color="BFBFBF"/>
              <w:left w:val="single" w:sz="4" w:space="0" w:color="BFBFBF"/>
              <w:bottom w:val="nil"/>
              <w:right w:val="nil"/>
            </w:tcBorders>
            <w:shd w:val="clear" w:color="auto" w:fill="auto"/>
            <w:vAlign w:val="center"/>
            <w:hideMark/>
          </w:tcPr>
          <w:p w14:paraId="29F2EA77"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26 weeks ended 2 July 2022 (unaudited)</w:t>
            </w:r>
          </w:p>
        </w:tc>
        <w:tc>
          <w:tcPr>
            <w:tcW w:w="272" w:type="dxa"/>
            <w:tcBorders>
              <w:top w:val="single" w:sz="4" w:space="0" w:color="BFBFBF"/>
              <w:left w:val="nil"/>
              <w:bottom w:val="nil"/>
              <w:right w:val="nil"/>
            </w:tcBorders>
            <w:shd w:val="clear" w:color="auto" w:fill="auto"/>
            <w:noWrap/>
            <w:vAlign w:val="bottom"/>
            <w:hideMark/>
          </w:tcPr>
          <w:p w14:paraId="671995B8"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single" w:sz="4" w:space="0" w:color="BFBFBF"/>
              <w:left w:val="nil"/>
              <w:bottom w:val="nil"/>
              <w:right w:val="nil"/>
            </w:tcBorders>
            <w:shd w:val="clear" w:color="auto" w:fill="auto"/>
            <w:vAlign w:val="center"/>
            <w:hideMark/>
          </w:tcPr>
          <w:p w14:paraId="5B91A06A" w14:textId="77777777" w:rsidR="00DE25A2" w:rsidRPr="00DE25A2" w:rsidRDefault="00DE25A2" w:rsidP="00DE25A2">
            <w:pPr>
              <w:spacing w:after="0" w:line="240" w:lineRule="auto"/>
              <w:jc w:val="center"/>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592" w:type="dxa"/>
            <w:gridSpan w:val="2"/>
            <w:tcBorders>
              <w:top w:val="single" w:sz="4" w:space="0" w:color="BFBFBF"/>
              <w:left w:val="nil"/>
              <w:bottom w:val="nil"/>
              <w:right w:val="nil"/>
            </w:tcBorders>
            <w:shd w:val="clear" w:color="auto" w:fill="auto"/>
            <w:vAlign w:val="center"/>
            <w:hideMark/>
          </w:tcPr>
          <w:p w14:paraId="7CC3E3E9" w14:textId="77777777" w:rsidR="00DE25A2" w:rsidRPr="00DE25A2" w:rsidRDefault="00DE25A2" w:rsidP="00DE25A2">
            <w:pPr>
              <w:spacing w:after="0" w:line="240" w:lineRule="auto"/>
              <w:jc w:val="center"/>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Food</w:t>
            </w:r>
          </w:p>
        </w:tc>
        <w:tc>
          <w:tcPr>
            <w:tcW w:w="958" w:type="dxa"/>
            <w:gridSpan w:val="5"/>
            <w:tcBorders>
              <w:top w:val="single" w:sz="4" w:space="0" w:color="BFBFBF"/>
              <w:left w:val="nil"/>
              <w:bottom w:val="nil"/>
              <w:right w:val="nil"/>
            </w:tcBorders>
            <w:shd w:val="clear" w:color="auto" w:fill="auto"/>
            <w:vAlign w:val="center"/>
            <w:hideMark/>
          </w:tcPr>
          <w:p w14:paraId="020B66F2"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Wholesale</w:t>
            </w:r>
          </w:p>
        </w:tc>
        <w:tc>
          <w:tcPr>
            <w:tcW w:w="758" w:type="dxa"/>
            <w:tcBorders>
              <w:top w:val="single" w:sz="4" w:space="0" w:color="BFBFBF"/>
              <w:left w:val="nil"/>
              <w:bottom w:val="nil"/>
              <w:right w:val="nil"/>
            </w:tcBorders>
            <w:shd w:val="clear" w:color="auto" w:fill="auto"/>
            <w:vAlign w:val="center"/>
            <w:hideMark/>
          </w:tcPr>
          <w:p w14:paraId="0A790ACA"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Funeral</w:t>
            </w:r>
          </w:p>
        </w:tc>
        <w:tc>
          <w:tcPr>
            <w:tcW w:w="936" w:type="dxa"/>
            <w:gridSpan w:val="2"/>
            <w:tcBorders>
              <w:top w:val="single" w:sz="4" w:space="0" w:color="BFBFBF"/>
              <w:left w:val="nil"/>
              <w:bottom w:val="nil"/>
              <w:right w:val="nil"/>
            </w:tcBorders>
            <w:shd w:val="clear" w:color="auto" w:fill="auto"/>
            <w:vAlign w:val="center"/>
            <w:hideMark/>
          </w:tcPr>
          <w:p w14:paraId="609F95B0"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Insurance</w:t>
            </w:r>
          </w:p>
        </w:tc>
        <w:tc>
          <w:tcPr>
            <w:tcW w:w="608" w:type="dxa"/>
            <w:gridSpan w:val="2"/>
            <w:tcBorders>
              <w:top w:val="single" w:sz="4" w:space="0" w:color="BFBFBF"/>
              <w:left w:val="nil"/>
              <w:bottom w:val="nil"/>
              <w:right w:val="nil"/>
            </w:tcBorders>
            <w:shd w:val="clear" w:color="auto" w:fill="auto"/>
            <w:vAlign w:val="center"/>
            <w:hideMark/>
          </w:tcPr>
          <w:p w14:paraId="653E7B82"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Legal</w:t>
            </w:r>
          </w:p>
        </w:tc>
        <w:tc>
          <w:tcPr>
            <w:tcW w:w="1034" w:type="dxa"/>
            <w:gridSpan w:val="2"/>
            <w:tcBorders>
              <w:top w:val="single" w:sz="4" w:space="0" w:color="BFBFBF"/>
              <w:left w:val="nil"/>
              <w:bottom w:val="nil"/>
              <w:right w:val="nil"/>
            </w:tcBorders>
            <w:shd w:val="clear" w:color="auto" w:fill="auto"/>
            <w:vAlign w:val="center"/>
            <w:hideMark/>
          </w:tcPr>
          <w:p w14:paraId="29152170"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Other businesses (c) </w:t>
            </w:r>
          </w:p>
        </w:tc>
        <w:tc>
          <w:tcPr>
            <w:tcW w:w="750" w:type="dxa"/>
            <w:gridSpan w:val="2"/>
            <w:tcBorders>
              <w:top w:val="single" w:sz="4" w:space="0" w:color="BFBFBF"/>
              <w:left w:val="nil"/>
              <w:bottom w:val="nil"/>
              <w:right w:val="nil"/>
            </w:tcBorders>
            <w:shd w:val="clear" w:color="auto" w:fill="auto"/>
            <w:vAlign w:val="center"/>
            <w:hideMark/>
          </w:tcPr>
          <w:p w14:paraId="2AB09F27"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Federal (d) </w:t>
            </w:r>
          </w:p>
        </w:tc>
        <w:tc>
          <w:tcPr>
            <w:tcW w:w="1000" w:type="dxa"/>
            <w:gridSpan w:val="2"/>
            <w:tcBorders>
              <w:top w:val="single" w:sz="4" w:space="0" w:color="BFBFBF"/>
              <w:left w:val="nil"/>
              <w:bottom w:val="nil"/>
              <w:right w:val="nil"/>
            </w:tcBorders>
            <w:shd w:val="clear" w:color="auto" w:fill="auto"/>
            <w:vAlign w:val="center"/>
            <w:hideMark/>
          </w:tcPr>
          <w:p w14:paraId="54D6705C"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Costs from supporting functions</w:t>
            </w:r>
          </w:p>
        </w:tc>
        <w:tc>
          <w:tcPr>
            <w:tcW w:w="675" w:type="dxa"/>
            <w:gridSpan w:val="3"/>
            <w:tcBorders>
              <w:top w:val="single" w:sz="4" w:space="0" w:color="BFBFBF"/>
              <w:left w:val="single" w:sz="4" w:space="0" w:color="BFBFBF"/>
              <w:bottom w:val="nil"/>
              <w:right w:val="single" w:sz="4" w:space="0" w:color="BFBFBF"/>
            </w:tcBorders>
            <w:shd w:val="clear" w:color="auto" w:fill="auto"/>
            <w:vAlign w:val="center"/>
            <w:hideMark/>
          </w:tcPr>
          <w:p w14:paraId="41A1676B"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Total</w:t>
            </w:r>
          </w:p>
        </w:tc>
        <w:tc>
          <w:tcPr>
            <w:tcW w:w="222" w:type="dxa"/>
            <w:vAlign w:val="center"/>
            <w:hideMark/>
          </w:tcPr>
          <w:p w14:paraId="68094039"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461EA1DB" w14:textId="77777777" w:rsidTr="008C4883">
        <w:trPr>
          <w:trHeight w:val="240"/>
        </w:trPr>
        <w:tc>
          <w:tcPr>
            <w:tcW w:w="2496" w:type="dxa"/>
            <w:tcBorders>
              <w:top w:val="nil"/>
              <w:left w:val="single" w:sz="4" w:space="0" w:color="BFBFBF"/>
              <w:bottom w:val="single" w:sz="4" w:space="0" w:color="BFBFBF"/>
              <w:right w:val="nil"/>
            </w:tcBorders>
            <w:shd w:val="clear" w:color="auto" w:fill="auto"/>
            <w:noWrap/>
            <w:vAlign w:val="center"/>
            <w:hideMark/>
          </w:tcPr>
          <w:p w14:paraId="62C97A73"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272" w:type="dxa"/>
            <w:tcBorders>
              <w:top w:val="nil"/>
              <w:left w:val="nil"/>
              <w:bottom w:val="single" w:sz="4" w:space="0" w:color="BFBFBF"/>
              <w:right w:val="nil"/>
            </w:tcBorders>
            <w:shd w:val="clear" w:color="auto" w:fill="auto"/>
            <w:noWrap/>
            <w:vAlign w:val="center"/>
            <w:hideMark/>
          </w:tcPr>
          <w:p w14:paraId="666B8BA8"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nil"/>
              <w:left w:val="nil"/>
              <w:bottom w:val="single" w:sz="4" w:space="0" w:color="BFBFBF"/>
              <w:right w:val="nil"/>
            </w:tcBorders>
            <w:shd w:val="clear" w:color="auto" w:fill="auto"/>
            <w:vAlign w:val="center"/>
            <w:hideMark/>
          </w:tcPr>
          <w:p w14:paraId="46D98BDD"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592" w:type="dxa"/>
            <w:gridSpan w:val="2"/>
            <w:tcBorders>
              <w:top w:val="nil"/>
              <w:left w:val="nil"/>
              <w:bottom w:val="single" w:sz="4" w:space="0" w:color="BFBFBF"/>
              <w:right w:val="nil"/>
            </w:tcBorders>
            <w:shd w:val="clear" w:color="auto" w:fill="auto"/>
            <w:vAlign w:val="center"/>
            <w:hideMark/>
          </w:tcPr>
          <w:p w14:paraId="22D78357"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£m</w:t>
            </w:r>
          </w:p>
        </w:tc>
        <w:tc>
          <w:tcPr>
            <w:tcW w:w="958" w:type="dxa"/>
            <w:gridSpan w:val="5"/>
            <w:tcBorders>
              <w:top w:val="nil"/>
              <w:left w:val="nil"/>
              <w:bottom w:val="single" w:sz="4" w:space="0" w:color="BFBFBF"/>
              <w:right w:val="nil"/>
            </w:tcBorders>
            <w:shd w:val="clear" w:color="auto" w:fill="auto"/>
            <w:vAlign w:val="center"/>
            <w:hideMark/>
          </w:tcPr>
          <w:p w14:paraId="40D66338"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£m</w:t>
            </w:r>
          </w:p>
        </w:tc>
        <w:tc>
          <w:tcPr>
            <w:tcW w:w="758" w:type="dxa"/>
            <w:tcBorders>
              <w:top w:val="nil"/>
              <w:left w:val="nil"/>
              <w:bottom w:val="single" w:sz="4" w:space="0" w:color="BFBFBF"/>
              <w:right w:val="nil"/>
            </w:tcBorders>
            <w:shd w:val="clear" w:color="auto" w:fill="auto"/>
            <w:vAlign w:val="center"/>
            <w:hideMark/>
          </w:tcPr>
          <w:p w14:paraId="7BA9212C"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£m</w:t>
            </w:r>
          </w:p>
        </w:tc>
        <w:tc>
          <w:tcPr>
            <w:tcW w:w="936" w:type="dxa"/>
            <w:gridSpan w:val="2"/>
            <w:tcBorders>
              <w:top w:val="nil"/>
              <w:left w:val="nil"/>
              <w:bottom w:val="single" w:sz="4" w:space="0" w:color="BFBFBF"/>
              <w:right w:val="nil"/>
            </w:tcBorders>
            <w:shd w:val="clear" w:color="auto" w:fill="auto"/>
            <w:vAlign w:val="center"/>
            <w:hideMark/>
          </w:tcPr>
          <w:p w14:paraId="226AA047"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£m</w:t>
            </w:r>
          </w:p>
        </w:tc>
        <w:tc>
          <w:tcPr>
            <w:tcW w:w="608" w:type="dxa"/>
            <w:gridSpan w:val="2"/>
            <w:tcBorders>
              <w:top w:val="nil"/>
              <w:left w:val="nil"/>
              <w:bottom w:val="single" w:sz="4" w:space="0" w:color="BFBFBF"/>
              <w:right w:val="nil"/>
            </w:tcBorders>
            <w:shd w:val="clear" w:color="auto" w:fill="auto"/>
            <w:vAlign w:val="center"/>
            <w:hideMark/>
          </w:tcPr>
          <w:p w14:paraId="6F93910B"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£m</w:t>
            </w:r>
          </w:p>
        </w:tc>
        <w:tc>
          <w:tcPr>
            <w:tcW w:w="1034" w:type="dxa"/>
            <w:gridSpan w:val="2"/>
            <w:tcBorders>
              <w:top w:val="nil"/>
              <w:left w:val="nil"/>
              <w:bottom w:val="single" w:sz="4" w:space="0" w:color="BFBFBF"/>
              <w:right w:val="nil"/>
            </w:tcBorders>
            <w:shd w:val="clear" w:color="auto" w:fill="auto"/>
            <w:vAlign w:val="center"/>
            <w:hideMark/>
          </w:tcPr>
          <w:p w14:paraId="0B303741"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£m</w:t>
            </w:r>
          </w:p>
        </w:tc>
        <w:tc>
          <w:tcPr>
            <w:tcW w:w="750" w:type="dxa"/>
            <w:gridSpan w:val="2"/>
            <w:tcBorders>
              <w:top w:val="nil"/>
              <w:left w:val="nil"/>
              <w:bottom w:val="single" w:sz="4" w:space="0" w:color="BFBFBF"/>
              <w:right w:val="nil"/>
            </w:tcBorders>
            <w:shd w:val="clear" w:color="auto" w:fill="auto"/>
            <w:vAlign w:val="center"/>
            <w:hideMark/>
          </w:tcPr>
          <w:p w14:paraId="53C46D96"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£m</w:t>
            </w:r>
          </w:p>
        </w:tc>
        <w:tc>
          <w:tcPr>
            <w:tcW w:w="1000" w:type="dxa"/>
            <w:gridSpan w:val="2"/>
            <w:tcBorders>
              <w:top w:val="nil"/>
              <w:left w:val="nil"/>
              <w:bottom w:val="single" w:sz="4" w:space="0" w:color="BFBFBF"/>
              <w:right w:val="nil"/>
            </w:tcBorders>
            <w:shd w:val="clear" w:color="auto" w:fill="auto"/>
            <w:vAlign w:val="center"/>
            <w:hideMark/>
          </w:tcPr>
          <w:p w14:paraId="31ACFD71"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£m</w:t>
            </w:r>
          </w:p>
        </w:tc>
        <w:tc>
          <w:tcPr>
            <w:tcW w:w="675" w:type="dxa"/>
            <w:gridSpan w:val="3"/>
            <w:tcBorders>
              <w:top w:val="nil"/>
              <w:left w:val="single" w:sz="4" w:space="0" w:color="BFBFBF"/>
              <w:bottom w:val="single" w:sz="4" w:space="0" w:color="BFBFBF"/>
              <w:right w:val="single" w:sz="4" w:space="0" w:color="BFBFBF"/>
            </w:tcBorders>
            <w:shd w:val="clear" w:color="auto" w:fill="auto"/>
            <w:vAlign w:val="center"/>
            <w:hideMark/>
          </w:tcPr>
          <w:p w14:paraId="5483ABBF"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£m</w:t>
            </w:r>
          </w:p>
        </w:tc>
        <w:tc>
          <w:tcPr>
            <w:tcW w:w="222" w:type="dxa"/>
            <w:vAlign w:val="center"/>
            <w:hideMark/>
          </w:tcPr>
          <w:p w14:paraId="5A60941A"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0F9A7347" w14:textId="77777777" w:rsidTr="008C4883">
        <w:trPr>
          <w:trHeight w:val="255"/>
        </w:trPr>
        <w:tc>
          <w:tcPr>
            <w:tcW w:w="3686" w:type="dxa"/>
            <w:gridSpan w:val="3"/>
            <w:tcBorders>
              <w:top w:val="single" w:sz="4" w:space="0" w:color="BFBFBF"/>
              <w:left w:val="nil"/>
              <w:bottom w:val="single" w:sz="4" w:space="0" w:color="BFBFBF"/>
              <w:right w:val="nil"/>
            </w:tcBorders>
            <w:shd w:val="clear" w:color="auto" w:fill="CCECFF"/>
            <w:noWrap/>
            <w:vAlign w:val="center"/>
            <w:hideMark/>
          </w:tcPr>
          <w:p w14:paraId="2034246E"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Revenue from external customers</w:t>
            </w:r>
          </w:p>
        </w:tc>
        <w:tc>
          <w:tcPr>
            <w:tcW w:w="592" w:type="dxa"/>
            <w:gridSpan w:val="2"/>
            <w:tcBorders>
              <w:top w:val="nil"/>
              <w:left w:val="nil"/>
              <w:bottom w:val="single" w:sz="4" w:space="0" w:color="BFBFBF"/>
              <w:right w:val="nil"/>
            </w:tcBorders>
            <w:shd w:val="clear" w:color="auto" w:fill="CCECFF"/>
            <w:noWrap/>
            <w:vAlign w:val="center"/>
            <w:hideMark/>
          </w:tcPr>
          <w:p w14:paraId="0B664996"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3,912 </w:t>
            </w:r>
          </w:p>
        </w:tc>
        <w:tc>
          <w:tcPr>
            <w:tcW w:w="958" w:type="dxa"/>
            <w:gridSpan w:val="5"/>
            <w:tcBorders>
              <w:top w:val="nil"/>
              <w:left w:val="nil"/>
              <w:bottom w:val="single" w:sz="4" w:space="0" w:color="BFBFBF"/>
              <w:right w:val="nil"/>
            </w:tcBorders>
            <w:shd w:val="clear" w:color="auto" w:fill="CCECFF"/>
            <w:noWrap/>
            <w:vAlign w:val="center"/>
            <w:hideMark/>
          </w:tcPr>
          <w:p w14:paraId="6E21A6C1"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679 </w:t>
            </w:r>
          </w:p>
        </w:tc>
        <w:tc>
          <w:tcPr>
            <w:tcW w:w="758" w:type="dxa"/>
            <w:tcBorders>
              <w:top w:val="nil"/>
              <w:left w:val="nil"/>
              <w:bottom w:val="single" w:sz="4" w:space="0" w:color="BFBFBF"/>
              <w:right w:val="nil"/>
            </w:tcBorders>
            <w:shd w:val="clear" w:color="auto" w:fill="CCECFF"/>
            <w:noWrap/>
            <w:vAlign w:val="center"/>
            <w:hideMark/>
          </w:tcPr>
          <w:p w14:paraId="1C071AD9"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139 </w:t>
            </w:r>
          </w:p>
        </w:tc>
        <w:tc>
          <w:tcPr>
            <w:tcW w:w="936" w:type="dxa"/>
            <w:gridSpan w:val="2"/>
            <w:tcBorders>
              <w:top w:val="nil"/>
              <w:left w:val="nil"/>
              <w:bottom w:val="single" w:sz="4" w:space="0" w:color="BFBFBF"/>
              <w:right w:val="nil"/>
            </w:tcBorders>
            <w:shd w:val="clear" w:color="auto" w:fill="CCECFF"/>
            <w:noWrap/>
            <w:vAlign w:val="center"/>
            <w:hideMark/>
          </w:tcPr>
          <w:p w14:paraId="579DBD7D"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11 </w:t>
            </w:r>
          </w:p>
        </w:tc>
        <w:tc>
          <w:tcPr>
            <w:tcW w:w="608" w:type="dxa"/>
            <w:gridSpan w:val="2"/>
            <w:tcBorders>
              <w:top w:val="nil"/>
              <w:left w:val="nil"/>
              <w:bottom w:val="single" w:sz="4" w:space="0" w:color="BFBFBF"/>
              <w:right w:val="nil"/>
            </w:tcBorders>
            <w:shd w:val="clear" w:color="auto" w:fill="CCECFF"/>
            <w:noWrap/>
            <w:vAlign w:val="center"/>
            <w:hideMark/>
          </w:tcPr>
          <w:p w14:paraId="597B4943"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22 </w:t>
            </w:r>
          </w:p>
        </w:tc>
        <w:tc>
          <w:tcPr>
            <w:tcW w:w="1034" w:type="dxa"/>
            <w:gridSpan w:val="2"/>
            <w:tcBorders>
              <w:top w:val="nil"/>
              <w:left w:val="nil"/>
              <w:bottom w:val="single" w:sz="4" w:space="0" w:color="BFBFBF"/>
              <w:right w:val="nil"/>
            </w:tcBorders>
            <w:shd w:val="clear" w:color="auto" w:fill="CCECFF"/>
            <w:noWrap/>
            <w:vAlign w:val="center"/>
            <w:hideMark/>
          </w:tcPr>
          <w:p w14:paraId="69B67BE9"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750" w:type="dxa"/>
            <w:gridSpan w:val="2"/>
            <w:tcBorders>
              <w:top w:val="nil"/>
              <w:left w:val="nil"/>
              <w:bottom w:val="single" w:sz="4" w:space="0" w:color="BFBFBF"/>
              <w:right w:val="nil"/>
            </w:tcBorders>
            <w:shd w:val="clear" w:color="auto" w:fill="CCECFF"/>
            <w:noWrap/>
            <w:vAlign w:val="center"/>
            <w:hideMark/>
          </w:tcPr>
          <w:p w14:paraId="18BC7B0E"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880 </w:t>
            </w:r>
          </w:p>
        </w:tc>
        <w:tc>
          <w:tcPr>
            <w:tcW w:w="1000" w:type="dxa"/>
            <w:gridSpan w:val="2"/>
            <w:tcBorders>
              <w:top w:val="nil"/>
              <w:left w:val="nil"/>
              <w:bottom w:val="single" w:sz="4" w:space="0" w:color="BFBFBF"/>
              <w:right w:val="nil"/>
            </w:tcBorders>
            <w:shd w:val="clear" w:color="auto" w:fill="CCECFF"/>
            <w:noWrap/>
            <w:vAlign w:val="center"/>
            <w:hideMark/>
          </w:tcPr>
          <w:p w14:paraId="11C980A9"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675" w:type="dxa"/>
            <w:gridSpan w:val="3"/>
            <w:tcBorders>
              <w:top w:val="nil"/>
              <w:left w:val="single" w:sz="4" w:space="0" w:color="BFBFBF"/>
              <w:bottom w:val="single" w:sz="4" w:space="0" w:color="BFBFBF"/>
              <w:right w:val="single" w:sz="4" w:space="0" w:color="BFBFBF"/>
            </w:tcBorders>
            <w:shd w:val="clear" w:color="auto" w:fill="CCECFF"/>
            <w:noWrap/>
            <w:vAlign w:val="center"/>
            <w:hideMark/>
          </w:tcPr>
          <w:p w14:paraId="7A598C30"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5,643 </w:t>
            </w:r>
          </w:p>
        </w:tc>
        <w:tc>
          <w:tcPr>
            <w:tcW w:w="222" w:type="dxa"/>
            <w:vAlign w:val="center"/>
            <w:hideMark/>
          </w:tcPr>
          <w:p w14:paraId="58640180"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1C4A0252" w14:textId="77777777" w:rsidTr="008C4883">
        <w:trPr>
          <w:trHeight w:val="255"/>
        </w:trPr>
        <w:tc>
          <w:tcPr>
            <w:tcW w:w="2496" w:type="dxa"/>
            <w:tcBorders>
              <w:top w:val="nil"/>
              <w:left w:val="nil"/>
              <w:bottom w:val="nil"/>
              <w:right w:val="nil"/>
            </w:tcBorders>
            <w:shd w:val="clear" w:color="auto" w:fill="CCECFF"/>
            <w:noWrap/>
            <w:vAlign w:val="center"/>
            <w:hideMark/>
          </w:tcPr>
          <w:p w14:paraId="33453439"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272" w:type="dxa"/>
            <w:tcBorders>
              <w:top w:val="nil"/>
              <w:left w:val="nil"/>
              <w:bottom w:val="nil"/>
              <w:right w:val="nil"/>
            </w:tcBorders>
            <w:shd w:val="clear" w:color="auto" w:fill="CCECFF"/>
            <w:noWrap/>
            <w:vAlign w:val="center"/>
            <w:hideMark/>
          </w:tcPr>
          <w:p w14:paraId="00F148DA"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nil"/>
              <w:left w:val="nil"/>
              <w:bottom w:val="nil"/>
              <w:right w:val="nil"/>
            </w:tcBorders>
            <w:shd w:val="clear" w:color="auto" w:fill="CCECFF"/>
            <w:noWrap/>
            <w:vAlign w:val="center"/>
            <w:hideMark/>
          </w:tcPr>
          <w:p w14:paraId="43847404" w14:textId="77777777" w:rsidR="00DE25A2" w:rsidRPr="00DE25A2" w:rsidRDefault="00DE25A2" w:rsidP="00DE25A2">
            <w:pPr>
              <w:spacing w:after="0" w:line="240" w:lineRule="auto"/>
              <w:jc w:val="right"/>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592" w:type="dxa"/>
            <w:gridSpan w:val="2"/>
            <w:tcBorders>
              <w:top w:val="nil"/>
              <w:left w:val="nil"/>
              <w:bottom w:val="nil"/>
              <w:right w:val="nil"/>
            </w:tcBorders>
            <w:shd w:val="clear" w:color="auto" w:fill="CCECFF"/>
            <w:noWrap/>
            <w:vAlign w:val="center"/>
            <w:hideMark/>
          </w:tcPr>
          <w:p w14:paraId="4B63865C"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958" w:type="dxa"/>
            <w:gridSpan w:val="5"/>
            <w:tcBorders>
              <w:top w:val="nil"/>
              <w:left w:val="nil"/>
              <w:bottom w:val="nil"/>
              <w:right w:val="nil"/>
            </w:tcBorders>
            <w:shd w:val="clear" w:color="auto" w:fill="CCECFF"/>
            <w:noWrap/>
            <w:vAlign w:val="center"/>
            <w:hideMark/>
          </w:tcPr>
          <w:p w14:paraId="4426529C"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758" w:type="dxa"/>
            <w:tcBorders>
              <w:top w:val="nil"/>
              <w:left w:val="nil"/>
              <w:bottom w:val="nil"/>
              <w:right w:val="nil"/>
            </w:tcBorders>
            <w:shd w:val="clear" w:color="auto" w:fill="CCECFF"/>
            <w:noWrap/>
            <w:vAlign w:val="center"/>
            <w:hideMark/>
          </w:tcPr>
          <w:p w14:paraId="0D3C06B0"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936" w:type="dxa"/>
            <w:gridSpan w:val="2"/>
            <w:tcBorders>
              <w:top w:val="nil"/>
              <w:left w:val="nil"/>
              <w:bottom w:val="nil"/>
              <w:right w:val="nil"/>
            </w:tcBorders>
            <w:shd w:val="clear" w:color="auto" w:fill="CCECFF"/>
            <w:noWrap/>
            <w:vAlign w:val="center"/>
            <w:hideMark/>
          </w:tcPr>
          <w:p w14:paraId="52D94383"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608" w:type="dxa"/>
            <w:gridSpan w:val="2"/>
            <w:tcBorders>
              <w:top w:val="nil"/>
              <w:left w:val="nil"/>
              <w:bottom w:val="nil"/>
              <w:right w:val="nil"/>
            </w:tcBorders>
            <w:shd w:val="clear" w:color="auto" w:fill="CCECFF"/>
            <w:noWrap/>
            <w:vAlign w:val="center"/>
            <w:hideMark/>
          </w:tcPr>
          <w:p w14:paraId="73FFCD8E"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1034" w:type="dxa"/>
            <w:gridSpan w:val="2"/>
            <w:tcBorders>
              <w:top w:val="nil"/>
              <w:left w:val="nil"/>
              <w:bottom w:val="nil"/>
              <w:right w:val="nil"/>
            </w:tcBorders>
            <w:shd w:val="clear" w:color="auto" w:fill="CCECFF"/>
            <w:noWrap/>
            <w:vAlign w:val="center"/>
            <w:hideMark/>
          </w:tcPr>
          <w:p w14:paraId="377DC00A"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750" w:type="dxa"/>
            <w:gridSpan w:val="2"/>
            <w:tcBorders>
              <w:top w:val="nil"/>
              <w:left w:val="nil"/>
              <w:bottom w:val="nil"/>
              <w:right w:val="nil"/>
            </w:tcBorders>
            <w:shd w:val="clear" w:color="auto" w:fill="CCECFF"/>
            <w:noWrap/>
            <w:vAlign w:val="center"/>
            <w:hideMark/>
          </w:tcPr>
          <w:p w14:paraId="6E3D186C"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1000" w:type="dxa"/>
            <w:gridSpan w:val="2"/>
            <w:tcBorders>
              <w:top w:val="nil"/>
              <w:left w:val="nil"/>
              <w:bottom w:val="nil"/>
              <w:right w:val="nil"/>
            </w:tcBorders>
            <w:shd w:val="clear" w:color="auto" w:fill="CCECFF"/>
            <w:noWrap/>
            <w:vAlign w:val="center"/>
            <w:hideMark/>
          </w:tcPr>
          <w:p w14:paraId="38DECA71"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675" w:type="dxa"/>
            <w:gridSpan w:val="3"/>
            <w:tcBorders>
              <w:top w:val="nil"/>
              <w:left w:val="single" w:sz="4" w:space="0" w:color="BFBFBF"/>
              <w:bottom w:val="nil"/>
              <w:right w:val="single" w:sz="4" w:space="0" w:color="BFBFBF"/>
            </w:tcBorders>
            <w:shd w:val="clear" w:color="auto" w:fill="CCECFF"/>
            <w:noWrap/>
            <w:vAlign w:val="center"/>
            <w:hideMark/>
          </w:tcPr>
          <w:p w14:paraId="56091768"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222" w:type="dxa"/>
            <w:vAlign w:val="center"/>
            <w:hideMark/>
          </w:tcPr>
          <w:p w14:paraId="35D3E020"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7E3A732B" w14:textId="77777777" w:rsidTr="008C4883">
        <w:trPr>
          <w:trHeight w:val="255"/>
        </w:trPr>
        <w:tc>
          <w:tcPr>
            <w:tcW w:w="3686" w:type="dxa"/>
            <w:gridSpan w:val="3"/>
            <w:tcBorders>
              <w:top w:val="single" w:sz="4" w:space="0" w:color="BFBFBF"/>
              <w:left w:val="nil"/>
              <w:bottom w:val="single" w:sz="4" w:space="0" w:color="BFBFBF"/>
              <w:right w:val="nil"/>
            </w:tcBorders>
            <w:shd w:val="clear" w:color="auto" w:fill="CCECFF"/>
            <w:noWrap/>
            <w:vAlign w:val="center"/>
            <w:hideMark/>
          </w:tcPr>
          <w:p w14:paraId="5E47BD55"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Underlying segment operating profit / (loss)</w:t>
            </w:r>
            <w:r w:rsidRPr="00DE25A2">
              <w:rPr>
                <w:rFonts w:ascii="Arial" w:eastAsia="Times New Roman" w:hAnsi="Arial" w:cs="Arial"/>
                <w:sz w:val="15"/>
                <w:szCs w:val="15"/>
                <w:lang w:eastAsia="en-GB"/>
              </w:rPr>
              <w:t xml:space="preserve"> (a)</w:t>
            </w:r>
          </w:p>
        </w:tc>
        <w:tc>
          <w:tcPr>
            <w:tcW w:w="592" w:type="dxa"/>
            <w:gridSpan w:val="2"/>
            <w:tcBorders>
              <w:top w:val="single" w:sz="4" w:space="0" w:color="BFBFBF"/>
              <w:left w:val="nil"/>
              <w:bottom w:val="single" w:sz="4" w:space="0" w:color="BFBFBF"/>
              <w:right w:val="nil"/>
            </w:tcBorders>
            <w:shd w:val="clear" w:color="auto" w:fill="CCECFF"/>
            <w:noWrap/>
            <w:vAlign w:val="center"/>
            <w:hideMark/>
          </w:tcPr>
          <w:p w14:paraId="013752E7"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41 </w:t>
            </w:r>
          </w:p>
        </w:tc>
        <w:tc>
          <w:tcPr>
            <w:tcW w:w="958" w:type="dxa"/>
            <w:gridSpan w:val="5"/>
            <w:tcBorders>
              <w:top w:val="single" w:sz="4" w:space="0" w:color="BFBFBF"/>
              <w:left w:val="nil"/>
              <w:bottom w:val="single" w:sz="4" w:space="0" w:color="BFBFBF"/>
              <w:right w:val="nil"/>
            </w:tcBorders>
            <w:shd w:val="clear" w:color="auto" w:fill="CCECFF"/>
            <w:noWrap/>
            <w:vAlign w:val="center"/>
            <w:hideMark/>
          </w:tcPr>
          <w:p w14:paraId="42742669"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4 </w:t>
            </w:r>
          </w:p>
        </w:tc>
        <w:tc>
          <w:tcPr>
            <w:tcW w:w="758" w:type="dxa"/>
            <w:tcBorders>
              <w:top w:val="single" w:sz="4" w:space="0" w:color="BFBFBF"/>
              <w:left w:val="nil"/>
              <w:bottom w:val="single" w:sz="4" w:space="0" w:color="BFBFBF"/>
              <w:right w:val="nil"/>
            </w:tcBorders>
            <w:shd w:val="clear" w:color="auto" w:fill="CCECFF"/>
            <w:noWrap/>
            <w:vAlign w:val="center"/>
            <w:hideMark/>
          </w:tcPr>
          <w:p w14:paraId="7CF2505A"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11 </w:t>
            </w:r>
          </w:p>
        </w:tc>
        <w:tc>
          <w:tcPr>
            <w:tcW w:w="936" w:type="dxa"/>
            <w:gridSpan w:val="2"/>
            <w:tcBorders>
              <w:top w:val="single" w:sz="4" w:space="0" w:color="BFBFBF"/>
              <w:left w:val="nil"/>
              <w:bottom w:val="single" w:sz="4" w:space="0" w:color="BFBFBF"/>
              <w:right w:val="nil"/>
            </w:tcBorders>
            <w:shd w:val="clear" w:color="auto" w:fill="CCECFF"/>
            <w:noWrap/>
            <w:vAlign w:val="center"/>
            <w:hideMark/>
          </w:tcPr>
          <w:p w14:paraId="77017990"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3 </w:t>
            </w:r>
          </w:p>
        </w:tc>
        <w:tc>
          <w:tcPr>
            <w:tcW w:w="608" w:type="dxa"/>
            <w:gridSpan w:val="2"/>
            <w:tcBorders>
              <w:top w:val="single" w:sz="4" w:space="0" w:color="BFBFBF"/>
              <w:left w:val="nil"/>
              <w:bottom w:val="single" w:sz="4" w:space="0" w:color="BFBFBF"/>
              <w:right w:val="nil"/>
            </w:tcBorders>
            <w:shd w:val="clear" w:color="auto" w:fill="CCECFF"/>
            <w:noWrap/>
            <w:vAlign w:val="center"/>
            <w:hideMark/>
          </w:tcPr>
          <w:p w14:paraId="0EA186AC"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4 </w:t>
            </w:r>
          </w:p>
        </w:tc>
        <w:tc>
          <w:tcPr>
            <w:tcW w:w="1034" w:type="dxa"/>
            <w:gridSpan w:val="2"/>
            <w:tcBorders>
              <w:top w:val="single" w:sz="4" w:space="0" w:color="BFBFBF"/>
              <w:left w:val="nil"/>
              <w:bottom w:val="single" w:sz="4" w:space="0" w:color="BFBFBF"/>
              <w:right w:val="nil"/>
            </w:tcBorders>
            <w:shd w:val="clear" w:color="auto" w:fill="CCECFF"/>
            <w:noWrap/>
            <w:vAlign w:val="center"/>
            <w:hideMark/>
          </w:tcPr>
          <w:p w14:paraId="65B8239D"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750" w:type="dxa"/>
            <w:gridSpan w:val="2"/>
            <w:tcBorders>
              <w:top w:val="single" w:sz="4" w:space="0" w:color="BFBFBF"/>
              <w:left w:val="nil"/>
              <w:bottom w:val="single" w:sz="4" w:space="0" w:color="BFBFBF"/>
              <w:right w:val="nil"/>
            </w:tcBorders>
            <w:shd w:val="clear" w:color="auto" w:fill="CCECFF"/>
            <w:noWrap/>
            <w:vAlign w:val="center"/>
            <w:hideMark/>
          </w:tcPr>
          <w:p w14:paraId="643B218A"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1000" w:type="dxa"/>
            <w:gridSpan w:val="2"/>
            <w:tcBorders>
              <w:top w:val="single" w:sz="4" w:space="0" w:color="BFBFBF"/>
              <w:left w:val="nil"/>
              <w:bottom w:val="single" w:sz="4" w:space="0" w:color="BFBFBF"/>
              <w:right w:val="nil"/>
            </w:tcBorders>
            <w:shd w:val="clear" w:color="auto" w:fill="CCECFF"/>
            <w:noWrap/>
            <w:vAlign w:val="center"/>
            <w:hideMark/>
          </w:tcPr>
          <w:p w14:paraId="4B828D5D"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(45)</w:t>
            </w:r>
          </w:p>
        </w:tc>
        <w:tc>
          <w:tcPr>
            <w:tcW w:w="675" w:type="dxa"/>
            <w:gridSpan w:val="3"/>
            <w:tcBorders>
              <w:top w:val="single" w:sz="4" w:space="0" w:color="BFBFBF"/>
              <w:left w:val="single" w:sz="4" w:space="0" w:color="BFBFBF"/>
              <w:bottom w:val="single" w:sz="4" w:space="0" w:color="BFBFBF"/>
              <w:right w:val="single" w:sz="4" w:space="0" w:color="BFBFBF"/>
            </w:tcBorders>
            <w:shd w:val="clear" w:color="auto" w:fill="CCECFF"/>
            <w:noWrap/>
            <w:vAlign w:val="center"/>
            <w:hideMark/>
          </w:tcPr>
          <w:p w14:paraId="6A7607A4"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18 </w:t>
            </w:r>
          </w:p>
        </w:tc>
        <w:tc>
          <w:tcPr>
            <w:tcW w:w="222" w:type="dxa"/>
            <w:vAlign w:val="center"/>
            <w:hideMark/>
          </w:tcPr>
          <w:p w14:paraId="4D101D22"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5CC1E39E" w14:textId="77777777" w:rsidTr="008C4883">
        <w:trPr>
          <w:trHeight w:val="255"/>
        </w:trPr>
        <w:tc>
          <w:tcPr>
            <w:tcW w:w="2496" w:type="dxa"/>
            <w:tcBorders>
              <w:top w:val="nil"/>
              <w:left w:val="nil"/>
              <w:bottom w:val="nil"/>
              <w:right w:val="nil"/>
            </w:tcBorders>
            <w:shd w:val="clear" w:color="auto" w:fill="CCECFF"/>
            <w:noWrap/>
            <w:vAlign w:val="center"/>
            <w:hideMark/>
          </w:tcPr>
          <w:p w14:paraId="23614650"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One-off items (a) (</w:t>
            </w:r>
            <w:proofErr w:type="spellStart"/>
            <w:r w:rsidRPr="00DE25A2">
              <w:rPr>
                <w:rFonts w:ascii="Arial" w:eastAsia="Times New Roman" w:hAnsi="Arial" w:cs="Arial"/>
                <w:sz w:val="15"/>
                <w:szCs w:val="15"/>
                <w:lang w:eastAsia="en-GB"/>
              </w:rPr>
              <w:t>i</w:t>
            </w:r>
            <w:proofErr w:type="spellEnd"/>
            <w:r w:rsidRPr="00DE25A2">
              <w:rPr>
                <w:rFonts w:ascii="Arial" w:eastAsia="Times New Roman" w:hAnsi="Arial" w:cs="Arial"/>
                <w:sz w:val="15"/>
                <w:szCs w:val="15"/>
                <w:lang w:eastAsia="en-GB"/>
              </w:rPr>
              <w:t>)</w:t>
            </w:r>
          </w:p>
        </w:tc>
        <w:tc>
          <w:tcPr>
            <w:tcW w:w="272" w:type="dxa"/>
            <w:tcBorders>
              <w:top w:val="nil"/>
              <w:left w:val="nil"/>
              <w:bottom w:val="nil"/>
              <w:right w:val="nil"/>
            </w:tcBorders>
            <w:shd w:val="clear" w:color="auto" w:fill="CCECFF"/>
            <w:noWrap/>
            <w:vAlign w:val="center"/>
            <w:hideMark/>
          </w:tcPr>
          <w:p w14:paraId="65D3311E"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nil"/>
              <w:left w:val="nil"/>
              <w:bottom w:val="nil"/>
              <w:right w:val="nil"/>
            </w:tcBorders>
            <w:shd w:val="clear" w:color="auto" w:fill="CCECFF"/>
            <w:noWrap/>
            <w:vAlign w:val="center"/>
            <w:hideMark/>
          </w:tcPr>
          <w:p w14:paraId="721045BB" w14:textId="77777777" w:rsidR="00DE25A2" w:rsidRPr="00DE25A2" w:rsidRDefault="00DE25A2" w:rsidP="00DE25A2">
            <w:pPr>
              <w:spacing w:after="0" w:line="240" w:lineRule="auto"/>
              <w:jc w:val="right"/>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592" w:type="dxa"/>
            <w:gridSpan w:val="2"/>
            <w:tcBorders>
              <w:top w:val="nil"/>
              <w:left w:val="nil"/>
              <w:bottom w:val="nil"/>
              <w:right w:val="nil"/>
            </w:tcBorders>
            <w:shd w:val="clear" w:color="auto" w:fill="CCECFF"/>
            <w:noWrap/>
            <w:vAlign w:val="center"/>
            <w:hideMark/>
          </w:tcPr>
          <w:p w14:paraId="754FFE1B"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1 </w:t>
            </w:r>
          </w:p>
        </w:tc>
        <w:tc>
          <w:tcPr>
            <w:tcW w:w="958" w:type="dxa"/>
            <w:gridSpan w:val="5"/>
            <w:tcBorders>
              <w:top w:val="nil"/>
              <w:left w:val="nil"/>
              <w:bottom w:val="nil"/>
              <w:right w:val="nil"/>
            </w:tcBorders>
            <w:shd w:val="clear" w:color="auto" w:fill="CCECFF"/>
            <w:noWrap/>
            <w:vAlign w:val="center"/>
            <w:hideMark/>
          </w:tcPr>
          <w:p w14:paraId="18D456A9"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758" w:type="dxa"/>
            <w:tcBorders>
              <w:top w:val="nil"/>
              <w:left w:val="nil"/>
              <w:bottom w:val="nil"/>
              <w:right w:val="nil"/>
            </w:tcBorders>
            <w:shd w:val="clear" w:color="auto" w:fill="CCECFF"/>
            <w:noWrap/>
            <w:vAlign w:val="center"/>
            <w:hideMark/>
          </w:tcPr>
          <w:p w14:paraId="250D46D2"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936" w:type="dxa"/>
            <w:gridSpan w:val="2"/>
            <w:tcBorders>
              <w:top w:val="nil"/>
              <w:left w:val="nil"/>
              <w:bottom w:val="nil"/>
              <w:right w:val="nil"/>
            </w:tcBorders>
            <w:shd w:val="clear" w:color="auto" w:fill="CCECFF"/>
            <w:noWrap/>
            <w:vAlign w:val="center"/>
            <w:hideMark/>
          </w:tcPr>
          <w:p w14:paraId="0962AD53"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(1)</w:t>
            </w:r>
          </w:p>
        </w:tc>
        <w:tc>
          <w:tcPr>
            <w:tcW w:w="608" w:type="dxa"/>
            <w:gridSpan w:val="2"/>
            <w:tcBorders>
              <w:top w:val="nil"/>
              <w:left w:val="nil"/>
              <w:bottom w:val="nil"/>
              <w:right w:val="nil"/>
            </w:tcBorders>
            <w:shd w:val="clear" w:color="auto" w:fill="CCECFF"/>
            <w:noWrap/>
            <w:vAlign w:val="center"/>
            <w:hideMark/>
          </w:tcPr>
          <w:p w14:paraId="29A0041F"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1034" w:type="dxa"/>
            <w:gridSpan w:val="2"/>
            <w:tcBorders>
              <w:top w:val="nil"/>
              <w:left w:val="nil"/>
              <w:bottom w:val="nil"/>
              <w:right w:val="nil"/>
            </w:tcBorders>
            <w:shd w:val="clear" w:color="auto" w:fill="CCECFF"/>
            <w:noWrap/>
            <w:vAlign w:val="center"/>
            <w:hideMark/>
          </w:tcPr>
          <w:p w14:paraId="7ACAF139"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750" w:type="dxa"/>
            <w:gridSpan w:val="2"/>
            <w:tcBorders>
              <w:top w:val="nil"/>
              <w:left w:val="nil"/>
              <w:bottom w:val="nil"/>
              <w:right w:val="nil"/>
            </w:tcBorders>
            <w:shd w:val="clear" w:color="auto" w:fill="CCECFF"/>
            <w:noWrap/>
            <w:vAlign w:val="center"/>
            <w:hideMark/>
          </w:tcPr>
          <w:p w14:paraId="56952159"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1000" w:type="dxa"/>
            <w:gridSpan w:val="2"/>
            <w:tcBorders>
              <w:top w:val="nil"/>
              <w:left w:val="nil"/>
              <w:bottom w:val="nil"/>
              <w:right w:val="nil"/>
            </w:tcBorders>
            <w:shd w:val="clear" w:color="auto" w:fill="CCECFF"/>
            <w:noWrap/>
            <w:vAlign w:val="center"/>
            <w:hideMark/>
          </w:tcPr>
          <w:p w14:paraId="322D4719"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(1)</w:t>
            </w:r>
          </w:p>
        </w:tc>
        <w:tc>
          <w:tcPr>
            <w:tcW w:w="675" w:type="dxa"/>
            <w:gridSpan w:val="3"/>
            <w:tcBorders>
              <w:top w:val="nil"/>
              <w:left w:val="single" w:sz="4" w:space="0" w:color="BFBFBF"/>
              <w:bottom w:val="nil"/>
              <w:right w:val="single" w:sz="4" w:space="0" w:color="BFBFBF"/>
            </w:tcBorders>
            <w:shd w:val="clear" w:color="auto" w:fill="CCECFF"/>
            <w:noWrap/>
            <w:vAlign w:val="center"/>
            <w:hideMark/>
          </w:tcPr>
          <w:p w14:paraId="0E0D55EA"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(1)</w:t>
            </w:r>
          </w:p>
        </w:tc>
        <w:tc>
          <w:tcPr>
            <w:tcW w:w="222" w:type="dxa"/>
            <w:vAlign w:val="center"/>
            <w:hideMark/>
          </w:tcPr>
          <w:p w14:paraId="30A59E97"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02F29263" w14:textId="77777777" w:rsidTr="008C4883">
        <w:trPr>
          <w:trHeight w:val="255"/>
        </w:trPr>
        <w:tc>
          <w:tcPr>
            <w:tcW w:w="3686" w:type="dxa"/>
            <w:gridSpan w:val="3"/>
            <w:tcBorders>
              <w:top w:val="nil"/>
              <w:left w:val="nil"/>
              <w:bottom w:val="nil"/>
              <w:right w:val="nil"/>
            </w:tcBorders>
            <w:shd w:val="clear" w:color="auto" w:fill="CCECFF"/>
            <w:noWrap/>
            <w:vAlign w:val="center"/>
            <w:hideMark/>
          </w:tcPr>
          <w:p w14:paraId="1545F94C"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lastRenderedPageBreak/>
              <w:t>Property, business disposals and closures (a) (ii)</w:t>
            </w:r>
          </w:p>
        </w:tc>
        <w:tc>
          <w:tcPr>
            <w:tcW w:w="592" w:type="dxa"/>
            <w:gridSpan w:val="2"/>
            <w:tcBorders>
              <w:top w:val="nil"/>
              <w:left w:val="nil"/>
              <w:bottom w:val="nil"/>
              <w:right w:val="nil"/>
            </w:tcBorders>
            <w:shd w:val="clear" w:color="auto" w:fill="CCECFF"/>
            <w:noWrap/>
            <w:vAlign w:val="center"/>
            <w:hideMark/>
          </w:tcPr>
          <w:p w14:paraId="3879845E"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(19)</w:t>
            </w:r>
          </w:p>
        </w:tc>
        <w:tc>
          <w:tcPr>
            <w:tcW w:w="958" w:type="dxa"/>
            <w:gridSpan w:val="5"/>
            <w:tcBorders>
              <w:top w:val="nil"/>
              <w:left w:val="nil"/>
              <w:bottom w:val="nil"/>
              <w:right w:val="nil"/>
            </w:tcBorders>
            <w:shd w:val="clear" w:color="auto" w:fill="CCECFF"/>
            <w:noWrap/>
            <w:vAlign w:val="center"/>
            <w:hideMark/>
          </w:tcPr>
          <w:p w14:paraId="28D7E6FD"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758" w:type="dxa"/>
            <w:tcBorders>
              <w:top w:val="nil"/>
              <w:left w:val="nil"/>
              <w:bottom w:val="nil"/>
              <w:right w:val="nil"/>
            </w:tcBorders>
            <w:shd w:val="clear" w:color="auto" w:fill="CCECFF"/>
            <w:noWrap/>
            <w:vAlign w:val="center"/>
            <w:hideMark/>
          </w:tcPr>
          <w:p w14:paraId="7DC52D68"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936" w:type="dxa"/>
            <w:gridSpan w:val="2"/>
            <w:tcBorders>
              <w:top w:val="nil"/>
              <w:left w:val="nil"/>
              <w:bottom w:val="nil"/>
              <w:right w:val="nil"/>
            </w:tcBorders>
            <w:shd w:val="clear" w:color="auto" w:fill="CCECFF"/>
            <w:noWrap/>
            <w:vAlign w:val="center"/>
            <w:hideMark/>
          </w:tcPr>
          <w:p w14:paraId="106BE326"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608" w:type="dxa"/>
            <w:gridSpan w:val="2"/>
            <w:tcBorders>
              <w:top w:val="nil"/>
              <w:left w:val="nil"/>
              <w:bottom w:val="nil"/>
              <w:right w:val="nil"/>
            </w:tcBorders>
            <w:shd w:val="clear" w:color="auto" w:fill="CCECFF"/>
            <w:noWrap/>
            <w:vAlign w:val="center"/>
            <w:hideMark/>
          </w:tcPr>
          <w:p w14:paraId="15F5DFBB"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1034" w:type="dxa"/>
            <w:gridSpan w:val="2"/>
            <w:tcBorders>
              <w:top w:val="nil"/>
              <w:left w:val="nil"/>
              <w:bottom w:val="nil"/>
              <w:right w:val="nil"/>
            </w:tcBorders>
            <w:shd w:val="clear" w:color="auto" w:fill="CCECFF"/>
            <w:noWrap/>
            <w:vAlign w:val="center"/>
            <w:hideMark/>
          </w:tcPr>
          <w:p w14:paraId="1494C1E2"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750" w:type="dxa"/>
            <w:gridSpan w:val="2"/>
            <w:tcBorders>
              <w:top w:val="nil"/>
              <w:left w:val="nil"/>
              <w:bottom w:val="nil"/>
              <w:right w:val="nil"/>
            </w:tcBorders>
            <w:shd w:val="clear" w:color="auto" w:fill="CCECFF"/>
            <w:noWrap/>
            <w:vAlign w:val="center"/>
            <w:hideMark/>
          </w:tcPr>
          <w:p w14:paraId="29DEB061"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1000" w:type="dxa"/>
            <w:gridSpan w:val="2"/>
            <w:tcBorders>
              <w:top w:val="nil"/>
              <w:left w:val="nil"/>
              <w:bottom w:val="nil"/>
              <w:right w:val="nil"/>
            </w:tcBorders>
            <w:shd w:val="clear" w:color="auto" w:fill="CCECFF"/>
            <w:noWrap/>
            <w:vAlign w:val="center"/>
            <w:hideMark/>
          </w:tcPr>
          <w:p w14:paraId="5F213255"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(15)</w:t>
            </w:r>
          </w:p>
        </w:tc>
        <w:tc>
          <w:tcPr>
            <w:tcW w:w="675" w:type="dxa"/>
            <w:gridSpan w:val="3"/>
            <w:tcBorders>
              <w:top w:val="nil"/>
              <w:left w:val="single" w:sz="4" w:space="0" w:color="BFBFBF"/>
              <w:bottom w:val="nil"/>
              <w:right w:val="single" w:sz="4" w:space="0" w:color="BFBFBF"/>
            </w:tcBorders>
            <w:shd w:val="clear" w:color="auto" w:fill="CCECFF"/>
            <w:noWrap/>
            <w:vAlign w:val="center"/>
            <w:hideMark/>
          </w:tcPr>
          <w:p w14:paraId="1794D075"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(34)</w:t>
            </w:r>
          </w:p>
        </w:tc>
        <w:tc>
          <w:tcPr>
            <w:tcW w:w="222" w:type="dxa"/>
            <w:vAlign w:val="center"/>
            <w:hideMark/>
          </w:tcPr>
          <w:p w14:paraId="430DC95B"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40AB4913" w14:textId="77777777" w:rsidTr="008C4883">
        <w:trPr>
          <w:trHeight w:val="255"/>
        </w:trPr>
        <w:tc>
          <w:tcPr>
            <w:tcW w:w="3686" w:type="dxa"/>
            <w:gridSpan w:val="3"/>
            <w:tcBorders>
              <w:top w:val="nil"/>
              <w:left w:val="nil"/>
              <w:bottom w:val="nil"/>
              <w:right w:val="nil"/>
            </w:tcBorders>
            <w:shd w:val="clear" w:color="auto" w:fill="CCECFF"/>
            <w:noWrap/>
            <w:vAlign w:val="center"/>
            <w:hideMark/>
          </w:tcPr>
          <w:p w14:paraId="2EE689C7"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Change in value of investment properties</w:t>
            </w:r>
          </w:p>
        </w:tc>
        <w:tc>
          <w:tcPr>
            <w:tcW w:w="592" w:type="dxa"/>
            <w:gridSpan w:val="2"/>
            <w:tcBorders>
              <w:top w:val="nil"/>
              <w:left w:val="nil"/>
              <w:bottom w:val="nil"/>
              <w:right w:val="nil"/>
            </w:tcBorders>
            <w:shd w:val="clear" w:color="auto" w:fill="CCECFF"/>
            <w:noWrap/>
            <w:vAlign w:val="center"/>
            <w:hideMark/>
          </w:tcPr>
          <w:p w14:paraId="5D405868"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958" w:type="dxa"/>
            <w:gridSpan w:val="5"/>
            <w:tcBorders>
              <w:top w:val="nil"/>
              <w:left w:val="nil"/>
              <w:bottom w:val="nil"/>
              <w:right w:val="nil"/>
            </w:tcBorders>
            <w:shd w:val="clear" w:color="auto" w:fill="CCECFF"/>
            <w:noWrap/>
            <w:vAlign w:val="center"/>
            <w:hideMark/>
          </w:tcPr>
          <w:p w14:paraId="088C78B5"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758" w:type="dxa"/>
            <w:tcBorders>
              <w:top w:val="nil"/>
              <w:left w:val="nil"/>
              <w:bottom w:val="nil"/>
              <w:right w:val="nil"/>
            </w:tcBorders>
            <w:shd w:val="clear" w:color="auto" w:fill="CCECFF"/>
            <w:noWrap/>
            <w:vAlign w:val="center"/>
            <w:hideMark/>
          </w:tcPr>
          <w:p w14:paraId="0FFF72F3"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936" w:type="dxa"/>
            <w:gridSpan w:val="2"/>
            <w:tcBorders>
              <w:top w:val="nil"/>
              <w:left w:val="nil"/>
              <w:bottom w:val="nil"/>
              <w:right w:val="nil"/>
            </w:tcBorders>
            <w:shd w:val="clear" w:color="auto" w:fill="CCECFF"/>
            <w:noWrap/>
            <w:vAlign w:val="center"/>
            <w:hideMark/>
          </w:tcPr>
          <w:p w14:paraId="55E99AC9"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608" w:type="dxa"/>
            <w:gridSpan w:val="2"/>
            <w:tcBorders>
              <w:top w:val="nil"/>
              <w:left w:val="nil"/>
              <w:bottom w:val="nil"/>
              <w:right w:val="nil"/>
            </w:tcBorders>
            <w:shd w:val="clear" w:color="auto" w:fill="CCECFF"/>
            <w:noWrap/>
            <w:vAlign w:val="center"/>
            <w:hideMark/>
          </w:tcPr>
          <w:p w14:paraId="7DE3E7EF"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1034" w:type="dxa"/>
            <w:gridSpan w:val="2"/>
            <w:tcBorders>
              <w:top w:val="nil"/>
              <w:left w:val="nil"/>
              <w:bottom w:val="nil"/>
              <w:right w:val="nil"/>
            </w:tcBorders>
            <w:shd w:val="clear" w:color="auto" w:fill="CCECFF"/>
            <w:noWrap/>
            <w:vAlign w:val="center"/>
            <w:hideMark/>
          </w:tcPr>
          <w:p w14:paraId="2B45B0A4"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750" w:type="dxa"/>
            <w:gridSpan w:val="2"/>
            <w:tcBorders>
              <w:top w:val="nil"/>
              <w:left w:val="nil"/>
              <w:bottom w:val="nil"/>
              <w:right w:val="nil"/>
            </w:tcBorders>
            <w:shd w:val="clear" w:color="auto" w:fill="CCECFF"/>
            <w:noWrap/>
            <w:vAlign w:val="center"/>
            <w:hideMark/>
          </w:tcPr>
          <w:p w14:paraId="2B963DF3"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1000" w:type="dxa"/>
            <w:gridSpan w:val="2"/>
            <w:tcBorders>
              <w:top w:val="nil"/>
              <w:left w:val="nil"/>
              <w:bottom w:val="nil"/>
              <w:right w:val="nil"/>
            </w:tcBorders>
            <w:shd w:val="clear" w:color="auto" w:fill="CCECFF"/>
            <w:noWrap/>
            <w:vAlign w:val="center"/>
            <w:hideMark/>
          </w:tcPr>
          <w:p w14:paraId="3DD359DC"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(3)</w:t>
            </w:r>
          </w:p>
        </w:tc>
        <w:tc>
          <w:tcPr>
            <w:tcW w:w="675" w:type="dxa"/>
            <w:gridSpan w:val="3"/>
            <w:tcBorders>
              <w:top w:val="nil"/>
              <w:left w:val="single" w:sz="4" w:space="0" w:color="BFBFBF"/>
              <w:bottom w:val="nil"/>
              <w:right w:val="single" w:sz="4" w:space="0" w:color="BFBFBF"/>
            </w:tcBorders>
            <w:shd w:val="clear" w:color="auto" w:fill="CCECFF"/>
            <w:noWrap/>
            <w:vAlign w:val="center"/>
            <w:hideMark/>
          </w:tcPr>
          <w:p w14:paraId="702B2ACE"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(3)</w:t>
            </w:r>
          </w:p>
        </w:tc>
        <w:tc>
          <w:tcPr>
            <w:tcW w:w="222" w:type="dxa"/>
            <w:vAlign w:val="center"/>
            <w:hideMark/>
          </w:tcPr>
          <w:p w14:paraId="43161187"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71E436CC" w14:textId="77777777" w:rsidTr="008C4883">
        <w:trPr>
          <w:trHeight w:val="255"/>
        </w:trPr>
        <w:tc>
          <w:tcPr>
            <w:tcW w:w="2768" w:type="dxa"/>
            <w:gridSpan w:val="2"/>
            <w:tcBorders>
              <w:top w:val="single" w:sz="4" w:space="0" w:color="BFBFBF"/>
              <w:left w:val="nil"/>
              <w:bottom w:val="single" w:sz="4" w:space="0" w:color="BFBFBF"/>
              <w:right w:val="nil"/>
            </w:tcBorders>
            <w:shd w:val="clear" w:color="auto" w:fill="CCECFF"/>
            <w:noWrap/>
            <w:vAlign w:val="center"/>
            <w:hideMark/>
          </w:tcPr>
          <w:p w14:paraId="061F405D"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Operating profit / (loss) </w:t>
            </w:r>
            <w:r w:rsidRPr="00DE25A2">
              <w:rPr>
                <w:rFonts w:ascii="Arial" w:eastAsia="Times New Roman" w:hAnsi="Arial" w:cs="Arial"/>
                <w:sz w:val="15"/>
                <w:szCs w:val="15"/>
                <w:lang w:eastAsia="en-GB"/>
              </w:rPr>
              <w:t>(b)</w:t>
            </w:r>
            <w:r w:rsidRPr="00DE25A2">
              <w:rPr>
                <w:rFonts w:ascii="Arial" w:eastAsia="Times New Roman" w:hAnsi="Arial" w:cs="Arial"/>
                <w:b/>
                <w:bCs/>
                <w:sz w:val="15"/>
                <w:szCs w:val="15"/>
                <w:lang w:eastAsia="en-GB"/>
              </w:rPr>
              <w:t xml:space="preserve"> </w:t>
            </w:r>
          </w:p>
        </w:tc>
        <w:tc>
          <w:tcPr>
            <w:tcW w:w="918" w:type="dxa"/>
            <w:tcBorders>
              <w:top w:val="single" w:sz="4" w:space="0" w:color="BFBFBF"/>
              <w:left w:val="nil"/>
              <w:bottom w:val="single" w:sz="4" w:space="0" w:color="BFBFBF"/>
              <w:right w:val="nil"/>
            </w:tcBorders>
            <w:shd w:val="clear" w:color="auto" w:fill="CCECFF"/>
            <w:noWrap/>
            <w:vAlign w:val="center"/>
            <w:hideMark/>
          </w:tcPr>
          <w:p w14:paraId="77F4D6D2"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592" w:type="dxa"/>
            <w:gridSpan w:val="2"/>
            <w:tcBorders>
              <w:top w:val="single" w:sz="4" w:space="0" w:color="BFBFBF"/>
              <w:left w:val="nil"/>
              <w:bottom w:val="single" w:sz="4" w:space="0" w:color="BFBFBF"/>
              <w:right w:val="nil"/>
            </w:tcBorders>
            <w:shd w:val="clear" w:color="auto" w:fill="CCECFF"/>
            <w:noWrap/>
            <w:vAlign w:val="center"/>
            <w:hideMark/>
          </w:tcPr>
          <w:p w14:paraId="06E2287C"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23 </w:t>
            </w:r>
          </w:p>
        </w:tc>
        <w:tc>
          <w:tcPr>
            <w:tcW w:w="958" w:type="dxa"/>
            <w:gridSpan w:val="5"/>
            <w:tcBorders>
              <w:top w:val="single" w:sz="4" w:space="0" w:color="BFBFBF"/>
              <w:left w:val="nil"/>
              <w:bottom w:val="single" w:sz="4" w:space="0" w:color="BFBFBF"/>
              <w:right w:val="nil"/>
            </w:tcBorders>
            <w:shd w:val="clear" w:color="auto" w:fill="CCECFF"/>
            <w:noWrap/>
            <w:vAlign w:val="center"/>
            <w:hideMark/>
          </w:tcPr>
          <w:p w14:paraId="2D37C9A1"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4 </w:t>
            </w:r>
          </w:p>
        </w:tc>
        <w:tc>
          <w:tcPr>
            <w:tcW w:w="758" w:type="dxa"/>
            <w:tcBorders>
              <w:top w:val="single" w:sz="4" w:space="0" w:color="BFBFBF"/>
              <w:left w:val="nil"/>
              <w:bottom w:val="single" w:sz="4" w:space="0" w:color="BFBFBF"/>
              <w:right w:val="nil"/>
            </w:tcBorders>
            <w:shd w:val="clear" w:color="auto" w:fill="CCECFF"/>
            <w:noWrap/>
            <w:vAlign w:val="center"/>
            <w:hideMark/>
          </w:tcPr>
          <w:p w14:paraId="503F0240"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11 </w:t>
            </w:r>
          </w:p>
        </w:tc>
        <w:tc>
          <w:tcPr>
            <w:tcW w:w="936" w:type="dxa"/>
            <w:gridSpan w:val="2"/>
            <w:tcBorders>
              <w:top w:val="single" w:sz="4" w:space="0" w:color="BFBFBF"/>
              <w:left w:val="nil"/>
              <w:bottom w:val="single" w:sz="4" w:space="0" w:color="BFBFBF"/>
              <w:right w:val="nil"/>
            </w:tcBorders>
            <w:shd w:val="clear" w:color="auto" w:fill="CCECFF"/>
            <w:noWrap/>
            <w:vAlign w:val="center"/>
            <w:hideMark/>
          </w:tcPr>
          <w:p w14:paraId="1C462625"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2 </w:t>
            </w:r>
          </w:p>
        </w:tc>
        <w:tc>
          <w:tcPr>
            <w:tcW w:w="608" w:type="dxa"/>
            <w:gridSpan w:val="2"/>
            <w:tcBorders>
              <w:top w:val="single" w:sz="4" w:space="0" w:color="BFBFBF"/>
              <w:left w:val="nil"/>
              <w:bottom w:val="single" w:sz="4" w:space="0" w:color="BFBFBF"/>
              <w:right w:val="nil"/>
            </w:tcBorders>
            <w:shd w:val="clear" w:color="auto" w:fill="CCECFF"/>
            <w:noWrap/>
            <w:vAlign w:val="center"/>
            <w:hideMark/>
          </w:tcPr>
          <w:p w14:paraId="4A322B90"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4 </w:t>
            </w:r>
          </w:p>
        </w:tc>
        <w:tc>
          <w:tcPr>
            <w:tcW w:w="1034" w:type="dxa"/>
            <w:gridSpan w:val="2"/>
            <w:tcBorders>
              <w:top w:val="single" w:sz="4" w:space="0" w:color="BFBFBF"/>
              <w:left w:val="nil"/>
              <w:bottom w:val="single" w:sz="4" w:space="0" w:color="BFBFBF"/>
              <w:right w:val="nil"/>
            </w:tcBorders>
            <w:shd w:val="clear" w:color="auto" w:fill="CCECFF"/>
            <w:noWrap/>
            <w:vAlign w:val="center"/>
            <w:hideMark/>
          </w:tcPr>
          <w:p w14:paraId="01BE1027"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750" w:type="dxa"/>
            <w:gridSpan w:val="2"/>
            <w:tcBorders>
              <w:top w:val="single" w:sz="4" w:space="0" w:color="BFBFBF"/>
              <w:left w:val="nil"/>
              <w:bottom w:val="single" w:sz="4" w:space="0" w:color="BFBFBF"/>
              <w:right w:val="nil"/>
            </w:tcBorders>
            <w:shd w:val="clear" w:color="auto" w:fill="CCECFF"/>
            <w:noWrap/>
            <w:vAlign w:val="center"/>
            <w:hideMark/>
          </w:tcPr>
          <w:p w14:paraId="737E5DAA"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1000" w:type="dxa"/>
            <w:gridSpan w:val="2"/>
            <w:tcBorders>
              <w:top w:val="single" w:sz="4" w:space="0" w:color="BFBFBF"/>
              <w:left w:val="nil"/>
              <w:bottom w:val="single" w:sz="4" w:space="0" w:color="BFBFBF"/>
              <w:right w:val="nil"/>
            </w:tcBorders>
            <w:shd w:val="clear" w:color="auto" w:fill="CCECFF"/>
            <w:noWrap/>
            <w:vAlign w:val="center"/>
            <w:hideMark/>
          </w:tcPr>
          <w:p w14:paraId="51DC371F"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(64)</w:t>
            </w:r>
          </w:p>
        </w:tc>
        <w:tc>
          <w:tcPr>
            <w:tcW w:w="675" w:type="dxa"/>
            <w:gridSpan w:val="3"/>
            <w:tcBorders>
              <w:top w:val="single" w:sz="4" w:space="0" w:color="BFBFBF"/>
              <w:left w:val="single" w:sz="4" w:space="0" w:color="BFBFBF"/>
              <w:bottom w:val="single" w:sz="4" w:space="0" w:color="BFBFBF"/>
              <w:right w:val="single" w:sz="4" w:space="0" w:color="BFBFBF"/>
            </w:tcBorders>
            <w:shd w:val="clear" w:color="auto" w:fill="CCECFF"/>
            <w:noWrap/>
            <w:vAlign w:val="center"/>
            <w:hideMark/>
          </w:tcPr>
          <w:p w14:paraId="083B947B"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(20)</w:t>
            </w:r>
          </w:p>
        </w:tc>
        <w:tc>
          <w:tcPr>
            <w:tcW w:w="222" w:type="dxa"/>
            <w:vAlign w:val="center"/>
            <w:hideMark/>
          </w:tcPr>
          <w:p w14:paraId="70BBDB98"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0A4B282F" w14:textId="77777777" w:rsidTr="008C4883">
        <w:trPr>
          <w:trHeight w:val="255"/>
        </w:trPr>
        <w:tc>
          <w:tcPr>
            <w:tcW w:w="2768" w:type="dxa"/>
            <w:gridSpan w:val="2"/>
            <w:tcBorders>
              <w:top w:val="nil"/>
              <w:left w:val="nil"/>
              <w:bottom w:val="nil"/>
              <w:right w:val="nil"/>
            </w:tcBorders>
            <w:shd w:val="clear" w:color="auto" w:fill="CCECFF"/>
            <w:noWrap/>
            <w:vAlign w:val="center"/>
            <w:hideMark/>
          </w:tcPr>
          <w:p w14:paraId="5B17358E"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Depreciation and amortisation</w:t>
            </w:r>
          </w:p>
        </w:tc>
        <w:tc>
          <w:tcPr>
            <w:tcW w:w="918" w:type="dxa"/>
            <w:tcBorders>
              <w:top w:val="nil"/>
              <w:left w:val="nil"/>
              <w:bottom w:val="nil"/>
              <w:right w:val="nil"/>
            </w:tcBorders>
            <w:shd w:val="clear" w:color="auto" w:fill="CCECFF"/>
            <w:noWrap/>
            <w:vAlign w:val="center"/>
            <w:hideMark/>
          </w:tcPr>
          <w:p w14:paraId="246E75C2" w14:textId="77777777" w:rsidR="00DE25A2" w:rsidRPr="00DE25A2" w:rsidRDefault="00DE25A2" w:rsidP="00DE25A2">
            <w:pPr>
              <w:spacing w:after="0" w:line="240" w:lineRule="auto"/>
              <w:jc w:val="right"/>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592" w:type="dxa"/>
            <w:gridSpan w:val="2"/>
            <w:tcBorders>
              <w:top w:val="nil"/>
              <w:left w:val="nil"/>
              <w:bottom w:val="nil"/>
              <w:right w:val="nil"/>
            </w:tcBorders>
            <w:shd w:val="clear" w:color="auto" w:fill="CCECFF"/>
            <w:noWrap/>
            <w:vAlign w:val="center"/>
            <w:hideMark/>
          </w:tcPr>
          <w:p w14:paraId="3CA85FE7"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169 </w:t>
            </w:r>
          </w:p>
        </w:tc>
        <w:tc>
          <w:tcPr>
            <w:tcW w:w="958" w:type="dxa"/>
            <w:gridSpan w:val="5"/>
            <w:tcBorders>
              <w:top w:val="nil"/>
              <w:left w:val="nil"/>
              <w:bottom w:val="nil"/>
              <w:right w:val="nil"/>
            </w:tcBorders>
            <w:shd w:val="clear" w:color="auto" w:fill="CCECFF"/>
            <w:noWrap/>
            <w:vAlign w:val="center"/>
            <w:hideMark/>
          </w:tcPr>
          <w:p w14:paraId="22740540"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4 </w:t>
            </w:r>
          </w:p>
        </w:tc>
        <w:tc>
          <w:tcPr>
            <w:tcW w:w="758" w:type="dxa"/>
            <w:tcBorders>
              <w:top w:val="nil"/>
              <w:left w:val="nil"/>
              <w:bottom w:val="nil"/>
              <w:right w:val="nil"/>
            </w:tcBorders>
            <w:shd w:val="clear" w:color="auto" w:fill="CCECFF"/>
            <w:noWrap/>
            <w:vAlign w:val="center"/>
            <w:hideMark/>
          </w:tcPr>
          <w:p w14:paraId="57FA240B"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13 </w:t>
            </w:r>
          </w:p>
        </w:tc>
        <w:tc>
          <w:tcPr>
            <w:tcW w:w="936" w:type="dxa"/>
            <w:gridSpan w:val="2"/>
            <w:tcBorders>
              <w:top w:val="nil"/>
              <w:left w:val="nil"/>
              <w:bottom w:val="nil"/>
              <w:right w:val="nil"/>
            </w:tcBorders>
            <w:shd w:val="clear" w:color="auto" w:fill="CCECFF"/>
            <w:noWrap/>
            <w:vAlign w:val="center"/>
            <w:hideMark/>
          </w:tcPr>
          <w:p w14:paraId="324591E3"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608" w:type="dxa"/>
            <w:gridSpan w:val="2"/>
            <w:tcBorders>
              <w:top w:val="nil"/>
              <w:left w:val="nil"/>
              <w:bottom w:val="nil"/>
              <w:right w:val="nil"/>
            </w:tcBorders>
            <w:shd w:val="clear" w:color="auto" w:fill="CCECFF"/>
            <w:noWrap/>
            <w:vAlign w:val="center"/>
            <w:hideMark/>
          </w:tcPr>
          <w:p w14:paraId="31FA8DC7"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1034" w:type="dxa"/>
            <w:gridSpan w:val="2"/>
            <w:tcBorders>
              <w:top w:val="nil"/>
              <w:left w:val="nil"/>
              <w:bottom w:val="nil"/>
              <w:right w:val="nil"/>
            </w:tcBorders>
            <w:shd w:val="clear" w:color="auto" w:fill="CCECFF"/>
            <w:noWrap/>
            <w:vAlign w:val="center"/>
            <w:hideMark/>
          </w:tcPr>
          <w:p w14:paraId="741DDCBD"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750" w:type="dxa"/>
            <w:gridSpan w:val="2"/>
            <w:tcBorders>
              <w:top w:val="nil"/>
              <w:left w:val="nil"/>
              <w:bottom w:val="nil"/>
              <w:right w:val="nil"/>
            </w:tcBorders>
            <w:shd w:val="clear" w:color="auto" w:fill="CCECFF"/>
            <w:noWrap/>
            <w:vAlign w:val="center"/>
            <w:hideMark/>
          </w:tcPr>
          <w:p w14:paraId="38AA2982"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1000" w:type="dxa"/>
            <w:gridSpan w:val="2"/>
            <w:tcBorders>
              <w:top w:val="nil"/>
              <w:left w:val="nil"/>
              <w:bottom w:val="nil"/>
              <w:right w:val="nil"/>
            </w:tcBorders>
            <w:shd w:val="clear" w:color="auto" w:fill="CCECFF"/>
            <w:noWrap/>
            <w:vAlign w:val="center"/>
            <w:hideMark/>
          </w:tcPr>
          <w:p w14:paraId="73073AF6"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14 </w:t>
            </w:r>
          </w:p>
        </w:tc>
        <w:tc>
          <w:tcPr>
            <w:tcW w:w="675" w:type="dxa"/>
            <w:gridSpan w:val="3"/>
            <w:tcBorders>
              <w:top w:val="nil"/>
              <w:left w:val="single" w:sz="4" w:space="0" w:color="BFBFBF"/>
              <w:bottom w:val="single" w:sz="4" w:space="0" w:color="BFBFBF"/>
              <w:right w:val="single" w:sz="4" w:space="0" w:color="BFBFBF"/>
            </w:tcBorders>
            <w:shd w:val="clear" w:color="auto" w:fill="CCECFF"/>
            <w:noWrap/>
            <w:vAlign w:val="center"/>
            <w:hideMark/>
          </w:tcPr>
          <w:p w14:paraId="776DEE4B"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200 </w:t>
            </w:r>
          </w:p>
        </w:tc>
        <w:tc>
          <w:tcPr>
            <w:tcW w:w="222" w:type="dxa"/>
            <w:vAlign w:val="center"/>
            <w:hideMark/>
          </w:tcPr>
          <w:p w14:paraId="4F5BA80F"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2B9F5162" w14:textId="77777777" w:rsidTr="008C4883">
        <w:trPr>
          <w:trHeight w:val="255"/>
        </w:trPr>
        <w:tc>
          <w:tcPr>
            <w:tcW w:w="2496" w:type="dxa"/>
            <w:tcBorders>
              <w:top w:val="single" w:sz="4" w:space="0" w:color="BFBFBF"/>
              <w:left w:val="nil"/>
              <w:bottom w:val="single" w:sz="4" w:space="0" w:color="BFBFBF"/>
              <w:right w:val="nil"/>
            </w:tcBorders>
            <w:shd w:val="clear" w:color="auto" w:fill="CCECFF"/>
            <w:noWrap/>
            <w:vAlign w:val="center"/>
            <w:hideMark/>
          </w:tcPr>
          <w:p w14:paraId="005159A9"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EBITDA </w:t>
            </w:r>
            <w:r w:rsidRPr="00DE25A2">
              <w:rPr>
                <w:rFonts w:ascii="Arial" w:eastAsia="Times New Roman" w:hAnsi="Arial" w:cs="Arial"/>
                <w:sz w:val="15"/>
                <w:szCs w:val="15"/>
                <w:lang w:eastAsia="en-GB"/>
              </w:rPr>
              <w:t>(e)</w:t>
            </w:r>
          </w:p>
        </w:tc>
        <w:tc>
          <w:tcPr>
            <w:tcW w:w="272" w:type="dxa"/>
            <w:tcBorders>
              <w:top w:val="single" w:sz="4" w:space="0" w:color="BFBFBF"/>
              <w:left w:val="nil"/>
              <w:bottom w:val="single" w:sz="4" w:space="0" w:color="BFBFBF"/>
              <w:right w:val="nil"/>
            </w:tcBorders>
            <w:shd w:val="clear" w:color="auto" w:fill="CCECFF"/>
            <w:noWrap/>
            <w:vAlign w:val="center"/>
            <w:hideMark/>
          </w:tcPr>
          <w:p w14:paraId="4BE95FEA" w14:textId="77777777" w:rsidR="00DE25A2" w:rsidRPr="00DE25A2" w:rsidRDefault="00DE25A2" w:rsidP="00DE25A2">
            <w:pPr>
              <w:spacing w:after="0" w:line="240" w:lineRule="auto"/>
              <w:rPr>
                <w:rFonts w:ascii="Arial" w:eastAsia="Times New Roman" w:hAnsi="Arial" w:cs="Arial"/>
                <w:b/>
                <w:bCs/>
                <w:sz w:val="20"/>
                <w:szCs w:val="20"/>
                <w:lang w:eastAsia="en-GB"/>
              </w:rPr>
            </w:pPr>
            <w:r w:rsidRPr="00DE25A2">
              <w:rPr>
                <w:rFonts w:ascii="Arial" w:eastAsia="Times New Roman" w:hAnsi="Arial" w:cs="Arial"/>
                <w:b/>
                <w:bCs/>
                <w:sz w:val="20"/>
                <w:szCs w:val="20"/>
                <w:lang w:eastAsia="en-GB"/>
              </w:rPr>
              <w:t> </w:t>
            </w:r>
          </w:p>
        </w:tc>
        <w:tc>
          <w:tcPr>
            <w:tcW w:w="918" w:type="dxa"/>
            <w:tcBorders>
              <w:top w:val="single" w:sz="4" w:space="0" w:color="BFBFBF"/>
              <w:left w:val="nil"/>
              <w:bottom w:val="single" w:sz="4" w:space="0" w:color="BFBFBF"/>
              <w:right w:val="nil"/>
            </w:tcBorders>
            <w:shd w:val="clear" w:color="auto" w:fill="CCECFF"/>
            <w:noWrap/>
            <w:vAlign w:val="center"/>
            <w:hideMark/>
          </w:tcPr>
          <w:p w14:paraId="531184B3"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592" w:type="dxa"/>
            <w:gridSpan w:val="2"/>
            <w:tcBorders>
              <w:top w:val="single" w:sz="4" w:space="0" w:color="BFBFBF"/>
              <w:left w:val="nil"/>
              <w:bottom w:val="single" w:sz="4" w:space="0" w:color="BFBFBF"/>
              <w:right w:val="nil"/>
            </w:tcBorders>
            <w:shd w:val="clear" w:color="auto" w:fill="CCECFF"/>
            <w:noWrap/>
            <w:vAlign w:val="center"/>
            <w:hideMark/>
          </w:tcPr>
          <w:p w14:paraId="621CB672"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192 </w:t>
            </w:r>
          </w:p>
        </w:tc>
        <w:tc>
          <w:tcPr>
            <w:tcW w:w="958" w:type="dxa"/>
            <w:gridSpan w:val="5"/>
            <w:tcBorders>
              <w:top w:val="single" w:sz="4" w:space="0" w:color="BFBFBF"/>
              <w:left w:val="nil"/>
              <w:bottom w:val="single" w:sz="4" w:space="0" w:color="BFBFBF"/>
              <w:right w:val="nil"/>
            </w:tcBorders>
            <w:shd w:val="clear" w:color="auto" w:fill="CCECFF"/>
            <w:noWrap/>
            <w:vAlign w:val="center"/>
            <w:hideMark/>
          </w:tcPr>
          <w:p w14:paraId="02901114"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8 </w:t>
            </w:r>
          </w:p>
        </w:tc>
        <w:tc>
          <w:tcPr>
            <w:tcW w:w="758" w:type="dxa"/>
            <w:tcBorders>
              <w:top w:val="single" w:sz="4" w:space="0" w:color="BFBFBF"/>
              <w:left w:val="nil"/>
              <w:bottom w:val="single" w:sz="4" w:space="0" w:color="BFBFBF"/>
              <w:right w:val="nil"/>
            </w:tcBorders>
            <w:shd w:val="clear" w:color="auto" w:fill="CCECFF"/>
            <w:noWrap/>
            <w:vAlign w:val="center"/>
            <w:hideMark/>
          </w:tcPr>
          <w:p w14:paraId="6BEBE1B0"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24 </w:t>
            </w:r>
          </w:p>
        </w:tc>
        <w:tc>
          <w:tcPr>
            <w:tcW w:w="936" w:type="dxa"/>
            <w:gridSpan w:val="2"/>
            <w:tcBorders>
              <w:top w:val="single" w:sz="4" w:space="0" w:color="BFBFBF"/>
              <w:left w:val="nil"/>
              <w:bottom w:val="single" w:sz="4" w:space="0" w:color="BFBFBF"/>
              <w:right w:val="nil"/>
            </w:tcBorders>
            <w:shd w:val="clear" w:color="auto" w:fill="CCECFF"/>
            <w:noWrap/>
            <w:vAlign w:val="center"/>
            <w:hideMark/>
          </w:tcPr>
          <w:p w14:paraId="533E0A56"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2 </w:t>
            </w:r>
          </w:p>
        </w:tc>
        <w:tc>
          <w:tcPr>
            <w:tcW w:w="608" w:type="dxa"/>
            <w:gridSpan w:val="2"/>
            <w:tcBorders>
              <w:top w:val="single" w:sz="4" w:space="0" w:color="BFBFBF"/>
              <w:left w:val="nil"/>
              <w:bottom w:val="single" w:sz="4" w:space="0" w:color="BFBFBF"/>
              <w:right w:val="nil"/>
            </w:tcBorders>
            <w:shd w:val="clear" w:color="auto" w:fill="CCECFF"/>
            <w:noWrap/>
            <w:vAlign w:val="center"/>
            <w:hideMark/>
          </w:tcPr>
          <w:p w14:paraId="0E1F574B"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4 </w:t>
            </w:r>
          </w:p>
        </w:tc>
        <w:tc>
          <w:tcPr>
            <w:tcW w:w="1034" w:type="dxa"/>
            <w:gridSpan w:val="2"/>
            <w:tcBorders>
              <w:top w:val="single" w:sz="4" w:space="0" w:color="BFBFBF"/>
              <w:left w:val="nil"/>
              <w:bottom w:val="single" w:sz="4" w:space="0" w:color="BFBFBF"/>
              <w:right w:val="nil"/>
            </w:tcBorders>
            <w:shd w:val="clear" w:color="auto" w:fill="CCECFF"/>
            <w:noWrap/>
            <w:vAlign w:val="center"/>
            <w:hideMark/>
          </w:tcPr>
          <w:p w14:paraId="636487C0"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750" w:type="dxa"/>
            <w:gridSpan w:val="2"/>
            <w:tcBorders>
              <w:top w:val="single" w:sz="4" w:space="0" w:color="BFBFBF"/>
              <w:left w:val="nil"/>
              <w:bottom w:val="single" w:sz="4" w:space="0" w:color="BFBFBF"/>
              <w:right w:val="nil"/>
            </w:tcBorders>
            <w:shd w:val="clear" w:color="auto" w:fill="CCECFF"/>
            <w:noWrap/>
            <w:vAlign w:val="center"/>
            <w:hideMark/>
          </w:tcPr>
          <w:p w14:paraId="22B8B0BC"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1000" w:type="dxa"/>
            <w:gridSpan w:val="2"/>
            <w:tcBorders>
              <w:top w:val="single" w:sz="4" w:space="0" w:color="BFBFBF"/>
              <w:left w:val="nil"/>
              <w:bottom w:val="single" w:sz="4" w:space="0" w:color="BFBFBF"/>
              <w:right w:val="nil"/>
            </w:tcBorders>
            <w:shd w:val="clear" w:color="auto" w:fill="CCECFF"/>
            <w:noWrap/>
            <w:vAlign w:val="center"/>
            <w:hideMark/>
          </w:tcPr>
          <w:p w14:paraId="2260E9ED"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(50)</w:t>
            </w:r>
          </w:p>
        </w:tc>
        <w:tc>
          <w:tcPr>
            <w:tcW w:w="675" w:type="dxa"/>
            <w:gridSpan w:val="3"/>
            <w:tcBorders>
              <w:top w:val="nil"/>
              <w:left w:val="single" w:sz="4" w:space="0" w:color="BFBFBF"/>
              <w:bottom w:val="single" w:sz="4" w:space="0" w:color="BFBFBF"/>
              <w:right w:val="single" w:sz="4" w:space="0" w:color="BFBFBF"/>
            </w:tcBorders>
            <w:shd w:val="clear" w:color="auto" w:fill="CCECFF"/>
            <w:noWrap/>
            <w:vAlign w:val="center"/>
            <w:hideMark/>
          </w:tcPr>
          <w:p w14:paraId="7AFAE377"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180 </w:t>
            </w:r>
          </w:p>
        </w:tc>
        <w:tc>
          <w:tcPr>
            <w:tcW w:w="222" w:type="dxa"/>
            <w:vAlign w:val="center"/>
            <w:hideMark/>
          </w:tcPr>
          <w:p w14:paraId="05F5392E"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7E1B0B84" w14:textId="77777777" w:rsidTr="008C4883">
        <w:trPr>
          <w:trHeight w:val="255"/>
        </w:trPr>
        <w:tc>
          <w:tcPr>
            <w:tcW w:w="2496" w:type="dxa"/>
            <w:tcBorders>
              <w:top w:val="nil"/>
              <w:left w:val="nil"/>
              <w:bottom w:val="single" w:sz="4" w:space="0" w:color="BFBFBF"/>
              <w:right w:val="nil"/>
            </w:tcBorders>
            <w:shd w:val="clear" w:color="auto" w:fill="CCECFF"/>
            <w:noWrap/>
            <w:vAlign w:val="center"/>
            <w:hideMark/>
          </w:tcPr>
          <w:p w14:paraId="1A01F4DF"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Underlying EBITDA </w:t>
            </w:r>
            <w:r w:rsidRPr="00DE25A2">
              <w:rPr>
                <w:rFonts w:ascii="Arial" w:eastAsia="Times New Roman" w:hAnsi="Arial" w:cs="Arial"/>
                <w:sz w:val="15"/>
                <w:szCs w:val="15"/>
                <w:lang w:eastAsia="en-GB"/>
              </w:rPr>
              <w:t xml:space="preserve">(e) </w:t>
            </w:r>
          </w:p>
        </w:tc>
        <w:tc>
          <w:tcPr>
            <w:tcW w:w="272" w:type="dxa"/>
            <w:tcBorders>
              <w:top w:val="nil"/>
              <w:left w:val="nil"/>
              <w:bottom w:val="single" w:sz="4" w:space="0" w:color="BFBFBF"/>
              <w:right w:val="nil"/>
            </w:tcBorders>
            <w:shd w:val="clear" w:color="auto" w:fill="CCECFF"/>
            <w:noWrap/>
            <w:vAlign w:val="center"/>
            <w:hideMark/>
          </w:tcPr>
          <w:p w14:paraId="581BC170" w14:textId="77777777" w:rsidR="00DE25A2" w:rsidRPr="00DE25A2" w:rsidRDefault="00DE25A2" w:rsidP="00DE25A2">
            <w:pPr>
              <w:spacing w:after="0" w:line="240" w:lineRule="auto"/>
              <w:rPr>
                <w:rFonts w:ascii="Arial" w:eastAsia="Times New Roman" w:hAnsi="Arial" w:cs="Arial"/>
                <w:b/>
                <w:bCs/>
                <w:sz w:val="20"/>
                <w:szCs w:val="20"/>
                <w:lang w:eastAsia="en-GB"/>
              </w:rPr>
            </w:pPr>
            <w:r w:rsidRPr="00DE25A2">
              <w:rPr>
                <w:rFonts w:ascii="Arial" w:eastAsia="Times New Roman" w:hAnsi="Arial" w:cs="Arial"/>
                <w:b/>
                <w:bCs/>
                <w:sz w:val="20"/>
                <w:szCs w:val="20"/>
                <w:lang w:eastAsia="en-GB"/>
              </w:rPr>
              <w:t> </w:t>
            </w:r>
          </w:p>
        </w:tc>
        <w:tc>
          <w:tcPr>
            <w:tcW w:w="918" w:type="dxa"/>
            <w:tcBorders>
              <w:top w:val="nil"/>
              <w:left w:val="nil"/>
              <w:bottom w:val="single" w:sz="4" w:space="0" w:color="BFBFBF"/>
              <w:right w:val="nil"/>
            </w:tcBorders>
            <w:shd w:val="clear" w:color="auto" w:fill="CCECFF"/>
            <w:noWrap/>
            <w:vAlign w:val="center"/>
            <w:hideMark/>
          </w:tcPr>
          <w:p w14:paraId="3BD8C8E5"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592" w:type="dxa"/>
            <w:gridSpan w:val="2"/>
            <w:tcBorders>
              <w:top w:val="nil"/>
              <w:left w:val="nil"/>
              <w:bottom w:val="single" w:sz="4" w:space="0" w:color="BFBFBF"/>
              <w:right w:val="nil"/>
            </w:tcBorders>
            <w:shd w:val="clear" w:color="auto" w:fill="CCECFF"/>
            <w:noWrap/>
            <w:vAlign w:val="center"/>
            <w:hideMark/>
          </w:tcPr>
          <w:p w14:paraId="069FBF8E"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210 </w:t>
            </w:r>
          </w:p>
        </w:tc>
        <w:tc>
          <w:tcPr>
            <w:tcW w:w="958" w:type="dxa"/>
            <w:gridSpan w:val="5"/>
            <w:tcBorders>
              <w:top w:val="nil"/>
              <w:left w:val="nil"/>
              <w:bottom w:val="single" w:sz="4" w:space="0" w:color="BFBFBF"/>
              <w:right w:val="nil"/>
            </w:tcBorders>
            <w:shd w:val="clear" w:color="auto" w:fill="CCECFF"/>
            <w:noWrap/>
            <w:vAlign w:val="center"/>
            <w:hideMark/>
          </w:tcPr>
          <w:p w14:paraId="39844D34"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8 </w:t>
            </w:r>
          </w:p>
        </w:tc>
        <w:tc>
          <w:tcPr>
            <w:tcW w:w="758" w:type="dxa"/>
            <w:tcBorders>
              <w:top w:val="nil"/>
              <w:left w:val="nil"/>
              <w:bottom w:val="single" w:sz="4" w:space="0" w:color="BFBFBF"/>
              <w:right w:val="nil"/>
            </w:tcBorders>
            <w:shd w:val="clear" w:color="auto" w:fill="CCECFF"/>
            <w:noWrap/>
            <w:vAlign w:val="center"/>
            <w:hideMark/>
          </w:tcPr>
          <w:p w14:paraId="23929A96"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24 </w:t>
            </w:r>
          </w:p>
        </w:tc>
        <w:tc>
          <w:tcPr>
            <w:tcW w:w="936" w:type="dxa"/>
            <w:gridSpan w:val="2"/>
            <w:tcBorders>
              <w:top w:val="nil"/>
              <w:left w:val="nil"/>
              <w:bottom w:val="single" w:sz="4" w:space="0" w:color="BFBFBF"/>
              <w:right w:val="nil"/>
            </w:tcBorders>
            <w:shd w:val="clear" w:color="auto" w:fill="CCECFF"/>
            <w:noWrap/>
            <w:vAlign w:val="center"/>
            <w:hideMark/>
          </w:tcPr>
          <w:p w14:paraId="4A412609"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3 </w:t>
            </w:r>
          </w:p>
        </w:tc>
        <w:tc>
          <w:tcPr>
            <w:tcW w:w="608" w:type="dxa"/>
            <w:gridSpan w:val="2"/>
            <w:tcBorders>
              <w:top w:val="nil"/>
              <w:left w:val="nil"/>
              <w:bottom w:val="single" w:sz="4" w:space="0" w:color="BFBFBF"/>
              <w:right w:val="nil"/>
            </w:tcBorders>
            <w:shd w:val="clear" w:color="auto" w:fill="CCECFF"/>
            <w:noWrap/>
            <w:vAlign w:val="center"/>
            <w:hideMark/>
          </w:tcPr>
          <w:p w14:paraId="405D144A"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4 </w:t>
            </w:r>
          </w:p>
        </w:tc>
        <w:tc>
          <w:tcPr>
            <w:tcW w:w="1034" w:type="dxa"/>
            <w:gridSpan w:val="2"/>
            <w:tcBorders>
              <w:top w:val="nil"/>
              <w:left w:val="nil"/>
              <w:bottom w:val="single" w:sz="4" w:space="0" w:color="BFBFBF"/>
              <w:right w:val="nil"/>
            </w:tcBorders>
            <w:shd w:val="clear" w:color="auto" w:fill="CCECFF"/>
            <w:noWrap/>
            <w:vAlign w:val="center"/>
            <w:hideMark/>
          </w:tcPr>
          <w:p w14:paraId="4DE03FBC"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750" w:type="dxa"/>
            <w:gridSpan w:val="2"/>
            <w:tcBorders>
              <w:top w:val="nil"/>
              <w:left w:val="nil"/>
              <w:bottom w:val="single" w:sz="4" w:space="0" w:color="BFBFBF"/>
              <w:right w:val="nil"/>
            </w:tcBorders>
            <w:shd w:val="clear" w:color="auto" w:fill="CCECFF"/>
            <w:noWrap/>
            <w:vAlign w:val="center"/>
            <w:hideMark/>
          </w:tcPr>
          <w:p w14:paraId="2EF9FBDF"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 </w:t>
            </w:r>
          </w:p>
        </w:tc>
        <w:tc>
          <w:tcPr>
            <w:tcW w:w="1000" w:type="dxa"/>
            <w:gridSpan w:val="2"/>
            <w:tcBorders>
              <w:top w:val="nil"/>
              <w:left w:val="nil"/>
              <w:bottom w:val="single" w:sz="4" w:space="0" w:color="BFBFBF"/>
              <w:right w:val="nil"/>
            </w:tcBorders>
            <w:shd w:val="clear" w:color="auto" w:fill="CCECFF"/>
            <w:noWrap/>
            <w:vAlign w:val="center"/>
            <w:hideMark/>
          </w:tcPr>
          <w:p w14:paraId="4740550E"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(31)</w:t>
            </w:r>
          </w:p>
        </w:tc>
        <w:tc>
          <w:tcPr>
            <w:tcW w:w="675" w:type="dxa"/>
            <w:gridSpan w:val="3"/>
            <w:tcBorders>
              <w:top w:val="nil"/>
              <w:left w:val="single" w:sz="4" w:space="0" w:color="BFBFBF"/>
              <w:bottom w:val="single" w:sz="4" w:space="0" w:color="BFBFBF"/>
              <w:right w:val="single" w:sz="4" w:space="0" w:color="BFBFBF"/>
            </w:tcBorders>
            <w:shd w:val="clear" w:color="auto" w:fill="CCECFF"/>
            <w:noWrap/>
            <w:vAlign w:val="center"/>
            <w:hideMark/>
          </w:tcPr>
          <w:p w14:paraId="0A0BD906" w14:textId="77777777" w:rsidR="00DE25A2" w:rsidRPr="00DE25A2" w:rsidRDefault="00DE25A2" w:rsidP="00DE25A2">
            <w:pPr>
              <w:spacing w:after="0" w:line="240" w:lineRule="auto"/>
              <w:jc w:val="right"/>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xml:space="preserve">218 </w:t>
            </w:r>
          </w:p>
        </w:tc>
        <w:tc>
          <w:tcPr>
            <w:tcW w:w="222" w:type="dxa"/>
            <w:vAlign w:val="center"/>
            <w:hideMark/>
          </w:tcPr>
          <w:p w14:paraId="039173FB"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03C14C82" w14:textId="77777777" w:rsidTr="008C4883">
        <w:trPr>
          <w:trHeight w:val="188"/>
        </w:trPr>
        <w:tc>
          <w:tcPr>
            <w:tcW w:w="2496" w:type="dxa"/>
            <w:tcBorders>
              <w:top w:val="nil"/>
              <w:left w:val="nil"/>
              <w:bottom w:val="nil"/>
              <w:right w:val="nil"/>
            </w:tcBorders>
            <w:shd w:val="clear" w:color="000000" w:fill="FFFFFF"/>
            <w:noWrap/>
            <w:vAlign w:val="bottom"/>
            <w:hideMark/>
          </w:tcPr>
          <w:p w14:paraId="6E95D504"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272" w:type="dxa"/>
            <w:tcBorders>
              <w:top w:val="nil"/>
              <w:left w:val="nil"/>
              <w:bottom w:val="nil"/>
              <w:right w:val="nil"/>
            </w:tcBorders>
            <w:shd w:val="clear" w:color="000000" w:fill="FFFFFF"/>
            <w:noWrap/>
            <w:vAlign w:val="bottom"/>
            <w:hideMark/>
          </w:tcPr>
          <w:p w14:paraId="0519E348" w14:textId="77777777" w:rsidR="00DE25A2" w:rsidRPr="00DE25A2" w:rsidRDefault="00DE25A2" w:rsidP="00DE25A2">
            <w:pPr>
              <w:spacing w:after="0" w:line="240" w:lineRule="auto"/>
              <w:rPr>
                <w:rFonts w:ascii="Arial" w:eastAsia="Times New Roman" w:hAnsi="Arial" w:cs="Arial"/>
                <w:b/>
                <w:bCs/>
                <w:sz w:val="20"/>
                <w:szCs w:val="20"/>
                <w:lang w:eastAsia="en-GB"/>
              </w:rPr>
            </w:pPr>
            <w:r w:rsidRPr="00DE25A2">
              <w:rPr>
                <w:rFonts w:ascii="Arial" w:eastAsia="Times New Roman" w:hAnsi="Arial" w:cs="Arial"/>
                <w:b/>
                <w:bCs/>
                <w:sz w:val="20"/>
                <w:szCs w:val="20"/>
                <w:lang w:eastAsia="en-GB"/>
              </w:rPr>
              <w:t> </w:t>
            </w:r>
          </w:p>
        </w:tc>
        <w:tc>
          <w:tcPr>
            <w:tcW w:w="918" w:type="dxa"/>
            <w:tcBorders>
              <w:top w:val="nil"/>
              <w:left w:val="nil"/>
              <w:bottom w:val="nil"/>
              <w:right w:val="nil"/>
            </w:tcBorders>
            <w:shd w:val="clear" w:color="000000" w:fill="FFFFFF"/>
            <w:noWrap/>
            <w:vAlign w:val="bottom"/>
            <w:hideMark/>
          </w:tcPr>
          <w:p w14:paraId="4D30F921"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592" w:type="dxa"/>
            <w:gridSpan w:val="2"/>
            <w:tcBorders>
              <w:top w:val="nil"/>
              <w:left w:val="nil"/>
              <w:bottom w:val="nil"/>
              <w:right w:val="nil"/>
            </w:tcBorders>
            <w:shd w:val="clear" w:color="000000" w:fill="FFFFFF"/>
            <w:noWrap/>
            <w:vAlign w:val="bottom"/>
            <w:hideMark/>
          </w:tcPr>
          <w:p w14:paraId="6AD234C3"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958" w:type="dxa"/>
            <w:gridSpan w:val="5"/>
            <w:tcBorders>
              <w:top w:val="nil"/>
              <w:left w:val="nil"/>
              <w:bottom w:val="nil"/>
              <w:right w:val="nil"/>
            </w:tcBorders>
            <w:shd w:val="clear" w:color="000000" w:fill="FFFFFF"/>
            <w:noWrap/>
            <w:vAlign w:val="bottom"/>
            <w:hideMark/>
          </w:tcPr>
          <w:p w14:paraId="1D3F0B83"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758" w:type="dxa"/>
            <w:tcBorders>
              <w:top w:val="nil"/>
              <w:left w:val="nil"/>
              <w:bottom w:val="nil"/>
              <w:right w:val="nil"/>
            </w:tcBorders>
            <w:shd w:val="clear" w:color="000000" w:fill="FFFFFF"/>
            <w:noWrap/>
            <w:vAlign w:val="bottom"/>
            <w:hideMark/>
          </w:tcPr>
          <w:p w14:paraId="16A95F02"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936" w:type="dxa"/>
            <w:gridSpan w:val="2"/>
            <w:tcBorders>
              <w:top w:val="nil"/>
              <w:left w:val="nil"/>
              <w:bottom w:val="nil"/>
              <w:right w:val="nil"/>
            </w:tcBorders>
            <w:shd w:val="clear" w:color="000000" w:fill="FFFFFF"/>
            <w:noWrap/>
            <w:vAlign w:val="bottom"/>
            <w:hideMark/>
          </w:tcPr>
          <w:p w14:paraId="7AAE8EF6"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608" w:type="dxa"/>
            <w:gridSpan w:val="2"/>
            <w:tcBorders>
              <w:top w:val="nil"/>
              <w:left w:val="nil"/>
              <w:bottom w:val="nil"/>
              <w:right w:val="nil"/>
            </w:tcBorders>
            <w:shd w:val="clear" w:color="000000" w:fill="FFFFFF"/>
            <w:noWrap/>
            <w:vAlign w:val="bottom"/>
            <w:hideMark/>
          </w:tcPr>
          <w:p w14:paraId="15AF7F43"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1034" w:type="dxa"/>
            <w:gridSpan w:val="2"/>
            <w:tcBorders>
              <w:top w:val="nil"/>
              <w:left w:val="nil"/>
              <w:bottom w:val="nil"/>
              <w:right w:val="nil"/>
            </w:tcBorders>
            <w:shd w:val="clear" w:color="000000" w:fill="FFFFFF"/>
            <w:noWrap/>
            <w:vAlign w:val="bottom"/>
            <w:hideMark/>
          </w:tcPr>
          <w:p w14:paraId="08B1E59D"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750" w:type="dxa"/>
            <w:gridSpan w:val="2"/>
            <w:tcBorders>
              <w:top w:val="nil"/>
              <w:left w:val="nil"/>
              <w:bottom w:val="nil"/>
              <w:right w:val="nil"/>
            </w:tcBorders>
            <w:shd w:val="clear" w:color="000000" w:fill="FFFFFF"/>
            <w:noWrap/>
            <w:vAlign w:val="bottom"/>
            <w:hideMark/>
          </w:tcPr>
          <w:p w14:paraId="2BC27B53"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1000" w:type="dxa"/>
            <w:gridSpan w:val="2"/>
            <w:tcBorders>
              <w:top w:val="nil"/>
              <w:left w:val="nil"/>
              <w:bottom w:val="nil"/>
              <w:right w:val="nil"/>
            </w:tcBorders>
            <w:shd w:val="clear" w:color="000000" w:fill="FFFFFF"/>
            <w:noWrap/>
            <w:vAlign w:val="bottom"/>
            <w:hideMark/>
          </w:tcPr>
          <w:p w14:paraId="5F01D6F9"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675" w:type="dxa"/>
            <w:gridSpan w:val="3"/>
            <w:tcBorders>
              <w:top w:val="nil"/>
              <w:left w:val="nil"/>
              <w:bottom w:val="nil"/>
              <w:right w:val="nil"/>
            </w:tcBorders>
            <w:shd w:val="clear" w:color="000000" w:fill="FFFFFF"/>
            <w:noWrap/>
            <w:vAlign w:val="bottom"/>
            <w:hideMark/>
          </w:tcPr>
          <w:p w14:paraId="64A0F4A8" w14:textId="77777777" w:rsidR="00DE25A2" w:rsidRPr="00DE25A2" w:rsidRDefault="00DE25A2" w:rsidP="00DE25A2">
            <w:pPr>
              <w:spacing w:after="0" w:line="240" w:lineRule="auto"/>
              <w:rPr>
                <w:rFonts w:ascii="Arial" w:eastAsia="Times New Roman" w:hAnsi="Arial" w:cs="Arial"/>
                <w:b/>
                <w:bCs/>
                <w:sz w:val="15"/>
                <w:szCs w:val="15"/>
                <w:lang w:eastAsia="en-GB"/>
              </w:rPr>
            </w:pPr>
            <w:r w:rsidRPr="00DE25A2">
              <w:rPr>
                <w:rFonts w:ascii="Arial" w:eastAsia="Times New Roman" w:hAnsi="Arial" w:cs="Arial"/>
                <w:b/>
                <w:bCs/>
                <w:sz w:val="15"/>
                <w:szCs w:val="15"/>
                <w:lang w:eastAsia="en-GB"/>
              </w:rPr>
              <w:t> </w:t>
            </w:r>
          </w:p>
        </w:tc>
        <w:tc>
          <w:tcPr>
            <w:tcW w:w="222" w:type="dxa"/>
            <w:vAlign w:val="center"/>
            <w:hideMark/>
          </w:tcPr>
          <w:p w14:paraId="0DD6C7F2"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42D6C9EC" w14:textId="77777777" w:rsidTr="008C4883">
        <w:trPr>
          <w:trHeight w:val="83"/>
        </w:trPr>
        <w:tc>
          <w:tcPr>
            <w:tcW w:w="2496" w:type="dxa"/>
            <w:tcBorders>
              <w:top w:val="nil"/>
              <w:left w:val="nil"/>
              <w:bottom w:val="nil"/>
              <w:right w:val="nil"/>
            </w:tcBorders>
            <w:shd w:val="clear" w:color="000000" w:fill="FFFFFF"/>
            <w:noWrap/>
            <w:vAlign w:val="bottom"/>
            <w:hideMark/>
          </w:tcPr>
          <w:p w14:paraId="29A0D68B" w14:textId="77777777" w:rsidR="00DE25A2" w:rsidRPr="00DE25A2" w:rsidRDefault="00DE25A2" w:rsidP="00DE25A2">
            <w:pPr>
              <w:spacing w:after="0" w:line="240" w:lineRule="auto"/>
              <w:jc w:val="right"/>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272" w:type="dxa"/>
            <w:tcBorders>
              <w:top w:val="nil"/>
              <w:left w:val="nil"/>
              <w:bottom w:val="nil"/>
              <w:right w:val="nil"/>
            </w:tcBorders>
            <w:shd w:val="clear" w:color="000000" w:fill="FFFFFF"/>
            <w:noWrap/>
            <w:vAlign w:val="bottom"/>
            <w:hideMark/>
          </w:tcPr>
          <w:p w14:paraId="1A5358A2" w14:textId="77777777" w:rsidR="00DE25A2" w:rsidRPr="00DE25A2" w:rsidRDefault="00DE25A2" w:rsidP="00DE25A2">
            <w:pPr>
              <w:spacing w:after="0" w:line="240" w:lineRule="auto"/>
              <w:jc w:val="right"/>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918" w:type="dxa"/>
            <w:tcBorders>
              <w:top w:val="nil"/>
              <w:left w:val="nil"/>
              <w:bottom w:val="nil"/>
              <w:right w:val="nil"/>
            </w:tcBorders>
            <w:shd w:val="clear" w:color="000000" w:fill="FFFFFF"/>
            <w:noWrap/>
            <w:vAlign w:val="bottom"/>
            <w:hideMark/>
          </w:tcPr>
          <w:p w14:paraId="0A7BF2EE" w14:textId="77777777" w:rsidR="00DE25A2" w:rsidRPr="00DE25A2" w:rsidRDefault="00DE25A2" w:rsidP="00DE25A2">
            <w:pPr>
              <w:spacing w:after="0" w:line="240" w:lineRule="auto"/>
              <w:jc w:val="right"/>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592" w:type="dxa"/>
            <w:gridSpan w:val="2"/>
            <w:tcBorders>
              <w:top w:val="nil"/>
              <w:left w:val="nil"/>
              <w:bottom w:val="nil"/>
              <w:right w:val="nil"/>
            </w:tcBorders>
            <w:shd w:val="clear" w:color="000000" w:fill="FFFFFF"/>
            <w:noWrap/>
            <w:vAlign w:val="bottom"/>
            <w:hideMark/>
          </w:tcPr>
          <w:p w14:paraId="50235127" w14:textId="77777777" w:rsidR="00DE25A2" w:rsidRPr="00DE25A2" w:rsidRDefault="00DE25A2" w:rsidP="00DE25A2">
            <w:pPr>
              <w:spacing w:after="0" w:line="240" w:lineRule="auto"/>
              <w:jc w:val="right"/>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958" w:type="dxa"/>
            <w:gridSpan w:val="5"/>
            <w:tcBorders>
              <w:top w:val="nil"/>
              <w:left w:val="nil"/>
              <w:bottom w:val="nil"/>
              <w:right w:val="nil"/>
            </w:tcBorders>
            <w:shd w:val="clear" w:color="000000" w:fill="FFFFFF"/>
            <w:noWrap/>
            <w:vAlign w:val="bottom"/>
            <w:hideMark/>
          </w:tcPr>
          <w:p w14:paraId="75ED23F3" w14:textId="77777777" w:rsidR="00DE25A2" w:rsidRPr="00DE25A2" w:rsidRDefault="00DE25A2" w:rsidP="00DE25A2">
            <w:pPr>
              <w:spacing w:after="0" w:line="240" w:lineRule="auto"/>
              <w:jc w:val="right"/>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758" w:type="dxa"/>
            <w:tcBorders>
              <w:top w:val="nil"/>
              <w:left w:val="nil"/>
              <w:bottom w:val="nil"/>
              <w:right w:val="nil"/>
            </w:tcBorders>
            <w:shd w:val="clear" w:color="000000" w:fill="FFFFFF"/>
            <w:noWrap/>
            <w:vAlign w:val="bottom"/>
            <w:hideMark/>
          </w:tcPr>
          <w:p w14:paraId="258918DD" w14:textId="77777777" w:rsidR="00DE25A2" w:rsidRPr="00DE25A2" w:rsidRDefault="00DE25A2" w:rsidP="00DE25A2">
            <w:pPr>
              <w:spacing w:after="0" w:line="240" w:lineRule="auto"/>
              <w:jc w:val="right"/>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936" w:type="dxa"/>
            <w:gridSpan w:val="2"/>
            <w:tcBorders>
              <w:top w:val="nil"/>
              <w:left w:val="nil"/>
              <w:bottom w:val="nil"/>
              <w:right w:val="nil"/>
            </w:tcBorders>
            <w:shd w:val="clear" w:color="000000" w:fill="FFFFFF"/>
            <w:noWrap/>
            <w:vAlign w:val="bottom"/>
            <w:hideMark/>
          </w:tcPr>
          <w:p w14:paraId="178BAC3B" w14:textId="77777777" w:rsidR="00DE25A2" w:rsidRPr="00DE25A2" w:rsidRDefault="00DE25A2" w:rsidP="00DE25A2">
            <w:pPr>
              <w:spacing w:after="0" w:line="240" w:lineRule="auto"/>
              <w:jc w:val="right"/>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608" w:type="dxa"/>
            <w:gridSpan w:val="2"/>
            <w:tcBorders>
              <w:top w:val="nil"/>
              <w:left w:val="nil"/>
              <w:bottom w:val="nil"/>
              <w:right w:val="nil"/>
            </w:tcBorders>
            <w:shd w:val="clear" w:color="000000" w:fill="FFFFFF"/>
            <w:noWrap/>
            <w:vAlign w:val="bottom"/>
            <w:hideMark/>
          </w:tcPr>
          <w:p w14:paraId="645B1405" w14:textId="77777777" w:rsidR="00DE25A2" w:rsidRPr="00DE25A2" w:rsidRDefault="00DE25A2" w:rsidP="00DE25A2">
            <w:pPr>
              <w:spacing w:after="0" w:line="240" w:lineRule="auto"/>
              <w:jc w:val="right"/>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1034" w:type="dxa"/>
            <w:gridSpan w:val="2"/>
            <w:tcBorders>
              <w:top w:val="nil"/>
              <w:left w:val="nil"/>
              <w:bottom w:val="nil"/>
              <w:right w:val="nil"/>
            </w:tcBorders>
            <w:shd w:val="clear" w:color="000000" w:fill="FFFFFF"/>
            <w:noWrap/>
            <w:vAlign w:val="bottom"/>
            <w:hideMark/>
          </w:tcPr>
          <w:p w14:paraId="151BF3B0" w14:textId="77777777" w:rsidR="00DE25A2" w:rsidRPr="00DE25A2" w:rsidRDefault="00DE25A2" w:rsidP="00DE25A2">
            <w:pPr>
              <w:spacing w:after="0" w:line="240" w:lineRule="auto"/>
              <w:jc w:val="right"/>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750" w:type="dxa"/>
            <w:gridSpan w:val="2"/>
            <w:tcBorders>
              <w:top w:val="nil"/>
              <w:left w:val="nil"/>
              <w:bottom w:val="nil"/>
              <w:right w:val="nil"/>
            </w:tcBorders>
            <w:shd w:val="clear" w:color="000000" w:fill="FFFFFF"/>
            <w:noWrap/>
            <w:vAlign w:val="bottom"/>
            <w:hideMark/>
          </w:tcPr>
          <w:p w14:paraId="6C6061AE" w14:textId="77777777" w:rsidR="00DE25A2" w:rsidRPr="00DE25A2" w:rsidRDefault="00DE25A2" w:rsidP="00DE25A2">
            <w:pPr>
              <w:spacing w:after="0" w:line="240" w:lineRule="auto"/>
              <w:jc w:val="right"/>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1000" w:type="dxa"/>
            <w:gridSpan w:val="2"/>
            <w:tcBorders>
              <w:top w:val="nil"/>
              <w:left w:val="nil"/>
              <w:bottom w:val="nil"/>
              <w:right w:val="nil"/>
            </w:tcBorders>
            <w:shd w:val="clear" w:color="000000" w:fill="FFFFFF"/>
            <w:noWrap/>
            <w:vAlign w:val="bottom"/>
            <w:hideMark/>
          </w:tcPr>
          <w:p w14:paraId="489039A3" w14:textId="77777777" w:rsidR="00DE25A2" w:rsidRPr="00DE25A2" w:rsidRDefault="00DE25A2" w:rsidP="00DE25A2">
            <w:pPr>
              <w:spacing w:after="0" w:line="240" w:lineRule="auto"/>
              <w:jc w:val="right"/>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675" w:type="dxa"/>
            <w:gridSpan w:val="3"/>
            <w:tcBorders>
              <w:top w:val="nil"/>
              <w:left w:val="nil"/>
              <w:bottom w:val="nil"/>
              <w:right w:val="nil"/>
            </w:tcBorders>
            <w:shd w:val="clear" w:color="000000" w:fill="FFFFFF"/>
            <w:noWrap/>
            <w:vAlign w:val="bottom"/>
            <w:hideMark/>
          </w:tcPr>
          <w:p w14:paraId="5FFFEB91" w14:textId="77777777" w:rsidR="00DE25A2" w:rsidRPr="00DE25A2" w:rsidRDefault="00DE25A2" w:rsidP="00DE25A2">
            <w:pPr>
              <w:spacing w:after="0" w:line="240" w:lineRule="auto"/>
              <w:jc w:val="right"/>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222" w:type="dxa"/>
            <w:vAlign w:val="center"/>
            <w:hideMark/>
          </w:tcPr>
          <w:p w14:paraId="77FD1335"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77D28840" w14:textId="77777777" w:rsidTr="008C4883">
        <w:trPr>
          <w:trHeight w:val="683"/>
        </w:trPr>
        <w:tc>
          <w:tcPr>
            <w:tcW w:w="2496" w:type="dxa"/>
            <w:tcBorders>
              <w:top w:val="single" w:sz="4" w:space="0" w:color="BFBFBF"/>
              <w:left w:val="single" w:sz="4" w:space="0" w:color="BFBFBF"/>
              <w:bottom w:val="nil"/>
              <w:right w:val="nil"/>
            </w:tcBorders>
            <w:shd w:val="clear" w:color="auto" w:fill="auto"/>
            <w:vAlign w:val="center"/>
            <w:hideMark/>
          </w:tcPr>
          <w:p w14:paraId="450D2B57"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26 weeks ended 3 July 2021 (unaudited)</w:t>
            </w:r>
          </w:p>
        </w:tc>
        <w:tc>
          <w:tcPr>
            <w:tcW w:w="272" w:type="dxa"/>
            <w:tcBorders>
              <w:top w:val="single" w:sz="4" w:space="0" w:color="BFBFBF"/>
              <w:left w:val="nil"/>
              <w:bottom w:val="nil"/>
              <w:right w:val="nil"/>
            </w:tcBorders>
            <w:shd w:val="clear" w:color="auto" w:fill="auto"/>
            <w:noWrap/>
            <w:vAlign w:val="bottom"/>
            <w:hideMark/>
          </w:tcPr>
          <w:p w14:paraId="254482D2"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single" w:sz="4" w:space="0" w:color="BFBFBF"/>
              <w:left w:val="nil"/>
              <w:bottom w:val="nil"/>
              <w:right w:val="nil"/>
            </w:tcBorders>
            <w:shd w:val="clear" w:color="auto" w:fill="auto"/>
            <w:vAlign w:val="center"/>
            <w:hideMark/>
          </w:tcPr>
          <w:p w14:paraId="505B8070" w14:textId="77777777" w:rsidR="00DE25A2" w:rsidRPr="00DE25A2" w:rsidRDefault="00DE25A2" w:rsidP="00DE25A2">
            <w:pPr>
              <w:spacing w:after="0" w:line="240" w:lineRule="auto"/>
              <w:jc w:val="center"/>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592" w:type="dxa"/>
            <w:gridSpan w:val="2"/>
            <w:tcBorders>
              <w:top w:val="single" w:sz="4" w:space="0" w:color="BFBFBF"/>
              <w:left w:val="nil"/>
              <w:bottom w:val="nil"/>
              <w:right w:val="nil"/>
            </w:tcBorders>
            <w:shd w:val="clear" w:color="auto" w:fill="auto"/>
            <w:vAlign w:val="center"/>
            <w:hideMark/>
          </w:tcPr>
          <w:p w14:paraId="615B33D5" w14:textId="77777777" w:rsidR="00DE25A2" w:rsidRPr="00DE25A2" w:rsidRDefault="00DE25A2" w:rsidP="00DE25A2">
            <w:pPr>
              <w:spacing w:after="0" w:line="240" w:lineRule="auto"/>
              <w:jc w:val="center"/>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Food</w:t>
            </w:r>
          </w:p>
        </w:tc>
        <w:tc>
          <w:tcPr>
            <w:tcW w:w="958" w:type="dxa"/>
            <w:gridSpan w:val="5"/>
            <w:tcBorders>
              <w:top w:val="single" w:sz="4" w:space="0" w:color="BFBFBF"/>
              <w:left w:val="nil"/>
              <w:bottom w:val="nil"/>
              <w:right w:val="nil"/>
            </w:tcBorders>
            <w:shd w:val="clear" w:color="auto" w:fill="auto"/>
            <w:vAlign w:val="center"/>
            <w:hideMark/>
          </w:tcPr>
          <w:p w14:paraId="02E068D8"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Wholesale</w:t>
            </w:r>
          </w:p>
        </w:tc>
        <w:tc>
          <w:tcPr>
            <w:tcW w:w="758" w:type="dxa"/>
            <w:tcBorders>
              <w:top w:val="single" w:sz="4" w:space="0" w:color="BFBFBF"/>
              <w:left w:val="nil"/>
              <w:bottom w:val="nil"/>
              <w:right w:val="nil"/>
            </w:tcBorders>
            <w:shd w:val="clear" w:color="auto" w:fill="auto"/>
            <w:vAlign w:val="center"/>
            <w:hideMark/>
          </w:tcPr>
          <w:p w14:paraId="7622E09C"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Funeral</w:t>
            </w:r>
          </w:p>
        </w:tc>
        <w:tc>
          <w:tcPr>
            <w:tcW w:w="936" w:type="dxa"/>
            <w:gridSpan w:val="2"/>
            <w:tcBorders>
              <w:top w:val="single" w:sz="4" w:space="0" w:color="BFBFBF"/>
              <w:left w:val="nil"/>
              <w:bottom w:val="nil"/>
              <w:right w:val="nil"/>
            </w:tcBorders>
            <w:shd w:val="clear" w:color="auto" w:fill="auto"/>
            <w:vAlign w:val="center"/>
            <w:hideMark/>
          </w:tcPr>
          <w:p w14:paraId="330FBF14"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Insurance</w:t>
            </w:r>
          </w:p>
        </w:tc>
        <w:tc>
          <w:tcPr>
            <w:tcW w:w="608" w:type="dxa"/>
            <w:gridSpan w:val="2"/>
            <w:tcBorders>
              <w:top w:val="single" w:sz="4" w:space="0" w:color="BFBFBF"/>
              <w:left w:val="nil"/>
              <w:bottom w:val="nil"/>
              <w:right w:val="nil"/>
            </w:tcBorders>
            <w:shd w:val="clear" w:color="auto" w:fill="auto"/>
            <w:vAlign w:val="center"/>
            <w:hideMark/>
          </w:tcPr>
          <w:p w14:paraId="7E223D2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Legal</w:t>
            </w:r>
          </w:p>
        </w:tc>
        <w:tc>
          <w:tcPr>
            <w:tcW w:w="1034" w:type="dxa"/>
            <w:gridSpan w:val="2"/>
            <w:tcBorders>
              <w:top w:val="single" w:sz="4" w:space="0" w:color="BFBFBF"/>
              <w:left w:val="nil"/>
              <w:bottom w:val="nil"/>
              <w:right w:val="nil"/>
            </w:tcBorders>
            <w:shd w:val="clear" w:color="auto" w:fill="auto"/>
            <w:vAlign w:val="center"/>
            <w:hideMark/>
          </w:tcPr>
          <w:p w14:paraId="0290E7A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Other businesses </w:t>
            </w:r>
            <w:r w:rsidRPr="00DE25A2">
              <w:rPr>
                <w:rFonts w:ascii="Arial" w:eastAsia="Times New Roman" w:hAnsi="Arial" w:cs="Arial"/>
                <w:sz w:val="15"/>
                <w:szCs w:val="15"/>
                <w:lang w:eastAsia="en-GB"/>
              </w:rPr>
              <w:br/>
              <w:t>(c)</w:t>
            </w:r>
          </w:p>
        </w:tc>
        <w:tc>
          <w:tcPr>
            <w:tcW w:w="750" w:type="dxa"/>
            <w:gridSpan w:val="2"/>
            <w:tcBorders>
              <w:top w:val="single" w:sz="4" w:space="0" w:color="BFBFBF"/>
              <w:left w:val="nil"/>
              <w:bottom w:val="nil"/>
              <w:right w:val="nil"/>
            </w:tcBorders>
            <w:shd w:val="clear" w:color="auto" w:fill="auto"/>
            <w:vAlign w:val="center"/>
            <w:hideMark/>
          </w:tcPr>
          <w:p w14:paraId="0C14778C"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Federal </w:t>
            </w:r>
            <w:r w:rsidRPr="00DE25A2">
              <w:rPr>
                <w:rFonts w:ascii="Arial" w:eastAsia="Times New Roman" w:hAnsi="Arial" w:cs="Arial"/>
                <w:sz w:val="15"/>
                <w:szCs w:val="15"/>
                <w:lang w:eastAsia="en-GB"/>
              </w:rPr>
              <w:br/>
              <w:t>(d)</w:t>
            </w:r>
          </w:p>
        </w:tc>
        <w:tc>
          <w:tcPr>
            <w:tcW w:w="1000" w:type="dxa"/>
            <w:gridSpan w:val="2"/>
            <w:tcBorders>
              <w:top w:val="single" w:sz="4" w:space="0" w:color="BFBFBF"/>
              <w:left w:val="nil"/>
              <w:bottom w:val="nil"/>
              <w:right w:val="nil"/>
            </w:tcBorders>
            <w:shd w:val="clear" w:color="auto" w:fill="auto"/>
            <w:vAlign w:val="center"/>
            <w:hideMark/>
          </w:tcPr>
          <w:p w14:paraId="083AE2F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Costs from supporting functions</w:t>
            </w:r>
          </w:p>
        </w:tc>
        <w:tc>
          <w:tcPr>
            <w:tcW w:w="675" w:type="dxa"/>
            <w:gridSpan w:val="3"/>
            <w:tcBorders>
              <w:top w:val="single" w:sz="4" w:space="0" w:color="BFBFBF"/>
              <w:left w:val="single" w:sz="4" w:space="0" w:color="BFBFBF"/>
              <w:bottom w:val="nil"/>
              <w:right w:val="single" w:sz="4" w:space="0" w:color="BFBFBF"/>
            </w:tcBorders>
            <w:shd w:val="clear" w:color="auto" w:fill="auto"/>
            <w:vAlign w:val="center"/>
            <w:hideMark/>
          </w:tcPr>
          <w:p w14:paraId="56221BE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Total</w:t>
            </w:r>
          </w:p>
        </w:tc>
        <w:tc>
          <w:tcPr>
            <w:tcW w:w="222" w:type="dxa"/>
            <w:vAlign w:val="center"/>
            <w:hideMark/>
          </w:tcPr>
          <w:p w14:paraId="75953300"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0988EFAF" w14:textId="77777777" w:rsidTr="008C4883">
        <w:trPr>
          <w:trHeight w:val="240"/>
        </w:trPr>
        <w:tc>
          <w:tcPr>
            <w:tcW w:w="2496" w:type="dxa"/>
            <w:tcBorders>
              <w:top w:val="nil"/>
              <w:left w:val="single" w:sz="4" w:space="0" w:color="BFBFBF"/>
              <w:bottom w:val="single" w:sz="4" w:space="0" w:color="BFBFBF"/>
              <w:right w:val="nil"/>
            </w:tcBorders>
            <w:shd w:val="clear" w:color="auto" w:fill="auto"/>
            <w:noWrap/>
            <w:vAlign w:val="center"/>
            <w:hideMark/>
          </w:tcPr>
          <w:p w14:paraId="62C1E5D3"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272" w:type="dxa"/>
            <w:tcBorders>
              <w:top w:val="nil"/>
              <w:left w:val="nil"/>
              <w:bottom w:val="single" w:sz="4" w:space="0" w:color="BFBFBF"/>
              <w:right w:val="nil"/>
            </w:tcBorders>
            <w:shd w:val="clear" w:color="auto" w:fill="auto"/>
            <w:noWrap/>
            <w:vAlign w:val="center"/>
            <w:hideMark/>
          </w:tcPr>
          <w:p w14:paraId="439AC31E"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nil"/>
              <w:left w:val="nil"/>
              <w:bottom w:val="single" w:sz="4" w:space="0" w:color="BFBFBF"/>
              <w:right w:val="nil"/>
            </w:tcBorders>
            <w:shd w:val="clear" w:color="auto" w:fill="auto"/>
            <w:vAlign w:val="center"/>
            <w:hideMark/>
          </w:tcPr>
          <w:p w14:paraId="233C2C38"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592" w:type="dxa"/>
            <w:gridSpan w:val="2"/>
            <w:tcBorders>
              <w:top w:val="nil"/>
              <w:left w:val="nil"/>
              <w:bottom w:val="single" w:sz="4" w:space="0" w:color="BFBFBF"/>
              <w:right w:val="nil"/>
            </w:tcBorders>
            <w:shd w:val="clear" w:color="auto" w:fill="auto"/>
            <w:vAlign w:val="center"/>
            <w:hideMark/>
          </w:tcPr>
          <w:p w14:paraId="56791D6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958" w:type="dxa"/>
            <w:gridSpan w:val="5"/>
            <w:tcBorders>
              <w:top w:val="nil"/>
              <w:left w:val="nil"/>
              <w:bottom w:val="single" w:sz="4" w:space="0" w:color="BFBFBF"/>
              <w:right w:val="nil"/>
            </w:tcBorders>
            <w:shd w:val="clear" w:color="auto" w:fill="auto"/>
            <w:vAlign w:val="center"/>
            <w:hideMark/>
          </w:tcPr>
          <w:p w14:paraId="7F6A2067"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758" w:type="dxa"/>
            <w:tcBorders>
              <w:top w:val="nil"/>
              <w:left w:val="nil"/>
              <w:bottom w:val="single" w:sz="4" w:space="0" w:color="BFBFBF"/>
              <w:right w:val="nil"/>
            </w:tcBorders>
            <w:shd w:val="clear" w:color="auto" w:fill="auto"/>
            <w:vAlign w:val="center"/>
            <w:hideMark/>
          </w:tcPr>
          <w:p w14:paraId="256A18C3"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936" w:type="dxa"/>
            <w:gridSpan w:val="2"/>
            <w:tcBorders>
              <w:top w:val="nil"/>
              <w:left w:val="nil"/>
              <w:bottom w:val="single" w:sz="4" w:space="0" w:color="BFBFBF"/>
              <w:right w:val="nil"/>
            </w:tcBorders>
            <w:shd w:val="clear" w:color="auto" w:fill="auto"/>
            <w:vAlign w:val="center"/>
            <w:hideMark/>
          </w:tcPr>
          <w:p w14:paraId="7244C8BA"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608" w:type="dxa"/>
            <w:gridSpan w:val="2"/>
            <w:tcBorders>
              <w:top w:val="nil"/>
              <w:left w:val="nil"/>
              <w:bottom w:val="single" w:sz="4" w:space="0" w:color="BFBFBF"/>
              <w:right w:val="nil"/>
            </w:tcBorders>
            <w:shd w:val="clear" w:color="auto" w:fill="auto"/>
            <w:vAlign w:val="center"/>
            <w:hideMark/>
          </w:tcPr>
          <w:p w14:paraId="53D58A3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1034" w:type="dxa"/>
            <w:gridSpan w:val="2"/>
            <w:tcBorders>
              <w:top w:val="nil"/>
              <w:left w:val="nil"/>
              <w:bottom w:val="single" w:sz="4" w:space="0" w:color="BFBFBF"/>
              <w:right w:val="nil"/>
            </w:tcBorders>
            <w:shd w:val="clear" w:color="auto" w:fill="auto"/>
            <w:vAlign w:val="center"/>
            <w:hideMark/>
          </w:tcPr>
          <w:p w14:paraId="42256455"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750" w:type="dxa"/>
            <w:gridSpan w:val="2"/>
            <w:tcBorders>
              <w:top w:val="nil"/>
              <w:left w:val="nil"/>
              <w:bottom w:val="single" w:sz="4" w:space="0" w:color="BFBFBF"/>
              <w:right w:val="nil"/>
            </w:tcBorders>
            <w:shd w:val="clear" w:color="auto" w:fill="auto"/>
            <w:vAlign w:val="center"/>
            <w:hideMark/>
          </w:tcPr>
          <w:p w14:paraId="2F86FBBA"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1000" w:type="dxa"/>
            <w:gridSpan w:val="2"/>
            <w:tcBorders>
              <w:top w:val="nil"/>
              <w:left w:val="nil"/>
              <w:bottom w:val="single" w:sz="4" w:space="0" w:color="BFBFBF"/>
              <w:right w:val="nil"/>
            </w:tcBorders>
            <w:shd w:val="clear" w:color="auto" w:fill="auto"/>
            <w:vAlign w:val="center"/>
            <w:hideMark/>
          </w:tcPr>
          <w:p w14:paraId="6873E928"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675" w:type="dxa"/>
            <w:gridSpan w:val="3"/>
            <w:tcBorders>
              <w:top w:val="nil"/>
              <w:left w:val="single" w:sz="4" w:space="0" w:color="BFBFBF"/>
              <w:bottom w:val="single" w:sz="4" w:space="0" w:color="BFBFBF"/>
              <w:right w:val="single" w:sz="4" w:space="0" w:color="BFBFBF"/>
            </w:tcBorders>
            <w:shd w:val="clear" w:color="auto" w:fill="auto"/>
            <w:vAlign w:val="center"/>
            <w:hideMark/>
          </w:tcPr>
          <w:p w14:paraId="41C4948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222" w:type="dxa"/>
            <w:vAlign w:val="center"/>
            <w:hideMark/>
          </w:tcPr>
          <w:p w14:paraId="2D82AF39"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34874240" w14:textId="77777777" w:rsidTr="008C4883">
        <w:trPr>
          <w:trHeight w:val="252"/>
        </w:trPr>
        <w:tc>
          <w:tcPr>
            <w:tcW w:w="2768" w:type="dxa"/>
            <w:gridSpan w:val="2"/>
            <w:tcBorders>
              <w:top w:val="single" w:sz="4" w:space="0" w:color="BFBFBF"/>
              <w:left w:val="nil"/>
              <w:bottom w:val="single" w:sz="4" w:space="0" w:color="BFBFBF"/>
              <w:right w:val="nil"/>
            </w:tcBorders>
            <w:shd w:val="clear" w:color="000000" w:fill="FFFFFF"/>
            <w:noWrap/>
            <w:vAlign w:val="center"/>
            <w:hideMark/>
          </w:tcPr>
          <w:p w14:paraId="655FB51C"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Revenue from external customers</w:t>
            </w:r>
          </w:p>
        </w:tc>
        <w:tc>
          <w:tcPr>
            <w:tcW w:w="918" w:type="dxa"/>
            <w:tcBorders>
              <w:top w:val="nil"/>
              <w:left w:val="nil"/>
              <w:bottom w:val="single" w:sz="4" w:space="0" w:color="BFBFBF"/>
              <w:right w:val="nil"/>
            </w:tcBorders>
            <w:shd w:val="clear" w:color="000000" w:fill="FFFFFF"/>
            <w:noWrap/>
            <w:vAlign w:val="center"/>
            <w:hideMark/>
          </w:tcPr>
          <w:p w14:paraId="23B3D747" w14:textId="77777777" w:rsidR="00DE25A2" w:rsidRPr="00DE25A2" w:rsidRDefault="00DE25A2" w:rsidP="00DE25A2">
            <w:pPr>
              <w:spacing w:after="0" w:line="240" w:lineRule="auto"/>
              <w:jc w:val="right"/>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592" w:type="dxa"/>
            <w:gridSpan w:val="2"/>
            <w:tcBorders>
              <w:top w:val="nil"/>
              <w:left w:val="nil"/>
              <w:bottom w:val="single" w:sz="4" w:space="0" w:color="BFBFBF"/>
              <w:right w:val="nil"/>
            </w:tcBorders>
            <w:shd w:val="clear" w:color="000000" w:fill="FFFFFF"/>
            <w:noWrap/>
            <w:vAlign w:val="center"/>
            <w:hideMark/>
          </w:tcPr>
          <w:p w14:paraId="45568C0B"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3,860 </w:t>
            </w:r>
          </w:p>
        </w:tc>
        <w:tc>
          <w:tcPr>
            <w:tcW w:w="958" w:type="dxa"/>
            <w:gridSpan w:val="5"/>
            <w:tcBorders>
              <w:top w:val="nil"/>
              <w:left w:val="nil"/>
              <w:bottom w:val="single" w:sz="4" w:space="0" w:color="BFBFBF"/>
              <w:right w:val="nil"/>
            </w:tcBorders>
            <w:shd w:val="clear" w:color="000000" w:fill="FFFFFF"/>
            <w:noWrap/>
            <w:vAlign w:val="center"/>
            <w:hideMark/>
          </w:tcPr>
          <w:p w14:paraId="24476641"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688 </w:t>
            </w:r>
          </w:p>
        </w:tc>
        <w:tc>
          <w:tcPr>
            <w:tcW w:w="758" w:type="dxa"/>
            <w:tcBorders>
              <w:top w:val="nil"/>
              <w:left w:val="nil"/>
              <w:bottom w:val="single" w:sz="4" w:space="0" w:color="BFBFBF"/>
              <w:right w:val="nil"/>
            </w:tcBorders>
            <w:shd w:val="clear" w:color="000000" w:fill="FFFFFF"/>
            <w:noWrap/>
            <w:vAlign w:val="center"/>
            <w:hideMark/>
          </w:tcPr>
          <w:p w14:paraId="622A8070"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142 </w:t>
            </w:r>
          </w:p>
        </w:tc>
        <w:tc>
          <w:tcPr>
            <w:tcW w:w="936" w:type="dxa"/>
            <w:gridSpan w:val="2"/>
            <w:tcBorders>
              <w:top w:val="nil"/>
              <w:left w:val="nil"/>
              <w:bottom w:val="single" w:sz="4" w:space="0" w:color="BFBFBF"/>
              <w:right w:val="nil"/>
            </w:tcBorders>
            <w:shd w:val="clear" w:color="000000" w:fill="FFFFFF"/>
            <w:noWrap/>
            <w:vAlign w:val="center"/>
            <w:hideMark/>
          </w:tcPr>
          <w:p w14:paraId="138E24B4"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18 </w:t>
            </w:r>
          </w:p>
        </w:tc>
        <w:tc>
          <w:tcPr>
            <w:tcW w:w="608" w:type="dxa"/>
            <w:gridSpan w:val="2"/>
            <w:tcBorders>
              <w:top w:val="nil"/>
              <w:left w:val="nil"/>
              <w:bottom w:val="single" w:sz="4" w:space="0" w:color="BFBFBF"/>
              <w:right w:val="nil"/>
            </w:tcBorders>
            <w:shd w:val="clear" w:color="000000" w:fill="FFFFFF"/>
            <w:noWrap/>
            <w:vAlign w:val="center"/>
            <w:hideMark/>
          </w:tcPr>
          <w:p w14:paraId="4F22C2F7"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20 </w:t>
            </w:r>
          </w:p>
        </w:tc>
        <w:tc>
          <w:tcPr>
            <w:tcW w:w="1034" w:type="dxa"/>
            <w:gridSpan w:val="2"/>
            <w:tcBorders>
              <w:top w:val="nil"/>
              <w:left w:val="nil"/>
              <w:bottom w:val="single" w:sz="4" w:space="0" w:color="BFBFBF"/>
              <w:right w:val="nil"/>
            </w:tcBorders>
            <w:shd w:val="clear" w:color="000000" w:fill="FFFFFF"/>
            <w:noWrap/>
            <w:vAlign w:val="center"/>
            <w:hideMark/>
          </w:tcPr>
          <w:p w14:paraId="039E52B4"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 </w:t>
            </w:r>
          </w:p>
        </w:tc>
        <w:tc>
          <w:tcPr>
            <w:tcW w:w="750" w:type="dxa"/>
            <w:gridSpan w:val="2"/>
            <w:tcBorders>
              <w:top w:val="nil"/>
              <w:left w:val="nil"/>
              <w:bottom w:val="single" w:sz="4" w:space="0" w:color="BFBFBF"/>
              <w:right w:val="nil"/>
            </w:tcBorders>
            <w:shd w:val="clear" w:color="000000" w:fill="FFFFFF"/>
            <w:noWrap/>
            <w:vAlign w:val="center"/>
            <w:hideMark/>
          </w:tcPr>
          <w:p w14:paraId="6BD7761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887 </w:t>
            </w:r>
          </w:p>
        </w:tc>
        <w:tc>
          <w:tcPr>
            <w:tcW w:w="1000" w:type="dxa"/>
            <w:gridSpan w:val="2"/>
            <w:tcBorders>
              <w:top w:val="nil"/>
              <w:left w:val="nil"/>
              <w:bottom w:val="single" w:sz="4" w:space="0" w:color="BFBFBF"/>
              <w:right w:val="nil"/>
            </w:tcBorders>
            <w:shd w:val="clear" w:color="000000" w:fill="FFFFFF"/>
            <w:noWrap/>
            <w:vAlign w:val="center"/>
            <w:hideMark/>
          </w:tcPr>
          <w:p w14:paraId="43DB359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675" w:type="dxa"/>
            <w:gridSpan w:val="3"/>
            <w:tcBorders>
              <w:top w:val="nil"/>
              <w:left w:val="single" w:sz="4" w:space="0" w:color="BFBFBF"/>
              <w:bottom w:val="single" w:sz="4" w:space="0" w:color="BFBFBF"/>
              <w:right w:val="single" w:sz="4" w:space="0" w:color="BFBFBF"/>
            </w:tcBorders>
            <w:shd w:val="clear" w:color="000000" w:fill="FFFFFF"/>
            <w:noWrap/>
            <w:vAlign w:val="center"/>
            <w:hideMark/>
          </w:tcPr>
          <w:p w14:paraId="4BA4A44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5,616 </w:t>
            </w:r>
          </w:p>
        </w:tc>
        <w:tc>
          <w:tcPr>
            <w:tcW w:w="222" w:type="dxa"/>
            <w:vAlign w:val="center"/>
            <w:hideMark/>
          </w:tcPr>
          <w:p w14:paraId="063EDBEA"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1664E388" w14:textId="77777777" w:rsidTr="008C4883">
        <w:trPr>
          <w:trHeight w:val="252"/>
        </w:trPr>
        <w:tc>
          <w:tcPr>
            <w:tcW w:w="2496" w:type="dxa"/>
            <w:tcBorders>
              <w:top w:val="nil"/>
              <w:left w:val="nil"/>
              <w:bottom w:val="nil"/>
              <w:right w:val="nil"/>
            </w:tcBorders>
            <w:shd w:val="clear" w:color="000000" w:fill="FFFFFF"/>
            <w:noWrap/>
            <w:vAlign w:val="center"/>
            <w:hideMark/>
          </w:tcPr>
          <w:p w14:paraId="44056B77"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272" w:type="dxa"/>
            <w:tcBorders>
              <w:top w:val="nil"/>
              <w:left w:val="nil"/>
              <w:bottom w:val="nil"/>
              <w:right w:val="nil"/>
            </w:tcBorders>
            <w:shd w:val="clear" w:color="000000" w:fill="FFFFFF"/>
            <w:noWrap/>
            <w:vAlign w:val="center"/>
            <w:hideMark/>
          </w:tcPr>
          <w:p w14:paraId="1EF88262"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nil"/>
              <w:left w:val="nil"/>
              <w:bottom w:val="nil"/>
              <w:right w:val="nil"/>
            </w:tcBorders>
            <w:shd w:val="clear" w:color="000000" w:fill="FFFFFF"/>
            <w:noWrap/>
            <w:vAlign w:val="center"/>
            <w:hideMark/>
          </w:tcPr>
          <w:p w14:paraId="3EAEAE63" w14:textId="77777777" w:rsidR="00DE25A2" w:rsidRPr="00DE25A2" w:rsidRDefault="00DE25A2" w:rsidP="00DE25A2">
            <w:pPr>
              <w:spacing w:after="0" w:line="240" w:lineRule="auto"/>
              <w:jc w:val="right"/>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592" w:type="dxa"/>
            <w:gridSpan w:val="2"/>
            <w:tcBorders>
              <w:top w:val="nil"/>
              <w:left w:val="nil"/>
              <w:bottom w:val="nil"/>
              <w:right w:val="nil"/>
            </w:tcBorders>
            <w:shd w:val="clear" w:color="000000" w:fill="FFFFFF"/>
            <w:noWrap/>
            <w:vAlign w:val="center"/>
            <w:hideMark/>
          </w:tcPr>
          <w:p w14:paraId="4E64DC10"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958" w:type="dxa"/>
            <w:gridSpan w:val="5"/>
            <w:tcBorders>
              <w:top w:val="nil"/>
              <w:left w:val="nil"/>
              <w:bottom w:val="nil"/>
              <w:right w:val="nil"/>
            </w:tcBorders>
            <w:shd w:val="clear" w:color="000000" w:fill="FFFFFF"/>
            <w:noWrap/>
            <w:vAlign w:val="center"/>
            <w:hideMark/>
          </w:tcPr>
          <w:p w14:paraId="0E5B3253"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758" w:type="dxa"/>
            <w:tcBorders>
              <w:top w:val="nil"/>
              <w:left w:val="nil"/>
              <w:bottom w:val="nil"/>
              <w:right w:val="nil"/>
            </w:tcBorders>
            <w:shd w:val="clear" w:color="000000" w:fill="FFFFFF"/>
            <w:noWrap/>
            <w:vAlign w:val="center"/>
            <w:hideMark/>
          </w:tcPr>
          <w:p w14:paraId="5BA64BD4"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936" w:type="dxa"/>
            <w:gridSpan w:val="2"/>
            <w:tcBorders>
              <w:top w:val="nil"/>
              <w:left w:val="nil"/>
              <w:bottom w:val="nil"/>
              <w:right w:val="nil"/>
            </w:tcBorders>
            <w:shd w:val="clear" w:color="000000" w:fill="FFFFFF"/>
            <w:noWrap/>
            <w:vAlign w:val="center"/>
            <w:hideMark/>
          </w:tcPr>
          <w:p w14:paraId="15B7EE44"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608" w:type="dxa"/>
            <w:gridSpan w:val="2"/>
            <w:tcBorders>
              <w:top w:val="nil"/>
              <w:left w:val="nil"/>
              <w:bottom w:val="nil"/>
              <w:right w:val="nil"/>
            </w:tcBorders>
            <w:shd w:val="clear" w:color="000000" w:fill="FFFFFF"/>
            <w:noWrap/>
            <w:vAlign w:val="center"/>
            <w:hideMark/>
          </w:tcPr>
          <w:p w14:paraId="4C3C6FE8"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1034" w:type="dxa"/>
            <w:gridSpan w:val="2"/>
            <w:tcBorders>
              <w:top w:val="nil"/>
              <w:left w:val="nil"/>
              <w:bottom w:val="nil"/>
              <w:right w:val="nil"/>
            </w:tcBorders>
            <w:shd w:val="clear" w:color="000000" w:fill="FFFFFF"/>
            <w:noWrap/>
            <w:vAlign w:val="center"/>
            <w:hideMark/>
          </w:tcPr>
          <w:p w14:paraId="459E02E1"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750" w:type="dxa"/>
            <w:gridSpan w:val="2"/>
            <w:tcBorders>
              <w:top w:val="nil"/>
              <w:left w:val="nil"/>
              <w:bottom w:val="nil"/>
              <w:right w:val="nil"/>
            </w:tcBorders>
            <w:shd w:val="clear" w:color="000000" w:fill="FFFFFF"/>
            <w:noWrap/>
            <w:vAlign w:val="center"/>
            <w:hideMark/>
          </w:tcPr>
          <w:p w14:paraId="59E14548"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1000" w:type="dxa"/>
            <w:gridSpan w:val="2"/>
            <w:tcBorders>
              <w:top w:val="nil"/>
              <w:left w:val="nil"/>
              <w:bottom w:val="nil"/>
              <w:right w:val="nil"/>
            </w:tcBorders>
            <w:shd w:val="clear" w:color="000000" w:fill="FFFFFF"/>
            <w:noWrap/>
            <w:vAlign w:val="center"/>
            <w:hideMark/>
          </w:tcPr>
          <w:p w14:paraId="322BC94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675" w:type="dxa"/>
            <w:gridSpan w:val="3"/>
            <w:tcBorders>
              <w:top w:val="nil"/>
              <w:left w:val="single" w:sz="4" w:space="0" w:color="BFBFBF"/>
              <w:bottom w:val="nil"/>
              <w:right w:val="single" w:sz="4" w:space="0" w:color="BFBFBF"/>
            </w:tcBorders>
            <w:shd w:val="clear" w:color="000000" w:fill="FFFFFF"/>
            <w:noWrap/>
            <w:vAlign w:val="center"/>
            <w:hideMark/>
          </w:tcPr>
          <w:p w14:paraId="54D66943"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222" w:type="dxa"/>
            <w:vAlign w:val="center"/>
            <w:hideMark/>
          </w:tcPr>
          <w:p w14:paraId="40910475"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6B2CA1B4" w14:textId="77777777" w:rsidTr="008C4883">
        <w:trPr>
          <w:trHeight w:val="252"/>
        </w:trPr>
        <w:tc>
          <w:tcPr>
            <w:tcW w:w="3686" w:type="dxa"/>
            <w:gridSpan w:val="3"/>
            <w:tcBorders>
              <w:top w:val="single" w:sz="4" w:space="0" w:color="BFBFBF"/>
              <w:left w:val="nil"/>
              <w:bottom w:val="single" w:sz="4" w:space="0" w:color="BFBFBF"/>
              <w:right w:val="nil"/>
            </w:tcBorders>
            <w:shd w:val="clear" w:color="000000" w:fill="FFFFFF"/>
            <w:noWrap/>
            <w:vAlign w:val="center"/>
            <w:hideMark/>
          </w:tcPr>
          <w:p w14:paraId="3779A8E1"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Underlying segment operating profit / (loss) (a)</w:t>
            </w:r>
          </w:p>
        </w:tc>
        <w:tc>
          <w:tcPr>
            <w:tcW w:w="592" w:type="dxa"/>
            <w:gridSpan w:val="2"/>
            <w:tcBorders>
              <w:top w:val="single" w:sz="4" w:space="0" w:color="BFBFBF"/>
              <w:left w:val="nil"/>
              <w:bottom w:val="single" w:sz="4" w:space="0" w:color="BFBFBF"/>
              <w:right w:val="nil"/>
            </w:tcBorders>
            <w:shd w:val="clear" w:color="000000" w:fill="FFFFFF"/>
            <w:noWrap/>
            <w:vAlign w:val="center"/>
            <w:hideMark/>
          </w:tcPr>
          <w:p w14:paraId="51509CB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68 </w:t>
            </w:r>
          </w:p>
        </w:tc>
        <w:tc>
          <w:tcPr>
            <w:tcW w:w="958" w:type="dxa"/>
            <w:gridSpan w:val="5"/>
            <w:tcBorders>
              <w:top w:val="single" w:sz="4" w:space="0" w:color="BFBFBF"/>
              <w:left w:val="nil"/>
              <w:bottom w:val="single" w:sz="4" w:space="0" w:color="BFBFBF"/>
              <w:right w:val="nil"/>
            </w:tcBorders>
            <w:shd w:val="clear" w:color="000000" w:fill="FFFFFF"/>
            <w:noWrap/>
            <w:vAlign w:val="center"/>
            <w:hideMark/>
          </w:tcPr>
          <w:p w14:paraId="1C994F02"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2 </w:t>
            </w:r>
          </w:p>
        </w:tc>
        <w:tc>
          <w:tcPr>
            <w:tcW w:w="758" w:type="dxa"/>
            <w:tcBorders>
              <w:top w:val="single" w:sz="4" w:space="0" w:color="BFBFBF"/>
              <w:left w:val="nil"/>
              <w:bottom w:val="single" w:sz="4" w:space="0" w:color="BFBFBF"/>
              <w:right w:val="nil"/>
            </w:tcBorders>
            <w:shd w:val="clear" w:color="000000" w:fill="FFFFFF"/>
            <w:noWrap/>
            <w:vAlign w:val="center"/>
            <w:hideMark/>
          </w:tcPr>
          <w:p w14:paraId="4078C57C"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17 </w:t>
            </w:r>
          </w:p>
        </w:tc>
        <w:tc>
          <w:tcPr>
            <w:tcW w:w="936" w:type="dxa"/>
            <w:gridSpan w:val="2"/>
            <w:tcBorders>
              <w:top w:val="single" w:sz="4" w:space="0" w:color="BFBFBF"/>
              <w:left w:val="nil"/>
              <w:bottom w:val="single" w:sz="4" w:space="0" w:color="BFBFBF"/>
              <w:right w:val="nil"/>
            </w:tcBorders>
            <w:shd w:val="clear" w:color="000000" w:fill="FFFFFF"/>
            <w:noWrap/>
            <w:vAlign w:val="center"/>
            <w:hideMark/>
          </w:tcPr>
          <w:p w14:paraId="743D0401"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7 </w:t>
            </w:r>
          </w:p>
        </w:tc>
        <w:tc>
          <w:tcPr>
            <w:tcW w:w="608" w:type="dxa"/>
            <w:gridSpan w:val="2"/>
            <w:tcBorders>
              <w:top w:val="single" w:sz="4" w:space="0" w:color="BFBFBF"/>
              <w:left w:val="nil"/>
              <w:bottom w:val="single" w:sz="4" w:space="0" w:color="BFBFBF"/>
              <w:right w:val="nil"/>
            </w:tcBorders>
            <w:shd w:val="clear" w:color="000000" w:fill="FFFFFF"/>
            <w:noWrap/>
            <w:vAlign w:val="center"/>
            <w:hideMark/>
          </w:tcPr>
          <w:p w14:paraId="63CF920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2 </w:t>
            </w:r>
          </w:p>
        </w:tc>
        <w:tc>
          <w:tcPr>
            <w:tcW w:w="1034" w:type="dxa"/>
            <w:gridSpan w:val="2"/>
            <w:tcBorders>
              <w:top w:val="single" w:sz="4" w:space="0" w:color="BFBFBF"/>
              <w:left w:val="nil"/>
              <w:bottom w:val="single" w:sz="4" w:space="0" w:color="BFBFBF"/>
              <w:right w:val="nil"/>
            </w:tcBorders>
            <w:shd w:val="clear" w:color="000000" w:fill="FFFFFF"/>
            <w:noWrap/>
            <w:vAlign w:val="center"/>
            <w:hideMark/>
          </w:tcPr>
          <w:p w14:paraId="2D21CD2B"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(1)</w:t>
            </w:r>
          </w:p>
        </w:tc>
        <w:tc>
          <w:tcPr>
            <w:tcW w:w="750" w:type="dxa"/>
            <w:gridSpan w:val="2"/>
            <w:tcBorders>
              <w:top w:val="single" w:sz="4" w:space="0" w:color="BFBFBF"/>
              <w:left w:val="nil"/>
              <w:bottom w:val="single" w:sz="4" w:space="0" w:color="BFBFBF"/>
              <w:right w:val="nil"/>
            </w:tcBorders>
            <w:shd w:val="clear" w:color="000000" w:fill="FFFFFF"/>
            <w:noWrap/>
            <w:vAlign w:val="center"/>
            <w:hideMark/>
          </w:tcPr>
          <w:p w14:paraId="04C8AE0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00" w:type="dxa"/>
            <w:gridSpan w:val="2"/>
            <w:tcBorders>
              <w:top w:val="single" w:sz="4" w:space="0" w:color="BFBFBF"/>
              <w:left w:val="nil"/>
              <w:bottom w:val="single" w:sz="4" w:space="0" w:color="BFBFBF"/>
              <w:right w:val="nil"/>
            </w:tcBorders>
            <w:shd w:val="clear" w:color="000000" w:fill="FFFFFF"/>
            <w:noWrap/>
            <w:vAlign w:val="center"/>
            <w:hideMark/>
          </w:tcPr>
          <w:p w14:paraId="21CA3B3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(44)</w:t>
            </w:r>
          </w:p>
        </w:tc>
        <w:tc>
          <w:tcPr>
            <w:tcW w:w="67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64E3E3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51 </w:t>
            </w:r>
          </w:p>
        </w:tc>
        <w:tc>
          <w:tcPr>
            <w:tcW w:w="222" w:type="dxa"/>
            <w:vAlign w:val="center"/>
            <w:hideMark/>
          </w:tcPr>
          <w:p w14:paraId="62B59547"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5655194C" w14:textId="77777777" w:rsidTr="008C4883">
        <w:trPr>
          <w:trHeight w:val="252"/>
        </w:trPr>
        <w:tc>
          <w:tcPr>
            <w:tcW w:w="2496" w:type="dxa"/>
            <w:tcBorders>
              <w:top w:val="nil"/>
              <w:left w:val="nil"/>
              <w:bottom w:val="nil"/>
              <w:right w:val="nil"/>
            </w:tcBorders>
            <w:shd w:val="clear" w:color="000000" w:fill="FFFFFF"/>
            <w:noWrap/>
            <w:vAlign w:val="center"/>
            <w:hideMark/>
          </w:tcPr>
          <w:p w14:paraId="2A445939"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One-off items (a) (</w:t>
            </w:r>
            <w:proofErr w:type="spellStart"/>
            <w:r w:rsidRPr="00DE25A2">
              <w:rPr>
                <w:rFonts w:ascii="Arial" w:eastAsia="Times New Roman" w:hAnsi="Arial" w:cs="Arial"/>
                <w:sz w:val="15"/>
                <w:szCs w:val="15"/>
                <w:lang w:eastAsia="en-GB"/>
              </w:rPr>
              <w:t>i</w:t>
            </w:r>
            <w:proofErr w:type="spellEnd"/>
            <w:r w:rsidRPr="00DE25A2">
              <w:rPr>
                <w:rFonts w:ascii="Arial" w:eastAsia="Times New Roman" w:hAnsi="Arial" w:cs="Arial"/>
                <w:sz w:val="15"/>
                <w:szCs w:val="15"/>
                <w:lang w:eastAsia="en-GB"/>
              </w:rPr>
              <w:t xml:space="preserve">) </w:t>
            </w:r>
          </w:p>
        </w:tc>
        <w:tc>
          <w:tcPr>
            <w:tcW w:w="272" w:type="dxa"/>
            <w:tcBorders>
              <w:top w:val="nil"/>
              <w:left w:val="nil"/>
              <w:bottom w:val="nil"/>
              <w:right w:val="nil"/>
            </w:tcBorders>
            <w:shd w:val="clear" w:color="000000" w:fill="FFFFFF"/>
            <w:noWrap/>
            <w:vAlign w:val="center"/>
            <w:hideMark/>
          </w:tcPr>
          <w:p w14:paraId="1B1FA9AA"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nil"/>
              <w:left w:val="nil"/>
              <w:bottom w:val="nil"/>
              <w:right w:val="nil"/>
            </w:tcBorders>
            <w:shd w:val="clear" w:color="000000" w:fill="FFFFFF"/>
            <w:noWrap/>
            <w:vAlign w:val="center"/>
            <w:hideMark/>
          </w:tcPr>
          <w:p w14:paraId="28BC9CF3" w14:textId="77777777" w:rsidR="00DE25A2" w:rsidRPr="00DE25A2" w:rsidRDefault="00DE25A2" w:rsidP="00DE25A2">
            <w:pPr>
              <w:spacing w:after="0" w:line="240" w:lineRule="auto"/>
              <w:jc w:val="right"/>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592" w:type="dxa"/>
            <w:gridSpan w:val="2"/>
            <w:tcBorders>
              <w:top w:val="nil"/>
              <w:left w:val="nil"/>
              <w:bottom w:val="nil"/>
              <w:right w:val="nil"/>
            </w:tcBorders>
            <w:shd w:val="clear" w:color="000000" w:fill="FFFFFF"/>
            <w:noWrap/>
            <w:vAlign w:val="center"/>
            <w:hideMark/>
          </w:tcPr>
          <w:p w14:paraId="66DDE6F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(17)</w:t>
            </w:r>
          </w:p>
        </w:tc>
        <w:tc>
          <w:tcPr>
            <w:tcW w:w="958" w:type="dxa"/>
            <w:gridSpan w:val="5"/>
            <w:tcBorders>
              <w:top w:val="nil"/>
              <w:left w:val="nil"/>
              <w:bottom w:val="nil"/>
              <w:right w:val="nil"/>
            </w:tcBorders>
            <w:shd w:val="clear" w:color="000000" w:fill="FFFFFF"/>
            <w:noWrap/>
            <w:vAlign w:val="center"/>
            <w:hideMark/>
          </w:tcPr>
          <w:p w14:paraId="69F2D05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758" w:type="dxa"/>
            <w:tcBorders>
              <w:top w:val="nil"/>
              <w:left w:val="nil"/>
              <w:bottom w:val="nil"/>
              <w:right w:val="nil"/>
            </w:tcBorders>
            <w:shd w:val="clear" w:color="000000" w:fill="FFFFFF"/>
            <w:noWrap/>
            <w:vAlign w:val="center"/>
            <w:hideMark/>
          </w:tcPr>
          <w:p w14:paraId="232FC3C5"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936" w:type="dxa"/>
            <w:gridSpan w:val="2"/>
            <w:tcBorders>
              <w:top w:val="nil"/>
              <w:left w:val="nil"/>
              <w:bottom w:val="nil"/>
              <w:right w:val="nil"/>
            </w:tcBorders>
            <w:shd w:val="clear" w:color="000000" w:fill="FFFFFF"/>
            <w:noWrap/>
            <w:vAlign w:val="center"/>
            <w:hideMark/>
          </w:tcPr>
          <w:p w14:paraId="7A762372"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608" w:type="dxa"/>
            <w:gridSpan w:val="2"/>
            <w:tcBorders>
              <w:top w:val="nil"/>
              <w:left w:val="nil"/>
              <w:bottom w:val="nil"/>
              <w:right w:val="nil"/>
            </w:tcBorders>
            <w:shd w:val="clear" w:color="000000" w:fill="FFFFFF"/>
            <w:noWrap/>
            <w:vAlign w:val="center"/>
            <w:hideMark/>
          </w:tcPr>
          <w:p w14:paraId="213AC62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34" w:type="dxa"/>
            <w:gridSpan w:val="2"/>
            <w:tcBorders>
              <w:top w:val="nil"/>
              <w:left w:val="nil"/>
              <w:bottom w:val="nil"/>
              <w:right w:val="nil"/>
            </w:tcBorders>
            <w:shd w:val="clear" w:color="000000" w:fill="FFFFFF"/>
            <w:noWrap/>
            <w:vAlign w:val="center"/>
            <w:hideMark/>
          </w:tcPr>
          <w:p w14:paraId="66D16644"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750" w:type="dxa"/>
            <w:gridSpan w:val="2"/>
            <w:tcBorders>
              <w:top w:val="nil"/>
              <w:left w:val="nil"/>
              <w:bottom w:val="nil"/>
              <w:right w:val="nil"/>
            </w:tcBorders>
            <w:shd w:val="clear" w:color="000000" w:fill="FFFFFF"/>
            <w:noWrap/>
            <w:vAlign w:val="center"/>
            <w:hideMark/>
          </w:tcPr>
          <w:p w14:paraId="0A4D2835"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00" w:type="dxa"/>
            <w:gridSpan w:val="2"/>
            <w:tcBorders>
              <w:top w:val="nil"/>
              <w:left w:val="nil"/>
              <w:bottom w:val="nil"/>
              <w:right w:val="nil"/>
            </w:tcBorders>
            <w:shd w:val="clear" w:color="000000" w:fill="FFFFFF"/>
            <w:noWrap/>
            <w:vAlign w:val="center"/>
            <w:hideMark/>
          </w:tcPr>
          <w:p w14:paraId="4D0C2323"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675" w:type="dxa"/>
            <w:gridSpan w:val="3"/>
            <w:tcBorders>
              <w:top w:val="nil"/>
              <w:left w:val="single" w:sz="4" w:space="0" w:color="BFBFBF"/>
              <w:bottom w:val="nil"/>
              <w:right w:val="single" w:sz="4" w:space="0" w:color="BFBFBF"/>
            </w:tcBorders>
            <w:shd w:val="clear" w:color="000000" w:fill="FFFFFF"/>
            <w:noWrap/>
            <w:vAlign w:val="center"/>
            <w:hideMark/>
          </w:tcPr>
          <w:p w14:paraId="65ACE428"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(17)</w:t>
            </w:r>
          </w:p>
        </w:tc>
        <w:tc>
          <w:tcPr>
            <w:tcW w:w="222" w:type="dxa"/>
            <w:vAlign w:val="center"/>
            <w:hideMark/>
          </w:tcPr>
          <w:p w14:paraId="34B9C8B2"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0DF5C30D" w14:textId="77777777" w:rsidTr="008C4883">
        <w:trPr>
          <w:trHeight w:val="252"/>
        </w:trPr>
        <w:tc>
          <w:tcPr>
            <w:tcW w:w="3686" w:type="dxa"/>
            <w:gridSpan w:val="3"/>
            <w:tcBorders>
              <w:top w:val="nil"/>
              <w:left w:val="nil"/>
              <w:bottom w:val="nil"/>
              <w:right w:val="nil"/>
            </w:tcBorders>
            <w:shd w:val="clear" w:color="000000" w:fill="FFFFFF"/>
            <w:noWrap/>
            <w:vAlign w:val="center"/>
            <w:hideMark/>
          </w:tcPr>
          <w:p w14:paraId="19B86123"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Property, business disposals and closures (a) (ii)</w:t>
            </w:r>
          </w:p>
        </w:tc>
        <w:tc>
          <w:tcPr>
            <w:tcW w:w="592" w:type="dxa"/>
            <w:gridSpan w:val="2"/>
            <w:tcBorders>
              <w:top w:val="nil"/>
              <w:left w:val="nil"/>
              <w:bottom w:val="nil"/>
              <w:right w:val="nil"/>
            </w:tcBorders>
            <w:shd w:val="clear" w:color="000000" w:fill="FFFFFF"/>
            <w:noWrap/>
            <w:vAlign w:val="center"/>
            <w:hideMark/>
          </w:tcPr>
          <w:p w14:paraId="51733E1A"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(26)</w:t>
            </w:r>
          </w:p>
        </w:tc>
        <w:tc>
          <w:tcPr>
            <w:tcW w:w="958" w:type="dxa"/>
            <w:gridSpan w:val="5"/>
            <w:tcBorders>
              <w:top w:val="nil"/>
              <w:left w:val="nil"/>
              <w:bottom w:val="nil"/>
              <w:right w:val="nil"/>
            </w:tcBorders>
            <w:shd w:val="clear" w:color="000000" w:fill="FFFFFF"/>
            <w:noWrap/>
            <w:vAlign w:val="center"/>
            <w:hideMark/>
          </w:tcPr>
          <w:p w14:paraId="4D2242BC"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758" w:type="dxa"/>
            <w:tcBorders>
              <w:top w:val="nil"/>
              <w:left w:val="nil"/>
              <w:bottom w:val="nil"/>
              <w:right w:val="nil"/>
            </w:tcBorders>
            <w:shd w:val="clear" w:color="000000" w:fill="FFFFFF"/>
            <w:noWrap/>
            <w:vAlign w:val="center"/>
            <w:hideMark/>
          </w:tcPr>
          <w:p w14:paraId="36671797"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(1)</w:t>
            </w:r>
          </w:p>
        </w:tc>
        <w:tc>
          <w:tcPr>
            <w:tcW w:w="936" w:type="dxa"/>
            <w:gridSpan w:val="2"/>
            <w:tcBorders>
              <w:top w:val="nil"/>
              <w:left w:val="nil"/>
              <w:bottom w:val="nil"/>
              <w:right w:val="nil"/>
            </w:tcBorders>
            <w:shd w:val="clear" w:color="000000" w:fill="FFFFFF"/>
            <w:noWrap/>
            <w:vAlign w:val="center"/>
            <w:hideMark/>
          </w:tcPr>
          <w:p w14:paraId="2C00C7E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608" w:type="dxa"/>
            <w:gridSpan w:val="2"/>
            <w:tcBorders>
              <w:top w:val="nil"/>
              <w:left w:val="nil"/>
              <w:bottom w:val="nil"/>
              <w:right w:val="nil"/>
            </w:tcBorders>
            <w:shd w:val="clear" w:color="000000" w:fill="FFFFFF"/>
            <w:noWrap/>
            <w:vAlign w:val="center"/>
            <w:hideMark/>
          </w:tcPr>
          <w:p w14:paraId="3501F722"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34" w:type="dxa"/>
            <w:gridSpan w:val="2"/>
            <w:tcBorders>
              <w:top w:val="nil"/>
              <w:left w:val="nil"/>
              <w:bottom w:val="nil"/>
              <w:right w:val="nil"/>
            </w:tcBorders>
            <w:shd w:val="clear" w:color="000000" w:fill="FFFFFF"/>
            <w:noWrap/>
            <w:vAlign w:val="center"/>
            <w:hideMark/>
          </w:tcPr>
          <w:p w14:paraId="2772A3C0"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(1)</w:t>
            </w:r>
          </w:p>
        </w:tc>
        <w:tc>
          <w:tcPr>
            <w:tcW w:w="750" w:type="dxa"/>
            <w:gridSpan w:val="2"/>
            <w:tcBorders>
              <w:top w:val="nil"/>
              <w:left w:val="nil"/>
              <w:bottom w:val="nil"/>
              <w:right w:val="nil"/>
            </w:tcBorders>
            <w:shd w:val="clear" w:color="000000" w:fill="FFFFFF"/>
            <w:noWrap/>
            <w:vAlign w:val="center"/>
            <w:hideMark/>
          </w:tcPr>
          <w:p w14:paraId="7400D2C4"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00" w:type="dxa"/>
            <w:gridSpan w:val="2"/>
            <w:tcBorders>
              <w:top w:val="nil"/>
              <w:left w:val="nil"/>
              <w:bottom w:val="nil"/>
              <w:right w:val="nil"/>
            </w:tcBorders>
            <w:shd w:val="clear" w:color="000000" w:fill="FFFFFF"/>
            <w:noWrap/>
            <w:vAlign w:val="center"/>
            <w:hideMark/>
          </w:tcPr>
          <w:p w14:paraId="5EA2971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2 </w:t>
            </w:r>
          </w:p>
        </w:tc>
        <w:tc>
          <w:tcPr>
            <w:tcW w:w="675" w:type="dxa"/>
            <w:gridSpan w:val="3"/>
            <w:tcBorders>
              <w:top w:val="nil"/>
              <w:left w:val="single" w:sz="4" w:space="0" w:color="BFBFBF"/>
              <w:bottom w:val="nil"/>
              <w:right w:val="single" w:sz="4" w:space="0" w:color="BFBFBF"/>
            </w:tcBorders>
            <w:shd w:val="clear" w:color="000000" w:fill="FFFFFF"/>
            <w:noWrap/>
            <w:vAlign w:val="center"/>
            <w:hideMark/>
          </w:tcPr>
          <w:p w14:paraId="1E8C6C1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(26)</w:t>
            </w:r>
          </w:p>
        </w:tc>
        <w:tc>
          <w:tcPr>
            <w:tcW w:w="222" w:type="dxa"/>
            <w:vAlign w:val="center"/>
            <w:hideMark/>
          </w:tcPr>
          <w:p w14:paraId="0C1B4A15"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34BFD8D7" w14:textId="77777777" w:rsidTr="008C4883">
        <w:trPr>
          <w:trHeight w:val="252"/>
        </w:trPr>
        <w:tc>
          <w:tcPr>
            <w:tcW w:w="3686" w:type="dxa"/>
            <w:gridSpan w:val="3"/>
            <w:tcBorders>
              <w:top w:val="nil"/>
              <w:left w:val="nil"/>
              <w:bottom w:val="nil"/>
              <w:right w:val="nil"/>
            </w:tcBorders>
            <w:shd w:val="clear" w:color="000000" w:fill="FFFFFF"/>
            <w:noWrap/>
            <w:vAlign w:val="center"/>
            <w:hideMark/>
          </w:tcPr>
          <w:p w14:paraId="28487EC6"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Change in value of investment properties</w:t>
            </w:r>
          </w:p>
        </w:tc>
        <w:tc>
          <w:tcPr>
            <w:tcW w:w="592" w:type="dxa"/>
            <w:gridSpan w:val="2"/>
            <w:tcBorders>
              <w:top w:val="nil"/>
              <w:left w:val="nil"/>
              <w:bottom w:val="nil"/>
              <w:right w:val="nil"/>
            </w:tcBorders>
            <w:shd w:val="clear" w:color="000000" w:fill="FFFFFF"/>
            <w:noWrap/>
            <w:vAlign w:val="center"/>
            <w:hideMark/>
          </w:tcPr>
          <w:p w14:paraId="00343C7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958" w:type="dxa"/>
            <w:gridSpan w:val="5"/>
            <w:tcBorders>
              <w:top w:val="nil"/>
              <w:left w:val="nil"/>
              <w:bottom w:val="nil"/>
              <w:right w:val="nil"/>
            </w:tcBorders>
            <w:shd w:val="clear" w:color="000000" w:fill="FFFFFF"/>
            <w:noWrap/>
            <w:vAlign w:val="center"/>
            <w:hideMark/>
          </w:tcPr>
          <w:p w14:paraId="6F01309E"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758" w:type="dxa"/>
            <w:tcBorders>
              <w:top w:val="nil"/>
              <w:left w:val="nil"/>
              <w:bottom w:val="nil"/>
              <w:right w:val="nil"/>
            </w:tcBorders>
            <w:shd w:val="clear" w:color="000000" w:fill="FFFFFF"/>
            <w:noWrap/>
            <w:vAlign w:val="center"/>
            <w:hideMark/>
          </w:tcPr>
          <w:p w14:paraId="1BB319DC"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936" w:type="dxa"/>
            <w:gridSpan w:val="2"/>
            <w:tcBorders>
              <w:top w:val="nil"/>
              <w:left w:val="nil"/>
              <w:bottom w:val="nil"/>
              <w:right w:val="nil"/>
            </w:tcBorders>
            <w:shd w:val="clear" w:color="000000" w:fill="FFFFFF"/>
            <w:noWrap/>
            <w:vAlign w:val="center"/>
            <w:hideMark/>
          </w:tcPr>
          <w:p w14:paraId="40F3C38B"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608" w:type="dxa"/>
            <w:gridSpan w:val="2"/>
            <w:tcBorders>
              <w:top w:val="nil"/>
              <w:left w:val="nil"/>
              <w:bottom w:val="nil"/>
              <w:right w:val="nil"/>
            </w:tcBorders>
            <w:shd w:val="clear" w:color="000000" w:fill="FFFFFF"/>
            <w:noWrap/>
            <w:vAlign w:val="center"/>
            <w:hideMark/>
          </w:tcPr>
          <w:p w14:paraId="62A1954B"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34" w:type="dxa"/>
            <w:gridSpan w:val="2"/>
            <w:tcBorders>
              <w:top w:val="nil"/>
              <w:left w:val="nil"/>
              <w:bottom w:val="nil"/>
              <w:right w:val="nil"/>
            </w:tcBorders>
            <w:shd w:val="clear" w:color="000000" w:fill="FFFFFF"/>
            <w:noWrap/>
            <w:vAlign w:val="center"/>
            <w:hideMark/>
          </w:tcPr>
          <w:p w14:paraId="6BE94A5E"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750" w:type="dxa"/>
            <w:gridSpan w:val="2"/>
            <w:tcBorders>
              <w:top w:val="nil"/>
              <w:left w:val="nil"/>
              <w:bottom w:val="nil"/>
              <w:right w:val="nil"/>
            </w:tcBorders>
            <w:shd w:val="clear" w:color="000000" w:fill="FFFFFF"/>
            <w:noWrap/>
            <w:vAlign w:val="center"/>
            <w:hideMark/>
          </w:tcPr>
          <w:p w14:paraId="6FD6D61B"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00" w:type="dxa"/>
            <w:gridSpan w:val="2"/>
            <w:tcBorders>
              <w:top w:val="nil"/>
              <w:left w:val="nil"/>
              <w:bottom w:val="nil"/>
              <w:right w:val="nil"/>
            </w:tcBorders>
            <w:shd w:val="clear" w:color="000000" w:fill="FFFFFF"/>
            <w:noWrap/>
            <w:vAlign w:val="center"/>
            <w:hideMark/>
          </w:tcPr>
          <w:p w14:paraId="1FE0C19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675" w:type="dxa"/>
            <w:gridSpan w:val="3"/>
            <w:tcBorders>
              <w:top w:val="nil"/>
              <w:left w:val="single" w:sz="4" w:space="0" w:color="BFBFBF"/>
              <w:bottom w:val="nil"/>
              <w:right w:val="single" w:sz="4" w:space="0" w:color="BFBFBF"/>
            </w:tcBorders>
            <w:shd w:val="clear" w:color="000000" w:fill="FFFFFF"/>
            <w:noWrap/>
            <w:vAlign w:val="center"/>
            <w:hideMark/>
          </w:tcPr>
          <w:p w14:paraId="0C70B553"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222" w:type="dxa"/>
            <w:vAlign w:val="center"/>
            <w:hideMark/>
          </w:tcPr>
          <w:p w14:paraId="5AE8EC58"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3D682369" w14:textId="77777777" w:rsidTr="008C4883">
        <w:trPr>
          <w:trHeight w:val="252"/>
        </w:trPr>
        <w:tc>
          <w:tcPr>
            <w:tcW w:w="2496" w:type="dxa"/>
            <w:tcBorders>
              <w:top w:val="single" w:sz="4" w:space="0" w:color="BFBFBF"/>
              <w:left w:val="nil"/>
              <w:bottom w:val="single" w:sz="4" w:space="0" w:color="BFBFBF"/>
              <w:right w:val="nil"/>
            </w:tcBorders>
            <w:shd w:val="clear" w:color="000000" w:fill="FFFFFF"/>
            <w:noWrap/>
            <w:vAlign w:val="center"/>
            <w:hideMark/>
          </w:tcPr>
          <w:p w14:paraId="3EEE8706"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Operating profit / (loss) (b)</w:t>
            </w:r>
          </w:p>
        </w:tc>
        <w:tc>
          <w:tcPr>
            <w:tcW w:w="272" w:type="dxa"/>
            <w:tcBorders>
              <w:top w:val="single" w:sz="4" w:space="0" w:color="BFBFBF"/>
              <w:left w:val="nil"/>
              <w:bottom w:val="single" w:sz="4" w:space="0" w:color="BFBFBF"/>
              <w:right w:val="nil"/>
            </w:tcBorders>
            <w:shd w:val="clear" w:color="000000" w:fill="FFFFFF"/>
            <w:noWrap/>
            <w:vAlign w:val="center"/>
            <w:hideMark/>
          </w:tcPr>
          <w:p w14:paraId="5FBEBFA1"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single" w:sz="4" w:space="0" w:color="BFBFBF"/>
              <w:left w:val="nil"/>
              <w:bottom w:val="single" w:sz="4" w:space="0" w:color="BFBFBF"/>
              <w:right w:val="nil"/>
            </w:tcBorders>
            <w:shd w:val="clear" w:color="000000" w:fill="FFFFFF"/>
            <w:noWrap/>
            <w:vAlign w:val="center"/>
            <w:hideMark/>
          </w:tcPr>
          <w:p w14:paraId="33CA642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592" w:type="dxa"/>
            <w:gridSpan w:val="2"/>
            <w:tcBorders>
              <w:top w:val="single" w:sz="4" w:space="0" w:color="BFBFBF"/>
              <w:left w:val="nil"/>
              <w:bottom w:val="single" w:sz="4" w:space="0" w:color="BFBFBF"/>
              <w:right w:val="nil"/>
            </w:tcBorders>
            <w:shd w:val="clear" w:color="000000" w:fill="FFFFFF"/>
            <w:noWrap/>
            <w:vAlign w:val="center"/>
            <w:hideMark/>
          </w:tcPr>
          <w:p w14:paraId="7670C56A"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25 </w:t>
            </w:r>
          </w:p>
        </w:tc>
        <w:tc>
          <w:tcPr>
            <w:tcW w:w="958" w:type="dxa"/>
            <w:gridSpan w:val="5"/>
            <w:tcBorders>
              <w:top w:val="single" w:sz="4" w:space="0" w:color="BFBFBF"/>
              <w:left w:val="nil"/>
              <w:bottom w:val="single" w:sz="4" w:space="0" w:color="BFBFBF"/>
              <w:right w:val="nil"/>
            </w:tcBorders>
            <w:shd w:val="clear" w:color="000000" w:fill="FFFFFF"/>
            <w:noWrap/>
            <w:vAlign w:val="center"/>
            <w:hideMark/>
          </w:tcPr>
          <w:p w14:paraId="5F527BE0"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2 </w:t>
            </w:r>
          </w:p>
        </w:tc>
        <w:tc>
          <w:tcPr>
            <w:tcW w:w="758" w:type="dxa"/>
            <w:tcBorders>
              <w:top w:val="single" w:sz="4" w:space="0" w:color="BFBFBF"/>
              <w:left w:val="nil"/>
              <w:bottom w:val="single" w:sz="4" w:space="0" w:color="BFBFBF"/>
              <w:right w:val="nil"/>
            </w:tcBorders>
            <w:shd w:val="clear" w:color="000000" w:fill="FFFFFF"/>
            <w:noWrap/>
            <w:vAlign w:val="center"/>
            <w:hideMark/>
          </w:tcPr>
          <w:p w14:paraId="7A6730B0"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16 </w:t>
            </w:r>
          </w:p>
        </w:tc>
        <w:tc>
          <w:tcPr>
            <w:tcW w:w="936" w:type="dxa"/>
            <w:gridSpan w:val="2"/>
            <w:tcBorders>
              <w:top w:val="single" w:sz="4" w:space="0" w:color="BFBFBF"/>
              <w:left w:val="nil"/>
              <w:bottom w:val="single" w:sz="4" w:space="0" w:color="BFBFBF"/>
              <w:right w:val="nil"/>
            </w:tcBorders>
            <w:shd w:val="clear" w:color="000000" w:fill="FFFFFF"/>
            <w:noWrap/>
            <w:vAlign w:val="center"/>
            <w:hideMark/>
          </w:tcPr>
          <w:p w14:paraId="63C3DADA"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7 </w:t>
            </w:r>
          </w:p>
        </w:tc>
        <w:tc>
          <w:tcPr>
            <w:tcW w:w="608" w:type="dxa"/>
            <w:gridSpan w:val="2"/>
            <w:tcBorders>
              <w:top w:val="single" w:sz="4" w:space="0" w:color="BFBFBF"/>
              <w:left w:val="nil"/>
              <w:bottom w:val="single" w:sz="4" w:space="0" w:color="BFBFBF"/>
              <w:right w:val="nil"/>
            </w:tcBorders>
            <w:shd w:val="clear" w:color="000000" w:fill="FFFFFF"/>
            <w:noWrap/>
            <w:vAlign w:val="center"/>
            <w:hideMark/>
          </w:tcPr>
          <w:p w14:paraId="6BAFD467"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2 </w:t>
            </w:r>
          </w:p>
        </w:tc>
        <w:tc>
          <w:tcPr>
            <w:tcW w:w="1034" w:type="dxa"/>
            <w:gridSpan w:val="2"/>
            <w:tcBorders>
              <w:top w:val="single" w:sz="4" w:space="0" w:color="BFBFBF"/>
              <w:left w:val="nil"/>
              <w:bottom w:val="single" w:sz="4" w:space="0" w:color="BFBFBF"/>
              <w:right w:val="nil"/>
            </w:tcBorders>
            <w:shd w:val="clear" w:color="000000" w:fill="FFFFFF"/>
            <w:noWrap/>
            <w:vAlign w:val="center"/>
            <w:hideMark/>
          </w:tcPr>
          <w:p w14:paraId="5374733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(2)</w:t>
            </w:r>
          </w:p>
        </w:tc>
        <w:tc>
          <w:tcPr>
            <w:tcW w:w="750" w:type="dxa"/>
            <w:gridSpan w:val="2"/>
            <w:tcBorders>
              <w:top w:val="single" w:sz="4" w:space="0" w:color="BFBFBF"/>
              <w:left w:val="nil"/>
              <w:bottom w:val="single" w:sz="4" w:space="0" w:color="BFBFBF"/>
              <w:right w:val="nil"/>
            </w:tcBorders>
            <w:shd w:val="clear" w:color="000000" w:fill="FFFFFF"/>
            <w:noWrap/>
            <w:vAlign w:val="center"/>
            <w:hideMark/>
          </w:tcPr>
          <w:p w14:paraId="35760D3B"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00" w:type="dxa"/>
            <w:gridSpan w:val="2"/>
            <w:tcBorders>
              <w:top w:val="single" w:sz="4" w:space="0" w:color="BFBFBF"/>
              <w:left w:val="nil"/>
              <w:bottom w:val="single" w:sz="4" w:space="0" w:color="BFBFBF"/>
              <w:right w:val="nil"/>
            </w:tcBorders>
            <w:shd w:val="clear" w:color="000000" w:fill="FFFFFF"/>
            <w:noWrap/>
            <w:vAlign w:val="center"/>
            <w:hideMark/>
          </w:tcPr>
          <w:p w14:paraId="0CE66601"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(42)</w:t>
            </w:r>
          </w:p>
        </w:tc>
        <w:tc>
          <w:tcPr>
            <w:tcW w:w="67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DE3F878"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8 </w:t>
            </w:r>
          </w:p>
        </w:tc>
        <w:tc>
          <w:tcPr>
            <w:tcW w:w="222" w:type="dxa"/>
            <w:vAlign w:val="center"/>
            <w:hideMark/>
          </w:tcPr>
          <w:p w14:paraId="2DC01812"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1F9EB2A4" w14:textId="77777777" w:rsidTr="008C4883">
        <w:trPr>
          <w:trHeight w:val="252"/>
        </w:trPr>
        <w:tc>
          <w:tcPr>
            <w:tcW w:w="2768" w:type="dxa"/>
            <w:gridSpan w:val="2"/>
            <w:tcBorders>
              <w:top w:val="nil"/>
              <w:left w:val="nil"/>
              <w:bottom w:val="nil"/>
              <w:right w:val="nil"/>
            </w:tcBorders>
            <w:shd w:val="clear" w:color="000000" w:fill="FFFFFF"/>
            <w:noWrap/>
            <w:vAlign w:val="center"/>
            <w:hideMark/>
          </w:tcPr>
          <w:p w14:paraId="5F2347D0"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Depreciation and amortisation</w:t>
            </w:r>
          </w:p>
        </w:tc>
        <w:tc>
          <w:tcPr>
            <w:tcW w:w="918" w:type="dxa"/>
            <w:tcBorders>
              <w:top w:val="nil"/>
              <w:left w:val="nil"/>
              <w:bottom w:val="nil"/>
              <w:right w:val="nil"/>
            </w:tcBorders>
            <w:shd w:val="clear" w:color="000000" w:fill="FFFFFF"/>
            <w:noWrap/>
            <w:vAlign w:val="center"/>
            <w:hideMark/>
          </w:tcPr>
          <w:p w14:paraId="6786DA24" w14:textId="77777777" w:rsidR="00DE25A2" w:rsidRPr="00DE25A2" w:rsidRDefault="00DE25A2" w:rsidP="00DE25A2">
            <w:pPr>
              <w:spacing w:after="0" w:line="240" w:lineRule="auto"/>
              <w:jc w:val="right"/>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592" w:type="dxa"/>
            <w:gridSpan w:val="2"/>
            <w:tcBorders>
              <w:top w:val="nil"/>
              <w:left w:val="nil"/>
              <w:bottom w:val="nil"/>
              <w:right w:val="nil"/>
            </w:tcBorders>
            <w:shd w:val="clear" w:color="000000" w:fill="FFFFFF"/>
            <w:noWrap/>
            <w:vAlign w:val="center"/>
            <w:hideMark/>
          </w:tcPr>
          <w:p w14:paraId="3B6B8047"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163 </w:t>
            </w:r>
          </w:p>
        </w:tc>
        <w:tc>
          <w:tcPr>
            <w:tcW w:w="958" w:type="dxa"/>
            <w:gridSpan w:val="5"/>
            <w:tcBorders>
              <w:top w:val="nil"/>
              <w:left w:val="nil"/>
              <w:bottom w:val="nil"/>
              <w:right w:val="nil"/>
            </w:tcBorders>
            <w:shd w:val="clear" w:color="000000" w:fill="FFFFFF"/>
            <w:noWrap/>
            <w:vAlign w:val="center"/>
            <w:hideMark/>
          </w:tcPr>
          <w:p w14:paraId="2624FE88"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2 </w:t>
            </w:r>
          </w:p>
        </w:tc>
        <w:tc>
          <w:tcPr>
            <w:tcW w:w="758" w:type="dxa"/>
            <w:tcBorders>
              <w:top w:val="nil"/>
              <w:left w:val="nil"/>
              <w:bottom w:val="nil"/>
              <w:right w:val="nil"/>
            </w:tcBorders>
            <w:shd w:val="clear" w:color="000000" w:fill="FFFFFF"/>
            <w:noWrap/>
            <w:vAlign w:val="center"/>
            <w:hideMark/>
          </w:tcPr>
          <w:p w14:paraId="74457FF8"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14 </w:t>
            </w:r>
          </w:p>
        </w:tc>
        <w:tc>
          <w:tcPr>
            <w:tcW w:w="936" w:type="dxa"/>
            <w:gridSpan w:val="2"/>
            <w:tcBorders>
              <w:top w:val="nil"/>
              <w:left w:val="nil"/>
              <w:bottom w:val="nil"/>
              <w:right w:val="nil"/>
            </w:tcBorders>
            <w:shd w:val="clear" w:color="000000" w:fill="FFFFFF"/>
            <w:noWrap/>
            <w:vAlign w:val="center"/>
            <w:hideMark/>
          </w:tcPr>
          <w:p w14:paraId="294B41C2"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608" w:type="dxa"/>
            <w:gridSpan w:val="2"/>
            <w:tcBorders>
              <w:top w:val="nil"/>
              <w:left w:val="nil"/>
              <w:bottom w:val="nil"/>
              <w:right w:val="nil"/>
            </w:tcBorders>
            <w:shd w:val="clear" w:color="000000" w:fill="FFFFFF"/>
            <w:noWrap/>
            <w:vAlign w:val="center"/>
            <w:hideMark/>
          </w:tcPr>
          <w:p w14:paraId="4726824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34" w:type="dxa"/>
            <w:gridSpan w:val="2"/>
            <w:tcBorders>
              <w:top w:val="nil"/>
              <w:left w:val="nil"/>
              <w:bottom w:val="nil"/>
              <w:right w:val="nil"/>
            </w:tcBorders>
            <w:shd w:val="clear" w:color="000000" w:fill="FFFFFF"/>
            <w:noWrap/>
            <w:vAlign w:val="center"/>
            <w:hideMark/>
          </w:tcPr>
          <w:p w14:paraId="2B608641"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750" w:type="dxa"/>
            <w:gridSpan w:val="2"/>
            <w:tcBorders>
              <w:top w:val="nil"/>
              <w:left w:val="nil"/>
              <w:bottom w:val="nil"/>
              <w:right w:val="nil"/>
            </w:tcBorders>
            <w:shd w:val="clear" w:color="000000" w:fill="FFFFFF"/>
            <w:noWrap/>
            <w:vAlign w:val="center"/>
            <w:hideMark/>
          </w:tcPr>
          <w:p w14:paraId="310B48C0"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00" w:type="dxa"/>
            <w:gridSpan w:val="2"/>
            <w:tcBorders>
              <w:top w:val="nil"/>
              <w:left w:val="nil"/>
              <w:bottom w:val="nil"/>
              <w:right w:val="nil"/>
            </w:tcBorders>
            <w:shd w:val="clear" w:color="000000" w:fill="FFFFFF"/>
            <w:noWrap/>
            <w:vAlign w:val="center"/>
            <w:hideMark/>
          </w:tcPr>
          <w:p w14:paraId="18F2BF20"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18 </w:t>
            </w:r>
          </w:p>
        </w:tc>
        <w:tc>
          <w:tcPr>
            <w:tcW w:w="675" w:type="dxa"/>
            <w:gridSpan w:val="3"/>
            <w:tcBorders>
              <w:top w:val="nil"/>
              <w:left w:val="single" w:sz="4" w:space="0" w:color="BFBFBF"/>
              <w:bottom w:val="single" w:sz="4" w:space="0" w:color="BFBFBF"/>
              <w:right w:val="single" w:sz="4" w:space="0" w:color="BFBFBF"/>
            </w:tcBorders>
            <w:shd w:val="clear" w:color="000000" w:fill="FFFFFF"/>
            <w:noWrap/>
            <w:vAlign w:val="center"/>
            <w:hideMark/>
          </w:tcPr>
          <w:p w14:paraId="339AEC24"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197 </w:t>
            </w:r>
          </w:p>
        </w:tc>
        <w:tc>
          <w:tcPr>
            <w:tcW w:w="222" w:type="dxa"/>
            <w:vAlign w:val="center"/>
            <w:hideMark/>
          </w:tcPr>
          <w:p w14:paraId="5961FFC9"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4A508262" w14:textId="77777777" w:rsidTr="008C4883">
        <w:trPr>
          <w:trHeight w:val="252"/>
        </w:trPr>
        <w:tc>
          <w:tcPr>
            <w:tcW w:w="2496" w:type="dxa"/>
            <w:tcBorders>
              <w:top w:val="single" w:sz="4" w:space="0" w:color="BFBFBF"/>
              <w:left w:val="nil"/>
              <w:bottom w:val="single" w:sz="4" w:space="0" w:color="BFBFBF"/>
              <w:right w:val="nil"/>
            </w:tcBorders>
            <w:shd w:val="clear" w:color="000000" w:fill="FFFFFF"/>
            <w:noWrap/>
            <w:vAlign w:val="center"/>
            <w:hideMark/>
          </w:tcPr>
          <w:p w14:paraId="2637F148"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EBITDA (e)</w:t>
            </w:r>
          </w:p>
        </w:tc>
        <w:tc>
          <w:tcPr>
            <w:tcW w:w="272" w:type="dxa"/>
            <w:tcBorders>
              <w:top w:val="single" w:sz="4" w:space="0" w:color="BFBFBF"/>
              <w:left w:val="nil"/>
              <w:bottom w:val="single" w:sz="4" w:space="0" w:color="BFBFBF"/>
              <w:right w:val="nil"/>
            </w:tcBorders>
            <w:shd w:val="clear" w:color="000000" w:fill="FFFFFF"/>
            <w:noWrap/>
            <w:vAlign w:val="center"/>
            <w:hideMark/>
          </w:tcPr>
          <w:p w14:paraId="4B30175F"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single" w:sz="4" w:space="0" w:color="BFBFBF"/>
              <w:left w:val="nil"/>
              <w:bottom w:val="single" w:sz="4" w:space="0" w:color="BFBFBF"/>
              <w:right w:val="nil"/>
            </w:tcBorders>
            <w:shd w:val="clear" w:color="000000" w:fill="FFFFFF"/>
            <w:noWrap/>
            <w:vAlign w:val="center"/>
            <w:hideMark/>
          </w:tcPr>
          <w:p w14:paraId="0EFD648B"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592" w:type="dxa"/>
            <w:gridSpan w:val="2"/>
            <w:tcBorders>
              <w:top w:val="single" w:sz="4" w:space="0" w:color="BFBFBF"/>
              <w:left w:val="nil"/>
              <w:bottom w:val="single" w:sz="4" w:space="0" w:color="BFBFBF"/>
              <w:right w:val="nil"/>
            </w:tcBorders>
            <w:shd w:val="clear" w:color="000000" w:fill="FFFFFF"/>
            <w:noWrap/>
            <w:vAlign w:val="center"/>
            <w:hideMark/>
          </w:tcPr>
          <w:p w14:paraId="2A06D17C"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188 </w:t>
            </w:r>
          </w:p>
        </w:tc>
        <w:tc>
          <w:tcPr>
            <w:tcW w:w="958" w:type="dxa"/>
            <w:gridSpan w:val="5"/>
            <w:tcBorders>
              <w:top w:val="single" w:sz="4" w:space="0" w:color="BFBFBF"/>
              <w:left w:val="nil"/>
              <w:bottom w:val="single" w:sz="4" w:space="0" w:color="BFBFBF"/>
              <w:right w:val="nil"/>
            </w:tcBorders>
            <w:shd w:val="clear" w:color="000000" w:fill="FFFFFF"/>
            <w:noWrap/>
            <w:vAlign w:val="center"/>
            <w:hideMark/>
          </w:tcPr>
          <w:p w14:paraId="629F433C"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4 </w:t>
            </w:r>
          </w:p>
        </w:tc>
        <w:tc>
          <w:tcPr>
            <w:tcW w:w="758" w:type="dxa"/>
            <w:tcBorders>
              <w:top w:val="single" w:sz="4" w:space="0" w:color="BFBFBF"/>
              <w:left w:val="nil"/>
              <w:bottom w:val="single" w:sz="4" w:space="0" w:color="BFBFBF"/>
              <w:right w:val="nil"/>
            </w:tcBorders>
            <w:shd w:val="clear" w:color="000000" w:fill="FFFFFF"/>
            <w:noWrap/>
            <w:vAlign w:val="center"/>
            <w:hideMark/>
          </w:tcPr>
          <w:p w14:paraId="12E32FB0"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30 </w:t>
            </w:r>
          </w:p>
        </w:tc>
        <w:tc>
          <w:tcPr>
            <w:tcW w:w="936" w:type="dxa"/>
            <w:gridSpan w:val="2"/>
            <w:tcBorders>
              <w:top w:val="single" w:sz="4" w:space="0" w:color="BFBFBF"/>
              <w:left w:val="nil"/>
              <w:bottom w:val="single" w:sz="4" w:space="0" w:color="BFBFBF"/>
              <w:right w:val="nil"/>
            </w:tcBorders>
            <w:shd w:val="clear" w:color="000000" w:fill="FFFFFF"/>
            <w:noWrap/>
            <w:vAlign w:val="center"/>
            <w:hideMark/>
          </w:tcPr>
          <w:p w14:paraId="30A93314"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7 </w:t>
            </w:r>
          </w:p>
        </w:tc>
        <w:tc>
          <w:tcPr>
            <w:tcW w:w="608" w:type="dxa"/>
            <w:gridSpan w:val="2"/>
            <w:tcBorders>
              <w:top w:val="single" w:sz="4" w:space="0" w:color="BFBFBF"/>
              <w:left w:val="nil"/>
              <w:bottom w:val="single" w:sz="4" w:space="0" w:color="BFBFBF"/>
              <w:right w:val="nil"/>
            </w:tcBorders>
            <w:shd w:val="clear" w:color="000000" w:fill="FFFFFF"/>
            <w:noWrap/>
            <w:vAlign w:val="center"/>
            <w:hideMark/>
          </w:tcPr>
          <w:p w14:paraId="66194C52"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2 </w:t>
            </w:r>
          </w:p>
        </w:tc>
        <w:tc>
          <w:tcPr>
            <w:tcW w:w="1034" w:type="dxa"/>
            <w:gridSpan w:val="2"/>
            <w:tcBorders>
              <w:top w:val="single" w:sz="4" w:space="0" w:color="BFBFBF"/>
              <w:left w:val="nil"/>
              <w:bottom w:val="single" w:sz="4" w:space="0" w:color="BFBFBF"/>
              <w:right w:val="nil"/>
            </w:tcBorders>
            <w:shd w:val="clear" w:color="000000" w:fill="FFFFFF"/>
            <w:noWrap/>
            <w:vAlign w:val="center"/>
            <w:hideMark/>
          </w:tcPr>
          <w:p w14:paraId="7391DF9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(2)</w:t>
            </w:r>
          </w:p>
        </w:tc>
        <w:tc>
          <w:tcPr>
            <w:tcW w:w="750" w:type="dxa"/>
            <w:gridSpan w:val="2"/>
            <w:tcBorders>
              <w:top w:val="single" w:sz="4" w:space="0" w:color="BFBFBF"/>
              <w:left w:val="nil"/>
              <w:bottom w:val="single" w:sz="4" w:space="0" w:color="BFBFBF"/>
              <w:right w:val="nil"/>
            </w:tcBorders>
            <w:shd w:val="clear" w:color="000000" w:fill="FFFFFF"/>
            <w:noWrap/>
            <w:vAlign w:val="center"/>
            <w:hideMark/>
          </w:tcPr>
          <w:p w14:paraId="3E3CBDF0"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00" w:type="dxa"/>
            <w:gridSpan w:val="2"/>
            <w:tcBorders>
              <w:top w:val="single" w:sz="4" w:space="0" w:color="BFBFBF"/>
              <w:left w:val="nil"/>
              <w:bottom w:val="single" w:sz="4" w:space="0" w:color="BFBFBF"/>
              <w:right w:val="nil"/>
            </w:tcBorders>
            <w:shd w:val="clear" w:color="000000" w:fill="FFFFFF"/>
            <w:noWrap/>
            <w:vAlign w:val="center"/>
            <w:hideMark/>
          </w:tcPr>
          <w:p w14:paraId="3B4F7EAC"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(24)</w:t>
            </w:r>
          </w:p>
        </w:tc>
        <w:tc>
          <w:tcPr>
            <w:tcW w:w="675" w:type="dxa"/>
            <w:gridSpan w:val="3"/>
            <w:tcBorders>
              <w:top w:val="nil"/>
              <w:left w:val="single" w:sz="4" w:space="0" w:color="BFBFBF"/>
              <w:bottom w:val="single" w:sz="4" w:space="0" w:color="BFBFBF"/>
              <w:right w:val="single" w:sz="4" w:space="0" w:color="BFBFBF"/>
            </w:tcBorders>
            <w:shd w:val="clear" w:color="000000" w:fill="FFFFFF"/>
            <w:noWrap/>
            <w:vAlign w:val="center"/>
            <w:hideMark/>
          </w:tcPr>
          <w:p w14:paraId="73BB6832"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205 </w:t>
            </w:r>
          </w:p>
        </w:tc>
        <w:tc>
          <w:tcPr>
            <w:tcW w:w="222" w:type="dxa"/>
            <w:vAlign w:val="center"/>
            <w:hideMark/>
          </w:tcPr>
          <w:p w14:paraId="77992C97"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70394071" w14:textId="77777777" w:rsidTr="008C4883">
        <w:trPr>
          <w:trHeight w:val="252"/>
        </w:trPr>
        <w:tc>
          <w:tcPr>
            <w:tcW w:w="2496" w:type="dxa"/>
            <w:tcBorders>
              <w:top w:val="nil"/>
              <w:left w:val="nil"/>
              <w:bottom w:val="single" w:sz="4" w:space="0" w:color="BFBFBF"/>
              <w:right w:val="nil"/>
            </w:tcBorders>
            <w:shd w:val="clear" w:color="000000" w:fill="FFFFFF"/>
            <w:noWrap/>
            <w:vAlign w:val="center"/>
            <w:hideMark/>
          </w:tcPr>
          <w:p w14:paraId="0DA6C83D"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Underlying EBITDA (e)</w:t>
            </w:r>
          </w:p>
        </w:tc>
        <w:tc>
          <w:tcPr>
            <w:tcW w:w="272" w:type="dxa"/>
            <w:tcBorders>
              <w:top w:val="nil"/>
              <w:left w:val="nil"/>
              <w:bottom w:val="single" w:sz="4" w:space="0" w:color="BFBFBF"/>
              <w:right w:val="nil"/>
            </w:tcBorders>
            <w:shd w:val="clear" w:color="000000" w:fill="FFFFFF"/>
            <w:noWrap/>
            <w:vAlign w:val="center"/>
            <w:hideMark/>
          </w:tcPr>
          <w:p w14:paraId="525C8F72"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nil"/>
              <w:left w:val="nil"/>
              <w:bottom w:val="single" w:sz="4" w:space="0" w:color="BFBFBF"/>
              <w:right w:val="nil"/>
            </w:tcBorders>
            <w:shd w:val="clear" w:color="000000" w:fill="FFFFFF"/>
            <w:noWrap/>
            <w:vAlign w:val="center"/>
            <w:hideMark/>
          </w:tcPr>
          <w:p w14:paraId="43F7E69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592" w:type="dxa"/>
            <w:gridSpan w:val="2"/>
            <w:tcBorders>
              <w:top w:val="nil"/>
              <w:left w:val="nil"/>
              <w:bottom w:val="single" w:sz="4" w:space="0" w:color="BFBFBF"/>
              <w:right w:val="nil"/>
            </w:tcBorders>
            <w:shd w:val="clear" w:color="000000" w:fill="FFFFFF"/>
            <w:noWrap/>
            <w:vAlign w:val="center"/>
            <w:hideMark/>
          </w:tcPr>
          <w:p w14:paraId="185661C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231 </w:t>
            </w:r>
          </w:p>
        </w:tc>
        <w:tc>
          <w:tcPr>
            <w:tcW w:w="958" w:type="dxa"/>
            <w:gridSpan w:val="5"/>
            <w:tcBorders>
              <w:top w:val="nil"/>
              <w:left w:val="nil"/>
              <w:bottom w:val="single" w:sz="4" w:space="0" w:color="BFBFBF"/>
              <w:right w:val="nil"/>
            </w:tcBorders>
            <w:shd w:val="clear" w:color="000000" w:fill="FFFFFF"/>
            <w:noWrap/>
            <w:vAlign w:val="center"/>
            <w:hideMark/>
          </w:tcPr>
          <w:p w14:paraId="44F22C91"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4 </w:t>
            </w:r>
          </w:p>
        </w:tc>
        <w:tc>
          <w:tcPr>
            <w:tcW w:w="758" w:type="dxa"/>
            <w:tcBorders>
              <w:top w:val="nil"/>
              <w:left w:val="nil"/>
              <w:bottom w:val="single" w:sz="4" w:space="0" w:color="BFBFBF"/>
              <w:right w:val="nil"/>
            </w:tcBorders>
            <w:shd w:val="clear" w:color="000000" w:fill="FFFFFF"/>
            <w:noWrap/>
            <w:vAlign w:val="center"/>
            <w:hideMark/>
          </w:tcPr>
          <w:p w14:paraId="19A49AA2"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31 </w:t>
            </w:r>
          </w:p>
        </w:tc>
        <w:tc>
          <w:tcPr>
            <w:tcW w:w="936" w:type="dxa"/>
            <w:gridSpan w:val="2"/>
            <w:tcBorders>
              <w:top w:val="nil"/>
              <w:left w:val="nil"/>
              <w:bottom w:val="single" w:sz="4" w:space="0" w:color="BFBFBF"/>
              <w:right w:val="nil"/>
            </w:tcBorders>
            <w:shd w:val="clear" w:color="000000" w:fill="FFFFFF"/>
            <w:noWrap/>
            <w:vAlign w:val="center"/>
            <w:hideMark/>
          </w:tcPr>
          <w:p w14:paraId="5ACCF82A"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7 </w:t>
            </w:r>
          </w:p>
        </w:tc>
        <w:tc>
          <w:tcPr>
            <w:tcW w:w="608" w:type="dxa"/>
            <w:gridSpan w:val="2"/>
            <w:tcBorders>
              <w:top w:val="nil"/>
              <w:left w:val="nil"/>
              <w:bottom w:val="single" w:sz="4" w:space="0" w:color="BFBFBF"/>
              <w:right w:val="nil"/>
            </w:tcBorders>
            <w:shd w:val="clear" w:color="000000" w:fill="FFFFFF"/>
            <w:noWrap/>
            <w:vAlign w:val="center"/>
            <w:hideMark/>
          </w:tcPr>
          <w:p w14:paraId="04594FC2"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2 </w:t>
            </w:r>
          </w:p>
        </w:tc>
        <w:tc>
          <w:tcPr>
            <w:tcW w:w="1034" w:type="dxa"/>
            <w:gridSpan w:val="2"/>
            <w:tcBorders>
              <w:top w:val="nil"/>
              <w:left w:val="nil"/>
              <w:bottom w:val="single" w:sz="4" w:space="0" w:color="BFBFBF"/>
              <w:right w:val="nil"/>
            </w:tcBorders>
            <w:shd w:val="clear" w:color="000000" w:fill="FFFFFF"/>
            <w:noWrap/>
            <w:vAlign w:val="center"/>
            <w:hideMark/>
          </w:tcPr>
          <w:p w14:paraId="7155798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(1)</w:t>
            </w:r>
          </w:p>
        </w:tc>
        <w:tc>
          <w:tcPr>
            <w:tcW w:w="750" w:type="dxa"/>
            <w:gridSpan w:val="2"/>
            <w:tcBorders>
              <w:top w:val="nil"/>
              <w:left w:val="nil"/>
              <w:bottom w:val="single" w:sz="4" w:space="0" w:color="BFBFBF"/>
              <w:right w:val="nil"/>
            </w:tcBorders>
            <w:shd w:val="clear" w:color="000000" w:fill="FFFFFF"/>
            <w:noWrap/>
            <w:vAlign w:val="center"/>
            <w:hideMark/>
          </w:tcPr>
          <w:p w14:paraId="7724F94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00" w:type="dxa"/>
            <w:gridSpan w:val="2"/>
            <w:tcBorders>
              <w:top w:val="nil"/>
              <w:left w:val="nil"/>
              <w:bottom w:val="single" w:sz="4" w:space="0" w:color="BFBFBF"/>
              <w:right w:val="nil"/>
            </w:tcBorders>
            <w:shd w:val="clear" w:color="000000" w:fill="FFFFFF"/>
            <w:noWrap/>
            <w:vAlign w:val="center"/>
            <w:hideMark/>
          </w:tcPr>
          <w:p w14:paraId="607BF7BA"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(26)</w:t>
            </w:r>
          </w:p>
        </w:tc>
        <w:tc>
          <w:tcPr>
            <w:tcW w:w="675" w:type="dxa"/>
            <w:gridSpan w:val="3"/>
            <w:tcBorders>
              <w:top w:val="nil"/>
              <w:left w:val="single" w:sz="4" w:space="0" w:color="BFBFBF"/>
              <w:bottom w:val="single" w:sz="4" w:space="0" w:color="BFBFBF"/>
              <w:right w:val="single" w:sz="4" w:space="0" w:color="BFBFBF"/>
            </w:tcBorders>
            <w:shd w:val="clear" w:color="000000" w:fill="FFFFFF"/>
            <w:noWrap/>
            <w:vAlign w:val="center"/>
            <w:hideMark/>
          </w:tcPr>
          <w:p w14:paraId="0EDB79C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248 </w:t>
            </w:r>
          </w:p>
        </w:tc>
        <w:tc>
          <w:tcPr>
            <w:tcW w:w="222" w:type="dxa"/>
            <w:vAlign w:val="center"/>
            <w:hideMark/>
          </w:tcPr>
          <w:p w14:paraId="14DCA882"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2F27E880" w14:textId="77777777" w:rsidTr="008C4883">
        <w:trPr>
          <w:trHeight w:val="255"/>
        </w:trPr>
        <w:tc>
          <w:tcPr>
            <w:tcW w:w="2496" w:type="dxa"/>
            <w:tcBorders>
              <w:top w:val="nil"/>
              <w:left w:val="nil"/>
              <w:bottom w:val="nil"/>
              <w:right w:val="nil"/>
            </w:tcBorders>
            <w:shd w:val="clear" w:color="000000" w:fill="FFFFFF"/>
            <w:noWrap/>
            <w:vAlign w:val="bottom"/>
            <w:hideMark/>
          </w:tcPr>
          <w:p w14:paraId="5F6A1840"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272" w:type="dxa"/>
            <w:tcBorders>
              <w:top w:val="nil"/>
              <w:left w:val="nil"/>
              <w:bottom w:val="nil"/>
              <w:right w:val="nil"/>
            </w:tcBorders>
            <w:shd w:val="clear" w:color="000000" w:fill="FFFFFF"/>
            <w:noWrap/>
            <w:vAlign w:val="bottom"/>
            <w:hideMark/>
          </w:tcPr>
          <w:p w14:paraId="043129FE" w14:textId="77777777" w:rsidR="00DE25A2" w:rsidRPr="00DE25A2" w:rsidRDefault="00DE25A2" w:rsidP="00DE25A2">
            <w:pPr>
              <w:spacing w:after="0" w:line="240" w:lineRule="auto"/>
              <w:jc w:val="right"/>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918" w:type="dxa"/>
            <w:tcBorders>
              <w:top w:val="nil"/>
              <w:left w:val="nil"/>
              <w:bottom w:val="nil"/>
              <w:right w:val="nil"/>
            </w:tcBorders>
            <w:shd w:val="clear" w:color="000000" w:fill="FFFFFF"/>
            <w:noWrap/>
            <w:vAlign w:val="bottom"/>
            <w:hideMark/>
          </w:tcPr>
          <w:p w14:paraId="6D24A779" w14:textId="77777777" w:rsidR="00DE25A2" w:rsidRPr="00DE25A2" w:rsidRDefault="00DE25A2" w:rsidP="00DE25A2">
            <w:pPr>
              <w:spacing w:after="0" w:line="240" w:lineRule="auto"/>
              <w:jc w:val="right"/>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592" w:type="dxa"/>
            <w:gridSpan w:val="2"/>
            <w:tcBorders>
              <w:top w:val="nil"/>
              <w:left w:val="nil"/>
              <w:bottom w:val="nil"/>
              <w:right w:val="nil"/>
            </w:tcBorders>
            <w:shd w:val="clear" w:color="000000" w:fill="FFFFFF"/>
            <w:noWrap/>
            <w:vAlign w:val="bottom"/>
            <w:hideMark/>
          </w:tcPr>
          <w:p w14:paraId="3239C19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1716" w:type="dxa"/>
            <w:gridSpan w:val="6"/>
            <w:tcBorders>
              <w:top w:val="nil"/>
              <w:left w:val="nil"/>
              <w:bottom w:val="nil"/>
              <w:right w:val="nil"/>
            </w:tcBorders>
            <w:shd w:val="clear" w:color="000000" w:fill="FFFFFF"/>
            <w:noWrap/>
            <w:vAlign w:val="bottom"/>
            <w:hideMark/>
          </w:tcPr>
          <w:p w14:paraId="6CC5C38E"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936" w:type="dxa"/>
            <w:gridSpan w:val="2"/>
            <w:tcBorders>
              <w:top w:val="nil"/>
              <w:left w:val="nil"/>
              <w:bottom w:val="nil"/>
              <w:right w:val="nil"/>
            </w:tcBorders>
            <w:shd w:val="clear" w:color="000000" w:fill="FFFFFF"/>
            <w:noWrap/>
            <w:vAlign w:val="bottom"/>
            <w:hideMark/>
          </w:tcPr>
          <w:p w14:paraId="79EC13C5"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608" w:type="dxa"/>
            <w:gridSpan w:val="2"/>
            <w:tcBorders>
              <w:top w:val="nil"/>
              <w:left w:val="nil"/>
              <w:bottom w:val="nil"/>
              <w:right w:val="nil"/>
            </w:tcBorders>
            <w:shd w:val="clear" w:color="000000" w:fill="FFFFFF"/>
            <w:noWrap/>
            <w:vAlign w:val="bottom"/>
            <w:hideMark/>
          </w:tcPr>
          <w:p w14:paraId="70BF7010"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1034" w:type="dxa"/>
            <w:gridSpan w:val="2"/>
            <w:tcBorders>
              <w:top w:val="nil"/>
              <w:left w:val="nil"/>
              <w:bottom w:val="nil"/>
              <w:right w:val="nil"/>
            </w:tcBorders>
            <w:shd w:val="clear" w:color="000000" w:fill="FFFFFF"/>
            <w:noWrap/>
            <w:vAlign w:val="bottom"/>
            <w:hideMark/>
          </w:tcPr>
          <w:p w14:paraId="7B3B0D9F"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750" w:type="dxa"/>
            <w:gridSpan w:val="2"/>
            <w:tcBorders>
              <w:top w:val="nil"/>
              <w:left w:val="nil"/>
              <w:bottom w:val="nil"/>
              <w:right w:val="nil"/>
            </w:tcBorders>
            <w:shd w:val="clear" w:color="000000" w:fill="FFFFFF"/>
            <w:noWrap/>
            <w:vAlign w:val="bottom"/>
            <w:hideMark/>
          </w:tcPr>
          <w:p w14:paraId="238677B0"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1000" w:type="dxa"/>
            <w:gridSpan w:val="2"/>
            <w:tcBorders>
              <w:top w:val="nil"/>
              <w:left w:val="nil"/>
              <w:bottom w:val="nil"/>
              <w:right w:val="nil"/>
            </w:tcBorders>
            <w:shd w:val="clear" w:color="000000" w:fill="FFFFFF"/>
            <w:noWrap/>
            <w:vAlign w:val="bottom"/>
            <w:hideMark/>
          </w:tcPr>
          <w:p w14:paraId="78AA5634"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675" w:type="dxa"/>
            <w:gridSpan w:val="3"/>
            <w:tcBorders>
              <w:top w:val="nil"/>
              <w:left w:val="nil"/>
              <w:bottom w:val="nil"/>
              <w:right w:val="nil"/>
            </w:tcBorders>
            <w:shd w:val="clear" w:color="000000" w:fill="FFFFFF"/>
            <w:noWrap/>
            <w:vAlign w:val="bottom"/>
            <w:hideMark/>
          </w:tcPr>
          <w:p w14:paraId="39B9FCBB"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222" w:type="dxa"/>
            <w:vAlign w:val="center"/>
            <w:hideMark/>
          </w:tcPr>
          <w:p w14:paraId="2F2164E1"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52598DBE" w14:textId="77777777" w:rsidTr="008C4883">
        <w:trPr>
          <w:trHeight w:val="68"/>
        </w:trPr>
        <w:tc>
          <w:tcPr>
            <w:tcW w:w="2496" w:type="dxa"/>
            <w:tcBorders>
              <w:top w:val="nil"/>
              <w:left w:val="nil"/>
              <w:bottom w:val="single" w:sz="4" w:space="0" w:color="BFBFBF"/>
              <w:right w:val="nil"/>
            </w:tcBorders>
            <w:shd w:val="clear" w:color="000000" w:fill="FFFFFF"/>
            <w:noWrap/>
            <w:vAlign w:val="bottom"/>
            <w:hideMark/>
          </w:tcPr>
          <w:p w14:paraId="290F4B65" w14:textId="77777777" w:rsidR="00DE25A2" w:rsidRPr="00DE25A2" w:rsidRDefault="00DE25A2" w:rsidP="00DE25A2">
            <w:pPr>
              <w:spacing w:after="0" w:line="240" w:lineRule="auto"/>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272" w:type="dxa"/>
            <w:tcBorders>
              <w:top w:val="nil"/>
              <w:left w:val="nil"/>
              <w:bottom w:val="single" w:sz="4" w:space="0" w:color="BFBFBF"/>
              <w:right w:val="nil"/>
            </w:tcBorders>
            <w:shd w:val="clear" w:color="000000" w:fill="FFFFFF"/>
            <w:noWrap/>
            <w:vAlign w:val="bottom"/>
            <w:hideMark/>
          </w:tcPr>
          <w:p w14:paraId="4ACC33D0" w14:textId="77777777" w:rsidR="00DE25A2" w:rsidRPr="00DE25A2" w:rsidRDefault="00DE25A2" w:rsidP="00DE25A2">
            <w:pPr>
              <w:spacing w:after="0" w:line="240" w:lineRule="auto"/>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918" w:type="dxa"/>
            <w:tcBorders>
              <w:top w:val="nil"/>
              <w:left w:val="nil"/>
              <w:bottom w:val="single" w:sz="4" w:space="0" w:color="BFBFBF"/>
              <w:right w:val="nil"/>
            </w:tcBorders>
            <w:shd w:val="clear" w:color="000000" w:fill="FFFFFF"/>
            <w:noWrap/>
            <w:vAlign w:val="bottom"/>
            <w:hideMark/>
          </w:tcPr>
          <w:p w14:paraId="16EC8F67" w14:textId="77777777" w:rsidR="00DE25A2" w:rsidRPr="00DE25A2" w:rsidRDefault="00DE25A2" w:rsidP="00DE25A2">
            <w:pPr>
              <w:spacing w:after="0" w:line="240" w:lineRule="auto"/>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592" w:type="dxa"/>
            <w:gridSpan w:val="2"/>
            <w:tcBorders>
              <w:top w:val="nil"/>
              <w:left w:val="nil"/>
              <w:bottom w:val="single" w:sz="4" w:space="0" w:color="BFBFBF"/>
              <w:right w:val="nil"/>
            </w:tcBorders>
            <w:shd w:val="clear" w:color="000000" w:fill="FFFFFF"/>
            <w:noWrap/>
            <w:vAlign w:val="bottom"/>
            <w:hideMark/>
          </w:tcPr>
          <w:p w14:paraId="0C4617EC" w14:textId="77777777" w:rsidR="00DE25A2" w:rsidRPr="00DE25A2" w:rsidRDefault="00DE25A2" w:rsidP="00DE25A2">
            <w:pPr>
              <w:spacing w:after="0" w:line="240" w:lineRule="auto"/>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958" w:type="dxa"/>
            <w:gridSpan w:val="5"/>
            <w:tcBorders>
              <w:top w:val="nil"/>
              <w:left w:val="nil"/>
              <w:bottom w:val="single" w:sz="4" w:space="0" w:color="BFBFBF"/>
              <w:right w:val="nil"/>
            </w:tcBorders>
            <w:shd w:val="clear" w:color="000000" w:fill="FFFFFF"/>
            <w:noWrap/>
            <w:vAlign w:val="bottom"/>
            <w:hideMark/>
          </w:tcPr>
          <w:p w14:paraId="7810605E" w14:textId="77777777" w:rsidR="00DE25A2" w:rsidRPr="00DE25A2" w:rsidRDefault="00DE25A2" w:rsidP="00DE25A2">
            <w:pPr>
              <w:spacing w:after="0" w:line="240" w:lineRule="auto"/>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758" w:type="dxa"/>
            <w:tcBorders>
              <w:top w:val="nil"/>
              <w:left w:val="nil"/>
              <w:bottom w:val="single" w:sz="4" w:space="0" w:color="BFBFBF"/>
              <w:right w:val="nil"/>
            </w:tcBorders>
            <w:shd w:val="clear" w:color="000000" w:fill="FFFFFF"/>
            <w:noWrap/>
            <w:vAlign w:val="bottom"/>
            <w:hideMark/>
          </w:tcPr>
          <w:p w14:paraId="274DF9B9" w14:textId="77777777" w:rsidR="00DE25A2" w:rsidRPr="00DE25A2" w:rsidRDefault="00DE25A2" w:rsidP="00DE25A2">
            <w:pPr>
              <w:spacing w:after="0" w:line="240" w:lineRule="auto"/>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936" w:type="dxa"/>
            <w:gridSpan w:val="2"/>
            <w:tcBorders>
              <w:top w:val="nil"/>
              <w:left w:val="nil"/>
              <w:bottom w:val="single" w:sz="4" w:space="0" w:color="BFBFBF"/>
              <w:right w:val="nil"/>
            </w:tcBorders>
            <w:shd w:val="clear" w:color="000000" w:fill="FFFFFF"/>
            <w:noWrap/>
            <w:vAlign w:val="bottom"/>
            <w:hideMark/>
          </w:tcPr>
          <w:p w14:paraId="7572068B" w14:textId="77777777" w:rsidR="00DE25A2" w:rsidRPr="00DE25A2" w:rsidRDefault="00DE25A2" w:rsidP="00DE25A2">
            <w:pPr>
              <w:spacing w:after="0" w:line="240" w:lineRule="auto"/>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608" w:type="dxa"/>
            <w:gridSpan w:val="2"/>
            <w:tcBorders>
              <w:top w:val="nil"/>
              <w:left w:val="nil"/>
              <w:bottom w:val="single" w:sz="4" w:space="0" w:color="BFBFBF"/>
              <w:right w:val="nil"/>
            </w:tcBorders>
            <w:shd w:val="clear" w:color="000000" w:fill="FFFFFF"/>
            <w:noWrap/>
            <w:vAlign w:val="bottom"/>
            <w:hideMark/>
          </w:tcPr>
          <w:p w14:paraId="3272089E" w14:textId="77777777" w:rsidR="00DE25A2" w:rsidRPr="00DE25A2" w:rsidRDefault="00DE25A2" w:rsidP="00DE25A2">
            <w:pPr>
              <w:spacing w:after="0" w:line="240" w:lineRule="auto"/>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1034" w:type="dxa"/>
            <w:gridSpan w:val="2"/>
            <w:tcBorders>
              <w:top w:val="nil"/>
              <w:left w:val="nil"/>
              <w:bottom w:val="single" w:sz="4" w:space="0" w:color="BFBFBF"/>
              <w:right w:val="nil"/>
            </w:tcBorders>
            <w:shd w:val="clear" w:color="000000" w:fill="FFFFFF"/>
            <w:noWrap/>
            <w:vAlign w:val="bottom"/>
            <w:hideMark/>
          </w:tcPr>
          <w:p w14:paraId="5BC174A2" w14:textId="77777777" w:rsidR="00DE25A2" w:rsidRPr="00DE25A2" w:rsidRDefault="00DE25A2" w:rsidP="00DE25A2">
            <w:pPr>
              <w:spacing w:after="0" w:line="240" w:lineRule="auto"/>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750" w:type="dxa"/>
            <w:gridSpan w:val="2"/>
            <w:tcBorders>
              <w:top w:val="nil"/>
              <w:left w:val="nil"/>
              <w:bottom w:val="single" w:sz="4" w:space="0" w:color="BFBFBF"/>
              <w:right w:val="nil"/>
            </w:tcBorders>
            <w:shd w:val="clear" w:color="000000" w:fill="FFFFFF"/>
            <w:noWrap/>
            <w:vAlign w:val="bottom"/>
            <w:hideMark/>
          </w:tcPr>
          <w:p w14:paraId="27A43F86" w14:textId="77777777" w:rsidR="00DE25A2" w:rsidRPr="00DE25A2" w:rsidRDefault="00DE25A2" w:rsidP="00DE25A2">
            <w:pPr>
              <w:spacing w:after="0" w:line="240" w:lineRule="auto"/>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1000" w:type="dxa"/>
            <w:gridSpan w:val="2"/>
            <w:tcBorders>
              <w:top w:val="nil"/>
              <w:left w:val="nil"/>
              <w:bottom w:val="single" w:sz="4" w:space="0" w:color="BFBFBF"/>
              <w:right w:val="nil"/>
            </w:tcBorders>
            <w:shd w:val="clear" w:color="000000" w:fill="FFFFFF"/>
            <w:noWrap/>
            <w:vAlign w:val="bottom"/>
            <w:hideMark/>
          </w:tcPr>
          <w:p w14:paraId="6325B4E5" w14:textId="77777777" w:rsidR="00DE25A2" w:rsidRPr="00DE25A2" w:rsidRDefault="00DE25A2" w:rsidP="00DE25A2">
            <w:pPr>
              <w:spacing w:after="0" w:line="240" w:lineRule="auto"/>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675" w:type="dxa"/>
            <w:gridSpan w:val="3"/>
            <w:tcBorders>
              <w:top w:val="nil"/>
              <w:left w:val="nil"/>
              <w:bottom w:val="single" w:sz="4" w:space="0" w:color="BFBFBF"/>
              <w:right w:val="nil"/>
            </w:tcBorders>
            <w:shd w:val="clear" w:color="000000" w:fill="FFFFFF"/>
            <w:noWrap/>
            <w:vAlign w:val="bottom"/>
            <w:hideMark/>
          </w:tcPr>
          <w:p w14:paraId="38999E64" w14:textId="77777777" w:rsidR="00DE25A2" w:rsidRPr="00DE25A2" w:rsidRDefault="00DE25A2" w:rsidP="00DE25A2">
            <w:pPr>
              <w:spacing w:after="0" w:line="240" w:lineRule="auto"/>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222" w:type="dxa"/>
            <w:vAlign w:val="center"/>
            <w:hideMark/>
          </w:tcPr>
          <w:p w14:paraId="785E3D10"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6F03A27D" w14:textId="77777777" w:rsidTr="008C4883">
        <w:trPr>
          <w:trHeight w:val="698"/>
        </w:trPr>
        <w:tc>
          <w:tcPr>
            <w:tcW w:w="2496" w:type="dxa"/>
            <w:tcBorders>
              <w:top w:val="nil"/>
              <w:left w:val="single" w:sz="4" w:space="0" w:color="BFBFBF"/>
              <w:bottom w:val="nil"/>
              <w:right w:val="nil"/>
            </w:tcBorders>
            <w:shd w:val="clear" w:color="auto" w:fill="auto"/>
            <w:vAlign w:val="center"/>
            <w:hideMark/>
          </w:tcPr>
          <w:p w14:paraId="509F8079"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52 weeks ended 1 January 2022 (unaudited)</w:t>
            </w:r>
          </w:p>
        </w:tc>
        <w:tc>
          <w:tcPr>
            <w:tcW w:w="272" w:type="dxa"/>
            <w:tcBorders>
              <w:top w:val="nil"/>
              <w:left w:val="nil"/>
              <w:bottom w:val="nil"/>
              <w:right w:val="nil"/>
            </w:tcBorders>
            <w:shd w:val="clear" w:color="auto" w:fill="auto"/>
            <w:noWrap/>
            <w:vAlign w:val="bottom"/>
            <w:hideMark/>
          </w:tcPr>
          <w:p w14:paraId="1210829E"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nil"/>
              <w:left w:val="nil"/>
              <w:bottom w:val="nil"/>
              <w:right w:val="nil"/>
            </w:tcBorders>
            <w:shd w:val="clear" w:color="auto" w:fill="auto"/>
            <w:vAlign w:val="center"/>
            <w:hideMark/>
          </w:tcPr>
          <w:p w14:paraId="1E6FA704" w14:textId="77777777" w:rsidR="00DE25A2" w:rsidRPr="00DE25A2" w:rsidRDefault="00DE25A2" w:rsidP="00DE25A2">
            <w:pPr>
              <w:spacing w:after="0" w:line="240" w:lineRule="auto"/>
              <w:jc w:val="center"/>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592" w:type="dxa"/>
            <w:gridSpan w:val="2"/>
            <w:tcBorders>
              <w:top w:val="nil"/>
              <w:left w:val="nil"/>
              <w:bottom w:val="nil"/>
              <w:right w:val="nil"/>
            </w:tcBorders>
            <w:shd w:val="clear" w:color="auto" w:fill="auto"/>
            <w:vAlign w:val="center"/>
            <w:hideMark/>
          </w:tcPr>
          <w:p w14:paraId="3C670019" w14:textId="77777777" w:rsidR="00DE25A2" w:rsidRPr="00DE25A2" w:rsidRDefault="00DE25A2" w:rsidP="00DE25A2">
            <w:pPr>
              <w:spacing w:after="0" w:line="240" w:lineRule="auto"/>
              <w:jc w:val="center"/>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Food</w:t>
            </w:r>
          </w:p>
        </w:tc>
        <w:tc>
          <w:tcPr>
            <w:tcW w:w="958" w:type="dxa"/>
            <w:gridSpan w:val="5"/>
            <w:tcBorders>
              <w:top w:val="nil"/>
              <w:left w:val="nil"/>
              <w:bottom w:val="nil"/>
              <w:right w:val="nil"/>
            </w:tcBorders>
            <w:shd w:val="clear" w:color="auto" w:fill="auto"/>
            <w:vAlign w:val="center"/>
            <w:hideMark/>
          </w:tcPr>
          <w:p w14:paraId="567B890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Wholesale</w:t>
            </w:r>
          </w:p>
        </w:tc>
        <w:tc>
          <w:tcPr>
            <w:tcW w:w="758" w:type="dxa"/>
            <w:tcBorders>
              <w:top w:val="nil"/>
              <w:left w:val="nil"/>
              <w:bottom w:val="nil"/>
              <w:right w:val="nil"/>
            </w:tcBorders>
            <w:shd w:val="clear" w:color="auto" w:fill="auto"/>
            <w:vAlign w:val="center"/>
            <w:hideMark/>
          </w:tcPr>
          <w:p w14:paraId="5C4502D2"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Funeral</w:t>
            </w:r>
          </w:p>
        </w:tc>
        <w:tc>
          <w:tcPr>
            <w:tcW w:w="936" w:type="dxa"/>
            <w:gridSpan w:val="2"/>
            <w:tcBorders>
              <w:top w:val="nil"/>
              <w:left w:val="nil"/>
              <w:bottom w:val="nil"/>
              <w:right w:val="nil"/>
            </w:tcBorders>
            <w:shd w:val="clear" w:color="auto" w:fill="auto"/>
            <w:vAlign w:val="center"/>
            <w:hideMark/>
          </w:tcPr>
          <w:p w14:paraId="5E8A295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Insurance</w:t>
            </w:r>
          </w:p>
        </w:tc>
        <w:tc>
          <w:tcPr>
            <w:tcW w:w="608" w:type="dxa"/>
            <w:gridSpan w:val="2"/>
            <w:tcBorders>
              <w:top w:val="nil"/>
              <w:left w:val="nil"/>
              <w:bottom w:val="nil"/>
              <w:right w:val="nil"/>
            </w:tcBorders>
            <w:shd w:val="clear" w:color="auto" w:fill="auto"/>
            <w:vAlign w:val="center"/>
            <w:hideMark/>
          </w:tcPr>
          <w:p w14:paraId="75612D38"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Legal</w:t>
            </w:r>
          </w:p>
        </w:tc>
        <w:tc>
          <w:tcPr>
            <w:tcW w:w="1034" w:type="dxa"/>
            <w:gridSpan w:val="2"/>
            <w:tcBorders>
              <w:top w:val="nil"/>
              <w:left w:val="nil"/>
              <w:bottom w:val="nil"/>
              <w:right w:val="nil"/>
            </w:tcBorders>
            <w:shd w:val="clear" w:color="auto" w:fill="auto"/>
            <w:vAlign w:val="center"/>
            <w:hideMark/>
          </w:tcPr>
          <w:p w14:paraId="2C10C125"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Other businesses </w:t>
            </w:r>
            <w:r w:rsidRPr="00DE25A2">
              <w:rPr>
                <w:rFonts w:ascii="Arial" w:eastAsia="Times New Roman" w:hAnsi="Arial" w:cs="Arial"/>
                <w:sz w:val="15"/>
                <w:szCs w:val="15"/>
                <w:lang w:eastAsia="en-GB"/>
              </w:rPr>
              <w:br/>
              <w:t>(c)</w:t>
            </w:r>
          </w:p>
        </w:tc>
        <w:tc>
          <w:tcPr>
            <w:tcW w:w="750" w:type="dxa"/>
            <w:gridSpan w:val="2"/>
            <w:tcBorders>
              <w:top w:val="nil"/>
              <w:left w:val="nil"/>
              <w:bottom w:val="nil"/>
              <w:right w:val="nil"/>
            </w:tcBorders>
            <w:shd w:val="clear" w:color="auto" w:fill="auto"/>
            <w:vAlign w:val="center"/>
            <w:hideMark/>
          </w:tcPr>
          <w:p w14:paraId="19CE6F67"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Federal </w:t>
            </w:r>
            <w:r w:rsidRPr="00DE25A2">
              <w:rPr>
                <w:rFonts w:ascii="Arial" w:eastAsia="Times New Roman" w:hAnsi="Arial" w:cs="Arial"/>
                <w:sz w:val="15"/>
                <w:szCs w:val="15"/>
                <w:lang w:eastAsia="en-GB"/>
              </w:rPr>
              <w:br/>
              <w:t>(d)</w:t>
            </w:r>
          </w:p>
        </w:tc>
        <w:tc>
          <w:tcPr>
            <w:tcW w:w="1000" w:type="dxa"/>
            <w:gridSpan w:val="2"/>
            <w:tcBorders>
              <w:top w:val="nil"/>
              <w:left w:val="nil"/>
              <w:bottom w:val="nil"/>
              <w:right w:val="nil"/>
            </w:tcBorders>
            <w:shd w:val="clear" w:color="auto" w:fill="auto"/>
            <w:vAlign w:val="center"/>
            <w:hideMark/>
          </w:tcPr>
          <w:p w14:paraId="1F94766C"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Costs from supporting functions</w:t>
            </w:r>
          </w:p>
        </w:tc>
        <w:tc>
          <w:tcPr>
            <w:tcW w:w="675" w:type="dxa"/>
            <w:gridSpan w:val="3"/>
            <w:tcBorders>
              <w:top w:val="nil"/>
              <w:left w:val="single" w:sz="4" w:space="0" w:color="BFBFBF"/>
              <w:bottom w:val="nil"/>
              <w:right w:val="single" w:sz="4" w:space="0" w:color="BFBFBF"/>
            </w:tcBorders>
            <w:shd w:val="clear" w:color="auto" w:fill="auto"/>
            <w:vAlign w:val="center"/>
            <w:hideMark/>
          </w:tcPr>
          <w:p w14:paraId="1D8FC2F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Total</w:t>
            </w:r>
          </w:p>
        </w:tc>
        <w:tc>
          <w:tcPr>
            <w:tcW w:w="222" w:type="dxa"/>
            <w:vAlign w:val="center"/>
            <w:hideMark/>
          </w:tcPr>
          <w:p w14:paraId="2F3713E9"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36C2B53E" w14:textId="77777777" w:rsidTr="008C4883">
        <w:trPr>
          <w:trHeight w:val="240"/>
        </w:trPr>
        <w:tc>
          <w:tcPr>
            <w:tcW w:w="2496" w:type="dxa"/>
            <w:tcBorders>
              <w:top w:val="nil"/>
              <w:left w:val="single" w:sz="4" w:space="0" w:color="BFBFBF"/>
              <w:bottom w:val="single" w:sz="4" w:space="0" w:color="BFBFBF"/>
              <w:right w:val="nil"/>
            </w:tcBorders>
            <w:shd w:val="clear" w:color="auto" w:fill="auto"/>
            <w:noWrap/>
            <w:vAlign w:val="center"/>
            <w:hideMark/>
          </w:tcPr>
          <w:p w14:paraId="797D953C"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272" w:type="dxa"/>
            <w:tcBorders>
              <w:top w:val="nil"/>
              <w:left w:val="nil"/>
              <w:bottom w:val="single" w:sz="4" w:space="0" w:color="BFBFBF"/>
              <w:right w:val="nil"/>
            </w:tcBorders>
            <w:shd w:val="clear" w:color="auto" w:fill="auto"/>
            <w:noWrap/>
            <w:vAlign w:val="center"/>
            <w:hideMark/>
          </w:tcPr>
          <w:p w14:paraId="61D31A80"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nil"/>
              <w:left w:val="nil"/>
              <w:bottom w:val="single" w:sz="4" w:space="0" w:color="BFBFBF"/>
              <w:right w:val="nil"/>
            </w:tcBorders>
            <w:shd w:val="clear" w:color="auto" w:fill="auto"/>
            <w:vAlign w:val="center"/>
            <w:hideMark/>
          </w:tcPr>
          <w:p w14:paraId="7AAC9C81"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592" w:type="dxa"/>
            <w:gridSpan w:val="2"/>
            <w:tcBorders>
              <w:top w:val="nil"/>
              <w:left w:val="nil"/>
              <w:bottom w:val="single" w:sz="4" w:space="0" w:color="BFBFBF"/>
              <w:right w:val="nil"/>
            </w:tcBorders>
            <w:shd w:val="clear" w:color="auto" w:fill="auto"/>
            <w:vAlign w:val="center"/>
            <w:hideMark/>
          </w:tcPr>
          <w:p w14:paraId="4AFCF24E"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958" w:type="dxa"/>
            <w:gridSpan w:val="5"/>
            <w:tcBorders>
              <w:top w:val="nil"/>
              <w:left w:val="nil"/>
              <w:bottom w:val="single" w:sz="4" w:space="0" w:color="BFBFBF"/>
              <w:right w:val="nil"/>
            </w:tcBorders>
            <w:shd w:val="clear" w:color="auto" w:fill="auto"/>
            <w:vAlign w:val="center"/>
            <w:hideMark/>
          </w:tcPr>
          <w:p w14:paraId="64E8747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758" w:type="dxa"/>
            <w:tcBorders>
              <w:top w:val="nil"/>
              <w:left w:val="nil"/>
              <w:bottom w:val="single" w:sz="4" w:space="0" w:color="BFBFBF"/>
              <w:right w:val="nil"/>
            </w:tcBorders>
            <w:shd w:val="clear" w:color="auto" w:fill="auto"/>
            <w:vAlign w:val="center"/>
            <w:hideMark/>
          </w:tcPr>
          <w:p w14:paraId="44C93381"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936" w:type="dxa"/>
            <w:gridSpan w:val="2"/>
            <w:tcBorders>
              <w:top w:val="nil"/>
              <w:left w:val="nil"/>
              <w:bottom w:val="single" w:sz="4" w:space="0" w:color="BFBFBF"/>
              <w:right w:val="nil"/>
            </w:tcBorders>
            <w:shd w:val="clear" w:color="auto" w:fill="auto"/>
            <w:vAlign w:val="center"/>
            <w:hideMark/>
          </w:tcPr>
          <w:p w14:paraId="75C9A4C4"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608" w:type="dxa"/>
            <w:gridSpan w:val="2"/>
            <w:tcBorders>
              <w:top w:val="nil"/>
              <w:left w:val="nil"/>
              <w:bottom w:val="single" w:sz="4" w:space="0" w:color="BFBFBF"/>
              <w:right w:val="nil"/>
            </w:tcBorders>
            <w:shd w:val="clear" w:color="auto" w:fill="auto"/>
            <w:vAlign w:val="center"/>
            <w:hideMark/>
          </w:tcPr>
          <w:p w14:paraId="53C2E94A"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1034" w:type="dxa"/>
            <w:gridSpan w:val="2"/>
            <w:tcBorders>
              <w:top w:val="nil"/>
              <w:left w:val="nil"/>
              <w:bottom w:val="single" w:sz="4" w:space="0" w:color="BFBFBF"/>
              <w:right w:val="nil"/>
            </w:tcBorders>
            <w:shd w:val="clear" w:color="auto" w:fill="auto"/>
            <w:vAlign w:val="center"/>
            <w:hideMark/>
          </w:tcPr>
          <w:p w14:paraId="777C9FE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750" w:type="dxa"/>
            <w:gridSpan w:val="2"/>
            <w:tcBorders>
              <w:top w:val="nil"/>
              <w:left w:val="nil"/>
              <w:bottom w:val="single" w:sz="4" w:space="0" w:color="BFBFBF"/>
              <w:right w:val="nil"/>
            </w:tcBorders>
            <w:shd w:val="clear" w:color="auto" w:fill="auto"/>
            <w:vAlign w:val="center"/>
            <w:hideMark/>
          </w:tcPr>
          <w:p w14:paraId="030F9A4B"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1000" w:type="dxa"/>
            <w:gridSpan w:val="2"/>
            <w:tcBorders>
              <w:top w:val="nil"/>
              <w:left w:val="nil"/>
              <w:bottom w:val="single" w:sz="4" w:space="0" w:color="BFBFBF"/>
              <w:right w:val="nil"/>
            </w:tcBorders>
            <w:shd w:val="clear" w:color="auto" w:fill="auto"/>
            <w:vAlign w:val="center"/>
            <w:hideMark/>
          </w:tcPr>
          <w:p w14:paraId="089EF16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675" w:type="dxa"/>
            <w:gridSpan w:val="3"/>
            <w:tcBorders>
              <w:top w:val="nil"/>
              <w:left w:val="single" w:sz="4" w:space="0" w:color="BFBFBF"/>
              <w:bottom w:val="single" w:sz="4" w:space="0" w:color="BFBFBF"/>
              <w:right w:val="single" w:sz="4" w:space="0" w:color="BFBFBF"/>
            </w:tcBorders>
            <w:shd w:val="clear" w:color="auto" w:fill="auto"/>
            <w:vAlign w:val="center"/>
            <w:hideMark/>
          </w:tcPr>
          <w:p w14:paraId="54A00B88"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£m</w:t>
            </w:r>
          </w:p>
        </w:tc>
        <w:tc>
          <w:tcPr>
            <w:tcW w:w="222" w:type="dxa"/>
            <w:vAlign w:val="center"/>
            <w:hideMark/>
          </w:tcPr>
          <w:p w14:paraId="1AE74EB2"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46661B24" w14:textId="77777777" w:rsidTr="008C4883">
        <w:trPr>
          <w:trHeight w:val="252"/>
        </w:trPr>
        <w:tc>
          <w:tcPr>
            <w:tcW w:w="2768" w:type="dxa"/>
            <w:gridSpan w:val="2"/>
            <w:tcBorders>
              <w:top w:val="single" w:sz="4" w:space="0" w:color="BFBFBF"/>
              <w:left w:val="nil"/>
              <w:bottom w:val="single" w:sz="4" w:space="0" w:color="BFBFBF"/>
              <w:right w:val="nil"/>
            </w:tcBorders>
            <w:shd w:val="clear" w:color="000000" w:fill="FFFFFF"/>
            <w:noWrap/>
            <w:vAlign w:val="center"/>
            <w:hideMark/>
          </w:tcPr>
          <w:p w14:paraId="66AFD64D"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Revenue from external customers</w:t>
            </w:r>
          </w:p>
        </w:tc>
        <w:tc>
          <w:tcPr>
            <w:tcW w:w="918" w:type="dxa"/>
            <w:tcBorders>
              <w:top w:val="nil"/>
              <w:left w:val="nil"/>
              <w:bottom w:val="single" w:sz="4" w:space="0" w:color="BFBFBF"/>
              <w:right w:val="nil"/>
            </w:tcBorders>
            <w:shd w:val="clear" w:color="000000" w:fill="FFFFFF"/>
            <w:noWrap/>
            <w:vAlign w:val="center"/>
            <w:hideMark/>
          </w:tcPr>
          <w:p w14:paraId="02BD2C75" w14:textId="77777777" w:rsidR="00DE25A2" w:rsidRPr="00DE25A2" w:rsidRDefault="00DE25A2" w:rsidP="00DE25A2">
            <w:pPr>
              <w:spacing w:after="0" w:line="240" w:lineRule="auto"/>
              <w:jc w:val="right"/>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592" w:type="dxa"/>
            <w:gridSpan w:val="2"/>
            <w:tcBorders>
              <w:top w:val="nil"/>
              <w:left w:val="nil"/>
              <w:bottom w:val="single" w:sz="4" w:space="0" w:color="BFBFBF"/>
              <w:right w:val="nil"/>
            </w:tcBorders>
            <w:shd w:val="clear" w:color="000000" w:fill="FFFFFF"/>
            <w:noWrap/>
            <w:vAlign w:val="center"/>
            <w:hideMark/>
          </w:tcPr>
          <w:p w14:paraId="2E5F27D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7,671 </w:t>
            </w:r>
          </w:p>
        </w:tc>
        <w:tc>
          <w:tcPr>
            <w:tcW w:w="958" w:type="dxa"/>
            <w:gridSpan w:val="5"/>
            <w:tcBorders>
              <w:top w:val="nil"/>
              <w:left w:val="nil"/>
              <w:bottom w:val="single" w:sz="4" w:space="0" w:color="BFBFBF"/>
              <w:right w:val="nil"/>
            </w:tcBorders>
            <w:shd w:val="clear" w:color="000000" w:fill="FFFFFF"/>
            <w:noWrap/>
            <w:vAlign w:val="center"/>
            <w:hideMark/>
          </w:tcPr>
          <w:p w14:paraId="138965AA"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1,386 </w:t>
            </w:r>
          </w:p>
        </w:tc>
        <w:tc>
          <w:tcPr>
            <w:tcW w:w="758" w:type="dxa"/>
            <w:tcBorders>
              <w:top w:val="nil"/>
              <w:left w:val="nil"/>
              <w:bottom w:val="single" w:sz="4" w:space="0" w:color="BFBFBF"/>
              <w:right w:val="nil"/>
            </w:tcBorders>
            <w:shd w:val="clear" w:color="000000" w:fill="FFFFFF"/>
            <w:noWrap/>
            <w:vAlign w:val="center"/>
            <w:hideMark/>
          </w:tcPr>
          <w:p w14:paraId="190DF87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264 </w:t>
            </w:r>
          </w:p>
        </w:tc>
        <w:tc>
          <w:tcPr>
            <w:tcW w:w="936" w:type="dxa"/>
            <w:gridSpan w:val="2"/>
            <w:tcBorders>
              <w:top w:val="nil"/>
              <w:left w:val="nil"/>
              <w:bottom w:val="single" w:sz="4" w:space="0" w:color="BFBFBF"/>
              <w:right w:val="nil"/>
            </w:tcBorders>
            <w:shd w:val="clear" w:color="000000" w:fill="FFFFFF"/>
            <w:noWrap/>
            <w:vAlign w:val="center"/>
            <w:hideMark/>
          </w:tcPr>
          <w:p w14:paraId="48018834"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34 </w:t>
            </w:r>
          </w:p>
        </w:tc>
        <w:tc>
          <w:tcPr>
            <w:tcW w:w="608" w:type="dxa"/>
            <w:gridSpan w:val="2"/>
            <w:tcBorders>
              <w:top w:val="nil"/>
              <w:left w:val="nil"/>
              <w:bottom w:val="single" w:sz="4" w:space="0" w:color="BFBFBF"/>
              <w:right w:val="nil"/>
            </w:tcBorders>
            <w:shd w:val="clear" w:color="000000" w:fill="FFFFFF"/>
            <w:noWrap/>
            <w:vAlign w:val="center"/>
            <w:hideMark/>
          </w:tcPr>
          <w:p w14:paraId="7DD31BB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39 </w:t>
            </w:r>
          </w:p>
        </w:tc>
        <w:tc>
          <w:tcPr>
            <w:tcW w:w="1034" w:type="dxa"/>
            <w:gridSpan w:val="2"/>
            <w:tcBorders>
              <w:top w:val="nil"/>
              <w:left w:val="nil"/>
              <w:bottom w:val="single" w:sz="4" w:space="0" w:color="BFBFBF"/>
              <w:right w:val="nil"/>
            </w:tcBorders>
            <w:shd w:val="clear" w:color="000000" w:fill="FFFFFF"/>
            <w:noWrap/>
            <w:vAlign w:val="center"/>
            <w:hideMark/>
          </w:tcPr>
          <w:p w14:paraId="26DB19BE"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 </w:t>
            </w:r>
          </w:p>
        </w:tc>
        <w:tc>
          <w:tcPr>
            <w:tcW w:w="750" w:type="dxa"/>
            <w:gridSpan w:val="2"/>
            <w:tcBorders>
              <w:top w:val="nil"/>
              <w:left w:val="nil"/>
              <w:bottom w:val="single" w:sz="4" w:space="0" w:color="BFBFBF"/>
              <w:right w:val="nil"/>
            </w:tcBorders>
            <w:shd w:val="clear" w:color="000000" w:fill="FFFFFF"/>
            <w:noWrap/>
            <w:vAlign w:val="center"/>
            <w:hideMark/>
          </w:tcPr>
          <w:p w14:paraId="3E7754FB"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1,756 </w:t>
            </w:r>
          </w:p>
        </w:tc>
        <w:tc>
          <w:tcPr>
            <w:tcW w:w="1000" w:type="dxa"/>
            <w:gridSpan w:val="2"/>
            <w:tcBorders>
              <w:top w:val="nil"/>
              <w:left w:val="nil"/>
              <w:bottom w:val="single" w:sz="4" w:space="0" w:color="BFBFBF"/>
              <w:right w:val="nil"/>
            </w:tcBorders>
            <w:shd w:val="clear" w:color="000000" w:fill="FFFFFF"/>
            <w:noWrap/>
            <w:vAlign w:val="center"/>
            <w:hideMark/>
          </w:tcPr>
          <w:p w14:paraId="0303FB8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675" w:type="dxa"/>
            <w:gridSpan w:val="3"/>
            <w:tcBorders>
              <w:top w:val="nil"/>
              <w:left w:val="single" w:sz="4" w:space="0" w:color="BFBFBF"/>
              <w:bottom w:val="single" w:sz="4" w:space="0" w:color="BFBFBF"/>
              <w:right w:val="single" w:sz="4" w:space="0" w:color="BFBFBF"/>
            </w:tcBorders>
            <w:shd w:val="clear" w:color="000000" w:fill="FFFFFF"/>
            <w:noWrap/>
            <w:vAlign w:val="center"/>
            <w:hideMark/>
          </w:tcPr>
          <w:p w14:paraId="4AD605F2"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11,151 </w:t>
            </w:r>
          </w:p>
        </w:tc>
        <w:tc>
          <w:tcPr>
            <w:tcW w:w="222" w:type="dxa"/>
            <w:vAlign w:val="center"/>
            <w:hideMark/>
          </w:tcPr>
          <w:p w14:paraId="0FAEF7D3"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4644526B" w14:textId="77777777" w:rsidTr="008C4883">
        <w:trPr>
          <w:trHeight w:val="252"/>
        </w:trPr>
        <w:tc>
          <w:tcPr>
            <w:tcW w:w="2496" w:type="dxa"/>
            <w:tcBorders>
              <w:top w:val="nil"/>
              <w:left w:val="nil"/>
              <w:bottom w:val="nil"/>
              <w:right w:val="nil"/>
            </w:tcBorders>
            <w:shd w:val="clear" w:color="000000" w:fill="FFFFFF"/>
            <w:noWrap/>
            <w:vAlign w:val="center"/>
            <w:hideMark/>
          </w:tcPr>
          <w:p w14:paraId="562C047A"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272" w:type="dxa"/>
            <w:tcBorders>
              <w:top w:val="nil"/>
              <w:left w:val="nil"/>
              <w:bottom w:val="nil"/>
              <w:right w:val="nil"/>
            </w:tcBorders>
            <w:shd w:val="clear" w:color="000000" w:fill="FFFFFF"/>
            <w:noWrap/>
            <w:vAlign w:val="center"/>
            <w:hideMark/>
          </w:tcPr>
          <w:p w14:paraId="71B49256"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nil"/>
              <w:left w:val="nil"/>
              <w:bottom w:val="nil"/>
              <w:right w:val="nil"/>
            </w:tcBorders>
            <w:shd w:val="clear" w:color="000000" w:fill="FFFFFF"/>
            <w:noWrap/>
            <w:vAlign w:val="center"/>
            <w:hideMark/>
          </w:tcPr>
          <w:p w14:paraId="375EDB2A" w14:textId="77777777" w:rsidR="00DE25A2" w:rsidRPr="00DE25A2" w:rsidRDefault="00DE25A2" w:rsidP="00DE25A2">
            <w:pPr>
              <w:spacing w:after="0" w:line="240" w:lineRule="auto"/>
              <w:jc w:val="right"/>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592" w:type="dxa"/>
            <w:gridSpan w:val="2"/>
            <w:tcBorders>
              <w:top w:val="nil"/>
              <w:left w:val="nil"/>
              <w:bottom w:val="nil"/>
              <w:right w:val="nil"/>
            </w:tcBorders>
            <w:shd w:val="clear" w:color="000000" w:fill="FFFFFF"/>
            <w:noWrap/>
            <w:vAlign w:val="center"/>
            <w:hideMark/>
          </w:tcPr>
          <w:p w14:paraId="4D0A9FB7"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958" w:type="dxa"/>
            <w:gridSpan w:val="5"/>
            <w:tcBorders>
              <w:top w:val="nil"/>
              <w:left w:val="nil"/>
              <w:bottom w:val="nil"/>
              <w:right w:val="nil"/>
            </w:tcBorders>
            <w:shd w:val="clear" w:color="000000" w:fill="FFFFFF"/>
            <w:noWrap/>
            <w:vAlign w:val="center"/>
            <w:hideMark/>
          </w:tcPr>
          <w:p w14:paraId="2B9E17E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758" w:type="dxa"/>
            <w:tcBorders>
              <w:top w:val="nil"/>
              <w:left w:val="nil"/>
              <w:bottom w:val="nil"/>
              <w:right w:val="nil"/>
            </w:tcBorders>
            <w:shd w:val="clear" w:color="000000" w:fill="FFFFFF"/>
            <w:noWrap/>
            <w:vAlign w:val="center"/>
            <w:hideMark/>
          </w:tcPr>
          <w:p w14:paraId="6B08E73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936" w:type="dxa"/>
            <w:gridSpan w:val="2"/>
            <w:tcBorders>
              <w:top w:val="nil"/>
              <w:left w:val="nil"/>
              <w:bottom w:val="nil"/>
              <w:right w:val="nil"/>
            </w:tcBorders>
            <w:shd w:val="clear" w:color="000000" w:fill="FFFFFF"/>
            <w:noWrap/>
            <w:vAlign w:val="center"/>
            <w:hideMark/>
          </w:tcPr>
          <w:p w14:paraId="4F9C10E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608" w:type="dxa"/>
            <w:gridSpan w:val="2"/>
            <w:tcBorders>
              <w:top w:val="nil"/>
              <w:left w:val="nil"/>
              <w:bottom w:val="nil"/>
              <w:right w:val="nil"/>
            </w:tcBorders>
            <w:shd w:val="clear" w:color="000000" w:fill="FFFFFF"/>
            <w:noWrap/>
            <w:vAlign w:val="center"/>
            <w:hideMark/>
          </w:tcPr>
          <w:p w14:paraId="314291BE"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1034" w:type="dxa"/>
            <w:gridSpan w:val="2"/>
            <w:tcBorders>
              <w:top w:val="nil"/>
              <w:left w:val="nil"/>
              <w:bottom w:val="nil"/>
              <w:right w:val="nil"/>
            </w:tcBorders>
            <w:shd w:val="clear" w:color="000000" w:fill="FFFFFF"/>
            <w:noWrap/>
            <w:vAlign w:val="center"/>
            <w:hideMark/>
          </w:tcPr>
          <w:p w14:paraId="61DDF598"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750" w:type="dxa"/>
            <w:gridSpan w:val="2"/>
            <w:tcBorders>
              <w:top w:val="nil"/>
              <w:left w:val="nil"/>
              <w:bottom w:val="nil"/>
              <w:right w:val="nil"/>
            </w:tcBorders>
            <w:shd w:val="clear" w:color="000000" w:fill="FFFFFF"/>
            <w:noWrap/>
            <w:vAlign w:val="center"/>
            <w:hideMark/>
          </w:tcPr>
          <w:p w14:paraId="1B23C4A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1000" w:type="dxa"/>
            <w:gridSpan w:val="2"/>
            <w:tcBorders>
              <w:top w:val="nil"/>
              <w:left w:val="nil"/>
              <w:bottom w:val="nil"/>
              <w:right w:val="nil"/>
            </w:tcBorders>
            <w:shd w:val="clear" w:color="000000" w:fill="FFFFFF"/>
            <w:noWrap/>
            <w:vAlign w:val="center"/>
            <w:hideMark/>
          </w:tcPr>
          <w:p w14:paraId="463CEF5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675" w:type="dxa"/>
            <w:gridSpan w:val="3"/>
            <w:tcBorders>
              <w:top w:val="nil"/>
              <w:left w:val="single" w:sz="4" w:space="0" w:color="BFBFBF"/>
              <w:bottom w:val="nil"/>
              <w:right w:val="single" w:sz="4" w:space="0" w:color="BFBFBF"/>
            </w:tcBorders>
            <w:shd w:val="clear" w:color="000000" w:fill="FFFFFF"/>
            <w:noWrap/>
            <w:vAlign w:val="center"/>
            <w:hideMark/>
          </w:tcPr>
          <w:p w14:paraId="2AB7F724"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222" w:type="dxa"/>
            <w:vAlign w:val="center"/>
            <w:hideMark/>
          </w:tcPr>
          <w:p w14:paraId="6E90DB92"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2FBE1A3E" w14:textId="77777777" w:rsidTr="008C4883">
        <w:trPr>
          <w:trHeight w:val="252"/>
        </w:trPr>
        <w:tc>
          <w:tcPr>
            <w:tcW w:w="3686" w:type="dxa"/>
            <w:gridSpan w:val="3"/>
            <w:tcBorders>
              <w:top w:val="single" w:sz="4" w:space="0" w:color="BFBFBF"/>
              <w:left w:val="nil"/>
              <w:bottom w:val="single" w:sz="4" w:space="0" w:color="BFBFBF"/>
              <w:right w:val="nil"/>
            </w:tcBorders>
            <w:shd w:val="clear" w:color="000000" w:fill="FFFFFF"/>
            <w:noWrap/>
            <w:vAlign w:val="center"/>
            <w:hideMark/>
          </w:tcPr>
          <w:p w14:paraId="461ABFBE"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Underlying segment operating profit / (loss) (a)</w:t>
            </w:r>
          </w:p>
        </w:tc>
        <w:tc>
          <w:tcPr>
            <w:tcW w:w="592" w:type="dxa"/>
            <w:gridSpan w:val="2"/>
            <w:tcBorders>
              <w:top w:val="single" w:sz="4" w:space="0" w:color="BFBFBF"/>
              <w:left w:val="nil"/>
              <w:bottom w:val="single" w:sz="4" w:space="0" w:color="BFBFBF"/>
              <w:right w:val="nil"/>
            </w:tcBorders>
            <w:shd w:val="clear" w:color="000000" w:fill="FFFFFF"/>
            <w:noWrap/>
            <w:vAlign w:val="center"/>
            <w:hideMark/>
          </w:tcPr>
          <w:p w14:paraId="0B3AB2F2"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156 </w:t>
            </w:r>
          </w:p>
        </w:tc>
        <w:tc>
          <w:tcPr>
            <w:tcW w:w="958" w:type="dxa"/>
            <w:gridSpan w:val="5"/>
            <w:tcBorders>
              <w:top w:val="single" w:sz="4" w:space="0" w:color="BFBFBF"/>
              <w:left w:val="nil"/>
              <w:bottom w:val="single" w:sz="4" w:space="0" w:color="BFBFBF"/>
              <w:right w:val="nil"/>
            </w:tcBorders>
            <w:shd w:val="clear" w:color="000000" w:fill="FFFFFF"/>
            <w:noWrap/>
            <w:vAlign w:val="center"/>
            <w:hideMark/>
          </w:tcPr>
          <w:p w14:paraId="65EF9600"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7 </w:t>
            </w:r>
          </w:p>
        </w:tc>
        <w:tc>
          <w:tcPr>
            <w:tcW w:w="758" w:type="dxa"/>
            <w:tcBorders>
              <w:top w:val="single" w:sz="4" w:space="0" w:color="BFBFBF"/>
              <w:left w:val="nil"/>
              <w:bottom w:val="single" w:sz="4" w:space="0" w:color="BFBFBF"/>
              <w:right w:val="nil"/>
            </w:tcBorders>
            <w:shd w:val="clear" w:color="000000" w:fill="FFFFFF"/>
            <w:noWrap/>
            <w:vAlign w:val="center"/>
            <w:hideMark/>
          </w:tcPr>
          <w:p w14:paraId="335A5EA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12 </w:t>
            </w:r>
          </w:p>
        </w:tc>
        <w:tc>
          <w:tcPr>
            <w:tcW w:w="936" w:type="dxa"/>
            <w:gridSpan w:val="2"/>
            <w:tcBorders>
              <w:top w:val="single" w:sz="4" w:space="0" w:color="BFBFBF"/>
              <w:left w:val="nil"/>
              <w:bottom w:val="single" w:sz="4" w:space="0" w:color="BFBFBF"/>
              <w:right w:val="nil"/>
            </w:tcBorders>
            <w:shd w:val="clear" w:color="000000" w:fill="FFFFFF"/>
            <w:noWrap/>
            <w:vAlign w:val="center"/>
            <w:hideMark/>
          </w:tcPr>
          <w:p w14:paraId="2CEE3903"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15 </w:t>
            </w:r>
          </w:p>
        </w:tc>
        <w:tc>
          <w:tcPr>
            <w:tcW w:w="608" w:type="dxa"/>
            <w:gridSpan w:val="2"/>
            <w:tcBorders>
              <w:top w:val="single" w:sz="4" w:space="0" w:color="BFBFBF"/>
              <w:left w:val="nil"/>
              <w:bottom w:val="single" w:sz="4" w:space="0" w:color="BFBFBF"/>
              <w:right w:val="nil"/>
            </w:tcBorders>
            <w:shd w:val="clear" w:color="000000" w:fill="FFFFFF"/>
            <w:noWrap/>
            <w:vAlign w:val="center"/>
            <w:hideMark/>
          </w:tcPr>
          <w:p w14:paraId="4A0DE3BC"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5 </w:t>
            </w:r>
          </w:p>
        </w:tc>
        <w:tc>
          <w:tcPr>
            <w:tcW w:w="1034" w:type="dxa"/>
            <w:gridSpan w:val="2"/>
            <w:tcBorders>
              <w:top w:val="single" w:sz="4" w:space="0" w:color="BFBFBF"/>
              <w:left w:val="nil"/>
              <w:bottom w:val="single" w:sz="4" w:space="0" w:color="BFBFBF"/>
              <w:right w:val="nil"/>
            </w:tcBorders>
            <w:shd w:val="clear" w:color="000000" w:fill="FFFFFF"/>
            <w:noWrap/>
            <w:vAlign w:val="center"/>
            <w:hideMark/>
          </w:tcPr>
          <w:p w14:paraId="11E66D41"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(1)</w:t>
            </w:r>
          </w:p>
        </w:tc>
        <w:tc>
          <w:tcPr>
            <w:tcW w:w="750" w:type="dxa"/>
            <w:gridSpan w:val="2"/>
            <w:tcBorders>
              <w:top w:val="single" w:sz="4" w:space="0" w:color="BFBFBF"/>
              <w:left w:val="nil"/>
              <w:bottom w:val="single" w:sz="4" w:space="0" w:color="BFBFBF"/>
              <w:right w:val="nil"/>
            </w:tcBorders>
            <w:shd w:val="clear" w:color="000000" w:fill="FFFFFF"/>
            <w:noWrap/>
            <w:vAlign w:val="center"/>
            <w:hideMark/>
          </w:tcPr>
          <w:p w14:paraId="4FFA14CE"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00" w:type="dxa"/>
            <w:gridSpan w:val="2"/>
            <w:tcBorders>
              <w:top w:val="single" w:sz="4" w:space="0" w:color="BFBFBF"/>
              <w:left w:val="nil"/>
              <w:bottom w:val="single" w:sz="4" w:space="0" w:color="BFBFBF"/>
              <w:right w:val="nil"/>
            </w:tcBorders>
            <w:shd w:val="clear" w:color="000000" w:fill="FFFFFF"/>
            <w:noWrap/>
            <w:vAlign w:val="center"/>
            <w:hideMark/>
          </w:tcPr>
          <w:p w14:paraId="47FCF38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(94)</w:t>
            </w:r>
          </w:p>
        </w:tc>
        <w:tc>
          <w:tcPr>
            <w:tcW w:w="67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E179A4C"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100 </w:t>
            </w:r>
          </w:p>
        </w:tc>
        <w:tc>
          <w:tcPr>
            <w:tcW w:w="222" w:type="dxa"/>
            <w:vAlign w:val="center"/>
            <w:hideMark/>
          </w:tcPr>
          <w:p w14:paraId="7A87330B"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600BC787" w14:textId="77777777" w:rsidTr="008C4883">
        <w:trPr>
          <w:trHeight w:val="252"/>
        </w:trPr>
        <w:tc>
          <w:tcPr>
            <w:tcW w:w="2496" w:type="dxa"/>
            <w:tcBorders>
              <w:top w:val="nil"/>
              <w:left w:val="nil"/>
              <w:bottom w:val="nil"/>
              <w:right w:val="nil"/>
            </w:tcBorders>
            <w:shd w:val="clear" w:color="000000" w:fill="FFFFFF"/>
            <w:noWrap/>
            <w:vAlign w:val="center"/>
            <w:hideMark/>
          </w:tcPr>
          <w:p w14:paraId="2B019012"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One-off items (a) (</w:t>
            </w:r>
            <w:proofErr w:type="spellStart"/>
            <w:r w:rsidRPr="00DE25A2">
              <w:rPr>
                <w:rFonts w:ascii="Arial" w:eastAsia="Times New Roman" w:hAnsi="Arial" w:cs="Arial"/>
                <w:sz w:val="15"/>
                <w:szCs w:val="15"/>
                <w:lang w:eastAsia="en-GB"/>
              </w:rPr>
              <w:t>i</w:t>
            </w:r>
            <w:proofErr w:type="spellEnd"/>
            <w:r w:rsidRPr="00DE25A2">
              <w:rPr>
                <w:rFonts w:ascii="Arial" w:eastAsia="Times New Roman" w:hAnsi="Arial" w:cs="Arial"/>
                <w:sz w:val="15"/>
                <w:szCs w:val="15"/>
                <w:lang w:eastAsia="en-GB"/>
              </w:rPr>
              <w:t>)</w:t>
            </w:r>
          </w:p>
        </w:tc>
        <w:tc>
          <w:tcPr>
            <w:tcW w:w="272" w:type="dxa"/>
            <w:tcBorders>
              <w:top w:val="nil"/>
              <w:left w:val="nil"/>
              <w:bottom w:val="nil"/>
              <w:right w:val="nil"/>
            </w:tcBorders>
            <w:shd w:val="clear" w:color="000000" w:fill="FFFFFF"/>
            <w:noWrap/>
            <w:vAlign w:val="center"/>
            <w:hideMark/>
          </w:tcPr>
          <w:p w14:paraId="7600CA51"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nil"/>
              <w:left w:val="nil"/>
              <w:bottom w:val="nil"/>
              <w:right w:val="nil"/>
            </w:tcBorders>
            <w:shd w:val="clear" w:color="000000" w:fill="FFFFFF"/>
            <w:noWrap/>
            <w:vAlign w:val="center"/>
            <w:hideMark/>
          </w:tcPr>
          <w:p w14:paraId="175E8615" w14:textId="77777777" w:rsidR="00DE25A2" w:rsidRPr="00DE25A2" w:rsidRDefault="00DE25A2" w:rsidP="00DE25A2">
            <w:pPr>
              <w:spacing w:after="0" w:line="240" w:lineRule="auto"/>
              <w:jc w:val="right"/>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592" w:type="dxa"/>
            <w:gridSpan w:val="2"/>
            <w:tcBorders>
              <w:top w:val="nil"/>
              <w:left w:val="nil"/>
              <w:bottom w:val="nil"/>
              <w:right w:val="nil"/>
            </w:tcBorders>
            <w:shd w:val="clear" w:color="000000" w:fill="FFFFFF"/>
            <w:noWrap/>
            <w:vAlign w:val="center"/>
            <w:hideMark/>
          </w:tcPr>
          <w:p w14:paraId="204A827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(17)</w:t>
            </w:r>
          </w:p>
        </w:tc>
        <w:tc>
          <w:tcPr>
            <w:tcW w:w="958" w:type="dxa"/>
            <w:gridSpan w:val="5"/>
            <w:tcBorders>
              <w:top w:val="nil"/>
              <w:left w:val="nil"/>
              <w:bottom w:val="nil"/>
              <w:right w:val="nil"/>
            </w:tcBorders>
            <w:shd w:val="clear" w:color="000000" w:fill="FFFFFF"/>
            <w:noWrap/>
            <w:vAlign w:val="center"/>
            <w:hideMark/>
          </w:tcPr>
          <w:p w14:paraId="657BB07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758" w:type="dxa"/>
            <w:tcBorders>
              <w:top w:val="nil"/>
              <w:left w:val="nil"/>
              <w:bottom w:val="nil"/>
              <w:right w:val="nil"/>
            </w:tcBorders>
            <w:shd w:val="clear" w:color="000000" w:fill="FFFFFF"/>
            <w:noWrap/>
            <w:vAlign w:val="center"/>
            <w:hideMark/>
          </w:tcPr>
          <w:p w14:paraId="552EEADA"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936" w:type="dxa"/>
            <w:gridSpan w:val="2"/>
            <w:tcBorders>
              <w:top w:val="nil"/>
              <w:left w:val="nil"/>
              <w:bottom w:val="nil"/>
              <w:right w:val="nil"/>
            </w:tcBorders>
            <w:shd w:val="clear" w:color="000000" w:fill="FFFFFF"/>
            <w:noWrap/>
            <w:vAlign w:val="center"/>
            <w:hideMark/>
          </w:tcPr>
          <w:p w14:paraId="03F48A8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608" w:type="dxa"/>
            <w:gridSpan w:val="2"/>
            <w:tcBorders>
              <w:top w:val="nil"/>
              <w:left w:val="nil"/>
              <w:bottom w:val="nil"/>
              <w:right w:val="nil"/>
            </w:tcBorders>
            <w:shd w:val="clear" w:color="000000" w:fill="FFFFFF"/>
            <w:noWrap/>
            <w:vAlign w:val="center"/>
            <w:hideMark/>
          </w:tcPr>
          <w:p w14:paraId="57744FD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34" w:type="dxa"/>
            <w:gridSpan w:val="2"/>
            <w:tcBorders>
              <w:top w:val="nil"/>
              <w:left w:val="nil"/>
              <w:bottom w:val="nil"/>
              <w:right w:val="nil"/>
            </w:tcBorders>
            <w:shd w:val="clear" w:color="000000" w:fill="FFFFFF"/>
            <w:noWrap/>
            <w:vAlign w:val="center"/>
            <w:hideMark/>
          </w:tcPr>
          <w:p w14:paraId="2428A8CE"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750" w:type="dxa"/>
            <w:gridSpan w:val="2"/>
            <w:tcBorders>
              <w:top w:val="nil"/>
              <w:left w:val="nil"/>
              <w:bottom w:val="nil"/>
              <w:right w:val="nil"/>
            </w:tcBorders>
            <w:shd w:val="clear" w:color="000000" w:fill="FFFFFF"/>
            <w:noWrap/>
            <w:vAlign w:val="center"/>
            <w:hideMark/>
          </w:tcPr>
          <w:p w14:paraId="46E0A04E"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00" w:type="dxa"/>
            <w:gridSpan w:val="2"/>
            <w:tcBorders>
              <w:top w:val="nil"/>
              <w:left w:val="nil"/>
              <w:bottom w:val="nil"/>
              <w:right w:val="nil"/>
            </w:tcBorders>
            <w:shd w:val="clear" w:color="000000" w:fill="FFFFFF"/>
            <w:noWrap/>
            <w:vAlign w:val="center"/>
            <w:hideMark/>
          </w:tcPr>
          <w:p w14:paraId="3272B664"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2 </w:t>
            </w:r>
          </w:p>
        </w:tc>
        <w:tc>
          <w:tcPr>
            <w:tcW w:w="675" w:type="dxa"/>
            <w:gridSpan w:val="3"/>
            <w:tcBorders>
              <w:top w:val="nil"/>
              <w:left w:val="single" w:sz="4" w:space="0" w:color="BFBFBF"/>
              <w:bottom w:val="nil"/>
              <w:right w:val="single" w:sz="4" w:space="0" w:color="BFBFBF"/>
            </w:tcBorders>
            <w:shd w:val="clear" w:color="000000" w:fill="FFFFFF"/>
            <w:noWrap/>
            <w:vAlign w:val="center"/>
            <w:hideMark/>
          </w:tcPr>
          <w:p w14:paraId="75CBDCF0"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(15)</w:t>
            </w:r>
          </w:p>
        </w:tc>
        <w:tc>
          <w:tcPr>
            <w:tcW w:w="222" w:type="dxa"/>
            <w:vAlign w:val="center"/>
            <w:hideMark/>
          </w:tcPr>
          <w:p w14:paraId="28E7CF63"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09CD8926" w14:textId="77777777" w:rsidTr="008C4883">
        <w:trPr>
          <w:trHeight w:val="252"/>
        </w:trPr>
        <w:tc>
          <w:tcPr>
            <w:tcW w:w="3686" w:type="dxa"/>
            <w:gridSpan w:val="3"/>
            <w:tcBorders>
              <w:top w:val="nil"/>
              <w:left w:val="nil"/>
              <w:bottom w:val="nil"/>
              <w:right w:val="nil"/>
            </w:tcBorders>
            <w:shd w:val="clear" w:color="000000" w:fill="FFFFFF"/>
            <w:noWrap/>
            <w:vAlign w:val="center"/>
            <w:hideMark/>
          </w:tcPr>
          <w:p w14:paraId="3EF27995"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Property, business disposals and closures (a) (ii)</w:t>
            </w:r>
          </w:p>
        </w:tc>
        <w:tc>
          <w:tcPr>
            <w:tcW w:w="592" w:type="dxa"/>
            <w:gridSpan w:val="2"/>
            <w:tcBorders>
              <w:top w:val="nil"/>
              <w:left w:val="nil"/>
              <w:bottom w:val="nil"/>
              <w:right w:val="nil"/>
            </w:tcBorders>
            <w:shd w:val="clear" w:color="000000" w:fill="FFFFFF"/>
            <w:noWrap/>
            <w:vAlign w:val="center"/>
            <w:hideMark/>
          </w:tcPr>
          <w:p w14:paraId="772F266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(36)</w:t>
            </w:r>
          </w:p>
        </w:tc>
        <w:tc>
          <w:tcPr>
            <w:tcW w:w="958" w:type="dxa"/>
            <w:gridSpan w:val="5"/>
            <w:tcBorders>
              <w:top w:val="nil"/>
              <w:left w:val="nil"/>
              <w:bottom w:val="nil"/>
              <w:right w:val="nil"/>
            </w:tcBorders>
            <w:shd w:val="clear" w:color="000000" w:fill="FFFFFF"/>
            <w:noWrap/>
            <w:vAlign w:val="center"/>
            <w:hideMark/>
          </w:tcPr>
          <w:p w14:paraId="66E18FD1"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758" w:type="dxa"/>
            <w:tcBorders>
              <w:top w:val="nil"/>
              <w:left w:val="nil"/>
              <w:bottom w:val="nil"/>
              <w:right w:val="nil"/>
            </w:tcBorders>
            <w:shd w:val="clear" w:color="000000" w:fill="FFFFFF"/>
            <w:noWrap/>
            <w:vAlign w:val="center"/>
            <w:hideMark/>
          </w:tcPr>
          <w:p w14:paraId="7657208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2 </w:t>
            </w:r>
          </w:p>
        </w:tc>
        <w:tc>
          <w:tcPr>
            <w:tcW w:w="936" w:type="dxa"/>
            <w:gridSpan w:val="2"/>
            <w:tcBorders>
              <w:top w:val="nil"/>
              <w:left w:val="nil"/>
              <w:bottom w:val="nil"/>
              <w:right w:val="nil"/>
            </w:tcBorders>
            <w:shd w:val="clear" w:color="000000" w:fill="FFFFFF"/>
            <w:noWrap/>
            <w:vAlign w:val="center"/>
            <w:hideMark/>
          </w:tcPr>
          <w:p w14:paraId="078913C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608" w:type="dxa"/>
            <w:gridSpan w:val="2"/>
            <w:tcBorders>
              <w:top w:val="nil"/>
              <w:left w:val="nil"/>
              <w:bottom w:val="nil"/>
              <w:right w:val="nil"/>
            </w:tcBorders>
            <w:shd w:val="clear" w:color="000000" w:fill="FFFFFF"/>
            <w:noWrap/>
            <w:vAlign w:val="center"/>
            <w:hideMark/>
          </w:tcPr>
          <w:p w14:paraId="30C8564B"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34" w:type="dxa"/>
            <w:gridSpan w:val="2"/>
            <w:tcBorders>
              <w:top w:val="nil"/>
              <w:left w:val="nil"/>
              <w:bottom w:val="nil"/>
              <w:right w:val="nil"/>
            </w:tcBorders>
            <w:shd w:val="clear" w:color="000000" w:fill="FFFFFF"/>
            <w:noWrap/>
            <w:vAlign w:val="center"/>
            <w:hideMark/>
          </w:tcPr>
          <w:p w14:paraId="10A33A0A"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(1)</w:t>
            </w:r>
          </w:p>
        </w:tc>
        <w:tc>
          <w:tcPr>
            <w:tcW w:w="750" w:type="dxa"/>
            <w:gridSpan w:val="2"/>
            <w:tcBorders>
              <w:top w:val="nil"/>
              <w:left w:val="nil"/>
              <w:bottom w:val="nil"/>
              <w:right w:val="nil"/>
            </w:tcBorders>
            <w:shd w:val="clear" w:color="000000" w:fill="FFFFFF"/>
            <w:noWrap/>
            <w:vAlign w:val="center"/>
            <w:hideMark/>
          </w:tcPr>
          <w:p w14:paraId="60F64D5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00" w:type="dxa"/>
            <w:gridSpan w:val="2"/>
            <w:tcBorders>
              <w:top w:val="nil"/>
              <w:left w:val="nil"/>
              <w:bottom w:val="nil"/>
              <w:right w:val="nil"/>
            </w:tcBorders>
            <w:shd w:val="clear" w:color="000000" w:fill="FFFFFF"/>
            <w:noWrap/>
            <w:vAlign w:val="center"/>
            <w:hideMark/>
          </w:tcPr>
          <w:p w14:paraId="6402469E"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5 </w:t>
            </w:r>
          </w:p>
        </w:tc>
        <w:tc>
          <w:tcPr>
            <w:tcW w:w="675" w:type="dxa"/>
            <w:gridSpan w:val="3"/>
            <w:tcBorders>
              <w:top w:val="nil"/>
              <w:left w:val="single" w:sz="4" w:space="0" w:color="BFBFBF"/>
              <w:bottom w:val="nil"/>
              <w:right w:val="single" w:sz="4" w:space="0" w:color="BFBFBF"/>
            </w:tcBorders>
            <w:shd w:val="clear" w:color="000000" w:fill="FFFFFF"/>
            <w:noWrap/>
            <w:vAlign w:val="center"/>
            <w:hideMark/>
          </w:tcPr>
          <w:p w14:paraId="465BFBD5"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(30)</w:t>
            </w:r>
          </w:p>
        </w:tc>
        <w:tc>
          <w:tcPr>
            <w:tcW w:w="222" w:type="dxa"/>
            <w:vAlign w:val="center"/>
            <w:hideMark/>
          </w:tcPr>
          <w:p w14:paraId="51D8EB73"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73F04B5A" w14:textId="77777777" w:rsidTr="008C4883">
        <w:trPr>
          <w:trHeight w:val="252"/>
        </w:trPr>
        <w:tc>
          <w:tcPr>
            <w:tcW w:w="3686" w:type="dxa"/>
            <w:gridSpan w:val="3"/>
            <w:tcBorders>
              <w:top w:val="nil"/>
              <w:left w:val="nil"/>
              <w:bottom w:val="nil"/>
              <w:right w:val="nil"/>
            </w:tcBorders>
            <w:shd w:val="clear" w:color="000000" w:fill="FFFFFF"/>
            <w:noWrap/>
            <w:vAlign w:val="center"/>
            <w:hideMark/>
          </w:tcPr>
          <w:p w14:paraId="2D133FA3"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Change in value of investment properties</w:t>
            </w:r>
          </w:p>
        </w:tc>
        <w:tc>
          <w:tcPr>
            <w:tcW w:w="592" w:type="dxa"/>
            <w:gridSpan w:val="2"/>
            <w:tcBorders>
              <w:top w:val="nil"/>
              <w:left w:val="nil"/>
              <w:bottom w:val="nil"/>
              <w:right w:val="nil"/>
            </w:tcBorders>
            <w:shd w:val="clear" w:color="000000" w:fill="FFFFFF"/>
            <w:noWrap/>
            <w:vAlign w:val="center"/>
            <w:hideMark/>
          </w:tcPr>
          <w:p w14:paraId="567D18F8"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958" w:type="dxa"/>
            <w:gridSpan w:val="5"/>
            <w:tcBorders>
              <w:top w:val="nil"/>
              <w:left w:val="nil"/>
              <w:bottom w:val="nil"/>
              <w:right w:val="nil"/>
            </w:tcBorders>
            <w:shd w:val="clear" w:color="000000" w:fill="FFFFFF"/>
            <w:noWrap/>
            <w:vAlign w:val="center"/>
            <w:hideMark/>
          </w:tcPr>
          <w:p w14:paraId="1833CA3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758" w:type="dxa"/>
            <w:tcBorders>
              <w:top w:val="nil"/>
              <w:left w:val="nil"/>
              <w:bottom w:val="nil"/>
              <w:right w:val="nil"/>
            </w:tcBorders>
            <w:shd w:val="clear" w:color="000000" w:fill="FFFFFF"/>
            <w:noWrap/>
            <w:vAlign w:val="center"/>
            <w:hideMark/>
          </w:tcPr>
          <w:p w14:paraId="15E298CC"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936" w:type="dxa"/>
            <w:gridSpan w:val="2"/>
            <w:tcBorders>
              <w:top w:val="nil"/>
              <w:left w:val="nil"/>
              <w:bottom w:val="nil"/>
              <w:right w:val="nil"/>
            </w:tcBorders>
            <w:shd w:val="clear" w:color="000000" w:fill="FFFFFF"/>
            <w:noWrap/>
            <w:vAlign w:val="center"/>
            <w:hideMark/>
          </w:tcPr>
          <w:p w14:paraId="310C8FA5"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608" w:type="dxa"/>
            <w:gridSpan w:val="2"/>
            <w:tcBorders>
              <w:top w:val="nil"/>
              <w:left w:val="nil"/>
              <w:bottom w:val="nil"/>
              <w:right w:val="nil"/>
            </w:tcBorders>
            <w:shd w:val="clear" w:color="000000" w:fill="FFFFFF"/>
            <w:noWrap/>
            <w:vAlign w:val="center"/>
            <w:hideMark/>
          </w:tcPr>
          <w:p w14:paraId="49EF75F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34" w:type="dxa"/>
            <w:gridSpan w:val="2"/>
            <w:tcBorders>
              <w:top w:val="nil"/>
              <w:left w:val="nil"/>
              <w:bottom w:val="nil"/>
              <w:right w:val="nil"/>
            </w:tcBorders>
            <w:shd w:val="clear" w:color="000000" w:fill="FFFFFF"/>
            <w:noWrap/>
            <w:vAlign w:val="center"/>
            <w:hideMark/>
          </w:tcPr>
          <w:p w14:paraId="028E954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750" w:type="dxa"/>
            <w:gridSpan w:val="2"/>
            <w:tcBorders>
              <w:top w:val="nil"/>
              <w:left w:val="nil"/>
              <w:bottom w:val="nil"/>
              <w:right w:val="nil"/>
            </w:tcBorders>
            <w:shd w:val="clear" w:color="000000" w:fill="FFFFFF"/>
            <w:noWrap/>
            <w:vAlign w:val="center"/>
            <w:hideMark/>
          </w:tcPr>
          <w:p w14:paraId="3302606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00" w:type="dxa"/>
            <w:gridSpan w:val="2"/>
            <w:tcBorders>
              <w:top w:val="nil"/>
              <w:left w:val="nil"/>
              <w:bottom w:val="nil"/>
              <w:right w:val="nil"/>
            </w:tcBorders>
            <w:shd w:val="clear" w:color="000000" w:fill="FFFFFF"/>
            <w:noWrap/>
            <w:vAlign w:val="center"/>
            <w:hideMark/>
          </w:tcPr>
          <w:p w14:paraId="7D38F01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9 </w:t>
            </w:r>
          </w:p>
        </w:tc>
        <w:tc>
          <w:tcPr>
            <w:tcW w:w="675" w:type="dxa"/>
            <w:gridSpan w:val="3"/>
            <w:tcBorders>
              <w:top w:val="nil"/>
              <w:left w:val="single" w:sz="4" w:space="0" w:color="BFBFBF"/>
              <w:bottom w:val="nil"/>
              <w:right w:val="single" w:sz="4" w:space="0" w:color="BFBFBF"/>
            </w:tcBorders>
            <w:shd w:val="clear" w:color="000000" w:fill="FFFFFF"/>
            <w:noWrap/>
            <w:vAlign w:val="center"/>
            <w:hideMark/>
          </w:tcPr>
          <w:p w14:paraId="0C5F7455"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9 </w:t>
            </w:r>
          </w:p>
        </w:tc>
        <w:tc>
          <w:tcPr>
            <w:tcW w:w="222" w:type="dxa"/>
            <w:vAlign w:val="center"/>
            <w:hideMark/>
          </w:tcPr>
          <w:p w14:paraId="44FE8991"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2C3BF562" w14:textId="77777777" w:rsidTr="008C4883">
        <w:trPr>
          <w:trHeight w:val="252"/>
        </w:trPr>
        <w:tc>
          <w:tcPr>
            <w:tcW w:w="2496" w:type="dxa"/>
            <w:tcBorders>
              <w:top w:val="single" w:sz="4" w:space="0" w:color="BFBFBF"/>
              <w:left w:val="nil"/>
              <w:bottom w:val="single" w:sz="4" w:space="0" w:color="BFBFBF"/>
              <w:right w:val="nil"/>
            </w:tcBorders>
            <w:shd w:val="clear" w:color="000000" w:fill="FFFFFF"/>
            <w:noWrap/>
            <w:vAlign w:val="center"/>
            <w:hideMark/>
          </w:tcPr>
          <w:p w14:paraId="6487A711"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Operating profit / (loss) (b)</w:t>
            </w:r>
          </w:p>
        </w:tc>
        <w:tc>
          <w:tcPr>
            <w:tcW w:w="272" w:type="dxa"/>
            <w:tcBorders>
              <w:top w:val="single" w:sz="4" w:space="0" w:color="BFBFBF"/>
              <w:left w:val="nil"/>
              <w:bottom w:val="single" w:sz="4" w:space="0" w:color="BFBFBF"/>
              <w:right w:val="nil"/>
            </w:tcBorders>
            <w:shd w:val="clear" w:color="000000" w:fill="FFFFFF"/>
            <w:noWrap/>
            <w:vAlign w:val="center"/>
            <w:hideMark/>
          </w:tcPr>
          <w:p w14:paraId="43211C41"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single" w:sz="4" w:space="0" w:color="BFBFBF"/>
              <w:left w:val="nil"/>
              <w:bottom w:val="single" w:sz="4" w:space="0" w:color="BFBFBF"/>
              <w:right w:val="nil"/>
            </w:tcBorders>
            <w:shd w:val="clear" w:color="000000" w:fill="FFFFFF"/>
            <w:noWrap/>
            <w:vAlign w:val="center"/>
            <w:hideMark/>
          </w:tcPr>
          <w:p w14:paraId="6845C4B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592" w:type="dxa"/>
            <w:gridSpan w:val="2"/>
            <w:tcBorders>
              <w:top w:val="single" w:sz="4" w:space="0" w:color="BFBFBF"/>
              <w:left w:val="nil"/>
              <w:bottom w:val="single" w:sz="4" w:space="0" w:color="BFBFBF"/>
              <w:right w:val="nil"/>
            </w:tcBorders>
            <w:shd w:val="clear" w:color="000000" w:fill="FFFFFF"/>
            <w:noWrap/>
            <w:vAlign w:val="center"/>
            <w:hideMark/>
          </w:tcPr>
          <w:p w14:paraId="5798E89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103 </w:t>
            </w:r>
          </w:p>
        </w:tc>
        <w:tc>
          <w:tcPr>
            <w:tcW w:w="958" w:type="dxa"/>
            <w:gridSpan w:val="5"/>
            <w:tcBorders>
              <w:top w:val="single" w:sz="4" w:space="0" w:color="BFBFBF"/>
              <w:left w:val="nil"/>
              <w:bottom w:val="single" w:sz="4" w:space="0" w:color="BFBFBF"/>
              <w:right w:val="nil"/>
            </w:tcBorders>
            <w:shd w:val="clear" w:color="000000" w:fill="FFFFFF"/>
            <w:noWrap/>
            <w:vAlign w:val="center"/>
            <w:hideMark/>
          </w:tcPr>
          <w:p w14:paraId="2020AF18"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7 </w:t>
            </w:r>
          </w:p>
        </w:tc>
        <w:tc>
          <w:tcPr>
            <w:tcW w:w="758" w:type="dxa"/>
            <w:tcBorders>
              <w:top w:val="single" w:sz="4" w:space="0" w:color="BFBFBF"/>
              <w:left w:val="nil"/>
              <w:bottom w:val="single" w:sz="4" w:space="0" w:color="BFBFBF"/>
              <w:right w:val="nil"/>
            </w:tcBorders>
            <w:shd w:val="clear" w:color="000000" w:fill="FFFFFF"/>
            <w:noWrap/>
            <w:vAlign w:val="center"/>
            <w:hideMark/>
          </w:tcPr>
          <w:p w14:paraId="20EA0051"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14 </w:t>
            </w:r>
          </w:p>
        </w:tc>
        <w:tc>
          <w:tcPr>
            <w:tcW w:w="936" w:type="dxa"/>
            <w:gridSpan w:val="2"/>
            <w:tcBorders>
              <w:top w:val="single" w:sz="4" w:space="0" w:color="BFBFBF"/>
              <w:left w:val="nil"/>
              <w:bottom w:val="single" w:sz="4" w:space="0" w:color="BFBFBF"/>
              <w:right w:val="nil"/>
            </w:tcBorders>
            <w:shd w:val="clear" w:color="000000" w:fill="FFFFFF"/>
            <w:noWrap/>
            <w:vAlign w:val="center"/>
            <w:hideMark/>
          </w:tcPr>
          <w:p w14:paraId="4C1AD9AC"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15 </w:t>
            </w:r>
          </w:p>
        </w:tc>
        <w:tc>
          <w:tcPr>
            <w:tcW w:w="608" w:type="dxa"/>
            <w:gridSpan w:val="2"/>
            <w:tcBorders>
              <w:top w:val="single" w:sz="4" w:space="0" w:color="BFBFBF"/>
              <w:left w:val="nil"/>
              <w:bottom w:val="single" w:sz="4" w:space="0" w:color="BFBFBF"/>
              <w:right w:val="nil"/>
            </w:tcBorders>
            <w:shd w:val="clear" w:color="000000" w:fill="FFFFFF"/>
            <w:noWrap/>
            <w:vAlign w:val="center"/>
            <w:hideMark/>
          </w:tcPr>
          <w:p w14:paraId="3D1D88CE"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5 </w:t>
            </w:r>
          </w:p>
        </w:tc>
        <w:tc>
          <w:tcPr>
            <w:tcW w:w="1034" w:type="dxa"/>
            <w:gridSpan w:val="2"/>
            <w:tcBorders>
              <w:top w:val="single" w:sz="4" w:space="0" w:color="BFBFBF"/>
              <w:left w:val="nil"/>
              <w:bottom w:val="single" w:sz="4" w:space="0" w:color="BFBFBF"/>
              <w:right w:val="nil"/>
            </w:tcBorders>
            <w:shd w:val="clear" w:color="000000" w:fill="FFFFFF"/>
            <w:noWrap/>
            <w:vAlign w:val="center"/>
            <w:hideMark/>
          </w:tcPr>
          <w:p w14:paraId="31162133"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(2)</w:t>
            </w:r>
          </w:p>
        </w:tc>
        <w:tc>
          <w:tcPr>
            <w:tcW w:w="750" w:type="dxa"/>
            <w:gridSpan w:val="2"/>
            <w:tcBorders>
              <w:top w:val="single" w:sz="4" w:space="0" w:color="BFBFBF"/>
              <w:left w:val="nil"/>
              <w:bottom w:val="single" w:sz="4" w:space="0" w:color="BFBFBF"/>
              <w:right w:val="nil"/>
            </w:tcBorders>
            <w:shd w:val="clear" w:color="000000" w:fill="FFFFFF"/>
            <w:noWrap/>
            <w:vAlign w:val="center"/>
            <w:hideMark/>
          </w:tcPr>
          <w:p w14:paraId="39047D9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00" w:type="dxa"/>
            <w:gridSpan w:val="2"/>
            <w:tcBorders>
              <w:top w:val="single" w:sz="4" w:space="0" w:color="BFBFBF"/>
              <w:left w:val="nil"/>
              <w:bottom w:val="single" w:sz="4" w:space="0" w:color="BFBFBF"/>
              <w:right w:val="nil"/>
            </w:tcBorders>
            <w:shd w:val="clear" w:color="000000" w:fill="FFFFFF"/>
            <w:noWrap/>
            <w:vAlign w:val="center"/>
            <w:hideMark/>
          </w:tcPr>
          <w:p w14:paraId="7C53D2F0"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(78)</w:t>
            </w:r>
          </w:p>
        </w:tc>
        <w:tc>
          <w:tcPr>
            <w:tcW w:w="67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6D0386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64 </w:t>
            </w:r>
          </w:p>
        </w:tc>
        <w:tc>
          <w:tcPr>
            <w:tcW w:w="222" w:type="dxa"/>
            <w:vAlign w:val="center"/>
            <w:hideMark/>
          </w:tcPr>
          <w:p w14:paraId="6D107A97"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6C6B0385" w14:textId="77777777" w:rsidTr="008C4883">
        <w:trPr>
          <w:trHeight w:val="252"/>
        </w:trPr>
        <w:tc>
          <w:tcPr>
            <w:tcW w:w="2768" w:type="dxa"/>
            <w:gridSpan w:val="2"/>
            <w:tcBorders>
              <w:top w:val="nil"/>
              <w:left w:val="nil"/>
              <w:bottom w:val="nil"/>
              <w:right w:val="nil"/>
            </w:tcBorders>
            <w:shd w:val="clear" w:color="000000" w:fill="FFFFFF"/>
            <w:noWrap/>
            <w:vAlign w:val="center"/>
            <w:hideMark/>
          </w:tcPr>
          <w:p w14:paraId="13417444"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Depreciation and amortisation</w:t>
            </w:r>
          </w:p>
        </w:tc>
        <w:tc>
          <w:tcPr>
            <w:tcW w:w="918" w:type="dxa"/>
            <w:tcBorders>
              <w:top w:val="nil"/>
              <w:left w:val="nil"/>
              <w:bottom w:val="nil"/>
              <w:right w:val="nil"/>
            </w:tcBorders>
            <w:shd w:val="clear" w:color="000000" w:fill="FFFFFF"/>
            <w:noWrap/>
            <w:vAlign w:val="center"/>
            <w:hideMark/>
          </w:tcPr>
          <w:p w14:paraId="51160901" w14:textId="77777777" w:rsidR="00DE25A2" w:rsidRPr="00DE25A2" w:rsidRDefault="00DE25A2" w:rsidP="00DE25A2">
            <w:pPr>
              <w:spacing w:after="0" w:line="240" w:lineRule="auto"/>
              <w:jc w:val="right"/>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592" w:type="dxa"/>
            <w:gridSpan w:val="2"/>
            <w:tcBorders>
              <w:top w:val="nil"/>
              <w:left w:val="nil"/>
              <w:bottom w:val="nil"/>
              <w:right w:val="nil"/>
            </w:tcBorders>
            <w:shd w:val="clear" w:color="000000" w:fill="FFFFFF"/>
            <w:noWrap/>
            <w:vAlign w:val="center"/>
            <w:hideMark/>
          </w:tcPr>
          <w:p w14:paraId="55643CF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332 </w:t>
            </w:r>
          </w:p>
        </w:tc>
        <w:tc>
          <w:tcPr>
            <w:tcW w:w="958" w:type="dxa"/>
            <w:gridSpan w:val="5"/>
            <w:tcBorders>
              <w:top w:val="nil"/>
              <w:left w:val="nil"/>
              <w:bottom w:val="nil"/>
              <w:right w:val="nil"/>
            </w:tcBorders>
            <w:shd w:val="clear" w:color="000000" w:fill="FFFFFF"/>
            <w:noWrap/>
            <w:vAlign w:val="center"/>
            <w:hideMark/>
          </w:tcPr>
          <w:p w14:paraId="01837BCB"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9 </w:t>
            </w:r>
          </w:p>
        </w:tc>
        <w:tc>
          <w:tcPr>
            <w:tcW w:w="758" w:type="dxa"/>
            <w:tcBorders>
              <w:top w:val="nil"/>
              <w:left w:val="nil"/>
              <w:bottom w:val="nil"/>
              <w:right w:val="nil"/>
            </w:tcBorders>
            <w:shd w:val="clear" w:color="000000" w:fill="FFFFFF"/>
            <w:noWrap/>
            <w:vAlign w:val="center"/>
            <w:hideMark/>
          </w:tcPr>
          <w:p w14:paraId="2C30C6BB"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32 </w:t>
            </w:r>
          </w:p>
        </w:tc>
        <w:tc>
          <w:tcPr>
            <w:tcW w:w="936" w:type="dxa"/>
            <w:gridSpan w:val="2"/>
            <w:tcBorders>
              <w:top w:val="nil"/>
              <w:left w:val="nil"/>
              <w:bottom w:val="nil"/>
              <w:right w:val="nil"/>
            </w:tcBorders>
            <w:shd w:val="clear" w:color="000000" w:fill="FFFFFF"/>
            <w:noWrap/>
            <w:vAlign w:val="center"/>
            <w:hideMark/>
          </w:tcPr>
          <w:p w14:paraId="6644BF50"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608" w:type="dxa"/>
            <w:gridSpan w:val="2"/>
            <w:tcBorders>
              <w:top w:val="nil"/>
              <w:left w:val="nil"/>
              <w:bottom w:val="nil"/>
              <w:right w:val="nil"/>
            </w:tcBorders>
            <w:shd w:val="clear" w:color="000000" w:fill="FFFFFF"/>
            <w:noWrap/>
            <w:vAlign w:val="center"/>
            <w:hideMark/>
          </w:tcPr>
          <w:p w14:paraId="766C3B0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 </w:t>
            </w:r>
          </w:p>
        </w:tc>
        <w:tc>
          <w:tcPr>
            <w:tcW w:w="1034" w:type="dxa"/>
            <w:gridSpan w:val="2"/>
            <w:tcBorders>
              <w:top w:val="nil"/>
              <w:left w:val="nil"/>
              <w:bottom w:val="nil"/>
              <w:right w:val="nil"/>
            </w:tcBorders>
            <w:shd w:val="clear" w:color="000000" w:fill="FFFFFF"/>
            <w:noWrap/>
            <w:vAlign w:val="center"/>
            <w:hideMark/>
          </w:tcPr>
          <w:p w14:paraId="3122B2A0"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750" w:type="dxa"/>
            <w:gridSpan w:val="2"/>
            <w:tcBorders>
              <w:top w:val="nil"/>
              <w:left w:val="nil"/>
              <w:bottom w:val="nil"/>
              <w:right w:val="nil"/>
            </w:tcBorders>
            <w:shd w:val="clear" w:color="000000" w:fill="FFFFFF"/>
            <w:noWrap/>
            <w:vAlign w:val="center"/>
            <w:hideMark/>
          </w:tcPr>
          <w:p w14:paraId="1B2B677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00" w:type="dxa"/>
            <w:gridSpan w:val="2"/>
            <w:tcBorders>
              <w:top w:val="nil"/>
              <w:left w:val="nil"/>
              <w:bottom w:val="nil"/>
              <w:right w:val="nil"/>
            </w:tcBorders>
            <w:shd w:val="clear" w:color="000000" w:fill="FFFFFF"/>
            <w:noWrap/>
            <w:vAlign w:val="center"/>
            <w:hideMark/>
          </w:tcPr>
          <w:p w14:paraId="6B2DE533"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31 </w:t>
            </w:r>
          </w:p>
        </w:tc>
        <w:tc>
          <w:tcPr>
            <w:tcW w:w="675" w:type="dxa"/>
            <w:gridSpan w:val="3"/>
            <w:tcBorders>
              <w:top w:val="nil"/>
              <w:left w:val="single" w:sz="4" w:space="0" w:color="BFBFBF"/>
              <w:bottom w:val="single" w:sz="4" w:space="0" w:color="BFBFBF"/>
              <w:right w:val="single" w:sz="4" w:space="0" w:color="BFBFBF"/>
            </w:tcBorders>
            <w:shd w:val="clear" w:color="000000" w:fill="FFFFFF"/>
            <w:noWrap/>
            <w:vAlign w:val="center"/>
            <w:hideMark/>
          </w:tcPr>
          <w:p w14:paraId="5ABEB79B"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405 </w:t>
            </w:r>
          </w:p>
        </w:tc>
        <w:tc>
          <w:tcPr>
            <w:tcW w:w="222" w:type="dxa"/>
            <w:vAlign w:val="center"/>
            <w:hideMark/>
          </w:tcPr>
          <w:p w14:paraId="6196ACAB"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1F38B0C7" w14:textId="77777777" w:rsidTr="008C4883">
        <w:trPr>
          <w:trHeight w:val="252"/>
        </w:trPr>
        <w:tc>
          <w:tcPr>
            <w:tcW w:w="2496" w:type="dxa"/>
            <w:tcBorders>
              <w:top w:val="single" w:sz="4" w:space="0" w:color="BFBFBF"/>
              <w:left w:val="nil"/>
              <w:bottom w:val="single" w:sz="4" w:space="0" w:color="BFBFBF"/>
              <w:right w:val="nil"/>
            </w:tcBorders>
            <w:shd w:val="clear" w:color="000000" w:fill="FFFFFF"/>
            <w:noWrap/>
            <w:vAlign w:val="center"/>
            <w:hideMark/>
          </w:tcPr>
          <w:p w14:paraId="6072F8A1"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EBITDA (e)</w:t>
            </w:r>
          </w:p>
        </w:tc>
        <w:tc>
          <w:tcPr>
            <w:tcW w:w="272" w:type="dxa"/>
            <w:tcBorders>
              <w:top w:val="single" w:sz="4" w:space="0" w:color="BFBFBF"/>
              <w:left w:val="nil"/>
              <w:bottom w:val="single" w:sz="4" w:space="0" w:color="BFBFBF"/>
              <w:right w:val="nil"/>
            </w:tcBorders>
            <w:shd w:val="clear" w:color="000000" w:fill="FFFFFF"/>
            <w:noWrap/>
            <w:vAlign w:val="center"/>
            <w:hideMark/>
          </w:tcPr>
          <w:p w14:paraId="35B9274F"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single" w:sz="4" w:space="0" w:color="BFBFBF"/>
              <w:left w:val="nil"/>
              <w:bottom w:val="single" w:sz="4" w:space="0" w:color="BFBFBF"/>
              <w:right w:val="nil"/>
            </w:tcBorders>
            <w:shd w:val="clear" w:color="000000" w:fill="FFFFFF"/>
            <w:noWrap/>
            <w:vAlign w:val="center"/>
            <w:hideMark/>
          </w:tcPr>
          <w:p w14:paraId="1B25CDFB"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592" w:type="dxa"/>
            <w:gridSpan w:val="2"/>
            <w:tcBorders>
              <w:top w:val="single" w:sz="4" w:space="0" w:color="BFBFBF"/>
              <w:left w:val="nil"/>
              <w:bottom w:val="single" w:sz="4" w:space="0" w:color="BFBFBF"/>
              <w:right w:val="nil"/>
            </w:tcBorders>
            <w:shd w:val="clear" w:color="000000" w:fill="FFFFFF"/>
            <w:noWrap/>
            <w:vAlign w:val="center"/>
            <w:hideMark/>
          </w:tcPr>
          <w:p w14:paraId="145BC637"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435 </w:t>
            </w:r>
          </w:p>
        </w:tc>
        <w:tc>
          <w:tcPr>
            <w:tcW w:w="958" w:type="dxa"/>
            <w:gridSpan w:val="5"/>
            <w:tcBorders>
              <w:top w:val="single" w:sz="4" w:space="0" w:color="BFBFBF"/>
              <w:left w:val="nil"/>
              <w:bottom w:val="single" w:sz="4" w:space="0" w:color="BFBFBF"/>
              <w:right w:val="nil"/>
            </w:tcBorders>
            <w:shd w:val="clear" w:color="000000" w:fill="FFFFFF"/>
            <w:noWrap/>
            <w:vAlign w:val="center"/>
            <w:hideMark/>
          </w:tcPr>
          <w:p w14:paraId="1FCFF005"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16 </w:t>
            </w:r>
          </w:p>
        </w:tc>
        <w:tc>
          <w:tcPr>
            <w:tcW w:w="758" w:type="dxa"/>
            <w:tcBorders>
              <w:top w:val="single" w:sz="4" w:space="0" w:color="BFBFBF"/>
              <w:left w:val="nil"/>
              <w:bottom w:val="single" w:sz="4" w:space="0" w:color="BFBFBF"/>
              <w:right w:val="nil"/>
            </w:tcBorders>
            <w:shd w:val="clear" w:color="000000" w:fill="FFFFFF"/>
            <w:noWrap/>
            <w:vAlign w:val="center"/>
            <w:hideMark/>
          </w:tcPr>
          <w:p w14:paraId="0737A09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46 </w:t>
            </w:r>
          </w:p>
        </w:tc>
        <w:tc>
          <w:tcPr>
            <w:tcW w:w="936" w:type="dxa"/>
            <w:gridSpan w:val="2"/>
            <w:tcBorders>
              <w:top w:val="single" w:sz="4" w:space="0" w:color="BFBFBF"/>
              <w:left w:val="nil"/>
              <w:bottom w:val="single" w:sz="4" w:space="0" w:color="BFBFBF"/>
              <w:right w:val="nil"/>
            </w:tcBorders>
            <w:shd w:val="clear" w:color="000000" w:fill="FFFFFF"/>
            <w:noWrap/>
            <w:vAlign w:val="center"/>
            <w:hideMark/>
          </w:tcPr>
          <w:p w14:paraId="7C18CA92"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15 </w:t>
            </w:r>
          </w:p>
        </w:tc>
        <w:tc>
          <w:tcPr>
            <w:tcW w:w="608" w:type="dxa"/>
            <w:gridSpan w:val="2"/>
            <w:tcBorders>
              <w:top w:val="single" w:sz="4" w:space="0" w:color="BFBFBF"/>
              <w:left w:val="nil"/>
              <w:bottom w:val="single" w:sz="4" w:space="0" w:color="BFBFBF"/>
              <w:right w:val="nil"/>
            </w:tcBorders>
            <w:shd w:val="clear" w:color="000000" w:fill="FFFFFF"/>
            <w:noWrap/>
            <w:vAlign w:val="center"/>
            <w:hideMark/>
          </w:tcPr>
          <w:p w14:paraId="5E203DB2"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6 </w:t>
            </w:r>
          </w:p>
        </w:tc>
        <w:tc>
          <w:tcPr>
            <w:tcW w:w="1034" w:type="dxa"/>
            <w:gridSpan w:val="2"/>
            <w:tcBorders>
              <w:top w:val="single" w:sz="4" w:space="0" w:color="BFBFBF"/>
              <w:left w:val="nil"/>
              <w:bottom w:val="single" w:sz="4" w:space="0" w:color="BFBFBF"/>
              <w:right w:val="nil"/>
            </w:tcBorders>
            <w:shd w:val="clear" w:color="000000" w:fill="FFFFFF"/>
            <w:noWrap/>
            <w:vAlign w:val="center"/>
            <w:hideMark/>
          </w:tcPr>
          <w:p w14:paraId="15EBBCD8"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(2)</w:t>
            </w:r>
          </w:p>
        </w:tc>
        <w:tc>
          <w:tcPr>
            <w:tcW w:w="750" w:type="dxa"/>
            <w:gridSpan w:val="2"/>
            <w:tcBorders>
              <w:top w:val="single" w:sz="4" w:space="0" w:color="BFBFBF"/>
              <w:left w:val="nil"/>
              <w:bottom w:val="single" w:sz="4" w:space="0" w:color="BFBFBF"/>
              <w:right w:val="nil"/>
            </w:tcBorders>
            <w:shd w:val="clear" w:color="000000" w:fill="FFFFFF"/>
            <w:noWrap/>
            <w:vAlign w:val="center"/>
            <w:hideMark/>
          </w:tcPr>
          <w:p w14:paraId="0FB86285"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00" w:type="dxa"/>
            <w:gridSpan w:val="2"/>
            <w:tcBorders>
              <w:top w:val="single" w:sz="4" w:space="0" w:color="BFBFBF"/>
              <w:left w:val="nil"/>
              <w:bottom w:val="single" w:sz="4" w:space="0" w:color="BFBFBF"/>
              <w:right w:val="nil"/>
            </w:tcBorders>
            <w:shd w:val="clear" w:color="000000" w:fill="FFFFFF"/>
            <w:noWrap/>
            <w:vAlign w:val="center"/>
            <w:hideMark/>
          </w:tcPr>
          <w:p w14:paraId="2FA836B3"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(47)</w:t>
            </w:r>
          </w:p>
        </w:tc>
        <w:tc>
          <w:tcPr>
            <w:tcW w:w="675" w:type="dxa"/>
            <w:gridSpan w:val="3"/>
            <w:tcBorders>
              <w:top w:val="nil"/>
              <w:left w:val="single" w:sz="4" w:space="0" w:color="BFBFBF"/>
              <w:bottom w:val="single" w:sz="4" w:space="0" w:color="BFBFBF"/>
              <w:right w:val="single" w:sz="4" w:space="0" w:color="BFBFBF"/>
            </w:tcBorders>
            <w:shd w:val="clear" w:color="000000" w:fill="FFFFFF"/>
            <w:noWrap/>
            <w:vAlign w:val="center"/>
            <w:hideMark/>
          </w:tcPr>
          <w:p w14:paraId="6347353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469 </w:t>
            </w:r>
          </w:p>
        </w:tc>
        <w:tc>
          <w:tcPr>
            <w:tcW w:w="222" w:type="dxa"/>
            <w:vAlign w:val="center"/>
            <w:hideMark/>
          </w:tcPr>
          <w:p w14:paraId="3DD13DB2"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49CCDEFE" w14:textId="77777777" w:rsidTr="008C4883">
        <w:trPr>
          <w:trHeight w:val="252"/>
        </w:trPr>
        <w:tc>
          <w:tcPr>
            <w:tcW w:w="2496" w:type="dxa"/>
            <w:tcBorders>
              <w:top w:val="nil"/>
              <w:left w:val="nil"/>
              <w:bottom w:val="single" w:sz="4" w:space="0" w:color="BFBFBF"/>
              <w:right w:val="nil"/>
            </w:tcBorders>
            <w:shd w:val="clear" w:color="000000" w:fill="FFFFFF"/>
            <w:noWrap/>
            <w:vAlign w:val="center"/>
            <w:hideMark/>
          </w:tcPr>
          <w:p w14:paraId="5CE29756"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Underlying EBITDA (e)</w:t>
            </w:r>
          </w:p>
        </w:tc>
        <w:tc>
          <w:tcPr>
            <w:tcW w:w="272" w:type="dxa"/>
            <w:tcBorders>
              <w:top w:val="nil"/>
              <w:left w:val="nil"/>
              <w:bottom w:val="single" w:sz="4" w:space="0" w:color="BFBFBF"/>
              <w:right w:val="nil"/>
            </w:tcBorders>
            <w:shd w:val="clear" w:color="000000" w:fill="FFFFFF"/>
            <w:noWrap/>
            <w:vAlign w:val="center"/>
            <w:hideMark/>
          </w:tcPr>
          <w:p w14:paraId="7BD49E4C" w14:textId="77777777" w:rsidR="00DE25A2" w:rsidRPr="00DE25A2" w:rsidRDefault="00DE25A2" w:rsidP="00DE25A2">
            <w:pPr>
              <w:spacing w:after="0" w:line="240" w:lineRule="auto"/>
              <w:rPr>
                <w:rFonts w:ascii="Arial" w:eastAsia="Times New Roman" w:hAnsi="Arial" w:cs="Arial"/>
                <w:sz w:val="20"/>
                <w:szCs w:val="20"/>
                <w:lang w:eastAsia="en-GB"/>
              </w:rPr>
            </w:pPr>
            <w:r w:rsidRPr="00DE25A2">
              <w:rPr>
                <w:rFonts w:ascii="Arial" w:eastAsia="Times New Roman" w:hAnsi="Arial" w:cs="Arial"/>
                <w:sz w:val="20"/>
                <w:szCs w:val="20"/>
                <w:lang w:eastAsia="en-GB"/>
              </w:rPr>
              <w:t> </w:t>
            </w:r>
          </w:p>
        </w:tc>
        <w:tc>
          <w:tcPr>
            <w:tcW w:w="918" w:type="dxa"/>
            <w:tcBorders>
              <w:top w:val="nil"/>
              <w:left w:val="nil"/>
              <w:bottom w:val="single" w:sz="4" w:space="0" w:color="BFBFBF"/>
              <w:right w:val="nil"/>
            </w:tcBorders>
            <w:shd w:val="clear" w:color="000000" w:fill="FFFFFF"/>
            <w:noWrap/>
            <w:vAlign w:val="center"/>
            <w:hideMark/>
          </w:tcPr>
          <w:p w14:paraId="26C9C492"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592" w:type="dxa"/>
            <w:gridSpan w:val="2"/>
            <w:tcBorders>
              <w:top w:val="nil"/>
              <w:left w:val="nil"/>
              <w:bottom w:val="single" w:sz="4" w:space="0" w:color="BFBFBF"/>
              <w:right w:val="nil"/>
            </w:tcBorders>
            <w:shd w:val="clear" w:color="000000" w:fill="FFFFFF"/>
            <w:noWrap/>
            <w:vAlign w:val="center"/>
            <w:hideMark/>
          </w:tcPr>
          <w:p w14:paraId="2586CB5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488 </w:t>
            </w:r>
          </w:p>
        </w:tc>
        <w:tc>
          <w:tcPr>
            <w:tcW w:w="958" w:type="dxa"/>
            <w:gridSpan w:val="5"/>
            <w:tcBorders>
              <w:top w:val="nil"/>
              <w:left w:val="nil"/>
              <w:bottom w:val="single" w:sz="4" w:space="0" w:color="BFBFBF"/>
              <w:right w:val="nil"/>
            </w:tcBorders>
            <w:shd w:val="clear" w:color="000000" w:fill="FFFFFF"/>
            <w:noWrap/>
            <w:vAlign w:val="center"/>
            <w:hideMark/>
          </w:tcPr>
          <w:p w14:paraId="3F347CB6"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16 </w:t>
            </w:r>
          </w:p>
        </w:tc>
        <w:tc>
          <w:tcPr>
            <w:tcW w:w="758" w:type="dxa"/>
            <w:tcBorders>
              <w:top w:val="nil"/>
              <w:left w:val="nil"/>
              <w:bottom w:val="single" w:sz="4" w:space="0" w:color="BFBFBF"/>
              <w:right w:val="nil"/>
            </w:tcBorders>
            <w:shd w:val="clear" w:color="000000" w:fill="FFFFFF"/>
            <w:noWrap/>
            <w:vAlign w:val="center"/>
            <w:hideMark/>
          </w:tcPr>
          <w:p w14:paraId="5BA1285C"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44 </w:t>
            </w:r>
          </w:p>
        </w:tc>
        <w:tc>
          <w:tcPr>
            <w:tcW w:w="936" w:type="dxa"/>
            <w:gridSpan w:val="2"/>
            <w:tcBorders>
              <w:top w:val="nil"/>
              <w:left w:val="nil"/>
              <w:bottom w:val="single" w:sz="4" w:space="0" w:color="BFBFBF"/>
              <w:right w:val="nil"/>
            </w:tcBorders>
            <w:shd w:val="clear" w:color="000000" w:fill="FFFFFF"/>
            <w:noWrap/>
            <w:vAlign w:val="center"/>
            <w:hideMark/>
          </w:tcPr>
          <w:p w14:paraId="50962DE2"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15 </w:t>
            </w:r>
          </w:p>
        </w:tc>
        <w:tc>
          <w:tcPr>
            <w:tcW w:w="608" w:type="dxa"/>
            <w:gridSpan w:val="2"/>
            <w:tcBorders>
              <w:top w:val="nil"/>
              <w:left w:val="nil"/>
              <w:bottom w:val="single" w:sz="4" w:space="0" w:color="BFBFBF"/>
              <w:right w:val="nil"/>
            </w:tcBorders>
            <w:shd w:val="clear" w:color="000000" w:fill="FFFFFF"/>
            <w:noWrap/>
            <w:vAlign w:val="center"/>
            <w:hideMark/>
          </w:tcPr>
          <w:p w14:paraId="2C6B167D"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6 </w:t>
            </w:r>
          </w:p>
        </w:tc>
        <w:tc>
          <w:tcPr>
            <w:tcW w:w="1034" w:type="dxa"/>
            <w:gridSpan w:val="2"/>
            <w:tcBorders>
              <w:top w:val="nil"/>
              <w:left w:val="nil"/>
              <w:bottom w:val="single" w:sz="4" w:space="0" w:color="BFBFBF"/>
              <w:right w:val="nil"/>
            </w:tcBorders>
            <w:shd w:val="clear" w:color="000000" w:fill="FFFFFF"/>
            <w:noWrap/>
            <w:vAlign w:val="center"/>
            <w:hideMark/>
          </w:tcPr>
          <w:p w14:paraId="234A75A8"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(1)</w:t>
            </w:r>
          </w:p>
        </w:tc>
        <w:tc>
          <w:tcPr>
            <w:tcW w:w="750" w:type="dxa"/>
            <w:gridSpan w:val="2"/>
            <w:tcBorders>
              <w:top w:val="nil"/>
              <w:left w:val="nil"/>
              <w:bottom w:val="single" w:sz="4" w:space="0" w:color="BFBFBF"/>
              <w:right w:val="nil"/>
            </w:tcBorders>
            <w:shd w:val="clear" w:color="000000" w:fill="FFFFFF"/>
            <w:noWrap/>
            <w:vAlign w:val="center"/>
            <w:hideMark/>
          </w:tcPr>
          <w:p w14:paraId="7A906301"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 </w:t>
            </w:r>
          </w:p>
        </w:tc>
        <w:tc>
          <w:tcPr>
            <w:tcW w:w="1000" w:type="dxa"/>
            <w:gridSpan w:val="2"/>
            <w:tcBorders>
              <w:top w:val="nil"/>
              <w:left w:val="nil"/>
              <w:bottom w:val="single" w:sz="4" w:space="0" w:color="BFBFBF"/>
              <w:right w:val="nil"/>
            </w:tcBorders>
            <w:shd w:val="clear" w:color="000000" w:fill="FFFFFF"/>
            <w:noWrap/>
            <w:vAlign w:val="center"/>
            <w:hideMark/>
          </w:tcPr>
          <w:p w14:paraId="10330751"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(63)</w:t>
            </w:r>
          </w:p>
        </w:tc>
        <w:tc>
          <w:tcPr>
            <w:tcW w:w="675" w:type="dxa"/>
            <w:gridSpan w:val="3"/>
            <w:tcBorders>
              <w:top w:val="nil"/>
              <w:left w:val="single" w:sz="4" w:space="0" w:color="BFBFBF"/>
              <w:bottom w:val="single" w:sz="4" w:space="0" w:color="BFBFBF"/>
              <w:right w:val="single" w:sz="4" w:space="0" w:color="BFBFBF"/>
            </w:tcBorders>
            <w:shd w:val="clear" w:color="000000" w:fill="FFFFFF"/>
            <w:noWrap/>
            <w:vAlign w:val="center"/>
            <w:hideMark/>
          </w:tcPr>
          <w:p w14:paraId="10AC5BE9"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xml:space="preserve">505 </w:t>
            </w:r>
          </w:p>
        </w:tc>
        <w:tc>
          <w:tcPr>
            <w:tcW w:w="222" w:type="dxa"/>
            <w:vAlign w:val="center"/>
            <w:hideMark/>
          </w:tcPr>
          <w:p w14:paraId="3F4EB6F0"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05CA7DE7" w14:textId="77777777" w:rsidTr="00887E0E">
        <w:trPr>
          <w:trHeight w:val="320"/>
        </w:trPr>
        <w:tc>
          <w:tcPr>
            <w:tcW w:w="2496" w:type="dxa"/>
            <w:tcBorders>
              <w:top w:val="nil"/>
              <w:left w:val="nil"/>
              <w:bottom w:val="nil"/>
              <w:right w:val="nil"/>
            </w:tcBorders>
            <w:shd w:val="clear" w:color="000000" w:fill="FFFFFF"/>
            <w:noWrap/>
            <w:vAlign w:val="bottom"/>
            <w:hideMark/>
          </w:tcPr>
          <w:p w14:paraId="53938CE4"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272" w:type="dxa"/>
            <w:tcBorders>
              <w:top w:val="nil"/>
              <w:left w:val="nil"/>
              <w:bottom w:val="nil"/>
              <w:right w:val="nil"/>
            </w:tcBorders>
            <w:shd w:val="clear" w:color="000000" w:fill="FFFFFF"/>
            <w:noWrap/>
            <w:vAlign w:val="bottom"/>
            <w:hideMark/>
          </w:tcPr>
          <w:p w14:paraId="5E90DFC4" w14:textId="77777777" w:rsidR="00DE25A2" w:rsidRPr="00DE25A2" w:rsidRDefault="00DE25A2" w:rsidP="00DE25A2">
            <w:pPr>
              <w:spacing w:after="0" w:line="240" w:lineRule="auto"/>
              <w:jc w:val="right"/>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918" w:type="dxa"/>
            <w:tcBorders>
              <w:top w:val="nil"/>
              <w:left w:val="nil"/>
              <w:bottom w:val="nil"/>
              <w:right w:val="nil"/>
            </w:tcBorders>
            <w:shd w:val="clear" w:color="000000" w:fill="FFFFFF"/>
            <w:noWrap/>
            <w:vAlign w:val="bottom"/>
            <w:hideMark/>
          </w:tcPr>
          <w:p w14:paraId="76E55358" w14:textId="77777777" w:rsidR="00DE25A2" w:rsidRPr="00DE25A2" w:rsidRDefault="00DE25A2" w:rsidP="00DE25A2">
            <w:pPr>
              <w:spacing w:after="0" w:line="240" w:lineRule="auto"/>
              <w:jc w:val="right"/>
              <w:rPr>
                <w:rFonts w:ascii="Arial" w:eastAsia="Times New Roman" w:hAnsi="Arial" w:cs="Arial"/>
                <w:sz w:val="14"/>
                <w:szCs w:val="14"/>
                <w:lang w:eastAsia="en-GB"/>
              </w:rPr>
            </w:pPr>
            <w:r w:rsidRPr="00DE25A2">
              <w:rPr>
                <w:rFonts w:ascii="Arial" w:eastAsia="Times New Roman" w:hAnsi="Arial" w:cs="Arial"/>
                <w:sz w:val="14"/>
                <w:szCs w:val="14"/>
                <w:lang w:eastAsia="en-GB"/>
              </w:rPr>
              <w:t> </w:t>
            </w:r>
          </w:p>
        </w:tc>
        <w:tc>
          <w:tcPr>
            <w:tcW w:w="592" w:type="dxa"/>
            <w:gridSpan w:val="2"/>
            <w:tcBorders>
              <w:top w:val="nil"/>
              <w:left w:val="nil"/>
              <w:bottom w:val="nil"/>
              <w:right w:val="nil"/>
            </w:tcBorders>
            <w:shd w:val="clear" w:color="000000" w:fill="FFFFFF"/>
            <w:noWrap/>
            <w:vAlign w:val="bottom"/>
            <w:hideMark/>
          </w:tcPr>
          <w:p w14:paraId="56BB3B72"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958" w:type="dxa"/>
            <w:gridSpan w:val="5"/>
            <w:tcBorders>
              <w:top w:val="nil"/>
              <w:left w:val="nil"/>
              <w:bottom w:val="nil"/>
              <w:right w:val="nil"/>
            </w:tcBorders>
            <w:shd w:val="clear" w:color="000000" w:fill="FFFFFF"/>
            <w:noWrap/>
            <w:vAlign w:val="bottom"/>
            <w:hideMark/>
          </w:tcPr>
          <w:p w14:paraId="67E47494"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758" w:type="dxa"/>
            <w:tcBorders>
              <w:top w:val="nil"/>
              <w:left w:val="nil"/>
              <w:bottom w:val="nil"/>
              <w:right w:val="nil"/>
            </w:tcBorders>
            <w:shd w:val="clear" w:color="000000" w:fill="FFFFFF"/>
            <w:noWrap/>
            <w:vAlign w:val="bottom"/>
            <w:hideMark/>
          </w:tcPr>
          <w:p w14:paraId="42594EBF" w14:textId="77777777" w:rsidR="00DE25A2" w:rsidRPr="00DE25A2" w:rsidRDefault="00DE25A2" w:rsidP="00DE25A2">
            <w:pPr>
              <w:spacing w:after="0" w:line="240" w:lineRule="auto"/>
              <w:jc w:val="right"/>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936" w:type="dxa"/>
            <w:gridSpan w:val="2"/>
            <w:tcBorders>
              <w:top w:val="nil"/>
              <w:left w:val="nil"/>
              <w:bottom w:val="nil"/>
              <w:right w:val="nil"/>
            </w:tcBorders>
            <w:shd w:val="clear" w:color="000000" w:fill="FFFFFF"/>
            <w:noWrap/>
            <w:vAlign w:val="bottom"/>
            <w:hideMark/>
          </w:tcPr>
          <w:p w14:paraId="772ECE53"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608" w:type="dxa"/>
            <w:gridSpan w:val="2"/>
            <w:tcBorders>
              <w:top w:val="nil"/>
              <w:left w:val="nil"/>
              <w:bottom w:val="nil"/>
              <w:right w:val="nil"/>
            </w:tcBorders>
            <w:shd w:val="clear" w:color="000000" w:fill="FFFFFF"/>
            <w:noWrap/>
            <w:vAlign w:val="bottom"/>
            <w:hideMark/>
          </w:tcPr>
          <w:p w14:paraId="59AE374B"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1034" w:type="dxa"/>
            <w:gridSpan w:val="2"/>
            <w:tcBorders>
              <w:top w:val="nil"/>
              <w:left w:val="nil"/>
              <w:bottom w:val="nil"/>
              <w:right w:val="nil"/>
            </w:tcBorders>
            <w:shd w:val="clear" w:color="000000" w:fill="FFFFFF"/>
            <w:noWrap/>
            <w:vAlign w:val="bottom"/>
            <w:hideMark/>
          </w:tcPr>
          <w:p w14:paraId="0B8C1CE1"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750" w:type="dxa"/>
            <w:gridSpan w:val="2"/>
            <w:tcBorders>
              <w:top w:val="nil"/>
              <w:left w:val="nil"/>
              <w:bottom w:val="nil"/>
              <w:right w:val="nil"/>
            </w:tcBorders>
            <w:shd w:val="clear" w:color="000000" w:fill="FFFFFF"/>
            <w:noWrap/>
            <w:vAlign w:val="bottom"/>
            <w:hideMark/>
          </w:tcPr>
          <w:p w14:paraId="193C950B"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1000" w:type="dxa"/>
            <w:gridSpan w:val="2"/>
            <w:tcBorders>
              <w:top w:val="nil"/>
              <w:left w:val="nil"/>
              <w:bottom w:val="nil"/>
              <w:right w:val="nil"/>
            </w:tcBorders>
            <w:shd w:val="clear" w:color="000000" w:fill="FFFFFF"/>
            <w:noWrap/>
            <w:vAlign w:val="bottom"/>
            <w:hideMark/>
          </w:tcPr>
          <w:p w14:paraId="442E8E67"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675" w:type="dxa"/>
            <w:gridSpan w:val="3"/>
            <w:tcBorders>
              <w:top w:val="nil"/>
              <w:left w:val="nil"/>
              <w:bottom w:val="nil"/>
              <w:right w:val="nil"/>
            </w:tcBorders>
            <w:shd w:val="clear" w:color="000000" w:fill="FFFFFF"/>
            <w:noWrap/>
            <w:vAlign w:val="bottom"/>
            <w:hideMark/>
          </w:tcPr>
          <w:p w14:paraId="4919E33A"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 </w:t>
            </w:r>
          </w:p>
        </w:tc>
        <w:tc>
          <w:tcPr>
            <w:tcW w:w="222" w:type="dxa"/>
            <w:vAlign w:val="center"/>
            <w:hideMark/>
          </w:tcPr>
          <w:p w14:paraId="012F11CC"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DE25A2" w:rsidRPr="00DE25A2" w14:paraId="0A050555" w14:textId="77777777" w:rsidTr="003F2390">
        <w:trPr>
          <w:trHeight w:val="1708"/>
        </w:trPr>
        <w:tc>
          <w:tcPr>
            <w:tcW w:w="10997" w:type="dxa"/>
            <w:gridSpan w:val="24"/>
            <w:tcBorders>
              <w:top w:val="nil"/>
              <w:left w:val="nil"/>
              <w:bottom w:val="nil"/>
              <w:right w:val="nil"/>
            </w:tcBorders>
            <w:shd w:val="clear" w:color="auto" w:fill="auto"/>
            <w:hideMark/>
          </w:tcPr>
          <w:p w14:paraId="444CC2A3" w14:textId="77777777" w:rsidR="00DE25A2" w:rsidRPr="00DE25A2" w:rsidRDefault="00DE25A2" w:rsidP="00DE25A2">
            <w:pPr>
              <w:spacing w:after="0" w:line="240" w:lineRule="auto"/>
              <w:rPr>
                <w:rFonts w:ascii="Arial" w:eastAsia="Times New Roman" w:hAnsi="Arial" w:cs="Arial"/>
                <w:sz w:val="15"/>
                <w:szCs w:val="15"/>
                <w:lang w:eastAsia="en-GB"/>
              </w:rPr>
            </w:pPr>
            <w:r w:rsidRPr="00DE25A2">
              <w:rPr>
                <w:rFonts w:ascii="Arial" w:eastAsia="Times New Roman" w:hAnsi="Arial" w:cs="Arial"/>
                <w:sz w:val="15"/>
                <w:szCs w:val="15"/>
                <w:lang w:eastAsia="en-GB"/>
              </w:rPr>
              <w:t>a) Underlying segment operating profit / (loss) is a non-GAAP measure of segment operating profit / (loss) before the impact of property and business disposals (including impairment of non-current assets within our businesses), the change in the value of investment properties and one-off items. The difference between underlying segment operating profit / (loss) and operating profit / (loss) includes:</w:t>
            </w:r>
            <w:r w:rsidRPr="00DE25A2">
              <w:rPr>
                <w:rFonts w:ascii="Arial" w:eastAsia="Times New Roman" w:hAnsi="Arial" w:cs="Arial"/>
                <w:sz w:val="15"/>
                <w:szCs w:val="15"/>
                <w:lang w:eastAsia="en-GB"/>
              </w:rPr>
              <w:br/>
            </w:r>
            <w:r w:rsidRPr="00DE25A2">
              <w:rPr>
                <w:rFonts w:ascii="Arial" w:eastAsia="Times New Roman" w:hAnsi="Arial" w:cs="Arial"/>
                <w:sz w:val="15"/>
                <w:szCs w:val="15"/>
                <w:lang w:eastAsia="en-GB"/>
              </w:rPr>
              <w:br/>
            </w:r>
            <w:proofErr w:type="spellStart"/>
            <w:r w:rsidRPr="00DE25A2">
              <w:rPr>
                <w:rFonts w:ascii="Arial" w:eastAsia="Times New Roman" w:hAnsi="Arial" w:cs="Arial"/>
                <w:sz w:val="15"/>
                <w:szCs w:val="15"/>
                <w:lang w:eastAsia="en-GB"/>
              </w:rPr>
              <w:t>i</w:t>
            </w:r>
            <w:proofErr w:type="spellEnd"/>
            <w:r w:rsidRPr="00DE25A2">
              <w:rPr>
                <w:rFonts w:ascii="Arial" w:eastAsia="Times New Roman" w:hAnsi="Arial" w:cs="Arial"/>
                <w:sz w:val="15"/>
                <w:szCs w:val="15"/>
                <w:lang w:eastAsia="en-GB"/>
              </w:rPr>
              <w:t xml:space="preserve">) One-off items comprises a charge of £1m (2021: £17m). The comparative figure related to organisational changes to colleague structures within our food store teams (under the Fit for Future programme).   </w:t>
            </w:r>
            <w:r w:rsidRPr="00DE25A2">
              <w:rPr>
                <w:rFonts w:ascii="Arial" w:eastAsia="Times New Roman" w:hAnsi="Arial" w:cs="Arial"/>
                <w:sz w:val="15"/>
                <w:szCs w:val="15"/>
                <w:lang w:eastAsia="en-GB"/>
              </w:rPr>
              <w:br/>
            </w:r>
            <w:r w:rsidRPr="00DE25A2">
              <w:rPr>
                <w:rFonts w:ascii="Arial" w:eastAsia="Times New Roman" w:hAnsi="Arial" w:cs="Arial"/>
                <w:sz w:val="15"/>
                <w:szCs w:val="15"/>
                <w:lang w:eastAsia="en-GB"/>
              </w:rPr>
              <w:br/>
              <w:t xml:space="preserve">ii) Losses from property and business disposals of £34m (2021: £26m loss). This comprises a net gain on disposal and closure of properties of £22m less impairment charges of £56m (see table overleaf for further details).    </w:t>
            </w:r>
          </w:p>
        </w:tc>
        <w:tc>
          <w:tcPr>
            <w:tcW w:w="222" w:type="dxa"/>
            <w:vAlign w:val="center"/>
            <w:hideMark/>
          </w:tcPr>
          <w:p w14:paraId="4FD3C3A2" w14:textId="77777777" w:rsidR="00DE25A2" w:rsidRPr="00DE25A2" w:rsidRDefault="00DE25A2" w:rsidP="00DE25A2">
            <w:pPr>
              <w:spacing w:after="0" w:line="240" w:lineRule="auto"/>
              <w:rPr>
                <w:rFonts w:ascii="Times New Roman" w:eastAsia="Times New Roman" w:hAnsi="Times New Roman" w:cs="Times New Roman"/>
                <w:sz w:val="20"/>
                <w:szCs w:val="20"/>
                <w:lang w:eastAsia="en-GB"/>
              </w:rPr>
            </w:pPr>
          </w:p>
        </w:tc>
      </w:tr>
      <w:tr w:rsidR="00B860D1" w:rsidRPr="00B860D1" w14:paraId="6EBE62EF" w14:textId="77777777" w:rsidTr="008C4883">
        <w:trPr>
          <w:gridAfter w:val="2"/>
          <w:wAfter w:w="304" w:type="dxa"/>
          <w:trHeight w:val="829"/>
        </w:trPr>
        <w:tc>
          <w:tcPr>
            <w:tcW w:w="10915" w:type="dxa"/>
            <w:gridSpan w:val="23"/>
            <w:tcBorders>
              <w:top w:val="nil"/>
              <w:left w:val="nil"/>
              <w:bottom w:val="nil"/>
              <w:right w:val="nil"/>
            </w:tcBorders>
            <w:shd w:val="clear" w:color="auto" w:fill="auto"/>
            <w:vAlign w:val="center"/>
            <w:hideMark/>
          </w:tcPr>
          <w:p w14:paraId="7EBB33C7"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b) Operating profit for the 26 weeks ended 2 July 2022 does not include any government assistance received through business rates relief or through employee furlough payments. Equivalent figures for both the 26 weeks ended 3 July 2021 and the 52 weeks ended 1 January 2022 were £20m of business rates relief and £nil furlough payments. These amounts were netted against relevant cost lines in operating profit. </w:t>
            </w:r>
          </w:p>
        </w:tc>
      </w:tr>
      <w:tr w:rsidR="00B860D1" w:rsidRPr="00B860D1" w14:paraId="58C792C2" w14:textId="77777777" w:rsidTr="008C4883">
        <w:trPr>
          <w:gridAfter w:val="2"/>
          <w:wAfter w:w="304" w:type="dxa"/>
          <w:trHeight w:val="540"/>
        </w:trPr>
        <w:tc>
          <w:tcPr>
            <w:tcW w:w="10915" w:type="dxa"/>
            <w:gridSpan w:val="23"/>
            <w:tcBorders>
              <w:top w:val="nil"/>
              <w:left w:val="nil"/>
              <w:bottom w:val="nil"/>
              <w:right w:val="nil"/>
            </w:tcBorders>
            <w:shd w:val="clear" w:color="auto" w:fill="auto"/>
            <w:vAlign w:val="center"/>
            <w:hideMark/>
          </w:tcPr>
          <w:p w14:paraId="18E65E97"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c) The 'Other businesses' segment includes activities which are not reportable per IFRS 8. In the comparative period then this mainly comprised the results of Co-op Health which was sold on 6 April 2021. </w:t>
            </w:r>
          </w:p>
        </w:tc>
      </w:tr>
      <w:tr w:rsidR="00B860D1" w:rsidRPr="00B860D1" w14:paraId="2BDA32F8" w14:textId="77777777" w:rsidTr="008C4883">
        <w:trPr>
          <w:gridAfter w:val="2"/>
          <w:wAfter w:w="304" w:type="dxa"/>
          <w:trHeight w:val="518"/>
        </w:trPr>
        <w:tc>
          <w:tcPr>
            <w:tcW w:w="10915" w:type="dxa"/>
            <w:gridSpan w:val="23"/>
            <w:tcBorders>
              <w:top w:val="nil"/>
              <w:left w:val="nil"/>
              <w:bottom w:val="nil"/>
              <w:right w:val="nil"/>
            </w:tcBorders>
            <w:shd w:val="clear" w:color="auto" w:fill="auto"/>
            <w:vAlign w:val="center"/>
            <w:hideMark/>
          </w:tcPr>
          <w:p w14:paraId="7B55F663"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d) Federal relates to the activities of a joint buying group that is operated by the Group for other independent co-operative societies. This is run on a cost recovery basis and therefore no profit is derived from its activities.</w:t>
            </w:r>
          </w:p>
        </w:tc>
      </w:tr>
      <w:tr w:rsidR="00B860D1" w:rsidRPr="00B860D1" w14:paraId="3B5C8342" w14:textId="77777777" w:rsidTr="008C4883">
        <w:trPr>
          <w:gridAfter w:val="2"/>
          <w:wAfter w:w="304" w:type="dxa"/>
          <w:trHeight w:val="1103"/>
        </w:trPr>
        <w:tc>
          <w:tcPr>
            <w:tcW w:w="10915" w:type="dxa"/>
            <w:gridSpan w:val="23"/>
            <w:tcBorders>
              <w:top w:val="nil"/>
              <w:left w:val="nil"/>
              <w:bottom w:val="nil"/>
              <w:right w:val="nil"/>
            </w:tcBorders>
            <w:shd w:val="clear" w:color="auto" w:fill="auto"/>
            <w:vAlign w:val="center"/>
            <w:hideMark/>
          </w:tcPr>
          <w:p w14:paraId="6CE2296F" w14:textId="1C888B7D"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e) EBITDA (earnings before interest, tax, </w:t>
            </w:r>
            <w:proofErr w:type="gramStart"/>
            <w:r w:rsidRPr="00B860D1">
              <w:rPr>
                <w:rFonts w:ascii="Arial" w:eastAsia="Times New Roman" w:hAnsi="Arial" w:cs="Arial"/>
                <w:sz w:val="15"/>
                <w:szCs w:val="15"/>
                <w:lang w:eastAsia="en-GB"/>
              </w:rPr>
              <w:t>depreciation</w:t>
            </w:r>
            <w:proofErr w:type="gramEnd"/>
            <w:r w:rsidRPr="00B860D1">
              <w:rPr>
                <w:rFonts w:ascii="Arial" w:eastAsia="Times New Roman" w:hAnsi="Arial" w:cs="Arial"/>
                <w:sz w:val="15"/>
                <w:szCs w:val="15"/>
                <w:lang w:eastAsia="en-GB"/>
              </w:rPr>
              <w:t xml:space="preserve"> and amortisation) and underlying EBITDA are non-GAAP measure of performance which help us to understand the profits our business segments are generating before capital investment and interest charges. EBITDA is calculated by adding back depreciation and amortisation charges to Operating profit (which is calculated before interest charges). Underlying EBITDA is calculated in a similar way but starting from underlying operating profit.</w:t>
            </w:r>
          </w:p>
        </w:tc>
      </w:tr>
      <w:tr w:rsidR="00B860D1" w:rsidRPr="00B860D1" w14:paraId="18CE3A01" w14:textId="77777777" w:rsidTr="008D227F">
        <w:trPr>
          <w:gridAfter w:val="2"/>
          <w:wAfter w:w="304" w:type="dxa"/>
          <w:trHeight w:val="338"/>
        </w:trPr>
        <w:tc>
          <w:tcPr>
            <w:tcW w:w="8861" w:type="dxa"/>
            <w:gridSpan w:val="18"/>
            <w:tcBorders>
              <w:top w:val="nil"/>
              <w:left w:val="nil"/>
              <w:bottom w:val="nil"/>
              <w:right w:val="nil"/>
            </w:tcBorders>
            <w:shd w:val="clear" w:color="000000" w:fill="FFFFFF"/>
            <w:noWrap/>
            <w:vAlign w:val="center"/>
            <w:hideMark/>
          </w:tcPr>
          <w:p w14:paraId="67243F3C"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f) A reconciliation between underlying segment operating profit / (loss) and profit before tax is provided below:</w:t>
            </w:r>
          </w:p>
        </w:tc>
        <w:tc>
          <w:tcPr>
            <w:tcW w:w="483" w:type="dxa"/>
            <w:gridSpan w:val="2"/>
            <w:tcBorders>
              <w:top w:val="nil"/>
              <w:left w:val="nil"/>
              <w:bottom w:val="nil"/>
              <w:right w:val="nil"/>
            </w:tcBorders>
            <w:shd w:val="clear" w:color="000000" w:fill="FFFFFF"/>
            <w:noWrap/>
            <w:vAlign w:val="center"/>
            <w:hideMark/>
          </w:tcPr>
          <w:p w14:paraId="749ACCD7"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1004" w:type="dxa"/>
            <w:gridSpan w:val="2"/>
            <w:tcBorders>
              <w:top w:val="nil"/>
              <w:left w:val="nil"/>
              <w:bottom w:val="nil"/>
              <w:right w:val="nil"/>
            </w:tcBorders>
            <w:shd w:val="clear" w:color="000000" w:fill="FFFFFF"/>
            <w:noWrap/>
            <w:vAlign w:val="center"/>
            <w:hideMark/>
          </w:tcPr>
          <w:p w14:paraId="71B15175"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nil"/>
              <w:right w:val="nil"/>
            </w:tcBorders>
            <w:shd w:val="clear" w:color="000000" w:fill="FFFFFF"/>
            <w:noWrap/>
            <w:vAlign w:val="center"/>
            <w:hideMark/>
          </w:tcPr>
          <w:p w14:paraId="3A8EF15C"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r>
      <w:tr w:rsidR="00B860D1" w:rsidRPr="00B860D1" w14:paraId="4E744026" w14:textId="77777777" w:rsidTr="007462FB">
        <w:trPr>
          <w:gridAfter w:val="2"/>
          <w:wAfter w:w="304" w:type="dxa"/>
          <w:trHeight w:val="229"/>
        </w:trPr>
        <w:tc>
          <w:tcPr>
            <w:tcW w:w="4143" w:type="dxa"/>
            <w:gridSpan w:val="4"/>
            <w:tcBorders>
              <w:top w:val="nil"/>
              <w:left w:val="nil"/>
              <w:bottom w:val="nil"/>
              <w:right w:val="nil"/>
            </w:tcBorders>
            <w:shd w:val="clear" w:color="000000" w:fill="FFFFFF"/>
            <w:noWrap/>
            <w:vAlign w:val="bottom"/>
            <w:hideMark/>
          </w:tcPr>
          <w:p w14:paraId="3A93FB33"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lastRenderedPageBreak/>
              <w:t> </w:t>
            </w:r>
          </w:p>
        </w:tc>
        <w:tc>
          <w:tcPr>
            <w:tcW w:w="258" w:type="dxa"/>
            <w:gridSpan w:val="2"/>
            <w:tcBorders>
              <w:top w:val="nil"/>
              <w:left w:val="nil"/>
              <w:bottom w:val="nil"/>
              <w:right w:val="nil"/>
            </w:tcBorders>
            <w:shd w:val="clear" w:color="000000" w:fill="FFFFFF"/>
            <w:noWrap/>
            <w:vAlign w:val="bottom"/>
            <w:hideMark/>
          </w:tcPr>
          <w:p w14:paraId="5A18AE44"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nil"/>
              <w:right w:val="nil"/>
            </w:tcBorders>
            <w:shd w:val="clear" w:color="000000" w:fill="FFFFFF"/>
            <w:noWrap/>
            <w:vAlign w:val="bottom"/>
            <w:hideMark/>
          </w:tcPr>
          <w:p w14:paraId="7FE23F44"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000000" w:fill="FFFFFF"/>
            <w:noWrap/>
            <w:vAlign w:val="bottom"/>
            <w:hideMark/>
          </w:tcPr>
          <w:p w14:paraId="25A2085E"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000000" w:fill="FFFFFF"/>
            <w:noWrap/>
            <w:vAlign w:val="bottom"/>
            <w:hideMark/>
          </w:tcPr>
          <w:p w14:paraId="5427D0F1"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1346" w:type="dxa"/>
            <w:gridSpan w:val="3"/>
            <w:tcBorders>
              <w:top w:val="nil"/>
              <w:left w:val="nil"/>
              <w:bottom w:val="nil"/>
              <w:right w:val="nil"/>
            </w:tcBorders>
            <w:shd w:val="clear" w:color="000000" w:fill="FFFFFF"/>
            <w:noWrap/>
            <w:vAlign w:val="bottom"/>
            <w:hideMark/>
          </w:tcPr>
          <w:p w14:paraId="1687A2BE"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850" w:type="dxa"/>
            <w:gridSpan w:val="2"/>
            <w:tcBorders>
              <w:top w:val="nil"/>
              <w:left w:val="nil"/>
              <w:bottom w:val="nil"/>
              <w:right w:val="nil"/>
            </w:tcBorders>
            <w:shd w:val="clear" w:color="000000" w:fill="FFFFFF"/>
            <w:noWrap/>
            <w:vAlign w:val="bottom"/>
            <w:hideMark/>
          </w:tcPr>
          <w:p w14:paraId="6C7B09CB"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709" w:type="dxa"/>
            <w:gridSpan w:val="2"/>
            <w:tcBorders>
              <w:top w:val="nil"/>
              <w:left w:val="nil"/>
              <w:bottom w:val="nil"/>
              <w:right w:val="nil"/>
            </w:tcBorders>
            <w:shd w:val="clear" w:color="000000" w:fill="FFFFFF"/>
            <w:noWrap/>
            <w:vAlign w:val="bottom"/>
            <w:hideMark/>
          </w:tcPr>
          <w:p w14:paraId="4733A87B"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781" w:type="dxa"/>
            <w:gridSpan w:val="2"/>
            <w:tcBorders>
              <w:top w:val="nil"/>
              <w:left w:val="nil"/>
              <w:bottom w:val="nil"/>
              <w:right w:val="nil"/>
            </w:tcBorders>
            <w:shd w:val="clear" w:color="000000" w:fill="FFFFFF"/>
            <w:noWrap/>
            <w:vAlign w:val="bottom"/>
            <w:hideMark/>
          </w:tcPr>
          <w:p w14:paraId="23D35AB7"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483" w:type="dxa"/>
            <w:gridSpan w:val="2"/>
            <w:tcBorders>
              <w:top w:val="nil"/>
              <w:left w:val="nil"/>
              <w:bottom w:val="nil"/>
              <w:right w:val="nil"/>
            </w:tcBorders>
            <w:shd w:val="clear" w:color="000000" w:fill="FFFFFF"/>
            <w:noWrap/>
            <w:vAlign w:val="bottom"/>
            <w:hideMark/>
          </w:tcPr>
          <w:p w14:paraId="7E4BE4C2"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1004" w:type="dxa"/>
            <w:gridSpan w:val="2"/>
            <w:tcBorders>
              <w:top w:val="nil"/>
              <w:left w:val="nil"/>
              <w:bottom w:val="nil"/>
              <w:right w:val="nil"/>
            </w:tcBorders>
            <w:shd w:val="clear" w:color="000000" w:fill="FFFFFF"/>
            <w:noWrap/>
            <w:vAlign w:val="bottom"/>
            <w:hideMark/>
          </w:tcPr>
          <w:p w14:paraId="4093F537"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567" w:type="dxa"/>
            <w:tcBorders>
              <w:top w:val="nil"/>
              <w:left w:val="nil"/>
              <w:bottom w:val="nil"/>
              <w:right w:val="nil"/>
            </w:tcBorders>
            <w:shd w:val="clear" w:color="000000" w:fill="FFFFFF"/>
            <w:noWrap/>
            <w:vAlign w:val="bottom"/>
            <w:hideMark/>
          </w:tcPr>
          <w:p w14:paraId="073319DF"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r>
      <w:tr w:rsidR="002623ED" w:rsidRPr="00B860D1" w14:paraId="2549D239" w14:textId="77777777" w:rsidTr="005716DE">
        <w:trPr>
          <w:gridAfter w:val="2"/>
          <w:wAfter w:w="304" w:type="dxa"/>
          <w:trHeight w:val="70"/>
        </w:trPr>
        <w:tc>
          <w:tcPr>
            <w:tcW w:w="4143" w:type="dxa"/>
            <w:gridSpan w:val="4"/>
            <w:tcBorders>
              <w:top w:val="single" w:sz="4" w:space="0" w:color="BFBFBF"/>
              <w:left w:val="single" w:sz="4" w:space="0" w:color="BFBFBF"/>
              <w:bottom w:val="nil"/>
              <w:right w:val="nil"/>
            </w:tcBorders>
            <w:shd w:val="clear" w:color="auto" w:fill="auto"/>
            <w:noWrap/>
            <w:vAlign w:val="bottom"/>
            <w:hideMark/>
          </w:tcPr>
          <w:p w14:paraId="5CCDDE39" w14:textId="77777777" w:rsidR="002623ED" w:rsidRPr="00B860D1" w:rsidRDefault="002623ED" w:rsidP="002623ED">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gridSpan w:val="2"/>
            <w:tcBorders>
              <w:top w:val="single" w:sz="4" w:space="0" w:color="BFBFBF"/>
              <w:left w:val="nil"/>
              <w:bottom w:val="nil"/>
              <w:right w:val="nil"/>
            </w:tcBorders>
            <w:shd w:val="clear" w:color="auto" w:fill="auto"/>
            <w:noWrap/>
            <w:vAlign w:val="bottom"/>
            <w:hideMark/>
          </w:tcPr>
          <w:p w14:paraId="60D32A8A" w14:textId="77777777" w:rsidR="002623ED" w:rsidRPr="00B860D1" w:rsidRDefault="002623ED" w:rsidP="002623ED">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single" w:sz="4" w:space="0" w:color="BFBFBF"/>
              <w:left w:val="nil"/>
              <w:bottom w:val="nil"/>
              <w:right w:val="nil"/>
            </w:tcBorders>
            <w:shd w:val="clear" w:color="auto" w:fill="auto"/>
            <w:noWrap/>
            <w:vAlign w:val="bottom"/>
            <w:hideMark/>
          </w:tcPr>
          <w:p w14:paraId="2013D750" w14:textId="77777777" w:rsidR="002623ED" w:rsidRPr="00B860D1" w:rsidRDefault="002623ED" w:rsidP="002623ED">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single" w:sz="4" w:space="0" w:color="BFBFBF"/>
              <w:left w:val="nil"/>
              <w:bottom w:val="nil"/>
              <w:right w:val="nil"/>
            </w:tcBorders>
            <w:shd w:val="clear" w:color="auto" w:fill="auto"/>
            <w:noWrap/>
            <w:vAlign w:val="bottom"/>
            <w:hideMark/>
          </w:tcPr>
          <w:p w14:paraId="3437D01C" w14:textId="77777777" w:rsidR="002623ED" w:rsidRPr="00B860D1" w:rsidRDefault="002623ED" w:rsidP="002623ED">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single" w:sz="4" w:space="0" w:color="BFBFBF"/>
              <w:left w:val="nil"/>
              <w:bottom w:val="nil"/>
              <w:right w:val="nil"/>
            </w:tcBorders>
            <w:shd w:val="clear" w:color="auto" w:fill="auto"/>
            <w:noWrap/>
            <w:vAlign w:val="bottom"/>
            <w:hideMark/>
          </w:tcPr>
          <w:p w14:paraId="5C3796EA" w14:textId="77777777" w:rsidR="002623ED" w:rsidRPr="00B860D1" w:rsidRDefault="002623ED" w:rsidP="002623ED">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single" w:sz="4" w:space="0" w:color="BFBFBF"/>
              <w:left w:val="nil"/>
              <w:bottom w:val="nil"/>
              <w:right w:val="nil"/>
            </w:tcBorders>
            <w:shd w:val="clear" w:color="auto" w:fill="auto"/>
            <w:noWrap/>
            <w:vAlign w:val="bottom"/>
            <w:hideMark/>
          </w:tcPr>
          <w:p w14:paraId="5BA5798E" w14:textId="77777777" w:rsidR="002623ED" w:rsidRPr="00B860D1" w:rsidRDefault="002623ED" w:rsidP="002623ED">
            <w:pPr>
              <w:spacing w:after="0" w:line="240" w:lineRule="auto"/>
              <w:rPr>
                <w:rFonts w:ascii="Arial" w:eastAsia="Times New Roman" w:hAnsi="Arial" w:cs="Arial"/>
                <w:sz w:val="20"/>
                <w:szCs w:val="20"/>
                <w:lang w:eastAsia="en-GB"/>
              </w:rPr>
            </w:pPr>
            <w:r w:rsidRPr="00B860D1">
              <w:rPr>
                <w:rFonts w:ascii="Arial" w:eastAsia="Times New Roman" w:hAnsi="Arial" w:cs="Arial"/>
                <w:sz w:val="20"/>
                <w:szCs w:val="20"/>
                <w:lang w:eastAsia="en-GB"/>
              </w:rPr>
              <w:t> </w:t>
            </w:r>
          </w:p>
        </w:tc>
        <w:tc>
          <w:tcPr>
            <w:tcW w:w="1559" w:type="dxa"/>
            <w:gridSpan w:val="4"/>
            <w:tcBorders>
              <w:top w:val="single" w:sz="4" w:space="0" w:color="BFBFBF"/>
              <w:left w:val="nil"/>
              <w:bottom w:val="nil"/>
              <w:right w:val="nil"/>
            </w:tcBorders>
            <w:shd w:val="clear" w:color="auto" w:fill="auto"/>
            <w:vAlign w:val="center"/>
            <w:hideMark/>
          </w:tcPr>
          <w:p w14:paraId="600DAFDC" w14:textId="77777777" w:rsidR="002623ED" w:rsidRDefault="002623ED" w:rsidP="002623ED">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xml:space="preserve">26 weeks </w:t>
            </w:r>
          </w:p>
          <w:p w14:paraId="763521A9" w14:textId="328CD680" w:rsidR="002623ED" w:rsidRPr="00B860D1" w:rsidRDefault="002623ED" w:rsidP="002623ED">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ended</w:t>
            </w:r>
          </w:p>
        </w:tc>
        <w:tc>
          <w:tcPr>
            <w:tcW w:w="1264" w:type="dxa"/>
            <w:gridSpan w:val="4"/>
            <w:tcBorders>
              <w:top w:val="single" w:sz="4" w:space="0" w:color="BFBFBF"/>
              <w:left w:val="nil"/>
              <w:bottom w:val="nil"/>
              <w:right w:val="nil"/>
            </w:tcBorders>
            <w:shd w:val="clear" w:color="auto" w:fill="auto"/>
            <w:vAlign w:val="center"/>
            <w:hideMark/>
          </w:tcPr>
          <w:p w14:paraId="72C46EB7" w14:textId="77777777" w:rsidR="002623ED" w:rsidRPr="00E400D7" w:rsidRDefault="002623ED" w:rsidP="002623ED">
            <w:pPr>
              <w:spacing w:after="0" w:line="240" w:lineRule="auto"/>
              <w:jc w:val="right"/>
              <w:rPr>
                <w:rFonts w:ascii="Arial" w:eastAsia="Times New Roman" w:hAnsi="Arial" w:cs="Arial"/>
                <w:sz w:val="15"/>
                <w:szCs w:val="15"/>
                <w:lang w:eastAsia="en-GB"/>
              </w:rPr>
            </w:pPr>
            <w:r w:rsidRPr="00E400D7">
              <w:rPr>
                <w:rFonts w:ascii="Arial" w:eastAsia="Times New Roman" w:hAnsi="Arial" w:cs="Arial"/>
                <w:sz w:val="15"/>
                <w:szCs w:val="15"/>
                <w:lang w:eastAsia="en-GB"/>
              </w:rPr>
              <w:t xml:space="preserve">26 weeks </w:t>
            </w:r>
          </w:p>
          <w:p w14:paraId="6F5951DE" w14:textId="74D84B87" w:rsidR="002623ED" w:rsidRPr="00D311C4" w:rsidRDefault="002623ED" w:rsidP="002623ED">
            <w:pPr>
              <w:spacing w:after="0" w:line="240" w:lineRule="auto"/>
              <w:jc w:val="right"/>
              <w:rPr>
                <w:rFonts w:ascii="Arial" w:eastAsia="Times New Roman" w:hAnsi="Arial" w:cs="Arial"/>
                <w:sz w:val="15"/>
                <w:szCs w:val="15"/>
                <w:lang w:eastAsia="en-GB"/>
              </w:rPr>
            </w:pPr>
            <w:r w:rsidRPr="00E400D7">
              <w:rPr>
                <w:rFonts w:ascii="Arial" w:eastAsia="Times New Roman" w:hAnsi="Arial" w:cs="Arial"/>
                <w:sz w:val="15"/>
                <w:szCs w:val="15"/>
                <w:lang w:eastAsia="en-GB"/>
              </w:rPr>
              <w:t>ended</w:t>
            </w:r>
          </w:p>
        </w:tc>
        <w:tc>
          <w:tcPr>
            <w:tcW w:w="1571" w:type="dxa"/>
            <w:gridSpan w:val="3"/>
            <w:tcBorders>
              <w:top w:val="single" w:sz="4" w:space="0" w:color="BFBFBF"/>
              <w:left w:val="nil"/>
              <w:bottom w:val="nil"/>
              <w:right w:val="single" w:sz="4" w:space="0" w:color="BFBFBF"/>
            </w:tcBorders>
            <w:shd w:val="clear" w:color="auto" w:fill="auto"/>
            <w:vAlign w:val="center"/>
            <w:hideMark/>
          </w:tcPr>
          <w:p w14:paraId="7A696F97" w14:textId="77777777" w:rsidR="002623ED" w:rsidRPr="001E5BD2" w:rsidRDefault="002623ED" w:rsidP="002623ED">
            <w:pPr>
              <w:spacing w:after="0" w:line="240" w:lineRule="auto"/>
              <w:jc w:val="right"/>
              <w:rPr>
                <w:rFonts w:ascii="Arial" w:eastAsia="Times New Roman" w:hAnsi="Arial" w:cs="Arial"/>
                <w:sz w:val="15"/>
                <w:szCs w:val="15"/>
                <w:lang w:eastAsia="en-GB"/>
              </w:rPr>
            </w:pPr>
            <w:r w:rsidRPr="001E5BD2">
              <w:rPr>
                <w:rFonts w:ascii="Arial" w:eastAsia="Times New Roman" w:hAnsi="Arial" w:cs="Arial"/>
                <w:sz w:val="15"/>
                <w:szCs w:val="15"/>
                <w:lang w:eastAsia="en-GB"/>
              </w:rPr>
              <w:t xml:space="preserve">26 weeks </w:t>
            </w:r>
          </w:p>
          <w:p w14:paraId="50A6AD0E" w14:textId="39EAE9A5" w:rsidR="002623ED" w:rsidRPr="001E5BD2" w:rsidRDefault="002623ED" w:rsidP="002623ED">
            <w:pPr>
              <w:spacing w:after="0" w:line="240" w:lineRule="auto"/>
              <w:jc w:val="right"/>
              <w:rPr>
                <w:rFonts w:ascii="Arial" w:eastAsia="Times New Roman" w:hAnsi="Arial" w:cs="Arial"/>
                <w:sz w:val="15"/>
                <w:szCs w:val="15"/>
                <w:lang w:eastAsia="en-GB"/>
              </w:rPr>
            </w:pPr>
            <w:r w:rsidRPr="001E5BD2">
              <w:rPr>
                <w:rFonts w:ascii="Arial" w:eastAsia="Times New Roman" w:hAnsi="Arial" w:cs="Arial"/>
                <w:sz w:val="15"/>
                <w:szCs w:val="15"/>
                <w:lang w:eastAsia="en-GB"/>
              </w:rPr>
              <w:t>ended</w:t>
            </w:r>
          </w:p>
        </w:tc>
      </w:tr>
      <w:tr w:rsidR="008C4883" w:rsidRPr="00B860D1" w14:paraId="47B7C75B" w14:textId="77777777" w:rsidTr="005716DE">
        <w:trPr>
          <w:gridAfter w:val="2"/>
          <w:wAfter w:w="304" w:type="dxa"/>
          <w:trHeight w:val="80"/>
        </w:trPr>
        <w:tc>
          <w:tcPr>
            <w:tcW w:w="4143" w:type="dxa"/>
            <w:gridSpan w:val="4"/>
            <w:tcBorders>
              <w:top w:val="nil"/>
              <w:left w:val="single" w:sz="4" w:space="0" w:color="BFBFBF"/>
              <w:bottom w:val="nil"/>
              <w:right w:val="nil"/>
            </w:tcBorders>
            <w:shd w:val="clear" w:color="auto" w:fill="auto"/>
            <w:noWrap/>
            <w:vAlign w:val="bottom"/>
            <w:hideMark/>
          </w:tcPr>
          <w:p w14:paraId="1C1289E9"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gridSpan w:val="2"/>
            <w:tcBorders>
              <w:top w:val="nil"/>
              <w:left w:val="nil"/>
              <w:bottom w:val="nil"/>
              <w:right w:val="nil"/>
            </w:tcBorders>
            <w:shd w:val="clear" w:color="auto" w:fill="auto"/>
            <w:noWrap/>
            <w:vAlign w:val="bottom"/>
            <w:hideMark/>
          </w:tcPr>
          <w:p w14:paraId="0E4161C6"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auto" w:fill="auto"/>
            <w:noWrap/>
            <w:vAlign w:val="bottom"/>
            <w:hideMark/>
          </w:tcPr>
          <w:p w14:paraId="7D50B042"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auto" w:fill="auto"/>
            <w:noWrap/>
            <w:vAlign w:val="bottom"/>
            <w:hideMark/>
          </w:tcPr>
          <w:p w14:paraId="1B86D12F" w14:textId="77777777" w:rsidR="00B860D1" w:rsidRPr="00B860D1" w:rsidRDefault="00B860D1" w:rsidP="00B860D1">
            <w:pPr>
              <w:spacing w:after="0" w:line="240" w:lineRule="auto"/>
              <w:jc w:val="right"/>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nil"/>
              <w:right w:val="nil"/>
            </w:tcBorders>
            <w:shd w:val="clear" w:color="auto" w:fill="auto"/>
            <w:noWrap/>
            <w:vAlign w:val="bottom"/>
            <w:hideMark/>
          </w:tcPr>
          <w:p w14:paraId="1E13BFA2" w14:textId="77777777" w:rsidR="00B860D1" w:rsidRPr="00B860D1" w:rsidRDefault="00B860D1" w:rsidP="00B860D1">
            <w:pPr>
              <w:spacing w:after="0" w:line="240" w:lineRule="auto"/>
              <w:jc w:val="right"/>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nil"/>
              <w:left w:val="nil"/>
              <w:bottom w:val="nil"/>
              <w:right w:val="nil"/>
            </w:tcBorders>
            <w:shd w:val="clear" w:color="auto" w:fill="auto"/>
            <w:noWrap/>
            <w:vAlign w:val="bottom"/>
            <w:hideMark/>
          </w:tcPr>
          <w:p w14:paraId="76AB6F3B" w14:textId="77777777" w:rsidR="00B860D1" w:rsidRPr="00B860D1" w:rsidRDefault="00B860D1" w:rsidP="00B860D1">
            <w:pPr>
              <w:spacing w:after="0" w:line="240" w:lineRule="auto"/>
              <w:rPr>
                <w:rFonts w:ascii="Arial" w:eastAsia="Times New Roman" w:hAnsi="Arial" w:cs="Arial"/>
                <w:sz w:val="20"/>
                <w:szCs w:val="20"/>
                <w:lang w:eastAsia="en-GB"/>
              </w:rPr>
            </w:pPr>
            <w:r w:rsidRPr="00B860D1">
              <w:rPr>
                <w:rFonts w:ascii="Arial" w:eastAsia="Times New Roman" w:hAnsi="Arial" w:cs="Arial"/>
                <w:sz w:val="20"/>
                <w:szCs w:val="20"/>
                <w:lang w:eastAsia="en-GB"/>
              </w:rPr>
              <w:t> </w:t>
            </w:r>
          </w:p>
        </w:tc>
        <w:tc>
          <w:tcPr>
            <w:tcW w:w="1559" w:type="dxa"/>
            <w:gridSpan w:val="4"/>
            <w:tcBorders>
              <w:top w:val="nil"/>
              <w:left w:val="nil"/>
              <w:bottom w:val="nil"/>
              <w:right w:val="nil"/>
            </w:tcBorders>
            <w:shd w:val="clear" w:color="auto" w:fill="auto"/>
            <w:vAlign w:val="center"/>
            <w:hideMark/>
          </w:tcPr>
          <w:p w14:paraId="29D73248"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2 July 2022</w:t>
            </w:r>
          </w:p>
        </w:tc>
        <w:tc>
          <w:tcPr>
            <w:tcW w:w="1264" w:type="dxa"/>
            <w:gridSpan w:val="4"/>
            <w:tcBorders>
              <w:top w:val="nil"/>
              <w:left w:val="nil"/>
              <w:bottom w:val="nil"/>
              <w:right w:val="nil"/>
            </w:tcBorders>
            <w:shd w:val="clear" w:color="auto" w:fill="auto"/>
            <w:vAlign w:val="center"/>
            <w:hideMark/>
          </w:tcPr>
          <w:p w14:paraId="3FB0B3C5"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3 July 2021</w:t>
            </w:r>
          </w:p>
        </w:tc>
        <w:tc>
          <w:tcPr>
            <w:tcW w:w="1571" w:type="dxa"/>
            <w:gridSpan w:val="3"/>
            <w:tcBorders>
              <w:top w:val="nil"/>
              <w:left w:val="nil"/>
              <w:bottom w:val="nil"/>
              <w:right w:val="single" w:sz="4" w:space="0" w:color="BFBFBF"/>
            </w:tcBorders>
            <w:shd w:val="clear" w:color="auto" w:fill="auto"/>
            <w:vAlign w:val="center"/>
            <w:hideMark/>
          </w:tcPr>
          <w:p w14:paraId="78ED6E92"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1 January 2022</w:t>
            </w:r>
          </w:p>
        </w:tc>
      </w:tr>
      <w:tr w:rsidR="008C4883" w:rsidRPr="00B860D1" w14:paraId="1F240C8A" w14:textId="77777777" w:rsidTr="005716DE">
        <w:trPr>
          <w:gridAfter w:val="2"/>
          <w:wAfter w:w="304" w:type="dxa"/>
          <w:trHeight w:val="263"/>
        </w:trPr>
        <w:tc>
          <w:tcPr>
            <w:tcW w:w="4143" w:type="dxa"/>
            <w:gridSpan w:val="4"/>
            <w:tcBorders>
              <w:top w:val="nil"/>
              <w:left w:val="single" w:sz="4" w:space="0" w:color="BFBFBF"/>
              <w:bottom w:val="nil"/>
              <w:right w:val="nil"/>
            </w:tcBorders>
            <w:shd w:val="clear" w:color="auto" w:fill="auto"/>
            <w:noWrap/>
            <w:vAlign w:val="bottom"/>
            <w:hideMark/>
          </w:tcPr>
          <w:p w14:paraId="7067D2AF"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gridSpan w:val="2"/>
            <w:tcBorders>
              <w:top w:val="nil"/>
              <w:left w:val="nil"/>
              <w:bottom w:val="nil"/>
              <w:right w:val="nil"/>
            </w:tcBorders>
            <w:shd w:val="clear" w:color="auto" w:fill="auto"/>
            <w:noWrap/>
            <w:vAlign w:val="bottom"/>
            <w:hideMark/>
          </w:tcPr>
          <w:p w14:paraId="5A0A819A"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auto" w:fill="auto"/>
            <w:noWrap/>
            <w:vAlign w:val="bottom"/>
            <w:hideMark/>
          </w:tcPr>
          <w:p w14:paraId="601ADEDD"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auto" w:fill="auto"/>
            <w:noWrap/>
            <w:vAlign w:val="bottom"/>
            <w:hideMark/>
          </w:tcPr>
          <w:p w14:paraId="01E4B009" w14:textId="77777777" w:rsidR="00B860D1" w:rsidRPr="00B860D1" w:rsidRDefault="00B860D1" w:rsidP="00B860D1">
            <w:pPr>
              <w:spacing w:after="0" w:line="240" w:lineRule="auto"/>
              <w:jc w:val="right"/>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nil"/>
              <w:right w:val="nil"/>
            </w:tcBorders>
            <w:shd w:val="clear" w:color="auto" w:fill="auto"/>
            <w:noWrap/>
            <w:vAlign w:val="bottom"/>
            <w:hideMark/>
          </w:tcPr>
          <w:p w14:paraId="3D420463" w14:textId="77777777" w:rsidR="00B860D1" w:rsidRPr="00B860D1" w:rsidRDefault="00B860D1" w:rsidP="00B860D1">
            <w:pPr>
              <w:spacing w:after="0" w:line="240" w:lineRule="auto"/>
              <w:jc w:val="right"/>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nil"/>
              <w:left w:val="nil"/>
              <w:bottom w:val="nil"/>
              <w:right w:val="nil"/>
            </w:tcBorders>
            <w:shd w:val="clear" w:color="auto" w:fill="auto"/>
            <w:noWrap/>
            <w:vAlign w:val="bottom"/>
            <w:hideMark/>
          </w:tcPr>
          <w:p w14:paraId="28AF2FDF" w14:textId="77777777" w:rsidR="00B860D1" w:rsidRPr="00B860D1" w:rsidRDefault="00B860D1" w:rsidP="00B860D1">
            <w:pPr>
              <w:spacing w:after="0" w:line="240" w:lineRule="auto"/>
              <w:rPr>
                <w:rFonts w:ascii="Arial" w:eastAsia="Times New Roman" w:hAnsi="Arial" w:cs="Arial"/>
                <w:sz w:val="20"/>
                <w:szCs w:val="20"/>
                <w:lang w:eastAsia="en-GB"/>
              </w:rPr>
            </w:pPr>
            <w:r w:rsidRPr="00B860D1">
              <w:rPr>
                <w:rFonts w:ascii="Arial" w:eastAsia="Times New Roman" w:hAnsi="Arial" w:cs="Arial"/>
                <w:sz w:val="20"/>
                <w:szCs w:val="20"/>
                <w:lang w:eastAsia="en-GB"/>
              </w:rPr>
              <w:t> </w:t>
            </w:r>
          </w:p>
        </w:tc>
        <w:tc>
          <w:tcPr>
            <w:tcW w:w="1559" w:type="dxa"/>
            <w:gridSpan w:val="4"/>
            <w:tcBorders>
              <w:top w:val="nil"/>
              <w:left w:val="nil"/>
              <w:bottom w:val="nil"/>
              <w:right w:val="nil"/>
            </w:tcBorders>
            <w:shd w:val="clear" w:color="auto" w:fill="auto"/>
            <w:vAlign w:val="center"/>
            <w:hideMark/>
          </w:tcPr>
          <w:p w14:paraId="63CC49B0"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(unaudited)</w:t>
            </w:r>
          </w:p>
        </w:tc>
        <w:tc>
          <w:tcPr>
            <w:tcW w:w="1264" w:type="dxa"/>
            <w:gridSpan w:val="4"/>
            <w:tcBorders>
              <w:top w:val="nil"/>
              <w:left w:val="nil"/>
              <w:bottom w:val="nil"/>
              <w:right w:val="nil"/>
            </w:tcBorders>
            <w:shd w:val="clear" w:color="auto" w:fill="auto"/>
            <w:vAlign w:val="center"/>
            <w:hideMark/>
          </w:tcPr>
          <w:p w14:paraId="2F33D050"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(unaudited)</w:t>
            </w:r>
          </w:p>
        </w:tc>
        <w:tc>
          <w:tcPr>
            <w:tcW w:w="1571" w:type="dxa"/>
            <w:gridSpan w:val="3"/>
            <w:tcBorders>
              <w:top w:val="nil"/>
              <w:left w:val="nil"/>
              <w:bottom w:val="nil"/>
              <w:right w:val="single" w:sz="4" w:space="0" w:color="BFBFBF"/>
            </w:tcBorders>
            <w:shd w:val="clear" w:color="auto" w:fill="auto"/>
            <w:vAlign w:val="center"/>
            <w:hideMark/>
          </w:tcPr>
          <w:p w14:paraId="71CB4BB3"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(audited)</w:t>
            </w:r>
          </w:p>
        </w:tc>
      </w:tr>
      <w:tr w:rsidR="00B860D1" w:rsidRPr="00B860D1" w14:paraId="7BE1641C" w14:textId="77777777" w:rsidTr="007462FB">
        <w:trPr>
          <w:gridAfter w:val="2"/>
          <w:wAfter w:w="304" w:type="dxa"/>
          <w:trHeight w:val="240"/>
        </w:trPr>
        <w:tc>
          <w:tcPr>
            <w:tcW w:w="4143" w:type="dxa"/>
            <w:gridSpan w:val="4"/>
            <w:tcBorders>
              <w:top w:val="nil"/>
              <w:left w:val="single" w:sz="4" w:space="0" w:color="BFBFBF"/>
              <w:bottom w:val="single" w:sz="4" w:space="0" w:color="BFBFBF"/>
              <w:right w:val="nil"/>
            </w:tcBorders>
            <w:shd w:val="clear" w:color="auto" w:fill="auto"/>
            <w:noWrap/>
            <w:vAlign w:val="bottom"/>
            <w:hideMark/>
          </w:tcPr>
          <w:p w14:paraId="4501BD02"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gridSpan w:val="2"/>
            <w:tcBorders>
              <w:top w:val="nil"/>
              <w:left w:val="nil"/>
              <w:bottom w:val="single" w:sz="4" w:space="0" w:color="BFBFBF"/>
              <w:right w:val="nil"/>
            </w:tcBorders>
            <w:shd w:val="clear" w:color="auto" w:fill="auto"/>
            <w:noWrap/>
            <w:vAlign w:val="bottom"/>
            <w:hideMark/>
          </w:tcPr>
          <w:p w14:paraId="6EBCDC60"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single" w:sz="4" w:space="0" w:color="BFBFBF"/>
              <w:right w:val="nil"/>
            </w:tcBorders>
            <w:shd w:val="clear" w:color="auto" w:fill="auto"/>
            <w:noWrap/>
            <w:vAlign w:val="bottom"/>
            <w:hideMark/>
          </w:tcPr>
          <w:p w14:paraId="5E5F493B"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single" w:sz="4" w:space="0" w:color="BFBFBF"/>
              <w:right w:val="nil"/>
            </w:tcBorders>
            <w:shd w:val="clear" w:color="auto" w:fill="auto"/>
            <w:noWrap/>
            <w:vAlign w:val="bottom"/>
            <w:hideMark/>
          </w:tcPr>
          <w:p w14:paraId="08894E1B" w14:textId="77777777" w:rsidR="00B860D1" w:rsidRPr="00B860D1" w:rsidRDefault="00B860D1" w:rsidP="00B860D1">
            <w:pPr>
              <w:spacing w:after="0" w:line="240" w:lineRule="auto"/>
              <w:jc w:val="right"/>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single" w:sz="4" w:space="0" w:color="BFBFBF"/>
              <w:right w:val="nil"/>
            </w:tcBorders>
            <w:shd w:val="clear" w:color="auto" w:fill="auto"/>
            <w:noWrap/>
            <w:vAlign w:val="bottom"/>
            <w:hideMark/>
          </w:tcPr>
          <w:p w14:paraId="168603FB" w14:textId="77777777" w:rsidR="00B860D1" w:rsidRPr="00B860D1" w:rsidRDefault="00B860D1" w:rsidP="00B860D1">
            <w:pPr>
              <w:spacing w:after="0" w:line="240" w:lineRule="auto"/>
              <w:jc w:val="right"/>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nil"/>
              <w:left w:val="nil"/>
              <w:bottom w:val="single" w:sz="4" w:space="0" w:color="BFBFBF"/>
              <w:right w:val="nil"/>
            </w:tcBorders>
            <w:shd w:val="clear" w:color="auto" w:fill="auto"/>
            <w:noWrap/>
            <w:vAlign w:val="center"/>
            <w:hideMark/>
          </w:tcPr>
          <w:p w14:paraId="2E536111" w14:textId="77777777" w:rsidR="00B860D1" w:rsidRPr="00B860D1" w:rsidRDefault="00B860D1" w:rsidP="00B860D1">
            <w:pPr>
              <w:spacing w:after="0" w:line="240" w:lineRule="auto"/>
              <w:jc w:val="right"/>
              <w:rPr>
                <w:rFonts w:ascii="Arial" w:eastAsia="Times New Roman" w:hAnsi="Arial" w:cs="Arial"/>
                <w:sz w:val="14"/>
                <w:szCs w:val="14"/>
                <w:lang w:eastAsia="en-GB"/>
              </w:rPr>
            </w:pPr>
            <w:r w:rsidRPr="00B860D1">
              <w:rPr>
                <w:rFonts w:ascii="Arial" w:eastAsia="Times New Roman" w:hAnsi="Arial" w:cs="Arial"/>
                <w:sz w:val="14"/>
                <w:szCs w:val="14"/>
                <w:lang w:eastAsia="en-GB"/>
              </w:rPr>
              <w:t>Notes</w:t>
            </w:r>
          </w:p>
        </w:tc>
        <w:tc>
          <w:tcPr>
            <w:tcW w:w="850" w:type="dxa"/>
            <w:gridSpan w:val="2"/>
            <w:tcBorders>
              <w:top w:val="nil"/>
              <w:left w:val="nil"/>
              <w:bottom w:val="single" w:sz="4" w:space="0" w:color="BFBFBF"/>
              <w:right w:val="nil"/>
            </w:tcBorders>
            <w:shd w:val="clear" w:color="auto" w:fill="auto"/>
            <w:hideMark/>
          </w:tcPr>
          <w:p w14:paraId="4FBF9B72"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709" w:type="dxa"/>
            <w:gridSpan w:val="2"/>
            <w:tcBorders>
              <w:top w:val="nil"/>
              <w:left w:val="nil"/>
              <w:bottom w:val="single" w:sz="4" w:space="0" w:color="BFBFBF"/>
              <w:right w:val="nil"/>
            </w:tcBorders>
            <w:shd w:val="clear" w:color="auto" w:fill="auto"/>
            <w:hideMark/>
          </w:tcPr>
          <w:p w14:paraId="04BB4F31"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£m</w:t>
            </w:r>
          </w:p>
        </w:tc>
        <w:tc>
          <w:tcPr>
            <w:tcW w:w="781" w:type="dxa"/>
            <w:gridSpan w:val="2"/>
            <w:tcBorders>
              <w:top w:val="nil"/>
              <w:left w:val="nil"/>
              <w:bottom w:val="single" w:sz="4" w:space="0" w:color="BFBFBF"/>
              <w:right w:val="nil"/>
            </w:tcBorders>
            <w:shd w:val="clear" w:color="auto" w:fill="auto"/>
            <w:noWrap/>
            <w:vAlign w:val="bottom"/>
            <w:hideMark/>
          </w:tcPr>
          <w:p w14:paraId="20D9B80F" w14:textId="77777777" w:rsidR="00B860D1" w:rsidRPr="00B860D1" w:rsidRDefault="00B860D1" w:rsidP="00B860D1">
            <w:pPr>
              <w:spacing w:after="0" w:line="240" w:lineRule="auto"/>
              <w:rPr>
                <w:rFonts w:ascii="Arial" w:eastAsia="Times New Roman" w:hAnsi="Arial" w:cs="Arial"/>
                <w:sz w:val="20"/>
                <w:szCs w:val="20"/>
                <w:lang w:eastAsia="en-GB"/>
              </w:rPr>
            </w:pPr>
            <w:r w:rsidRPr="00B860D1">
              <w:rPr>
                <w:rFonts w:ascii="Arial" w:eastAsia="Times New Roman" w:hAnsi="Arial" w:cs="Arial"/>
                <w:sz w:val="20"/>
                <w:szCs w:val="20"/>
                <w:lang w:eastAsia="en-GB"/>
              </w:rPr>
              <w:t> </w:t>
            </w:r>
          </w:p>
        </w:tc>
        <w:tc>
          <w:tcPr>
            <w:tcW w:w="483" w:type="dxa"/>
            <w:gridSpan w:val="2"/>
            <w:tcBorders>
              <w:top w:val="nil"/>
              <w:left w:val="nil"/>
              <w:bottom w:val="single" w:sz="4" w:space="0" w:color="BFBFBF"/>
              <w:right w:val="nil"/>
            </w:tcBorders>
            <w:shd w:val="clear" w:color="auto" w:fill="auto"/>
            <w:noWrap/>
            <w:hideMark/>
          </w:tcPr>
          <w:p w14:paraId="5B76E633"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£m</w:t>
            </w:r>
          </w:p>
        </w:tc>
        <w:tc>
          <w:tcPr>
            <w:tcW w:w="1004" w:type="dxa"/>
            <w:gridSpan w:val="2"/>
            <w:tcBorders>
              <w:top w:val="nil"/>
              <w:left w:val="nil"/>
              <w:bottom w:val="single" w:sz="4" w:space="0" w:color="BFBFBF"/>
              <w:right w:val="nil"/>
            </w:tcBorders>
            <w:shd w:val="clear" w:color="auto" w:fill="auto"/>
            <w:noWrap/>
            <w:hideMark/>
          </w:tcPr>
          <w:p w14:paraId="7B6A08B1"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567" w:type="dxa"/>
            <w:tcBorders>
              <w:top w:val="nil"/>
              <w:left w:val="nil"/>
              <w:bottom w:val="single" w:sz="4" w:space="0" w:color="BFBFBF"/>
              <w:right w:val="single" w:sz="4" w:space="0" w:color="BFBFBF"/>
            </w:tcBorders>
            <w:shd w:val="clear" w:color="auto" w:fill="auto"/>
            <w:noWrap/>
            <w:hideMark/>
          </w:tcPr>
          <w:p w14:paraId="2DDC6A29"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£m</w:t>
            </w:r>
          </w:p>
        </w:tc>
      </w:tr>
      <w:tr w:rsidR="00B860D1" w:rsidRPr="00B860D1" w14:paraId="4F30BFFC" w14:textId="77777777" w:rsidTr="007462FB">
        <w:trPr>
          <w:gridAfter w:val="2"/>
          <w:wAfter w:w="304" w:type="dxa"/>
          <w:trHeight w:val="263"/>
        </w:trPr>
        <w:tc>
          <w:tcPr>
            <w:tcW w:w="4143" w:type="dxa"/>
            <w:gridSpan w:val="4"/>
            <w:tcBorders>
              <w:top w:val="nil"/>
              <w:left w:val="nil"/>
              <w:bottom w:val="nil"/>
              <w:right w:val="nil"/>
            </w:tcBorders>
            <w:shd w:val="clear" w:color="000000" w:fill="FFFFFF"/>
            <w:noWrap/>
            <w:vAlign w:val="center"/>
            <w:hideMark/>
          </w:tcPr>
          <w:p w14:paraId="10CA6F60"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Underlying operating profit</w:t>
            </w:r>
          </w:p>
        </w:tc>
        <w:tc>
          <w:tcPr>
            <w:tcW w:w="258" w:type="dxa"/>
            <w:gridSpan w:val="2"/>
            <w:tcBorders>
              <w:top w:val="nil"/>
              <w:left w:val="nil"/>
              <w:bottom w:val="nil"/>
              <w:right w:val="nil"/>
            </w:tcBorders>
            <w:shd w:val="clear" w:color="000000" w:fill="FFFFFF"/>
            <w:noWrap/>
            <w:vAlign w:val="bottom"/>
            <w:hideMark/>
          </w:tcPr>
          <w:p w14:paraId="411F6A40"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nil"/>
              <w:right w:val="nil"/>
            </w:tcBorders>
            <w:shd w:val="clear" w:color="000000" w:fill="FFFFFF"/>
            <w:noWrap/>
            <w:vAlign w:val="bottom"/>
            <w:hideMark/>
          </w:tcPr>
          <w:p w14:paraId="6D3BF1D0"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000000" w:fill="FFFFFF"/>
            <w:noWrap/>
            <w:vAlign w:val="bottom"/>
            <w:hideMark/>
          </w:tcPr>
          <w:p w14:paraId="2FB8AD3A"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nil"/>
              <w:right w:val="nil"/>
            </w:tcBorders>
            <w:shd w:val="clear" w:color="000000" w:fill="FFFFFF"/>
            <w:noWrap/>
            <w:vAlign w:val="bottom"/>
            <w:hideMark/>
          </w:tcPr>
          <w:p w14:paraId="5ADA5CDD"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nil"/>
              <w:left w:val="nil"/>
              <w:bottom w:val="nil"/>
              <w:right w:val="nil"/>
            </w:tcBorders>
            <w:shd w:val="clear" w:color="000000" w:fill="FFFFFF"/>
            <w:noWrap/>
            <w:vAlign w:val="center"/>
            <w:hideMark/>
          </w:tcPr>
          <w:p w14:paraId="06297F7A"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1 </w:t>
            </w:r>
          </w:p>
        </w:tc>
        <w:tc>
          <w:tcPr>
            <w:tcW w:w="850" w:type="dxa"/>
            <w:gridSpan w:val="2"/>
            <w:tcBorders>
              <w:top w:val="nil"/>
              <w:left w:val="nil"/>
              <w:bottom w:val="nil"/>
              <w:right w:val="nil"/>
            </w:tcBorders>
            <w:shd w:val="clear" w:color="auto" w:fill="CCECFF"/>
            <w:noWrap/>
            <w:vAlign w:val="bottom"/>
            <w:hideMark/>
          </w:tcPr>
          <w:p w14:paraId="010C2219"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709" w:type="dxa"/>
            <w:gridSpan w:val="2"/>
            <w:tcBorders>
              <w:top w:val="nil"/>
              <w:left w:val="nil"/>
              <w:bottom w:val="nil"/>
              <w:right w:val="nil"/>
            </w:tcBorders>
            <w:shd w:val="clear" w:color="auto" w:fill="CCECFF"/>
            <w:noWrap/>
            <w:vAlign w:val="bottom"/>
            <w:hideMark/>
          </w:tcPr>
          <w:p w14:paraId="4984C417"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xml:space="preserve">18 </w:t>
            </w:r>
          </w:p>
        </w:tc>
        <w:tc>
          <w:tcPr>
            <w:tcW w:w="781" w:type="dxa"/>
            <w:gridSpan w:val="2"/>
            <w:tcBorders>
              <w:top w:val="nil"/>
              <w:left w:val="nil"/>
              <w:bottom w:val="nil"/>
              <w:right w:val="nil"/>
            </w:tcBorders>
            <w:shd w:val="clear" w:color="000000" w:fill="FFFFFF"/>
            <w:noWrap/>
            <w:vAlign w:val="bottom"/>
            <w:hideMark/>
          </w:tcPr>
          <w:p w14:paraId="05638A3D"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nil"/>
              <w:right w:val="nil"/>
            </w:tcBorders>
            <w:shd w:val="clear" w:color="000000" w:fill="FFFFFF"/>
            <w:noWrap/>
            <w:vAlign w:val="bottom"/>
            <w:hideMark/>
          </w:tcPr>
          <w:p w14:paraId="56BB09F8"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51 </w:t>
            </w:r>
          </w:p>
        </w:tc>
        <w:tc>
          <w:tcPr>
            <w:tcW w:w="1004" w:type="dxa"/>
            <w:gridSpan w:val="2"/>
            <w:tcBorders>
              <w:top w:val="nil"/>
              <w:left w:val="nil"/>
              <w:bottom w:val="nil"/>
              <w:right w:val="nil"/>
            </w:tcBorders>
            <w:shd w:val="clear" w:color="000000" w:fill="FFFFFF"/>
            <w:noWrap/>
            <w:vAlign w:val="bottom"/>
            <w:hideMark/>
          </w:tcPr>
          <w:p w14:paraId="607A57B1"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nil"/>
              <w:right w:val="nil"/>
            </w:tcBorders>
            <w:shd w:val="clear" w:color="000000" w:fill="FFFFFF"/>
            <w:noWrap/>
            <w:vAlign w:val="bottom"/>
            <w:hideMark/>
          </w:tcPr>
          <w:p w14:paraId="50831105"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100 </w:t>
            </w:r>
          </w:p>
        </w:tc>
      </w:tr>
      <w:tr w:rsidR="00B860D1" w:rsidRPr="00B860D1" w14:paraId="3A98F4E0" w14:textId="77777777" w:rsidTr="007462FB">
        <w:trPr>
          <w:gridAfter w:val="2"/>
          <w:wAfter w:w="304" w:type="dxa"/>
          <w:trHeight w:val="263"/>
        </w:trPr>
        <w:tc>
          <w:tcPr>
            <w:tcW w:w="4143" w:type="dxa"/>
            <w:gridSpan w:val="4"/>
            <w:tcBorders>
              <w:top w:val="nil"/>
              <w:left w:val="nil"/>
              <w:bottom w:val="nil"/>
              <w:right w:val="nil"/>
            </w:tcBorders>
            <w:shd w:val="clear" w:color="000000" w:fill="FFFFFF"/>
            <w:noWrap/>
            <w:vAlign w:val="center"/>
            <w:hideMark/>
          </w:tcPr>
          <w:p w14:paraId="1C421837"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Underlying loan interest payable</w:t>
            </w:r>
          </w:p>
        </w:tc>
        <w:tc>
          <w:tcPr>
            <w:tcW w:w="258" w:type="dxa"/>
            <w:gridSpan w:val="2"/>
            <w:tcBorders>
              <w:top w:val="nil"/>
              <w:left w:val="nil"/>
              <w:bottom w:val="nil"/>
              <w:right w:val="nil"/>
            </w:tcBorders>
            <w:shd w:val="clear" w:color="000000" w:fill="FFFFFF"/>
            <w:noWrap/>
            <w:vAlign w:val="bottom"/>
            <w:hideMark/>
          </w:tcPr>
          <w:p w14:paraId="2EA7BE83"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nil"/>
              <w:right w:val="nil"/>
            </w:tcBorders>
            <w:shd w:val="clear" w:color="000000" w:fill="FFFFFF"/>
            <w:noWrap/>
            <w:vAlign w:val="bottom"/>
            <w:hideMark/>
          </w:tcPr>
          <w:p w14:paraId="74447AD5"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000000" w:fill="FFFFFF"/>
            <w:noWrap/>
            <w:vAlign w:val="bottom"/>
            <w:hideMark/>
          </w:tcPr>
          <w:p w14:paraId="02293604"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nil"/>
              <w:right w:val="nil"/>
            </w:tcBorders>
            <w:shd w:val="clear" w:color="000000" w:fill="FFFFFF"/>
            <w:noWrap/>
            <w:vAlign w:val="bottom"/>
            <w:hideMark/>
          </w:tcPr>
          <w:p w14:paraId="0209FC04"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nil"/>
              <w:left w:val="nil"/>
              <w:bottom w:val="nil"/>
              <w:right w:val="nil"/>
            </w:tcBorders>
            <w:shd w:val="clear" w:color="000000" w:fill="FFFFFF"/>
            <w:noWrap/>
            <w:vAlign w:val="center"/>
            <w:hideMark/>
          </w:tcPr>
          <w:p w14:paraId="5415E0A6"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4 </w:t>
            </w:r>
          </w:p>
        </w:tc>
        <w:tc>
          <w:tcPr>
            <w:tcW w:w="850" w:type="dxa"/>
            <w:gridSpan w:val="2"/>
            <w:tcBorders>
              <w:top w:val="nil"/>
              <w:left w:val="nil"/>
              <w:bottom w:val="nil"/>
              <w:right w:val="nil"/>
            </w:tcBorders>
            <w:shd w:val="clear" w:color="auto" w:fill="CCECFF"/>
            <w:noWrap/>
            <w:vAlign w:val="bottom"/>
            <w:hideMark/>
          </w:tcPr>
          <w:p w14:paraId="66581DCF"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709" w:type="dxa"/>
            <w:gridSpan w:val="2"/>
            <w:tcBorders>
              <w:top w:val="nil"/>
              <w:left w:val="nil"/>
              <w:bottom w:val="nil"/>
              <w:right w:val="nil"/>
            </w:tcBorders>
            <w:shd w:val="clear" w:color="auto" w:fill="CCECFF"/>
            <w:noWrap/>
            <w:vAlign w:val="bottom"/>
            <w:hideMark/>
          </w:tcPr>
          <w:p w14:paraId="5D7C7AC5"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(28)</w:t>
            </w:r>
          </w:p>
        </w:tc>
        <w:tc>
          <w:tcPr>
            <w:tcW w:w="781" w:type="dxa"/>
            <w:gridSpan w:val="2"/>
            <w:tcBorders>
              <w:top w:val="nil"/>
              <w:left w:val="nil"/>
              <w:bottom w:val="nil"/>
              <w:right w:val="nil"/>
            </w:tcBorders>
            <w:shd w:val="clear" w:color="000000" w:fill="FFFFFF"/>
            <w:noWrap/>
            <w:vAlign w:val="bottom"/>
            <w:hideMark/>
          </w:tcPr>
          <w:p w14:paraId="0B7EB8FA"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nil"/>
              <w:right w:val="nil"/>
            </w:tcBorders>
            <w:shd w:val="clear" w:color="000000" w:fill="FFFFFF"/>
            <w:noWrap/>
            <w:vAlign w:val="bottom"/>
            <w:hideMark/>
          </w:tcPr>
          <w:p w14:paraId="178B0765"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(29)</w:t>
            </w:r>
          </w:p>
        </w:tc>
        <w:tc>
          <w:tcPr>
            <w:tcW w:w="1004" w:type="dxa"/>
            <w:gridSpan w:val="2"/>
            <w:tcBorders>
              <w:top w:val="nil"/>
              <w:left w:val="nil"/>
              <w:bottom w:val="nil"/>
              <w:right w:val="nil"/>
            </w:tcBorders>
            <w:shd w:val="clear" w:color="000000" w:fill="FFFFFF"/>
            <w:noWrap/>
            <w:vAlign w:val="bottom"/>
            <w:hideMark/>
          </w:tcPr>
          <w:p w14:paraId="4BA7667D"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nil"/>
              <w:right w:val="nil"/>
            </w:tcBorders>
            <w:shd w:val="clear" w:color="000000" w:fill="FFFFFF"/>
            <w:noWrap/>
            <w:vAlign w:val="bottom"/>
            <w:hideMark/>
          </w:tcPr>
          <w:p w14:paraId="7013971C"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(56)</w:t>
            </w:r>
          </w:p>
        </w:tc>
      </w:tr>
      <w:tr w:rsidR="00B860D1" w:rsidRPr="00B860D1" w14:paraId="02D0B96D" w14:textId="77777777" w:rsidTr="007462FB">
        <w:trPr>
          <w:gridAfter w:val="2"/>
          <w:wAfter w:w="304" w:type="dxa"/>
          <w:trHeight w:val="263"/>
        </w:trPr>
        <w:tc>
          <w:tcPr>
            <w:tcW w:w="4659" w:type="dxa"/>
            <w:gridSpan w:val="7"/>
            <w:tcBorders>
              <w:top w:val="nil"/>
              <w:left w:val="nil"/>
              <w:bottom w:val="nil"/>
              <w:right w:val="nil"/>
            </w:tcBorders>
            <w:shd w:val="clear" w:color="000000" w:fill="FFFFFF"/>
            <w:noWrap/>
            <w:vAlign w:val="center"/>
            <w:hideMark/>
          </w:tcPr>
          <w:p w14:paraId="18F6F7D7"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Underlying net interest expense on lease liabilities</w:t>
            </w:r>
          </w:p>
        </w:tc>
        <w:tc>
          <w:tcPr>
            <w:tcW w:w="258" w:type="dxa"/>
            <w:tcBorders>
              <w:top w:val="nil"/>
              <w:left w:val="nil"/>
              <w:bottom w:val="nil"/>
              <w:right w:val="nil"/>
            </w:tcBorders>
            <w:shd w:val="clear" w:color="000000" w:fill="FFFFFF"/>
            <w:noWrap/>
            <w:vAlign w:val="bottom"/>
            <w:hideMark/>
          </w:tcPr>
          <w:p w14:paraId="558EAB00"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nil"/>
              <w:right w:val="nil"/>
            </w:tcBorders>
            <w:shd w:val="clear" w:color="000000" w:fill="FFFFFF"/>
            <w:noWrap/>
            <w:vAlign w:val="bottom"/>
            <w:hideMark/>
          </w:tcPr>
          <w:p w14:paraId="5D430C2B"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nil"/>
              <w:left w:val="nil"/>
              <w:bottom w:val="nil"/>
              <w:right w:val="nil"/>
            </w:tcBorders>
            <w:shd w:val="clear" w:color="000000" w:fill="FFFFFF"/>
            <w:noWrap/>
            <w:vAlign w:val="center"/>
            <w:hideMark/>
          </w:tcPr>
          <w:p w14:paraId="7036C069"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3, 4</w:t>
            </w:r>
          </w:p>
        </w:tc>
        <w:tc>
          <w:tcPr>
            <w:tcW w:w="850" w:type="dxa"/>
            <w:gridSpan w:val="2"/>
            <w:tcBorders>
              <w:top w:val="nil"/>
              <w:left w:val="nil"/>
              <w:bottom w:val="nil"/>
              <w:right w:val="nil"/>
            </w:tcBorders>
            <w:shd w:val="clear" w:color="auto" w:fill="CCECFF"/>
            <w:noWrap/>
            <w:vAlign w:val="bottom"/>
            <w:hideMark/>
          </w:tcPr>
          <w:p w14:paraId="7F806078"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709" w:type="dxa"/>
            <w:gridSpan w:val="2"/>
            <w:tcBorders>
              <w:top w:val="nil"/>
              <w:left w:val="nil"/>
              <w:bottom w:val="nil"/>
              <w:right w:val="nil"/>
            </w:tcBorders>
            <w:shd w:val="clear" w:color="auto" w:fill="CCECFF"/>
            <w:noWrap/>
            <w:vAlign w:val="bottom"/>
            <w:hideMark/>
          </w:tcPr>
          <w:p w14:paraId="7B01E42F"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(39)</w:t>
            </w:r>
          </w:p>
        </w:tc>
        <w:tc>
          <w:tcPr>
            <w:tcW w:w="781" w:type="dxa"/>
            <w:gridSpan w:val="2"/>
            <w:tcBorders>
              <w:top w:val="nil"/>
              <w:left w:val="nil"/>
              <w:bottom w:val="nil"/>
              <w:right w:val="nil"/>
            </w:tcBorders>
            <w:shd w:val="clear" w:color="000000" w:fill="FFFFFF"/>
            <w:noWrap/>
            <w:vAlign w:val="bottom"/>
            <w:hideMark/>
          </w:tcPr>
          <w:p w14:paraId="129BE460"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nil"/>
              <w:right w:val="nil"/>
            </w:tcBorders>
            <w:shd w:val="clear" w:color="000000" w:fill="FFFFFF"/>
            <w:noWrap/>
            <w:vAlign w:val="bottom"/>
            <w:hideMark/>
          </w:tcPr>
          <w:p w14:paraId="0194EFC0"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(37)</w:t>
            </w:r>
          </w:p>
        </w:tc>
        <w:tc>
          <w:tcPr>
            <w:tcW w:w="1004" w:type="dxa"/>
            <w:gridSpan w:val="2"/>
            <w:tcBorders>
              <w:top w:val="nil"/>
              <w:left w:val="nil"/>
              <w:bottom w:val="nil"/>
              <w:right w:val="nil"/>
            </w:tcBorders>
            <w:shd w:val="clear" w:color="000000" w:fill="FFFFFF"/>
            <w:noWrap/>
            <w:vAlign w:val="bottom"/>
            <w:hideMark/>
          </w:tcPr>
          <w:p w14:paraId="49BE470E"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nil"/>
              <w:right w:val="nil"/>
            </w:tcBorders>
            <w:shd w:val="clear" w:color="000000" w:fill="FFFFFF"/>
            <w:noWrap/>
            <w:vAlign w:val="bottom"/>
            <w:hideMark/>
          </w:tcPr>
          <w:p w14:paraId="23B8C7AB"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(76)</w:t>
            </w:r>
          </w:p>
        </w:tc>
      </w:tr>
      <w:tr w:rsidR="00B860D1" w:rsidRPr="00B860D1" w14:paraId="7B397517" w14:textId="77777777" w:rsidTr="007462FB">
        <w:trPr>
          <w:gridAfter w:val="2"/>
          <w:wAfter w:w="304" w:type="dxa"/>
          <w:trHeight w:val="263"/>
        </w:trPr>
        <w:tc>
          <w:tcPr>
            <w:tcW w:w="4143" w:type="dxa"/>
            <w:gridSpan w:val="4"/>
            <w:tcBorders>
              <w:top w:val="single" w:sz="4" w:space="0" w:color="BFBFBF"/>
              <w:left w:val="nil"/>
              <w:bottom w:val="single" w:sz="4" w:space="0" w:color="BFBFBF"/>
              <w:right w:val="nil"/>
            </w:tcBorders>
            <w:shd w:val="clear" w:color="000000" w:fill="FFFFFF"/>
            <w:noWrap/>
            <w:vAlign w:val="center"/>
            <w:hideMark/>
          </w:tcPr>
          <w:p w14:paraId="1C6636F5"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xml:space="preserve">Underlying loss before tax </w:t>
            </w:r>
          </w:p>
        </w:tc>
        <w:tc>
          <w:tcPr>
            <w:tcW w:w="258" w:type="dxa"/>
            <w:gridSpan w:val="2"/>
            <w:tcBorders>
              <w:top w:val="single" w:sz="4" w:space="0" w:color="BFBFBF"/>
              <w:left w:val="nil"/>
              <w:bottom w:val="single" w:sz="4" w:space="0" w:color="BFBFBF"/>
              <w:right w:val="nil"/>
            </w:tcBorders>
            <w:shd w:val="clear" w:color="000000" w:fill="FFFFFF"/>
            <w:noWrap/>
            <w:vAlign w:val="bottom"/>
            <w:hideMark/>
          </w:tcPr>
          <w:p w14:paraId="18571CDD"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single" w:sz="4" w:space="0" w:color="BFBFBF"/>
              <w:left w:val="nil"/>
              <w:bottom w:val="single" w:sz="4" w:space="0" w:color="BFBFBF"/>
              <w:right w:val="nil"/>
            </w:tcBorders>
            <w:shd w:val="clear" w:color="000000" w:fill="FFFFFF"/>
            <w:noWrap/>
            <w:vAlign w:val="bottom"/>
            <w:hideMark/>
          </w:tcPr>
          <w:p w14:paraId="60FB1C2E"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single" w:sz="4" w:space="0" w:color="BFBFBF"/>
              <w:left w:val="nil"/>
              <w:bottom w:val="single" w:sz="4" w:space="0" w:color="BFBFBF"/>
              <w:right w:val="nil"/>
            </w:tcBorders>
            <w:shd w:val="clear" w:color="000000" w:fill="FFFFFF"/>
            <w:noWrap/>
            <w:vAlign w:val="bottom"/>
            <w:hideMark/>
          </w:tcPr>
          <w:p w14:paraId="1C74FF02"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single" w:sz="4" w:space="0" w:color="BFBFBF"/>
              <w:left w:val="nil"/>
              <w:bottom w:val="single" w:sz="4" w:space="0" w:color="BFBFBF"/>
              <w:right w:val="nil"/>
            </w:tcBorders>
            <w:shd w:val="clear" w:color="000000" w:fill="FFFFFF"/>
            <w:noWrap/>
            <w:vAlign w:val="bottom"/>
            <w:hideMark/>
          </w:tcPr>
          <w:p w14:paraId="4F67B197"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single" w:sz="4" w:space="0" w:color="BFBFBF"/>
              <w:left w:val="nil"/>
              <w:bottom w:val="single" w:sz="4" w:space="0" w:color="BFBFBF"/>
              <w:right w:val="nil"/>
            </w:tcBorders>
            <w:shd w:val="clear" w:color="000000" w:fill="FFFFFF"/>
            <w:noWrap/>
            <w:vAlign w:val="center"/>
            <w:hideMark/>
          </w:tcPr>
          <w:p w14:paraId="5814BABB"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850" w:type="dxa"/>
            <w:gridSpan w:val="2"/>
            <w:tcBorders>
              <w:top w:val="single" w:sz="4" w:space="0" w:color="BFBFBF"/>
              <w:left w:val="nil"/>
              <w:bottom w:val="single" w:sz="4" w:space="0" w:color="BFBFBF"/>
              <w:right w:val="nil"/>
            </w:tcBorders>
            <w:shd w:val="clear" w:color="auto" w:fill="CCECFF"/>
            <w:noWrap/>
            <w:vAlign w:val="bottom"/>
            <w:hideMark/>
          </w:tcPr>
          <w:p w14:paraId="2E4C7FB6"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709" w:type="dxa"/>
            <w:gridSpan w:val="2"/>
            <w:tcBorders>
              <w:top w:val="single" w:sz="4" w:space="0" w:color="BFBFBF"/>
              <w:left w:val="nil"/>
              <w:bottom w:val="single" w:sz="4" w:space="0" w:color="BFBFBF"/>
              <w:right w:val="nil"/>
            </w:tcBorders>
            <w:shd w:val="clear" w:color="auto" w:fill="CCECFF"/>
            <w:noWrap/>
            <w:vAlign w:val="bottom"/>
            <w:hideMark/>
          </w:tcPr>
          <w:p w14:paraId="47CC328C"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(49)</w:t>
            </w:r>
          </w:p>
        </w:tc>
        <w:tc>
          <w:tcPr>
            <w:tcW w:w="781" w:type="dxa"/>
            <w:gridSpan w:val="2"/>
            <w:tcBorders>
              <w:top w:val="single" w:sz="4" w:space="0" w:color="BFBFBF"/>
              <w:left w:val="nil"/>
              <w:bottom w:val="single" w:sz="4" w:space="0" w:color="BFBFBF"/>
              <w:right w:val="nil"/>
            </w:tcBorders>
            <w:shd w:val="clear" w:color="000000" w:fill="FFFFFF"/>
            <w:noWrap/>
            <w:vAlign w:val="bottom"/>
            <w:hideMark/>
          </w:tcPr>
          <w:p w14:paraId="7FBBFEFF"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single" w:sz="4" w:space="0" w:color="BFBFBF"/>
              <w:left w:val="nil"/>
              <w:bottom w:val="single" w:sz="4" w:space="0" w:color="BFBFBF"/>
              <w:right w:val="nil"/>
            </w:tcBorders>
            <w:shd w:val="clear" w:color="000000" w:fill="FFFFFF"/>
            <w:noWrap/>
            <w:vAlign w:val="bottom"/>
            <w:hideMark/>
          </w:tcPr>
          <w:p w14:paraId="6A326A2E"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(15)</w:t>
            </w:r>
          </w:p>
        </w:tc>
        <w:tc>
          <w:tcPr>
            <w:tcW w:w="1004" w:type="dxa"/>
            <w:gridSpan w:val="2"/>
            <w:tcBorders>
              <w:top w:val="single" w:sz="4" w:space="0" w:color="BFBFBF"/>
              <w:left w:val="nil"/>
              <w:bottom w:val="single" w:sz="4" w:space="0" w:color="BFBFBF"/>
              <w:right w:val="nil"/>
            </w:tcBorders>
            <w:shd w:val="clear" w:color="000000" w:fill="FFFFFF"/>
            <w:noWrap/>
            <w:vAlign w:val="bottom"/>
            <w:hideMark/>
          </w:tcPr>
          <w:p w14:paraId="2B205622"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single" w:sz="4" w:space="0" w:color="BFBFBF"/>
              <w:left w:val="nil"/>
              <w:bottom w:val="single" w:sz="4" w:space="0" w:color="BFBFBF"/>
              <w:right w:val="nil"/>
            </w:tcBorders>
            <w:shd w:val="clear" w:color="000000" w:fill="FFFFFF"/>
            <w:noWrap/>
            <w:vAlign w:val="bottom"/>
            <w:hideMark/>
          </w:tcPr>
          <w:p w14:paraId="12950DA7"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(32)</w:t>
            </w:r>
          </w:p>
        </w:tc>
      </w:tr>
      <w:tr w:rsidR="00B860D1" w:rsidRPr="00B860D1" w14:paraId="01084CE8" w14:textId="77777777" w:rsidTr="007462FB">
        <w:trPr>
          <w:gridAfter w:val="2"/>
          <w:wAfter w:w="304" w:type="dxa"/>
          <w:trHeight w:val="263"/>
        </w:trPr>
        <w:tc>
          <w:tcPr>
            <w:tcW w:w="4143" w:type="dxa"/>
            <w:gridSpan w:val="4"/>
            <w:tcBorders>
              <w:top w:val="nil"/>
              <w:left w:val="nil"/>
              <w:bottom w:val="nil"/>
              <w:right w:val="nil"/>
            </w:tcBorders>
            <w:shd w:val="clear" w:color="000000" w:fill="FFFFFF"/>
            <w:noWrap/>
            <w:vAlign w:val="center"/>
            <w:hideMark/>
          </w:tcPr>
          <w:p w14:paraId="664DE0C0"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One-off items</w:t>
            </w:r>
          </w:p>
        </w:tc>
        <w:tc>
          <w:tcPr>
            <w:tcW w:w="258" w:type="dxa"/>
            <w:gridSpan w:val="2"/>
            <w:tcBorders>
              <w:top w:val="nil"/>
              <w:left w:val="nil"/>
              <w:bottom w:val="nil"/>
              <w:right w:val="nil"/>
            </w:tcBorders>
            <w:shd w:val="clear" w:color="000000" w:fill="FFFFFF"/>
            <w:noWrap/>
            <w:vAlign w:val="bottom"/>
            <w:hideMark/>
          </w:tcPr>
          <w:p w14:paraId="54B40715"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nil"/>
              <w:right w:val="nil"/>
            </w:tcBorders>
            <w:shd w:val="clear" w:color="000000" w:fill="FFFFFF"/>
            <w:noWrap/>
            <w:vAlign w:val="bottom"/>
            <w:hideMark/>
          </w:tcPr>
          <w:p w14:paraId="19808899"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000000" w:fill="FFFFFF"/>
            <w:noWrap/>
            <w:vAlign w:val="bottom"/>
            <w:hideMark/>
          </w:tcPr>
          <w:p w14:paraId="7305127F"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nil"/>
              <w:right w:val="nil"/>
            </w:tcBorders>
            <w:shd w:val="clear" w:color="000000" w:fill="FFFFFF"/>
            <w:noWrap/>
            <w:vAlign w:val="bottom"/>
            <w:hideMark/>
          </w:tcPr>
          <w:p w14:paraId="24A385D4"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nil"/>
              <w:left w:val="nil"/>
              <w:bottom w:val="nil"/>
              <w:right w:val="nil"/>
            </w:tcBorders>
            <w:shd w:val="clear" w:color="000000" w:fill="FFFFFF"/>
            <w:noWrap/>
            <w:vAlign w:val="center"/>
            <w:hideMark/>
          </w:tcPr>
          <w:p w14:paraId="3051DAE0"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1 </w:t>
            </w:r>
          </w:p>
        </w:tc>
        <w:tc>
          <w:tcPr>
            <w:tcW w:w="850" w:type="dxa"/>
            <w:gridSpan w:val="2"/>
            <w:tcBorders>
              <w:top w:val="nil"/>
              <w:left w:val="nil"/>
              <w:bottom w:val="nil"/>
              <w:right w:val="nil"/>
            </w:tcBorders>
            <w:shd w:val="clear" w:color="auto" w:fill="CCECFF"/>
            <w:noWrap/>
            <w:vAlign w:val="bottom"/>
            <w:hideMark/>
          </w:tcPr>
          <w:p w14:paraId="4F469A71"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709" w:type="dxa"/>
            <w:gridSpan w:val="2"/>
            <w:tcBorders>
              <w:top w:val="nil"/>
              <w:left w:val="nil"/>
              <w:bottom w:val="nil"/>
              <w:right w:val="nil"/>
            </w:tcBorders>
            <w:shd w:val="clear" w:color="auto" w:fill="CCECFF"/>
            <w:noWrap/>
            <w:vAlign w:val="bottom"/>
            <w:hideMark/>
          </w:tcPr>
          <w:p w14:paraId="629FBD70"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(1)</w:t>
            </w:r>
          </w:p>
        </w:tc>
        <w:tc>
          <w:tcPr>
            <w:tcW w:w="781" w:type="dxa"/>
            <w:gridSpan w:val="2"/>
            <w:tcBorders>
              <w:top w:val="nil"/>
              <w:left w:val="nil"/>
              <w:bottom w:val="nil"/>
              <w:right w:val="nil"/>
            </w:tcBorders>
            <w:shd w:val="clear" w:color="000000" w:fill="FFFFFF"/>
            <w:noWrap/>
            <w:vAlign w:val="bottom"/>
            <w:hideMark/>
          </w:tcPr>
          <w:p w14:paraId="25334A1B"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nil"/>
              <w:right w:val="nil"/>
            </w:tcBorders>
            <w:shd w:val="clear" w:color="000000" w:fill="FFFFFF"/>
            <w:noWrap/>
            <w:vAlign w:val="bottom"/>
            <w:hideMark/>
          </w:tcPr>
          <w:p w14:paraId="3BAEAE2C"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(17)</w:t>
            </w:r>
          </w:p>
        </w:tc>
        <w:tc>
          <w:tcPr>
            <w:tcW w:w="1004" w:type="dxa"/>
            <w:gridSpan w:val="2"/>
            <w:tcBorders>
              <w:top w:val="nil"/>
              <w:left w:val="nil"/>
              <w:bottom w:val="nil"/>
              <w:right w:val="nil"/>
            </w:tcBorders>
            <w:shd w:val="clear" w:color="000000" w:fill="FFFFFF"/>
            <w:noWrap/>
            <w:vAlign w:val="bottom"/>
            <w:hideMark/>
          </w:tcPr>
          <w:p w14:paraId="375CA8F3"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nil"/>
              <w:right w:val="nil"/>
            </w:tcBorders>
            <w:shd w:val="clear" w:color="000000" w:fill="FFFFFF"/>
            <w:noWrap/>
            <w:vAlign w:val="bottom"/>
            <w:hideMark/>
          </w:tcPr>
          <w:p w14:paraId="78CA3962"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(15)</w:t>
            </w:r>
          </w:p>
        </w:tc>
      </w:tr>
      <w:tr w:rsidR="008C4883" w:rsidRPr="00B860D1" w14:paraId="47355321" w14:textId="77777777" w:rsidTr="007462FB">
        <w:trPr>
          <w:gridAfter w:val="2"/>
          <w:wAfter w:w="304" w:type="dxa"/>
          <w:trHeight w:val="263"/>
        </w:trPr>
        <w:tc>
          <w:tcPr>
            <w:tcW w:w="5175" w:type="dxa"/>
            <w:gridSpan w:val="9"/>
            <w:tcBorders>
              <w:top w:val="nil"/>
              <w:left w:val="nil"/>
              <w:bottom w:val="nil"/>
              <w:right w:val="nil"/>
            </w:tcBorders>
            <w:shd w:val="clear" w:color="000000" w:fill="FFFFFF"/>
            <w:noWrap/>
            <w:vAlign w:val="center"/>
            <w:hideMark/>
          </w:tcPr>
          <w:p w14:paraId="367B0DC3"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Gain / (loss) on property, business disposals and closures (see below)</w:t>
            </w:r>
          </w:p>
        </w:tc>
        <w:tc>
          <w:tcPr>
            <w:tcW w:w="1346" w:type="dxa"/>
            <w:gridSpan w:val="3"/>
            <w:tcBorders>
              <w:top w:val="nil"/>
              <w:left w:val="nil"/>
              <w:bottom w:val="nil"/>
              <w:right w:val="nil"/>
            </w:tcBorders>
            <w:shd w:val="clear" w:color="000000" w:fill="FFFFFF"/>
            <w:noWrap/>
            <w:vAlign w:val="center"/>
            <w:hideMark/>
          </w:tcPr>
          <w:p w14:paraId="29CBD57F"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1 </w:t>
            </w:r>
          </w:p>
        </w:tc>
        <w:tc>
          <w:tcPr>
            <w:tcW w:w="850" w:type="dxa"/>
            <w:gridSpan w:val="2"/>
            <w:tcBorders>
              <w:top w:val="nil"/>
              <w:left w:val="nil"/>
              <w:bottom w:val="nil"/>
              <w:right w:val="nil"/>
            </w:tcBorders>
            <w:shd w:val="clear" w:color="auto" w:fill="CCECFF"/>
            <w:noWrap/>
            <w:vAlign w:val="bottom"/>
            <w:hideMark/>
          </w:tcPr>
          <w:p w14:paraId="0BCA3E69"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709" w:type="dxa"/>
            <w:gridSpan w:val="2"/>
            <w:tcBorders>
              <w:top w:val="nil"/>
              <w:left w:val="nil"/>
              <w:bottom w:val="nil"/>
              <w:right w:val="nil"/>
            </w:tcBorders>
            <w:shd w:val="clear" w:color="auto" w:fill="CCECFF"/>
            <w:noWrap/>
            <w:vAlign w:val="bottom"/>
            <w:hideMark/>
          </w:tcPr>
          <w:p w14:paraId="68C8EA61"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(34)</w:t>
            </w:r>
          </w:p>
        </w:tc>
        <w:tc>
          <w:tcPr>
            <w:tcW w:w="781" w:type="dxa"/>
            <w:gridSpan w:val="2"/>
            <w:tcBorders>
              <w:top w:val="nil"/>
              <w:left w:val="nil"/>
              <w:bottom w:val="nil"/>
              <w:right w:val="nil"/>
            </w:tcBorders>
            <w:shd w:val="clear" w:color="000000" w:fill="FFFFFF"/>
            <w:noWrap/>
            <w:vAlign w:val="bottom"/>
            <w:hideMark/>
          </w:tcPr>
          <w:p w14:paraId="7ED479D4"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nil"/>
              <w:right w:val="nil"/>
            </w:tcBorders>
            <w:shd w:val="clear" w:color="000000" w:fill="FFFFFF"/>
            <w:noWrap/>
            <w:vAlign w:val="bottom"/>
            <w:hideMark/>
          </w:tcPr>
          <w:p w14:paraId="3852BE1D"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(26)</w:t>
            </w:r>
          </w:p>
        </w:tc>
        <w:tc>
          <w:tcPr>
            <w:tcW w:w="1004" w:type="dxa"/>
            <w:gridSpan w:val="2"/>
            <w:tcBorders>
              <w:top w:val="nil"/>
              <w:left w:val="nil"/>
              <w:bottom w:val="nil"/>
              <w:right w:val="nil"/>
            </w:tcBorders>
            <w:shd w:val="clear" w:color="000000" w:fill="FFFFFF"/>
            <w:noWrap/>
            <w:vAlign w:val="bottom"/>
            <w:hideMark/>
          </w:tcPr>
          <w:p w14:paraId="5954415D"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nil"/>
              <w:right w:val="nil"/>
            </w:tcBorders>
            <w:shd w:val="clear" w:color="000000" w:fill="FFFFFF"/>
            <w:noWrap/>
            <w:vAlign w:val="bottom"/>
            <w:hideMark/>
          </w:tcPr>
          <w:p w14:paraId="105C7D08"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(30)</w:t>
            </w:r>
          </w:p>
        </w:tc>
      </w:tr>
      <w:tr w:rsidR="00B860D1" w:rsidRPr="00B860D1" w14:paraId="4B87D461" w14:textId="77777777" w:rsidTr="007462FB">
        <w:trPr>
          <w:gridAfter w:val="2"/>
          <w:wAfter w:w="304" w:type="dxa"/>
          <w:trHeight w:val="263"/>
        </w:trPr>
        <w:tc>
          <w:tcPr>
            <w:tcW w:w="4659" w:type="dxa"/>
            <w:gridSpan w:val="7"/>
            <w:tcBorders>
              <w:top w:val="nil"/>
              <w:left w:val="nil"/>
              <w:bottom w:val="nil"/>
              <w:right w:val="nil"/>
            </w:tcBorders>
            <w:shd w:val="clear" w:color="000000" w:fill="FFFFFF"/>
            <w:noWrap/>
            <w:vAlign w:val="center"/>
            <w:hideMark/>
          </w:tcPr>
          <w:p w14:paraId="63C2EDCE"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(Decrease) / increase in value of investment properties</w:t>
            </w:r>
          </w:p>
        </w:tc>
        <w:tc>
          <w:tcPr>
            <w:tcW w:w="258" w:type="dxa"/>
            <w:tcBorders>
              <w:top w:val="nil"/>
              <w:left w:val="nil"/>
              <w:bottom w:val="nil"/>
              <w:right w:val="nil"/>
            </w:tcBorders>
            <w:shd w:val="clear" w:color="000000" w:fill="FFFFFF"/>
            <w:noWrap/>
            <w:vAlign w:val="bottom"/>
            <w:hideMark/>
          </w:tcPr>
          <w:p w14:paraId="4829E95A"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nil"/>
              <w:right w:val="nil"/>
            </w:tcBorders>
            <w:shd w:val="clear" w:color="000000" w:fill="FFFFFF"/>
            <w:noWrap/>
            <w:vAlign w:val="bottom"/>
            <w:hideMark/>
          </w:tcPr>
          <w:p w14:paraId="0AEA02A8"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nil"/>
              <w:left w:val="nil"/>
              <w:bottom w:val="nil"/>
              <w:right w:val="nil"/>
            </w:tcBorders>
            <w:shd w:val="clear" w:color="000000" w:fill="FFFFFF"/>
            <w:noWrap/>
            <w:vAlign w:val="center"/>
            <w:hideMark/>
          </w:tcPr>
          <w:p w14:paraId="4E749C28"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1 </w:t>
            </w:r>
          </w:p>
        </w:tc>
        <w:tc>
          <w:tcPr>
            <w:tcW w:w="850" w:type="dxa"/>
            <w:gridSpan w:val="2"/>
            <w:tcBorders>
              <w:top w:val="nil"/>
              <w:left w:val="nil"/>
              <w:bottom w:val="nil"/>
              <w:right w:val="nil"/>
            </w:tcBorders>
            <w:shd w:val="clear" w:color="auto" w:fill="CCECFF"/>
            <w:noWrap/>
            <w:vAlign w:val="bottom"/>
            <w:hideMark/>
          </w:tcPr>
          <w:p w14:paraId="6A977C0D"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709" w:type="dxa"/>
            <w:gridSpan w:val="2"/>
            <w:tcBorders>
              <w:top w:val="nil"/>
              <w:left w:val="nil"/>
              <w:bottom w:val="nil"/>
              <w:right w:val="nil"/>
            </w:tcBorders>
            <w:shd w:val="clear" w:color="auto" w:fill="CCECFF"/>
            <w:noWrap/>
            <w:vAlign w:val="bottom"/>
            <w:hideMark/>
          </w:tcPr>
          <w:p w14:paraId="507EF08A"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(3)</w:t>
            </w:r>
          </w:p>
        </w:tc>
        <w:tc>
          <w:tcPr>
            <w:tcW w:w="781" w:type="dxa"/>
            <w:gridSpan w:val="2"/>
            <w:tcBorders>
              <w:top w:val="nil"/>
              <w:left w:val="nil"/>
              <w:bottom w:val="nil"/>
              <w:right w:val="nil"/>
            </w:tcBorders>
            <w:shd w:val="clear" w:color="000000" w:fill="FFFFFF"/>
            <w:noWrap/>
            <w:vAlign w:val="bottom"/>
            <w:hideMark/>
          </w:tcPr>
          <w:p w14:paraId="30DEB49A"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nil"/>
              <w:right w:val="nil"/>
            </w:tcBorders>
            <w:shd w:val="clear" w:color="000000" w:fill="FFFFFF"/>
            <w:noWrap/>
            <w:vAlign w:val="bottom"/>
            <w:hideMark/>
          </w:tcPr>
          <w:p w14:paraId="6AC342F2"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 </w:t>
            </w:r>
          </w:p>
        </w:tc>
        <w:tc>
          <w:tcPr>
            <w:tcW w:w="1004" w:type="dxa"/>
            <w:gridSpan w:val="2"/>
            <w:tcBorders>
              <w:top w:val="nil"/>
              <w:left w:val="nil"/>
              <w:bottom w:val="nil"/>
              <w:right w:val="nil"/>
            </w:tcBorders>
            <w:shd w:val="clear" w:color="000000" w:fill="FFFFFF"/>
            <w:noWrap/>
            <w:vAlign w:val="bottom"/>
            <w:hideMark/>
          </w:tcPr>
          <w:p w14:paraId="5FEC374C"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nil"/>
              <w:right w:val="nil"/>
            </w:tcBorders>
            <w:shd w:val="clear" w:color="000000" w:fill="FFFFFF"/>
            <w:noWrap/>
            <w:vAlign w:val="bottom"/>
            <w:hideMark/>
          </w:tcPr>
          <w:p w14:paraId="04124258"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9 </w:t>
            </w:r>
          </w:p>
        </w:tc>
      </w:tr>
      <w:tr w:rsidR="00B860D1" w:rsidRPr="00B860D1" w14:paraId="0564F48F" w14:textId="77777777" w:rsidTr="007462FB">
        <w:trPr>
          <w:gridAfter w:val="2"/>
          <w:wAfter w:w="304" w:type="dxa"/>
          <w:trHeight w:val="263"/>
        </w:trPr>
        <w:tc>
          <w:tcPr>
            <w:tcW w:w="4401" w:type="dxa"/>
            <w:gridSpan w:val="6"/>
            <w:tcBorders>
              <w:top w:val="nil"/>
              <w:left w:val="nil"/>
              <w:bottom w:val="nil"/>
              <w:right w:val="nil"/>
            </w:tcBorders>
            <w:shd w:val="clear" w:color="000000" w:fill="FFFFFF"/>
            <w:noWrap/>
            <w:vAlign w:val="center"/>
            <w:hideMark/>
          </w:tcPr>
          <w:p w14:paraId="34EB5FBC"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Finance income (net pension income)</w:t>
            </w:r>
          </w:p>
        </w:tc>
        <w:tc>
          <w:tcPr>
            <w:tcW w:w="258" w:type="dxa"/>
            <w:tcBorders>
              <w:top w:val="nil"/>
              <w:left w:val="nil"/>
              <w:bottom w:val="nil"/>
              <w:right w:val="nil"/>
            </w:tcBorders>
            <w:shd w:val="clear" w:color="000000" w:fill="FFFFFF"/>
            <w:noWrap/>
            <w:vAlign w:val="bottom"/>
            <w:hideMark/>
          </w:tcPr>
          <w:p w14:paraId="44C4889D"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000000" w:fill="FFFFFF"/>
            <w:noWrap/>
            <w:vAlign w:val="bottom"/>
            <w:hideMark/>
          </w:tcPr>
          <w:p w14:paraId="42B9B64B"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nil"/>
              <w:right w:val="nil"/>
            </w:tcBorders>
            <w:shd w:val="clear" w:color="000000" w:fill="FFFFFF"/>
            <w:noWrap/>
            <w:vAlign w:val="bottom"/>
            <w:hideMark/>
          </w:tcPr>
          <w:p w14:paraId="69932B1E"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nil"/>
              <w:left w:val="nil"/>
              <w:bottom w:val="nil"/>
              <w:right w:val="nil"/>
            </w:tcBorders>
            <w:shd w:val="clear" w:color="000000" w:fill="FFFFFF"/>
            <w:noWrap/>
            <w:vAlign w:val="center"/>
            <w:hideMark/>
          </w:tcPr>
          <w:p w14:paraId="4DEA0FDD"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3 </w:t>
            </w:r>
          </w:p>
        </w:tc>
        <w:tc>
          <w:tcPr>
            <w:tcW w:w="850" w:type="dxa"/>
            <w:gridSpan w:val="2"/>
            <w:tcBorders>
              <w:top w:val="nil"/>
              <w:left w:val="nil"/>
              <w:bottom w:val="nil"/>
              <w:right w:val="nil"/>
            </w:tcBorders>
            <w:shd w:val="clear" w:color="auto" w:fill="CCECFF"/>
            <w:noWrap/>
            <w:vAlign w:val="bottom"/>
            <w:hideMark/>
          </w:tcPr>
          <w:p w14:paraId="276F75B1"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709" w:type="dxa"/>
            <w:gridSpan w:val="2"/>
            <w:tcBorders>
              <w:top w:val="nil"/>
              <w:left w:val="nil"/>
              <w:bottom w:val="nil"/>
              <w:right w:val="nil"/>
            </w:tcBorders>
            <w:shd w:val="clear" w:color="auto" w:fill="CCECFF"/>
            <w:noWrap/>
            <w:vAlign w:val="bottom"/>
            <w:hideMark/>
          </w:tcPr>
          <w:p w14:paraId="7A02CA0F"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xml:space="preserve">20 </w:t>
            </w:r>
          </w:p>
        </w:tc>
        <w:tc>
          <w:tcPr>
            <w:tcW w:w="781" w:type="dxa"/>
            <w:gridSpan w:val="2"/>
            <w:tcBorders>
              <w:top w:val="nil"/>
              <w:left w:val="nil"/>
              <w:bottom w:val="nil"/>
              <w:right w:val="nil"/>
            </w:tcBorders>
            <w:shd w:val="clear" w:color="000000" w:fill="FFFFFF"/>
            <w:noWrap/>
            <w:vAlign w:val="bottom"/>
            <w:hideMark/>
          </w:tcPr>
          <w:p w14:paraId="580E9B95"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nil"/>
              <w:right w:val="nil"/>
            </w:tcBorders>
            <w:shd w:val="clear" w:color="000000" w:fill="FFFFFF"/>
            <w:noWrap/>
            <w:vAlign w:val="bottom"/>
            <w:hideMark/>
          </w:tcPr>
          <w:p w14:paraId="43737FF7"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14 </w:t>
            </w:r>
          </w:p>
        </w:tc>
        <w:tc>
          <w:tcPr>
            <w:tcW w:w="1004" w:type="dxa"/>
            <w:gridSpan w:val="2"/>
            <w:tcBorders>
              <w:top w:val="nil"/>
              <w:left w:val="nil"/>
              <w:bottom w:val="nil"/>
              <w:right w:val="nil"/>
            </w:tcBorders>
            <w:shd w:val="clear" w:color="000000" w:fill="FFFFFF"/>
            <w:noWrap/>
            <w:vAlign w:val="bottom"/>
            <w:hideMark/>
          </w:tcPr>
          <w:p w14:paraId="41010298"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nil"/>
              <w:right w:val="nil"/>
            </w:tcBorders>
            <w:shd w:val="clear" w:color="000000" w:fill="FFFFFF"/>
            <w:noWrap/>
            <w:vAlign w:val="bottom"/>
            <w:hideMark/>
          </w:tcPr>
          <w:p w14:paraId="5ECD4F38"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30 </w:t>
            </w:r>
          </w:p>
        </w:tc>
      </w:tr>
      <w:tr w:rsidR="00B860D1" w:rsidRPr="00B860D1" w14:paraId="635508E9" w14:textId="77777777" w:rsidTr="007462FB">
        <w:trPr>
          <w:gridAfter w:val="2"/>
          <w:wAfter w:w="304" w:type="dxa"/>
          <w:trHeight w:val="263"/>
        </w:trPr>
        <w:tc>
          <w:tcPr>
            <w:tcW w:w="4401" w:type="dxa"/>
            <w:gridSpan w:val="6"/>
            <w:tcBorders>
              <w:top w:val="nil"/>
              <w:left w:val="nil"/>
              <w:bottom w:val="nil"/>
              <w:right w:val="nil"/>
            </w:tcBorders>
            <w:shd w:val="clear" w:color="000000" w:fill="FFFFFF"/>
            <w:noWrap/>
            <w:vAlign w:val="center"/>
            <w:hideMark/>
          </w:tcPr>
          <w:p w14:paraId="0D06C3EE"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Fair value movement on derivatives (net)</w:t>
            </w:r>
          </w:p>
        </w:tc>
        <w:tc>
          <w:tcPr>
            <w:tcW w:w="258" w:type="dxa"/>
            <w:tcBorders>
              <w:top w:val="nil"/>
              <w:left w:val="nil"/>
              <w:bottom w:val="nil"/>
              <w:right w:val="nil"/>
            </w:tcBorders>
            <w:shd w:val="clear" w:color="000000" w:fill="FFFFFF"/>
            <w:noWrap/>
            <w:vAlign w:val="bottom"/>
            <w:hideMark/>
          </w:tcPr>
          <w:p w14:paraId="57973ADB"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000000" w:fill="FFFFFF"/>
            <w:noWrap/>
            <w:vAlign w:val="bottom"/>
            <w:hideMark/>
          </w:tcPr>
          <w:p w14:paraId="5FB9C2A4"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nil"/>
              <w:right w:val="nil"/>
            </w:tcBorders>
            <w:shd w:val="clear" w:color="000000" w:fill="FFFFFF"/>
            <w:noWrap/>
            <w:vAlign w:val="bottom"/>
            <w:hideMark/>
          </w:tcPr>
          <w:p w14:paraId="746CFAAC"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nil"/>
              <w:left w:val="nil"/>
              <w:bottom w:val="nil"/>
              <w:right w:val="nil"/>
            </w:tcBorders>
            <w:shd w:val="clear" w:color="000000" w:fill="FFFFFF"/>
            <w:noWrap/>
            <w:vAlign w:val="center"/>
            <w:hideMark/>
          </w:tcPr>
          <w:p w14:paraId="13D9844F"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3 </w:t>
            </w:r>
          </w:p>
        </w:tc>
        <w:tc>
          <w:tcPr>
            <w:tcW w:w="850" w:type="dxa"/>
            <w:gridSpan w:val="2"/>
            <w:tcBorders>
              <w:top w:val="nil"/>
              <w:left w:val="nil"/>
              <w:bottom w:val="nil"/>
              <w:right w:val="nil"/>
            </w:tcBorders>
            <w:shd w:val="clear" w:color="auto" w:fill="CCECFF"/>
            <w:noWrap/>
            <w:vAlign w:val="bottom"/>
            <w:hideMark/>
          </w:tcPr>
          <w:p w14:paraId="1AB58CDD"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709" w:type="dxa"/>
            <w:gridSpan w:val="2"/>
            <w:tcBorders>
              <w:top w:val="nil"/>
              <w:left w:val="nil"/>
              <w:bottom w:val="nil"/>
              <w:right w:val="nil"/>
            </w:tcBorders>
            <w:shd w:val="clear" w:color="auto" w:fill="CCECFF"/>
            <w:noWrap/>
            <w:vAlign w:val="bottom"/>
            <w:hideMark/>
          </w:tcPr>
          <w:p w14:paraId="41E9BCAC"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xml:space="preserve">22 </w:t>
            </w:r>
          </w:p>
        </w:tc>
        <w:tc>
          <w:tcPr>
            <w:tcW w:w="781" w:type="dxa"/>
            <w:gridSpan w:val="2"/>
            <w:tcBorders>
              <w:top w:val="nil"/>
              <w:left w:val="nil"/>
              <w:bottom w:val="nil"/>
              <w:right w:val="nil"/>
            </w:tcBorders>
            <w:shd w:val="clear" w:color="000000" w:fill="FFFFFF"/>
            <w:noWrap/>
            <w:vAlign w:val="bottom"/>
            <w:hideMark/>
          </w:tcPr>
          <w:p w14:paraId="3EF7E9C7"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nil"/>
              <w:right w:val="nil"/>
            </w:tcBorders>
            <w:shd w:val="clear" w:color="000000" w:fill="FFFFFF"/>
            <w:noWrap/>
            <w:vAlign w:val="bottom"/>
            <w:hideMark/>
          </w:tcPr>
          <w:p w14:paraId="47D04239"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 </w:t>
            </w:r>
          </w:p>
        </w:tc>
        <w:tc>
          <w:tcPr>
            <w:tcW w:w="1004" w:type="dxa"/>
            <w:gridSpan w:val="2"/>
            <w:tcBorders>
              <w:top w:val="nil"/>
              <w:left w:val="nil"/>
              <w:bottom w:val="nil"/>
              <w:right w:val="nil"/>
            </w:tcBorders>
            <w:shd w:val="clear" w:color="000000" w:fill="FFFFFF"/>
            <w:noWrap/>
            <w:vAlign w:val="bottom"/>
            <w:hideMark/>
          </w:tcPr>
          <w:p w14:paraId="1B8950C3"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nil"/>
              <w:right w:val="nil"/>
            </w:tcBorders>
            <w:shd w:val="clear" w:color="000000" w:fill="FFFFFF"/>
            <w:noWrap/>
            <w:vAlign w:val="bottom"/>
            <w:hideMark/>
          </w:tcPr>
          <w:p w14:paraId="7DEC0A53"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 </w:t>
            </w:r>
          </w:p>
        </w:tc>
      </w:tr>
      <w:tr w:rsidR="00B860D1" w:rsidRPr="00B860D1" w14:paraId="687BE6B3" w14:textId="77777777" w:rsidTr="007462FB">
        <w:trPr>
          <w:gridAfter w:val="2"/>
          <w:wAfter w:w="304" w:type="dxa"/>
          <w:trHeight w:val="263"/>
        </w:trPr>
        <w:tc>
          <w:tcPr>
            <w:tcW w:w="4401" w:type="dxa"/>
            <w:gridSpan w:val="6"/>
            <w:tcBorders>
              <w:top w:val="nil"/>
              <w:left w:val="nil"/>
              <w:bottom w:val="nil"/>
              <w:right w:val="nil"/>
            </w:tcBorders>
            <w:shd w:val="clear" w:color="000000" w:fill="FFFFFF"/>
            <w:noWrap/>
            <w:vAlign w:val="center"/>
            <w:hideMark/>
          </w:tcPr>
          <w:p w14:paraId="5043CF1A"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Fair value movement on Group debt</w:t>
            </w:r>
          </w:p>
        </w:tc>
        <w:tc>
          <w:tcPr>
            <w:tcW w:w="258" w:type="dxa"/>
            <w:tcBorders>
              <w:top w:val="nil"/>
              <w:left w:val="nil"/>
              <w:bottom w:val="nil"/>
              <w:right w:val="nil"/>
            </w:tcBorders>
            <w:shd w:val="clear" w:color="000000" w:fill="FFFFFF"/>
            <w:noWrap/>
            <w:vAlign w:val="bottom"/>
            <w:hideMark/>
          </w:tcPr>
          <w:p w14:paraId="546CE6F8"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000000" w:fill="FFFFFF"/>
            <w:noWrap/>
            <w:vAlign w:val="bottom"/>
            <w:hideMark/>
          </w:tcPr>
          <w:p w14:paraId="70E59FB8"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nil"/>
              <w:right w:val="nil"/>
            </w:tcBorders>
            <w:shd w:val="clear" w:color="000000" w:fill="FFFFFF"/>
            <w:noWrap/>
            <w:vAlign w:val="bottom"/>
            <w:hideMark/>
          </w:tcPr>
          <w:p w14:paraId="342D37B3"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nil"/>
              <w:left w:val="nil"/>
              <w:bottom w:val="nil"/>
              <w:right w:val="nil"/>
            </w:tcBorders>
            <w:shd w:val="clear" w:color="000000" w:fill="FFFFFF"/>
            <w:noWrap/>
            <w:vAlign w:val="center"/>
            <w:hideMark/>
          </w:tcPr>
          <w:p w14:paraId="45BEB08F"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3 </w:t>
            </w:r>
          </w:p>
        </w:tc>
        <w:tc>
          <w:tcPr>
            <w:tcW w:w="850" w:type="dxa"/>
            <w:gridSpan w:val="2"/>
            <w:tcBorders>
              <w:top w:val="nil"/>
              <w:left w:val="nil"/>
              <w:bottom w:val="nil"/>
              <w:right w:val="nil"/>
            </w:tcBorders>
            <w:shd w:val="clear" w:color="auto" w:fill="CCECFF"/>
            <w:noWrap/>
            <w:vAlign w:val="bottom"/>
            <w:hideMark/>
          </w:tcPr>
          <w:p w14:paraId="3F883252"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709" w:type="dxa"/>
            <w:gridSpan w:val="2"/>
            <w:tcBorders>
              <w:top w:val="nil"/>
              <w:left w:val="nil"/>
              <w:bottom w:val="nil"/>
              <w:right w:val="nil"/>
            </w:tcBorders>
            <w:shd w:val="clear" w:color="auto" w:fill="CCECFF"/>
            <w:noWrap/>
            <w:vAlign w:val="bottom"/>
            <w:hideMark/>
          </w:tcPr>
          <w:p w14:paraId="66FF3B7E"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xml:space="preserve">29 </w:t>
            </w:r>
          </w:p>
        </w:tc>
        <w:tc>
          <w:tcPr>
            <w:tcW w:w="781" w:type="dxa"/>
            <w:gridSpan w:val="2"/>
            <w:tcBorders>
              <w:top w:val="nil"/>
              <w:left w:val="nil"/>
              <w:bottom w:val="nil"/>
              <w:right w:val="nil"/>
            </w:tcBorders>
            <w:shd w:val="clear" w:color="000000" w:fill="FFFFFF"/>
            <w:noWrap/>
            <w:vAlign w:val="bottom"/>
            <w:hideMark/>
          </w:tcPr>
          <w:p w14:paraId="689A4A74"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nil"/>
              <w:right w:val="nil"/>
            </w:tcBorders>
            <w:shd w:val="clear" w:color="000000" w:fill="FFFFFF"/>
            <w:noWrap/>
            <w:vAlign w:val="bottom"/>
            <w:hideMark/>
          </w:tcPr>
          <w:p w14:paraId="022743BF"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 </w:t>
            </w:r>
          </w:p>
        </w:tc>
        <w:tc>
          <w:tcPr>
            <w:tcW w:w="1004" w:type="dxa"/>
            <w:gridSpan w:val="2"/>
            <w:tcBorders>
              <w:top w:val="nil"/>
              <w:left w:val="nil"/>
              <w:bottom w:val="nil"/>
              <w:right w:val="nil"/>
            </w:tcBorders>
            <w:shd w:val="clear" w:color="000000" w:fill="FFFFFF"/>
            <w:noWrap/>
            <w:vAlign w:val="bottom"/>
            <w:hideMark/>
          </w:tcPr>
          <w:p w14:paraId="375EB6AD"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nil"/>
              <w:right w:val="nil"/>
            </w:tcBorders>
            <w:shd w:val="clear" w:color="000000" w:fill="FFFFFF"/>
            <w:noWrap/>
            <w:vAlign w:val="bottom"/>
            <w:hideMark/>
          </w:tcPr>
          <w:p w14:paraId="4792DED8"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5 </w:t>
            </w:r>
          </w:p>
        </w:tc>
      </w:tr>
      <w:tr w:rsidR="008C4883" w:rsidRPr="00B860D1" w14:paraId="11E2418F" w14:textId="77777777" w:rsidTr="007462FB">
        <w:trPr>
          <w:gridAfter w:val="2"/>
          <w:wAfter w:w="304" w:type="dxa"/>
          <w:trHeight w:val="263"/>
        </w:trPr>
        <w:tc>
          <w:tcPr>
            <w:tcW w:w="5175" w:type="dxa"/>
            <w:gridSpan w:val="9"/>
            <w:tcBorders>
              <w:top w:val="nil"/>
              <w:left w:val="nil"/>
              <w:bottom w:val="nil"/>
              <w:right w:val="nil"/>
            </w:tcBorders>
            <w:shd w:val="clear" w:color="000000" w:fill="FFFFFF"/>
            <w:noWrap/>
            <w:vAlign w:val="center"/>
            <w:hideMark/>
          </w:tcPr>
          <w:p w14:paraId="744E3FE2"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Finance income (one-off gain on settlement of Group Relief Creditor) </w:t>
            </w:r>
          </w:p>
        </w:tc>
        <w:tc>
          <w:tcPr>
            <w:tcW w:w="1346" w:type="dxa"/>
            <w:gridSpan w:val="3"/>
            <w:tcBorders>
              <w:top w:val="nil"/>
              <w:left w:val="nil"/>
              <w:bottom w:val="nil"/>
              <w:right w:val="nil"/>
            </w:tcBorders>
            <w:shd w:val="clear" w:color="000000" w:fill="FFFFFF"/>
            <w:noWrap/>
            <w:vAlign w:val="center"/>
            <w:hideMark/>
          </w:tcPr>
          <w:p w14:paraId="78F5BFA7"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3 </w:t>
            </w:r>
          </w:p>
        </w:tc>
        <w:tc>
          <w:tcPr>
            <w:tcW w:w="850" w:type="dxa"/>
            <w:gridSpan w:val="2"/>
            <w:tcBorders>
              <w:top w:val="nil"/>
              <w:left w:val="nil"/>
              <w:bottom w:val="nil"/>
              <w:right w:val="nil"/>
            </w:tcBorders>
            <w:shd w:val="clear" w:color="auto" w:fill="CCECFF"/>
            <w:noWrap/>
            <w:vAlign w:val="bottom"/>
            <w:hideMark/>
          </w:tcPr>
          <w:p w14:paraId="06C661EF"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709" w:type="dxa"/>
            <w:gridSpan w:val="2"/>
            <w:tcBorders>
              <w:top w:val="nil"/>
              <w:left w:val="nil"/>
              <w:bottom w:val="nil"/>
              <w:right w:val="nil"/>
            </w:tcBorders>
            <w:shd w:val="clear" w:color="auto" w:fill="CCECFF"/>
            <w:noWrap/>
            <w:vAlign w:val="bottom"/>
            <w:hideMark/>
          </w:tcPr>
          <w:p w14:paraId="03A7AF79"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xml:space="preserve">- </w:t>
            </w:r>
          </w:p>
        </w:tc>
        <w:tc>
          <w:tcPr>
            <w:tcW w:w="781" w:type="dxa"/>
            <w:gridSpan w:val="2"/>
            <w:tcBorders>
              <w:top w:val="nil"/>
              <w:left w:val="nil"/>
              <w:bottom w:val="nil"/>
              <w:right w:val="nil"/>
            </w:tcBorders>
            <w:shd w:val="clear" w:color="000000" w:fill="FFFFFF"/>
            <w:noWrap/>
            <w:vAlign w:val="bottom"/>
            <w:hideMark/>
          </w:tcPr>
          <w:p w14:paraId="5303576C"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nil"/>
              <w:right w:val="nil"/>
            </w:tcBorders>
            <w:shd w:val="clear" w:color="000000" w:fill="FFFFFF"/>
            <w:noWrap/>
            <w:vAlign w:val="bottom"/>
            <w:hideMark/>
          </w:tcPr>
          <w:p w14:paraId="423DB95A"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99 </w:t>
            </w:r>
          </w:p>
        </w:tc>
        <w:tc>
          <w:tcPr>
            <w:tcW w:w="1004" w:type="dxa"/>
            <w:gridSpan w:val="2"/>
            <w:tcBorders>
              <w:top w:val="nil"/>
              <w:left w:val="nil"/>
              <w:bottom w:val="nil"/>
              <w:right w:val="nil"/>
            </w:tcBorders>
            <w:shd w:val="clear" w:color="000000" w:fill="FFFFFF"/>
            <w:noWrap/>
            <w:vAlign w:val="bottom"/>
            <w:hideMark/>
          </w:tcPr>
          <w:p w14:paraId="54FC99D8"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nil"/>
              <w:right w:val="nil"/>
            </w:tcBorders>
            <w:shd w:val="clear" w:color="000000" w:fill="FFFFFF"/>
            <w:noWrap/>
            <w:vAlign w:val="bottom"/>
            <w:hideMark/>
          </w:tcPr>
          <w:p w14:paraId="79A6DFBD"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99 </w:t>
            </w:r>
          </w:p>
        </w:tc>
      </w:tr>
      <w:tr w:rsidR="00B860D1" w:rsidRPr="00B860D1" w14:paraId="40D33873" w14:textId="77777777" w:rsidTr="007462FB">
        <w:trPr>
          <w:gridAfter w:val="2"/>
          <w:wAfter w:w="304" w:type="dxa"/>
          <w:trHeight w:val="263"/>
        </w:trPr>
        <w:tc>
          <w:tcPr>
            <w:tcW w:w="4143" w:type="dxa"/>
            <w:gridSpan w:val="4"/>
            <w:tcBorders>
              <w:top w:val="nil"/>
              <w:left w:val="nil"/>
              <w:bottom w:val="nil"/>
              <w:right w:val="nil"/>
            </w:tcBorders>
            <w:shd w:val="clear" w:color="000000" w:fill="FFFFFF"/>
            <w:noWrap/>
            <w:vAlign w:val="center"/>
            <w:hideMark/>
          </w:tcPr>
          <w:p w14:paraId="2FF9D401"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Finance income (funeral plans)</w:t>
            </w:r>
          </w:p>
        </w:tc>
        <w:tc>
          <w:tcPr>
            <w:tcW w:w="258" w:type="dxa"/>
            <w:gridSpan w:val="2"/>
            <w:tcBorders>
              <w:top w:val="nil"/>
              <w:left w:val="nil"/>
              <w:bottom w:val="nil"/>
              <w:right w:val="nil"/>
            </w:tcBorders>
            <w:shd w:val="clear" w:color="000000" w:fill="FFFFFF"/>
            <w:noWrap/>
            <w:vAlign w:val="bottom"/>
            <w:hideMark/>
          </w:tcPr>
          <w:p w14:paraId="1E470807"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nil"/>
              <w:right w:val="nil"/>
            </w:tcBorders>
            <w:shd w:val="clear" w:color="000000" w:fill="FFFFFF"/>
            <w:noWrap/>
            <w:vAlign w:val="bottom"/>
            <w:hideMark/>
          </w:tcPr>
          <w:p w14:paraId="260BA9F8"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000000" w:fill="FFFFFF"/>
            <w:noWrap/>
            <w:vAlign w:val="bottom"/>
            <w:hideMark/>
          </w:tcPr>
          <w:p w14:paraId="28845621"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nil"/>
              <w:right w:val="nil"/>
            </w:tcBorders>
            <w:shd w:val="clear" w:color="000000" w:fill="FFFFFF"/>
            <w:noWrap/>
            <w:vAlign w:val="bottom"/>
            <w:hideMark/>
          </w:tcPr>
          <w:p w14:paraId="77E8EAF4"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nil"/>
              <w:left w:val="nil"/>
              <w:bottom w:val="nil"/>
              <w:right w:val="nil"/>
            </w:tcBorders>
            <w:shd w:val="clear" w:color="000000" w:fill="FFFFFF"/>
            <w:noWrap/>
            <w:vAlign w:val="center"/>
            <w:hideMark/>
          </w:tcPr>
          <w:p w14:paraId="3D8A90F8"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3 </w:t>
            </w:r>
          </w:p>
        </w:tc>
        <w:tc>
          <w:tcPr>
            <w:tcW w:w="850" w:type="dxa"/>
            <w:gridSpan w:val="2"/>
            <w:tcBorders>
              <w:top w:val="nil"/>
              <w:left w:val="nil"/>
              <w:bottom w:val="nil"/>
              <w:right w:val="nil"/>
            </w:tcBorders>
            <w:shd w:val="clear" w:color="auto" w:fill="CCECFF"/>
            <w:noWrap/>
            <w:vAlign w:val="bottom"/>
            <w:hideMark/>
          </w:tcPr>
          <w:p w14:paraId="07E85D87"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709" w:type="dxa"/>
            <w:gridSpan w:val="2"/>
            <w:tcBorders>
              <w:top w:val="nil"/>
              <w:left w:val="nil"/>
              <w:bottom w:val="nil"/>
              <w:right w:val="nil"/>
            </w:tcBorders>
            <w:shd w:val="clear" w:color="auto" w:fill="CCECFF"/>
            <w:noWrap/>
            <w:vAlign w:val="bottom"/>
            <w:hideMark/>
          </w:tcPr>
          <w:p w14:paraId="7858B8F0"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xml:space="preserve">48 </w:t>
            </w:r>
          </w:p>
        </w:tc>
        <w:tc>
          <w:tcPr>
            <w:tcW w:w="781" w:type="dxa"/>
            <w:gridSpan w:val="2"/>
            <w:tcBorders>
              <w:top w:val="nil"/>
              <w:left w:val="nil"/>
              <w:bottom w:val="nil"/>
              <w:right w:val="nil"/>
            </w:tcBorders>
            <w:shd w:val="clear" w:color="000000" w:fill="FFFFFF"/>
            <w:noWrap/>
            <w:vAlign w:val="bottom"/>
            <w:hideMark/>
          </w:tcPr>
          <w:p w14:paraId="7EBBD887"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nil"/>
              <w:right w:val="nil"/>
            </w:tcBorders>
            <w:shd w:val="clear" w:color="000000" w:fill="FFFFFF"/>
            <w:noWrap/>
            <w:vAlign w:val="bottom"/>
            <w:hideMark/>
          </w:tcPr>
          <w:p w14:paraId="076EB14D"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25 </w:t>
            </w:r>
          </w:p>
        </w:tc>
        <w:tc>
          <w:tcPr>
            <w:tcW w:w="1004" w:type="dxa"/>
            <w:gridSpan w:val="2"/>
            <w:tcBorders>
              <w:top w:val="nil"/>
              <w:left w:val="nil"/>
              <w:bottom w:val="nil"/>
              <w:right w:val="nil"/>
            </w:tcBorders>
            <w:shd w:val="clear" w:color="000000" w:fill="FFFFFF"/>
            <w:noWrap/>
            <w:vAlign w:val="bottom"/>
            <w:hideMark/>
          </w:tcPr>
          <w:p w14:paraId="3C948CFF"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nil"/>
              <w:right w:val="nil"/>
            </w:tcBorders>
            <w:shd w:val="clear" w:color="000000" w:fill="FFFFFF"/>
            <w:noWrap/>
            <w:vAlign w:val="bottom"/>
            <w:hideMark/>
          </w:tcPr>
          <w:p w14:paraId="29F1EB0E"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54 </w:t>
            </w:r>
          </w:p>
        </w:tc>
      </w:tr>
      <w:tr w:rsidR="00B860D1" w:rsidRPr="00B860D1" w14:paraId="70E07507" w14:textId="77777777" w:rsidTr="007462FB">
        <w:trPr>
          <w:gridAfter w:val="2"/>
          <w:wAfter w:w="304" w:type="dxa"/>
          <w:trHeight w:val="263"/>
        </w:trPr>
        <w:tc>
          <w:tcPr>
            <w:tcW w:w="4143" w:type="dxa"/>
            <w:gridSpan w:val="4"/>
            <w:tcBorders>
              <w:top w:val="nil"/>
              <w:left w:val="nil"/>
              <w:bottom w:val="nil"/>
              <w:right w:val="nil"/>
            </w:tcBorders>
            <w:shd w:val="clear" w:color="000000" w:fill="FFFFFF"/>
            <w:noWrap/>
            <w:vAlign w:val="center"/>
            <w:hideMark/>
          </w:tcPr>
          <w:p w14:paraId="02296EBF"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Finance costs (funeral plans)</w:t>
            </w:r>
          </w:p>
        </w:tc>
        <w:tc>
          <w:tcPr>
            <w:tcW w:w="258" w:type="dxa"/>
            <w:gridSpan w:val="2"/>
            <w:tcBorders>
              <w:top w:val="nil"/>
              <w:left w:val="nil"/>
              <w:bottom w:val="nil"/>
              <w:right w:val="nil"/>
            </w:tcBorders>
            <w:shd w:val="clear" w:color="000000" w:fill="FFFFFF"/>
            <w:noWrap/>
            <w:vAlign w:val="bottom"/>
            <w:hideMark/>
          </w:tcPr>
          <w:p w14:paraId="0A8A3622"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nil"/>
              <w:right w:val="nil"/>
            </w:tcBorders>
            <w:shd w:val="clear" w:color="000000" w:fill="FFFFFF"/>
            <w:noWrap/>
            <w:vAlign w:val="bottom"/>
            <w:hideMark/>
          </w:tcPr>
          <w:p w14:paraId="734B784A"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000000" w:fill="FFFFFF"/>
            <w:noWrap/>
            <w:vAlign w:val="bottom"/>
            <w:hideMark/>
          </w:tcPr>
          <w:p w14:paraId="315299B9"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nil"/>
              <w:right w:val="nil"/>
            </w:tcBorders>
            <w:shd w:val="clear" w:color="000000" w:fill="FFFFFF"/>
            <w:noWrap/>
            <w:vAlign w:val="bottom"/>
            <w:hideMark/>
          </w:tcPr>
          <w:p w14:paraId="48E019A9"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nil"/>
              <w:left w:val="nil"/>
              <w:bottom w:val="nil"/>
              <w:right w:val="nil"/>
            </w:tcBorders>
            <w:shd w:val="clear" w:color="000000" w:fill="FFFFFF"/>
            <w:noWrap/>
            <w:vAlign w:val="center"/>
            <w:hideMark/>
          </w:tcPr>
          <w:p w14:paraId="58453EDC"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4 </w:t>
            </w:r>
          </w:p>
        </w:tc>
        <w:tc>
          <w:tcPr>
            <w:tcW w:w="850" w:type="dxa"/>
            <w:gridSpan w:val="2"/>
            <w:tcBorders>
              <w:top w:val="nil"/>
              <w:left w:val="nil"/>
              <w:bottom w:val="nil"/>
              <w:right w:val="nil"/>
            </w:tcBorders>
            <w:shd w:val="clear" w:color="auto" w:fill="CCECFF"/>
            <w:noWrap/>
            <w:vAlign w:val="bottom"/>
            <w:hideMark/>
          </w:tcPr>
          <w:p w14:paraId="73896F49"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709" w:type="dxa"/>
            <w:gridSpan w:val="2"/>
            <w:tcBorders>
              <w:top w:val="nil"/>
              <w:left w:val="nil"/>
              <w:bottom w:val="nil"/>
              <w:right w:val="nil"/>
            </w:tcBorders>
            <w:shd w:val="clear" w:color="auto" w:fill="CCECFF"/>
            <w:noWrap/>
            <w:vAlign w:val="bottom"/>
            <w:hideMark/>
          </w:tcPr>
          <w:p w14:paraId="7A7F3CE6"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(27)</w:t>
            </w:r>
          </w:p>
        </w:tc>
        <w:tc>
          <w:tcPr>
            <w:tcW w:w="781" w:type="dxa"/>
            <w:gridSpan w:val="2"/>
            <w:tcBorders>
              <w:top w:val="nil"/>
              <w:left w:val="nil"/>
              <w:bottom w:val="nil"/>
              <w:right w:val="nil"/>
            </w:tcBorders>
            <w:shd w:val="clear" w:color="000000" w:fill="FFFFFF"/>
            <w:noWrap/>
            <w:vAlign w:val="bottom"/>
            <w:hideMark/>
          </w:tcPr>
          <w:p w14:paraId="7E504DA5"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nil"/>
              <w:right w:val="nil"/>
            </w:tcBorders>
            <w:shd w:val="clear" w:color="000000" w:fill="FFFFFF"/>
            <w:noWrap/>
            <w:vAlign w:val="bottom"/>
            <w:hideMark/>
          </w:tcPr>
          <w:p w14:paraId="69BFAA26"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(34)</w:t>
            </w:r>
          </w:p>
        </w:tc>
        <w:tc>
          <w:tcPr>
            <w:tcW w:w="1004" w:type="dxa"/>
            <w:gridSpan w:val="2"/>
            <w:tcBorders>
              <w:top w:val="nil"/>
              <w:left w:val="nil"/>
              <w:bottom w:val="nil"/>
              <w:right w:val="nil"/>
            </w:tcBorders>
            <w:shd w:val="clear" w:color="000000" w:fill="FFFFFF"/>
            <w:noWrap/>
            <w:vAlign w:val="bottom"/>
            <w:hideMark/>
          </w:tcPr>
          <w:p w14:paraId="78EF73B4"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nil"/>
              <w:right w:val="nil"/>
            </w:tcBorders>
            <w:shd w:val="clear" w:color="000000" w:fill="FFFFFF"/>
            <w:noWrap/>
            <w:vAlign w:val="bottom"/>
            <w:hideMark/>
          </w:tcPr>
          <w:p w14:paraId="1536C2EB"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(58)</w:t>
            </w:r>
          </w:p>
        </w:tc>
      </w:tr>
      <w:tr w:rsidR="00B860D1" w:rsidRPr="00B860D1" w14:paraId="767BA3C7" w14:textId="77777777" w:rsidTr="007462FB">
        <w:trPr>
          <w:gridAfter w:val="2"/>
          <w:wAfter w:w="304" w:type="dxa"/>
          <w:trHeight w:val="263"/>
        </w:trPr>
        <w:tc>
          <w:tcPr>
            <w:tcW w:w="4401" w:type="dxa"/>
            <w:gridSpan w:val="6"/>
            <w:tcBorders>
              <w:top w:val="nil"/>
              <w:left w:val="nil"/>
              <w:bottom w:val="nil"/>
              <w:right w:val="nil"/>
            </w:tcBorders>
            <w:shd w:val="clear" w:color="000000" w:fill="FFFFFF"/>
            <w:noWrap/>
            <w:vAlign w:val="center"/>
            <w:hideMark/>
          </w:tcPr>
          <w:p w14:paraId="6DF68E91"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Net other non-cash finance income / (cost)</w:t>
            </w:r>
          </w:p>
        </w:tc>
        <w:tc>
          <w:tcPr>
            <w:tcW w:w="258" w:type="dxa"/>
            <w:tcBorders>
              <w:top w:val="nil"/>
              <w:left w:val="nil"/>
              <w:bottom w:val="nil"/>
              <w:right w:val="nil"/>
            </w:tcBorders>
            <w:shd w:val="clear" w:color="000000" w:fill="FFFFFF"/>
            <w:noWrap/>
            <w:vAlign w:val="bottom"/>
            <w:hideMark/>
          </w:tcPr>
          <w:p w14:paraId="26C848CA"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000000" w:fill="FFFFFF"/>
            <w:noWrap/>
            <w:vAlign w:val="bottom"/>
            <w:hideMark/>
          </w:tcPr>
          <w:p w14:paraId="6C9D2773"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nil"/>
              <w:right w:val="nil"/>
            </w:tcBorders>
            <w:shd w:val="clear" w:color="000000" w:fill="FFFFFF"/>
            <w:noWrap/>
            <w:vAlign w:val="bottom"/>
            <w:hideMark/>
          </w:tcPr>
          <w:p w14:paraId="63FF5E36"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nil"/>
              <w:left w:val="nil"/>
              <w:bottom w:val="nil"/>
              <w:right w:val="nil"/>
            </w:tcBorders>
            <w:shd w:val="clear" w:color="000000" w:fill="FFFFFF"/>
            <w:noWrap/>
            <w:vAlign w:val="center"/>
            <w:hideMark/>
          </w:tcPr>
          <w:p w14:paraId="56CE2C23"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3, 4</w:t>
            </w:r>
          </w:p>
        </w:tc>
        <w:tc>
          <w:tcPr>
            <w:tcW w:w="850" w:type="dxa"/>
            <w:gridSpan w:val="2"/>
            <w:tcBorders>
              <w:top w:val="nil"/>
              <w:left w:val="nil"/>
              <w:bottom w:val="nil"/>
              <w:right w:val="nil"/>
            </w:tcBorders>
            <w:shd w:val="clear" w:color="auto" w:fill="CCECFF"/>
            <w:noWrap/>
            <w:vAlign w:val="bottom"/>
            <w:hideMark/>
          </w:tcPr>
          <w:p w14:paraId="3E80117B"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709" w:type="dxa"/>
            <w:gridSpan w:val="2"/>
            <w:tcBorders>
              <w:top w:val="nil"/>
              <w:left w:val="nil"/>
              <w:bottom w:val="nil"/>
              <w:right w:val="nil"/>
            </w:tcBorders>
            <w:shd w:val="clear" w:color="auto" w:fill="CCECFF"/>
            <w:noWrap/>
            <w:vAlign w:val="bottom"/>
            <w:hideMark/>
          </w:tcPr>
          <w:p w14:paraId="522B828F"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xml:space="preserve">2 </w:t>
            </w:r>
          </w:p>
        </w:tc>
        <w:tc>
          <w:tcPr>
            <w:tcW w:w="781" w:type="dxa"/>
            <w:gridSpan w:val="2"/>
            <w:tcBorders>
              <w:top w:val="nil"/>
              <w:left w:val="nil"/>
              <w:bottom w:val="nil"/>
              <w:right w:val="nil"/>
            </w:tcBorders>
            <w:shd w:val="clear" w:color="000000" w:fill="FFFFFF"/>
            <w:noWrap/>
            <w:vAlign w:val="bottom"/>
            <w:hideMark/>
          </w:tcPr>
          <w:p w14:paraId="6A3C90D9"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nil"/>
              <w:right w:val="nil"/>
            </w:tcBorders>
            <w:shd w:val="clear" w:color="000000" w:fill="FFFFFF"/>
            <w:noWrap/>
            <w:vAlign w:val="bottom"/>
            <w:hideMark/>
          </w:tcPr>
          <w:p w14:paraId="308DBA10"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(2)</w:t>
            </w:r>
          </w:p>
        </w:tc>
        <w:tc>
          <w:tcPr>
            <w:tcW w:w="1004" w:type="dxa"/>
            <w:gridSpan w:val="2"/>
            <w:tcBorders>
              <w:top w:val="nil"/>
              <w:left w:val="nil"/>
              <w:bottom w:val="nil"/>
              <w:right w:val="nil"/>
            </w:tcBorders>
            <w:shd w:val="clear" w:color="000000" w:fill="FFFFFF"/>
            <w:noWrap/>
            <w:vAlign w:val="bottom"/>
            <w:hideMark/>
          </w:tcPr>
          <w:p w14:paraId="4827BA80"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nil"/>
              <w:right w:val="nil"/>
            </w:tcBorders>
            <w:shd w:val="clear" w:color="000000" w:fill="FFFFFF"/>
            <w:noWrap/>
            <w:vAlign w:val="bottom"/>
            <w:hideMark/>
          </w:tcPr>
          <w:p w14:paraId="372A8D4D"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(5)</w:t>
            </w:r>
          </w:p>
        </w:tc>
      </w:tr>
      <w:tr w:rsidR="00B860D1" w:rsidRPr="00B860D1" w14:paraId="5C4310D1" w14:textId="77777777" w:rsidTr="007462FB">
        <w:trPr>
          <w:gridAfter w:val="2"/>
          <w:wAfter w:w="304" w:type="dxa"/>
          <w:trHeight w:val="263"/>
        </w:trPr>
        <w:tc>
          <w:tcPr>
            <w:tcW w:w="4143" w:type="dxa"/>
            <w:gridSpan w:val="4"/>
            <w:tcBorders>
              <w:top w:val="single" w:sz="4" w:space="0" w:color="BFBFBF"/>
              <w:left w:val="nil"/>
              <w:bottom w:val="single" w:sz="4" w:space="0" w:color="BFBFBF"/>
              <w:right w:val="nil"/>
            </w:tcBorders>
            <w:shd w:val="clear" w:color="000000" w:fill="FFFFFF"/>
            <w:noWrap/>
            <w:vAlign w:val="center"/>
            <w:hideMark/>
          </w:tcPr>
          <w:p w14:paraId="0046FD36"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Profit before tax</w:t>
            </w:r>
          </w:p>
        </w:tc>
        <w:tc>
          <w:tcPr>
            <w:tcW w:w="258" w:type="dxa"/>
            <w:gridSpan w:val="2"/>
            <w:tcBorders>
              <w:top w:val="single" w:sz="4" w:space="0" w:color="BFBFBF"/>
              <w:left w:val="nil"/>
              <w:bottom w:val="single" w:sz="4" w:space="0" w:color="BFBFBF"/>
              <w:right w:val="nil"/>
            </w:tcBorders>
            <w:shd w:val="clear" w:color="000000" w:fill="FFFFFF"/>
            <w:noWrap/>
            <w:vAlign w:val="bottom"/>
            <w:hideMark/>
          </w:tcPr>
          <w:p w14:paraId="3E6CB418"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single" w:sz="4" w:space="0" w:color="BFBFBF"/>
              <w:left w:val="nil"/>
              <w:bottom w:val="single" w:sz="4" w:space="0" w:color="BFBFBF"/>
              <w:right w:val="nil"/>
            </w:tcBorders>
            <w:shd w:val="clear" w:color="000000" w:fill="FFFFFF"/>
            <w:noWrap/>
            <w:vAlign w:val="bottom"/>
            <w:hideMark/>
          </w:tcPr>
          <w:p w14:paraId="6B45CE64"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single" w:sz="4" w:space="0" w:color="BFBFBF"/>
              <w:left w:val="nil"/>
              <w:bottom w:val="single" w:sz="4" w:space="0" w:color="BFBFBF"/>
              <w:right w:val="nil"/>
            </w:tcBorders>
            <w:shd w:val="clear" w:color="000000" w:fill="FFFFFF"/>
            <w:noWrap/>
            <w:vAlign w:val="bottom"/>
            <w:hideMark/>
          </w:tcPr>
          <w:p w14:paraId="700BBA1A"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single" w:sz="4" w:space="0" w:color="BFBFBF"/>
              <w:left w:val="nil"/>
              <w:bottom w:val="single" w:sz="4" w:space="0" w:color="BFBFBF"/>
              <w:right w:val="nil"/>
            </w:tcBorders>
            <w:shd w:val="clear" w:color="000000" w:fill="FFFFFF"/>
            <w:noWrap/>
            <w:vAlign w:val="bottom"/>
            <w:hideMark/>
          </w:tcPr>
          <w:p w14:paraId="0CEF6751"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1346" w:type="dxa"/>
            <w:gridSpan w:val="3"/>
            <w:tcBorders>
              <w:top w:val="single" w:sz="4" w:space="0" w:color="BFBFBF"/>
              <w:left w:val="nil"/>
              <w:bottom w:val="single" w:sz="4" w:space="0" w:color="BFBFBF"/>
              <w:right w:val="nil"/>
            </w:tcBorders>
            <w:shd w:val="clear" w:color="000000" w:fill="FFFFFF"/>
            <w:noWrap/>
            <w:vAlign w:val="bottom"/>
            <w:hideMark/>
          </w:tcPr>
          <w:p w14:paraId="575B493E"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850" w:type="dxa"/>
            <w:gridSpan w:val="2"/>
            <w:tcBorders>
              <w:top w:val="single" w:sz="4" w:space="0" w:color="BFBFBF"/>
              <w:left w:val="nil"/>
              <w:bottom w:val="single" w:sz="4" w:space="0" w:color="BFBFBF"/>
              <w:right w:val="nil"/>
            </w:tcBorders>
            <w:shd w:val="clear" w:color="auto" w:fill="CCECFF"/>
            <w:noWrap/>
            <w:vAlign w:val="bottom"/>
            <w:hideMark/>
          </w:tcPr>
          <w:p w14:paraId="6415BFEA"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709" w:type="dxa"/>
            <w:gridSpan w:val="2"/>
            <w:tcBorders>
              <w:top w:val="single" w:sz="4" w:space="0" w:color="BFBFBF"/>
              <w:left w:val="nil"/>
              <w:bottom w:val="single" w:sz="4" w:space="0" w:color="BFBFBF"/>
              <w:right w:val="nil"/>
            </w:tcBorders>
            <w:shd w:val="clear" w:color="auto" w:fill="CCECFF"/>
            <w:noWrap/>
            <w:vAlign w:val="bottom"/>
            <w:hideMark/>
          </w:tcPr>
          <w:p w14:paraId="31705F88"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xml:space="preserve">7 </w:t>
            </w:r>
          </w:p>
        </w:tc>
        <w:tc>
          <w:tcPr>
            <w:tcW w:w="781" w:type="dxa"/>
            <w:gridSpan w:val="2"/>
            <w:tcBorders>
              <w:top w:val="single" w:sz="4" w:space="0" w:color="BFBFBF"/>
              <w:left w:val="nil"/>
              <w:bottom w:val="single" w:sz="4" w:space="0" w:color="BFBFBF"/>
              <w:right w:val="nil"/>
            </w:tcBorders>
            <w:shd w:val="clear" w:color="000000" w:fill="FFFFFF"/>
            <w:noWrap/>
            <w:vAlign w:val="bottom"/>
            <w:hideMark/>
          </w:tcPr>
          <w:p w14:paraId="3F0DB0FC"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single" w:sz="4" w:space="0" w:color="BFBFBF"/>
              <w:left w:val="nil"/>
              <w:bottom w:val="single" w:sz="4" w:space="0" w:color="BFBFBF"/>
              <w:right w:val="nil"/>
            </w:tcBorders>
            <w:shd w:val="clear" w:color="000000" w:fill="FFFFFF"/>
            <w:noWrap/>
            <w:vAlign w:val="bottom"/>
            <w:hideMark/>
          </w:tcPr>
          <w:p w14:paraId="0B4B7F74"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44 </w:t>
            </w:r>
          </w:p>
        </w:tc>
        <w:tc>
          <w:tcPr>
            <w:tcW w:w="1004" w:type="dxa"/>
            <w:gridSpan w:val="2"/>
            <w:tcBorders>
              <w:top w:val="single" w:sz="4" w:space="0" w:color="BFBFBF"/>
              <w:left w:val="nil"/>
              <w:bottom w:val="single" w:sz="4" w:space="0" w:color="BFBFBF"/>
              <w:right w:val="nil"/>
            </w:tcBorders>
            <w:shd w:val="clear" w:color="000000" w:fill="FFFFFF"/>
            <w:noWrap/>
            <w:vAlign w:val="bottom"/>
            <w:hideMark/>
          </w:tcPr>
          <w:p w14:paraId="6A6538B0"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single" w:sz="4" w:space="0" w:color="BFBFBF"/>
              <w:left w:val="nil"/>
              <w:bottom w:val="single" w:sz="4" w:space="0" w:color="BFBFBF"/>
              <w:right w:val="nil"/>
            </w:tcBorders>
            <w:shd w:val="clear" w:color="000000" w:fill="FFFFFF"/>
            <w:noWrap/>
            <w:vAlign w:val="bottom"/>
            <w:hideMark/>
          </w:tcPr>
          <w:p w14:paraId="483CB6F1"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57 </w:t>
            </w:r>
          </w:p>
        </w:tc>
      </w:tr>
      <w:tr w:rsidR="00B860D1" w:rsidRPr="00B860D1" w14:paraId="701FF10E" w14:textId="77777777" w:rsidTr="008C4883">
        <w:trPr>
          <w:gridAfter w:val="2"/>
          <w:wAfter w:w="304" w:type="dxa"/>
          <w:trHeight w:val="593"/>
        </w:trPr>
        <w:tc>
          <w:tcPr>
            <w:tcW w:w="10915" w:type="dxa"/>
            <w:gridSpan w:val="23"/>
            <w:tcBorders>
              <w:top w:val="nil"/>
              <w:left w:val="nil"/>
              <w:bottom w:val="nil"/>
              <w:right w:val="nil"/>
            </w:tcBorders>
            <w:shd w:val="clear" w:color="000000" w:fill="FFFFFF"/>
            <w:vAlign w:val="center"/>
            <w:hideMark/>
          </w:tcPr>
          <w:p w14:paraId="13E916E4"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r>
      <w:tr w:rsidR="00B860D1" w:rsidRPr="00B860D1" w14:paraId="518C8F8C" w14:textId="77777777" w:rsidTr="007462FB">
        <w:trPr>
          <w:gridAfter w:val="2"/>
          <w:wAfter w:w="304" w:type="dxa"/>
          <w:trHeight w:val="158"/>
        </w:trPr>
        <w:tc>
          <w:tcPr>
            <w:tcW w:w="4143" w:type="dxa"/>
            <w:gridSpan w:val="4"/>
            <w:tcBorders>
              <w:top w:val="nil"/>
              <w:left w:val="nil"/>
              <w:bottom w:val="nil"/>
              <w:right w:val="nil"/>
            </w:tcBorders>
            <w:shd w:val="clear" w:color="000000" w:fill="FFFFFF"/>
            <w:noWrap/>
            <w:vAlign w:val="bottom"/>
            <w:hideMark/>
          </w:tcPr>
          <w:p w14:paraId="146FAA30"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gridSpan w:val="2"/>
            <w:tcBorders>
              <w:top w:val="nil"/>
              <w:left w:val="nil"/>
              <w:bottom w:val="nil"/>
              <w:right w:val="nil"/>
            </w:tcBorders>
            <w:shd w:val="clear" w:color="000000" w:fill="FFFFFF"/>
            <w:noWrap/>
            <w:vAlign w:val="bottom"/>
            <w:hideMark/>
          </w:tcPr>
          <w:p w14:paraId="1AE0AFE8"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nil"/>
              <w:right w:val="nil"/>
            </w:tcBorders>
            <w:shd w:val="clear" w:color="000000" w:fill="FFFFFF"/>
            <w:noWrap/>
            <w:vAlign w:val="bottom"/>
            <w:hideMark/>
          </w:tcPr>
          <w:p w14:paraId="38C92129"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000000" w:fill="FFFFFF"/>
            <w:noWrap/>
            <w:vAlign w:val="bottom"/>
            <w:hideMark/>
          </w:tcPr>
          <w:p w14:paraId="1709FF7C"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nil"/>
              <w:right w:val="nil"/>
            </w:tcBorders>
            <w:shd w:val="clear" w:color="000000" w:fill="FFFFFF"/>
            <w:noWrap/>
            <w:vAlign w:val="bottom"/>
            <w:hideMark/>
          </w:tcPr>
          <w:p w14:paraId="759AE680"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1346" w:type="dxa"/>
            <w:gridSpan w:val="3"/>
            <w:tcBorders>
              <w:top w:val="nil"/>
              <w:left w:val="nil"/>
              <w:bottom w:val="nil"/>
              <w:right w:val="nil"/>
            </w:tcBorders>
            <w:shd w:val="clear" w:color="000000" w:fill="FFFFFF"/>
            <w:noWrap/>
            <w:vAlign w:val="bottom"/>
            <w:hideMark/>
          </w:tcPr>
          <w:p w14:paraId="5289AE04"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850" w:type="dxa"/>
            <w:gridSpan w:val="2"/>
            <w:tcBorders>
              <w:top w:val="nil"/>
              <w:left w:val="nil"/>
              <w:bottom w:val="nil"/>
              <w:right w:val="nil"/>
            </w:tcBorders>
            <w:shd w:val="clear" w:color="000000" w:fill="FFFFFF"/>
            <w:noWrap/>
            <w:vAlign w:val="bottom"/>
            <w:hideMark/>
          </w:tcPr>
          <w:p w14:paraId="06E5B07D"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709" w:type="dxa"/>
            <w:gridSpan w:val="2"/>
            <w:tcBorders>
              <w:top w:val="nil"/>
              <w:left w:val="nil"/>
              <w:bottom w:val="nil"/>
              <w:right w:val="nil"/>
            </w:tcBorders>
            <w:shd w:val="clear" w:color="000000" w:fill="FFFFFF"/>
            <w:noWrap/>
            <w:vAlign w:val="bottom"/>
            <w:hideMark/>
          </w:tcPr>
          <w:p w14:paraId="34B06781"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781" w:type="dxa"/>
            <w:gridSpan w:val="2"/>
            <w:tcBorders>
              <w:top w:val="nil"/>
              <w:left w:val="nil"/>
              <w:bottom w:val="nil"/>
              <w:right w:val="nil"/>
            </w:tcBorders>
            <w:shd w:val="clear" w:color="000000" w:fill="FFFFFF"/>
            <w:noWrap/>
            <w:vAlign w:val="bottom"/>
            <w:hideMark/>
          </w:tcPr>
          <w:p w14:paraId="6E7F8D43"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483" w:type="dxa"/>
            <w:gridSpan w:val="2"/>
            <w:tcBorders>
              <w:top w:val="nil"/>
              <w:left w:val="nil"/>
              <w:bottom w:val="nil"/>
              <w:right w:val="nil"/>
            </w:tcBorders>
            <w:shd w:val="clear" w:color="000000" w:fill="FFFFFF"/>
            <w:noWrap/>
            <w:vAlign w:val="bottom"/>
            <w:hideMark/>
          </w:tcPr>
          <w:p w14:paraId="2E5B3588"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1004" w:type="dxa"/>
            <w:gridSpan w:val="2"/>
            <w:tcBorders>
              <w:top w:val="nil"/>
              <w:left w:val="nil"/>
              <w:bottom w:val="nil"/>
              <w:right w:val="nil"/>
            </w:tcBorders>
            <w:shd w:val="clear" w:color="000000" w:fill="FFFFFF"/>
            <w:noWrap/>
            <w:vAlign w:val="bottom"/>
            <w:hideMark/>
          </w:tcPr>
          <w:p w14:paraId="7C217559"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567" w:type="dxa"/>
            <w:tcBorders>
              <w:top w:val="nil"/>
              <w:left w:val="nil"/>
              <w:bottom w:val="nil"/>
              <w:right w:val="nil"/>
            </w:tcBorders>
            <w:shd w:val="clear" w:color="000000" w:fill="FFFFFF"/>
            <w:noWrap/>
            <w:vAlign w:val="bottom"/>
            <w:hideMark/>
          </w:tcPr>
          <w:p w14:paraId="2A9FDA75" w14:textId="77777777" w:rsidR="00B860D1" w:rsidRPr="00B860D1" w:rsidRDefault="00B860D1" w:rsidP="00B860D1">
            <w:pPr>
              <w:spacing w:after="0" w:line="240" w:lineRule="auto"/>
              <w:jc w:val="right"/>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r>
      <w:tr w:rsidR="008C4883" w:rsidRPr="00B860D1" w14:paraId="6C54458B" w14:textId="77777777" w:rsidTr="000F6133">
        <w:trPr>
          <w:gridAfter w:val="2"/>
          <w:wAfter w:w="304" w:type="dxa"/>
          <w:trHeight w:val="263"/>
        </w:trPr>
        <w:tc>
          <w:tcPr>
            <w:tcW w:w="4917" w:type="dxa"/>
            <w:gridSpan w:val="8"/>
            <w:vMerge w:val="restart"/>
            <w:tcBorders>
              <w:top w:val="single" w:sz="4" w:space="0" w:color="BFBFBF"/>
              <w:left w:val="single" w:sz="4" w:space="0" w:color="BFBFBF"/>
              <w:bottom w:val="nil"/>
              <w:right w:val="nil"/>
            </w:tcBorders>
            <w:shd w:val="clear" w:color="auto" w:fill="auto"/>
            <w:vAlign w:val="center"/>
            <w:hideMark/>
          </w:tcPr>
          <w:p w14:paraId="186BCDEC"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Losses from property and business disposals and closures and impairment on non-current assets</w:t>
            </w:r>
          </w:p>
        </w:tc>
        <w:tc>
          <w:tcPr>
            <w:tcW w:w="258" w:type="dxa"/>
            <w:tcBorders>
              <w:top w:val="single" w:sz="4" w:space="0" w:color="BFBFBF"/>
              <w:left w:val="nil"/>
              <w:bottom w:val="nil"/>
              <w:right w:val="nil"/>
            </w:tcBorders>
            <w:shd w:val="clear" w:color="auto" w:fill="auto"/>
            <w:noWrap/>
            <w:vAlign w:val="bottom"/>
            <w:hideMark/>
          </w:tcPr>
          <w:p w14:paraId="7AC784F6"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1346" w:type="dxa"/>
            <w:gridSpan w:val="3"/>
            <w:tcBorders>
              <w:top w:val="single" w:sz="4" w:space="0" w:color="BFBFBF"/>
              <w:left w:val="nil"/>
              <w:bottom w:val="nil"/>
              <w:right w:val="nil"/>
            </w:tcBorders>
            <w:shd w:val="clear" w:color="auto" w:fill="auto"/>
            <w:noWrap/>
            <w:vAlign w:val="bottom"/>
            <w:hideMark/>
          </w:tcPr>
          <w:p w14:paraId="5344D457"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1559" w:type="dxa"/>
            <w:gridSpan w:val="4"/>
            <w:tcBorders>
              <w:top w:val="single" w:sz="4" w:space="0" w:color="BFBFBF"/>
              <w:left w:val="nil"/>
              <w:bottom w:val="nil"/>
              <w:right w:val="nil"/>
            </w:tcBorders>
            <w:shd w:val="clear" w:color="auto" w:fill="auto"/>
            <w:vAlign w:val="center"/>
            <w:hideMark/>
          </w:tcPr>
          <w:p w14:paraId="47FD516A" w14:textId="77777777" w:rsidR="008D227F"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xml:space="preserve">26 weeks </w:t>
            </w:r>
          </w:p>
          <w:p w14:paraId="1292FAEE" w14:textId="2D44EB22"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ended</w:t>
            </w:r>
          </w:p>
        </w:tc>
        <w:tc>
          <w:tcPr>
            <w:tcW w:w="1264" w:type="dxa"/>
            <w:gridSpan w:val="4"/>
            <w:tcBorders>
              <w:top w:val="single" w:sz="4" w:space="0" w:color="BFBFBF"/>
              <w:left w:val="nil"/>
              <w:bottom w:val="nil"/>
              <w:right w:val="nil"/>
            </w:tcBorders>
            <w:shd w:val="clear" w:color="auto" w:fill="auto"/>
            <w:vAlign w:val="center"/>
            <w:hideMark/>
          </w:tcPr>
          <w:p w14:paraId="2BB13076" w14:textId="77777777" w:rsidR="00B860D1" w:rsidRPr="00D311C4" w:rsidRDefault="00B860D1" w:rsidP="00B860D1">
            <w:pPr>
              <w:spacing w:after="0" w:line="240" w:lineRule="auto"/>
              <w:jc w:val="right"/>
              <w:rPr>
                <w:rFonts w:ascii="Arial" w:eastAsia="Times New Roman" w:hAnsi="Arial" w:cs="Arial"/>
                <w:sz w:val="15"/>
                <w:szCs w:val="15"/>
                <w:lang w:eastAsia="en-GB"/>
              </w:rPr>
            </w:pPr>
            <w:r w:rsidRPr="00D311C4">
              <w:rPr>
                <w:rFonts w:ascii="Arial" w:eastAsia="Times New Roman" w:hAnsi="Arial" w:cs="Arial"/>
                <w:sz w:val="15"/>
                <w:szCs w:val="15"/>
                <w:lang w:eastAsia="en-GB"/>
              </w:rPr>
              <w:t>26 weeks ended</w:t>
            </w:r>
          </w:p>
        </w:tc>
        <w:tc>
          <w:tcPr>
            <w:tcW w:w="1571" w:type="dxa"/>
            <w:gridSpan w:val="3"/>
            <w:tcBorders>
              <w:top w:val="single" w:sz="4" w:space="0" w:color="BFBFBF"/>
              <w:left w:val="nil"/>
              <w:bottom w:val="nil"/>
              <w:right w:val="single" w:sz="4" w:space="0" w:color="BFBFBF"/>
            </w:tcBorders>
            <w:shd w:val="clear" w:color="auto" w:fill="auto"/>
            <w:vAlign w:val="center"/>
            <w:hideMark/>
          </w:tcPr>
          <w:p w14:paraId="3CDAB455" w14:textId="77777777" w:rsidR="008D227F" w:rsidRPr="00D311C4" w:rsidRDefault="00B860D1" w:rsidP="00B860D1">
            <w:pPr>
              <w:spacing w:after="0" w:line="240" w:lineRule="auto"/>
              <w:jc w:val="right"/>
              <w:rPr>
                <w:rFonts w:ascii="Arial" w:eastAsia="Times New Roman" w:hAnsi="Arial" w:cs="Arial"/>
                <w:sz w:val="15"/>
                <w:szCs w:val="15"/>
                <w:lang w:eastAsia="en-GB"/>
              </w:rPr>
            </w:pPr>
            <w:r w:rsidRPr="00D311C4">
              <w:rPr>
                <w:rFonts w:ascii="Arial" w:eastAsia="Times New Roman" w:hAnsi="Arial" w:cs="Arial"/>
                <w:sz w:val="15"/>
                <w:szCs w:val="15"/>
                <w:lang w:eastAsia="en-GB"/>
              </w:rPr>
              <w:t xml:space="preserve">26 weeks </w:t>
            </w:r>
          </w:p>
          <w:p w14:paraId="479CFAF4" w14:textId="5926B42B" w:rsidR="00B860D1" w:rsidRPr="00B860D1" w:rsidRDefault="00B860D1" w:rsidP="00B860D1">
            <w:pPr>
              <w:spacing w:after="0" w:line="240" w:lineRule="auto"/>
              <w:jc w:val="right"/>
              <w:rPr>
                <w:rFonts w:ascii="Arial" w:eastAsia="Times New Roman" w:hAnsi="Arial" w:cs="Arial"/>
                <w:b/>
                <w:bCs/>
                <w:sz w:val="15"/>
                <w:szCs w:val="15"/>
                <w:lang w:eastAsia="en-GB"/>
              </w:rPr>
            </w:pPr>
            <w:r w:rsidRPr="00D311C4">
              <w:rPr>
                <w:rFonts w:ascii="Arial" w:eastAsia="Times New Roman" w:hAnsi="Arial" w:cs="Arial"/>
                <w:sz w:val="15"/>
                <w:szCs w:val="15"/>
                <w:lang w:eastAsia="en-GB"/>
              </w:rPr>
              <w:t>ended</w:t>
            </w:r>
          </w:p>
        </w:tc>
      </w:tr>
      <w:tr w:rsidR="005716DE" w:rsidRPr="00B860D1" w14:paraId="51FFC23F" w14:textId="77777777" w:rsidTr="008D227F">
        <w:trPr>
          <w:gridAfter w:val="2"/>
          <w:wAfter w:w="304" w:type="dxa"/>
          <w:trHeight w:val="70"/>
        </w:trPr>
        <w:tc>
          <w:tcPr>
            <w:tcW w:w="4917" w:type="dxa"/>
            <w:gridSpan w:val="8"/>
            <w:vMerge/>
            <w:tcBorders>
              <w:top w:val="single" w:sz="4" w:space="0" w:color="BFBFBF"/>
              <w:left w:val="single" w:sz="4" w:space="0" w:color="BFBFBF"/>
              <w:bottom w:val="nil"/>
              <w:right w:val="nil"/>
            </w:tcBorders>
            <w:shd w:val="clear" w:color="auto" w:fill="auto"/>
            <w:vAlign w:val="center"/>
            <w:hideMark/>
          </w:tcPr>
          <w:p w14:paraId="77FCDCB4" w14:textId="77777777" w:rsidR="00B860D1" w:rsidRPr="00B860D1" w:rsidRDefault="00B860D1" w:rsidP="00B860D1">
            <w:pPr>
              <w:spacing w:after="0" w:line="240" w:lineRule="auto"/>
              <w:rPr>
                <w:rFonts w:ascii="Arial" w:eastAsia="Times New Roman" w:hAnsi="Arial" w:cs="Arial"/>
                <w:b/>
                <w:bCs/>
                <w:sz w:val="15"/>
                <w:szCs w:val="15"/>
                <w:lang w:eastAsia="en-GB"/>
              </w:rPr>
            </w:pPr>
          </w:p>
        </w:tc>
        <w:tc>
          <w:tcPr>
            <w:tcW w:w="258" w:type="dxa"/>
            <w:tcBorders>
              <w:top w:val="nil"/>
              <w:left w:val="nil"/>
              <w:bottom w:val="nil"/>
              <w:right w:val="nil"/>
            </w:tcBorders>
            <w:shd w:val="clear" w:color="auto" w:fill="auto"/>
            <w:noWrap/>
            <w:vAlign w:val="bottom"/>
            <w:hideMark/>
          </w:tcPr>
          <w:p w14:paraId="3AABE54B"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1346" w:type="dxa"/>
            <w:gridSpan w:val="3"/>
            <w:tcBorders>
              <w:top w:val="nil"/>
              <w:left w:val="nil"/>
              <w:bottom w:val="nil"/>
              <w:right w:val="nil"/>
            </w:tcBorders>
            <w:shd w:val="clear" w:color="auto" w:fill="auto"/>
            <w:noWrap/>
            <w:vAlign w:val="bottom"/>
            <w:hideMark/>
          </w:tcPr>
          <w:p w14:paraId="6F884A7B"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1559" w:type="dxa"/>
            <w:gridSpan w:val="4"/>
            <w:tcBorders>
              <w:top w:val="nil"/>
              <w:left w:val="nil"/>
              <w:bottom w:val="nil"/>
              <w:right w:val="nil"/>
            </w:tcBorders>
            <w:shd w:val="clear" w:color="auto" w:fill="auto"/>
            <w:vAlign w:val="center"/>
            <w:hideMark/>
          </w:tcPr>
          <w:p w14:paraId="5A9E4186"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2 July 2022</w:t>
            </w:r>
          </w:p>
        </w:tc>
        <w:tc>
          <w:tcPr>
            <w:tcW w:w="1264" w:type="dxa"/>
            <w:gridSpan w:val="4"/>
            <w:tcBorders>
              <w:top w:val="nil"/>
              <w:left w:val="nil"/>
              <w:bottom w:val="nil"/>
              <w:right w:val="nil"/>
            </w:tcBorders>
            <w:shd w:val="clear" w:color="auto" w:fill="auto"/>
            <w:vAlign w:val="center"/>
            <w:hideMark/>
          </w:tcPr>
          <w:p w14:paraId="0444A0CD"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3 July 2021</w:t>
            </w:r>
          </w:p>
        </w:tc>
        <w:tc>
          <w:tcPr>
            <w:tcW w:w="1571" w:type="dxa"/>
            <w:gridSpan w:val="3"/>
            <w:tcBorders>
              <w:top w:val="nil"/>
              <w:left w:val="nil"/>
              <w:bottom w:val="nil"/>
              <w:right w:val="single" w:sz="4" w:space="0" w:color="BFBFBF"/>
            </w:tcBorders>
            <w:shd w:val="clear" w:color="auto" w:fill="auto"/>
            <w:vAlign w:val="center"/>
            <w:hideMark/>
          </w:tcPr>
          <w:p w14:paraId="57D99A42"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1 January 2022</w:t>
            </w:r>
          </w:p>
        </w:tc>
      </w:tr>
      <w:tr w:rsidR="005716DE" w:rsidRPr="00B860D1" w14:paraId="7DBB43A1" w14:textId="77777777" w:rsidTr="000F6133">
        <w:trPr>
          <w:gridAfter w:val="2"/>
          <w:wAfter w:w="304" w:type="dxa"/>
          <w:trHeight w:val="289"/>
        </w:trPr>
        <w:tc>
          <w:tcPr>
            <w:tcW w:w="4917" w:type="dxa"/>
            <w:gridSpan w:val="8"/>
            <w:vMerge/>
            <w:tcBorders>
              <w:top w:val="single" w:sz="4" w:space="0" w:color="BFBFBF"/>
              <w:left w:val="single" w:sz="4" w:space="0" w:color="BFBFBF"/>
              <w:bottom w:val="nil"/>
              <w:right w:val="nil"/>
            </w:tcBorders>
            <w:shd w:val="clear" w:color="auto" w:fill="auto"/>
            <w:vAlign w:val="center"/>
            <w:hideMark/>
          </w:tcPr>
          <w:p w14:paraId="5BCBD6C8" w14:textId="77777777" w:rsidR="00B860D1" w:rsidRPr="00B860D1" w:rsidRDefault="00B860D1" w:rsidP="00B860D1">
            <w:pPr>
              <w:spacing w:after="0" w:line="240" w:lineRule="auto"/>
              <w:rPr>
                <w:rFonts w:ascii="Arial" w:eastAsia="Times New Roman" w:hAnsi="Arial" w:cs="Arial"/>
                <w:b/>
                <w:bCs/>
                <w:sz w:val="15"/>
                <w:szCs w:val="15"/>
                <w:lang w:eastAsia="en-GB"/>
              </w:rPr>
            </w:pPr>
          </w:p>
        </w:tc>
        <w:tc>
          <w:tcPr>
            <w:tcW w:w="258" w:type="dxa"/>
            <w:tcBorders>
              <w:top w:val="nil"/>
              <w:left w:val="nil"/>
              <w:bottom w:val="nil"/>
              <w:right w:val="nil"/>
            </w:tcBorders>
            <w:shd w:val="clear" w:color="auto" w:fill="auto"/>
            <w:noWrap/>
            <w:vAlign w:val="bottom"/>
            <w:hideMark/>
          </w:tcPr>
          <w:p w14:paraId="35FBA613"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1346" w:type="dxa"/>
            <w:gridSpan w:val="3"/>
            <w:tcBorders>
              <w:top w:val="nil"/>
              <w:left w:val="nil"/>
              <w:bottom w:val="nil"/>
              <w:right w:val="nil"/>
            </w:tcBorders>
            <w:shd w:val="clear" w:color="auto" w:fill="auto"/>
            <w:noWrap/>
            <w:vAlign w:val="bottom"/>
            <w:hideMark/>
          </w:tcPr>
          <w:p w14:paraId="121F0491"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1559" w:type="dxa"/>
            <w:gridSpan w:val="4"/>
            <w:tcBorders>
              <w:top w:val="nil"/>
              <w:left w:val="nil"/>
              <w:bottom w:val="nil"/>
              <w:right w:val="nil"/>
            </w:tcBorders>
            <w:shd w:val="clear" w:color="auto" w:fill="auto"/>
            <w:vAlign w:val="center"/>
            <w:hideMark/>
          </w:tcPr>
          <w:p w14:paraId="4AFEE419"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(unaudited)</w:t>
            </w:r>
          </w:p>
        </w:tc>
        <w:tc>
          <w:tcPr>
            <w:tcW w:w="1264" w:type="dxa"/>
            <w:gridSpan w:val="4"/>
            <w:tcBorders>
              <w:top w:val="nil"/>
              <w:left w:val="nil"/>
              <w:bottom w:val="nil"/>
              <w:right w:val="nil"/>
            </w:tcBorders>
            <w:shd w:val="clear" w:color="auto" w:fill="auto"/>
            <w:vAlign w:val="center"/>
            <w:hideMark/>
          </w:tcPr>
          <w:p w14:paraId="2F81807B"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(unaudited)</w:t>
            </w:r>
          </w:p>
        </w:tc>
        <w:tc>
          <w:tcPr>
            <w:tcW w:w="1571" w:type="dxa"/>
            <w:gridSpan w:val="3"/>
            <w:tcBorders>
              <w:top w:val="nil"/>
              <w:left w:val="nil"/>
              <w:bottom w:val="nil"/>
              <w:right w:val="single" w:sz="4" w:space="0" w:color="BFBFBF"/>
            </w:tcBorders>
            <w:shd w:val="clear" w:color="auto" w:fill="auto"/>
            <w:vAlign w:val="center"/>
            <w:hideMark/>
          </w:tcPr>
          <w:p w14:paraId="162AA9A8"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(audited)</w:t>
            </w:r>
          </w:p>
        </w:tc>
      </w:tr>
      <w:tr w:rsidR="00B860D1" w:rsidRPr="00B860D1" w14:paraId="1F7CDDEC" w14:textId="77777777" w:rsidTr="007462FB">
        <w:trPr>
          <w:gridAfter w:val="2"/>
          <w:wAfter w:w="304" w:type="dxa"/>
          <w:trHeight w:val="255"/>
        </w:trPr>
        <w:tc>
          <w:tcPr>
            <w:tcW w:w="4143" w:type="dxa"/>
            <w:gridSpan w:val="4"/>
            <w:tcBorders>
              <w:top w:val="nil"/>
              <w:left w:val="single" w:sz="4" w:space="0" w:color="BFBFBF"/>
              <w:bottom w:val="single" w:sz="4" w:space="0" w:color="BFBFBF"/>
              <w:right w:val="nil"/>
            </w:tcBorders>
            <w:shd w:val="clear" w:color="auto" w:fill="auto"/>
            <w:noWrap/>
            <w:vAlign w:val="bottom"/>
            <w:hideMark/>
          </w:tcPr>
          <w:p w14:paraId="141E8122"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258" w:type="dxa"/>
            <w:gridSpan w:val="2"/>
            <w:tcBorders>
              <w:top w:val="nil"/>
              <w:left w:val="nil"/>
              <w:bottom w:val="single" w:sz="4" w:space="0" w:color="BFBFBF"/>
              <w:right w:val="nil"/>
            </w:tcBorders>
            <w:shd w:val="clear" w:color="auto" w:fill="auto"/>
            <w:noWrap/>
            <w:vAlign w:val="bottom"/>
            <w:hideMark/>
          </w:tcPr>
          <w:p w14:paraId="714CC2C0" w14:textId="77777777" w:rsidR="00B860D1" w:rsidRPr="00B860D1" w:rsidRDefault="00B860D1" w:rsidP="00B860D1">
            <w:pPr>
              <w:spacing w:after="0" w:line="240" w:lineRule="auto"/>
              <w:rPr>
                <w:rFonts w:ascii="Arial" w:eastAsia="Times New Roman" w:hAnsi="Arial" w:cs="Arial"/>
                <w:sz w:val="14"/>
                <w:szCs w:val="14"/>
                <w:lang w:eastAsia="en-GB"/>
              </w:rPr>
            </w:pPr>
            <w:r w:rsidRPr="00B860D1">
              <w:rPr>
                <w:rFonts w:ascii="Arial" w:eastAsia="Times New Roman" w:hAnsi="Arial" w:cs="Arial"/>
                <w:sz w:val="14"/>
                <w:szCs w:val="14"/>
                <w:lang w:eastAsia="en-GB"/>
              </w:rPr>
              <w:t> </w:t>
            </w:r>
          </w:p>
        </w:tc>
        <w:tc>
          <w:tcPr>
            <w:tcW w:w="258" w:type="dxa"/>
            <w:tcBorders>
              <w:top w:val="nil"/>
              <w:left w:val="nil"/>
              <w:bottom w:val="single" w:sz="4" w:space="0" w:color="BFBFBF"/>
              <w:right w:val="nil"/>
            </w:tcBorders>
            <w:shd w:val="clear" w:color="auto" w:fill="auto"/>
            <w:noWrap/>
            <w:vAlign w:val="bottom"/>
            <w:hideMark/>
          </w:tcPr>
          <w:p w14:paraId="28D831F1"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single" w:sz="4" w:space="0" w:color="BFBFBF"/>
              <w:right w:val="nil"/>
            </w:tcBorders>
            <w:shd w:val="clear" w:color="auto" w:fill="auto"/>
            <w:noWrap/>
            <w:vAlign w:val="bottom"/>
            <w:hideMark/>
          </w:tcPr>
          <w:p w14:paraId="0900BD80"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258" w:type="dxa"/>
            <w:tcBorders>
              <w:top w:val="nil"/>
              <w:left w:val="nil"/>
              <w:bottom w:val="single" w:sz="4" w:space="0" w:color="BFBFBF"/>
              <w:right w:val="nil"/>
            </w:tcBorders>
            <w:shd w:val="clear" w:color="auto" w:fill="auto"/>
            <w:noWrap/>
            <w:vAlign w:val="bottom"/>
            <w:hideMark/>
          </w:tcPr>
          <w:p w14:paraId="7C728DE5"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1346" w:type="dxa"/>
            <w:gridSpan w:val="3"/>
            <w:tcBorders>
              <w:top w:val="nil"/>
              <w:left w:val="nil"/>
              <w:bottom w:val="single" w:sz="4" w:space="0" w:color="BFBFBF"/>
              <w:right w:val="nil"/>
            </w:tcBorders>
            <w:shd w:val="clear" w:color="auto" w:fill="auto"/>
            <w:noWrap/>
            <w:vAlign w:val="bottom"/>
            <w:hideMark/>
          </w:tcPr>
          <w:p w14:paraId="51BA8573" w14:textId="77777777" w:rsidR="00B860D1" w:rsidRPr="00B860D1" w:rsidRDefault="00B860D1" w:rsidP="00B860D1">
            <w:pPr>
              <w:spacing w:after="0" w:line="240" w:lineRule="auto"/>
              <w:rPr>
                <w:rFonts w:ascii="Arial" w:eastAsia="Times New Roman" w:hAnsi="Arial" w:cs="Arial"/>
                <w:b/>
                <w:bCs/>
                <w:sz w:val="14"/>
                <w:szCs w:val="14"/>
                <w:lang w:eastAsia="en-GB"/>
              </w:rPr>
            </w:pPr>
            <w:r w:rsidRPr="00B860D1">
              <w:rPr>
                <w:rFonts w:ascii="Arial" w:eastAsia="Times New Roman" w:hAnsi="Arial" w:cs="Arial"/>
                <w:b/>
                <w:bCs/>
                <w:sz w:val="14"/>
                <w:szCs w:val="14"/>
                <w:lang w:eastAsia="en-GB"/>
              </w:rPr>
              <w:t> </w:t>
            </w:r>
          </w:p>
        </w:tc>
        <w:tc>
          <w:tcPr>
            <w:tcW w:w="850" w:type="dxa"/>
            <w:gridSpan w:val="2"/>
            <w:tcBorders>
              <w:top w:val="nil"/>
              <w:left w:val="nil"/>
              <w:bottom w:val="single" w:sz="4" w:space="0" w:color="BFBFBF"/>
              <w:right w:val="nil"/>
            </w:tcBorders>
            <w:shd w:val="clear" w:color="auto" w:fill="auto"/>
            <w:hideMark/>
          </w:tcPr>
          <w:p w14:paraId="7B9E5EF8"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£m</w:t>
            </w:r>
          </w:p>
        </w:tc>
        <w:tc>
          <w:tcPr>
            <w:tcW w:w="709" w:type="dxa"/>
            <w:gridSpan w:val="2"/>
            <w:tcBorders>
              <w:top w:val="nil"/>
              <w:left w:val="nil"/>
              <w:bottom w:val="single" w:sz="4" w:space="0" w:color="BFBFBF"/>
              <w:right w:val="nil"/>
            </w:tcBorders>
            <w:shd w:val="clear" w:color="auto" w:fill="auto"/>
            <w:hideMark/>
          </w:tcPr>
          <w:p w14:paraId="05AE5A44"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£m</w:t>
            </w:r>
          </w:p>
        </w:tc>
        <w:tc>
          <w:tcPr>
            <w:tcW w:w="781" w:type="dxa"/>
            <w:gridSpan w:val="2"/>
            <w:tcBorders>
              <w:top w:val="nil"/>
              <w:left w:val="nil"/>
              <w:bottom w:val="single" w:sz="4" w:space="0" w:color="BFBFBF"/>
              <w:right w:val="nil"/>
            </w:tcBorders>
            <w:shd w:val="clear" w:color="auto" w:fill="auto"/>
            <w:noWrap/>
            <w:hideMark/>
          </w:tcPr>
          <w:p w14:paraId="0CC99416"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£m</w:t>
            </w:r>
          </w:p>
        </w:tc>
        <w:tc>
          <w:tcPr>
            <w:tcW w:w="483" w:type="dxa"/>
            <w:gridSpan w:val="2"/>
            <w:tcBorders>
              <w:top w:val="nil"/>
              <w:left w:val="nil"/>
              <w:bottom w:val="single" w:sz="4" w:space="0" w:color="BFBFBF"/>
              <w:right w:val="nil"/>
            </w:tcBorders>
            <w:shd w:val="clear" w:color="auto" w:fill="auto"/>
            <w:noWrap/>
            <w:hideMark/>
          </w:tcPr>
          <w:p w14:paraId="2C42B801"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£m</w:t>
            </w:r>
          </w:p>
        </w:tc>
        <w:tc>
          <w:tcPr>
            <w:tcW w:w="1004" w:type="dxa"/>
            <w:gridSpan w:val="2"/>
            <w:tcBorders>
              <w:top w:val="nil"/>
              <w:left w:val="nil"/>
              <w:bottom w:val="single" w:sz="4" w:space="0" w:color="BFBFBF"/>
              <w:right w:val="nil"/>
            </w:tcBorders>
            <w:shd w:val="clear" w:color="auto" w:fill="auto"/>
            <w:noWrap/>
            <w:hideMark/>
          </w:tcPr>
          <w:p w14:paraId="1699D80E"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£m</w:t>
            </w:r>
          </w:p>
        </w:tc>
        <w:tc>
          <w:tcPr>
            <w:tcW w:w="567" w:type="dxa"/>
            <w:tcBorders>
              <w:top w:val="nil"/>
              <w:left w:val="nil"/>
              <w:bottom w:val="single" w:sz="4" w:space="0" w:color="BFBFBF"/>
              <w:right w:val="single" w:sz="4" w:space="0" w:color="BFBFBF"/>
            </w:tcBorders>
            <w:shd w:val="clear" w:color="auto" w:fill="auto"/>
            <w:noWrap/>
            <w:hideMark/>
          </w:tcPr>
          <w:p w14:paraId="270254D3"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£m</w:t>
            </w:r>
          </w:p>
        </w:tc>
      </w:tr>
      <w:tr w:rsidR="00B860D1" w:rsidRPr="00B860D1" w14:paraId="1D787840" w14:textId="77777777" w:rsidTr="007462FB">
        <w:trPr>
          <w:gridAfter w:val="2"/>
          <w:wAfter w:w="304" w:type="dxa"/>
          <w:trHeight w:val="263"/>
        </w:trPr>
        <w:tc>
          <w:tcPr>
            <w:tcW w:w="4401" w:type="dxa"/>
            <w:gridSpan w:val="6"/>
            <w:tcBorders>
              <w:top w:val="nil"/>
              <w:left w:val="nil"/>
              <w:bottom w:val="nil"/>
              <w:right w:val="nil"/>
            </w:tcBorders>
            <w:shd w:val="clear" w:color="000000" w:fill="FFFFFF"/>
            <w:noWrap/>
            <w:vAlign w:val="bottom"/>
            <w:hideMark/>
          </w:tcPr>
          <w:p w14:paraId="145A7437"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Disposals, </w:t>
            </w:r>
            <w:proofErr w:type="gramStart"/>
            <w:r w:rsidRPr="00B860D1">
              <w:rPr>
                <w:rFonts w:ascii="Arial" w:eastAsia="Times New Roman" w:hAnsi="Arial" w:cs="Arial"/>
                <w:sz w:val="15"/>
                <w:szCs w:val="15"/>
                <w:lang w:eastAsia="en-GB"/>
              </w:rPr>
              <w:t>closures</w:t>
            </w:r>
            <w:proofErr w:type="gramEnd"/>
            <w:r w:rsidRPr="00B860D1">
              <w:rPr>
                <w:rFonts w:ascii="Arial" w:eastAsia="Times New Roman" w:hAnsi="Arial" w:cs="Arial"/>
                <w:sz w:val="15"/>
                <w:szCs w:val="15"/>
                <w:lang w:eastAsia="en-GB"/>
              </w:rPr>
              <w:t xml:space="preserve"> and onerous contracts</w:t>
            </w:r>
          </w:p>
        </w:tc>
        <w:tc>
          <w:tcPr>
            <w:tcW w:w="258" w:type="dxa"/>
            <w:tcBorders>
              <w:top w:val="nil"/>
              <w:left w:val="nil"/>
              <w:bottom w:val="nil"/>
              <w:right w:val="nil"/>
            </w:tcBorders>
            <w:shd w:val="clear" w:color="000000" w:fill="FFFFFF"/>
            <w:noWrap/>
            <w:vAlign w:val="bottom"/>
            <w:hideMark/>
          </w:tcPr>
          <w:p w14:paraId="6D290E69"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nil"/>
              <w:right w:val="nil"/>
            </w:tcBorders>
            <w:shd w:val="clear" w:color="000000" w:fill="FFFFFF"/>
            <w:noWrap/>
            <w:vAlign w:val="bottom"/>
            <w:hideMark/>
          </w:tcPr>
          <w:p w14:paraId="5B1AC755"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nil"/>
              <w:right w:val="nil"/>
            </w:tcBorders>
            <w:shd w:val="clear" w:color="000000" w:fill="FFFFFF"/>
            <w:noWrap/>
            <w:vAlign w:val="bottom"/>
            <w:hideMark/>
          </w:tcPr>
          <w:p w14:paraId="2D5DE504"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1346" w:type="dxa"/>
            <w:gridSpan w:val="3"/>
            <w:tcBorders>
              <w:top w:val="nil"/>
              <w:left w:val="nil"/>
              <w:bottom w:val="nil"/>
              <w:right w:val="nil"/>
            </w:tcBorders>
            <w:shd w:val="clear" w:color="000000" w:fill="FFFFFF"/>
            <w:noWrap/>
            <w:vAlign w:val="bottom"/>
            <w:hideMark/>
          </w:tcPr>
          <w:p w14:paraId="06279BD4"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850" w:type="dxa"/>
            <w:gridSpan w:val="2"/>
            <w:tcBorders>
              <w:top w:val="nil"/>
              <w:left w:val="nil"/>
              <w:bottom w:val="nil"/>
              <w:right w:val="nil"/>
            </w:tcBorders>
            <w:shd w:val="clear" w:color="auto" w:fill="CCECFF"/>
            <w:noWrap/>
            <w:vAlign w:val="bottom"/>
            <w:hideMark/>
          </w:tcPr>
          <w:p w14:paraId="3891D188"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709" w:type="dxa"/>
            <w:gridSpan w:val="2"/>
            <w:tcBorders>
              <w:top w:val="nil"/>
              <w:left w:val="nil"/>
              <w:bottom w:val="nil"/>
              <w:right w:val="nil"/>
            </w:tcBorders>
            <w:shd w:val="clear" w:color="auto" w:fill="CCECFF"/>
            <w:noWrap/>
            <w:vAlign w:val="bottom"/>
            <w:hideMark/>
          </w:tcPr>
          <w:p w14:paraId="4D202D1D"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781" w:type="dxa"/>
            <w:gridSpan w:val="2"/>
            <w:tcBorders>
              <w:top w:val="nil"/>
              <w:left w:val="nil"/>
              <w:bottom w:val="nil"/>
              <w:right w:val="nil"/>
            </w:tcBorders>
            <w:shd w:val="clear" w:color="000000" w:fill="FFFFFF"/>
            <w:noWrap/>
            <w:vAlign w:val="bottom"/>
            <w:hideMark/>
          </w:tcPr>
          <w:p w14:paraId="666FA226"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nil"/>
              <w:right w:val="nil"/>
            </w:tcBorders>
            <w:shd w:val="clear" w:color="000000" w:fill="FFFFFF"/>
            <w:noWrap/>
            <w:vAlign w:val="bottom"/>
            <w:hideMark/>
          </w:tcPr>
          <w:p w14:paraId="63AC8C3B"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1004" w:type="dxa"/>
            <w:gridSpan w:val="2"/>
            <w:tcBorders>
              <w:top w:val="nil"/>
              <w:left w:val="nil"/>
              <w:bottom w:val="nil"/>
              <w:right w:val="nil"/>
            </w:tcBorders>
            <w:shd w:val="clear" w:color="000000" w:fill="FFFFFF"/>
            <w:noWrap/>
            <w:vAlign w:val="bottom"/>
            <w:hideMark/>
          </w:tcPr>
          <w:p w14:paraId="6D8C9A02"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nil"/>
              <w:right w:val="nil"/>
            </w:tcBorders>
            <w:shd w:val="clear" w:color="000000" w:fill="FFFFFF"/>
            <w:noWrap/>
            <w:vAlign w:val="bottom"/>
            <w:hideMark/>
          </w:tcPr>
          <w:p w14:paraId="45FD321E"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r>
      <w:tr w:rsidR="00B860D1" w:rsidRPr="00B860D1" w14:paraId="0FA92227" w14:textId="77777777" w:rsidTr="007462FB">
        <w:trPr>
          <w:gridAfter w:val="2"/>
          <w:wAfter w:w="304" w:type="dxa"/>
          <w:trHeight w:val="263"/>
        </w:trPr>
        <w:tc>
          <w:tcPr>
            <w:tcW w:w="4143" w:type="dxa"/>
            <w:gridSpan w:val="4"/>
            <w:tcBorders>
              <w:top w:val="nil"/>
              <w:left w:val="nil"/>
              <w:bottom w:val="nil"/>
              <w:right w:val="nil"/>
            </w:tcBorders>
            <w:shd w:val="clear" w:color="000000" w:fill="FFFFFF"/>
            <w:noWrap/>
            <w:vAlign w:val="bottom"/>
            <w:hideMark/>
          </w:tcPr>
          <w:p w14:paraId="31A9F070"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 - proceeds</w:t>
            </w:r>
          </w:p>
        </w:tc>
        <w:tc>
          <w:tcPr>
            <w:tcW w:w="258" w:type="dxa"/>
            <w:gridSpan w:val="2"/>
            <w:tcBorders>
              <w:top w:val="nil"/>
              <w:left w:val="nil"/>
              <w:bottom w:val="nil"/>
              <w:right w:val="nil"/>
            </w:tcBorders>
            <w:shd w:val="clear" w:color="000000" w:fill="FFFFFF"/>
            <w:noWrap/>
            <w:vAlign w:val="bottom"/>
            <w:hideMark/>
          </w:tcPr>
          <w:p w14:paraId="5F79D393"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258" w:type="dxa"/>
            <w:tcBorders>
              <w:top w:val="nil"/>
              <w:left w:val="nil"/>
              <w:bottom w:val="nil"/>
              <w:right w:val="nil"/>
            </w:tcBorders>
            <w:shd w:val="clear" w:color="000000" w:fill="FFFFFF"/>
            <w:noWrap/>
            <w:vAlign w:val="bottom"/>
            <w:hideMark/>
          </w:tcPr>
          <w:p w14:paraId="5FB694E7"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nil"/>
              <w:right w:val="nil"/>
            </w:tcBorders>
            <w:shd w:val="clear" w:color="000000" w:fill="FFFFFF"/>
            <w:noWrap/>
            <w:vAlign w:val="bottom"/>
            <w:hideMark/>
          </w:tcPr>
          <w:p w14:paraId="7A7B4E56"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nil"/>
              <w:right w:val="nil"/>
            </w:tcBorders>
            <w:shd w:val="clear" w:color="000000" w:fill="FFFFFF"/>
            <w:noWrap/>
            <w:vAlign w:val="bottom"/>
            <w:hideMark/>
          </w:tcPr>
          <w:p w14:paraId="67793313"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1346" w:type="dxa"/>
            <w:gridSpan w:val="3"/>
            <w:tcBorders>
              <w:top w:val="nil"/>
              <w:left w:val="nil"/>
              <w:bottom w:val="nil"/>
              <w:right w:val="nil"/>
            </w:tcBorders>
            <w:shd w:val="clear" w:color="000000" w:fill="FFFFFF"/>
            <w:noWrap/>
            <w:vAlign w:val="bottom"/>
            <w:hideMark/>
          </w:tcPr>
          <w:p w14:paraId="2FA9473B"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850" w:type="dxa"/>
            <w:gridSpan w:val="2"/>
            <w:tcBorders>
              <w:top w:val="nil"/>
              <w:left w:val="nil"/>
              <w:bottom w:val="nil"/>
              <w:right w:val="nil"/>
            </w:tcBorders>
            <w:shd w:val="clear" w:color="auto" w:fill="CCECFF"/>
            <w:noWrap/>
            <w:vAlign w:val="bottom"/>
            <w:hideMark/>
          </w:tcPr>
          <w:p w14:paraId="0C1E686C"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xml:space="preserve">19 </w:t>
            </w:r>
          </w:p>
        </w:tc>
        <w:tc>
          <w:tcPr>
            <w:tcW w:w="709" w:type="dxa"/>
            <w:gridSpan w:val="2"/>
            <w:tcBorders>
              <w:top w:val="nil"/>
              <w:left w:val="nil"/>
              <w:bottom w:val="nil"/>
              <w:right w:val="nil"/>
            </w:tcBorders>
            <w:shd w:val="clear" w:color="auto" w:fill="CCECFF"/>
            <w:noWrap/>
            <w:vAlign w:val="bottom"/>
            <w:hideMark/>
          </w:tcPr>
          <w:p w14:paraId="05989D60"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781" w:type="dxa"/>
            <w:gridSpan w:val="2"/>
            <w:tcBorders>
              <w:top w:val="nil"/>
              <w:left w:val="nil"/>
              <w:bottom w:val="nil"/>
              <w:right w:val="nil"/>
            </w:tcBorders>
            <w:shd w:val="clear" w:color="000000" w:fill="FFFFFF"/>
            <w:noWrap/>
            <w:vAlign w:val="bottom"/>
            <w:hideMark/>
          </w:tcPr>
          <w:p w14:paraId="4ADA30CF"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25 </w:t>
            </w:r>
          </w:p>
        </w:tc>
        <w:tc>
          <w:tcPr>
            <w:tcW w:w="483" w:type="dxa"/>
            <w:gridSpan w:val="2"/>
            <w:tcBorders>
              <w:top w:val="nil"/>
              <w:left w:val="nil"/>
              <w:bottom w:val="nil"/>
              <w:right w:val="nil"/>
            </w:tcBorders>
            <w:shd w:val="clear" w:color="000000" w:fill="FFFFFF"/>
            <w:noWrap/>
            <w:vAlign w:val="bottom"/>
            <w:hideMark/>
          </w:tcPr>
          <w:p w14:paraId="2F8F533C"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1004" w:type="dxa"/>
            <w:gridSpan w:val="2"/>
            <w:tcBorders>
              <w:top w:val="nil"/>
              <w:left w:val="nil"/>
              <w:bottom w:val="nil"/>
              <w:right w:val="nil"/>
            </w:tcBorders>
            <w:shd w:val="clear" w:color="000000" w:fill="FFFFFF"/>
            <w:noWrap/>
            <w:vAlign w:val="bottom"/>
            <w:hideMark/>
          </w:tcPr>
          <w:p w14:paraId="2878FD10"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80 </w:t>
            </w:r>
          </w:p>
        </w:tc>
        <w:tc>
          <w:tcPr>
            <w:tcW w:w="567" w:type="dxa"/>
            <w:tcBorders>
              <w:top w:val="nil"/>
              <w:left w:val="nil"/>
              <w:bottom w:val="nil"/>
              <w:right w:val="nil"/>
            </w:tcBorders>
            <w:shd w:val="clear" w:color="000000" w:fill="FFFFFF"/>
            <w:noWrap/>
            <w:vAlign w:val="bottom"/>
            <w:hideMark/>
          </w:tcPr>
          <w:p w14:paraId="4491279A"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r>
      <w:tr w:rsidR="00B860D1" w:rsidRPr="00B860D1" w14:paraId="11653DA2" w14:textId="77777777" w:rsidTr="007462FB">
        <w:trPr>
          <w:gridAfter w:val="2"/>
          <w:wAfter w:w="304" w:type="dxa"/>
          <w:trHeight w:val="263"/>
        </w:trPr>
        <w:tc>
          <w:tcPr>
            <w:tcW w:w="4143" w:type="dxa"/>
            <w:gridSpan w:val="4"/>
            <w:tcBorders>
              <w:top w:val="nil"/>
              <w:left w:val="nil"/>
              <w:bottom w:val="nil"/>
              <w:right w:val="nil"/>
            </w:tcBorders>
            <w:shd w:val="clear" w:color="000000" w:fill="FFFFFF"/>
            <w:noWrap/>
            <w:vAlign w:val="bottom"/>
            <w:hideMark/>
          </w:tcPr>
          <w:p w14:paraId="668FF886"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 - less net book value written off</w:t>
            </w:r>
          </w:p>
        </w:tc>
        <w:tc>
          <w:tcPr>
            <w:tcW w:w="258" w:type="dxa"/>
            <w:gridSpan w:val="2"/>
            <w:tcBorders>
              <w:top w:val="nil"/>
              <w:left w:val="nil"/>
              <w:bottom w:val="nil"/>
              <w:right w:val="nil"/>
            </w:tcBorders>
            <w:shd w:val="clear" w:color="000000" w:fill="FFFFFF"/>
            <w:noWrap/>
            <w:vAlign w:val="bottom"/>
            <w:hideMark/>
          </w:tcPr>
          <w:p w14:paraId="3C3E1C06"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258" w:type="dxa"/>
            <w:tcBorders>
              <w:top w:val="nil"/>
              <w:left w:val="nil"/>
              <w:bottom w:val="nil"/>
              <w:right w:val="nil"/>
            </w:tcBorders>
            <w:shd w:val="clear" w:color="000000" w:fill="FFFFFF"/>
            <w:noWrap/>
            <w:vAlign w:val="bottom"/>
            <w:hideMark/>
          </w:tcPr>
          <w:p w14:paraId="35C5E8DF"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nil"/>
              <w:right w:val="nil"/>
            </w:tcBorders>
            <w:shd w:val="clear" w:color="000000" w:fill="FFFFFF"/>
            <w:noWrap/>
            <w:vAlign w:val="bottom"/>
            <w:hideMark/>
          </w:tcPr>
          <w:p w14:paraId="048392ED"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nil"/>
              <w:right w:val="nil"/>
            </w:tcBorders>
            <w:shd w:val="clear" w:color="000000" w:fill="FFFFFF"/>
            <w:noWrap/>
            <w:vAlign w:val="bottom"/>
            <w:hideMark/>
          </w:tcPr>
          <w:p w14:paraId="46A82E64"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1346" w:type="dxa"/>
            <w:gridSpan w:val="3"/>
            <w:tcBorders>
              <w:top w:val="nil"/>
              <w:left w:val="nil"/>
              <w:bottom w:val="nil"/>
              <w:right w:val="nil"/>
            </w:tcBorders>
            <w:shd w:val="clear" w:color="000000" w:fill="FFFFFF"/>
            <w:noWrap/>
            <w:vAlign w:val="bottom"/>
            <w:hideMark/>
          </w:tcPr>
          <w:p w14:paraId="3D08972F"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850" w:type="dxa"/>
            <w:gridSpan w:val="2"/>
            <w:tcBorders>
              <w:top w:val="nil"/>
              <w:left w:val="nil"/>
              <w:bottom w:val="nil"/>
              <w:right w:val="nil"/>
            </w:tcBorders>
            <w:shd w:val="clear" w:color="auto" w:fill="CCECFF"/>
            <w:noWrap/>
            <w:vAlign w:val="bottom"/>
            <w:hideMark/>
          </w:tcPr>
          <w:p w14:paraId="0D9CAC49"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(2)</w:t>
            </w:r>
          </w:p>
        </w:tc>
        <w:tc>
          <w:tcPr>
            <w:tcW w:w="709" w:type="dxa"/>
            <w:gridSpan w:val="2"/>
            <w:tcBorders>
              <w:top w:val="nil"/>
              <w:left w:val="nil"/>
              <w:bottom w:val="nil"/>
              <w:right w:val="nil"/>
            </w:tcBorders>
            <w:shd w:val="clear" w:color="auto" w:fill="CCECFF"/>
            <w:noWrap/>
            <w:vAlign w:val="bottom"/>
            <w:hideMark/>
          </w:tcPr>
          <w:p w14:paraId="4E8A2790"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781" w:type="dxa"/>
            <w:gridSpan w:val="2"/>
            <w:tcBorders>
              <w:top w:val="nil"/>
              <w:left w:val="nil"/>
              <w:bottom w:val="nil"/>
              <w:right w:val="nil"/>
            </w:tcBorders>
            <w:shd w:val="clear" w:color="000000" w:fill="FFFFFF"/>
            <w:noWrap/>
            <w:vAlign w:val="bottom"/>
            <w:hideMark/>
          </w:tcPr>
          <w:p w14:paraId="251C9E40"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(31)</w:t>
            </w:r>
          </w:p>
        </w:tc>
        <w:tc>
          <w:tcPr>
            <w:tcW w:w="483" w:type="dxa"/>
            <w:gridSpan w:val="2"/>
            <w:tcBorders>
              <w:top w:val="nil"/>
              <w:left w:val="nil"/>
              <w:bottom w:val="nil"/>
              <w:right w:val="nil"/>
            </w:tcBorders>
            <w:shd w:val="clear" w:color="000000" w:fill="FFFFFF"/>
            <w:noWrap/>
            <w:vAlign w:val="bottom"/>
            <w:hideMark/>
          </w:tcPr>
          <w:p w14:paraId="55EFB60B"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1004" w:type="dxa"/>
            <w:gridSpan w:val="2"/>
            <w:tcBorders>
              <w:top w:val="nil"/>
              <w:left w:val="nil"/>
              <w:bottom w:val="nil"/>
              <w:right w:val="nil"/>
            </w:tcBorders>
            <w:shd w:val="clear" w:color="000000" w:fill="FFFFFF"/>
            <w:noWrap/>
            <w:vAlign w:val="bottom"/>
            <w:hideMark/>
          </w:tcPr>
          <w:p w14:paraId="6827B80F"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(71)</w:t>
            </w:r>
          </w:p>
        </w:tc>
        <w:tc>
          <w:tcPr>
            <w:tcW w:w="567" w:type="dxa"/>
            <w:tcBorders>
              <w:top w:val="nil"/>
              <w:left w:val="nil"/>
              <w:bottom w:val="nil"/>
              <w:right w:val="nil"/>
            </w:tcBorders>
            <w:shd w:val="clear" w:color="000000" w:fill="FFFFFF"/>
            <w:noWrap/>
            <w:vAlign w:val="bottom"/>
            <w:hideMark/>
          </w:tcPr>
          <w:p w14:paraId="56CCFF26"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r>
      <w:tr w:rsidR="00B860D1" w:rsidRPr="00B860D1" w14:paraId="4E4D5C42" w14:textId="77777777" w:rsidTr="007462FB">
        <w:trPr>
          <w:gridAfter w:val="2"/>
          <w:wAfter w:w="304" w:type="dxa"/>
          <w:trHeight w:val="263"/>
        </w:trPr>
        <w:tc>
          <w:tcPr>
            <w:tcW w:w="4401" w:type="dxa"/>
            <w:gridSpan w:val="6"/>
            <w:tcBorders>
              <w:top w:val="nil"/>
              <w:left w:val="nil"/>
              <w:bottom w:val="single" w:sz="4" w:space="0" w:color="BFBFBF"/>
              <w:right w:val="nil"/>
            </w:tcBorders>
            <w:shd w:val="clear" w:color="000000" w:fill="FFFFFF"/>
            <w:noWrap/>
            <w:vAlign w:val="bottom"/>
            <w:hideMark/>
          </w:tcPr>
          <w:p w14:paraId="73FA27BF"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 - provisions released / (recognised) </w:t>
            </w:r>
          </w:p>
        </w:tc>
        <w:tc>
          <w:tcPr>
            <w:tcW w:w="258" w:type="dxa"/>
            <w:tcBorders>
              <w:top w:val="nil"/>
              <w:left w:val="nil"/>
              <w:bottom w:val="single" w:sz="4" w:space="0" w:color="BFBFBF"/>
              <w:right w:val="nil"/>
            </w:tcBorders>
            <w:shd w:val="clear" w:color="000000" w:fill="FFFFFF"/>
            <w:noWrap/>
            <w:vAlign w:val="bottom"/>
            <w:hideMark/>
          </w:tcPr>
          <w:p w14:paraId="5ED3B78E"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single" w:sz="4" w:space="0" w:color="BFBFBF"/>
              <w:right w:val="nil"/>
            </w:tcBorders>
            <w:shd w:val="clear" w:color="000000" w:fill="FFFFFF"/>
            <w:noWrap/>
            <w:vAlign w:val="bottom"/>
            <w:hideMark/>
          </w:tcPr>
          <w:p w14:paraId="7B35B573"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single" w:sz="4" w:space="0" w:color="BFBFBF"/>
              <w:right w:val="nil"/>
            </w:tcBorders>
            <w:shd w:val="clear" w:color="000000" w:fill="FFFFFF"/>
            <w:noWrap/>
            <w:vAlign w:val="bottom"/>
            <w:hideMark/>
          </w:tcPr>
          <w:p w14:paraId="567EE813"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1346" w:type="dxa"/>
            <w:gridSpan w:val="3"/>
            <w:tcBorders>
              <w:top w:val="nil"/>
              <w:left w:val="nil"/>
              <w:bottom w:val="single" w:sz="4" w:space="0" w:color="BFBFBF"/>
              <w:right w:val="nil"/>
            </w:tcBorders>
            <w:shd w:val="clear" w:color="000000" w:fill="FFFFFF"/>
            <w:noWrap/>
            <w:vAlign w:val="bottom"/>
            <w:hideMark/>
          </w:tcPr>
          <w:p w14:paraId="5D99FEF0"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850" w:type="dxa"/>
            <w:gridSpan w:val="2"/>
            <w:tcBorders>
              <w:top w:val="nil"/>
              <w:left w:val="nil"/>
              <w:bottom w:val="single" w:sz="4" w:space="0" w:color="BFBFBF"/>
              <w:right w:val="nil"/>
            </w:tcBorders>
            <w:shd w:val="clear" w:color="auto" w:fill="CCECFF"/>
            <w:noWrap/>
            <w:vAlign w:val="bottom"/>
            <w:hideMark/>
          </w:tcPr>
          <w:p w14:paraId="77D61573"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xml:space="preserve">5 </w:t>
            </w:r>
          </w:p>
        </w:tc>
        <w:tc>
          <w:tcPr>
            <w:tcW w:w="709" w:type="dxa"/>
            <w:gridSpan w:val="2"/>
            <w:tcBorders>
              <w:top w:val="nil"/>
              <w:left w:val="nil"/>
              <w:bottom w:val="single" w:sz="4" w:space="0" w:color="BFBFBF"/>
              <w:right w:val="nil"/>
            </w:tcBorders>
            <w:shd w:val="clear" w:color="auto" w:fill="CCECFF"/>
            <w:noWrap/>
            <w:vAlign w:val="bottom"/>
            <w:hideMark/>
          </w:tcPr>
          <w:p w14:paraId="6B01DBEE"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781" w:type="dxa"/>
            <w:gridSpan w:val="2"/>
            <w:tcBorders>
              <w:top w:val="nil"/>
              <w:left w:val="nil"/>
              <w:bottom w:val="single" w:sz="4" w:space="0" w:color="BFBFBF"/>
              <w:right w:val="nil"/>
            </w:tcBorders>
            <w:shd w:val="clear" w:color="000000" w:fill="FFFFFF"/>
            <w:noWrap/>
            <w:vAlign w:val="bottom"/>
            <w:hideMark/>
          </w:tcPr>
          <w:p w14:paraId="415F1CBE"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(6)</w:t>
            </w:r>
          </w:p>
        </w:tc>
        <w:tc>
          <w:tcPr>
            <w:tcW w:w="483" w:type="dxa"/>
            <w:gridSpan w:val="2"/>
            <w:tcBorders>
              <w:top w:val="nil"/>
              <w:left w:val="nil"/>
              <w:bottom w:val="single" w:sz="4" w:space="0" w:color="BFBFBF"/>
              <w:right w:val="nil"/>
            </w:tcBorders>
            <w:shd w:val="clear" w:color="000000" w:fill="FFFFFF"/>
            <w:noWrap/>
            <w:vAlign w:val="bottom"/>
            <w:hideMark/>
          </w:tcPr>
          <w:p w14:paraId="78DE726C"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1004" w:type="dxa"/>
            <w:gridSpan w:val="2"/>
            <w:tcBorders>
              <w:top w:val="nil"/>
              <w:left w:val="nil"/>
              <w:bottom w:val="single" w:sz="4" w:space="0" w:color="BFBFBF"/>
              <w:right w:val="nil"/>
            </w:tcBorders>
            <w:shd w:val="clear" w:color="000000" w:fill="FFFFFF"/>
            <w:noWrap/>
            <w:vAlign w:val="bottom"/>
            <w:hideMark/>
          </w:tcPr>
          <w:p w14:paraId="08D88B6E"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(9)</w:t>
            </w:r>
          </w:p>
        </w:tc>
        <w:tc>
          <w:tcPr>
            <w:tcW w:w="567" w:type="dxa"/>
            <w:tcBorders>
              <w:top w:val="nil"/>
              <w:left w:val="nil"/>
              <w:bottom w:val="single" w:sz="4" w:space="0" w:color="BFBFBF"/>
              <w:right w:val="nil"/>
            </w:tcBorders>
            <w:shd w:val="clear" w:color="000000" w:fill="FFFFFF"/>
            <w:noWrap/>
            <w:vAlign w:val="bottom"/>
            <w:hideMark/>
          </w:tcPr>
          <w:p w14:paraId="7669A78A"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r>
      <w:tr w:rsidR="00B860D1" w:rsidRPr="00B860D1" w14:paraId="7E2F8D3D" w14:textId="77777777" w:rsidTr="007462FB">
        <w:trPr>
          <w:gridAfter w:val="2"/>
          <w:wAfter w:w="304" w:type="dxa"/>
          <w:trHeight w:val="263"/>
        </w:trPr>
        <w:tc>
          <w:tcPr>
            <w:tcW w:w="4143" w:type="dxa"/>
            <w:gridSpan w:val="4"/>
            <w:tcBorders>
              <w:top w:val="nil"/>
              <w:left w:val="nil"/>
              <w:bottom w:val="single" w:sz="4" w:space="0" w:color="BFBFBF"/>
              <w:right w:val="nil"/>
            </w:tcBorders>
            <w:shd w:val="clear" w:color="000000" w:fill="FFFFFF"/>
            <w:noWrap/>
            <w:vAlign w:val="bottom"/>
            <w:hideMark/>
          </w:tcPr>
          <w:p w14:paraId="08D92506"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258" w:type="dxa"/>
            <w:gridSpan w:val="2"/>
            <w:tcBorders>
              <w:top w:val="nil"/>
              <w:left w:val="nil"/>
              <w:bottom w:val="single" w:sz="4" w:space="0" w:color="BFBFBF"/>
              <w:right w:val="nil"/>
            </w:tcBorders>
            <w:shd w:val="clear" w:color="000000" w:fill="FFFFFF"/>
            <w:noWrap/>
            <w:vAlign w:val="bottom"/>
            <w:hideMark/>
          </w:tcPr>
          <w:p w14:paraId="0D6E10E1"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258" w:type="dxa"/>
            <w:tcBorders>
              <w:top w:val="nil"/>
              <w:left w:val="nil"/>
              <w:bottom w:val="single" w:sz="4" w:space="0" w:color="BFBFBF"/>
              <w:right w:val="nil"/>
            </w:tcBorders>
            <w:shd w:val="clear" w:color="000000" w:fill="FFFFFF"/>
            <w:noWrap/>
            <w:vAlign w:val="bottom"/>
            <w:hideMark/>
          </w:tcPr>
          <w:p w14:paraId="528A35F8"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single" w:sz="4" w:space="0" w:color="BFBFBF"/>
              <w:right w:val="nil"/>
            </w:tcBorders>
            <w:shd w:val="clear" w:color="000000" w:fill="FFFFFF"/>
            <w:noWrap/>
            <w:vAlign w:val="bottom"/>
            <w:hideMark/>
          </w:tcPr>
          <w:p w14:paraId="1B4547B5"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single" w:sz="4" w:space="0" w:color="BFBFBF"/>
              <w:right w:val="nil"/>
            </w:tcBorders>
            <w:shd w:val="clear" w:color="000000" w:fill="FFFFFF"/>
            <w:noWrap/>
            <w:vAlign w:val="bottom"/>
            <w:hideMark/>
          </w:tcPr>
          <w:p w14:paraId="4BDCB1B6"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1346" w:type="dxa"/>
            <w:gridSpan w:val="3"/>
            <w:tcBorders>
              <w:top w:val="nil"/>
              <w:left w:val="nil"/>
              <w:bottom w:val="single" w:sz="4" w:space="0" w:color="BFBFBF"/>
              <w:right w:val="nil"/>
            </w:tcBorders>
            <w:shd w:val="clear" w:color="000000" w:fill="FFFFFF"/>
            <w:noWrap/>
            <w:vAlign w:val="bottom"/>
            <w:hideMark/>
          </w:tcPr>
          <w:p w14:paraId="6C9A6D7A"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850" w:type="dxa"/>
            <w:gridSpan w:val="2"/>
            <w:tcBorders>
              <w:top w:val="nil"/>
              <w:left w:val="nil"/>
              <w:bottom w:val="single" w:sz="4" w:space="0" w:color="BFBFBF"/>
              <w:right w:val="nil"/>
            </w:tcBorders>
            <w:shd w:val="clear" w:color="auto" w:fill="CCECFF"/>
            <w:noWrap/>
            <w:vAlign w:val="bottom"/>
            <w:hideMark/>
          </w:tcPr>
          <w:p w14:paraId="7B66E3C4"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709" w:type="dxa"/>
            <w:gridSpan w:val="2"/>
            <w:tcBorders>
              <w:top w:val="nil"/>
              <w:left w:val="nil"/>
              <w:bottom w:val="single" w:sz="4" w:space="0" w:color="BFBFBF"/>
              <w:right w:val="nil"/>
            </w:tcBorders>
            <w:shd w:val="clear" w:color="auto" w:fill="CCECFF"/>
            <w:noWrap/>
            <w:vAlign w:val="bottom"/>
            <w:hideMark/>
          </w:tcPr>
          <w:p w14:paraId="353CDF8C"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xml:space="preserve">22 </w:t>
            </w:r>
          </w:p>
        </w:tc>
        <w:tc>
          <w:tcPr>
            <w:tcW w:w="781" w:type="dxa"/>
            <w:gridSpan w:val="2"/>
            <w:tcBorders>
              <w:top w:val="nil"/>
              <w:left w:val="nil"/>
              <w:bottom w:val="single" w:sz="4" w:space="0" w:color="BFBFBF"/>
              <w:right w:val="nil"/>
            </w:tcBorders>
            <w:shd w:val="clear" w:color="000000" w:fill="FFFFFF"/>
            <w:noWrap/>
            <w:vAlign w:val="bottom"/>
            <w:hideMark/>
          </w:tcPr>
          <w:p w14:paraId="7B58D5BF"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single" w:sz="4" w:space="0" w:color="BFBFBF"/>
              <w:right w:val="nil"/>
            </w:tcBorders>
            <w:shd w:val="clear" w:color="000000" w:fill="FFFFFF"/>
            <w:noWrap/>
            <w:vAlign w:val="bottom"/>
            <w:hideMark/>
          </w:tcPr>
          <w:p w14:paraId="1A0D0310"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(12)</w:t>
            </w:r>
          </w:p>
        </w:tc>
        <w:tc>
          <w:tcPr>
            <w:tcW w:w="1004" w:type="dxa"/>
            <w:gridSpan w:val="2"/>
            <w:tcBorders>
              <w:top w:val="nil"/>
              <w:left w:val="nil"/>
              <w:bottom w:val="single" w:sz="4" w:space="0" w:color="BFBFBF"/>
              <w:right w:val="nil"/>
            </w:tcBorders>
            <w:shd w:val="clear" w:color="000000" w:fill="FFFFFF"/>
            <w:noWrap/>
            <w:vAlign w:val="bottom"/>
            <w:hideMark/>
          </w:tcPr>
          <w:p w14:paraId="003B4E44"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single" w:sz="4" w:space="0" w:color="BFBFBF"/>
              <w:right w:val="nil"/>
            </w:tcBorders>
            <w:shd w:val="clear" w:color="000000" w:fill="FFFFFF"/>
            <w:noWrap/>
            <w:vAlign w:val="bottom"/>
            <w:hideMark/>
          </w:tcPr>
          <w:p w14:paraId="7E3624D2"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 </w:t>
            </w:r>
          </w:p>
        </w:tc>
      </w:tr>
      <w:tr w:rsidR="005716DE" w:rsidRPr="00B860D1" w14:paraId="463AE325" w14:textId="77777777" w:rsidTr="007462FB">
        <w:trPr>
          <w:gridAfter w:val="2"/>
          <w:wAfter w:w="304" w:type="dxa"/>
          <w:trHeight w:val="263"/>
        </w:trPr>
        <w:tc>
          <w:tcPr>
            <w:tcW w:w="6521" w:type="dxa"/>
            <w:gridSpan w:val="12"/>
            <w:tcBorders>
              <w:top w:val="single" w:sz="4" w:space="0" w:color="BFBFBF"/>
              <w:left w:val="nil"/>
              <w:bottom w:val="single" w:sz="4" w:space="0" w:color="BFBFBF"/>
              <w:right w:val="nil"/>
            </w:tcBorders>
            <w:shd w:val="clear" w:color="000000" w:fill="FFFFFF"/>
            <w:noWrap/>
            <w:vAlign w:val="center"/>
            <w:hideMark/>
          </w:tcPr>
          <w:p w14:paraId="014A5C9E"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xml:space="preserve">Impairment of property, plant and equipment, right-of-use </w:t>
            </w:r>
            <w:proofErr w:type="gramStart"/>
            <w:r w:rsidRPr="00B860D1">
              <w:rPr>
                <w:rFonts w:ascii="Arial" w:eastAsia="Times New Roman" w:hAnsi="Arial" w:cs="Arial"/>
                <w:sz w:val="15"/>
                <w:szCs w:val="15"/>
                <w:lang w:eastAsia="en-GB"/>
              </w:rPr>
              <w:t>assets</w:t>
            </w:r>
            <w:proofErr w:type="gramEnd"/>
            <w:r w:rsidRPr="00B860D1">
              <w:rPr>
                <w:rFonts w:ascii="Arial" w:eastAsia="Times New Roman" w:hAnsi="Arial" w:cs="Arial"/>
                <w:sz w:val="15"/>
                <w:szCs w:val="15"/>
                <w:lang w:eastAsia="en-GB"/>
              </w:rPr>
              <w:t xml:space="preserve"> and goodwill</w:t>
            </w:r>
          </w:p>
        </w:tc>
        <w:tc>
          <w:tcPr>
            <w:tcW w:w="850" w:type="dxa"/>
            <w:gridSpan w:val="2"/>
            <w:tcBorders>
              <w:top w:val="nil"/>
              <w:left w:val="nil"/>
              <w:bottom w:val="single" w:sz="4" w:space="0" w:color="BFBFBF"/>
              <w:right w:val="nil"/>
            </w:tcBorders>
            <w:shd w:val="clear" w:color="auto" w:fill="CCECFF"/>
            <w:noWrap/>
            <w:vAlign w:val="bottom"/>
            <w:hideMark/>
          </w:tcPr>
          <w:p w14:paraId="1CCFCBD4"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709" w:type="dxa"/>
            <w:gridSpan w:val="2"/>
            <w:tcBorders>
              <w:top w:val="nil"/>
              <w:left w:val="nil"/>
              <w:bottom w:val="single" w:sz="4" w:space="0" w:color="BFBFBF"/>
              <w:right w:val="nil"/>
            </w:tcBorders>
            <w:shd w:val="clear" w:color="auto" w:fill="CCECFF"/>
            <w:noWrap/>
            <w:vAlign w:val="bottom"/>
            <w:hideMark/>
          </w:tcPr>
          <w:p w14:paraId="6ACB40DB"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(56)</w:t>
            </w:r>
          </w:p>
        </w:tc>
        <w:tc>
          <w:tcPr>
            <w:tcW w:w="781" w:type="dxa"/>
            <w:gridSpan w:val="2"/>
            <w:tcBorders>
              <w:top w:val="nil"/>
              <w:left w:val="nil"/>
              <w:bottom w:val="single" w:sz="4" w:space="0" w:color="BFBFBF"/>
              <w:right w:val="nil"/>
            </w:tcBorders>
            <w:shd w:val="clear" w:color="000000" w:fill="FFFFFF"/>
            <w:noWrap/>
            <w:vAlign w:val="bottom"/>
            <w:hideMark/>
          </w:tcPr>
          <w:p w14:paraId="128409C9"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single" w:sz="4" w:space="0" w:color="BFBFBF"/>
              <w:right w:val="nil"/>
            </w:tcBorders>
            <w:shd w:val="clear" w:color="000000" w:fill="FFFFFF"/>
            <w:noWrap/>
            <w:vAlign w:val="bottom"/>
            <w:hideMark/>
          </w:tcPr>
          <w:p w14:paraId="6E781565"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(14)</w:t>
            </w:r>
          </w:p>
        </w:tc>
        <w:tc>
          <w:tcPr>
            <w:tcW w:w="1004" w:type="dxa"/>
            <w:gridSpan w:val="2"/>
            <w:tcBorders>
              <w:top w:val="nil"/>
              <w:left w:val="nil"/>
              <w:bottom w:val="single" w:sz="4" w:space="0" w:color="BFBFBF"/>
              <w:right w:val="nil"/>
            </w:tcBorders>
            <w:shd w:val="clear" w:color="000000" w:fill="FFFFFF"/>
            <w:noWrap/>
            <w:vAlign w:val="bottom"/>
            <w:hideMark/>
          </w:tcPr>
          <w:p w14:paraId="0FD9B86F"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single" w:sz="4" w:space="0" w:color="BFBFBF"/>
              <w:right w:val="nil"/>
            </w:tcBorders>
            <w:shd w:val="clear" w:color="000000" w:fill="FFFFFF"/>
            <w:noWrap/>
            <w:vAlign w:val="bottom"/>
            <w:hideMark/>
          </w:tcPr>
          <w:p w14:paraId="2E852DCD"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(30)</w:t>
            </w:r>
          </w:p>
        </w:tc>
      </w:tr>
      <w:tr w:rsidR="00B860D1" w:rsidRPr="00B860D1" w14:paraId="17A98E95" w14:textId="77777777" w:rsidTr="007462FB">
        <w:trPr>
          <w:gridAfter w:val="2"/>
          <w:wAfter w:w="304" w:type="dxa"/>
          <w:trHeight w:val="263"/>
        </w:trPr>
        <w:tc>
          <w:tcPr>
            <w:tcW w:w="4143" w:type="dxa"/>
            <w:gridSpan w:val="4"/>
            <w:tcBorders>
              <w:top w:val="nil"/>
              <w:left w:val="nil"/>
              <w:bottom w:val="single" w:sz="4" w:space="0" w:color="BFBFBF"/>
              <w:right w:val="nil"/>
            </w:tcBorders>
            <w:shd w:val="clear" w:color="000000" w:fill="FFFFFF"/>
            <w:noWrap/>
            <w:vAlign w:val="bottom"/>
            <w:hideMark/>
          </w:tcPr>
          <w:p w14:paraId="5C28DBD4"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Total</w:t>
            </w:r>
          </w:p>
        </w:tc>
        <w:tc>
          <w:tcPr>
            <w:tcW w:w="258" w:type="dxa"/>
            <w:gridSpan w:val="2"/>
            <w:tcBorders>
              <w:top w:val="nil"/>
              <w:left w:val="nil"/>
              <w:bottom w:val="single" w:sz="4" w:space="0" w:color="BFBFBF"/>
              <w:right w:val="nil"/>
            </w:tcBorders>
            <w:shd w:val="clear" w:color="000000" w:fill="FFFFFF"/>
            <w:noWrap/>
            <w:vAlign w:val="bottom"/>
            <w:hideMark/>
          </w:tcPr>
          <w:p w14:paraId="2686489B" w14:textId="77777777" w:rsidR="00B860D1" w:rsidRPr="00B860D1" w:rsidRDefault="00B860D1" w:rsidP="00B860D1">
            <w:pPr>
              <w:spacing w:after="0" w:line="240" w:lineRule="auto"/>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258" w:type="dxa"/>
            <w:tcBorders>
              <w:top w:val="nil"/>
              <w:left w:val="nil"/>
              <w:bottom w:val="single" w:sz="4" w:space="0" w:color="BFBFBF"/>
              <w:right w:val="nil"/>
            </w:tcBorders>
            <w:shd w:val="clear" w:color="000000" w:fill="FFFFFF"/>
            <w:noWrap/>
            <w:vAlign w:val="bottom"/>
            <w:hideMark/>
          </w:tcPr>
          <w:p w14:paraId="089C2E11"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single" w:sz="4" w:space="0" w:color="BFBFBF"/>
              <w:right w:val="nil"/>
            </w:tcBorders>
            <w:shd w:val="clear" w:color="000000" w:fill="FFFFFF"/>
            <w:noWrap/>
            <w:vAlign w:val="bottom"/>
            <w:hideMark/>
          </w:tcPr>
          <w:p w14:paraId="6A9FE7CA"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258" w:type="dxa"/>
            <w:tcBorders>
              <w:top w:val="nil"/>
              <w:left w:val="nil"/>
              <w:bottom w:val="single" w:sz="4" w:space="0" w:color="BFBFBF"/>
              <w:right w:val="nil"/>
            </w:tcBorders>
            <w:shd w:val="clear" w:color="000000" w:fill="FFFFFF"/>
            <w:noWrap/>
            <w:vAlign w:val="bottom"/>
            <w:hideMark/>
          </w:tcPr>
          <w:p w14:paraId="138C1145"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1346" w:type="dxa"/>
            <w:gridSpan w:val="3"/>
            <w:tcBorders>
              <w:top w:val="nil"/>
              <w:left w:val="nil"/>
              <w:bottom w:val="single" w:sz="4" w:space="0" w:color="BFBFBF"/>
              <w:right w:val="nil"/>
            </w:tcBorders>
            <w:shd w:val="clear" w:color="000000" w:fill="FFFFFF"/>
            <w:noWrap/>
            <w:vAlign w:val="bottom"/>
            <w:hideMark/>
          </w:tcPr>
          <w:p w14:paraId="7F7F3238" w14:textId="77777777" w:rsidR="00B860D1" w:rsidRPr="00B860D1" w:rsidRDefault="00B860D1" w:rsidP="00B860D1">
            <w:pPr>
              <w:spacing w:after="0" w:line="240" w:lineRule="auto"/>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850" w:type="dxa"/>
            <w:gridSpan w:val="2"/>
            <w:tcBorders>
              <w:top w:val="nil"/>
              <w:left w:val="nil"/>
              <w:bottom w:val="single" w:sz="4" w:space="0" w:color="BFBFBF"/>
              <w:right w:val="nil"/>
            </w:tcBorders>
            <w:shd w:val="clear" w:color="auto" w:fill="CCECFF"/>
            <w:noWrap/>
            <w:vAlign w:val="bottom"/>
            <w:hideMark/>
          </w:tcPr>
          <w:p w14:paraId="4DB68A59"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 </w:t>
            </w:r>
          </w:p>
        </w:tc>
        <w:tc>
          <w:tcPr>
            <w:tcW w:w="709" w:type="dxa"/>
            <w:gridSpan w:val="2"/>
            <w:tcBorders>
              <w:top w:val="nil"/>
              <w:left w:val="nil"/>
              <w:bottom w:val="single" w:sz="4" w:space="0" w:color="BFBFBF"/>
              <w:right w:val="nil"/>
            </w:tcBorders>
            <w:shd w:val="clear" w:color="auto" w:fill="CCECFF"/>
            <w:noWrap/>
            <w:vAlign w:val="bottom"/>
            <w:hideMark/>
          </w:tcPr>
          <w:p w14:paraId="6EE669D9" w14:textId="77777777" w:rsidR="00B860D1" w:rsidRPr="00B860D1" w:rsidRDefault="00B860D1" w:rsidP="00B860D1">
            <w:pPr>
              <w:spacing w:after="0" w:line="240" w:lineRule="auto"/>
              <w:jc w:val="right"/>
              <w:rPr>
                <w:rFonts w:ascii="Arial" w:eastAsia="Times New Roman" w:hAnsi="Arial" w:cs="Arial"/>
                <w:b/>
                <w:bCs/>
                <w:sz w:val="15"/>
                <w:szCs w:val="15"/>
                <w:lang w:eastAsia="en-GB"/>
              </w:rPr>
            </w:pPr>
            <w:r w:rsidRPr="00B860D1">
              <w:rPr>
                <w:rFonts w:ascii="Arial" w:eastAsia="Times New Roman" w:hAnsi="Arial" w:cs="Arial"/>
                <w:b/>
                <w:bCs/>
                <w:sz w:val="15"/>
                <w:szCs w:val="15"/>
                <w:lang w:eastAsia="en-GB"/>
              </w:rPr>
              <w:t>(34)</w:t>
            </w:r>
          </w:p>
        </w:tc>
        <w:tc>
          <w:tcPr>
            <w:tcW w:w="781" w:type="dxa"/>
            <w:gridSpan w:val="2"/>
            <w:tcBorders>
              <w:top w:val="nil"/>
              <w:left w:val="nil"/>
              <w:bottom w:val="single" w:sz="4" w:space="0" w:color="BFBFBF"/>
              <w:right w:val="nil"/>
            </w:tcBorders>
            <w:shd w:val="clear" w:color="000000" w:fill="FFFFFF"/>
            <w:noWrap/>
            <w:vAlign w:val="bottom"/>
            <w:hideMark/>
          </w:tcPr>
          <w:p w14:paraId="18778ACB"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483" w:type="dxa"/>
            <w:gridSpan w:val="2"/>
            <w:tcBorders>
              <w:top w:val="nil"/>
              <w:left w:val="nil"/>
              <w:bottom w:val="single" w:sz="4" w:space="0" w:color="BFBFBF"/>
              <w:right w:val="nil"/>
            </w:tcBorders>
            <w:shd w:val="clear" w:color="000000" w:fill="FFFFFF"/>
            <w:noWrap/>
            <w:vAlign w:val="bottom"/>
            <w:hideMark/>
          </w:tcPr>
          <w:p w14:paraId="3D144305"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(26)</w:t>
            </w:r>
          </w:p>
        </w:tc>
        <w:tc>
          <w:tcPr>
            <w:tcW w:w="1004" w:type="dxa"/>
            <w:gridSpan w:val="2"/>
            <w:tcBorders>
              <w:top w:val="nil"/>
              <w:left w:val="nil"/>
              <w:bottom w:val="single" w:sz="4" w:space="0" w:color="BFBFBF"/>
              <w:right w:val="nil"/>
            </w:tcBorders>
            <w:shd w:val="clear" w:color="000000" w:fill="FFFFFF"/>
            <w:noWrap/>
            <w:vAlign w:val="bottom"/>
            <w:hideMark/>
          </w:tcPr>
          <w:p w14:paraId="4D5BF646"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 </w:t>
            </w:r>
          </w:p>
        </w:tc>
        <w:tc>
          <w:tcPr>
            <w:tcW w:w="567" w:type="dxa"/>
            <w:tcBorders>
              <w:top w:val="nil"/>
              <w:left w:val="nil"/>
              <w:bottom w:val="single" w:sz="4" w:space="0" w:color="BFBFBF"/>
              <w:right w:val="nil"/>
            </w:tcBorders>
            <w:shd w:val="clear" w:color="000000" w:fill="FFFFFF"/>
            <w:noWrap/>
            <w:vAlign w:val="bottom"/>
            <w:hideMark/>
          </w:tcPr>
          <w:p w14:paraId="5C03C501" w14:textId="77777777" w:rsidR="00B860D1" w:rsidRPr="00B860D1" w:rsidRDefault="00B860D1" w:rsidP="00B860D1">
            <w:pPr>
              <w:spacing w:after="0" w:line="240" w:lineRule="auto"/>
              <w:jc w:val="right"/>
              <w:rPr>
                <w:rFonts w:ascii="Arial" w:eastAsia="Times New Roman" w:hAnsi="Arial" w:cs="Arial"/>
                <w:sz w:val="15"/>
                <w:szCs w:val="15"/>
                <w:lang w:eastAsia="en-GB"/>
              </w:rPr>
            </w:pPr>
            <w:r w:rsidRPr="00B860D1">
              <w:rPr>
                <w:rFonts w:ascii="Arial" w:eastAsia="Times New Roman" w:hAnsi="Arial" w:cs="Arial"/>
                <w:sz w:val="15"/>
                <w:szCs w:val="15"/>
                <w:lang w:eastAsia="en-GB"/>
              </w:rPr>
              <w:t>(30)</w:t>
            </w:r>
          </w:p>
        </w:tc>
      </w:tr>
    </w:tbl>
    <w:p w14:paraId="009C33AC" w14:textId="421E4DD3" w:rsidR="001B23C1" w:rsidRDefault="001B23C1"/>
    <w:tbl>
      <w:tblPr>
        <w:tblW w:w="10520" w:type="dxa"/>
        <w:tblLook w:val="04A0" w:firstRow="1" w:lastRow="0" w:firstColumn="1" w:lastColumn="0" w:noHBand="0" w:noVBand="1"/>
      </w:tblPr>
      <w:tblGrid>
        <w:gridCol w:w="1554"/>
        <w:gridCol w:w="3051"/>
        <w:gridCol w:w="258"/>
        <w:gridCol w:w="949"/>
        <w:gridCol w:w="1869"/>
        <w:gridCol w:w="411"/>
        <w:gridCol w:w="385"/>
        <w:gridCol w:w="258"/>
        <w:gridCol w:w="594"/>
        <w:gridCol w:w="423"/>
        <w:gridCol w:w="395"/>
        <w:gridCol w:w="373"/>
      </w:tblGrid>
      <w:tr w:rsidR="00034083" w:rsidRPr="00034083" w14:paraId="5F5BC987" w14:textId="77777777" w:rsidTr="00034083">
        <w:trPr>
          <w:trHeight w:val="240"/>
        </w:trPr>
        <w:tc>
          <w:tcPr>
            <w:tcW w:w="10520" w:type="dxa"/>
            <w:gridSpan w:val="12"/>
            <w:tcBorders>
              <w:top w:val="nil"/>
              <w:left w:val="nil"/>
              <w:bottom w:val="nil"/>
              <w:right w:val="nil"/>
            </w:tcBorders>
            <w:shd w:val="clear" w:color="000000" w:fill="FFFFFF"/>
            <w:hideMark/>
          </w:tcPr>
          <w:p w14:paraId="234D1643" w14:textId="77777777" w:rsidR="00034083" w:rsidRPr="00034083" w:rsidRDefault="00034083" w:rsidP="00034083">
            <w:pPr>
              <w:spacing w:after="240" w:line="240" w:lineRule="auto"/>
              <w:jc w:val="both"/>
              <w:rPr>
                <w:rFonts w:ascii="Arial" w:eastAsia="Times New Roman" w:hAnsi="Arial" w:cs="Arial"/>
                <w:sz w:val="15"/>
                <w:szCs w:val="15"/>
                <w:lang w:eastAsia="en-GB"/>
              </w:rPr>
            </w:pPr>
            <w:r w:rsidRPr="00034083">
              <w:rPr>
                <w:rFonts w:ascii="Arial" w:eastAsia="Times New Roman" w:hAnsi="Arial" w:cs="Arial"/>
                <w:b/>
                <w:bCs/>
                <w:sz w:val="15"/>
                <w:szCs w:val="15"/>
                <w:lang w:eastAsia="en-GB"/>
              </w:rPr>
              <w:t>Impairment</w:t>
            </w:r>
            <w:r w:rsidRPr="00034083">
              <w:rPr>
                <w:rFonts w:ascii="Arial" w:eastAsia="Times New Roman" w:hAnsi="Arial" w:cs="Arial"/>
                <w:sz w:val="15"/>
                <w:szCs w:val="15"/>
                <w:lang w:eastAsia="en-GB"/>
              </w:rPr>
              <w:t xml:space="preserve"> </w:t>
            </w:r>
          </w:p>
        </w:tc>
      </w:tr>
      <w:tr w:rsidR="00034083" w:rsidRPr="00034083" w14:paraId="78C902F6" w14:textId="77777777" w:rsidTr="00081A34">
        <w:trPr>
          <w:trHeight w:val="3185"/>
        </w:trPr>
        <w:tc>
          <w:tcPr>
            <w:tcW w:w="10520" w:type="dxa"/>
            <w:gridSpan w:val="12"/>
            <w:tcBorders>
              <w:top w:val="nil"/>
              <w:left w:val="nil"/>
              <w:bottom w:val="nil"/>
              <w:right w:val="nil"/>
            </w:tcBorders>
            <w:shd w:val="clear" w:color="000000" w:fill="FFFFFF"/>
            <w:hideMark/>
          </w:tcPr>
          <w:p w14:paraId="5F4F1AEE" w14:textId="6249E371" w:rsidR="00034083" w:rsidRPr="00034083" w:rsidRDefault="00034083" w:rsidP="00034083">
            <w:pPr>
              <w:spacing w:after="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xml:space="preserve">The Group reviews the carrying amounts of its property, plant and equipment, right-of-use assets, intangible </w:t>
            </w:r>
            <w:proofErr w:type="gramStart"/>
            <w:r w:rsidRPr="00034083">
              <w:rPr>
                <w:rFonts w:ascii="Arial" w:eastAsia="Times New Roman" w:hAnsi="Arial" w:cs="Arial"/>
                <w:sz w:val="15"/>
                <w:szCs w:val="15"/>
                <w:lang w:eastAsia="en-GB"/>
              </w:rPr>
              <w:t>assets</w:t>
            </w:r>
            <w:proofErr w:type="gramEnd"/>
            <w:r w:rsidRPr="00034083">
              <w:rPr>
                <w:rFonts w:ascii="Arial" w:eastAsia="Times New Roman" w:hAnsi="Arial" w:cs="Arial"/>
                <w:sz w:val="15"/>
                <w:szCs w:val="15"/>
                <w:lang w:eastAsia="en-GB"/>
              </w:rPr>
              <w:t xml:space="preserve"> and goodwill to determine whether there is any indication that those assets have suffered an impairment loss. </w:t>
            </w:r>
            <w:r w:rsidRPr="00034083">
              <w:rPr>
                <w:rFonts w:ascii="Arial" w:eastAsia="Times New Roman" w:hAnsi="Arial" w:cs="Arial"/>
                <w:sz w:val="15"/>
                <w:szCs w:val="15"/>
                <w:lang w:eastAsia="en-GB"/>
              </w:rPr>
              <w:br/>
            </w:r>
            <w:r w:rsidRPr="00034083">
              <w:rPr>
                <w:rFonts w:ascii="Arial" w:eastAsia="Times New Roman" w:hAnsi="Arial" w:cs="Arial"/>
                <w:sz w:val="15"/>
                <w:szCs w:val="15"/>
                <w:lang w:eastAsia="en-GB"/>
              </w:rPr>
              <w:br/>
              <w:t xml:space="preserve">This review is performed annually or in the event where indicators of impairment are present. </w:t>
            </w:r>
            <w:proofErr w:type="gramStart"/>
            <w:r w:rsidRPr="00034083">
              <w:rPr>
                <w:rFonts w:ascii="Arial" w:eastAsia="Times New Roman" w:hAnsi="Arial" w:cs="Arial"/>
                <w:sz w:val="15"/>
                <w:szCs w:val="15"/>
                <w:lang w:eastAsia="en-GB"/>
              </w:rPr>
              <w:t>At</w:t>
            </w:r>
            <w:proofErr w:type="gramEnd"/>
            <w:r w:rsidRPr="00034083">
              <w:rPr>
                <w:rFonts w:ascii="Arial" w:eastAsia="Times New Roman" w:hAnsi="Arial" w:cs="Arial"/>
                <w:sz w:val="15"/>
                <w:szCs w:val="15"/>
                <w:lang w:eastAsia="en-GB"/>
              </w:rPr>
              <w:t xml:space="preserve"> 2 July 2022, the Group has considered whether general uncertainty in the wider macro-economic environment including the cost-of-living crisis, rising inflation, energy price increases, the on-going conflict in Ukraine as well as the continu</w:t>
            </w:r>
            <w:r w:rsidR="00437D80">
              <w:rPr>
                <w:rFonts w:ascii="Arial" w:eastAsia="Times New Roman" w:hAnsi="Arial" w:cs="Arial"/>
                <w:sz w:val="15"/>
                <w:szCs w:val="15"/>
                <w:lang w:eastAsia="en-GB"/>
              </w:rPr>
              <w:t>i</w:t>
            </w:r>
            <w:r w:rsidRPr="00034083">
              <w:rPr>
                <w:rFonts w:ascii="Arial" w:eastAsia="Times New Roman" w:hAnsi="Arial" w:cs="Arial"/>
                <w:sz w:val="15"/>
                <w:szCs w:val="15"/>
                <w:lang w:eastAsia="en-GB"/>
              </w:rPr>
              <w:t xml:space="preserve">ng impacts of the COVID-19 pandemic has the potential to represent a significant impairment indicator as at 2 July 2022. Despite the difficult trading conditions and associated additional costs of serving our customers the Group’s main business areas have proven resilient and the performance of the Group’s cash-generating units has remained strong. Therefore, management concluded that the impact of the factors noted on the </w:t>
            </w:r>
            <w:proofErr w:type="gramStart"/>
            <w:r w:rsidRPr="00034083">
              <w:rPr>
                <w:rFonts w:ascii="Arial" w:eastAsia="Times New Roman" w:hAnsi="Arial" w:cs="Arial"/>
                <w:sz w:val="15"/>
                <w:szCs w:val="15"/>
                <w:lang w:eastAsia="en-GB"/>
              </w:rPr>
              <w:t>longer term</w:t>
            </w:r>
            <w:proofErr w:type="gramEnd"/>
            <w:r w:rsidRPr="00034083">
              <w:rPr>
                <w:rFonts w:ascii="Arial" w:eastAsia="Times New Roman" w:hAnsi="Arial" w:cs="Arial"/>
                <w:sz w:val="15"/>
                <w:szCs w:val="15"/>
                <w:lang w:eastAsia="en-GB"/>
              </w:rPr>
              <w:t xml:space="preserve"> outlook for these cash-generating units did not constitute an indicator of significant impairment and hence a full impairment test across all CGUs was not required. This judgement is unchanged from 1 January 2022. </w:t>
            </w:r>
            <w:r w:rsidRPr="00034083">
              <w:rPr>
                <w:rFonts w:ascii="Arial" w:eastAsia="Times New Roman" w:hAnsi="Arial" w:cs="Arial"/>
                <w:sz w:val="15"/>
                <w:szCs w:val="15"/>
                <w:lang w:eastAsia="en-GB"/>
              </w:rPr>
              <w:br/>
            </w:r>
            <w:r w:rsidRPr="00034083">
              <w:rPr>
                <w:rFonts w:ascii="Arial" w:eastAsia="Times New Roman" w:hAnsi="Arial" w:cs="Arial"/>
                <w:sz w:val="15"/>
                <w:szCs w:val="15"/>
                <w:lang w:eastAsia="en-GB"/>
              </w:rPr>
              <w:br/>
              <w:t xml:space="preserve">The Group is currently working to identify the physical risk to our business and supply chains from the changing climate, along with the potential impact of policy, </w:t>
            </w:r>
            <w:proofErr w:type="gramStart"/>
            <w:r w:rsidRPr="00034083">
              <w:rPr>
                <w:rFonts w:ascii="Arial" w:eastAsia="Times New Roman" w:hAnsi="Arial" w:cs="Arial"/>
                <w:sz w:val="15"/>
                <w:szCs w:val="15"/>
                <w:lang w:eastAsia="en-GB"/>
              </w:rPr>
              <w:t>technology</w:t>
            </w:r>
            <w:proofErr w:type="gramEnd"/>
            <w:r w:rsidRPr="00034083">
              <w:rPr>
                <w:rFonts w:ascii="Arial" w:eastAsia="Times New Roman" w:hAnsi="Arial" w:cs="Arial"/>
                <w:sz w:val="15"/>
                <w:szCs w:val="15"/>
                <w:lang w:eastAsia="en-GB"/>
              </w:rPr>
              <w:t xml:space="preserve"> and market changes as we transition to a lower carbon future. This is a developing area with inherent uncertainty which is constantly evolving. The work being undertaken will help inform our overall response to the risks and opportunities that are identified. Our assessment of the impact of climate-related risk and related expenditure is reflected in the financial models and plans and will continue to be monitored in future periods.</w:t>
            </w:r>
            <w:r w:rsidRPr="00034083">
              <w:rPr>
                <w:rFonts w:ascii="Arial" w:eastAsia="Times New Roman" w:hAnsi="Arial" w:cs="Arial"/>
                <w:sz w:val="15"/>
                <w:szCs w:val="15"/>
                <w:lang w:eastAsia="en-GB"/>
              </w:rPr>
              <w:br/>
            </w:r>
            <w:r w:rsidRPr="00034083">
              <w:rPr>
                <w:rFonts w:ascii="Arial" w:eastAsia="Times New Roman" w:hAnsi="Arial" w:cs="Arial"/>
                <w:sz w:val="15"/>
                <w:szCs w:val="15"/>
                <w:lang w:eastAsia="en-GB"/>
              </w:rPr>
              <w:br/>
              <w:t>The methodology for our impairment reviews is consistent with the methodology disclosed in the 2021 annual report. This methodology is summarised in the table below:</w:t>
            </w:r>
          </w:p>
        </w:tc>
      </w:tr>
      <w:tr w:rsidR="00034083" w:rsidRPr="00034083" w14:paraId="2C2BAEAD" w14:textId="77777777" w:rsidTr="00034083">
        <w:trPr>
          <w:trHeight w:val="240"/>
        </w:trPr>
        <w:tc>
          <w:tcPr>
            <w:tcW w:w="4605" w:type="dxa"/>
            <w:gridSpan w:val="2"/>
            <w:tcBorders>
              <w:top w:val="nil"/>
              <w:left w:val="nil"/>
              <w:bottom w:val="nil"/>
              <w:right w:val="nil"/>
            </w:tcBorders>
            <w:shd w:val="clear" w:color="000000" w:fill="FFFFFF"/>
            <w:hideMark/>
          </w:tcPr>
          <w:p w14:paraId="528383CA" w14:textId="77777777" w:rsidR="00034083" w:rsidRPr="00034083" w:rsidRDefault="00034083" w:rsidP="00034083">
            <w:pPr>
              <w:spacing w:after="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w:t>
            </w:r>
          </w:p>
        </w:tc>
        <w:tc>
          <w:tcPr>
            <w:tcW w:w="258" w:type="dxa"/>
            <w:tcBorders>
              <w:top w:val="nil"/>
              <w:left w:val="nil"/>
              <w:bottom w:val="nil"/>
              <w:right w:val="nil"/>
            </w:tcBorders>
            <w:shd w:val="clear" w:color="000000" w:fill="FFFFFF"/>
            <w:noWrap/>
            <w:hideMark/>
          </w:tcPr>
          <w:p w14:paraId="1A63AFEE" w14:textId="77777777" w:rsidR="00034083" w:rsidRPr="00034083" w:rsidRDefault="00034083" w:rsidP="00034083">
            <w:pPr>
              <w:spacing w:after="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w:t>
            </w:r>
          </w:p>
        </w:tc>
        <w:tc>
          <w:tcPr>
            <w:tcW w:w="2818" w:type="dxa"/>
            <w:gridSpan w:val="2"/>
            <w:tcBorders>
              <w:top w:val="nil"/>
              <w:left w:val="nil"/>
              <w:bottom w:val="nil"/>
              <w:right w:val="nil"/>
            </w:tcBorders>
            <w:shd w:val="clear" w:color="000000" w:fill="FFFFFF"/>
            <w:noWrap/>
            <w:hideMark/>
          </w:tcPr>
          <w:p w14:paraId="7D61053D" w14:textId="77777777" w:rsidR="00034083" w:rsidRPr="00034083" w:rsidRDefault="00034083" w:rsidP="00034083">
            <w:pPr>
              <w:spacing w:after="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w:t>
            </w:r>
          </w:p>
        </w:tc>
        <w:tc>
          <w:tcPr>
            <w:tcW w:w="411" w:type="dxa"/>
            <w:tcBorders>
              <w:top w:val="nil"/>
              <w:left w:val="nil"/>
              <w:bottom w:val="nil"/>
              <w:right w:val="nil"/>
            </w:tcBorders>
            <w:shd w:val="clear" w:color="000000" w:fill="FFFFFF"/>
            <w:noWrap/>
            <w:hideMark/>
          </w:tcPr>
          <w:p w14:paraId="0E12F5D1" w14:textId="77777777" w:rsidR="00034083" w:rsidRPr="00034083" w:rsidRDefault="00034083" w:rsidP="00034083">
            <w:pPr>
              <w:spacing w:after="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w:t>
            </w:r>
          </w:p>
        </w:tc>
        <w:tc>
          <w:tcPr>
            <w:tcW w:w="385" w:type="dxa"/>
            <w:tcBorders>
              <w:top w:val="nil"/>
              <w:left w:val="nil"/>
              <w:bottom w:val="nil"/>
              <w:right w:val="nil"/>
            </w:tcBorders>
            <w:shd w:val="clear" w:color="000000" w:fill="FFFFFF"/>
            <w:noWrap/>
            <w:hideMark/>
          </w:tcPr>
          <w:p w14:paraId="086D01C2" w14:textId="77777777" w:rsidR="00034083" w:rsidRPr="00034083" w:rsidRDefault="00034083" w:rsidP="00034083">
            <w:pPr>
              <w:spacing w:after="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w:t>
            </w:r>
          </w:p>
        </w:tc>
        <w:tc>
          <w:tcPr>
            <w:tcW w:w="258" w:type="dxa"/>
            <w:tcBorders>
              <w:top w:val="nil"/>
              <w:left w:val="nil"/>
              <w:bottom w:val="nil"/>
              <w:right w:val="nil"/>
            </w:tcBorders>
            <w:shd w:val="clear" w:color="000000" w:fill="FFFFFF"/>
            <w:noWrap/>
            <w:hideMark/>
          </w:tcPr>
          <w:p w14:paraId="58E9371B" w14:textId="77777777" w:rsidR="00034083" w:rsidRPr="00034083" w:rsidRDefault="00034083" w:rsidP="00034083">
            <w:pPr>
              <w:spacing w:after="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w:t>
            </w:r>
          </w:p>
        </w:tc>
        <w:tc>
          <w:tcPr>
            <w:tcW w:w="594" w:type="dxa"/>
            <w:tcBorders>
              <w:top w:val="nil"/>
              <w:left w:val="nil"/>
              <w:bottom w:val="nil"/>
              <w:right w:val="nil"/>
            </w:tcBorders>
            <w:shd w:val="clear" w:color="000000" w:fill="FFFFFF"/>
            <w:noWrap/>
            <w:hideMark/>
          </w:tcPr>
          <w:p w14:paraId="05F3F987" w14:textId="77777777" w:rsidR="00034083" w:rsidRPr="00034083" w:rsidRDefault="00034083" w:rsidP="00034083">
            <w:pPr>
              <w:spacing w:after="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w:t>
            </w:r>
          </w:p>
        </w:tc>
        <w:tc>
          <w:tcPr>
            <w:tcW w:w="423" w:type="dxa"/>
            <w:tcBorders>
              <w:top w:val="nil"/>
              <w:left w:val="nil"/>
              <w:bottom w:val="nil"/>
              <w:right w:val="nil"/>
            </w:tcBorders>
            <w:shd w:val="clear" w:color="000000" w:fill="FFFFFF"/>
            <w:noWrap/>
            <w:hideMark/>
          </w:tcPr>
          <w:p w14:paraId="7BB86709" w14:textId="77777777" w:rsidR="00034083" w:rsidRPr="00034083" w:rsidRDefault="00034083" w:rsidP="00034083">
            <w:pPr>
              <w:spacing w:after="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w:t>
            </w:r>
          </w:p>
        </w:tc>
        <w:tc>
          <w:tcPr>
            <w:tcW w:w="395" w:type="dxa"/>
            <w:tcBorders>
              <w:top w:val="nil"/>
              <w:left w:val="nil"/>
              <w:bottom w:val="nil"/>
              <w:right w:val="nil"/>
            </w:tcBorders>
            <w:shd w:val="clear" w:color="000000" w:fill="FFFFFF"/>
            <w:noWrap/>
            <w:hideMark/>
          </w:tcPr>
          <w:p w14:paraId="6C55D0E8" w14:textId="77777777" w:rsidR="00034083" w:rsidRPr="00034083" w:rsidRDefault="00034083" w:rsidP="00034083">
            <w:pPr>
              <w:spacing w:after="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w:t>
            </w:r>
          </w:p>
        </w:tc>
        <w:tc>
          <w:tcPr>
            <w:tcW w:w="373" w:type="dxa"/>
            <w:tcBorders>
              <w:top w:val="nil"/>
              <w:left w:val="nil"/>
              <w:bottom w:val="nil"/>
              <w:right w:val="nil"/>
            </w:tcBorders>
            <w:shd w:val="clear" w:color="000000" w:fill="FFFFFF"/>
            <w:noWrap/>
            <w:hideMark/>
          </w:tcPr>
          <w:p w14:paraId="333C523D" w14:textId="77777777" w:rsidR="00034083" w:rsidRPr="00034083" w:rsidRDefault="00034083" w:rsidP="00034083">
            <w:pPr>
              <w:spacing w:after="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w:t>
            </w:r>
          </w:p>
        </w:tc>
      </w:tr>
      <w:tr w:rsidR="00034083" w:rsidRPr="00034083" w14:paraId="0D2E3C21" w14:textId="77777777" w:rsidTr="00034083">
        <w:trPr>
          <w:trHeight w:val="240"/>
        </w:trPr>
        <w:tc>
          <w:tcPr>
            <w:tcW w:w="1554" w:type="dxa"/>
            <w:tcBorders>
              <w:top w:val="single" w:sz="4" w:space="0" w:color="BFBFBF"/>
              <w:left w:val="single" w:sz="4" w:space="0" w:color="BFBFBF"/>
              <w:bottom w:val="single" w:sz="4" w:space="0" w:color="BFBFBF"/>
              <w:right w:val="nil"/>
            </w:tcBorders>
            <w:shd w:val="clear" w:color="000000" w:fill="00B0F0"/>
            <w:vAlign w:val="center"/>
            <w:hideMark/>
          </w:tcPr>
          <w:p w14:paraId="22D8E563" w14:textId="77777777" w:rsidR="00034083" w:rsidRPr="00034083" w:rsidRDefault="00034083" w:rsidP="00034083">
            <w:pPr>
              <w:spacing w:after="0" w:line="240" w:lineRule="auto"/>
              <w:rPr>
                <w:rFonts w:ascii="Arial" w:eastAsia="Times New Roman" w:hAnsi="Arial" w:cs="Arial"/>
                <w:b/>
                <w:bCs/>
                <w:color w:val="FFFFFF"/>
                <w:sz w:val="15"/>
                <w:szCs w:val="15"/>
                <w:lang w:eastAsia="en-GB"/>
              </w:rPr>
            </w:pPr>
            <w:r w:rsidRPr="00034083">
              <w:rPr>
                <w:rFonts w:ascii="Arial" w:eastAsia="Times New Roman" w:hAnsi="Arial" w:cs="Arial"/>
                <w:b/>
                <w:bCs/>
                <w:color w:val="FFFFFF"/>
                <w:sz w:val="15"/>
                <w:szCs w:val="15"/>
                <w:lang w:eastAsia="en-GB"/>
              </w:rPr>
              <w:t>Assumption</w:t>
            </w:r>
          </w:p>
        </w:tc>
        <w:tc>
          <w:tcPr>
            <w:tcW w:w="4258" w:type="dxa"/>
            <w:gridSpan w:val="3"/>
            <w:tcBorders>
              <w:top w:val="single" w:sz="4" w:space="0" w:color="BFBFBF"/>
              <w:left w:val="single" w:sz="4" w:space="0" w:color="BFBFBF"/>
              <w:bottom w:val="single" w:sz="4" w:space="0" w:color="BFBFBF"/>
              <w:right w:val="single" w:sz="4" w:space="0" w:color="BFBFBF"/>
            </w:tcBorders>
            <w:shd w:val="clear" w:color="000000" w:fill="00B0F0"/>
            <w:vAlign w:val="center"/>
            <w:hideMark/>
          </w:tcPr>
          <w:p w14:paraId="75E4C5D4" w14:textId="77777777" w:rsidR="00034083" w:rsidRPr="00034083" w:rsidRDefault="00034083" w:rsidP="00034083">
            <w:pPr>
              <w:spacing w:after="0" w:line="240" w:lineRule="auto"/>
              <w:jc w:val="center"/>
              <w:rPr>
                <w:rFonts w:ascii="Arial" w:eastAsia="Times New Roman" w:hAnsi="Arial" w:cs="Arial"/>
                <w:b/>
                <w:bCs/>
                <w:color w:val="FFFFFF"/>
                <w:sz w:val="15"/>
                <w:szCs w:val="15"/>
                <w:lang w:eastAsia="en-GB"/>
              </w:rPr>
            </w:pPr>
            <w:r w:rsidRPr="00034083">
              <w:rPr>
                <w:rFonts w:ascii="Arial" w:eastAsia="Times New Roman" w:hAnsi="Arial" w:cs="Arial"/>
                <w:b/>
                <w:bCs/>
                <w:color w:val="FFFFFF"/>
                <w:sz w:val="15"/>
                <w:szCs w:val="15"/>
                <w:lang w:eastAsia="en-GB"/>
              </w:rPr>
              <w:t>Food Segment</w:t>
            </w:r>
          </w:p>
        </w:tc>
        <w:tc>
          <w:tcPr>
            <w:tcW w:w="4708" w:type="dxa"/>
            <w:gridSpan w:val="8"/>
            <w:tcBorders>
              <w:top w:val="single" w:sz="4" w:space="0" w:color="BFBFBF"/>
              <w:left w:val="nil"/>
              <w:bottom w:val="single" w:sz="4" w:space="0" w:color="BFBFBF"/>
              <w:right w:val="single" w:sz="4" w:space="0" w:color="BFBFBF"/>
            </w:tcBorders>
            <w:shd w:val="clear" w:color="000000" w:fill="00B0F0"/>
            <w:vAlign w:val="center"/>
            <w:hideMark/>
          </w:tcPr>
          <w:p w14:paraId="64863F10" w14:textId="77777777" w:rsidR="00034083" w:rsidRPr="00034083" w:rsidRDefault="00034083" w:rsidP="00034083">
            <w:pPr>
              <w:spacing w:after="0" w:line="240" w:lineRule="auto"/>
              <w:jc w:val="center"/>
              <w:rPr>
                <w:rFonts w:ascii="Arial" w:eastAsia="Times New Roman" w:hAnsi="Arial" w:cs="Arial"/>
                <w:b/>
                <w:bCs/>
                <w:color w:val="FFFFFF"/>
                <w:sz w:val="15"/>
                <w:szCs w:val="15"/>
                <w:lang w:eastAsia="en-GB"/>
              </w:rPr>
            </w:pPr>
            <w:r w:rsidRPr="00034083">
              <w:rPr>
                <w:rFonts w:ascii="Arial" w:eastAsia="Times New Roman" w:hAnsi="Arial" w:cs="Arial"/>
                <w:b/>
                <w:bCs/>
                <w:color w:val="FFFFFF"/>
                <w:sz w:val="15"/>
                <w:szCs w:val="15"/>
                <w:lang w:eastAsia="en-GB"/>
              </w:rPr>
              <w:t>Funeral Segment</w:t>
            </w:r>
          </w:p>
        </w:tc>
      </w:tr>
      <w:tr w:rsidR="00034083" w:rsidRPr="00034083" w14:paraId="10EDD380" w14:textId="77777777" w:rsidTr="00034083">
        <w:trPr>
          <w:trHeight w:val="848"/>
        </w:trPr>
        <w:tc>
          <w:tcPr>
            <w:tcW w:w="1554" w:type="dxa"/>
            <w:tcBorders>
              <w:top w:val="single" w:sz="4" w:space="0" w:color="BFBFBF"/>
              <w:left w:val="single" w:sz="4" w:space="0" w:color="BFBFBF"/>
              <w:bottom w:val="single" w:sz="4" w:space="0" w:color="BFBFBF"/>
              <w:right w:val="nil"/>
            </w:tcBorders>
            <w:shd w:val="clear" w:color="000000" w:fill="FFFFFF"/>
            <w:vAlign w:val="center"/>
            <w:hideMark/>
          </w:tcPr>
          <w:p w14:paraId="41C5865F" w14:textId="77777777" w:rsidR="00034083" w:rsidRPr="00034083" w:rsidRDefault="00034083" w:rsidP="00034083">
            <w:pPr>
              <w:spacing w:after="0" w:line="240" w:lineRule="auto"/>
              <w:rPr>
                <w:rFonts w:ascii="Arial" w:eastAsia="Times New Roman" w:hAnsi="Arial" w:cs="Arial"/>
                <w:b/>
                <w:bCs/>
                <w:sz w:val="15"/>
                <w:szCs w:val="15"/>
                <w:lang w:eastAsia="en-GB"/>
              </w:rPr>
            </w:pPr>
            <w:r w:rsidRPr="00034083">
              <w:rPr>
                <w:rFonts w:ascii="Arial" w:eastAsia="Times New Roman" w:hAnsi="Arial" w:cs="Arial"/>
                <w:b/>
                <w:bCs/>
                <w:sz w:val="15"/>
                <w:szCs w:val="15"/>
                <w:lang w:eastAsia="en-GB"/>
              </w:rPr>
              <w:t xml:space="preserve">Structure of a    </w:t>
            </w:r>
            <w:r w:rsidRPr="00034083">
              <w:rPr>
                <w:rFonts w:ascii="Arial" w:eastAsia="Times New Roman" w:hAnsi="Arial" w:cs="Arial"/>
                <w:b/>
                <w:bCs/>
                <w:sz w:val="15"/>
                <w:szCs w:val="15"/>
                <w:lang w:eastAsia="en-GB"/>
              </w:rPr>
              <w:br/>
              <w:t>CGU</w:t>
            </w:r>
          </w:p>
        </w:tc>
        <w:tc>
          <w:tcPr>
            <w:tcW w:w="4258" w:type="dxa"/>
            <w:gridSpan w:val="3"/>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1C0AFD2" w14:textId="77777777" w:rsidR="00034083" w:rsidRPr="00034083" w:rsidRDefault="00034083" w:rsidP="00034083">
            <w:pPr>
              <w:spacing w:after="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xml:space="preserve">Each individual food store is deemed to be an individual CGU. </w:t>
            </w:r>
          </w:p>
        </w:tc>
        <w:tc>
          <w:tcPr>
            <w:tcW w:w="4708" w:type="dxa"/>
            <w:gridSpan w:val="8"/>
            <w:tcBorders>
              <w:top w:val="single" w:sz="4" w:space="0" w:color="BFBFBF"/>
              <w:left w:val="nil"/>
              <w:bottom w:val="single" w:sz="4" w:space="0" w:color="BFBFBF"/>
              <w:right w:val="single" w:sz="4" w:space="0" w:color="BFBFBF"/>
            </w:tcBorders>
            <w:shd w:val="clear" w:color="000000" w:fill="FFFFFF"/>
            <w:vAlign w:val="center"/>
            <w:hideMark/>
          </w:tcPr>
          <w:p w14:paraId="6825E5CD" w14:textId="77777777" w:rsidR="00034083" w:rsidRPr="00034083" w:rsidRDefault="00034083" w:rsidP="00034083">
            <w:pPr>
              <w:spacing w:after="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xml:space="preserve">A CGU is deemed to be a local network of interdependent branches, known as a Funeralcare Hub. </w:t>
            </w:r>
          </w:p>
        </w:tc>
      </w:tr>
      <w:tr w:rsidR="00034083" w:rsidRPr="00034083" w14:paraId="45BBAAB7" w14:textId="77777777" w:rsidTr="00034083">
        <w:trPr>
          <w:trHeight w:val="4883"/>
        </w:trPr>
        <w:tc>
          <w:tcPr>
            <w:tcW w:w="1554" w:type="dxa"/>
            <w:tcBorders>
              <w:top w:val="single" w:sz="4" w:space="0" w:color="BFBFBF"/>
              <w:left w:val="single" w:sz="4" w:space="0" w:color="BFBFBF"/>
              <w:bottom w:val="single" w:sz="4" w:space="0" w:color="BFBFBF"/>
              <w:right w:val="nil"/>
            </w:tcBorders>
            <w:shd w:val="clear" w:color="000000" w:fill="FFFFFF"/>
            <w:vAlign w:val="center"/>
            <w:hideMark/>
          </w:tcPr>
          <w:p w14:paraId="0ED789CE" w14:textId="77777777" w:rsidR="00034083" w:rsidRPr="00034083" w:rsidRDefault="00034083" w:rsidP="00034083">
            <w:pPr>
              <w:spacing w:after="0" w:line="240" w:lineRule="auto"/>
              <w:rPr>
                <w:rFonts w:ascii="Arial" w:eastAsia="Times New Roman" w:hAnsi="Arial" w:cs="Arial"/>
                <w:b/>
                <w:bCs/>
                <w:sz w:val="15"/>
                <w:szCs w:val="15"/>
                <w:lang w:eastAsia="en-GB"/>
              </w:rPr>
            </w:pPr>
            <w:r w:rsidRPr="00034083">
              <w:rPr>
                <w:rFonts w:ascii="Arial" w:eastAsia="Times New Roman" w:hAnsi="Arial" w:cs="Arial"/>
                <w:b/>
                <w:bCs/>
                <w:sz w:val="15"/>
                <w:szCs w:val="15"/>
                <w:lang w:eastAsia="en-GB"/>
              </w:rPr>
              <w:lastRenderedPageBreak/>
              <w:t>Cash flow years / assumptions</w:t>
            </w:r>
          </w:p>
        </w:tc>
        <w:tc>
          <w:tcPr>
            <w:tcW w:w="4258" w:type="dxa"/>
            <w:gridSpan w:val="3"/>
            <w:tcBorders>
              <w:top w:val="single" w:sz="4" w:space="0" w:color="BFBFBF"/>
              <w:left w:val="single" w:sz="4" w:space="0" w:color="BFBFBF"/>
              <w:bottom w:val="single" w:sz="4" w:space="0" w:color="BFBFBF"/>
              <w:right w:val="nil"/>
            </w:tcBorders>
            <w:shd w:val="clear" w:color="000000" w:fill="FFFFFF"/>
            <w:hideMark/>
          </w:tcPr>
          <w:p w14:paraId="7DCE4F11" w14:textId="4E70C59B" w:rsidR="00034083" w:rsidRPr="00034083" w:rsidRDefault="00034083" w:rsidP="00034083">
            <w:pPr>
              <w:spacing w:after="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xml:space="preserve">Future cash flows derived from Board approved three-year plan cash flow assumptions. </w:t>
            </w:r>
            <w:r w:rsidRPr="00034083">
              <w:rPr>
                <w:rFonts w:ascii="Arial" w:eastAsia="Times New Roman" w:hAnsi="Arial" w:cs="Arial"/>
                <w:sz w:val="15"/>
                <w:szCs w:val="15"/>
                <w:lang w:eastAsia="en-GB"/>
              </w:rPr>
              <w:br/>
            </w:r>
            <w:r w:rsidRPr="00034083">
              <w:rPr>
                <w:rFonts w:ascii="Arial" w:eastAsia="Times New Roman" w:hAnsi="Arial" w:cs="Arial"/>
                <w:sz w:val="15"/>
                <w:szCs w:val="15"/>
                <w:lang w:eastAsia="en-GB"/>
              </w:rPr>
              <w:br/>
              <w:t xml:space="preserve">These forecasts are extrapolated over a period of 2 years and then subject to a </w:t>
            </w:r>
            <w:proofErr w:type="gramStart"/>
            <w:r w:rsidRPr="00034083">
              <w:rPr>
                <w:rFonts w:ascii="Arial" w:eastAsia="Times New Roman" w:hAnsi="Arial" w:cs="Arial"/>
                <w:sz w:val="15"/>
                <w:szCs w:val="15"/>
                <w:lang w:eastAsia="en-GB"/>
              </w:rPr>
              <w:t>long term</w:t>
            </w:r>
            <w:proofErr w:type="gramEnd"/>
            <w:r w:rsidRPr="00034083">
              <w:rPr>
                <w:rFonts w:ascii="Arial" w:eastAsia="Times New Roman" w:hAnsi="Arial" w:cs="Arial"/>
                <w:sz w:val="15"/>
                <w:szCs w:val="15"/>
                <w:lang w:eastAsia="en-GB"/>
              </w:rPr>
              <w:t xml:space="preserve"> growth rate of 1.9% (2020: 0%)</w:t>
            </w:r>
            <w:r w:rsidR="002038F4">
              <w:rPr>
                <w:rFonts w:ascii="Arial" w:eastAsia="Times New Roman" w:hAnsi="Arial" w:cs="Arial"/>
                <w:sz w:val="15"/>
                <w:szCs w:val="15"/>
                <w:lang w:eastAsia="en-GB"/>
              </w:rPr>
              <w:t xml:space="preserve"> </w:t>
            </w:r>
            <w:r w:rsidRPr="00034083">
              <w:rPr>
                <w:rFonts w:ascii="Arial" w:eastAsia="Times New Roman" w:hAnsi="Arial" w:cs="Arial"/>
                <w:sz w:val="15"/>
                <w:szCs w:val="15"/>
                <w:lang w:eastAsia="en-GB"/>
              </w:rPr>
              <w:t xml:space="preserve">reflecting the UK’s long-term post war growth rate which is in-line with industry norms for the period of the lease. Where lease terms are shorter than this, the remaining lease terms have been used. Perpetuities are included in cash flows with 0% growth (2020: 0%) where stores are expected to be operated beyond their current lease term. </w:t>
            </w:r>
            <w:r w:rsidRPr="00034083">
              <w:rPr>
                <w:rFonts w:ascii="Arial" w:eastAsia="Times New Roman" w:hAnsi="Arial" w:cs="Arial"/>
                <w:sz w:val="15"/>
                <w:szCs w:val="15"/>
                <w:lang w:eastAsia="en-GB"/>
              </w:rPr>
              <w:br/>
            </w:r>
            <w:r w:rsidRPr="00034083">
              <w:rPr>
                <w:rFonts w:ascii="Arial" w:eastAsia="Times New Roman" w:hAnsi="Arial" w:cs="Arial"/>
                <w:sz w:val="15"/>
                <w:szCs w:val="15"/>
                <w:lang w:eastAsia="en-GB"/>
              </w:rPr>
              <w:br/>
              <w:t>Cash flows include estimated store capital maintenance costs based on the square footage of the store.</w:t>
            </w:r>
            <w:r w:rsidRPr="00034083">
              <w:rPr>
                <w:rFonts w:ascii="Arial" w:eastAsia="Times New Roman" w:hAnsi="Arial" w:cs="Arial"/>
                <w:sz w:val="15"/>
                <w:szCs w:val="15"/>
                <w:lang w:eastAsia="en-GB"/>
              </w:rPr>
              <w:br/>
            </w:r>
            <w:r w:rsidRPr="00034083">
              <w:rPr>
                <w:rFonts w:ascii="Arial" w:eastAsia="Times New Roman" w:hAnsi="Arial" w:cs="Arial"/>
                <w:sz w:val="15"/>
                <w:szCs w:val="15"/>
                <w:lang w:eastAsia="en-GB"/>
              </w:rPr>
              <w:br/>
              <w:t xml:space="preserve">The Group is currently working to identify the physical risk to our business and supply chains from the changing climate, along with the potential impact of policy, </w:t>
            </w:r>
            <w:proofErr w:type="gramStart"/>
            <w:r w:rsidRPr="00034083">
              <w:rPr>
                <w:rFonts w:ascii="Arial" w:eastAsia="Times New Roman" w:hAnsi="Arial" w:cs="Arial"/>
                <w:sz w:val="15"/>
                <w:szCs w:val="15"/>
                <w:lang w:eastAsia="en-GB"/>
              </w:rPr>
              <w:t>technology</w:t>
            </w:r>
            <w:proofErr w:type="gramEnd"/>
            <w:r w:rsidRPr="00034083">
              <w:rPr>
                <w:rFonts w:ascii="Arial" w:eastAsia="Times New Roman" w:hAnsi="Arial" w:cs="Arial"/>
                <w:sz w:val="15"/>
                <w:szCs w:val="15"/>
                <w:lang w:eastAsia="en-GB"/>
              </w:rPr>
              <w:t xml:space="preserve"> and market changes as we transition to a lower carbon future. This is a developing area with inherent uncertainty which is constantly evolving. The work being undertaken will help inform our overall response to the risks and opportunities that are identified. Our assessment of the impact of climate</w:t>
            </w:r>
            <w:r w:rsidR="008469D8">
              <w:rPr>
                <w:rFonts w:ascii="Arial" w:eastAsia="Times New Roman" w:hAnsi="Arial" w:cs="Arial"/>
                <w:sz w:val="15"/>
                <w:szCs w:val="15"/>
                <w:lang w:eastAsia="en-GB"/>
              </w:rPr>
              <w:t xml:space="preserve"> </w:t>
            </w:r>
            <w:r w:rsidRPr="00034083">
              <w:rPr>
                <w:rFonts w:ascii="Arial" w:eastAsia="Times New Roman" w:hAnsi="Arial" w:cs="Arial"/>
                <w:sz w:val="15"/>
                <w:szCs w:val="15"/>
                <w:lang w:eastAsia="en-GB"/>
              </w:rPr>
              <w:t>related risk and related expenditure is reflected in the financial models and plans and will continue to be monitored in future periods.</w:t>
            </w:r>
          </w:p>
        </w:tc>
        <w:tc>
          <w:tcPr>
            <w:tcW w:w="4708" w:type="dxa"/>
            <w:gridSpan w:val="8"/>
            <w:tcBorders>
              <w:top w:val="single" w:sz="4" w:space="0" w:color="BFBFBF"/>
              <w:left w:val="single" w:sz="4" w:space="0" w:color="BFBFBF"/>
              <w:bottom w:val="single" w:sz="4" w:space="0" w:color="BFBFBF"/>
              <w:right w:val="single" w:sz="4" w:space="0" w:color="BFBFBF"/>
            </w:tcBorders>
            <w:shd w:val="clear" w:color="000000" w:fill="FFFFFF"/>
            <w:hideMark/>
          </w:tcPr>
          <w:p w14:paraId="6EBC37F5" w14:textId="77777777" w:rsidR="00034083" w:rsidRPr="00034083" w:rsidRDefault="00034083" w:rsidP="00034083">
            <w:pPr>
              <w:spacing w:after="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xml:space="preserve">Future cash flows derived from Board approved three-year plan cash flow projections. </w:t>
            </w:r>
            <w:r w:rsidRPr="00034083">
              <w:rPr>
                <w:rFonts w:ascii="Arial" w:eastAsia="Times New Roman" w:hAnsi="Arial" w:cs="Arial"/>
                <w:sz w:val="15"/>
                <w:szCs w:val="15"/>
                <w:lang w:eastAsia="en-GB"/>
              </w:rPr>
              <w:br/>
            </w:r>
            <w:r w:rsidRPr="00034083">
              <w:rPr>
                <w:rFonts w:ascii="Arial" w:eastAsia="Times New Roman" w:hAnsi="Arial" w:cs="Arial"/>
                <w:sz w:val="15"/>
                <w:szCs w:val="15"/>
                <w:lang w:eastAsia="en-GB"/>
              </w:rPr>
              <w:br/>
              <w:t xml:space="preserve">These cash flows are extrapolated over the remaining lease term for leasehold properties or into perpetuity for freehold properties. Perpetuities included in cash flows where the Hub is expected to be operational beyond its current lease terms. A growth rate of 1.9% (2020: 0%) is applied beyond Board approved three-year plan horizon (reflecting the UK’s long-term, post-war growth rate, which is in line with industry norms).        </w:t>
            </w:r>
            <w:r w:rsidRPr="00034083">
              <w:rPr>
                <w:rFonts w:ascii="Arial" w:eastAsia="Times New Roman" w:hAnsi="Arial" w:cs="Arial"/>
                <w:sz w:val="15"/>
                <w:szCs w:val="15"/>
                <w:lang w:eastAsia="en-GB"/>
              </w:rPr>
              <w:br/>
            </w:r>
            <w:r w:rsidRPr="00034083">
              <w:rPr>
                <w:rFonts w:ascii="Arial" w:eastAsia="Times New Roman" w:hAnsi="Arial" w:cs="Arial"/>
                <w:sz w:val="15"/>
                <w:szCs w:val="15"/>
                <w:lang w:eastAsia="en-GB"/>
              </w:rPr>
              <w:br/>
              <w:t xml:space="preserve">The Group is currently working to identify the physical risk to our business and supply chains from the changing climate, along with the potential impact of policy, </w:t>
            </w:r>
            <w:proofErr w:type="gramStart"/>
            <w:r w:rsidRPr="00034083">
              <w:rPr>
                <w:rFonts w:ascii="Arial" w:eastAsia="Times New Roman" w:hAnsi="Arial" w:cs="Arial"/>
                <w:sz w:val="15"/>
                <w:szCs w:val="15"/>
                <w:lang w:eastAsia="en-GB"/>
              </w:rPr>
              <w:t>technology</w:t>
            </w:r>
            <w:proofErr w:type="gramEnd"/>
            <w:r w:rsidRPr="00034083">
              <w:rPr>
                <w:rFonts w:ascii="Arial" w:eastAsia="Times New Roman" w:hAnsi="Arial" w:cs="Arial"/>
                <w:sz w:val="15"/>
                <w:szCs w:val="15"/>
                <w:lang w:eastAsia="en-GB"/>
              </w:rPr>
              <w:t xml:space="preserve"> and market changes as we transition to a lower carbon future. This is a developing area with inherent uncertainty which is constantly evolving. The work being undertaken will help inform our overall response to the risks and opportunities that are identified. Our assessment of the impact of climate related risk and related expenditure is reflected in the financial models and plans and will continue to be monitored in future periods. </w:t>
            </w:r>
          </w:p>
        </w:tc>
      </w:tr>
      <w:tr w:rsidR="00034083" w:rsidRPr="00034083" w14:paraId="58DC4E45" w14:textId="77777777" w:rsidTr="00034083">
        <w:trPr>
          <w:trHeight w:val="4103"/>
        </w:trPr>
        <w:tc>
          <w:tcPr>
            <w:tcW w:w="1554" w:type="dxa"/>
            <w:tcBorders>
              <w:top w:val="single" w:sz="4" w:space="0" w:color="BFBFBF"/>
              <w:left w:val="single" w:sz="4" w:space="0" w:color="BFBFBF"/>
              <w:bottom w:val="single" w:sz="4" w:space="0" w:color="BFBFBF"/>
              <w:right w:val="nil"/>
            </w:tcBorders>
            <w:shd w:val="clear" w:color="000000" w:fill="FFFFFF"/>
            <w:vAlign w:val="center"/>
            <w:hideMark/>
          </w:tcPr>
          <w:p w14:paraId="4B90F9EF" w14:textId="77777777" w:rsidR="00034083" w:rsidRPr="00034083" w:rsidRDefault="00034083" w:rsidP="00034083">
            <w:pPr>
              <w:spacing w:after="0" w:line="240" w:lineRule="auto"/>
              <w:rPr>
                <w:rFonts w:ascii="Arial" w:eastAsia="Times New Roman" w:hAnsi="Arial" w:cs="Arial"/>
                <w:b/>
                <w:bCs/>
                <w:sz w:val="15"/>
                <w:szCs w:val="15"/>
                <w:lang w:eastAsia="en-GB"/>
              </w:rPr>
            </w:pPr>
            <w:r w:rsidRPr="00034083">
              <w:rPr>
                <w:rFonts w:ascii="Arial" w:eastAsia="Times New Roman" w:hAnsi="Arial" w:cs="Arial"/>
                <w:b/>
                <w:bCs/>
                <w:sz w:val="15"/>
                <w:szCs w:val="15"/>
                <w:lang w:eastAsia="en-GB"/>
              </w:rPr>
              <w:t>Discount rate</w:t>
            </w:r>
          </w:p>
        </w:tc>
        <w:tc>
          <w:tcPr>
            <w:tcW w:w="4258" w:type="dxa"/>
            <w:gridSpan w:val="3"/>
            <w:tcBorders>
              <w:top w:val="single" w:sz="4" w:space="0" w:color="BFBFBF"/>
              <w:left w:val="single" w:sz="4" w:space="0" w:color="BFBFBF"/>
              <w:bottom w:val="single" w:sz="4" w:space="0" w:color="BFBFBF"/>
              <w:right w:val="single" w:sz="4" w:space="0" w:color="BFBFBF"/>
            </w:tcBorders>
            <w:shd w:val="clear" w:color="000000" w:fill="FFFFFF"/>
            <w:hideMark/>
          </w:tcPr>
          <w:p w14:paraId="13D11C4B" w14:textId="77777777" w:rsidR="00034083" w:rsidRPr="00034083" w:rsidRDefault="00034083" w:rsidP="00034083">
            <w:pPr>
              <w:spacing w:after="24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xml:space="preserve">Post tax discount rate representing the Food segment's weighted average cost of capital (WACC), subsequently grossed up to a pre-tax rate of 7.3% (2021: 8.2%). </w:t>
            </w:r>
            <w:r w:rsidRPr="00034083">
              <w:rPr>
                <w:rFonts w:ascii="Arial" w:eastAsia="Times New Roman" w:hAnsi="Arial" w:cs="Arial"/>
                <w:sz w:val="15"/>
                <w:szCs w:val="15"/>
                <w:lang w:eastAsia="en-GB"/>
              </w:rPr>
              <w:br/>
            </w:r>
            <w:r w:rsidRPr="00034083">
              <w:rPr>
                <w:rFonts w:ascii="Arial" w:eastAsia="Times New Roman" w:hAnsi="Arial" w:cs="Arial"/>
                <w:sz w:val="15"/>
                <w:szCs w:val="15"/>
                <w:lang w:eastAsia="en-GB"/>
              </w:rPr>
              <w:br/>
              <w:t>Post tax WACC calculated using the capital asset pricing model.</w:t>
            </w:r>
            <w:r w:rsidRPr="00034083">
              <w:rPr>
                <w:rFonts w:ascii="Arial" w:eastAsia="Times New Roman" w:hAnsi="Arial" w:cs="Arial"/>
                <w:sz w:val="15"/>
                <w:szCs w:val="15"/>
                <w:lang w:eastAsia="en-GB"/>
              </w:rPr>
              <w:br/>
            </w:r>
            <w:r w:rsidRPr="00034083">
              <w:rPr>
                <w:rFonts w:ascii="Arial" w:eastAsia="Times New Roman" w:hAnsi="Arial" w:cs="Arial"/>
                <w:sz w:val="15"/>
                <w:szCs w:val="15"/>
                <w:lang w:eastAsia="en-GB"/>
              </w:rPr>
              <w:br/>
              <w:t>Certain inputs into the capital asset pricing model are not readily available for non-listed entities. As such, certain inputs have been obtained from industry benchmarks which carries a measure of estimation uncertainty. However, as discussed in the sensitivity section below, this estimation uncertainty level is not deemed to be material.</w:t>
            </w:r>
            <w:r w:rsidRPr="00034083">
              <w:rPr>
                <w:rFonts w:ascii="Arial" w:eastAsia="Times New Roman" w:hAnsi="Arial" w:cs="Arial"/>
                <w:sz w:val="15"/>
                <w:szCs w:val="15"/>
                <w:lang w:eastAsia="en-GB"/>
              </w:rPr>
              <w:br/>
            </w:r>
            <w:r w:rsidRPr="00034083">
              <w:rPr>
                <w:rFonts w:ascii="Arial" w:eastAsia="Times New Roman" w:hAnsi="Arial" w:cs="Arial"/>
                <w:sz w:val="15"/>
                <w:szCs w:val="15"/>
                <w:lang w:eastAsia="en-GB"/>
              </w:rPr>
              <w:br/>
              <w:t>In each of the current and comparative years, sensitivity analysis has been performed in relation to our store impairment testing, testing for a 1% increase in discount rate and a decrease in growth to minus 1%; within both these sensitivities no additional material impairment was calculated. The sensitivity analysis performed considers reasonably possible changes in the discount rate and growth rate assumptions.</w:t>
            </w:r>
          </w:p>
        </w:tc>
        <w:tc>
          <w:tcPr>
            <w:tcW w:w="4708" w:type="dxa"/>
            <w:gridSpan w:val="8"/>
            <w:tcBorders>
              <w:top w:val="single" w:sz="4" w:space="0" w:color="BFBFBF"/>
              <w:left w:val="nil"/>
              <w:bottom w:val="single" w:sz="4" w:space="0" w:color="BFBFBF"/>
              <w:right w:val="single" w:sz="4" w:space="0" w:color="BFBFBF"/>
            </w:tcBorders>
            <w:shd w:val="clear" w:color="000000" w:fill="FFFFFF"/>
            <w:hideMark/>
          </w:tcPr>
          <w:p w14:paraId="58373440" w14:textId="77777777" w:rsidR="00034083" w:rsidRPr="00034083" w:rsidRDefault="00034083" w:rsidP="00034083">
            <w:pPr>
              <w:spacing w:after="0" w:line="240" w:lineRule="auto"/>
              <w:rPr>
                <w:rFonts w:ascii="Arial" w:eastAsia="Times New Roman" w:hAnsi="Arial" w:cs="Arial"/>
                <w:sz w:val="15"/>
                <w:szCs w:val="15"/>
                <w:lang w:eastAsia="en-GB"/>
              </w:rPr>
            </w:pPr>
            <w:r w:rsidRPr="00034083">
              <w:rPr>
                <w:rFonts w:ascii="Arial" w:eastAsia="Times New Roman" w:hAnsi="Arial" w:cs="Arial"/>
                <w:sz w:val="15"/>
                <w:szCs w:val="15"/>
                <w:lang w:eastAsia="en-GB"/>
              </w:rPr>
              <w:t xml:space="preserve">Post tax discount rate representing the Funeralcare segment's weighted average cost of capital (WACC), subsequently grossed up to a pre-tax rate of 9.5% (2020: 8.2%). </w:t>
            </w:r>
            <w:r w:rsidRPr="00034083">
              <w:rPr>
                <w:rFonts w:ascii="Arial" w:eastAsia="Times New Roman" w:hAnsi="Arial" w:cs="Arial"/>
                <w:sz w:val="15"/>
                <w:szCs w:val="15"/>
                <w:lang w:eastAsia="en-GB"/>
              </w:rPr>
              <w:br/>
            </w:r>
            <w:r w:rsidRPr="00034083">
              <w:rPr>
                <w:rFonts w:ascii="Arial" w:eastAsia="Times New Roman" w:hAnsi="Arial" w:cs="Arial"/>
                <w:sz w:val="15"/>
                <w:szCs w:val="15"/>
                <w:lang w:eastAsia="en-GB"/>
              </w:rPr>
              <w:br/>
              <w:t>Post tax WACC calculated using the capital asset pricing model.</w:t>
            </w:r>
            <w:r w:rsidRPr="00034083">
              <w:rPr>
                <w:rFonts w:ascii="Arial" w:eastAsia="Times New Roman" w:hAnsi="Arial" w:cs="Arial"/>
                <w:sz w:val="15"/>
                <w:szCs w:val="15"/>
                <w:lang w:eastAsia="en-GB"/>
              </w:rPr>
              <w:br/>
            </w:r>
            <w:r w:rsidRPr="00034083">
              <w:rPr>
                <w:rFonts w:ascii="Arial" w:eastAsia="Times New Roman" w:hAnsi="Arial" w:cs="Arial"/>
                <w:sz w:val="15"/>
                <w:szCs w:val="15"/>
                <w:lang w:eastAsia="en-GB"/>
              </w:rPr>
              <w:br/>
              <w:t xml:space="preserve">Certain inputs into the capital asset pricing model are not readily available for non-listed entities. As such, certain inputs have been obtained from industry benchmarks which carries a measure of estimation uncertainty. However, as discussed in the sensitivity section below, this estimation uncertainty level is not deemed to be material. </w:t>
            </w:r>
            <w:r w:rsidRPr="00034083">
              <w:rPr>
                <w:rFonts w:ascii="Arial" w:eastAsia="Times New Roman" w:hAnsi="Arial" w:cs="Arial"/>
                <w:sz w:val="15"/>
                <w:szCs w:val="15"/>
                <w:lang w:eastAsia="en-GB"/>
              </w:rPr>
              <w:br/>
            </w:r>
            <w:r w:rsidRPr="00034083">
              <w:rPr>
                <w:rFonts w:ascii="Arial" w:eastAsia="Times New Roman" w:hAnsi="Arial" w:cs="Arial"/>
                <w:sz w:val="15"/>
                <w:szCs w:val="15"/>
                <w:lang w:eastAsia="en-GB"/>
              </w:rPr>
              <w:br/>
              <w:t>In each of the current and comparative years, sensitivity analysis has been performed in relation to our Funeralcare Hub impairment testing, testing for a 1% increase in discount rate and a decrease in growth to minus 1%; within both these sensitivities no additional material impairment was calculated. The sensitivity analysis performed considers reasonably possible changes in the discount rate and growth rate assumptions.</w:t>
            </w:r>
          </w:p>
        </w:tc>
      </w:tr>
    </w:tbl>
    <w:p w14:paraId="20039ABE" w14:textId="2A317077" w:rsidR="00BB64F8" w:rsidRDefault="00BB64F8" w:rsidP="00BB64F8"/>
    <w:p w14:paraId="45B452EE" w14:textId="3A84661B" w:rsidR="00EF6BD2" w:rsidRDefault="00EF6BD2" w:rsidP="00BB64F8"/>
    <w:tbl>
      <w:tblPr>
        <w:tblW w:w="10202" w:type="dxa"/>
        <w:tblLook w:val="04A0" w:firstRow="1" w:lastRow="0" w:firstColumn="1" w:lastColumn="0" w:noHBand="0" w:noVBand="1"/>
      </w:tblPr>
      <w:tblGrid>
        <w:gridCol w:w="2460"/>
        <w:gridCol w:w="860"/>
        <w:gridCol w:w="600"/>
        <w:gridCol w:w="600"/>
        <w:gridCol w:w="840"/>
        <w:gridCol w:w="1540"/>
        <w:gridCol w:w="1540"/>
        <w:gridCol w:w="1540"/>
        <w:gridCol w:w="222"/>
      </w:tblGrid>
      <w:tr w:rsidR="005A303B" w:rsidRPr="005A303B" w14:paraId="585018BE" w14:textId="77777777" w:rsidTr="00B45CA4">
        <w:trPr>
          <w:gridAfter w:val="1"/>
          <w:wAfter w:w="222" w:type="dxa"/>
          <w:trHeight w:val="255"/>
        </w:trPr>
        <w:tc>
          <w:tcPr>
            <w:tcW w:w="2460" w:type="dxa"/>
            <w:tcBorders>
              <w:top w:val="nil"/>
              <w:left w:val="nil"/>
              <w:bottom w:val="nil"/>
              <w:right w:val="nil"/>
            </w:tcBorders>
            <w:shd w:val="clear" w:color="000000" w:fill="FFFFFF"/>
            <w:noWrap/>
            <w:vAlign w:val="bottom"/>
            <w:hideMark/>
          </w:tcPr>
          <w:p w14:paraId="7D9CD409"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2    Supplier income</w:t>
            </w:r>
          </w:p>
        </w:tc>
        <w:tc>
          <w:tcPr>
            <w:tcW w:w="860" w:type="dxa"/>
            <w:tcBorders>
              <w:top w:val="nil"/>
              <w:left w:val="nil"/>
              <w:bottom w:val="nil"/>
              <w:right w:val="nil"/>
            </w:tcBorders>
            <w:shd w:val="clear" w:color="000000" w:fill="FFFFFF"/>
            <w:noWrap/>
            <w:vAlign w:val="bottom"/>
            <w:hideMark/>
          </w:tcPr>
          <w:p w14:paraId="047F5F33"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600" w:type="dxa"/>
            <w:tcBorders>
              <w:top w:val="nil"/>
              <w:left w:val="nil"/>
              <w:bottom w:val="nil"/>
              <w:right w:val="nil"/>
            </w:tcBorders>
            <w:shd w:val="clear" w:color="000000" w:fill="FFFFFF"/>
            <w:noWrap/>
            <w:vAlign w:val="bottom"/>
            <w:hideMark/>
          </w:tcPr>
          <w:p w14:paraId="2573D9CE"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600" w:type="dxa"/>
            <w:tcBorders>
              <w:top w:val="nil"/>
              <w:left w:val="nil"/>
              <w:bottom w:val="nil"/>
              <w:right w:val="nil"/>
            </w:tcBorders>
            <w:shd w:val="clear" w:color="000000" w:fill="FFFFFF"/>
            <w:noWrap/>
            <w:vAlign w:val="bottom"/>
            <w:hideMark/>
          </w:tcPr>
          <w:p w14:paraId="6877891A"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840" w:type="dxa"/>
            <w:tcBorders>
              <w:top w:val="nil"/>
              <w:left w:val="nil"/>
              <w:bottom w:val="nil"/>
              <w:right w:val="nil"/>
            </w:tcBorders>
            <w:shd w:val="clear" w:color="000000" w:fill="FFFFFF"/>
            <w:noWrap/>
            <w:vAlign w:val="bottom"/>
            <w:hideMark/>
          </w:tcPr>
          <w:p w14:paraId="4CD39F68"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1540" w:type="dxa"/>
            <w:tcBorders>
              <w:top w:val="nil"/>
              <w:left w:val="nil"/>
              <w:bottom w:val="nil"/>
              <w:right w:val="nil"/>
            </w:tcBorders>
            <w:shd w:val="clear" w:color="000000" w:fill="FFFFFF"/>
            <w:noWrap/>
            <w:vAlign w:val="bottom"/>
            <w:hideMark/>
          </w:tcPr>
          <w:p w14:paraId="6D97475F"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1540" w:type="dxa"/>
            <w:tcBorders>
              <w:top w:val="nil"/>
              <w:left w:val="nil"/>
              <w:bottom w:val="nil"/>
              <w:right w:val="nil"/>
            </w:tcBorders>
            <w:shd w:val="clear" w:color="000000" w:fill="FFFFFF"/>
            <w:noWrap/>
            <w:vAlign w:val="bottom"/>
            <w:hideMark/>
          </w:tcPr>
          <w:p w14:paraId="5F9A0B9C"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nil"/>
              <w:right w:val="nil"/>
            </w:tcBorders>
            <w:shd w:val="clear" w:color="000000" w:fill="FFFFFF"/>
            <w:noWrap/>
            <w:vAlign w:val="bottom"/>
            <w:hideMark/>
          </w:tcPr>
          <w:p w14:paraId="33BC4281"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r>
      <w:tr w:rsidR="005A303B" w:rsidRPr="005A303B" w14:paraId="394F0D95" w14:textId="77777777" w:rsidTr="00B45CA4">
        <w:trPr>
          <w:gridAfter w:val="1"/>
          <w:wAfter w:w="222" w:type="dxa"/>
          <w:trHeight w:val="180"/>
        </w:trPr>
        <w:tc>
          <w:tcPr>
            <w:tcW w:w="2460" w:type="dxa"/>
            <w:tcBorders>
              <w:top w:val="nil"/>
              <w:left w:val="nil"/>
              <w:bottom w:val="nil"/>
              <w:right w:val="nil"/>
            </w:tcBorders>
            <w:shd w:val="clear" w:color="000000" w:fill="FFFFFF"/>
            <w:noWrap/>
            <w:vAlign w:val="bottom"/>
            <w:hideMark/>
          </w:tcPr>
          <w:p w14:paraId="13D20E9D"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860" w:type="dxa"/>
            <w:tcBorders>
              <w:top w:val="nil"/>
              <w:left w:val="nil"/>
              <w:bottom w:val="nil"/>
              <w:right w:val="nil"/>
            </w:tcBorders>
            <w:shd w:val="clear" w:color="000000" w:fill="FFFFFF"/>
            <w:noWrap/>
            <w:vAlign w:val="bottom"/>
            <w:hideMark/>
          </w:tcPr>
          <w:p w14:paraId="7C874B7D"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600" w:type="dxa"/>
            <w:tcBorders>
              <w:top w:val="nil"/>
              <w:left w:val="nil"/>
              <w:bottom w:val="nil"/>
              <w:right w:val="nil"/>
            </w:tcBorders>
            <w:shd w:val="clear" w:color="000000" w:fill="FFFFFF"/>
            <w:noWrap/>
            <w:vAlign w:val="bottom"/>
            <w:hideMark/>
          </w:tcPr>
          <w:p w14:paraId="6D67EBED"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600" w:type="dxa"/>
            <w:tcBorders>
              <w:top w:val="nil"/>
              <w:left w:val="nil"/>
              <w:bottom w:val="nil"/>
              <w:right w:val="nil"/>
            </w:tcBorders>
            <w:shd w:val="clear" w:color="000000" w:fill="FFFFFF"/>
            <w:noWrap/>
            <w:vAlign w:val="bottom"/>
            <w:hideMark/>
          </w:tcPr>
          <w:p w14:paraId="46D2C421"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840" w:type="dxa"/>
            <w:tcBorders>
              <w:top w:val="nil"/>
              <w:left w:val="nil"/>
              <w:bottom w:val="nil"/>
              <w:right w:val="nil"/>
            </w:tcBorders>
            <w:shd w:val="clear" w:color="000000" w:fill="FFFFFF"/>
            <w:noWrap/>
            <w:vAlign w:val="bottom"/>
            <w:hideMark/>
          </w:tcPr>
          <w:p w14:paraId="1EBB0885"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1540" w:type="dxa"/>
            <w:tcBorders>
              <w:top w:val="nil"/>
              <w:left w:val="nil"/>
              <w:bottom w:val="nil"/>
              <w:right w:val="nil"/>
            </w:tcBorders>
            <w:shd w:val="clear" w:color="000000" w:fill="FFFFFF"/>
            <w:noWrap/>
            <w:vAlign w:val="bottom"/>
            <w:hideMark/>
          </w:tcPr>
          <w:p w14:paraId="0842AAB0"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1540" w:type="dxa"/>
            <w:tcBorders>
              <w:top w:val="nil"/>
              <w:left w:val="nil"/>
              <w:bottom w:val="nil"/>
              <w:right w:val="nil"/>
            </w:tcBorders>
            <w:shd w:val="clear" w:color="000000" w:fill="FFFFFF"/>
            <w:noWrap/>
            <w:vAlign w:val="bottom"/>
            <w:hideMark/>
          </w:tcPr>
          <w:p w14:paraId="009AE9A6"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nil"/>
              <w:right w:val="nil"/>
            </w:tcBorders>
            <w:shd w:val="clear" w:color="000000" w:fill="FFFFFF"/>
            <w:noWrap/>
            <w:vAlign w:val="bottom"/>
            <w:hideMark/>
          </w:tcPr>
          <w:p w14:paraId="52023243"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r>
      <w:tr w:rsidR="005A303B" w:rsidRPr="005A303B" w14:paraId="3C352214" w14:textId="77777777" w:rsidTr="00B45CA4">
        <w:trPr>
          <w:gridAfter w:val="1"/>
          <w:wAfter w:w="222" w:type="dxa"/>
          <w:trHeight w:val="450"/>
        </w:trPr>
        <w:tc>
          <w:tcPr>
            <w:tcW w:w="9980" w:type="dxa"/>
            <w:gridSpan w:val="8"/>
            <w:vMerge w:val="restart"/>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28C8D8E2" w14:textId="77777777" w:rsidR="005A303B" w:rsidRPr="005A303B" w:rsidRDefault="005A303B" w:rsidP="005A303B">
            <w:pPr>
              <w:spacing w:after="0" w:line="240" w:lineRule="auto"/>
              <w:rPr>
                <w:rFonts w:ascii="Arial" w:eastAsia="Times New Roman" w:hAnsi="Arial" w:cs="Arial"/>
                <w:sz w:val="18"/>
                <w:szCs w:val="18"/>
                <w:lang w:eastAsia="en-GB"/>
              </w:rPr>
            </w:pPr>
            <w:r w:rsidRPr="005A303B">
              <w:rPr>
                <w:rFonts w:ascii="Arial" w:eastAsia="Times New Roman" w:hAnsi="Arial" w:cs="Arial"/>
                <w:b/>
                <w:bCs/>
                <w:sz w:val="18"/>
                <w:szCs w:val="18"/>
                <w:lang w:eastAsia="en-GB"/>
              </w:rPr>
              <w:t>What does this show?</w:t>
            </w:r>
            <w:r w:rsidRPr="005A303B">
              <w:rPr>
                <w:rFonts w:ascii="Arial" w:eastAsia="Times New Roman" w:hAnsi="Arial" w:cs="Arial"/>
                <w:sz w:val="18"/>
                <w:szCs w:val="18"/>
                <w:lang w:eastAsia="en-GB"/>
              </w:rPr>
              <w:t xml:space="preserve"> Sometimes our suppliers give us money back based on the amount of their products we buy and sell. This note shows the different types of income we've received from our suppliers based on the contracts we have in place with them. This income is taken off operating expenses in the income statement.</w:t>
            </w:r>
          </w:p>
        </w:tc>
      </w:tr>
      <w:tr w:rsidR="005A303B" w:rsidRPr="005A303B" w14:paraId="7E287DCB" w14:textId="77777777" w:rsidTr="00B45CA4">
        <w:trPr>
          <w:trHeight w:val="270"/>
        </w:trPr>
        <w:tc>
          <w:tcPr>
            <w:tcW w:w="9980" w:type="dxa"/>
            <w:gridSpan w:val="8"/>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5D693A25" w14:textId="77777777" w:rsidR="005A303B" w:rsidRPr="005A303B" w:rsidRDefault="005A303B" w:rsidP="005A303B">
            <w:pPr>
              <w:spacing w:after="0" w:line="240" w:lineRule="auto"/>
              <w:rPr>
                <w:rFonts w:ascii="Arial" w:eastAsia="Times New Roman" w:hAnsi="Arial" w:cs="Arial"/>
                <w:sz w:val="18"/>
                <w:szCs w:val="18"/>
                <w:lang w:eastAsia="en-GB"/>
              </w:rPr>
            </w:pPr>
          </w:p>
        </w:tc>
        <w:tc>
          <w:tcPr>
            <w:tcW w:w="222" w:type="dxa"/>
            <w:tcBorders>
              <w:top w:val="nil"/>
              <w:left w:val="nil"/>
              <w:bottom w:val="nil"/>
              <w:right w:val="nil"/>
            </w:tcBorders>
            <w:shd w:val="clear" w:color="auto" w:fill="auto"/>
            <w:noWrap/>
            <w:vAlign w:val="bottom"/>
            <w:hideMark/>
          </w:tcPr>
          <w:p w14:paraId="28E89853" w14:textId="77777777" w:rsidR="005A303B" w:rsidRPr="005A303B" w:rsidRDefault="005A303B" w:rsidP="005A303B">
            <w:pPr>
              <w:spacing w:after="0" w:line="240" w:lineRule="auto"/>
              <w:rPr>
                <w:rFonts w:ascii="Arial" w:eastAsia="Times New Roman" w:hAnsi="Arial" w:cs="Arial"/>
                <w:sz w:val="18"/>
                <w:szCs w:val="18"/>
                <w:lang w:eastAsia="en-GB"/>
              </w:rPr>
            </w:pPr>
          </w:p>
        </w:tc>
      </w:tr>
      <w:tr w:rsidR="005A303B" w:rsidRPr="005A303B" w14:paraId="46346A06" w14:textId="77777777" w:rsidTr="00B45CA4">
        <w:trPr>
          <w:trHeight w:val="270"/>
        </w:trPr>
        <w:tc>
          <w:tcPr>
            <w:tcW w:w="9980" w:type="dxa"/>
            <w:gridSpan w:val="8"/>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726EC62F" w14:textId="77777777" w:rsidR="005A303B" w:rsidRPr="005A303B" w:rsidRDefault="005A303B" w:rsidP="005A303B">
            <w:pPr>
              <w:spacing w:after="0" w:line="240" w:lineRule="auto"/>
              <w:rPr>
                <w:rFonts w:ascii="Arial" w:eastAsia="Times New Roman" w:hAnsi="Arial" w:cs="Arial"/>
                <w:sz w:val="18"/>
                <w:szCs w:val="18"/>
                <w:lang w:eastAsia="en-GB"/>
              </w:rPr>
            </w:pPr>
          </w:p>
        </w:tc>
        <w:tc>
          <w:tcPr>
            <w:tcW w:w="222" w:type="dxa"/>
            <w:tcBorders>
              <w:top w:val="nil"/>
              <w:left w:val="nil"/>
              <w:bottom w:val="nil"/>
              <w:right w:val="nil"/>
            </w:tcBorders>
            <w:shd w:val="clear" w:color="auto" w:fill="auto"/>
            <w:noWrap/>
            <w:vAlign w:val="bottom"/>
            <w:hideMark/>
          </w:tcPr>
          <w:p w14:paraId="1EB5F994"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122190CC" w14:textId="77777777" w:rsidTr="00B45CA4">
        <w:trPr>
          <w:trHeight w:val="240"/>
        </w:trPr>
        <w:tc>
          <w:tcPr>
            <w:tcW w:w="2460" w:type="dxa"/>
            <w:tcBorders>
              <w:top w:val="nil"/>
              <w:left w:val="nil"/>
              <w:bottom w:val="single" w:sz="4" w:space="0" w:color="BFBFBF"/>
              <w:right w:val="nil"/>
            </w:tcBorders>
            <w:shd w:val="clear" w:color="000000" w:fill="FFFFFF"/>
            <w:noWrap/>
            <w:vAlign w:val="bottom"/>
            <w:hideMark/>
          </w:tcPr>
          <w:p w14:paraId="63D4380D"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860" w:type="dxa"/>
            <w:tcBorders>
              <w:top w:val="nil"/>
              <w:left w:val="nil"/>
              <w:bottom w:val="single" w:sz="4" w:space="0" w:color="BFBFBF"/>
              <w:right w:val="nil"/>
            </w:tcBorders>
            <w:shd w:val="clear" w:color="000000" w:fill="FFFFFF"/>
            <w:noWrap/>
            <w:vAlign w:val="bottom"/>
            <w:hideMark/>
          </w:tcPr>
          <w:p w14:paraId="5F773CB0"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600" w:type="dxa"/>
            <w:tcBorders>
              <w:top w:val="nil"/>
              <w:left w:val="nil"/>
              <w:bottom w:val="single" w:sz="4" w:space="0" w:color="BFBFBF"/>
              <w:right w:val="nil"/>
            </w:tcBorders>
            <w:shd w:val="clear" w:color="000000" w:fill="FFFFFF"/>
            <w:noWrap/>
            <w:vAlign w:val="bottom"/>
            <w:hideMark/>
          </w:tcPr>
          <w:p w14:paraId="7C601057"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600" w:type="dxa"/>
            <w:tcBorders>
              <w:top w:val="nil"/>
              <w:left w:val="nil"/>
              <w:bottom w:val="single" w:sz="4" w:space="0" w:color="BFBFBF"/>
              <w:right w:val="nil"/>
            </w:tcBorders>
            <w:shd w:val="clear" w:color="000000" w:fill="FFFFFF"/>
            <w:noWrap/>
            <w:vAlign w:val="bottom"/>
            <w:hideMark/>
          </w:tcPr>
          <w:p w14:paraId="0C5FC2BC"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840" w:type="dxa"/>
            <w:tcBorders>
              <w:top w:val="nil"/>
              <w:left w:val="nil"/>
              <w:bottom w:val="single" w:sz="4" w:space="0" w:color="BFBFBF"/>
              <w:right w:val="nil"/>
            </w:tcBorders>
            <w:shd w:val="clear" w:color="000000" w:fill="FFFFFF"/>
            <w:noWrap/>
            <w:vAlign w:val="bottom"/>
            <w:hideMark/>
          </w:tcPr>
          <w:p w14:paraId="50BE53C7"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1540" w:type="dxa"/>
            <w:tcBorders>
              <w:top w:val="nil"/>
              <w:left w:val="nil"/>
              <w:bottom w:val="single" w:sz="4" w:space="0" w:color="BFBFBF"/>
              <w:right w:val="nil"/>
            </w:tcBorders>
            <w:shd w:val="clear" w:color="000000" w:fill="FFFFFF"/>
            <w:noWrap/>
            <w:vAlign w:val="bottom"/>
            <w:hideMark/>
          </w:tcPr>
          <w:p w14:paraId="30A0DCF3"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1540" w:type="dxa"/>
            <w:tcBorders>
              <w:top w:val="nil"/>
              <w:left w:val="nil"/>
              <w:bottom w:val="single" w:sz="4" w:space="0" w:color="BFBFBF"/>
              <w:right w:val="nil"/>
            </w:tcBorders>
            <w:shd w:val="clear" w:color="000000" w:fill="FFFFFF"/>
            <w:noWrap/>
            <w:vAlign w:val="bottom"/>
            <w:hideMark/>
          </w:tcPr>
          <w:p w14:paraId="26492015"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single" w:sz="4" w:space="0" w:color="BFBFBF"/>
              <w:right w:val="nil"/>
            </w:tcBorders>
            <w:shd w:val="clear" w:color="000000" w:fill="FFFFFF"/>
            <w:noWrap/>
            <w:vAlign w:val="bottom"/>
            <w:hideMark/>
          </w:tcPr>
          <w:p w14:paraId="5E609C3F"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222" w:type="dxa"/>
            <w:vAlign w:val="center"/>
            <w:hideMark/>
          </w:tcPr>
          <w:p w14:paraId="3B56F5D4"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63605D" w:rsidRPr="005A303B" w14:paraId="66E1DA6D" w14:textId="77777777" w:rsidTr="00B45CA4">
        <w:trPr>
          <w:trHeight w:val="560"/>
        </w:trPr>
        <w:tc>
          <w:tcPr>
            <w:tcW w:w="2460" w:type="dxa"/>
            <w:tcBorders>
              <w:top w:val="nil"/>
              <w:left w:val="single" w:sz="4" w:space="0" w:color="BFBFBF"/>
              <w:bottom w:val="nil"/>
              <w:right w:val="nil"/>
            </w:tcBorders>
            <w:shd w:val="clear" w:color="auto" w:fill="auto"/>
            <w:noWrap/>
            <w:vAlign w:val="center"/>
            <w:hideMark/>
          </w:tcPr>
          <w:p w14:paraId="2CBCA03A" w14:textId="77777777" w:rsidR="0063605D" w:rsidRPr="005A303B" w:rsidRDefault="0063605D" w:rsidP="0063605D">
            <w:pPr>
              <w:spacing w:after="0" w:line="240" w:lineRule="auto"/>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Supplier Income</w:t>
            </w:r>
          </w:p>
        </w:tc>
        <w:tc>
          <w:tcPr>
            <w:tcW w:w="860" w:type="dxa"/>
            <w:tcBorders>
              <w:top w:val="nil"/>
              <w:left w:val="nil"/>
              <w:bottom w:val="nil"/>
              <w:right w:val="nil"/>
            </w:tcBorders>
            <w:shd w:val="clear" w:color="auto" w:fill="auto"/>
            <w:noWrap/>
            <w:vAlign w:val="bottom"/>
            <w:hideMark/>
          </w:tcPr>
          <w:p w14:paraId="5B5B9ACC" w14:textId="77777777" w:rsidR="0063605D" w:rsidRPr="005A303B" w:rsidRDefault="0063605D" w:rsidP="0063605D">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 </w:t>
            </w:r>
          </w:p>
        </w:tc>
        <w:tc>
          <w:tcPr>
            <w:tcW w:w="600" w:type="dxa"/>
            <w:tcBorders>
              <w:top w:val="nil"/>
              <w:left w:val="nil"/>
              <w:bottom w:val="nil"/>
              <w:right w:val="nil"/>
            </w:tcBorders>
            <w:shd w:val="clear" w:color="auto" w:fill="auto"/>
            <w:noWrap/>
            <w:vAlign w:val="bottom"/>
            <w:hideMark/>
          </w:tcPr>
          <w:p w14:paraId="644E7A1F" w14:textId="77777777" w:rsidR="0063605D" w:rsidRPr="005A303B" w:rsidRDefault="0063605D" w:rsidP="0063605D">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auto" w:fill="auto"/>
            <w:noWrap/>
            <w:vAlign w:val="bottom"/>
            <w:hideMark/>
          </w:tcPr>
          <w:p w14:paraId="31AFD453" w14:textId="77777777" w:rsidR="0063605D" w:rsidRPr="005A303B" w:rsidRDefault="0063605D" w:rsidP="0063605D">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nil"/>
              <w:right w:val="nil"/>
            </w:tcBorders>
            <w:shd w:val="clear" w:color="auto" w:fill="auto"/>
            <w:noWrap/>
            <w:vAlign w:val="bottom"/>
            <w:hideMark/>
          </w:tcPr>
          <w:p w14:paraId="41713E8E" w14:textId="77777777" w:rsidR="0063605D" w:rsidRPr="005A303B" w:rsidRDefault="0063605D" w:rsidP="0063605D">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nil"/>
              <w:right w:val="nil"/>
            </w:tcBorders>
            <w:shd w:val="clear" w:color="auto" w:fill="auto"/>
            <w:hideMark/>
          </w:tcPr>
          <w:p w14:paraId="2DDEAC89" w14:textId="77777777" w:rsidR="0063605D" w:rsidRDefault="0063605D" w:rsidP="0063605D">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26 weeks ended </w:t>
            </w:r>
          </w:p>
          <w:p w14:paraId="528DCEFF" w14:textId="77777777" w:rsidR="0063605D" w:rsidRDefault="0063605D" w:rsidP="0063605D">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2 July </w:t>
            </w:r>
            <w:r w:rsidRPr="00D336A4">
              <w:rPr>
                <w:rFonts w:ascii="Arial" w:eastAsia="Times New Roman" w:hAnsi="Arial" w:cs="Arial"/>
                <w:b/>
                <w:bCs/>
                <w:sz w:val="15"/>
                <w:szCs w:val="15"/>
                <w:lang w:eastAsia="en-GB"/>
              </w:rPr>
              <w:t xml:space="preserve">2022 </w:t>
            </w:r>
          </w:p>
          <w:p w14:paraId="3079B596" w14:textId="254AF490" w:rsidR="0063605D" w:rsidRPr="005A303B" w:rsidRDefault="0063605D" w:rsidP="0063605D">
            <w:pPr>
              <w:spacing w:after="0" w:line="240" w:lineRule="auto"/>
              <w:jc w:val="right"/>
              <w:rPr>
                <w:rFonts w:ascii="Arial" w:eastAsia="Times New Roman" w:hAnsi="Arial" w:cs="Arial"/>
                <w:b/>
                <w:bCs/>
                <w:sz w:val="15"/>
                <w:szCs w:val="15"/>
                <w:lang w:eastAsia="en-GB"/>
              </w:rPr>
            </w:pPr>
            <w:r>
              <w:rPr>
                <w:rFonts w:ascii="Arial" w:eastAsia="Times New Roman" w:hAnsi="Arial" w:cs="Arial"/>
                <w:b/>
                <w:bCs/>
                <w:sz w:val="15"/>
                <w:szCs w:val="15"/>
                <w:lang w:eastAsia="en-GB"/>
              </w:rPr>
              <w:t xml:space="preserve">(unaudited) </w:t>
            </w:r>
          </w:p>
        </w:tc>
        <w:tc>
          <w:tcPr>
            <w:tcW w:w="1540" w:type="dxa"/>
            <w:tcBorders>
              <w:top w:val="nil"/>
              <w:left w:val="nil"/>
              <w:bottom w:val="nil"/>
              <w:right w:val="nil"/>
            </w:tcBorders>
            <w:shd w:val="clear" w:color="auto" w:fill="auto"/>
            <w:hideMark/>
          </w:tcPr>
          <w:p w14:paraId="7078865C" w14:textId="77777777" w:rsidR="0063605D" w:rsidRPr="003B079A" w:rsidRDefault="0063605D" w:rsidP="0063605D">
            <w:pPr>
              <w:spacing w:after="0" w:line="240" w:lineRule="auto"/>
              <w:jc w:val="right"/>
              <w:rPr>
                <w:rFonts w:ascii="Arial" w:eastAsia="Times New Roman" w:hAnsi="Arial" w:cs="Arial"/>
                <w:sz w:val="15"/>
                <w:szCs w:val="15"/>
                <w:lang w:eastAsia="en-GB"/>
              </w:rPr>
            </w:pPr>
            <w:r w:rsidRPr="003B079A">
              <w:rPr>
                <w:rFonts w:ascii="Arial" w:eastAsia="Times New Roman" w:hAnsi="Arial" w:cs="Arial"/>
                <w:sz w:val="15"/>
                <w:szCs w:val="15"/>
                <w:lang w:eastAsia="en-GB"/>
              </w:rPr>
              <w:t xml:space="preserve">26 weeks ended </w:t>
            </w:r>
          </w:p>
          <w:p w14:paraId="5AC76437" w14:textId="77777777" w:rsidR="0063605D" w:rsidRPr="003B079A" w:rsidRDefault="0063605D" w:rsidP="0063605D">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3</w:t>
            </w:r>
            <w:r w:rsidRPr="003B079A">
              <w:rPr>
                <w:rFonts w:ascii="Arial" w:eastAsia="Times New Roman" w:hAnsi="Arial" w:cs="Arial"/>
                <w:sz w:val="15"/>
                <w:szCs w:val="15"/>
                <w:lang w:eastAsia="en-GB"/>
              </w:rPr>
              <w:t xml:space="preserve"> July 202</w:t>
            </w:r>
            <w:r>
              <w:rPr>
                <w:rFonts w:ascii="Arial" w:eastAsia="Times New Roman" w:hAnsi="Arial" w:cs="Arial"/>
                <w:sz w:val="15"/>
                <w:szCs w:val="15"/>
                <w:lang w:eastAsia="en-GB"/>
              </w:rPr>
              <w:t>1</w:t>
            </w:r>
            <w:r w:rsidRPr="003B079A">
              <w:rPr>
                <w:rFonts w:ascii="Arial" w:eastAsia="Times New Roman" w:hAnsi="Arial" w:cs="Arial"/>
                <w:sz w:val="15"/>
                <w:szCs w:val="15"/>
                <w:lang w:eastAsia="en-GB"/>
              </w:rPr>
              <w:t xml:space="preserve"> </w:t>
            </w:r>
          </w:p>
          <w:p w14:paraId="483819D4" w14:textId="2E5C884B" w:rsidR="0063605D" w:rsidRPr="005A303B" w:rsidRDefault="0063605D" w:rsidP="0063605D">
            <w:pPr>
              <w:spacing w:after="0" w:line="240" w:lineRule="auto"/>
              <w:jc w:val="right"/>
              <w:rPr>
                <w:rFonts w:ascii="Arial" w:eastAsia="Times New Roman" w:hAnsi="Arial" w:cs="Arial"/>
                <w:sz w:val="15"/>
                <w:szCs w:val="15"/>
                <w:lang w:eastAsia="en-GB"/>
              </w:rPr>
            </w:pPr>
            <w:r w:rsidRPr="003B079A">
              <w:rPr>
                <w:rFonts w:ascii="Arial" w:eastAsia="Times New Roman" w:hAnsi="Arial" w:cs="Arial"/>
                <w:sz w:val="15"/>
                <w:szCs w:val="15"/>
                <w:lang w:eastAsia="en-GB"/>
              </w:rPr>
              <w:t xml:space="preserve">(unaudited) </w:t>
            </w:r>
          </w:p>
        </w:tc>
        <w:tc>
          <w:tcPr>
            <w:tcW w:w="1540" w:type="dxa"/>
            <w:tcBorders>
              <w:top w:val="nil"/>
              <w:left w:val="nil"/>
              <w:bottom w:val="nil"/>
              <w:right w:val="single" w:sz="4" w:space="0" w:color="BFBFBF"/>
            </w:tcBorders>
            <w:shd w:val="clear" w:color="auto" w:fill="auto"/>
            <w:hideMark/>
          </w:tcPr>
          <w:p w14:paraId="05DFE815" w14:textId="77777777" w:rsidR="0063605D" w:rsidRPr="003B079A" w:rsidRDefault="0063605D" w:rsidP="0063605D">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52</w:t>
            </w:r>
            <w:r w:rsidRPr="003B079A">
              <w:rPr>
                <w:rFonts w:ascii="Arial" w:eastAsia="Times New Roman" w:hAnsi="Arial" w:cs="Arial"/>
                <w:sz w:val="15"/>
                <w:szCs w:val="15"/>
                <w:lang w:eastAsia="en-GB"/>
              </w:rPr>
              <w:t xml:space="preserve"> weeks ended </w:t>
            </w:r>
          </w:p>
          <w:p w14:paraId="79D71783" w14:textId="77777777" w:rsidR="0063605D" w:rsidRPr="003B079A" w:rsidRDefault="0063605D" w:rsidP="0063605D">
            <w:pPr>
              <w:spacing w:after="0" w:line="240" w:lineRule="auto"/>
              <w:jc w:val="right"/>
              <w:rPr>
                <w:rFonts w:ascii="Arial" w:eastAsia="Times New Roman" w:hAnsi="Arial" w:cs="Arial"/>
                <w:sz w:val="15"/>
                <w:szCs w:val="15"/>
                <w:lang w:eastAsia="en-GB"/>
              </w:rPr>
            </w:pPr>
            <w:r>
              <w:rPr>
                <w:rFonts w:ascii="Arial" w:eastAsia="Times New Roman" w:hAnsi="Arial" w:cs="Arial"/>
                <w:sz w:val="15"/>
                <w:szCs w:val="15"/>
                <w:lang w:eastAsia="en-GB"/>
              </w:rPr>
              <w:t>1</w:t>
            </w:r>
            <w:r w:rsidRPr="003B079A">
              <w:rPr>
                <w:rFonts w:ascii="Arial" w:eastAsia="Times New Roman" w:hAnsi="Arial" w:cs="Arial"/>
                <w:sz w:val="15"/>
                <w:szCs w:val="15"/>
                <w:lang w:eastAsia="en-GB"/>
              </w:rPr>
              <w:t xml:space="preserve"> J</w:t>
            </w:r>
            <w:r>
              <w:rPr>
                <w:rFonts w:ascii="Arial" w:eastAsia="Times New Roman" w:hAnsi="Arial" w:cs="Arial"/>
                <w:sz w:val="15"/>
                <w:szCs w:val="15"/>
                <w:lang w:eastAsia="en-GB"/>
              </w:rPr>
              <w:t>anuary</w:t>
            </w:r>
            <w:r w:rsidRPr="003B079A">
              <w:rPr>
                <w:rFonts w:ascii="Arial" w:eastAsia="Times New Roman" w:hAnsi="Arial" w:cs="Arial"/>
                <w:sz w:val="15"/>
                <w:szCs w:val="15"/>
                <w:lang w:eastAsia="en-GB"/>
              </w:rPr>
              <w:t xml:space="preserve"> 202</w:t>
            </w:r>
            <w:r>
              <w:rPr>
                <w:rFonts w:ascii="Arial" w:eastAsia="Times New Roman" w:hAnsi="Arial" w:cs="Arial"/>
                <w:sz w:val="15"/>
                <w:szCs w:val="15"/>
                <w:lang w:eastAsia="en-GB"/>
              </w:rPr>
              <w:t>2</w:t>
            </w:r>
            <w:r w:rsidRPr="003B079A">
              <w:rPr>
                <w:rFonts w:ascii="Arial" w:eastAsia="Times New Roman" w:hAnsi="Arial" w:cs="Arial"/>
                <w:sz w:val="15"/>
                <w:szCs w:val="15"/>
                <w:lang w:eastAsia="en-GB"/>
              </w:rPr>
              <w:t xml:space="preserve"> </w:t>
            </w:r>
          </w:p>
          <w:p w14:paraId="2B43A7CB" w14:textId="4BADEB09" w:rsidR="0063605D" w:rsidRPr="005A303B" w:rsidRDefault="0063605D" w:rsidP="0063605D">
            <w:pPr>
              <w:spacing w:after="0" w:line="240" w:lineRule="auto"/>
              <w:jc w:val="right"/>
              <w:rPr>
                <w:rFonts w:ascii="Arial" w:eastAsia="Times New Roman" w:hAnsi="Arial" w:cs="Arial"/>
                <w:sz w:val="15"/>
                <w:szCs w:val="15"/>
                <w:lang w:eastAsia="en-GB"/>
              </w:rPr>
            </w:pPr>
            <w:r w:rsidRPr="003B079A">
              <w:rPr>
                <w:rFonts w:ascii="Arial" w:eastAsia="Times New Roman" w:hAnsi="Arial" w:cs="Arial"/>
                <w:sz w:val="15"/>
                <w:szCs w:val="15"/>
                <w:lang w:eastAsia="en-GB"/>
              </w:rPr>
              <w:t xml:space="preserve">(audited) </w:t>
            </w:r>
          </w:p>
        </w:tc>
        <w:tc>
          <w:tcPr>
            <w:tcW w:w="222" w:type="dxa"/>
            <w:vAlign w:val="center"/>
            <w:hideMark/>
          </w:tcPr>
          <w:p w14:paraId="5D88DF0D" w14:textId="77777777" w:rsidR="0063605D" w:rsidRPr="005A303B" w:rsidRDefault="0063605D" w:rsidP="0063605D">
            <w:pPr>
              <w:spacing w:after="0" w:line="240" w:lineRule="auto"/>
              <w:rPr>
                <w:rFonts w:ascii="Times New Roman" w:eastAsia="Times New Roman" w:hAnsi="Times New Roman" w:cs="Times New Roman"/>
                <w:sz w:val="20"/>
                <w:szCs w:val="20"/>
                <w:lang w:eastAsia="en-GB"/>
              </w:rPr>
            </w:pPr>
          </w:p>
        </w:tc>
      </w:tr>
      <w:tr w:rsidR="005A303B" w:rsidRPr="005A303B" w14:paraId="1D73F902" w14:textId="77777777" w:rsidTr="00B45CA4">
        <w:trPr>
          <w:trHeight w:val="222"/>
        </w:trPr>
        <w:tc>
          <w:tcPr>
            <w:tcW w:w="2460" w:type="dxa"/>
            <w:tcBorders>
              <w:top w:val="nil"/>
              <w:left w:val="single" w:sz="4" w:space="0" w:color="BFBFBF"/>
              <w:bottom w:val="single" w:sz="4" w:space="0" w:color="BFBFBF"/>
              <w:right w:val="nil"/>
            </w:tcBorders>
            <w:shd w:val="clear" w:color="auto" w:fill="auto"/>
            <w:noWrap/>
            <w:vAlign w:val="bottom"/>
            <w:hideMark/>
          </w:tcPr>
          <w:p w14:paraId="0185663C"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 </w:t>
            </w:r>
          </w:p>
        </w:tc>
        <w:tc>
          <w:tcPr>
            <w:tcW w:w="860" w:type="dxa"/>
            <w:tcBorders>
              <w:top w:val="nil"/>
              <w:left w:val="nil"/>
              <w:bottom w:val="single" w:sz="4" w:space="0" w:color="BFBFBF"/>
              <w:right w:val="nil"/>
            </w:tcBorders>
            <w:shd w:val="clear" w:color="auto" w:fill="auto"/>
            <w:noWrap/>
            <w:vAlign w:val="bottom"/>
            <w:hideMark/>
          </w:tcPr>
          <w:p w14:paraId="75AFCF14"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 </w:t>
            </w:r>
          </w:p>
        </w:tc>
        <w:tc>
          <w:tcPr>
            <w:tcW w:w="600" w:type="dxa"/>
            <w:tcBorders>
              <w:top w:val="nil"/>
              <w:left w:val="nil"/>
              <w:bottom w:val="single" w:sz="4" w:space="0" w:color="BFBFBF"/>
              <w:right w:val="nil"/>
            </w:tcBorders>
            <w:shd w:val="clear" w:color="auto" w:fill="auto"/>
            <w:noWrap/>
            <w:vAlign w:val="bottom"/>
            <w:hideMark/>
          </w:tcPr>
          <w:p w14:paraId="74A836D0"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 </w:t>
            </w:r>
          </w:p>
        </w:tc>
        <w:tc>
          <w:tcPr>
            <w:tcW w:w="600" w:type="dxa"/>
            <w:tcBorders>
              <w:top w:val="nil"/>
              <w:left w:val="nil"/>
              <w:bottom w:val="single" w:sz="4" w:space="0" w:color="BFBFBF"/>
              <w:right w:val="nil"/>
            </w:tcBorders>
            <w:shd w:val="clear" w:color="auto" w:fill="auto"/>
            <w:noWrap/>
            <w:vAlign w:val="bottom"/>
            <w:hideMark/>
          </w:tcPr>
          <w:p w14:paraId="744BBB60"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 </w:t>
            </w:r>
          </w:p>
        </w:tc>
        <w:tc>
          <w:tcPr>
            <w:tcW w:w="840" w:type="dxa"/>
            <w:tcBorders>
              <w:top w:val="nil"/>
              <w:left w:val="nil"/>
              <w:bottom w:val="single" w:sz="4" w:space="0" w:color="BFBFBF"/>
              <w:right w:val="nil"/>
            </w:tcBorders>
            <w:shd w:val="clear" w:color="auto" w:fill="auto"/>
            <w:noWrap/>
            <w:vAlign w:val="bottom"/>
            <w:hideMark/>
          </w:tcPr>
          <w:p w14:paraId="18604EC9"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 </w:t>
            </w:r>
          </w:p>
        </w:tc>
        <w:tc>
          <w:tcPr>
            <w:tcW w:w="1540" w:type="dxa"/>
            <w:tcBorders>
              <w:top w:val="nil"/>
              <w:left w:val="nil"/>
              <w:bottom w:val="single" w:sz="4" w:space="0" w:color="BFBFBF"/>
              <w:right w:val="nil"/>
            </w:tcBorders>
            <w:shd w:val="clear" w:color="auto" w:fill="auto"/>
            <w:noWrap/>
            <w:vAlign w:val="center"/>
            <w:hideMark/>
          </w:tcPr>
          <w:p w14:paraId="41BB20B4"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£m</w:t>
            </w:r>
          </w:p>
        </w:tc>
        <w:tc>
          <w:tcPr>
            <w:tcW w:w="1540" w:type="dxa"/>
            <w:tcBorders>
              <w:top w:val="nil"/>
              <w:left w:val="nil"/>
              <w:bottom w:val="single" w:sz="4" w:space="0" w:color="BFBFBF"/>
              <w:right w:val="nil"/>
            </w:tcBorders>
            <w:shd w:val="clear" w:color="auto" w:fill="auto"/>
            <w:noWrap/>
            <w:vAlign w:val="center"/>
            <w:hideMark/>
          </w:tcPr>
          <w:p w14:paraId="42E26F42"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£m</w:t>
            </w:r>
          </w:p>
        </w:tc>
        <w:tc>
          <w:tcPr>
            <w:tcW w:w="1540" w:type="dxa"/>
            <w:tcBorders>
              <w:top w:val="nil"/>
              <w:left w:val="nil"/>
              <w:bottom w:val="single" w:sz="4" w:space="0" w:color="BFBFBF"/>
              <w:right w:val="single" w:sz="4" w:space="0" w:color="BFBFBF"/>
            </w:tcBorders>
            <w:shd w:val="clear" w:color="auto" w:fill="auto"/>
            <w:noWrap/>
            <w:vAlign w:val="center"/>
            <w:hideMark/>
          </w:tcPr>
          <w:p w14:paraId="03D316F7"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£m</w:t>
            </w:r>
          </w:p>
        </w:tc>
        <w:tc>
          <w:tcPr>
            <w:tcW w:w="222" w:type="dxa"/>
            <w:vAlign w:val="center"/>
            <w:hideMark/>
          </w:tcPr>
          <w:p w14:paraId="5424A8FE"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12AF1C4D" w14:textId="77777777" w:rsidTr="00B45CA4">
        <w:trPr>
          <w:trHeight w:val="282"/>
        </w:trPr>
        <w:tc>
          <w:tcPr>
            <w:tcW w:w="2460" w:type="dxa"/>
            <w:tcBorders>
              <w:top w:val="nil"/>
              <w:left w:val="nil"/>
              <w:bottom w:val="nil"/>
              <w:right w:val="nil"/>
            </w:tcBorders>
            <w:shd w:val="clear" w:color="000000" w:fill="FFFFFF"/>
            <w:noWrap/>
            <w:vAlign w:val="bottom"/>
            <w:hideMark/>
          </w:tcPr>
          <w:p w14:paraId="05248850"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Food - Long-term agreements</w:t>
            </w:r>
          </w:p>
        </w:tc>
        <w:tc>
          <w:tcPr>
            <w:tcW w:w="860" w:type="dxa"/>
            <w:tcBorders>
              <w:top w:val="nil"/>
              <w:left w:val="nil"/>
              <w:bottom w:val="nil"/>
              <w:right w:val="nil"/>
            </w:tcBorders>
            <w:shd w:val="clear" w:color="000000" w:fill="FFFFFF"/>
            <w:noWrap/>
            <w:vAlign w:val="bottom"/>
            <w:hideMark/>
          </w:tcPr>
          <w:p w14:paraId="658E1C95"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000000" w:fill="FFFFFF"/>
            <w:noWrap/>
            <w:vAlign w:val="bottom"/>
            <w:hideMark/>
          </w:tcPr>
          <w:p w14:paraId="17EB70D3"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000000" w:fill="FFFFFF"/>
            <w:noWrap/>
            <w:vAlign w:val="bottom"/>
            <w:hideMark/>
          </w:tcPr>
          <w:p w14:paraId="3E540952"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nil"/>
              <w:right w:val="nil"/>
            </w:tcBorders>
            <w:shd w:val="clear" w:color="000000" w:fill="FFFFFF"/>
            <w:noWrap/>
            <w:vAlign w:val="bottom"/>
            <w:hideMark/>
          </w:tcPr>
          <w:p w14:paraId="38F6713F"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nil"/>
              <w:right w:val="nil"/>
            </w:tcBorders>
            <w:shd w:val="clear" w:color="auto" w:fill="CCECFF"/>
            <w:noWrap/>
            <w:vAlign w:val="bottom"/>
            <w:hideMark/>
          </w:tcPr>
          <w:p w14:paraId="61634B49"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 xml:space="preserve">75 </w:t>
            </w:r>
          </w:p>
        </w:tc>
        <w:tc>
          <w:tcPr>
            <w:tcW w:w="1540" w:type="dxa"/>
            <w:tcBorders>
              <w:top w:val="nil"/>
              <w:left w:val="nil"/>
              <w:bottom w:val="nil"/>
              <w:right w:val="nil"/>
            </w:tcBorders>
            <w:shd w:val="clear" w:color="000000" w:fill="FFFFFF"/>
            <w:noWrap/>
            <w:vAlign w:val="bottom"/>
            <w:hideMark/>
          </w:tcPr>
          <w:p w14:paraId="394C21B6"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77 </w:t>
            </w:r>
          </w:p>
        </w:tc>
        <w:tc>
          <w:tcPr>
            <w:tcW w:w="1540" w:type="dxa"/>
            <w:tcBorders>
              <w:top w:val="nil"/>
              <w:left w:val="nil"/>
              <w:bottom w:val="nil"/>
              <w:right w:val="nil"/>
            </w:tcBorders>
            <w:shd w:val="clear" w:color="000000" w:fill="FFFFFF"/>
            <w:noWrap/>
            <w:vAlign w:val="bottom"/>
            <w:hideMark/>
          </w:tcPr>
          <w:p w14:paraId="38B61610"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158 </w:t>
            </w:r>
          </w:p>
        </w:tc>
        <w:tc>
          <w:tcPr>
            <w:tcW w:w="222" w:type="dxa"/>
            <w:vAlign w:val="center"/>
            <w:hideMark/>
          </w:tcPr>
          <w:p w14:paraId="3C794093"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7EFF17C4" w14:textId="77777777" w:rsidTr="00B45CA4">
        <w:trPr>
          <w:trHeight w:val="255"/>
        </w:trPr>
        <w:tc>
          <w:tcPr>
            <w:tcW w:w="2460" w:type="dxa"/>
            <w:tcBorders>
              <w:top w:val="nil"/>
              <w:left w:val="nil"/>
              <w:bottom w:val="nil"/>
              <w:right w:val="nil"/>
            </w:tcBorders>
            <w:shd w:val="clear" w:color="000000" w:fill="FFFFFF"/>
            <w:noWrap/>
            <w:vAlign w:val="bottom"/>
            <w:hideMark/>
          </w:tcPr>
          <w:p w14:paraId="62DD61BB"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Food - Bonus income</w:t>
            </w:r>
          </w:p>
        </w:tc>
        <w:tc>
          <w:tcPr>
            <w:tcW w:w="860" w:type="dxa"/>
            <w:tcBorders>
              <w:top w:val="nil"/>
              <w:left w:val="nil"/>
              <w:bottom w:val="nil"/>
              <w:right w:val="nil"/>
            </w:tcBorders>
            <w:shd w:val="clear" w:color="000000" w:fill="FFFFFF"/>
            <w:noWrap/>
            <w:vAlign w:val="bottom"/>
            <w:hideMark/>
          </w:tcPr>
          <w:p w14:paraId="61FB1FC5"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000000" w:fill="FFFFFF"/>
            <w:noWrap/>
            <w:vAlign w:val="bottom"/>
            <w:hideMark/>
          </w:tcPr>
          <w:p w14:paraId="79FEA46D"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000000" w:fill="FFFFFF"/>
            <w:noWrap/>
            <w:vAlign w:val="bottom"/>
            <w:hideMark/>
          </w:tcPr>
          <w:p w14:paraId="38F6DDF6"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nil"/>
              <w:right w:val="nil"/>
            </w:tcBorders>
            <w:shd w:val="clear" w:color="000000" w:fill="FFFFFF"/>
            <w:noWrap/>
            <w:vAlign w:val="bottom"/>
            <w:hideMark/>
          </w:tcPr>
          <w:p w14:paraId="71AE03A6"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nil"/>
              <w:right w:val="nil"/>
            </w:tcBorders>
            <w:shd w:val="clear" w:color="auto" w:fill="CCECFF"/>
            <w:noWrap/>
            <w:vAlign w:val="bottom"/>
            <w:hideMark/>
          </w:tcPr>
          <w:p w14:paraId="3BCEFCFA"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 xml:space="preserve">22 </w:t>
            </w:r>
          </w:p>
        </w:tc>
        <w:tc>
          <w:tcPr>
            <w:tcW w:w="1540" w:type="dxa"/>
            <w:tcBorders>
              <w:top w:val="nil"/>
              <w:left w:val="nil"/>
              <w:bottom w:val="nil"/>
              <w:right w:val="nil"/>
            </w:tcBorders>
            <w:shd w:val="clear" w:color="000000" w:fill="FFFFFF"/>
            <w:noWrap/>
            <w:vAlign w:val="bottom"/>
            <w:hideMark/>
          </w:tcPr>
          <w:p w14:paraId="0ECBDE76"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24 </w:t>
            </w:r>
          </w:p>
        </w:tc>
        <w:tc>
          <w:tcPr>
            <w:tcW w:w="1540" w:type="dxa"/>
            <w:tcBorders>
              <w:top w:val="nil"/>
              <w:left w:val="nil"/>
              <w:bottom w:val="nil"/>
              <w:right w:val="nil"/>
            </w:tcBorders>
            <w:shd w:val="clear" w:color="000000" w:fill="FFFFFF"/>
            <w:noWrap/>
            <w:vAlign w:val="bottom"/>
            <w:hideMark/>
          </w:tcPr>
          <w:p w14:paraId="3E220DF7"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82 </w:t>
            </w:r>
          </w:p>
        </w:tc>
        <w:tc>
          <w:tcPr>
            <w:tcW w:w="222" w:type="dxa"/>
            <w:vAlign w:val="center"/>
            <w:hideMark/>
          </w:tcPr>
          <w:p w14:paraId="3B7E7FF1"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733344BE" w14:textId="77777777" w:rsidTr="00B45CA4">
        <w:trPr>
          <w:trHeight w:val="282"/>
        </w:trPr>
        <w:tc>
          <w:tcPr>
            <w:tcW w:w="2460" w:type="dxa"/>
            <w:tcBorders>
              <w:top w:val="nil"/>
              <w:left w:val="nil"/>
              <w:bottom w:val="single" w:sz="4" w:space="0" w:color="BFBFBF"/>
              <w:right w:val="nil"/>
            </w:tcBorders>
            <w:shd w:val="clear" w:color="000000" w:fill="FFFFFF"/>
            <w:noWrap/>
            <w:vAlign w:val="bottom"/>
            <w:hideMark/>
          </w:tcPr>
          <w:p w14:paraId="1B3FA487"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Food - Promotional income</w:t>
            </w:r>
          </w:p>
        </w:tc>
        <w:tc>
          <w:tcPr>
            <w:tcW w:w="860" w:type="dxa"/>
            <w:tcBorders>
              <w:top w:val="nil"/>
              <w:left w:val="nil"/>
              <w:bottom w:val="single" w:sz="4" w:space="0" w:color="BFBFBF"/>
              <w:right w:val="nil"/>
            </w:tcBorders>
            <w:shd w:val="clear" w:color="000000" w:fill="FFFFFF"/>
            <w:noWrap/>
            <w:vAlign w:val="bottom"/>
            <w:hideMark/>
          </w:tcPr>
          <w:p w14:paraId="73979F4A"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single" w:sz="4" w:space="0" w:color="BFBFBF"/>
              <w:right w:val="nil"/>
            </w:tcBorders>
            <w:shd w:val="clear" w:color="000000" w:fill="FFFFFF"/>
            <w:noWrap/>
            <w:vAlign w:val="bottom"/>
            <w:hideMark/>
          </w:tcPr>
          <w:p w14:paraId="1AC6C854"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single" w:sz="4" w:space="0" w:color="BFBFBF"/>
              <w:right w:val="nil"/>
            </w:tcBorders>
            <w:shd w:val="clear" w:color="000000" w:fill="FFFFFF"/>
            <w:noWrap/>
            <w:vAlign w:val="bottom"/>
            <w:hideMark/>
          </w:tcPr>
          <w:p w14:paraId="57000E77"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single" w:sz="4" w:space="0" w:color="BFBFBF"/>
              <w:right w:val="nil"/>
            </w:tcBorders>
            <w:shd w:val="clear" w:color="000000" w:fill="FFFFFF"/>
            <w:noWrap/>
            <w:vAlign w:val="bottom"/>
            <w:hideMark/>
          </w:tcPr>
          <w:p w14:paraId="3837BDCD"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single" w:sz="4" w:space="0" w:color="BFBFBF"/>
              <w:right w:val="nil"/>
            </w:tcBorders>
            <w:shd w:val="clear" w:color="auto" w:fill="CCECFF"/>
            <w:noWrap/>
            <w:vAlign w:val="bottom"/>
            <w:hideMark/>
          </w:tcPr>
          <w:p w14:paraId="4D7941C1"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 xml:space="preserve">147 </w:t>
            </w:r>
          </w:p>
        </w:tc>
        <w:tc>
          <w:tcPr>
            <w:tcW w:w="1540" w:type="dxa"/>
            <w:tcBorders>
              <w:top w:val="nil"/>
              <w:left w:val="nil"/>
              <w:bottom w:val="single" w:sz="4" w:space="0" w:color="BFBFBF"/>
              <w:right w:val="nil"/>
            </w:tcBorders>
            <w:shd w:val="clear" w:color="000000" w:fill="FFFFFF"/>
            <w:noWrap/>
            <w:vAlign w:val="bottom"/>
            <w:hideMark/>
          </w:tcPr>
          <w:p w14:paraId="3FDC729D"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176 </w:t>
            </w:r>
          </w:p>
        </w:tc>
        <w:tc>
          <w:tcPr>
            <w:tcW w:w="1540" w:type="dxa"/>
            <w:tcBorders>
              <w:top w:val="nil"/>
              <w:left w:val="nil"/>
              <w:bottom w:val="single" w:sz="4" w:space="0" w:color="BFBFBF"/>
              <w:right w:val="nil"/>
            </w:tcBorders>
            <w:shd w:val="clear" w:color="000000" w:fill="FFFFFF"/>
            <w:noWrap/>
            <w:vAlign w:val="bottom"/>
            <w:hideMark/>
          </w:tcPr>
          <w:p w14:paraId="0725C14A"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341 </w:t>
            </w:r>
          </w:p>
        </w:tc>
        <w:tc>
          <w:tcPr>
            <w:tcW w:w="222" w:type="dxa"/>
            <w:vAlign w:val="center"/>
            <w:hideMark/>
          </w:tcPr>
          <w:p w14:paraId="4E74D59A"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41F1AF53" w14:textId="77777777" w:rsidTr="00B45CA4">
        <w:trPr>
          <w:trHeight w:val="282"/>
        </w:trPr>
        <w:tc>
          <w:tcPr>
            <w:tcW w:w="2460" w:type="dxa"/>
            <w:tcBorders>
              <w:top w:val="nil"/>
              <w:left w:val="nil"/>
              <w:bottom w:val="single" w:sz="4" w:space="0" w:color="BFBFBF"/>
              <w:right w:val="nil"/>
            </w:tcBorders>
            <w:shd w:val="clear" w:color="000000" w:fill="FFFFFF"/>
            <w:noWrap/>
            <w:vAlign w:val="bottom"/>
            <w:hideMark/>
          </w:tcPr>
          <w:p w14:paraId="10E11806" w14:textId="77777777" w:rsidR="005A303B" w:rsidRPr="005A303B" w:rsidRDefault="005A303B" w:rsidP="005A303B">
            <w:pPr>
              <w:spacing w:after="0" w:line="240" w:lineRule="auto"/>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Total Food supplier income</w:t>
            </w:r>
          </w:p>
        </w:tc>
        <w:tc>
          <w:tcPr>
            <w:tcW w:w="860" w:type="dxa"/>
            <w:tcBorders>
              <w:top w:val="nil"/>
              <w:left w:val="nil"/>
              <w:bottom w:val="single" w:sz="4" w:space="0" w:color="BFBFBF"/>
              <w:right w:val="nil"/>
            </w:tcBorders>
            <w:shd w:val="clear" w:color="000000" w:fill="FFFFFF"/>
            <w:noWrap/>
            <w:vAlign w:val="bottom"/>
            <w:hideMark/>
          </w:tcPr>
          <w:p w14:paraId="26636058"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single" w:sz="4" w:space="0" w:color="BFBFBF"/>
              <w:right w:val="nil"/>
            </w:tcBorders>
            <w:shd w:val="clear" w:color="000000" w:fill="FFFFFF"/>
            <w:noWrap/>
            <w:vAlign w:val="bottom"/>
            <w:hideMark/>
          </w:tcPr>
          <w:p w14:paraId="4D73D25B"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single" w:sz="4" w:space="0" w:color="BFBFBF"/>
              <w:right w:val="nil"/>
            </w:tcBorders>
            <w:shd w:val="clear" w:color="000000" w:fill="FFFFFF"/>
            <w:noWrap/>
            <w:vAlign w:val="bottom"/>
            <w:hideMark/>
          </w:tcPr>
          <w:p w14:paraId="6F59C459"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single" w:sz="4" w:space="0" w:color="BFBFBF"/>
              <w:right w:val="nil"/>
            </w:tcBorders>
            <w:shd w:val="clear" w:color="000000" w:fill="FFFFFF"/>
            <w:noWrap/>
            <w:vAlign w:val="bottom"/>
            <w:hideMark/>
          </w:tcPr>
          <w:p w14:paraId="61CE7B9F"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single" w:sz="4" w:space="0" w:color="BFBFBF"/>
              <w:right w:val="nil"/>
            </w:tcBorders>
            <w:shd w:val="clear" w:color="auto" w:fill="CCECFF"/>
            <w:noWrap/>
            <w:vAlign w:val="bottom"/>
            <w:hideMark/>
          </w:tcPr>
          <w:p w14:paraId="4969752D"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 xml:space="preserve">244 </w:t>
            </w:r>
          </w:p>
        </w:tc>
        <w:tc>
          <w:tcPr>
            <w:tcW w:w="1540" w:type="dxa"/>
            <w:tcBorders>
              <w:top w:val="nil"/>
              <w:left w:val="nil"/>
              <w:bottom w:val="single" w:sz="4" w:space="0" w:color="BFBFBF"/>
              <w:right w:val="nil"/>
            </w:tcBorders>
            <w:shd w:val="clear" w:color="000000" w:fill="FFFFFF"/>
            <w:noWrap/>
            <w:vAlign w:val="bottom"/>
            <w:hideMark/>
          </w:tcPr>
          <w:p w14:paraId="6DC12732"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277 </w:t>
            </w:r>
          </w:p>
        </w:tc>
        <w:tc>
          <w:tcPr>
            <w:tcW w:w="1540" w:type="dxa"/>
            <w:tcBorders>
              <w:top w:val="nil"/>
              <w:left w:val="nil"/>
              <w:bottom w:val="single" w:sz="4" w:space="0" w:color="BFBFBF"/>
              <w:right w:val="nil"/>
            </w:tcBorders>
            <w:shd w:val="clear" w:color="000000" w:fill="FFFFFF"/>
            <w:noWrap/>
            <w:vAlign w:val="bottom"/>
            <w:hideMark/>
          </w:tcPr>
          <w:p w14:paraId="26099FED"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581 </w:t>
            </w:r>
          </w:p>
        </w:tc>
        <w:tc>
          <w:tcPr>
            <w:tcW w:w="222" w:type="dxa"/>
            <w:vAlign w:val="center"/>
            <w:hideMark/>
          </w:tcPr>
          <w:p w14:paraId="5A491D30"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03EDFE30" w14:textId="77777777" w:rsidTr="00B45CA4">
        <w:trPr>
          <w:trHeight w:val="282"/>
        </w:trPr>
        <w:tc>
          <w:tcPr>
            <w:tcW w:w="3320" w:type="dxa"/>
            <w:gridSpan w:val="2"/>
            <w:tcBorders>
              <w:top w:val="nil"/>
              <w:left w:val="nil"/>
              <w:bottom w:val="nil"/>
              <w:right w:val="nil"/>
            </w:tcBorders>
            <w:shd w:val="clear" w:color="000000" w:fill="FFFFFF"/>
            <w:noWrap/>
            <w:vAlign w:val="bottom"/>
            <w:hideMark/>
          </w:tcPr>
          <w:p w14:paraId="6FDFEAC7"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Wholesale - Long-term agreements</w:t>
            </w:r>
          </w:p>
        </w:tc>
        <w:tc>
          <w:tcPr>
            <w:tcW w:w="600" w:type="dxa"/>
            <w:tcBorders>
              <w:top w:val="nil"/>
              <w:left w:val="nil"/>
              <w:bottom w:val="nil"/>
              <w:right w:val="nil"/>
            </w:tcBorders>
            <w:shd w:val="clear" w:color="000000" w:fill="FFFFFF"/>
            <w:noWrap/>
            <w:vAlign w:val="bottom"/>
            <w:hideMark/>
          </w:tcPr>
          <w:p w14:paraId="7C3EB625"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000000" w:fill="FFFFFF"/>
            <w:noWrap/>
            <w:vAlign w:val="bottom"/>
            <w:hideMark/>
          </w:tcPr>
          <w:p w14:paraId="0CDEB257"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nil"/>
              <w:right w:val="nil"/>
            </w:tcBorders>
            <w:shd w:val="clear" w:color="000000" w:fill="FFFFFF"/>
            <w:noWrap/>
            <w:vAlign w:val="bottom"/>
            <w:hideMark/>
          </w:tcPr>
          <w:p w14:paraId="566C61AF"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nil"/>
              <w:right w:val="nil"/>
            </w:tcBorders>
            <w:shd w:val="clear" w:color="auto" w:fill="CCECFF"/>
            <w:noWrap/>
            <w:vAlign w:val="bottom"/>
            <w:hideMark/>
          </w:tcPr>
          <w:p w14:paraId="16EC6B9D"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 xml:space="preserve">12 </w:t>
            </w:r>
          </w:p>
        </w:tc>
        <w:tc>
          <w:tcPr>
            <w:tcW w:w="1540" w:type="dxa"/>
            <w:tcBorders>
              <w:top w:val="nil"/>
              <w:left w:val="nil"/>
              <w:bottom w:val="nil"/>
              <w:right w:val="nil"/>
            </w:tcBorders>
            <w:shd w:val="clear" w:color="000000" w:fill="FFFFFF"/>
            <w:noWrap/>
            <w:vAlign w:val="bottom"/>
            <w:hideMark/>
          </w:tcPr>
          <w:p w14:paraId="06E9353D"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12 </w:t>
            </w:r>
          </w:p>
        </w:tc>
        <w:tc>
          <w:tcPr>
            <w:tcW w:w="1540" w:type="dxa"/>
            <w:tcBorders>
              <w:top w:val="nil"/>
              <w:left w:val="nil"/>
              <w:bottom w:val="nil"/>
              <w:right w:val="nil"/>
            </w:tcBorders>
            <w:shd w:val="clear" w:color="000000" w:fill="FFFFFF"/>
            <w:noWrap/>
            <w:vAlign w:val="bottom"/>
            <w:hideMark/>
          </w:tcPr>
          <w:p w14:paraId="3BAC1869"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27 </w:t>
            </w:r>
          </w:p>
        </w:tc>
        <w:tc>
          <w:tcPr>
            <w:tcW w:w="222" w:type="dxa"/>
            <w:vAlign w:val="center"/>
            <w:hideMark/>
          </w:tcPr>
          <w:p w14:paraId="54315746"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5B0F701D" w14:textId="77777777" w:rsidTr="00B45CA4">
        <w:trPr>
          <w:trHeight w:val="282"/>
        </w:trPr>
        <w:tc>
          <w:tcPr>
            <w:tcW w:w="2460" w:type="dxa"/>
            <w:tcBorders>
              <w:top w:val="nil"/>
              <w:left w:val="nil"/>
              <w:bottom w:val="nil"/>
              <w:right w:val="nil"/>
            </w:tcBorders>
            <w:shd w:val="clear" w:color="000000" w:fill="FFFFFF"/>
            <w:noWrap/>
            <w:vAlign w:val="bottom"/>
            <w:hideMark/>
          </w:tcPr>
          <w:p w14:paraId="5C3D1E2D"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Wholesale - Bonus income</w:t>
            </w:r>
          </w:p>
        </w:tc>
        <w:tc>
          <w:tcPr>
            <w:tcW w:w="860" w:type="dxa"/>
            <w:tcBorders>
              <w:top w:val="nil"/>
              <w:left w:val="nil"/>
              <w:bottom w:val="nil"/>
              <w:right w:val="nil"/>
            </w:tcBorders>
            <w:shd w:val="clear" w:color="000000" w:fill="FFFFFF"/>
            <w:noWrap/>
            <w:vAlign w:val="bottom"/>
            <w:hideMark/>
          </w:tcPr>
          <w:p w14:paraId="2FBB7AAB"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000000" w:fill="FFFFFF"/>
            <w:noWrap/>
            <w:vAlign w:val="bottom"/>
            <w:hideMark/>
          </w:tcPr>
          <w:p w14:paraId="465DAF30"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000000" w:fill="FFFFFF"/>
            <w:noWrap/>
            <w:vAlign w:val="bottom"/>
            <w:hideMark/>
          </w:tcPr>
          <w:p w14:paraId="13169FB4"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nil"/>
              <w:right w:val="nil"/>
            </w:tcBorders>
            <w:shd w:val="clear" w:color="000000" w:fill="FFFFFF"/>
            <w:noWrap/>
            <w:vAlign w:val="bottom"/>
            <w:hideMark/>
          </w:tcPr>
          <w:p w14:paraId="65F97901"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nil"/>
              <w:right w:val="nil"/>
            </w:tcBorders>
            <w:shd w:val="clear" w:color="auto" w:fill="CCECFF"/>
            <w:noWrap/>
            <w:vAlign w:val="bottom"/>
            <w:hideMark/>
          </w:tcPr>
          <w:p w14:paraId="2EA4198B"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 xml:space="preserve">4 </w:t>
            </w:r>
          </w:p>
        </w:tc>
        <w:tc>
          <w:tcPr>
            <w:tcW w:w="1540" w:type="dxa"/>
            <w:tcBorders>
              <w:top w:val="nil"/>
              <w:left w:val="nil"/>
              <w:bottom w:val="nil"/>
              <w:right w:val="nil"/>
            </w:tcBorders>
            <w:shd w:val="clear" w:color="000000" w:fill="FFFFFF"/>
            <w:noWrap/>
            <w:vAlign w:val="bottom"/>
            <w:hideMark/>
          </w:tcPr>
          <w:p w14:paraId="6874BED6"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8 </w:t>
            </w:r>
          </w:p>
        </w:tc>
        <w:tc>
          <w:tcPr>
            <w:tcW w:w="1540" w:type="dxa"/>
            <w:tcBorders>
              <w:top w:val="nil"/>
              <w:left w:val="nil"/>
              <w:bottom w:val="nil"/>
              <w:right w:val="nil"/>
            </w:tcBorders>
            <w:shd w:val="clear" w:color="000000" w:fill="FFFFFF"/>
            <w:noWrap/>
            <w:vAlign w:val="bottom"/>
            <w:hideMark/>
          </w:tcPr>
          <w:p w14:paraId="61CA13AC"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19 </w:t>
            </w:r>
          </w:p>
        </w:tc>
        <w:tc>
          <w:tcPr>
            <w:tcW w:w="222" w:type="dxa"/>
            <w:vAlign w:val="center"/>
            <w:hideMark/>
          </w:tcPr>
          <w:p w14:paraId="206197F6"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153779C9" w14:textId="77777777" w:rsidTr="00B45CA4">
        <w:trPr>
          <w:trHeight w:val="282"/>
        </w:trPr>
        <w:tc>
          <w:tcPr>
            <w:tcW w:w="2460" w:type="dxa"/>
            <w:tcBorders>
              <w:top w:val="nil"/>
              <w:left w:val="nil"/>
              <w:bottom w:val="single" w:sz="4" w:space="0" w:color="BFBFBF"/>
              <w:right w:val="nil"/>
            </w:tcBorders>
            <w:shd w:val="clear" w:color="000000" w:fill="FFFFFF"/>
            <w:noWrap/>
            <w:vAlign w:val="bottom"/>
            <w:hideMark/>
          </w:tcPr>
          <w:p w14:paraId="7A4CE7C4"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Wholesale - Promotional income</w:t>
            </w:r>
          </w:p>
        </w:tc>
        <w:tc>
          <w:tcPr>
            <w:tcW w:w="860" w:type="dxa"/>
            <w:tcBorders>
              <w:top w:val="nil"/>
              <w:left w:val="nil"/>
              <w:bottom w:val="single" w:sz="4" w:space="0" w:color="BFBFBF"/>
              <w:right w:val="nil"/>
            </w:tcBorders>
            <w:shd w:val="clear" w:color="000000" w:fill="FFFFFF"/>
            <w:noWrap/>
            <w:vAlign w:val="center"/>
            <w:hideMark/>
          </w:tcPr>
          <w:p w14:paraId="7364453C"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600" w:type="dxa"/>
            <w:tcBorders>
              <w:top w:val="nil"/>
              <w:left w:val="nil"/>
              <w:bottom w:val="single" w:sz="4" w:space="0" w:color="BFBFBF"/>
              <w:right w:val="nil"/>
            </w:tcBorders>
            <w:shd w:val="clear" w:color="000000" w:fill="FFFFFF"/>
            <w:noWrap/>
            <w:vAlign w:val="center"/>
            <w:hideMark/>
          </w:tcPr>
          <w:p w14:paraId="68C0F286"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600" w:type="dxa"/>
            <w:tcBorders>
              <w:top w:val="nil"/>
              <w:left w:val="nil"/>
              <w:bottom w:val="single" w:sz="4" w:space="0" w:color="BFBFBF"/>
              <w:right w:val="nil"/>
            </w:tcBorders>
            <w:shd w:val="clear" w:color="000000" w:fill="FFFFFF"/>
            <w:noWrap/>
            <w:vAlign w:val="center"/>
            <w:hideMark/>
          </w:tcPr>
          <w:p w14:paraId="4D24F5E4"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840" w:type="dxa"/>
            <w:tcBorders>
              <w:top w:val="nil"/>
              <w:left w:val="nil"/>
              <w:bottom w:val="single" w:sz="4" w:space="0" w:color="BFBFBF"/>
              <w:right w:val="nil"/>
            </w:tcBorders>
            <w:shd w:val="clear" w:color="000000" w:fill="FFFFFF"/>
            <w:noWrap/>
            <w:vAlign w:val="center"/>
            <w:hideMark/>
          </w:tcPr>
          <w:p w14:paraId="1DFA054B"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1540" w:type="dxa"/>
            <w:tcBorders>
              <w:top w:val="nil"/>
              <w:left w:val="nil"/>
              <w:bottom w:val="nil"/>
              <w:right w:val="nil"/>
            </w:tcBorders>
            <w:shd w:val="clear" w:color="auto" w:fill="CCECFF"/>
            <w:noWrap/>
            <w:vAlign w:val="bottom"/>
            <w:hideMark/>
          </w:tcPr>
          <w:p w14:paraId="1BA9E371"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 xml:space="preserve">40 </w:t>
            </w:r>
          </w:p>
        </w:tc>
        <w:tc>
          <w:tcPr>
            <w:tcW w:w="1540" w:type="dxa"/>
            <w:tcBorders>
              <w:top w:val="nil"/>
              <w:left w:val="nil"/>
              <w:bottom w:val="single" w:sz="4" w:space="0" w:color="BFBFBF"/>
              <w:right w:val="nil"/>
            </w:tcBorders>
            <w:shd w:val="clear" w:color="000000" w:fill="FFFFFF"/>
            <w:noWrap/>
            <w:vAlign w:val="center"/>
            <w:hideMark/>
          </w:tcPr>
          <w:p w14:paraId="5F872DAE"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48 </w:t>
            </w:r>
          </w:p>
        </w:tc>
        <w:tc>
          <w:tcPr>
            <w:tcW w:w="1540" w:type="dxa"/>
            <w:tcBorders>
              <w:top w:val="nil"/>
              <w:left w:val="nil"/>
              <w:bottom w:val="single" w:sz="4" w:space="0" w:color="BFBFBF"/>
              <w:right w:val="nil"/>
            </w:tcBorders>
            <w:shd w:val="clear" w:color="000000" w:fill="FFFFFF"/>
            <w:noWrap/>
            <w:vAlign w:val="center"/>
            <w:hideMark/>
          </w:tcPr>
          <w:p w14:paraId="5FF05EED"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99 </w:t>
            </w:r>
          </w:p>
        </w:tc>
        <w:tc>
          <w:tcPr>
            <w:tcW w:w="222" w:type="dxa"/>
            <w:vAlign w:val="center"/>
            <w:hideMark/>
          </w:tcPr>
          <w:p w14:paraId="23768776"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070A66EF" w14:textId="77777777" w:rsidTr="00B45CA4">
        <w:trPr>
          <w:trHeight w:val="255"/>
        </w:trPr>
        <w:tc>
          <w:tcPr>
            <w:tcW w:w="3320" w:type="dxa"/>
            <w:gridSpan w:val="2"/>
            <w:tcBorders>
              <w:top w:val="single" w:sz="4" w:space="0" w:color="BFBFBF"/>
              <w:left w:val="nil"/>
              <w:bottom w:val="single" w:sz="4" w:space="0" w:color="BFBFBF"/>
              <w:right w:val="nil"/>
            </w:tcBorders>
            <w:shd w:val="clear" w:color="000000" w:fill="FFFFFF"/>
            <w:noWrap/>
            <w:vAlign w:val="bottom"/>
            <w:hideMark/>
          </w:tcPr>
          <w:p w14:paraId="0C47C52D" w14:textId="77777777" w:rsidR="005A303B" w:rsidRPr="005A303B" w:rsidRDefault="005A303B" w:rsidP="005A303B">
            <w:pPr>
              <w:spacing w:after="0" w:line="240" w:lineRule="auto"/>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Total Wholesale Supplier income</w:t>
            </w:r>
          </w:p>
        </w:tc>
        <w:tc>
          <w:tcPr>
            <w:tcW w:w="600" w:type="dxa"/>
            <w:tcBorders>
              <w:top w:val="nil"/>
              <w:left w:val="nil"/>
              <w:bottom w:val="single" w:sz="4" w:space="0" w:color="BFBFBF"/>
              <w:right w:val="nil"/>
            </w:tcBorders>
            <w:shd w:val="clear" w:color="000000" w:fill="FFFFFF"/>
            <w:noWrap/>
            <w:vAlign w:val="bottom"/>
            <w:hideMark/>
          </w:tcPr>
          <w:p w14:paraId="386408D2"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single" w:sz="4" w:space="0" w:color="BFBFBF"/>
              <w:right w:val="nil"/>
            </w:tcBorders>
            <w:shd w:val="clear" w:color="000000" w:fill="FFFFFF"/>
            <w:noWrap/>
            <w:vAlign w:val="bottom"/>
            <w:hideMark/>
          </w:tcPr>
          <w:p w14:paraId="70B31FFA"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single" w:sz="4" w:space="0" w:color="BFBFBF"/>
              <w:right w:val="nil"/>
            </w:tcBorders>
            <w:shd w:val="clear" w:color="000000" w:fill="FFFFFF"/>
            <w:noWrap/>
            <w:vAlign w:val="bottom"/>
            <w:hideMark/>
          </w:tcPr>
          <w:p w14:paraId="22DEA2CC"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single" w:sz="4" w:space="0" w:color="BFBFBF"/>
              <w:left w:val="nil"/>
              <w:bottom w:val="single" w:sz="4" w:space="0" w:color="BFBFBF"/>
              <w:right w:val="nil"/>
            </w:tcBorders>
            <w:shd w:val="clear" w:color="auto" w:fill="CCECFF"/>
            <w:noWrap/>
            <w:vAlign w:val="bottom"/>
            <w:hideMark/>
          </w:tcPr>
          <w:p w14:paraId="52183204"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 xml:space="preserve">56 </w:t>
            </w:r>
          </w:p>
        </w:tc>
        <w:tc>
          <w:tcPr>
            <w:tcW w:w="1540" w:type="dxa"/>
            <w:tcBorders>
              <w:top w:val="nil"/>
              <w:left w:val="nil"/>
              <w:bottom w:val="single" w:sz="4" w:space="0" w:color="BFBFBF"/>
              <w:right w:val="nil"/>
            </w:tcBorders>
            <w:shd w:val="clear" w:color="000000" w:fill="FFFFFF"/>
            <w:noWrap/>
            <w:vAlign w:val="bottom"/>
            <w:hideMark/>
          </w:tcPr>
          <w:p w14:paraId="0543AF5B"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68 </w:t>
            </w:r>
          </w:p>
        </w:tc>
        <w:tc>
          <w:tcPr>
            <w:tcW w:w="1540" w:type="dxa"/>
            <w:tcBorders>
              <w:top w:val="nil"/>
              <w:left w:val="nil"/>
              <w:bottom w:val="single" w:sz="4" w:space="0" w:color="BFBFBF"/>
              <w:right w:val="nil"/>
            </w:tcBorders>
            <w:shd w:val="clear" w:color="000000" w:fill="FFFFFF"/>
            <w:noWrap/>
            <w:vAlign w:val="bottom"/>
            <w:hideMark/>
          </w:tcPr>
          <w:p w14:paraId="10AAD8C1"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145 </w:t>
            </w:r>
          </w:p>
        </w:tc>
        <w:tc>
          <w:tcPr>
            <w:tcW w:w="222" w:type="dxa"/>
            <w:vAlign w:val="center"/>
            <w:hideMark/>
          </w:tcPr>
          <w:p w14:paraId="054A1B6A"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12709E6E" w14:textId="77777777" w:rsidTr="00B45CA4">
        <w:trPr>
          <w:trHeight w:val="240"/>
        </w:trPr>
        <w:tc>
          <w:tcPr>
            <w:tcW w:w="2460" w:type="dxa"/>
            <w:tcBorders>
              <w:top w:val="nil"/>
              <w:left w:val="nil"/>
              <w:bottom w:val="nil"/>
              <w:right w:val="nil"/>
            </w:tcBorders>
            <w:shd w:val="clear" w:color="000000" w:fill="FFFFFF"/>
            <w:noWrap/>
            <w:vAlign w:val="bottom"/>
            <w:hideMark/>
          </w:tcPr>
          <w:p w14:paraId="351BA5DB" w14:textId="77777777" w:rsidR="005A303B" w:rsidRPr="005A303B" w:rsidRDefault="005A303B" w:rsidP="005A303B">
            <w:pPr>
              <w:spacing w:after="0" w:line="240" w:lineRule="auto"/>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lastRenderedPageBreak/>
              <w:t> </w:t>
            </w:r>
          </w:p>
        </w:tc>
        <w:tc>
          <w:tcPr>
            <w:tcW w:w="860" w:type="dxa"/>
            <w:tcBorders>
              <w:top w:val="nil"/>
              <w:left w:val="nil"/>
              <w:bottom w:val="nil"/>
              <w:right w:val="nil"/>
            </w:tcBorders>
            <w:shd w:val="clear" w:color="000000" w:fill="FFFFFF"/>
            <w:noWrap/>
            <w:vAlign w:val="bottom"/>
            <w:hideMark/>
          </w:tcPr>
          <w:p w14:paraId="00B6A3E5" w14:textId="77777777" w:rsidR="005A303B" w:rsidRPr="005A303B" w:rsidRDefault="005A303B" w:rsidP="005A303B">
            <w:pPr>
              <w:spacing w:after="0" w:line="240" w:lineRule="auto"/>
              <w:rPr>
                <w:rFonts w:ascii="Arial" w:eastAsia="Times New Roman" w:hAnsi="Arial" w:cs="Arial"/>
                <w:sz w:val="14"/>
                <w:szCs w:val="14"/>
                <w:lang w:eastAsia="en-GB"/>
              </w:rPr>
            </w:pPr>
            <w:r w:rsidRPr="005A303B">
              <w:rPr>
                <w:rFonts w:ascii="Arial" w:eastAsia="Times New Roman" w:hAnsi="Arial" w:cs="Arial"/>
                <w:sz w:val="14"/>
                <w:szCs w:val="14"/>
                <w:lang w:eastAsia="en-GB"/>
              </w:rPr>
              <w:t> </w:t>
            </w:r>
          </w:p>
        </w:tc>
        <w:tc>
          <w:tcPr>
            <w:tcW w:w="600" w:type="dxa"/>
            <w:tcBorders>
              <w:top w:val="nil"/>
              <w:left w:val="nil"/>
              <w:bottom w:val="nil"/>
              <w:right w:val="nil"/>
            </w:tcBorders>
            <w:shd w:val="clear" w:color="000000" w:fill="FFFFFF"/>
            <w:noWrap/>
            <w:vAlign w:val="bottom"/>
            <w:hideMark/>
          </w:tcPr>
          <w:p w14:paraId="79BA39CA" w14:textId="77777777" w:rsidR="005A303B" w:rsidRPr="005A303B" w:rsidRDefault="005A303B" w:rsidP="005A303B">
            <w:pPr>
              <w:spacing w:after="0" w:line="240" w:lineRule="auto"/>
              <w:rPr>
                <w:rFonts w:ascii="Arial" w:eastAsia="Times New Roman" w:hAnsi="Arial" w:cs="Arial"/>
                <w:sz w:val="14"/>
                <w:szCs w:val="14"/>
                <w:lang w:eastAsia="en-GB"/>
              </w:rPr>
            </w:pPr>
            <w:r w:rsidRPr="005A303B">
              <w:rPr>
                <w:rFonts w:ascii="Arial" w:eastAsia="Times New Roman" w:hAnsi="Arial" w:cs="Arial"/>
                <w:sz w:val="14"/>
                <w:szCs w:val="14"/>
                <w:lang w:eastAsia="en-GB"/>
              </w:rPr>
              <w:t> </w:t>
            </w:r>
          </w:p>
        </w:tc>
        <w:tc>
          <w:tcPr>
            <w:tcW w:w="600" w:type="dxa"/>
            <w:tcBorders>
              <w:top w:val="nil"/>
              <w:left w:val="nil"/>
              <w:bottom w:val="nil"/>
              <w:right w:val="nil"/>
            </w:tcBorders>
            <w:shd w:val="clear" w:color="000000" w:fill="FFFFFF"/>
            <w:noWrap/>
            <w:vAlign w:val="bottom"/>
            <w:hideMark/>
          </w:tcPr>
          <w:p w14:paraId="78480406" w14:textId="77777777" w:rsidR="005A303B" w:rsidRPr="005A303B" w:rsidRDefault="005A303B" w:rsidP="005A303B">
            <w:pPr>
              <w:spacing w:after="0" w:line="240" w:lineRule="auto"/>
              <w:rPr>
                <w:rFonts w:ascii="Arial" w:eastAsia="Times New Roman" w:hAnsi="Arial" w:cs="Arial"/>
                <w:sz w:val="14"/>
                <w:szCs w:val="14"/>
                <w:lang w:eastAsia="en-GB"/>
              </w:rPr>
            </w:pPr>
            <w:r w:rsidRPr="005A303B">
              <w:rPr>
                <w:rFonts w:ascii="Arial" w:eastAsia="Times New Roman" w:hAnsi="Arial" w:cs="Arial"/>
                <w:sz w:val="14"/>
                <w:szCs w:val="14"/>
                <w:lang w:eastAsia="en-GB"/>
              </w:rPr>
              <w:t> </w:t>
            </w:r>
          </w:p>
        </w:tc>
        <w:tc>
          <w:tcPr>
            <w:tcW w:w="840" w:type="dxa"/>
            <w:tcBorders>
              <w:top w:val="nil"/>
              <w:left w:val="nil"/>
              <w:bottom w:val="nil"/>
              <w:right w:val="nil"/>
            </w:tcBorders>
            <w:shd w:val="clear" w:color="000000" w:fill="FFFFFF"/>
            <w:noWrap/>
            <w:vAlign w:val="bottom"/>
            <w:hideMark/>
          </w:tcPr>
          <w:p w14:paraId="7DCF597B" w14:textId="77777777" w:rsidR="005A303B" w:rsidRPr="005A303B" w:rsidRDefault="005A303B" w:rsidP="005A303B">
            <w:pPr>
              <w:spacing w:after="0" w:line="240" w:lineRule="auto"/>
              <w:rPr>
                <w:rFonts w:ascii="Arial" w:eastAsia="Times New Roman" w:hAnsi="Arial" w:cs="Arial"/>
                <w:sz w:val="14"/>
                <w:szCs w:val="14"/>
                <w:lang w:eastAsia="en-GB"/>
              </w:rPr>
            </w:pPr>
            <w:r w:rsidRPr="005A303B">
              <w:rPr>
                <w:rFonts w:ascii="Arial" w:eastAsia="Times New Roman" w:hAnsi="Arial" w:cs="Arial"/>
                <w:sz w:val="14"/>
                <w:szCs w:val="14"/>
                <w:lang w:eastAsia="en-GB"/>
              </w:rPr>
              <w:t> </w:t>
            </w:r>
          </w:p>
        </w:tc>
        <w:tc>
          <w:tcPr>
            <w:tcW w:w="1540" w:type="dxa"/>
            <w:tcBorders>
              <w:top w:val="nil"/>
              <w:left w:val="nil"/>
              <w:bottom w:val="nil"/>
              <w:right w:val="nil"/>
            </w:tcBorders>
            <w:shd w:val="clear" w:color="000000" w:fill="FFFFFF"/>
            <w:noWrap/>
            <w:vAlign w:val="bottom"/>
            <w:hideMark/>
          </w:tcPr>
          <w:p w14:paraId="16A8B4E7" w14:textId="77777777" w:rsidR="005A303B" w:rsidRPr="005A303B" w:rsidRDefault="005A303B" w:rsidP="005A303B">
            <w:pPr>
              <w:spacing w:after="0" w:line="240" w:lineRule="auto"/>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 </w:t>
            </w:r>
          </w:p>
        </w:tc>
        <w:tc>
          <w:tcPr>
            <w:tcW w:w="1540" w:type="dxa"/>
            <w:tcBorders>
              <w:top w:val="nil"/>
              <w:left w:val="nil"/>
              <w:bottom w:val="nil"/>
              <w:right w:val="nil"/>
            </w:tcBorders>
            <w:shd w:val="clear" w:color="000000" w:fill="FFFFFF"/>
            <w:noWrap/>
            <w:vAlign w:val="bottom"/>
            <w:hideMark/>
          </w:tcPr>
          <w:p w14:paraId="6130C713"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 </w:t>
            </w:r>
          </w:p>
        </w:tc>
        <w:tc>
          <w:tcPr>
            <w:tcW w:w="1540" w:type="dxa"/>
            <w:tcBorders>
              <w:top w:val="nil"/>
              <w:left w:val="nil"/>
              <w:bottom w:val="nil"/>
              <w:right w:val="nil"/>
            </w:tcBorders>
            <w:shd w:val="clear" w:color="000000" w:fill="FFFFFF"/>
            <w:noWrap/>
            <w:vAlign w:val="bottom"/>
            <w:hideMark/>
          </w:tcPr>
          <w:p w14:paraId="275216D8"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 </w:t>
            </w:r>
          </w:p>
        </w:tc>
        <w:tc>
          <w:tcPr>
            <w:tcW w:w="222" w:type="dxa"/>
            <w:vAlign w:val="center"/>
            <w:hideMark/>
          </w:tcPr>
          <w:p w14:paraId="13432860"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38F4BE48" w14:textId="77777777" w:rsidTr="00B45CA4">
        <w:trPr>
          <w:trHeight w:val="255"/>
        </w:trPr>
        <w:tc>
          <w:tcPr>
            <w:tcW w:w="2460" w:type="dxa"/>
            <w:tcBorders>
              <w:top w:val="single" w:sz="4" w:space="0" w:color="BFBFBF"/>
              <w:left w:val="nil"/>
              <w:bottom w:val="single" w:sz="4" w:space="0" w:color="BFBFBF"/>
              <w:right w:val="nil"/>
            </w:tcBorders>
            <w:shd w:val="clear" w:color="000000" w:fill="FFFFFF"/>
            <w:noWrap/>
            <w:vAlign w:val="bottom"/>
            <w:hideMark/>
          </w:tcPr>
          <w:p w14:paraId="057A943E" w14:textId="77777777" w:rsidR="005A303B" w:rsidRPr="005A303B" w:rsidRDefault="005A303B" w:rsidP="005A303B">
            <w:pPr>
              <w:spacing w:after="0" w:line="240" w:lineRule="auto"/>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Total Supplier income</w:t>
            </w:r>
          </w:p>
        </w:tc>
        <w:tc>
          <w:tcPr>
            <w:tcW w:w="860" w:type="dxa"/>
            <w:tcBorders>
              <w:top w:val="single" w:sz="4" w:space="0" w:color="BFBFBF"/>
              <w:left w:val="nil"/>
              <w:bottom w:val="single" w:sz="4" w:space="0" w:color="BFBFBF"/>
              <w:right w:val="nil"/>
            </w:tcBorders>
            <w:shd w:val="clear" w:color="000000" w:fill="FFFFFF"/>
            <w:noWrap/>
            <w:vAlign w:val="bottom"/>
            <w:hideMark/>
          </w:tcPr>
          <w:p w14:paraId="4A95BD6E" w14:textId="77777777" w:rsidR="005A303B" w:rsidRPr="005A303B" w:rsidRDefault="005A303B" w:rsidP="005A303B">
            <w:pPr>
              <w:spacing w:after="0" w:line="240" w:lineRule="auto"/>
              <w:rPr>
                <w:rFonts w:ascii="Arial" w:eastAsia="Times New Roman" w:hAnsi="Arial" w:cs="Arial"/>
                <w:sz w:val="14"/>
                <w:szCs w:val="14"/>
                <w:lang w:eastAsia="en-GB"/>
              </w:rPr>
            </w:pPr>
            <w:r w:rsidRPr="005A303B">
              <w:rPr>
                <w:rFonts w:ascii="Arial" w:eastAsia="Times New Roman" w:hAnsi="Arial" w:cs="Arial"/>
                <w:sz w:val="14"/>
                <w:szCs w:val="14"/>
                <w:lang w:eastAsia="en-GB"/>
              </w:rPr>
              <w:t> </w:t>
            </w:r>
          </w:p>
        </w:tc>
        <w:tc>
          <w:tcPr>
            <w:tcW w:w="600" w:type="dxa"/>
            <w:tcBorders>
              <w:top w:val="single" w:sz="4" w:space="0" w:color="BFBFBF"/>
              <w:left w:val="nil"/>
              <w:bottom w:val="single" w:sz="4" w:space="0" w:color="BFBFBF"/>
              <w:right w:val="nil"/>
            </w:tcBorders>
            <w:shd w:val="clear" w:color="000000" w:fill="FFFFFF"/>
            <w:noWrap/>
            <w:vAlign w:val="bottom"/>
            <w:hideMark/>
          </w:tcPr>
          <w:p w14:paraId="6D90F38F" w14:textId="77777777" w:rsidR="005A303B" w:rsidRPr="005A303B" w:rsidRDefault="005A303B" w:rsidP="005A303B">
            <w:pPr>
              <w:spacing w:after="0" w:line="240" w:lineRule="auto"/>
              <w:rPr>
                <w:rFonts w:ascii="Arial" w:eastAsia="Times New Roman" w:hAnsi="Arial" w:cs="Arial"/>
                <w:sz w:val="14"/>
                <w:szCs w:val="14"/>
                <w:lang w:eastAsia="en-GB"/>
              </w:rPr>
            </w:pPr>
            <w:r w:rsidRPr="005A303B">
              <w:rPr>
                <w:rFonts w:ascii="Arial" w:eastAsia="Times New Roman" w:hAnsi="Arial" w:cs="Arial"/>
                <w:sz w:val="14"/>
                <w:szCs w:val="14"/>
                <w:lang w:eastAsia="en-GB"/>
              </w:rPr>
              <w:t> </w:t>
            </w:r>
          </w:p>
        </w:tc>
        <w:tc>
          <w:tcPr>
            <w:tcW w:w="600" w:type="dxa"/>
            <w:tcBorders>
              <w:top w:val="single" w:sz="4" w:space="0" w:color="BFBFBF"/>
              <w:left w:val="nil"/>
              <w:bottom w:val="single" w:sz="4" w:space="0" w:color="BFBFBF"/>
              <w:right w:val="nil"/>
            </w:tcBorders>
            <w:shd w:val="clear" w:color="000000" w:fill="FFFFFF"/>
            <w:noWrap/>
            <w:vAlign w:val="bottom"/>
            <w:hideMark/>
          </w:tcPr>
          <w:p w14:paraId="6CDCA38A" w14:textId="77777777" w:rsidR="005A303B" w:rsidRPr="005A303B" w:rsidRDefault="005A303B" w:rsidP="005A303B">
            <w:pPr>
              <w:spacing w:after="0" w:line="240" w:lineRule="auto"/>
              <w:rPr>
                <w:rFonts w:ascii="Arial" w:eastAsia="Times New Roman" w:hAnsi="Arial" w:cs="Arial"/>
                <w:sz w:val="14"/>
                <w:szCs w:val="14"/>
                <w:lang w:eastAsia="en-GB"/>
              </w:rPr>
            </w:pPr>
            <w:r w:rsidRPr="005A303B">
              <w:rPr>
                <w:rFonts w:ascii="Arial" w:eastAsia="Times New Roman" w:hAnsi="Arial" w:cs="Arial"/>
                <w:sz w:val="14"/>
                <w:szCs w:val="14"/>
                <w:lang w:eastAsia="en-GB"/>
              </w:rPr>
              <w:t> </w:t>
            </w:r>
          </w:p>
        </w:tc>
        <w:tc>
          <w:tcPr>
            <w:tcW w:w="840" w:type="dxa"/>
            <w:tcBorders>
              <w:top w:val="single" w:sz="4" w:space="0" w:color="BFBFBF"/>
              <w:left w:val="nil"/>
              <w:bottom w:val="single" w:sz="4" w:space="0" w:color="BFBFBF"/>
              <w:right w:val="nil"/>
            </w:tcBorders>
            <w:shd w:val="clear" w:color="000000" w:fill="FFFFFF"/>
            <w:noWrap/>
            <w:vAlign w:val="bottom"/>
            <w:hideMark/>
          </w:tcPr>
          <w:p w14:paraId="677AE93B" w14:textId="77777777" w:rsidR="005A303B" w:rsidRPr="005A303B" w:rsidRDefault="005A303B" w:rsidP="005A303B">
            <w:pPr>
              <w:spacing w:after="0" w:line="240" w:lineRule="auto"/>
              <w:rPr>
                <w:rFonts w:ascii="Arial" w:eastAsia="Times New Roman" w:hAnsi="Arial" w:cs="Arial"/>
                <w:sz w:val="14"/>
                <w:szCs w:val="14"/>
                <w:lang w:eastAsia="en-GB"/>
              </w:rPr>
            </w:pPr>
            <w:r w:rsidRPr="005A303B">
              <w:rPr>
                <w:rFonts w:ascii="Arial" w:eastAsia="Times New Roman" w:hAnsi="Arial" w:cs="Arial"/>
                <w:sz w:val="14"/>
                <w:szCs w:val="14"/>
                <w:lang w:eastAsia="en-GB"/>
              </w:rPr>
              <w:t> </w:t>
            </w:r>
          </w:p>
        </w:tc>
        <w:tc>
          <w:tcPr>
            <w:tcW w:w="1540" w:type="dxa"/>
            <w:tcBorders>
              <w:top w:val="single" w:sz="4" w:space="0" w:color="BFBFBF"/>
              <w:left w:val="nil"/>
              <w:bottom w:val="single" w:sz="4" w:space="0" w:color="BFBFBF"/>
              <w:right w:val="nil"/>
            </w:tcBorders>
            <w:shd w:val="clear" w:color="auto" w:fill="CCECFF"/>
            <w:noWrap/>
            <w:vAlign w:val="bottom"/>
            <w:hideMark/>
          </w:tcPr>
          <w:p w14:paraId="71525F43"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 xml:space="preserve">300 </w:t>
            </w:r>
          </w:p>
        </w:tc>
        <w:tc>
          <w:tcPr>
            <w:tcW w:w="1540" w:type="dxa"/>
            <w:tcBorders>
              <w:top w:val="single" w:sz="4" w:space="0" w:color="BFBFBF"/>
              <w:left w:val="nil"/>
              <w:bottom w:val="single" w:sz="4" w:space="0" w:color="BFBFBF"/>
              <w:right w:val="nil"/>
            </w:tcBorders>
            <w:shd w:val="clear" w:color="000000" w:fill="FFFFFF"/>
            <w:noWrap/>
            <w:vAlign w:val="bottom"/>
            <w:hideMark/>
          </w:tcPr>
          <w:p w14:paraId="001D7D96"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345 </w:t>
            </w:r>
          </w:p>
        </w:tc>
        <w:tc>
          <w:tcPr>
            <w:tcW w:w="1540" w:type="dxa"/>
            <w:tcBorders>
              <w:top w:val="single" w:sz="4" w:space="0" w:color="BFBFBF"/>
              <w:left w:val="nil"/>
              <w:bottom w:val="single" w:sz="4" w:space="0" w:color="BFBFBF"/>
              <w:right w:val="nil"/>
            </w:tcBorders>
            <w:shd w:val="clear" w:color="000000" w:fill="FFFFFF"/>
            <w:noWrap/>
            <w:vAlign w:val="bottom"/>
            <w:hideMark/>
          </w:tcPr>
          <w:p w14:paraId="06679ADE"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726 </w:t>
            </w:r>
          </w:p>
        </w:tc>
        <w:tc>
          <w:tcPr>
            <w:tcW w:w="222" w:type="dxa"/>
            <w:vAlign w:val="center"/>
            <w:hideMark/>
          </w:tcPr>
          <w:p w14:paraId="4FACF30B"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3B2DEAFA" w14:textId="77777777" w:rsidTr="00B45CA4">
        <w:trPr>
          <w:trHeight w:val="469"/>
        </w:trPr>
        <w:tc>
          <w:tcPr>
            <w:tcW w:w="2460" w:type="dxa"/>
            <w:tcBorders>
              <w:top w:val="nil"/>
              <w:left w:val="nil"/>
              <w:bottom w:val="nil"/>
              <w:right w:val="nil"/>
            </w:tcBorders>
            <w:shd w:val="clear" w:color="000000" w:fill="FFFFFF"/>
            <w:noWrap/>
            <w:vAlign w:val="bottom"/>
            <w:hideMark/>
          </w:tcPr>
          <w:p w14:paraId="20349637"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860" w:type="dxa"/>
            <w:tcBorders>
              <w:top w:val="nil"/>
              <w:left w:val="nil"/>
              <w:bottom w:val="nil"/>
              <w:right w:val="nil"/>
            </w:tcBorders>
            <w:shd w:val="clear" w:color="000000" w:fill="FFFFFF"/>
            <w:noWrap/>
            <w:vAlign w:val="bottom"/>
            <w:hideMark/>
          </w:tcPr>
          <w:p w14:paraId="1C738F74"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600" w:type="dxa"/>
            <w:tcBorders>
              <w:top w:val="nil"/>
              <w:left w:val="nil"/>
              <w:bottom w:val="nil"/>
              <w:right w:val="nil"/>
            </w:tcBorders>
            <w:shd w:val="clear" w:color="000000" w:fill="FFFFFF"/>
            <w:noWrap/>
            <w:vAlign w:val="bottom"/>
            <w:hideMark/>
          </w:tcPr>
          <w:p w14:paraId="185315F5"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600" w:type="dxa"/>
            <w:tcBorders>
              <w:top w:val="nil"/>
              <w:left w:val="nil"/>
              <w:bottom w:val="nil"/>
              <w:right w:val="nil"/>
            </w:tcBorders>
            <w:shd w:val="clear" w:color="000000" w:fill="FFFFFF"/>
            <w:noWrap/>
            <w:vAlign w:val="bottom"/>
            <w:hideMark/>
          </w:tcPr>
          <w:p w14:paraId="467E100D"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840" w:type="dxa"/>
            <w:tcBorders>
              <w:top w:val="nil"/>
              <w:left w:val="nil"/>
              <w:bottom w:val="nil"/>
              <w:right w:val="nil"/>
            </w:tcBorders>
            <w:shd w:val="clear" w:color="000000" w:fill="FFFFFF"/>
            <w:noWrap/>
            <w:vAlign w:val="bottom"/>
            <w:hideMark/>
          </w:tcPr>
          <w:p w14:paraId="6D3A9777" w14:textId="77777777" w:rsidR="005A303B" w:rsidRPr="005A303B" w:rsidRDefault="005A303B" w:rsidP="005A303B">
            <w:pPr>
              <w:spacing w:after="0" w:line="240" w:lineRule="auto"/>
              <w:rPr>
                <w:rFonts w:ascii="Arial" w:eastAsia="Times New Roman" w:hAnsi="Arial" w:cs="Arial"/>
                <w:b/>
                <w:bCs/>
                <w:sz w:val="18"/>
                <w:szCs w:val="18"/>
                <w:lang w:eastAsia="en-GB"/>
              </w:rPr>
            </w:pPr>
            <w:r w:rsidRPr="005A303B">
              <w:rPr>
                <w:rFonts w:ascii="Arial" w:eastAsia="Times New Roman" w:hAnsi="Arial" w:cs="Arial"/>
                <w:b/>
                <w:bCs/>
                <w:sz w:val="18"/>
                <w:szCs w:val="18"/>
                <w:lang w:eastAsia="en-GB"/>
              </w:rPr>
              <w:t> </w:t>
            </w:r>
          </w:p>
        </w:tc>
        <w:tc>
          <w:tcPr>
            <w:tcW w:w="1540" w:type="dxa"/>
            <w:tcBorders>
              <w:top w:val="nil"/>
              <w:left w:val="nil"/>
              <w:bottom w:val="nil"/>
              <w:right w:val="nil"/>
            </w:tcBorders>
            <w:shd w:val="clear" w:color="000000" w:fill="FFFFFF"/>
            <w:noWrap/>
            <w:vAlign w:val="bottom"/>
            <w:hideMark/>
          </w:tcPr>
          <w:p w14:paraId="7BD19AC6" w14:textId="77777777" w:rsidR="005A303B" w:rsidRPr="005A303B" w:rsidRDefault="005A303B" w:rsidP="005A303B">
            <w:pPr>
              <w:spacing w:after="0" w:line="240" w:lineRule="auto"/>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 </w:t>
            </w:r>
          </w:p>
        </w:tc>
        <w:tc>
          <w:tcPr>
            <w:tcW w:w="1540" w:type="dxa"/>
            <w:tcBorders>
              <w:top w:val="nil"/>
              <w:left w:val="nil"/>
              <w:bottom w:val="nil"/>
              <w:right w:val="nil"/>
            </w:tcBorders>
            <w:shd w:val="clear" w:color="000000" w:fill="FFFFFF"/>
            <w:noWrap/>
            <w:vAlign w:val="bottom"/>
            <w:hideMark/>
          </w:tcPr>
          <w:p w14:paraId="332BA986" w14:textId="77777777" w:rsidR="005A303B" w:rsidRPr="005A303B" w:rsidRDefault="005A303B" w:rsidP="005A303B">
            <w:pPr>
              <w:spacing w:after="0" w:line="240" w:lineRule="auto"/>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 </w:t>
            </w:r>
          </w:p>
        </w:tc>
        <w:tc>
          <w:tcPr>
            <w:tcW w:w="1540" w:type="dxa"/>
            <w:tcBorders>
              <w:top w:val="nil"/>
              <w:left w:val="nil"/>
              <w:bottom w:val="nil"/>
              <w:right w:val="nil"/>
            </w:tcBorders>
            <w:shd w:val="clear" w:color="000000" w:fill="FFFFFF"/>
            <w:noWrap/>
            <w:vAlign w:val="bottom"/>
            <w:hideMark/>
          </w:tcPr>
          <w:p w14:paraId="2D133C71" w14:textId="77777777" w:rsidR="005A303B" w:rsidRPr="005A303B" w:rsidRDefault="005A303B" w:rsidP="005A303B">
            <w:pPr>
              <w:spacing w:after="0" w:line="240" w:lineRule="auto"/>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 </w:t>
            </w:r>
          </w:p>
        </w:tc>
        <w:tc>
          <w:tcPr>
            <w:tcW w:w="222" w:type="dxa"/>
            <w:vAlign w:val="center"/>
            <w:hideMark/>
          </w:tcPr>
          <w:p w14:paraId="56028ED2"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454EA8" w:rsidRPr="005A303B" w14:paraId="6D6F598A" w14:textId="77777777" w:rsidTr="00B45CA4">
        <w:trPr>
          <w:trHeight w:val="402"/>
        </w:trPr>
        <w:tc>
          <w:tcPr>
            <w:tcW w:w="5360" w:type="dxa"/>
            <w:gridSpan w:val="5"/>
            <w:tcBorders>
              <w:top w:val="single" w:sz="4" w:space="0" w:color="BFBFBF"/>
              <w:left w:val="single" w:sz="4" w:space="0" w:color="BFBFBF"/>
              <w:bottom w:val="single" w:sz="4" w:space="0" w:color="BFBFBF"/>
              <w:right w:val="nil"/>
            </w:tcBorders>
            <w:shd w:val="clear" w:color="auto" w:fill="auto"/>
            <w:noWrap/>
            <w:vAlign w:val="center"/>
            <w:hideMark/>
          </w:tcPr>
          <w:p w14:paraId="6B9C46BE" w14:textId="77777777" w:rsidR="00454EA8" w:rsidRPr="005A303B" w:rsidRDefault="00454EA8" w:rsidP="00454EA8">
            <w:pPr>
              <w:spacing w:after="0" w:line="240" w:lineRule="auto"/>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Percentage of Cost of Sales (before deducting Supplier Income)</w:t>
            </w:r>
          </w:p>
        </w:tc>
        <w:tc>
          <w:tcPr>
            <w:tcW w:w="1540" w:type="dxa"/>
            <w:tcBorders>
              <w:top w:val="single" w:sz="4" w:space="0" w:color="BFBFBF"/>
              <w:left w:val="nil"/>
              <w:bottom w:val="single" w:sz="4" w:space="0" w:color="BFBFBF"/>
              <w:right w:val="nil"/>
            </w:tcBorders>
            <w:shd w:val="clear" w:color="auto" w:fill="auto"/>
            <w:noWrap/>
            <w:vAlign w:val="center"/>
            <w:hideMark/>
          </w:tcPr>
          <w:p w14:paraId="6552E3A1" w14:textId="77777777" w:rsidR="00454EA8" w:rsidRPr="005A303B" w:rsidRDefault="00454EA8" w:rsidP="00454EA8">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w:t>
            </w:r>
          </w:p>
        </w:tc>
        <w:tc>
          <w:tcPr>
            <w:tcW w:w="1540" w:type="dxa"/>
            <w:tcBorders>
              <w:top w:val="single" w:sz="4" w:space="0" w:color="BFBFBF"/>
              <w:left w:val="nil"/>
              <w:bottom w:val="single" w:sz="4" w:space="0" w:color="BFBFBF"/>
              <w:right w:val="nil"/>
            </w:tcBorders>
            <w:shd w:val="clear" w:color="auto" w:fill="auto"/>
            <w:vAlign w:val="center"/>
            <w:hideMark/>
          </w:tcPr>
          <w:p w14:paraId="37F37407" w14:textId="1CF9FBA9" w:rsidR="00454EA8" w:rsidRPr="005A303B" w:rsidRDefault="00454EA8" w:rsidP="00454EA8">
            <w:pPr>
              <w:spacing w:after="0" w:line="240" w:lineRule="auto"/>
              <w:jc w:val="right"/>
              <w:rPr>
                <w:rFonts w:ascii="Arial" w:eastAsia="Times New Roman" w:hAnsi="Arial" w:cs="Arial"/>
                <w:sz w:val="15"/>
                <w:szCs w:val="15"/>
                <w:lang w:eastAsia="en-GB"/>
              </w:rPr>
            </w:pPr>
            <w:r w:rsidRPr="00080886">
              <w:rPr>
                <w:rFonts w:ascii="Arial" w:eastAsia="Times New Roman" w:hAnsi="Arial" w:cs="Arial"/>
                <w:sz w:val="15"/>
                <w:szCs w:val="15"/>
                <w:lang w:eastAsia="en-GB"/>
              </w:rPr>
              <w:t>%</w:t>
            </w:r>
          </w:p>
        </w:tc>
        <w:tc>
          <w:tcPr>
            <w:tcW w:w="1540" w:type="dxa"/>
            <w:tcBorders>
              <w:top w:val="single" w:sz="4" w:space="0" w:color="BFBFBF"/>
              <w:left w:val="nil"/>
              <w:bottom w:val="single" w:sz="4" w:space="0" w:color="BFBFBF"/>
              <w:right w:val="single" w:sz="4" w:space="0" w:color="BFBFBF"/>
            </w:tcBorders>
            <w:shd w:val="clear" w:color="auto" w:fill="auto"/>
            <w:vAlign w:val="center"/>
            <w:hideMark/>
          </w:tcPr>
          <w:p w14:paraId="11B6F089" w14:textId="1678801F" w:rsidR="00454EA8" w:rsidRPr="005A303B" w:rsidRDefault="00454EA8" w:rsidP="00454EA8">
            <w:pPr>
              <w:spacing w:after="0" w:line="240" w:lineRule="auto"/>
              <w:jc w:val="right"/>
              <w:rPr>
                <w:rFonts w:ascii="Arial" w:eastAsia="Times New Roman" w:hAnsi="Arial" w:cs="Arial"/>
                <w:sz w:val="15"/>
                <w:szCs w:val="15"/>
                <w:lang w:eastAsia="en-GB"/>
              </w:rPr>
            </w:pPr>
            <w:r w:rsidRPr="00080886">
              <w:rPr>
                <w:rFonts w:ascii="Arial" w:eastAsia="Times New Roman" w:hAnsi="Arial" w:cs="Arial"/>
                <w:sz w:val="15"/>
                <w:szCs w:val="15"/>
                <w:lang w:eastAsia="en-GB"/>
              </w:rPr>
              <w:t>%</w:t>
            </w:r>
          </w:p>
        </w:tc>
        <w:tc>
          <w:tcPr>
            <w:tcW w:w="222" w:type="dxa"/>
            <w:vAlign w:val="center"/>
            <w:hideMark/>
          </w:tcPr>
          <w:p w14:paraId="32366FE4" w14:textId="77777777" w:rsidR="00454EA8" w:rsidRPr="005A303B" w:rsidRDefault="00454EA8" w:rsidP="00454EA8">
            <w:pPr>
              <w:spacing w:after="0" w:line="240" w:lineRule="auto"/>
              <w:rPr>
                <w:rFonts w:ascii="Times New Roman" w:eastAsia="Times New Roman" w:hAnsi="Times New Roman" w:cs="Times New Roman"/>
                <w:sz w:val="20"/>
                <w:szCs w:val="20"/>
                <w:lang w:eastAsia="en-GB"/>
              </w:rPr>
            </w:pPr>
          </w:p>
        </w:tc>
      </w:tr>
      <w:tr w:rsidR="005A303B" w:rsidRPr="005A303B" w14:paraId="1C97A83C" w14:textId="77777777" w:rsidTr="00B45CA4">
        <w:trPr>
          <w:trHeight w:val="282"/>
        </w:trPr>
        <w:tc>
          <w:tcPr>
            <w:tcW w:w="2460" w:type="dxa"/>
            <w:tcBorders>
              <w:top w:val="nil"/>
              <w:left w:val="nil"/>
              <w:bottom w:val="nil"/>
              <w:right w:val="nil"/>
            </w:tcBorders>
            <w:shd w:val="clear" w:color="000000" w:fill="FFFFFF"/>
            <w:noWrap/>
            <w:vAlign w:val="bottom"/>
            <w:hideMark/>
          </w:tcPr>
          <w:p w14:paraId="63CAE98F"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Food - Long-term agreements</w:t>
            </w:r>
          </w:p>
        </w:tc>
        <w:tc>
          <w:tcPr>
            <w:tcW w:w="860" w:type="dxa"/>
            <w:tcBorders>
              <w:top w:val="nil"/>
              <w:left w:val="nil"/>
              <w:bottom w:val="nil"/>
              <w:right w:val="nil"/>
            </w:tcBorders>
            <w:shd w:val="clear" w:color="000000" w:fill="FFFFFF"/>
            <w:noWrap/>
            <w:vAlign w:val="bottom"/>
            <w:hideMark/>
          </w:tcPr>
          <w:p w14:paraId="7A6EF879"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000000" w:fill="FFFFFF"/>
            <w:noWrap/>
            <w:vAlign w:val="bottom"/>
            <w:hideMark/>
          </w:tcPr>
          <w:p w14:paraId="0E3F3EE2"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000000" w:fill="FFFFFF"/>
            <w:noWrap/>
            <w:vAlign w:val="bottom"/>
            <w:hideMark/>
          </w:tcPr>
          <w:p w14:paraId="2B5C2092"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nil"/>
              <w:right w:val="nil"/>
            </w:tcBorders>
            <w:shd w:val="clear" w:color="000000" w:fill="FFFFFF"/>
            <w:noWrap/>
            <w:vAlign w:val="bottom"/>
            <w:hideMark/>
          </w:tcPr>
          <w:p w14:paraId="085A4AEC"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nil"/>
              <w:right w:val="nil"/>
            </w:tcBorders>
            <w:shd w:val="clear" w:color="auto" w:fill="CCECFF"/>
            <w:noWrap/>
            <w:vAlign w:val="bottom"/>
            <w:hideMark/>
          </w:tcPr>
          <w:p w14:paraId="0AF8F6F6"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2.5%</w:t>
            </w:r>
          </w:p>
        </w:tc>
        <w:tc>
          <w:tcPr>
            <w:tcW w:w="1540" w:type="dxa"/>
            <w:tcBorders>
              <w:top w:val="nil"/>
              <w:left w:val="nil"/>
              <w:bottom w:val="nil"/>
              <w:right w:val="nil"/>
            </w:tcBorders>
            <w:shd w:val="clear" w:color="000000" w:fill="FFFFFF"/>
            <w:noWrap/>
            <w:vAlign w:val="bottom"/>
            <w:hideMark/>
          </w:tcPr>
          <w:p w14:paraId="0C26E9D4"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2.5%</w:t>
            </w:r>
          </w:p>
        </w:tc>
        <w:tc>
          <w:tcPr>
            <w:tcW w:w="1540" w:type="dxa"/>
            <w:tcBorders>
              <w:top w:val="nil"/>
              <w:left w:val="nil"/>
              <w:bottom w:val="nil"/>
              <w:right w:val="nil"/>
            </w:tcBorders>
            <w:shd w:val="clear" w:color="000000" w:fill="FFFFFF"/>
            <w:noWrap/>
            <w:vAlign w:val="bottom"/>
            <w:hideMark/>
          </w:tcPr>
          <w:p w14:paraId="4BE50ECE"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2.6%</w:t>
            </w:r>
          </w:p>
        </w:tc>
        <w:tc>
          <w:tcPr>
            <w:tcW w:w="222" w:type="dxa"/>
            <w:vAlign w:val="center"/>
            <w:hideMark/>
          </w:tcPr>
          <w:p w14:paraId="2D75D5CB"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5E528130" w14:textId="77777777" w:rsidTr="00B45CA4">
        <w:trPr>
          <w:trHeight w:val="282"/>
        </w:trPr>
        <w:tc>
          <w:tcPr>
            <w:tcW w:w="2460" w:type="dxa"/>
            <w:tcBorders>
              <w:top w:val="nil"/>
              <w:left w:val="nil"/>
              <w:bottom w:val="nil"/>
              <w:right w:val="nil"/>
            </w:tcBorders>
            <w:shd w:val="clear" w:color="000000" w:fill="FFFFFF"/>
            <w:noWrap/>
            <w:vAlign w:val="bottom"/>
            <w:hideMark/>
          </w:tcPr>
          <w:p w14:paraId="011DD753"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Food - Bonus income</w:t>
            </w:r>
          </w:p>
        </w:tc>
        <w:tc>
          <w:tcPr>
            <w:tcW w:w="860" w:type="dxa"/>
            <w:tcBorders>
              <w:top w:val="nil"/>
              <w:left w:val="nil"/>
              <w:bottom w:val="nil"/>
              <w:right w:val="nil"/>
            </w:tcBorders>
            <w:shd w:val="clear" w:color="000000" w:fill="FFFFFF"/>
            <w:noWrap/>
            <w:vAlign w:val="bottom"/>
            <w:hideMark/>
          </w:tcPr>
          <w:p w14:paraId="70DA303D"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000000" w:fill="FFFFFF"/>
            <w:noWrap/>
            <w:vAlign w:val="bottom"/>
            <w:hideMark/>
          </w:tcPr>
          <w:p w14:paraId="7D7990FD"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000000" w:fill="FFFFFF"/>
            <w:noWrap/>
            <w:vAlign w:val="bottom"/>
            <w:hideMark/>
          </w:tcPr>
          <w:p w14:paraId="3BBC36D1"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nil"/>
              <w:right w:val="nil"/>
            </w:tcBorders>
            <w:shd w:val="clear" w:color="000000" w:fill="FFFFFF"/>
            <w:noWrap/>
            <w:vAlign w:val="bottom"/>
            <w:hideMark/>
          </w:tcPr>
          <w:p w14:paraId="3E8FC1F9"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nil"/>
              <w:right w:val="nil"/>
            </w:tcBorders>
            <w:shd w:val="clear" w:color="auto" w:fill="CCECFF"/>
            <w:noWrap/>
            <w:vAlign w:val="bottom"/>
            <w:hideMark/>
          </w:tcPr>
          <w:p w14:paraId="2C114354"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0.7%</w:t>
            </w:r>
          </w:p>
        </w:tc>
        <w:tc>
          <w:tcPr>
            <w:tcW w:w="1540" w:type="dxa"/>
            <w:tcBorders>
              <w:top w:val="nil"/>
              <w:left w:val="nil"/>
              <w:bottom w:val="nil"/>
              <w:right w:val="nil"/>
            </w:tcBorders>
            <w:shd w:val="clear" w:color="000000" w:fill="FFFFFF"/>
            <w:noWrap/>
            <w:vAlign w:val="bottom"/>
            <w:hideMark/>
          </w:tcPr>
          <w:p w14:paraId="2D50A723"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0.8%</w:t>
            </w:r>
          </w:p>
        </w:tc>
        <w:tc>
          <w:tcPr>
            <w:tcW w:w="1540" w:type="dxa"/>
            <w:tcBorders>
              <w:top w:val="nil"/>
              <w:left w:val="nil"/>
              <w:bottom w:val="nil"/>
              <w:right w:val="nil"/>
            </w:tcBorders>
            <w:shd w:val="clear" w:color="000000" w:fill="FFFFFF"/>
            <w:noWrap/>
            <w:vAlign w:val="bottom"/>
            <w:hideMark/>
          </w:tcPr>
          <w:p w14:paraId="0A28B758"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1.4%</w:t>
            </w:r>
          </w:p>
        </w:tc>
        <w:tc>
          <w:tcPr>
            <w:tcW w:w="222" w:type="dxa"/>
            <w:vAlign w:val="center"/>
            <w:hideMark/>
          </w:tcPr>
          <w:p w14:paraId="570E6556"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368E0904" w14:textId="77777777" w:rsidTr="00B45CA4">
        <w:trPr>
          <w:trHeight w:val="282"/>
        </w:trPr>
        <w:tc>
          <w:tcPr>
            <w:tcW w:w="2460" w:type="dxa"/>
            <w:tcBorders>
              <w:top w:val="nil"/>
              <w:left w:val="nil"/>
              <w:bottom w:val="single" w:sz="4" w:space="0" w:color="BFBFBF"/>
              <w:right w:val="nil"/>
            </w:tcBorders>
            <w:shd w:val="clear" w:color="000000" w:fill="FFFFFF"/>
            <w:noWrap/>
            <w:vAlign w:val="bottom"/>
            <w:hideMark/>
          </w:tcPr>
          <w:p w14:paraId="1E32EC53"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Food - Promotional income</w:t>
            </w:r>
          </w:p>
        </w:tc>
        <w:tc>
          <w:tcPr>
            <w:tcW w:w="860" w:type="dxa"/>
            <w:tcBorders>
              <w:top w:val="nil"/>
              <w:left w:val="nil"/>
              <w:bottom w:val="single" w:sz="4" w:space="0" w:color="BFBFBF"/>
              <w:right w:val="nil"/>
            </w:tcBorders>
            <w:shd w:val="clear" w:color="000000" w:fill="FFFFFF"/>
            <w:noWrap/>
            <w:vAlign w:val="bottom"/>
            <w:hideMark/>
          </w:tcPr>
          <w:p w14:paraId="22A0F67C"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single" w:sz="4" w:space="0" w:color="BFBFBF"/>
              <w:right w:val="nil"/>
            </w:tcBorders>
            <w:shd w:val="clear" w:color="000000" w:fill="FFFFFF"/>
            <w:noWrap/>
            <w:vAlign w:val="bottom"/>
            <w:hideMark/>
          </w:tcPr>
          <w:p w14:paraId="141CADB8"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single" w:sz="4" w:space="0" w:color="BFBFBF"/>
              <w:right w:val="nil"/>
            </w:tcBorders>
            <w:shd w:val="clear" w:color="000000" w:fill="FFFFFF"/>
            <w:noWrap/>
            <w:vAlign w:val="bottom"/>
            <w:hideMark/>
          </w:tcPr>
          <w:p w14:paraId="2B4127F0"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single" w:sz="4" w:space="0" w:color="BFBFBF"/>
              <w:right w:val="nil"/>
            </w:tcBorders>
            <w:shd w:val="clear" w:color="000000" w:fill="FFFFFF"/>
            <w:noWrap/>
            <w:vAlign w:val="bottom"/>
            <w:hideMark/>
          </w:tcPr>
          <w:p w14:paraId="7DA5EF96"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single" w:sz="4" w:space="0" w:color="BFBFBF"/>
              <w:right w:val="nil"/>
            </w:tcBorders>
            <w:shd w:val="clear" w:color="auto" w:fill="CCECFF"/>
            <w:noWrap/>
            <w:vAlign w:val="bottom"/>
            <w:hideMark/>
          </w:tcPr>
          <w:p w14:paraId="61E53FAE"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4.8%</w:t>
            </w:r>
          </w:p>
        </w:tc>
        <w:tc>
          <w:tcPr>
            <w:tcW w:w="1540" w:type="dxa"/>
            <w:tcBorders>
              <w:top w:val="nil"/>
              <w:left w:val="nil"/>
              <w:bottom w:val="single" w:sz="4" w:space="0" w:color="BFBFBF"/>
              <w:right w:val="nil"/>
            </w:tcBorders>
            <w:shd w:val="clear" w:color="000000" w:fill="FFFFFF"/>
            <w:noWrap/>
            <w:vAlign w:val="bottom"/>
            <w:hideMark/>
          </w:tcPr>
          <w:p w14:paraId="32C8EF85"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5.8%</w:t>
            </w:r>
          </w:p>
        </w:tc>
        <w:tc>
          <w:tcPr>
            <w:tcW w:w="1540" w:type="dxa"/>
            <w:tcBorders>
              <w:top w:val="nil"/>
              <w:left w:val="nil"/>
              <w:bottom w:val="single" w:sz="4" w:space="0" w:color="BFBFBF"/>
              <w:right w:val="nil"/>
            </w:tcBorders>
            <w:shd w:val="clear" w:color="000000" w:fill="FFFFFF"/>
            <w:noWrap/>
            <w:vAlign w:val="bottom"/>
            <w:hideMark/>
          </w:tcPr>
          <w:p w14:paraId="61999E13"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5.7%</w:t>
            </w:r>
          </w:p>
        </w:tc>
        <w:tc>
          <w:tcPr>
            <w:tcW w:w="222" w:type="dxa"/>
            <w:vAlign w:val="center"/>
            <w:hideMark/>
          </w:tcPr>
          <w:p w14:paraId="5D523A28"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31B317C9" w14:textId="77777777" w:rsidTr="00B45CA4">
        <w:trPr>
          <w:trHeight w:val="282"/>
        </w:trPr>
        <w:tc>
          <w:tcPr>
            <w:tcW w:w="3320" w:type="dxa"/>
            <w:gridSpan w:val="2"/>
            <w:tcBorders>
              <w:top w:val="single" w:sz="4" w:space="0" w:color="BFBFBF"/>
              <w:left w:val="nil"/>
              <w:bottom w:val="single" w:sz="4" w:space="0" w:color="BFBFBF"/>
              <w:right w:val="nil"/>
            </w:tcBorders>
            <w:shd w:val="clear" w:color="000000" w:fill="FFFFFF"/>
            <w:noWrap/>
            <w:vAlign w:val="bottom"/>
            <w:hideMark/>
          </w:tcPr>
          <w:p w14:paraId="01FCBB4B" w14:textId="77777777" w:rsidR="005A303B" w:rsidRPr="005A303B" w:rsidRDefault="005A303B" w:rsidP="005A303B">
            <w:pPr>
              <w:spacing w:after="0" w:line="240" w:lineRule="auto"/>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Total Food supplier income %</w:t>
            </w:r>
          </w:p>
        </w:tc>
        <w:tc>
          <w:tcPr>
            <w:tcW w:w="600" w:type="dxa"/>
            <w:tcBorders>
              <w:top w:val="nil"/>
              <w:left w:val="nil"/>
              <w:bottom w:val="single" w:sz="4" w:space="0" w:color="BFBFBF"/>
              <w:right w:val="nil"/>
            </w:tcBorders>
            <w:shd w:val="clear" w:color="000000" w:fill="FFFFFF"/>
            <w:noWrap/>
            <w:vAlign w:val="bottom"/>
            <w:hideMark/>
          </w:tcPr>
          <w:p w14:paraId="57A9E1BE"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single" w:sz="4" w:space="0" w:color="BFBFBF"/>
              <w:right w:val="nil"/>
            </w:tcBorders>
            <w:shd w:val="clear" w:color="000000" w:fill="FFFFFF"/>
            <w:noWrap/>
            <w:vAlign w:val="bottom"/>
            <w:hideMark/>
          </w:tcPr>
          <w:p w14:paraId="2B462A64"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single" w:sz="4" w:space="0" w:color="BFBFBF"/>
              <w:right w:val="nil"/>
            </w:tcBorders>
            <w:shd w:val="clear" w:color="000000" w:fill="FFFFFF"/>
            <w:noWrap/>
            <w:vAlign w:val="bottom"/>
            <w:hideMark/>
          </w:tcPr>
          <w:p w14:paraId="3DD50C2E"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single" w:sz="4" w:space="0" w:color="BFBFBF"/>
              <w:right w:val="nil"/>
            </w:tcBorders>
            <w:shd w:val="clear" w:color="auto" w:fill="CCECFF"/>
            <w:noWrap/>
            <w:vAlign w:val="bottom"/>
            <w:hideMark/>
          </w:tcPr>
          <w:p w14:paraId="31410FFC"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8.0%</w:t>
            </w:r>
          </w:p>
        </w:tc>
        <w:tc>
          <w:tcPr>
            <w:tcW w:w="1540" w:type="dxa"/>
            <w:tcBorders>
              <w:top w:val="nil"/>
              <w:left w:val="nil"/>
              <w:bottom w:val="single" w:sz="4" w:space="0" w:color="BFBFBF"/>
              <w:right w:val="nil"/>
            </w:tcBorders>
            <w:shd w:val="clear" w:color="000000" w:fill="FFFFFF"/>
            <w:noWrap/>
            <w:vAlign w:val="bottom"/>
            <w:hideMark/>
          </w:tcPr>
          <w:p w14:paraId="280F1722"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9.2%</w:t>
            </w:r>
          </w:p>
        </w:tc>
        <w:tc>
          <w:tcPr>
            <w:tcW w:w="1540" w:type="dxa"/>
            <w:tcBorders>
              <w:top w:val="nil"/>
              <w:left w:val="nil"/>
              <w:bottom w:val="single" w:sz="4" w:space="0" w:color="BFBFBF"/>
              <w:right w:val="nil"/>
            </w:tcBorders>
            <w:shd w:val="clear" w:color="000000" w:fill="FFFFFF"/>
            <w:noWrap/>
            <w:vAlign w:val="bottom"/>
            <w:hideMark/>
          </w:tcPr>
          <w:p w14:paraId="65F72BFF"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9.7%</w:t>
            </w:r>
          </w:p>
        </w:tc>
        <w:tc>
          <w:tcPr>
            <w:tcW w:w="222" w:type="dxa"/>
            <w:vAlign w:val="center"/>
            <w:hideMark/>
          </w:tcPr>
          <w:p w14:paraId="565FBBC3"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2E09C59F" w14:textId="77777777" w:rsidTr="00B45CA4">
        <w:trPr>
          <w:trHeight w:val="282"/>
        </w:trPr>
        <w:tc>
          <w:tcPr>
            <w:tcW w:w="3320" w:type="dxa"/>
            <w:gridSpan w:val="2"/>
            <w:tcBorders>
              <w:top w:val="nil"/>
              <w:left w:val="nil"/>
              <w:bottom w:val="nil"/>
              <w:right w:val="nil"/>
            </w:tcBorders>
            <w:shd w:val="clear" w:color="000000" w:fill="FFFFFF"/>
            <w:noWrap/>
            <w:vAlign w:val="bottom"/>
            <w:hideMark/>
          </w:tcPr>
          <w:p w14:paraId="3EA43BBB"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Wholesale - Long-term agreements</w:t>
            </w:r>
          </w:p>
        </w:tc>
        <w:tc>
          <w:tcPr>
            <w:tcW w:w="600" w:type="dxa"/>
            <w:tcBorders>
              <w:top w:val="nil"/>
              <w:left w:val="nil"/>
              <w:bottom w:val="nil"/>
              <w:right w:val="nil"/>
            </w:tcBorders>
            <w:shd w:val="clear" w:color="000000" w:fill="FFFFFF"/>
            <w:noWrap/>
            <w:vAlign w:val="bottom"/>
            <w:hideMark/>
          </w:tcPr>
          <w:p w14:paraId="3D945A3D"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000000" w:fill="FFFFFF"/>
            <w:noWrap/>
            <w:vAlign w:val="bottom"/>
            <w:hideMark/>
          </w:tcPr>
          <w:p w14:paraId="7F569FD0"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nil"/>
              <w:right w:val="nil"/>
            </w:tcBorders>
            <w:shd w:val="clear" w:color="000000" w:fill="FFFFFF"/>
            <w:noWrap/>
            <w:vAlign w:val="bottom"/>
            <w:hideMark/>
          </w:tcPr>
          <w:p w14:paraId="393DDD9B"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nil"/>
              <w:right w:val="nil"/>
            </w:tcBorders>
            <w:shd w:val="clear" w:color="auto" w:fill="CCECFF"/>
            <w:noWrap/>
            <w:vAlign w:val="bottom"/>
            <w:hideMark/>
          </w:tcPr>
          <w:p w14:paraId="156B64A5"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1.9%</w:t>
            </w:r>
          </w:p>
        </w:tc>
        <w:tc>
          <w:tcPr>
            <w:tcW w:w="1540" w:type="dxa"/>
            <w:tcBorders>
              <w:top w:val="nil"/>
              <w:left w:val="nil"/>
              <w:bottom w:val="nil"/>
              <w:right w:val="nil"/>
            </w:tcBorders>
            <w:shd w:val="clear" w:color="000000" w:fill="FFFFFF"/>
            <w:noWrap/>
            <w:vAlign w:val="bottom"/>
            <w:hideMark/>
          </w:tcPr>
          <w:p w14:paraId="5400BF8B"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1.8%</w:t>
            </w:r>
          </w:p>
        </w:tc>
        <w:tc>
          <w:tcPr>
            <w:tcW w:w="1540" w:type="dxa"/>
            <w:tcBorders>
              <w:top w:val="nil"/>
              <w:left w:val="nil"/>
              <w:bottom w:val="nil"/>
              <w:right w:val="nil"/>
            </w:tcBorders>
            <w:shd w:val="clear" w:color="000000" w:fill="FFFFFF"/>
            <w:noWrap/>
            <w:vAlign w:val="bottom"/>
            <w:hideMark/>
          </w:tcPr>
          <w:p w14:paraId="3BC11AC7"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2.0%</w:t>
            </w:r>
          </w:p>
        </w:tc>
        <w:tc>
          <w:tcPr>
            <w:tcW w:w="222" w:type="dxa"/>
            <w:vAlign w:val="center"/>
            <w:hideMark/>
          </w:tcPr>
          <w:p w14:paraId="7A2D119E"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36EC83C8" w14:textId="77777777" w:rsidTr="00B45CA4">
        <w:trPr>
          <w:trHeight w:val="282"/>
        </w:trPr>
        <w:tc>
          <w:tcPr>
            <w:tcW w:w="2460" w:type="dxa"/>
            <w:tcBorders>
              <w:top w:val="nil"/>
              <w:left w:val="nil"/>
              <w:bottom w:val="nil"/>
              <w:right w:val="nil"/>
            </w:tcBorders>
            <w:shd w:val="clear" w:color="000000" w:fill="FFFFFF"/>
            <w:noWrap/>
            <w:vAlign w:val="bottom"/>
            <w:hideMark/>
          </w:tcPr>
          <w:p w14:paraId="47EF3BE7"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Wholesale - Bonus income</w:t>
            </w:r>
          </w:p>
        </w:tc>
        <w:tc>
          <w:tcPr>
            <w:tcW w:w="860" w:type="dxa"/>
            <w:tcBorders>
              <w:top w:val="nil"/>
              <w:left w:val="nil"/>
              <w:bottom w:val="nil"/>
              <w:right w:val="nil"/>
            </w:tcBorders>
            <w:shd w:val="clear" w:color="000000" w:fill="FFFFFF"/>
            <w:noWrap/>
            <w:vAlign w:val="bottom"/>
            <w:hideMark/>
          </w:tcPr>
          <w:p w14:paraId="3FD9F046"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000000" w:fill="FFFFFF"/>
            <w:noWrap/>
            <w:vAlign w:val="bottom"/>
            <w:hideMark/>
          </w:tcPr>
          <w:p w14:paraId="26E381BA"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000000" w:fill="FFFFFF"/>
            <w:noWrap/>
            <w:vAlign w:val="bottom"/>
            <w:hideMark/>
          </w:tcPr>
          <w:p w14:paraId="00F47D50"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nil"/>
              <w:right w:val="nil"/>
            </w:tcBorders>
            <w:shd w:val="clear" w:color="000000" w:fill="FFFFFF"/>
            <w:noWrap/>
            <w:vAlign w:val="bottom"/>
            <w:hideMark/>
          </w:tcPr>
          <w:p w14:paraId="3E781724"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nil"/>
              <w:right w:val="nil"/>
            </w:tcBorders>
            <w:shd w:val="clear" w:color="auto" w:fill="CCECFF"/>
            <w:noWrap/>
            <w:vAlign w:val="bottom"/>
            <w:hideMark/>
          </w:tcPr>
          <w:p w14:paraId="201C98F2"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0.7%</w:t>
            </w:r>
          </w:p>
        </w:tc>
        <w:tc>
          <w:tcPr>
            <w:tcW w:w="1540" w:type="dxa"/>
            <w:tcBorders>
              <w:top w:val="nil"/>
              <w:left w:val="nil"/>
              <w:bottom w:val="nil"/>
              <w:right w:val="nil"/>
            </w:tcBorders>
            <w:shd w:val="clear" w:color="000000" w:fill="FFFFFF"/>
            <w:noWrap/>
            <w:vAlign w:val="bottom"/>
            <w:hideMark/>
          </w:tcPr>
          <w:p w14:paraId="04244B31"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1.1%</w:t>
            </w:r>
          </w:p>
        </w:tc>
        <w:tc>
          <w:tcPr>
            <w:tcW w:w="1540" w:type="dxa"/>
            <w:tcBorders>
              <w:top w:val="nil"/>
              <w:left w:val="nil"/>
              <w:bottom w:val="nil"/>
              <w:right w:val="nil"/>
            </w:tcBorders>
            <w:shd w:val="clear" w:color="000000" w:fill="FFFFFF"/>
            <w:noWrap/>
            <w:vAlign w:val="bottom"/>
            <w:hideMark/>
          </w:tcPr>
          <w:p w14:paraId="7F655104"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1.4%</w:t>
            </w:r>
          </w:p>
        </w:tc>
        <w:tc>
          <w:tcPr>
            <w:tcW w:w="222" w:type="dxa"/>
            <w:vAlign w:val="center"/>
            <w:hideMark/>
          </w:tcPr>
          <w:p w14:paraId="6CE20BD3"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25365968" w14:textId="77777777" w:rsidTr="00B45CA4">
        <w:trPr>
          <w:trHeight w:val="282"/>
        </w:trPr>
        <w:tc>
          <w:tcPr>
            <w:tcW w:w="2460" w:type="dxa"/>
            <w:tcBorders>
              <w:top w:val="nil"/>
              <w:left w:val="nil"/>
              <w:bottom w:val="single" w:sz="4" w:space="0" w:color="BFBFBF"/>
              <w:right w:val="nil"/>
            </w:tcBorders>
            <w:shd w:val="clear" w:color="000000" w:fill="FFFFFF"/>
            <w:noWrap/>
            <w:vAlign w:val="bottom"/>
            <w:hideMark/>
          </w:tcPr>
          <w:p w14:paraId="2A885950"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Wholesale - Promotional income</w:t>
            </w:r>
          </w:p>
        </w:tc>
        <w:tc>
          <w:tcPr>
            <w:tcW w:w="860" w:type="dxa"/>
            <w:tcBorders>
              <w:top w:val="nil"/>
              <w:left w:val="nil"/>
              <w:bottom w:val="single" w:sz="4" w:space="0" w:color="BFBFBF"/>
              <w:right w:val="nil"/>
            </w:tcBorders>
            <w:shd w:val="clear" w:color="000000" w:fill="FFFFFF"/>
            <w:noWrap/>
            <w:vAlign w:val="bottom"/>
            <w:hideMark/>
          </w:tcPr>
          <w:p w14:paraId="4BD71ABE"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single" w:sz="4" w:space="0" w:color="BFBFBF"/>
              <w:right w:val="nil"/>
            </w:tcBorders>
            <w:shd w:val="clear" w:color="000000" w:fill="FFFFFF"/>
            <w:noWrap/>
            <w:vAlign w:val="bottom"/>
            <w:hideMark/>
          </w:tcPr>
          <w:p w14:paraId="1629CC35"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single" w:sz="4" w:space="0" w:color="BFBFBF"/>
              <w:right w:val="nil"/>
            </w:tcBorders>
            <w:shd w:val="clear" w:color="000000" w:fill="FFFFFF"/>
            <w:noWrap/>
            <w:vAlign w:val="bottom"/>
            <w:hideMark/>
          </w:tcPr>
          <w:p w14:paraId="5C8BD748"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single" w:sz="4" w:space="0" w:color="BFBFBF"/>
              <w:right w:val="nil"/>
            </w:tcBorders>
            <w:shd w:val="clear" w:color="000000" w:fill="FFFFFF"/>
            <w:noWrap/>
            <w:vAlign w:val="bottom"/>
            <w:hideMark/>
          </w:tcPr>
          <w:p w14:paraId="7BCED0AD"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single" w:sz="4" w:space="0" w:color="BFBFBF"/>
              <w:right w:val="nil"/>
            </w:tcBorders>
            <w:shd w:val="clear" w:color="auto" w:fill="CCECFF"/>
            <w:noWrap/>
            <w:vAlign w:val="bottom"/>
            <w:hideMark/>
          </w:tcPr>
          <w:p w14:paraId="48286FCA"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6.2%</w:t>
            </w:r>
          </w:p>
        </w:tc>
        <w:tc>
          <w:tcPr>
            <w:tcW w:w="1540" w:type="dxa"/>
            <w:tcBorders>
              <w:top w:val="nil"/>
              <w:left w:val="nil"/>
              <w:bottom w:val="single" w:sz="4" w:space="0" w:color="BFBFBF"/>
              <w:right w:val="nil"/>
            </w:tcBorders>
            <w:shd w:val="clear" w:color="000000" w:fill="FFFFFF"/>
            <w:noWrap/>
            <w:vAlign w:val="bottom"/>
            <w:hideMark/>
          </w:tcPr>
          <w:p w14:paraId="5255646F"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7.1%</w:t>
            </w:r>
          </w:p>
        </w:tc>
        <w:tc>
          <w:tcPr>
            <w:tcW w:w="1540" w:type="dxa"/>
            <w:tcBorders>
              <w:top w:val="nil"/>
              <w:left w:val="nil"/>
              <w:bottom w:val="single" w:sz="4" w:space="0" w:color="BFBFBF"/>
              <w:right w:val="nil"/>
            </w:tcBorders>
            <w:shd w:val="clear" w:color="000000" w:fill="FFFFFF"/>
            <w:noWrap/>
            <w:vAlign w:val="bottom"/>
            <w:hideMark/>
          </w:tcPr>
          <w:p w14:paraId="30FADE2D"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7.3%</w:t>
            </w:r>
          </w:p>
        </w:tc>
        <w:tc>
          <w:tcPr>
            <w:tcW w:w="222" w:type="dxa"/>
            <w:vAlign w:val="center"/>
            <w:hideMark/>
          </w:tcPr>
          <w:p w14:paraId="232A34BF"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53388DC0" w14:textId="77777777" w:rsidTr="00B45CA4">
        <w:trPr>
          <w:trHeight w:val="282"/>
        </w:trPr>
        <w:tc>
          <w:tcPr>
            <w:tcW w:w="3320" w:type="dxa"/>
            <w:gridSpan w:val="2"/>
            <w:tcBorders>
              <w:top w:val="nil"/>
              <w:left w:val="nil"/>
              <w:bottom w:val="single" w:sz="4" w:space="0" w:color="BFBFBF"/>
              <w:right w:val="nil"/>
            </w:tcBorders>
            <w:shd w:val="clear" w:color="000000" w:fill="FFFFFF"/>
            <w:noWrap/>
            <w:vAlign w:val="bottom"/>
            <w:hideMark/>
          </w:tcPr>
          <w:p w14:paraId="3110B257" w14:textId="77777777" w:rsidR="005A303B" w:rsidRPr="005A303B" w:rsidRDefault="005A303B" w:rsidP="005A303B">
            <w:pPr>
              <w:spacing w:after="0" w:line="240" w:lineRule="auto"/>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Total Wholesale supplier income %</w:t>
            </w:r>
          </w:p>
        </w:tc>
        <w:tc>
          <w:tcPr>
            <w:tcW w:w="600" w:type="dxa"/>
            <w:tcBorders>
              <w:top w:val="nil"/>
              <w:left w:val="nil"/>
              <w:bottom w:val="single" w:sz="4" w:space="0" w:color="BFBFBF"/>
              <w:right w:val="nil"/>
            </w:tcBorders>
            <w:shd w:val="clear" w:color="000000" w:fill="FFFFFF"/>
            <w:noWrap/>
            <w:vAlign w:val="bottom"/>
            <w:hideMark/>
          </w:tcPr>
          <w:p w14:paraId="689678FD"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single" w:sz="4" w:space="0" w:color="BFBFBF"/>
              <w:right w:val="nil"/>
            </w:tcBorders>
            <w:shd w:val="clear" w:color="000000" w:fill="FFFFFF"/>
            <w:noWrap/>
            <w:vAlign w:val="bottom"/>
            <w:hideMark/>
          </w:tcPr>
          <w:p w14:paraId="6FAC6364"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single" w:sz="4" w:space="0" w:color="BFBFBF"/>
              <w:right w:val="nil"/>
            </w:tcBorders>
            <w:shd w:val="clear" w:color="000000" w:fill="FFFFFF"/>
            <w:noWrap/>
            <w:vAlign w:val="bottom"/>
            <w:hideMark/>
          </w:tcPr>
          <w:p w14:paraId="436DD93B"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single" w:sz="4" w:space="0" w:color="BFBFBF"/>
              <w:right w:val="nil"/>
            </w:tcBorders>
            <w:shd w:val="clear" w:color="auto" w:fill="CCECFF"/>
            <w:noWrap/>
            <w:vAlign w:val="bottom"/>
            <w:hideMark/>
          </w:tcPr>
          <w:p w14:paraId="68338778" w14:textId="77777777" w:rsidR="005A303B" w:rsidRPr="005A303B" w:rsidRDefault="005A303B" w:rsidP="005A303B">
            <w:pPr>
              <w:spacing w:after="0" w:line="240" w:lineRule="auto"/>
              <w:jc w:val="right"/>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8.8%</w:t>
            </w:r>
          </w:p>
        </w:tc>
        <w:tc>
          <w:tcPr>
            <w:tcW w:w="1540" w:type="dxa"/>
            <w:tcBorders>
              <w:top w:val="nil"/>
              <w:left w:val="nil"/>
              <w:bottom w:val="single" w:sz="4" w:space="0" w:color="BFBFBF"/>
              <w:right w:val="nil"/>
            </w:tcBorders>
            <w:shd w:val="clear" w:color="000000" w:fill="FFFFFF"/>
            <w:noWrap/>
            <w:vAlign w:val="bottom"/>
            <w:hideMark/>
          </w:tcPr>
          <w:p w14:paraId="1BE0FB09"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10.0%</w:t>
            </w:r>
          </w:p>
        </w:tc>
        <w:tc>
          <w:tcPr>
            <w:tcW w:w="1540" w:type="dxa"/>
            <w:tcBorders>
              <w:top w:val="nil"/>
              <w:left w:val="nil"/>
              <w:bottom w:val="single" w:sz="4" w:space="0" w:color="BFBFBF"/>
              <w:right w:val="nil"/>
            </w:tcBorders>
            <w:shd w:val="clear" w:color="000000" w:fill="FFFFFF"/>
            <w:noWrap/>
            <w:vAlign w:val="bottom"/>
            <w:hideMark/>
          </w:tcPr>
          <w:p w14:paraId="210B4616"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10.7%</w:t>
            </w:r>
          </w:p>
        </w:tc>
        <w:tc>
          <w:tcPr>
            <w:tcW w:w="222" w:type="dxa"/>
            <w:vAlign w:val="center"/>
            <w:hideMark/>
          </w:tcPr>
          <w:p w14:paraId="488C8E36"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18046D8C" w14:textId="77777777" w:rsidTr="00B45CA4">
        <w:trPr>
          <w:trHeight w:val="105"/>
        </w:trPr>
        <w:tc>
          <w:tcPr>
            <w:tcW w:w="2460" w:type="dxa"/>
            <w:tcBorders>
              <w:top w:val="nil"/>
              <w:left w:val="nil"/>
              <w:bottom w:val="nil"/>
              <w:right w:val="nil"/>
            </w:tcBorders>
            <w:shd w:val="clear" w:color="000000" w:fill="FFFFFF"/>
            <w:noWrap/>
            <w:vAlign w:val="bottom"/>
            <w:hideMark/>
          </w:tcPr>
          <w:p w14:paraId="3BA2DA50" w14:textId="77777777" w:rsidR="005A303B" w:rsidRPr="005A303B" w:rsidRDefault="005A303B" w:rsidP="005A303B">
            <w:pPr>
              <w:spacing w:after="0" w:line="240" w:lineRule="auto"/>
              <w:rPr>
                <w:rFonts w:ascii="Arial" w:eastAsia="Times New Roman" w:hAnsi="Arial" w:cs="Arial"/>
                <w:b/>
                <w:bCs/>
                <w:sz w:val="15"/>
                <w:szCs w:val="15"/>
                <w:lang w:eastAsia="en-GB"/>
              </w:rPr>
            </w:pPr>
            <w:r w:rsidRPr="005A303B">
              <w:rPr>
                <w:rFonts w:ascii="Arial" w:eastAsia="Times New Roman" w:hAnsi="Arial" w:cs="Arial"/>
                <w:b/>
                <w:bCs/>
                <w:sz w:val="15"/>
                <w:szCs w:val="15"/>
                <w:lang w:eastAsia="en-GB"/>
              </w:rPr>
              <w:t> </w:t>
            </w:r>
          </w:p>
        </w:tc>
        <w:tc>
          <w:tcPr>
            <w:tcW w:w="860" w:type="dxa"/>
            <w:tcBorders>
              <w:top w:val="nil"/>
              <w:left w:val="nil"/>
              <w:bottom w:val="nil"/>
              <w:right w:val="nil"/>
            </w:tcBorders>
            <w:shd w:val="clear" w:color="000000" w:fill="FFFFFF"/>
            <w:noWrap/>
            <w:vAlign w:val="bottom"/>
            <w:hideMark/>
          </w:tcPr>
          <w:p w14:paraId="719E078D"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000000" w:fill="FFFFFF"/>
            <w:noWrap/>
            <w:vAlign w:val="bottom"/>
            <w:hideMark/>
          </w:tcPr>
          <w:p w14:paraId="569499EB"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600" w:type="dxa"/>
            <w:tcBorders>
              <w:top w:val="nil"/>
              <w:left w:val="nil"/>
              <w:bottom w:val="nil"/>
              <w:right w:val="nil"/>
            </w:tcBorders>
            <w:shd w:val="clear" w:color="000000" w:fill="FFFFFF"/>
            <w:noWrap/>
            <w:vAlign w:val="bottom"/>
            <w:hideMark/>
          </w:tcPr>
          <w:p w14:paraId="1DE1A337"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840" w:type="dxa"/>
            <w:tcBorders>
              <w:top w:val="nil"/>
              <w:left w:val="nil"/>
              <w:bottom w:val="nil"/>
              <w:right w:val="nil"/>
            </w:tcBorders>
            <w:shd w:val="clear" w:color="000000" w:fill="FFFFFF"/>
            <w:noWrap/>
            <w:vAlign w:val="bottom"/>
            <w:hideMark/>
          </w:tcPr>
          <w:p w14:paraId="743F3C76" w14:textId="77777777" w:rsidR="005A303B" w:rsidRPr="005A303B" w:rsidRDefault="005A303B" w:rsidP="005A303B">
            <w:pPr>
              <w:spacing w:after="0" w:line="240" w:lineRule="auto"/>
              <w:rPr>
                <w:rFonts w:ascii="Arial" w:eastAsia="Times New Roman" w:hAnsi="Arial" w:cs="Arial"/>
                <w:sz w:val="20"/>
                <w:szCs w:val="20"/>
                <w:lang w:eastAsia="en-GB"/>
              </w:rPr>
            </w:pPr>
            <w:r w:rsidRPr="005A303B">
              <w:rPr>
                <w:rFonts w:ascii="Arial" w:eastAsia="Times New Roman" w:hAnsi="Arial" w:cs="Arial"/>
                <w:sz w:val="20"/>
                <w:szCs w:val="20"/>
                <w:lang w:eastAsia="en-GB"/>
              </w:rPr>
              <w:t> </w:t>
            </w:r>
          </w:p>
        </w:tc>
        <w:tc>
          <w:tcPr>
            <w:tcW w:w="1540" w:type="dxa"/>
            <w:tcBorders>
              <w:top w:val="nil"/>
              <w:left w:val="nil"/>
              <w:bottom w:val="nil"/>
              <w:right w:val="nil"/>
            </w:tcBorders>
            <w:shd w:val="clear" w:color="000000" w:fill="FFFFFF"/>
            <w:noWrap/>
            <w:vAlign w:val="bottom"/>
            <w:hideMark/>
          </w:tcPr>
          <w:p w14:paraId="38FF5FA6" w14:textId="77777777" w:rsidR="005A303B" w:rsidRPr="005A303B" w:rsidRDefault="005A303B" w:rsidP="005A303B">
            <w:pPr>
              <w:spacing w:after="0" w:line="240" w:lineRule="auto"/>
              <w:rPr>
                <w:rFonts w:ascii="Arial" w:eastAsia="Times New Roman" w:hAnsi="Arial" w:cs="Arial"/>
                <w:b/>
                <w:bCs/>
                <w:color w:val="CCECFF"/>
                <w:sz w:val="15"/>
                <w:szCs w:val="15"/>
                <w:lang w:eastAsia="en-GB"/>
              </w:rPr>
            </w:pPr>
            <w:r w:rsidRPr="005A303B">
              <w:rPr>
                <w:rFonts w:ascii="Arial" w:eastAsia="Times New Roman" w:hAnsi="Arial" w:cs="Arial"/>
                <w:b/>
                <w:bCs/>
                <w:color w:val="CCECFF"/>
                <w:sz w:val="15"/>
                <w:szCs w:val="15"/>
                <w:lang w:eastAsia="en-GB"/>
              </w:rPr>
              <w:t> </w:t>
            </w:r>
          </w:p>
        </w:tc>
        <w:tc>
          <w:tcPr>
            <w:tcW w:w="1540" w:type="dxa"/>
            <w:tcBorders>
              <w:top w:val="nil"/>
              <w:left w:val="nil"/>
              <w:bottom w:val="nil"/>
              <w:right w:val="nil"/>
            </w:tcBorders>
            <w:shd w:val="clear" w:color="000000" w:fill="FFFFFF"/>
            <w:noWrap/>
            <w:vAlign w:val="bottom"/>
            <w:hideMark/>
          </w:tcPr>
          <w:p w14:paraId="3805229F" w14:textId="77777777" w:rsidR="005A303B" w:rsidRPr="005A303B" w:rsidRDefault="005A303B" w:rsidP="005A303B">
            <w:pPr>
              <w:spacing w:after="0" w:line="240" w:lineRule="auto"/>
              <w:jc w:val="right"/>
              <w:rPr>
                <w:rFonts w:ascii="Arial" w:eastAsia="Times New Roman" w:hAnsi="Arial" w:cs="Arial"/>
                <w:sz w:val="15"/>
                <w:szCs w:val="15"/>
                <w:lang w:eastAsia="en-GB"/>
              </w:rPr>
            </w:pPr>
            <w:r w:rsidRPr="005A303B">
              <w:rPr>
                <w:rFonts w:ascii="Arial" w:eastAsia="Times New Roman" w:hAnsi="Arial" w:cs="Arial"/>
                <w:sz w:val="15"/>
                <w:szCs w:val="15"/>
                <w:lang w:eastAsia="en-GB"/>
              </w:rPr>
              <w:t> </w:t>
            </w:r>
          </w:p>
        </w:tc>
        <w:tc>
          <w:tcPr>
            <w:tcW w:w="1540" w:type="dxa"/>
            <w:tcBorders>
              <w:top w:val="nil"/>
              <w:left w:val="nil"/>
              <w:bottom w:val="nil"/>
              <w:right w:val="nil"/>
            </w:tcBorders>
            <w:shd w:val="clear" w:color="000000" w:fill="FFFFFF"/>
            <w:noWrap/>
            <w:vAlign w:val="bottom"/>
            <w:hideMark/>
          </w:tcPr>
          <w:p w14:paraId="380DF3E5"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 </w:t>
            </w:r>
          </w:p>
        </w:tc>
        <w:tc>
          <w:tcPr>
            <w:tcW w:w="222" w:type="dxa"/>
            <w:vAlign w:val="center"/>
            <w:hideMark/>
          </w:tcPr>
          <w:p w14:paraId="0A5272A2"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r w:rsidR="005A303B" w:rsidRPr="005A303B" w14:paraId="738B5A2E" w14:textId="77777777" w:rsidTr="00B45CA4">
        <w:trPr>
          <w:trHeight w:val="349"/>
        </w:trPr>
        <w:tc>
          <w:tcPr>
            <w:tcW w:w="9980" w:type="dxa"/>
            <w:gridSpan w:val="8"/>
            <w:tcBorders>
              <w:top w:val="nil"/>
              <w:left w:val="nil"/>
              <w:bottom w:val="nil"/>
              <w:right w:val="nil"/>
            </w:tcBorders>
            <w:shd w:val="clear" w:color="auto" w:fill="auto"/>
            <w:vAlign w:val="center"/>
            <w:hideMark/>
          </w:tcPr>
          <w:p w14:paraId="7CEB4C47" w14:textId="77777777" w:rsidR="005A303B" w:rsidRPr="005A303B" w:rsidRDefault="005A303B" w:rsidP="005A303B">
            <w:pPr>
              <w:spacing w:after="0" w:line="240" w:lineRule="auto"/>
              <w:rPr>
                <w:rFonts w:ascii="Arial" w:eastAsia="Times New Roman" w:hAnsi="Arial" w:cs="Arial"/>
                <w:sz w:val="15"/>
                <w:szCs w:val="15"/>
                <w:lang w:eastAsia="en-GB"/>
              </w:rPr>
            </w:pPr>
            <w:r w:rsidRPr="005A303B">
              <w:rPr>
                <w:rFonts w:ascii="Arial" w:eastAsia="Times New Roman" w:hAnsi="Arial" w:cs="Arial"/>
                <w:sz w:val="15"/>
                <w:szCs w:val="15"/>
                <w:lang w:eastAsia="en-GB"/>
              </w:rPr>
              <w:t xml:space="preserve">All figures exclude any income or purchases made as part of the Federal joint buying group.  </w:t>
            </w:r>
          </w:p>
        </w:tc>
        <w:tc>
          <w:tcPr>
            <w:tcW w:w="222" w:type="dxa"/>
            <w:vAlign w:val="center"/>
            <w:hideMark/>
          </w:tcPr>
          <w:p w14:paraId="69DA3760" w14:textId="77777777" w:rsidR="005A303B" w:rsidRPr="005A303B" w:rsidRDefault="005A303B" w:rsidP="005A303B">
            <w:pPr>
              <w:spacing w:after="0" w:line="240" w:lineRule="auto"/>
              <w:rPr>
                <w:rFonts w:ascii="Times New Roman" w:eastAsia="Times New Roman" w:hAnsi="Times New Roman" w:cs="Times New Roman"/>
                <w:sz w:val="20"/>
                <w:szCs w:val="20"/>
                <w:lang w:eastAsia="en-GB"/>
              </w:rPr>
            </w:pPr>
          </w:p>
        </w:tc>
      </w:tr>
    </w:tbl>
    <w:p w14:paraId="044DE09F" w14:textId="5F290BC1" w:rsidR="00EF6BD2" w:rsidRDefault="00EF6BD2" w:rsidP="00BB64F8"/>
    <w:tbl>
      <w:tblPr>
        <w:tblW w:w="10017" w:type="dxa"/>
        <w:tblLook w:val="04A0" w:firstRow="1" w:lastRow="0" w:firstColumn="1" w:lastColumn="0" w:noHBand="0" w:noVBand="1"/>
      </w:tblPr>
      <w:tblGrid>
        <w:gridCol w:w="2460"/>
        <w:gridCol w:w="1226"/>
        <w:gridCol w:w="294"/>
        <w:gridCol w:w="720"/>
        <w:gridCol w:w="720"/>
        <w:gridCol w:w="720"/>
        <w:gridCol w:w="1180"/>
        <w:gridCol w:w="1180"/>
        <w:gridCol w:w="1281"/>
        <w:gridCol w:w="236"/>
      </w:tblGrid>
      <w:tr w:rsidR="008408EE" w:rsidRPr="008408EE" w14:paraId="521E9E66" w14:textId="77777777" w:rsidTr="00662C8F">
        <w:trPr>
          <w:gridAfter w:val="1"/>
          <w:wAfter w:w="236" w:type="dxa"/>
          <w:trHeight w:val="252"/>
        </w:trPr>
        <w:tc>
          <w:tcPr>
            <w:tcW w:w="2460" w:type="dxa"/>
            <w:tcBorders>
              <w:top w:val="nil"/>
              <w:left w:val="nil"/>
              <w:bottom w:val="nil"/>
              <w:right w:val="nil"/>
            </w:tcBorders>
            <w:shd w:val="clear" w:color="000000" w:fill="FFFFFF"/>
            <w:noWrap/>
            <w:vAlign w:val="bottom"/>
            <w:hideMark/>
          </w:tcPr>
          <w:p w14:paraId="4AFBCB08"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3    Finance income</w:t>
            </w:r>
          </w:p>
        </w:tc>
        <w:tc>
          <w:tcPr>
            <w:tcW w:w="1226" w:type="dxa"/>
            <w:tcBorders>
              <w:top w:val="nil"/>
              <w:left w:val="nil"/>
              <w:bottom w:val="nil"/>
              <w:right w:val="nil"/>
            </w:tcBorders>
            <w:shd w:val="clear" w:color="000000" w:fill="FFFFFF"/>
            <w:noWrap/>
            <w:vAlign w:val="bottom"/>
            <w:hideMark/>
          </w:tcPr>
          <w:p w14:paraId="38A8D5DD"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294" w:type="dxa"/>
            <w:tcBorders>
              <w:top w:val="nil"/>
              <w:left w:val="nil"/>
              <w:bottom w:val="nil"/>
              <w:right w:val="nil"/>
            </w:tcBorders>
            <w:shd w:val="clear" w:color="000000" w:fill="FFFFFF"/>
            <w:noWrap/>
            <w:vAlign w:val="bottom"/>
            <w:hideMark/>
          </w:tcPr>
          <w:p w14:paraId="40213E9A"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566B6014"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7051B9B4"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0A4E1173"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nil"/>
              <w:left w:val="nil"/>
              <w:bottom w:val="nil"/>
              <w:right w:val="nil"/>
            </w:tcBorders>
            <w:shd w:val="clear" w:color="000000" w:fill="FFFFFF"/>
            <w:noWrap/>
            <w:vAlign w:val="bottom"/>
            <w:hideMark/>
          </w:tcPr>
          <w:p w14:paraId="70002158" w14:textId="77777777" w:rsidR="008408EE" w:rsidRPr="008408EE" w:rsidRDefault="008408EE" w:rsidP="008408EE">
            <w:pPr>
              <w:spacing w:after="0" w:line="240" w:lineRule="auto"/>
              <w:jc w:val="right"/>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nil"/>
              <w:left w:val="nil"/>
              <w:bottom w:val="nil"/>
              <w:right w:val="nil"/>
            </w:tcBorders>
            <w:shd w:val="clear" w:color="000000" w:fill="FFFFFF"/>
            <w:noWrap/>
            <w:vAlign w:val="bottom"/>
            <w:hideMark/>
          </w:tcPr>
          <w:p w14:paraId="500C327E"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281" w:type="dxa"/>
            <w:tcBorders>
              <w:top w:val="nil"/>
              <w:left w:val="nil"/>
              <w:bottom w:val="nil"/>
              <w:right w:val="nil"/>
            </w:tcBorders>
            <w:shd w:val="clear" w:color="auto" w:fill="auto"/>
            <w:noWrap/>
            <w:vAlign w:val="bottom"/>
            <w:hideMark/>
          </w:tcPr>
          <w:p w14:paraId="7EF9D99F" w14:textId="77777777" w:rsidR="008408EE" w:rsidRPr="008408EE" w:rsidRDefault="008408EE" w:rsidP="008408EE">
            <w:pPr>
              <w:spacing w:after="0" w:line="240" w:lineRule="auto"/>
              <w:rPr>
                <w:rFonts w:ascii="Arial" w:eastAsia="Times New Roman" w:hAnsi="Arial" w:cs="Arial"/>
                <w:sz w:val="20"/>
                <w:szCs w:val="20"/>
                <w:lang w:eastAsia="en-GB"/>
              </w:rPr>
            </w:pPr>
          </w:p>
        </w:tc>
      </w:tr>
      <w:tr w:rsidR="008408EE" w:rsidRPr="008408EE" w14:paraId="6FF3732B" w14:textId="77777777" w:rsidTr="00662C8F">
        <w:trPr>
          <w:gridAfter w:val="1"/>
          <w:wAfter w:w="236" w:type="dxa"/>
          <w:trHeight w:val="252"/>
        </w:trPr>
        <w:tc>
          <w:tcPr>
            <w:tcW w:w="2460" w:type="dxa"/>
            <w:tcBorders>
              <w:top w:val="nil"/>
              <w:left w:val="nil"/>
              <w:bottom w:val="nil"/>
              <w:right w:val="nil"/>
            </w:tcBorders>
            <w:shd w:val="clear" w:color="000000" w:fill="FFFFFF"/>
            <w:noWrap/>
            <w:vAlign w:val="bottom"/>
            <w:hideMark/>
          </w:tcPr>
          <w:p w14:paraId="7BAF8FC9"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226" w:type="dxa"/>
            <w:tcBorders>
              <w:top w:val="nil"/>
              <w:left w:val="nil"/>
              <w:bottom w:val="nil"/>
              <w:right w:val="nil"/>
            </w:tcBorders>
            <w:shd w:val="clear" w:color="000000" w:fill="FFFFFF"/>
            <w:noWrap/>
            <w:vAlign w:val="bottom"/>
            <w:hideMark/>
          </w:tcPr>
          <w:p w14:paraId="192BFEF8"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294" w:type="dxa"/>
            <w:tcBorders>
              <w:top w:val="nil"/>
              <w:left w:val="nil"/>
              <w:bottom w:val="nil"/>
              <w:right w:val="nil"/>
            </w:tcBorders>
            <w:shd w:val="clear" w:color="000000" w:fill="FFFFFF"/>
            <w:noWrap/>
            <w:vAlign w:val="bottom"/>
            <w:hideMark/>
          </w:tcPr>
          <w:p w14:paraId="47E127C4"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23BF6279"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00316E63"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036488D0"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nil"/>
              <w:left w:val="nil"/>
              <w:bottom w:val="nil"/>
              <w:right w:val="nil"/>
            </w:tcBorders>
            <w:shd w:val="clear" w:color="000000" w:fill="FFFFFF"/>
            <w:noWrap/>
            <w:vAlign w:val="bottom"/>
            <w:hideMark/>
          </w:tcPr>
          <w:p w14:paraId="42E1338F" w14:textId="77777777" w:rsidR="008408EE" w:rsidRPr="008408EE" w:rsidRDefault="008408EE" w:rsidP="008408EE">
            <w:pPr>
              <w:spacing w:after="0" w:line="240" w:lineRule="auto"/>
              <w:jc w:val="right"/>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nil"/>
              <w:left w:val="nil"/>
              <w:bottom w:val="nil"/>
              <w:right w:val="nil"/>
            </w:tcBorders>
            <w:shd w:val="clear" w:color="000000" w:fill="FFFFFF"/>
            <w:noWrap/>
            <w:vAlign w:val="bottom"/>
            <w:hideMark/>
          </w:tcPr>
          <w:p w14:paraId="5483CC4D"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281" w:type="dxa"/>
            <w:tcBorders>
              <w:top w:val="nil"/>
              <w:left w:val="nil"/>
              <w:bottom w:val="nil"/>
              <w:right w:val="nil"/>
            </w:tcBorders>
            <w:shd w:val="clear" w:color="auto" w:fill="auto"/>
            <w:noWrap/>
            <w:vAlign w:val="bottom"/>
            <w:hideMark/>
          </w:tcPr>
          <w:p w14:paraId="5F418761" w14:textId="77777777" w:rsidR="008408EE" w:rsidRPr="008408EE" w:rsidRDefault="008408EE" w:rsidP="008408EE">
            <w:pPr>
              <w:spacing w:after="0" w:line="240" w:lineRule="auto"/>
              <w:rPr>
                <w:rFonts w:ascii="Arial" w:eastAsia="Times New Roman" w:hAnsi="Arial" w:cs="Arial"/>
                <w:sz w:val="20"/>
                <w:szCs w:val="20"/>
                <w:lang w:eastAsia="en-GB"/>
              </w:rPr>
            </w:pPr>
          </w:p>
        </w:tc>
      </w:tr>
      <w:tr w:rsidR="008408EE" w:rsidRPr="008408EE" w14:paraId="43DADF4B" w14:textId="77777777" w:rsidTr="008408EE">
        <w:trPr>
          <w:gridAfter w:val="1"/>
          <w:wAfter w:w="236" w:type="dxa"/>
          <w:trHeight w:val="1452"/>
        </w:trPr>
        <w:tc>
          <w:tcPr>
            <w:tcW w:w="9781" w:type="dxa"/>
            <w:gridSpan w:val="9"/>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69963E24" w14:textId="77777777" w:rsidR="008408EE" w:rsidRPr="008408EE" w:rsidRDefault="008408EE" w:rsidP="008408EE">
            <w:pPr>
              <w:spacing w:after="0" w:line="240" w:lineRule="auto"/>
              <w:rPr>
                <w:rFonts w:ascii="Arial" w:eastAsia="Times New Roman" w:hAnsi="Arial" w:cs="Arial"/>
                <w:sz w:val="18"/>
                <w:szCs w:val="18"/>
                <w:lang w:eastAsia="en-GB"/>
              </w:rPr>
            </w:pPr>
            <w:r w:rsidRPr="008408EE">
              <w:rPr>
                <w:rFonts w:ascii="Arial" w:eastAsia="Times New Roman" w:hAnsi="Arial" w:cs="Arial"/>
                <w:b/>
                <w:bCs/>
                <w:sz w:val="18"/>
                <w:szCs w:val="18"/>
                <w:lang w:eastAsia="en-GB"/>
              </w:rPr>
              <w:t xml:space="preserve">What does this show? </w:t>
            </w:r>
            <w:r w:rsidRPr="008408EE">
              <w:rPr>
                <w:rFonts w:ascii="Arial" w:eastAsia="Times New Roman" w:hAnsi="Arial" w:cs="Arial"/>
                <w:sz w:val="18"/>
                <w:szCs w:val="18"/>
                <w:lang w:eastAsia="en-GB"/>
              </w:rPr>
              <w:t xml:space="preserve">Finance income arises from the interest earned on our pension scheme and interest from finance lease receivables which have been discounted. If they are gains then we also include the movement in the fair value of some elements of our debt, our interest rate swap positions, foreign exchange contracts and commodity derivatives (which are used to manage risks from interest rate movements). If they are losses, they are included in Finance costs (see Note 4). If they are gains, then we also show the fair value movement on our funeral plan investments. </w:t>
            </w:r>
          </w:p>
        </w:tc>
      </w:tr>
      <w:tr w:rsidR="008408EE" w:rsidRPr="008408EE" w14:paraId="71D1C54A" w14:textId="77777777" w:rsidTr="00662C8F">
        <w:trPr>
          <w:gridAfter w:val="1"/>
          <w:wAfter w:w="236" w:type="dxa"/>
          <w:trHeight w:val="252"/>
        </w:trPr>
        <w:tc>
          <w:tcPr>
            <w:tcW w:w="2460" w:type="dxa"/>
            <w:tcBorders>
              <w:top w:val="nil"/>
              <w:left w:val="nil"/>
              <w:bottom w:val="nil"/>
              <w:right w:val="nil"/>
            </w:tcBorders>
            <w:shd w:val="clear" w:color="000000" w:fill="FFFFFF"/>
            <w:noWrap/>
            <w:vAlign w:val="bottom"/>
            <w:hideMark/>
          </w:tcPr>
          <w:p w14:paraId="3EB50F85"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1226" w:type="dxa"/>
            <w:tcBorders>
              <w:top w:val="nil"/>
              <w:left w:val="nil"/>
              <w:bottom w:val="nil"/>
              <w:right w:val="nil"/>
            </w:tcBorders>
            <w:shd w:val="clear" w:color="000000" w:fill="FFFFFF"/>
            <w:noWrap/>
            <w:vAlign w:val="bottom"/>
            <w:hideMark/>
          </w:tcPr>
          <w:p w14:paraId="432141E6"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294" w:type="dxa"/>
            <w:tcBorders>
              <w:top w:val="nil"/>
              <w:left w:val="nil"/>
              <w:bottom w:val="nil"/>
              <w:right w:val="nil"/>
            </w:tcBorders>
            <w:shd w:val="clear" w:color="000000" w:fill="FFFFFF"/>
            <w:noWrap/>
            <w:vAlign w:val="bottom"/>
            <w:hideMark/>
          </w:tcPr>
          <w:p w14:paraId="6DE9F390"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720" w:type="dxa"/>
            <w:tcBorders>
              <w:top w:val="nil"/>
              <w:left w:val="nil"/>
              <w:bottom w:val="nil"/>
              <w:right w:val="nil"/>
            </w:tcBorders>
            <w:shd w:val="clear" w:color="000000" w:fill="FFFFFF"/>
            <w:noWrap/>
            <w:vAlign w:val="bottom"/>
            <w:hideMark/>
          </w:tcPr>
          <w:p w14:paraId="4331C171"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720" w:type="dxa"/>
            <w:tcBorders>
              <w:top w:val="nil"/>
              <w:left w:val="nil"/>
              <w:bottom w:val="nil"/>
              <w:right w:val="nil"/>
            </w:tcBorders>
            <w:shd w:val="clear" w:color="000000" w:fill="FFFFFF"/>
            <w:noWrap/>
            <w:vAlign w:val="bottom"/>
            <w:hideMark/>
          </w:tcPr>
          <w:p w14:paraId="66D6D5B4"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720" w:type="dxa"/>
            <w:tcBorders>
              <w:top w:val="nil"/>
              <w:left w:val="nil"/>
              <w:bottom w:val="nil"/>
              <w:right w:val="nil"/>
            </w:tcBorders>
            <w:shd w:val="clear" w:color="000000" w:fill="FFFFFF"/>
            <w:noWrap/>
            <w:vAlign w:val="bottom"/>
            <w:hideMark/>
          </w:tcPr>
          <w:p w14:paraId="5AD1496F"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1180" w:type="dxa"/>
            <w:tcBorders>
              <w:top w:val="nil"/>
              <w:left w:val="nil"/>
              <w:bottom w:val="nil"/>
              <w:right w:val="nil"/>
            </w:tcBorders>
            <w:shd w:val="clear" w:color="000000" w:fill="FFFFFF"/>
            <w:noWrap/>
            <w:vAlign w:val="bottom"/>
            <w:hideMark/>
          </w:tcPr>
          <w:p w14:paraId="29FB0882"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1180" w:type="dxa"/>
            <w:tcBorders>
              <w:top w:val="nil"/>
              <w:left w:val="nil"/>
              <w:bottom w:val="nil"/>
              <w:right w:val="nil"/>
            </w:tcBorders>
            <w:shd w:val="clear" w:color="000000" w:fill="FFFFFF"/>
            <w:noWrap/>
            <w:vAlign w:val="bottom"/>
            <w:hideMark/>
          </w:tcPr>
          <w:p w14:paraId="1E822D42"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1281" w:type="dxa"/>
            <w:tcBorders>
              <w:top w:val="nil"/>
              <w:left w:val="nil"/>
              <w:bottom w:val="nil"/>
              <w:right w:val="nil"/>
            </w:tcBorders>
            <w:shd w:val="clear" w:color="auto" w:fill="auto"/>
            <w:noWrap/>
            <w:vAlign w:val="bottom"/>
            <w:hideMark/>
          </w:tcPr>
          <w:p w14:paraId="030F0224" w14:textId="77777777" w:rsidR="008408EE" w:rsidRPr="008408EE" w:rsidRDefault="008408EE" w:rsidP="008408EE">
            <w:pPr>
              <w:spacing w:after="0" w:line="240" w:lineRule="auto"/>
              <w:rPr>
                <w:rFonts w:ascii="Arial" w:eastAsia="Times New Roman" w:hAnsi="Arial" w:cs="Arial"/>
                <w:b/>
                <w:bCs/>
                <w:sz w:val="18"/>
                <w:szCs w:val="18"/>
                <w:lang w:eastAsia="en-GB"/>
              </w:rPr>
            </w:pPr>
          </w:p>
        </w:tc>
      </w:tr>
      <w:tr w:rsidR="008408EE" w:rsidRPr="008408EE" w14:paraId="59C67AEC" w14:textId="77777777" w:rsidTr="00662C8F">
        <w:trPr>
          <w:gridAfter w:val="1"/>
          <w:wAfter w:w="236" w:type="dxa"/>
          <w:trHeight w:val="458"/>
        </w:trPr>
        <w:tc>
          <w:tcPr>
            <w:tcW w:w="2460" w:type="dxa"/>
            <w:tcBorders>
              <w:top w:val="single" w:sz="4" w:space="0" w:color="BFBFBF"/>
              <w:left w:val="single" w:sz="4" w:space="0" w:color="BFBFBF"/>
              <w:bottom w:val="nil"/>
              <w:right w:val="nil"/>
            </w:tcBorders>
            <w:shd w:val="clear" w:color="auto" w:fill="auto"/>
            <w:noWrap/>
            <w:vAlign w:val="bottom"/>
            <w:hideMark/>
          </w:tcPr>
          <w:p w14:paraId="178A9A27"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 </w:t>
            </w:r>
          </w:p>
        </w:tc>
        <w:tc>
          <w:tcPr>
            <w:tcW w:w="1226" w:type="dxa"/>
            <w:tcBorders>
              <w:top w:val="single" w:sz="4" w:space="0" w:color="BFBFBF"/>
              <w:left w:val="nil"/>
              <w:bottom w:val="nil"/>
              <w:right w:val="nil"/>
            </w:tcBorders>
            <w:shd w:val="clear" w:color="auto" w:fill="auto"/>
            <w:noWrap/>
            <w:vAlign w:val="bottom"/>
            <w:hideMark/>
          </w:tcPr>
          <w:p w14:paraId="3B4894B9"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 </w:t>
            </w:r>
          </w:p>
        </w:tc>
        <w:tc>
          <w:tcPr>
            <w:tcW w:w="294" w:type="dxa"/>
            <w:tcBorders>
              <w:top w:val="single" w:sz="4" w:space="0" w:color="BFBFBF"/>
              <w:left w:val="nil"/>
              <w:bottom w:val="nil"/>
              <w:right w:val="nil"/>
            </w:tcBorders>
            <w:shd w:val="clear" w:color="auto" w:fill="auto"/>
            <w:noWrap/>
            <w:vAlign w:val="bottom"/>
            <w:hideMark/>
          </w:tcPr>
          <w:p w14:paraId="6A7E4CC7"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single" w:sz="4" w:space="0" w:color="BFBFBF"/>
              <w:left w:val="nil"/>
              <w:bottom w:val="nil"/>
              <w:right w:val="nil"/>
            </w:tcBorders>
            <w:shd w:val="clear" w:color="auto" w:fill="auto"/>
            <w:noWrap/>
            <w:vAlign w:val="bottom"/>
            <w:hideMark/>
          </w:tcPr>
          <w:p w14:paraId="0A546AC1"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single" w:sz="4" w:space="0" w:color="BFBFBF"/>
              <w:left w:val="nil"/>
              <w:bottom w:val="nil"/>
              <w:right w:val="nil"/>
            </w:tcBorders>
            <w:shd w:val="clear" w:color="auto" w:fill="auto"/>
            <w:noWrap/>
            <w:vAlign w:val="bottom"/>
            <w:hideMark/>
          </w:tcPr>
          <w:p w14:paraId="63901646"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vMerge w:val="restart"/>
            <w:tcBorders>
              <w:top w:val="single" w:sz="4" w:space="0" w:color="BFBFBF"/>
              <w:left w:val="nil"/>
              <w:bottom w:val="nil"/>
              <w:right w:val="nil"/>
            </w:tcBorders>
            <w:shd w:val="clear" w:color="auto" w:fill="auto"/>
            <w:hideMark/>
          </w:tcPr>
          <w:p w14:paraId="29B3630F"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w:t>
            </w:r>
          </w:p>
        </w:tc>
        <w:tc>
          <w:tcPr>
            <w:tcW w:w="1180" w:type="dxa"/>
            <w:vMerge w:val="restart"/>
            <w:tcBorders>
              <w:top w:val="single" w:sz="4" w:space="0" w:color="BFBFBF"/>
              <w:left w:val="nil"/>
              <w:bottom w:val="nil"/>
              <w:right w:val="nil"/>
            </w:tcBorders>
            <w:shd w:val="clear" w:color="auto" w:fill="auto"/>
            <w:hideMark/>
          </w:tcPr>
          <w:p w14:paraId="61EBF1F1"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26 weeks ended</w:t>
            </w:r>
            <w:r w:rsidRPr="008408EE">
              <w:rPr>
                <w:rFonts w:ascii="Arial" w:eastAsia="Times New Roman" w:hAnsi="Arial" w:cs="Arial"/>
                <w:b/>
                <w:bCs/>
                <w:sz w:val="15"/>
                <w:szCs w:val="15"/>
                <w:lang w:eastAsia="en-GB"/>
              </w:rPr>
              <w:br/>
              <w:t>2 July 2022</w:t>
            </w:r>
            <w:r w:rsidRPr="008408EE">
              <w:rPr>
                <w:rFonts w:ascii="Arial" w:eastAsia="Times New Roman" w:hAnsi="Arial" w:cs="Arial"/>
                <w:b/>
                <w:bCs/>
                <w:sz w:val="15"/>
                <w:szCs w:val="15"/>
                <w:lang w:eastAsia="en-GB"/>
              </w:rPr>
              <w:br/>
              <w:t>(unaudited)</w:t>
            </w:r>
          </w:p>
        </w:tc>
        <w:tc>
          <w:tcPr>
            <w:tcW w:w="1180" w:type="dxa"/>
            <w:vMerge w:val="restart"/>
            <w:tcBorders>
              <w:top w:val="single" w:sz="4" w:space="0" w:color="BFBFBF"/>
              <w:left w:val="nil"/>
              <w:bottom w:val="nil"/>
              <w:right w:val="nil"/>
            </w:tcBorders>
            <w:shd w:val="clear" w:color="auto" w:fill="auto"/>
            <w:hideMark/>
          </w:tcPr>
          <w:p w14:paraId="33AD8CEF"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26 weeks ended</w:t>
            </w:r>
            <w:r w:rsidRPr="008408EE">
              <w:rPr>
                <w:rFonts w:ascii="Arial" w:eastAsia="Times New Roman" w:hAnsi="Arial" w:cs="Arial"/>
                <w:sz w:val="15"/>
                <w:szCs w:val="15"/>
                <w:lang w:eastAsia="en-GB"/>
              </w:rPr>
              <w:br/>
              <w:t>3 July 2021</w:t>
            </w:r>
            <w:r w:rsidRPr="008408EE">
              <w:rPr>
                <w:rFonts w:ascii="Arial" w:eastAsia="Times New Roman" w:hAnsi="Arial" w:cs="Arial"/>
                <w:sz w:val="15"/>
                <w:szCs w:val="15"/>
                <w:lang w:eastAsia="en-GB"/>
              </w:rPr>
              <w:br/>
              <w:t>(unaudited)</w:t>
            </w:r>
          </w:p>
        </w:tc>
        <w:tc>
          <w:tcPr>
            <w:tcW w:w="1281" w:type="dxa"/>
            <w:vMerge w:val="restart"/>
            <w:tcBorders>
              <w:top w:val="single" w:sz="4" w:space="0" w:color="BFBFBF"/>
              <w:left w:val="nil"/>
              <w:bottom w:val="nil"/>
              <w:right w:val="single" w:sz="4" w:space="0" w:color="BFBFBF"/>
            </w:tcBorders>
            <w:shd w:val="clear" w:color="auto" w:fill="auto"/>
            <w:hideMark/>
          </w:tcPr>
          <w:p w14:paraId="24047342"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52 weeks ended</w:t>
            </w:r>
            <w:r w:rsidRPr="008408EE">
              <w:rPr>
                <w:rFonts w:ascii="Arial" w:eastAsia="Times New Roman" w:hAnsi="Arial" w:cs="Arial"/>
                <w:sz w:val="15"/>
                <w:szCs w:val="15"/>
                <w:lang w:eastAsia="en-GB"/>
              </w:rPr>
              <w:br/>
              <w:t>1 January 2022</w:t>
            </w:r>
            <w:r w:rsidRPr="008408EE">
              <w:rPr>
                <w:rFonts w:ascii="Arial" w:eastAsia="Times New Roman" w:hAnsi="Arial" w:cs="Arial"/>
                <w:sz w:val="15"/>
                <w:szCs w:val="15"/>
                <w:lang w:eastAsia="en-GB"/>
              </w:rPr>
              <w:br/>
              <w:t>(audited)</w:t>
            </w:r>
          </w:p>
        </w:tc>
      </w:tr>
      <w:tr w:rsidR="00662C8F" w:rsidRPr="008408EE" w14:paraId="3901F17D" w14:textId="77777777" w:rsidTr="00662C8F">
        <w:trPr>
          <w:gridAfter w:val="1"/>
          <w:wAfter w:w="236" w:type="dxa"/>
          <w:trHeight w:val="300"/>
        </w:trPr>
        <w:tc>
          <w:tcPr>
            <w:tcW w:w="2460" w:type="dxa"/>
            <w:tcBorders>
              <w:top w:val="nil"/>
              <w:left w:val="single" w:sz="4" w:space="0" w:color="BFBFBF"/>
              <w:bottom w:val="nil"/>
              <w:right w:val="nil"/>
            </w:tcBorders>
            <w:shd w:val="clear" w:color="auto" w:fill="auto"/>
            <w:noWrap/>
            <w:vAlign w:val="bottom"/>
            <w:hideMark/>
          </w:tcPr>
          <w:p w14:paraId="2E66A8AC"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 </w:t>
            </w:r>
          </w:p>
        </w:tc>
        <w:tc>
          <w:tcPr>
            <w:tcW w:w="1226" w:type="dxa"/>
            <w:tcBorders>
              <w:top w:val="nil"/>
              <w:left w:val="nil"/>
              <w:bottom w:val="nil"/>
              <w:right w:val="nil"/>
            </w:tcBorders>
            <w:shd w:val="clear" w:color="auto" w:fill="auto"/>
            <w:noWrap/>
            <w:vAlign w:val="bottom"/>
            <w:hideMark/>
          </w:tcPr>
          <w:p w14:paraId="33618868"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 </w:t>
            </w:r>
          </w:p>
        </w:tc>
        <w:tc>
          <w:tcPr>
            <w:tcW w:w="294" w:type="dxa"/>
            <w:tcBorders>
              <w:top w:val="nil"/>
              <w:left w:val="nil"/>
              <w:bottom w:val="nil"/>
              <w:right w:val="nil"/>
            </w:tcBorders>
            <w:shd w:val="clear" w:color="auto" w:fill="auto"/>
            <w:noWrap/>
            <w:vAlign w:val="bottom"/>
            <w:hideMark/>
          </w:tcPr>
          <w:p w14:paraId="3FBAC0EB"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auto" w:fill="auto"/>
            <w:noWrap/>
            <w:vAlign w:val="bottom"/>
            <w:hideMark/>
          </w:tcPr>
          <w:p w14:paraId="7A87C79E"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auto" w:fill="auto"/>
            <w:noWrap/>
            <w:vAlign w:val="bottom"/>
            <w:hideMark/>
          </w:tcPr>
          <w:p w14:paraId="4601E6D8"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vMerge/>
            <w:tcBorders>
              <w:top w:val="single" w:sz="4" w:space="0" w:color="BFBFBF"/>
              <w:left w:val="nil"/>
              <w:bottom w:val="nil"/>
              <w:right w:val="nil"/>
            </w:tcBorders>
            <w:shd w:val="clear" w:color="auto" w:fill="auto"/>
            <w:vAlign w:val="center"/>
            <w:hideMark/>
          </w:tcPr>
          <w:p w14:paraId="5201BC6B" w14:textId="77777777" w:rsidR="008408EE" w:rsidRPr="008408EE" w:rsidRDefault="008408EE" w:rsidP="008408EE">
            <w:pPr>
              <w:spacing w:after="0" w:line="240" w:lineRule="auto"/>
              <w:rPr>
                <w:rFonts w:ascii="Arial" w:eastAsia="Times New Roman" w:hAnsi="Arial" w:cs="Arial"/>
                <w:b/>
                <w:bCs/>
                <w:sz w:val="15"/>
                <w:szCs w:val="15"/>
                <w:lang w:eastAsia="en-GB"/>
              </w:rPr>
            </w:pPr>
          </w:p>
        </w:tc>
        <w:tc>
          <w:tcPr>
            <w:tcW w:w="1180" w:type="dxa"/>
            <w:vMerge/>
            <w:tcBorders>
              <w:top w:val="single" w:sz="4" w:space="0" w:color="BFBFBF"/>
              <w:left w:val="nil"/>
              <w:bottom w:val="nil"/>
              <w:right w:val="nil"/>
            </w:tcBorders>
            <w:shd w:val="clear" w:color="auto" w:fill="auto"/>
            <w:vAlign w:val="center"/>
            <w:hideMark/>
          </w:tcPr>
          <w:p w14:paraId="27A62772" w14:textId="77777777" w:rsidR="008408EE" w:rsidRPr="008408EE" w:rsidRDefault="008408EE" w:rsidP="008408EE">
            <w:pPr>
              <w:spacing w:after="0" w:line="240" w:lineRule="auto"/>
              <w:rPr>
                <w:rFonts w:ascii="Arial" w:eastAsia="Times New Roman" w:hAnsi="Arial" w:cs="Arial"/>
                <w:b/>
                <w:bCs/>
                <w:sz w:val="15"/>
                <w:szCs w:val="15"/>
                <w:lang w:eastAsia="en-GB"/>
              </w:rPr>
            </w:pPr>
          </w:p>
        </w:tc>
        <w:tc>
          <w:tcPr>
            <w:tcW w:w="1180" w:type="dxa"/>
            <w:vMerge/>
            <w:tcBorders>
              <w:top w:val="single" w:sz="4" w:space="0" w:color="BFBFBF"/>
              <w:left w:val="nil"/>
              <w:bottom w:val="nil"/>
              <w:right w:val="nil"/>
            </w:tcBorders>
            <w:shd w:val="clear" w:color="auto" w:fill="auto"/>
            <w:vAlign w:val="center"/>
            <w:hideMark/>
          </w:tcPr>
          <w:p w14:paraId="2C43FA56" w14:textId="77777777" w:rsidR="008408EE" w:rsidRPr="008408EE" w:rsidRDefault="008408EE" w:rsidP="008408EE">
            <w:pPr>
              <w:spacing w:after="0" w:line="240" w:lineRule="auto"/>
              <w:rPr>
                <w:rFonts w:ascii="Arial" w:eastAsia="Times New Roman" w:hAnsi="Arial" w:cs="Arial"/>
                <w:sz w:val="15"/>
                <w:szCs w:val="15"/>
                <w:lang w:eastAsia="en-GB"/>
              </w:rPr>
            </w:pPr>
          </w:p>
        </w:tc>
        <w:tc>
          <w:tcPr>
            <w:tcW w:w="1281" w:type="dxa"/>
            <w:vMerge/>
            <w:tcBorders>
              <w:top w:val="single" w:sz="4" w:space="0" w:color="BFBFBF"/>
              <w:left w:val="nil"/>
              <w:bottom w:val="nil"/>
              <w:right w:val="single" w:sz="4" w:space="0" w:color="BFBFBF"/>
            </w:tcBorders>
            <w:shd w:val="clear" w:color="auto" w:fill="auto"/>
            <w:vAlign w:val="center"/>
            <w:hideMark/>
          </w:tcPr>
          <w:p w14:paraId="46E77861" w14:textId="77777777" w:rsidR="008408EE" w:rsidRPr="008408EE" w:rsidRDefault="008408EE" w:rsidP="008408EE">
            <w:pPr>
              <w:spacing w:after="0" w:line="240" w:lineRule="auto"/>
              <w:rPr>
                <w:rFonts w:ascii="Arial" w:eastAsia="Times New Roman" w:hAnsi="Arial" w:cs="Arial"/>
                <w:sz w:val="15"/>
                <w:szCs w:val="15"/>
                <w:lang w:eastAsia="en-GB"/>
              </w:rPr>
            </w:pPr>
          </w:p>
        </w:tc>
      </w:tr>
      <w:tr w:rsidR="008408EE" w:rsidRPr="008408EE" w14:paraId="733C6FFD" w14:textId="77777777" w:rsidTr="00662C8F">
        <w:trPr>
          <w:gridAfter w:val="1"/>
          <w:wAfter w:w="236" w:type="dxa"/>
          <w:trHeight w:val="252"/>
        </w:trPr>
        <w:tc>
          <w:tcPr>
            <w:tcW w:w="2460" w:type="dxa"/>
            <w:tcBorders>
              <w:top w:val="nil"/>
              <w:left w:val="single" w:sz="4" w:space="0" w:color="BFBFBF"/>
              <w:bottom w:val="single" w:sz="4" w:space="0" w:color="BFBFBF"/>
              <w:right w:val="nil"/>
            </w:tcBorders>
            <w:shd w:val="clear" w:color="auto" w:fill="auto"/>
            <w:noWrap/>
            <w:vAlign w:val="bottom"/>
            <w:hideMark/>
          </w:tcPr>
          <w:p w14:paraId="1A9A107E"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 </w:t>
            </w:r>
          </w:p>
        </w:tc>
        <w:tc>
          <w:tcPr>
            <w:tcW w:w="1226" w:type="dxa"/>
            <w:tcBorders>
              <w:top w:val="nil"/>
              <w:left w:val="nil"/>
              <w:bottom w:val="single" w:sz="4" w:space="0" w:color="BFBFBF"/>
              <w:right w:val="nil"/>
            </w:tcBorders>
            <w:shd w:val="clear" w:color="auto" w:fill="auto"/>
            <w:noWrap/>
            <w:vAlign w:val="bottom"/>
            <w:hideMark/>
          </w:tcPr>
          <w:p w14:paraId="23778193"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 </w:t>
            </w:r>
          </w:p>
        </w:tc>
        <w:tc>
          <w:tcPr>
            <w:tcW w:w="294" w:type="dxa"/>
            <w:tcBorders>
              <w:top w:val="nil"/>
              <w:left w:val="nil"/>
              <w:bottom w:val="single" w:sz="4" w:space="0" w:color="BFBFBF"/>
              <w:right w:val="nil"/>
            </w:tcBorders>
            <w:shd w:val="clear" w:color="auto" w:fill="auto"/>
            <w:noWrap/>
            <w:vAlign w:val="bottom"/>
            <w:hideMark/>
          </w:tcPr>
          <w:p w14:paraId="3AB2A90A"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 </w:t>
            </w:r>
          </w:p>
        </w:tc>
        <w:tc>
          <w:tcPr>
            <w:tcW w:w="720" w:type="dxa"/>
            <w:tcBorders>
              <w:top w:val="nil"/>
              <w:left w:val="nil"/>
              <w:bottom w:val="single" w:sz="4" w:space="0" w:color="BFBFBF"/>
              <w:right w:val="nil"/>
            </w:tcBorders>
            <w:shd w:val="clear" w:color="auto" w:fill="auto"/>
            <w:noWrap/>
            <w:vAlign w:val="bottom"/>
            <w:hideMark/>
          </w:tcPr>
          <w:p w14:paraId="730BA6CB"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 </w:t>
            </w:r>
          </w:p>
        </w:tc>
        <w:tc>
          <w:tcPr>
            <w:tcW w:w="720" w:type="dxa"/>
            <w:tcBorders>
              <w:top w:val="nil"/>
              <w:left w:val="nil"/>
              <w:bottom w:val="single" w:sz="4" w:space="0" w:color="BFBFBF"/>
              <w:right w:val="nil"/>
            </w:tcBorders>
            <w:shd w:val="clear" w:color="auto" w:fill="auto"/>
            <w:noWrap/>
            <w:vAlign w:val="bottom"/>
            <w:hideMark/>
          </w:tcPr>
          <w:p w14:paraId="210AA280"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 </w:t>
            </w:r>
          </w:p>
        </w:tc>
        <w:tc>
          <w:tcPr>
            <w:tcW w:w="720" w:type="dxa"/>
            <w:tcBorders>
              <w:top w:val="nil"/>
              <w:left w:val="nil"/>
              <w:bottom w:val="single" w:sz="4" w:space="0" w:color="BFBFBF"/>
              <w:right w:val="nil"/>
            </w:tcBorders>
            <w:shd w:val="clear" w:color="auto" w:fill="auto"/>
            <w:noWrap/>
            <w:vAlign w:val="center"/>
            <w:hideMark/>
          </w:tcPr>
          <w:p w14:paraId="3008B994"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w:t>
            </w:r>
          </w:p>
        </w:tc>
        <w:tc>
          <w:tcPr>
            <w:tcW w:w="1180" w:type="dxa"/>
            <w:tcBorders>
              <w:top w:val="nil"/>
              <w:left w:val="nil"/>
              <w:bottom w:val="single" w:sz="4" w:space="0" w:color="BFBFBF"/>
              <w:right w:val="nil"/>
            </w:tcBorders>
            <w:shd w:val="clear" w:color="auto" w:fill="auto"/>
            <w:noWrap/>
            <w:vAlign w:val="center"/>
            <w:hideMark/>
          </w:tcPr>
          <w:p w14:paraId="59C43BA1"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£m</w:t>
            </w:r>
          </w:p>
        </w:tc>
        <w:tc>
          <w:tcPr>
            <w:tcW w:w="1180" w:type="dxa"/>
            <w:tcBorders>
              <w:top w:val="nil"/>
              <w:left w:val="nil"/>
              <w:bottom w:val="single" w:sz="4" w:space="0" w:color="BFBFBF"/>
              <w:right w:val="nil"/>
            </w:tcBorders>
            <w:shd w:val="clear" w:color="auto" w:fill="auto"/>
            <w:noWrap/>
            <w:hideMark/>
          </w:tcPr>
          <w:p w14:paraId="583079A9"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£m</w:t>
            </w:r>
          </w:p>
        </w:tc>
        <w:tc>
          <w:tcPr>
            <w:tcW w:w="1281" w:type="dxa"/>
            <w:tcBorders>
              <w:top w:val="nil"/>
              <w:left w:val="nil"/>
              <w:bottom w:val="single" w:sz="4" w:space="0" w:color="BFBFBF"/>
              <w:right w:val="single" w:sz="4" w:space="0" w:color="BFBFBF"/>
            </w:tcBorders>
            <w:shd w:val="clear" w:color="auto" w:fill="auto"/>
            <w:noWrap/>
            <w:hideMark/>
          </w:tcPr>
          <w:p w14:paraId="56B830FE"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£m</w:t>
            </w:r>
          </w:p>
        </w:tc>
      </w:tr>
      <w:tr w:rsidR="00662C8F" w:rsidRPr="008408EE" w14:paraId="60D734EF" w14:textId="77777777" w:rsidTr="00662C8F">
        <w:trPr>
          <w:gridAfter w:val="1"/>
          <w:wAfter w:w="236" w:type="dxa"/>
          <w:trHeight w:val="270"/>
        </w:trPr>
        <w:tc>
          <w:tcPr>
            <w:tcW w:w="2460" w:type="dxa"/>
            <w:tcBorders>
              <w:top w:val="nil"/>
              <w:left w:val="nil"/>
              <w:bottom w:val="nil"/>
              <w:right w:val="nil"/>
            </w:tcBorders>
            <w:shd w:val="clear" w:color="000000" w:fill="FFFFFF"/>
            <w:noWrap/>
            <w:vAlign w:val="bottom"/>
            <w:hideMark/>
          </w:tcPr>
          <w:p w14:paraId="70A13671"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Net pension finance income</w:t>
            </w:r>
          </w:p>
        </w:tc>
        <w:tc>
          <w:tcPr>
            <w:tcW w:w="1226" w:type="dxa"/>
            <w:tcBorders>
              <w:top w:val="nil"/>
              <w:left w:val="nil"/>
              <w:bottom w:val="nil"/>
              <w:right w:val="nil"/>
            </w:tcBorders>
            <w:shd w:val="clear" w:color="000000" w:fill="FFFFFF"/>
            <w:noWrap/>
            <w:vAlign w:val="bottom"/>
            <w:hideMark/>
          </w:tcPr>
          <w:p w14:paraId="73B27EDD"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294" w:type="dxa"/>
            <w:tcBorders>
              <w:top w:val="nil"/>
              <w:left w:val="nil"/>
              <w:bottom w:val="nil"/>
              <w:right w:val="nil"/>
            </w:tcBorders>
            <w:shd w:val="clear" w:color="000000" w:fill="FFFFFF"/>
            <w:noWrap/>
            <w:vAlign w:val="bottom"/>
            <w:hideMark/>
          </w:tcPr>
          <w:p w14:paraId="21B9E131"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7300E6D8"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04A4E8B4"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457FFB29"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w:t>
            </w:r>
          </w:p>
        </w:tc>
        <w:tc>
          <w:tcPr>
            <w:tcW w:w="1180" w:type="dxa"/>
            <w:tcBorders>
              <w:top w:val="nil"/>
              <w:left w:val="nil"/>
              <w:bottom w:val="nil"/>
              <w:right w:val="nil"/>
            </w:tcBorders>
            <w:shd w:val="clear" w:color="auto" w:fill="CCECFF"/>
            <w:noWrap/>
            <w:vAlign w:val="bottom"/>
            <w:hideMark/>
          </w:tcPr>
          <w:p w14:paraId="59D32F75"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xml:space="preserve">20 </w:t>
            </w:r>
          </w:p>
        </w:tc>
        <w:tc>
          <w:tcPr>
            <w:tcW w:w="1180" w:type="dxa"/>
            <w:tcBorders>
              <w:top w:val="nil"/>
              <w:left w:val="nil"/>
              <w:bottom w:val="nil"/>
              <w:right w:val="nil"/>
            </w:tcBorders>
            <w:shd w:val="clear" w:color="000000" w:fill="FFFFFF"/>
            <w:noWrap/>
            <w:vAlign w:val="bottom"/>
            <w:hideMark/>
          </w:tcPr>
          <w:p w14:paraId="15D073FF"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14 </w:t>
            </w:r>
          </w:p>
        </w:tc>
        <w:tc>
          <w:tcPr>
            <w:tcW w:w="1281" w:type="dxa"/>
            <w:tcBorders>
              <w:top w:val="nil"/>
              <w:left w:val="nil"/>
              <w:bottom w:val="nil"/>
              <w:right w:val="nil"/>
            </w:tcBorders>
            <w:shd w:val="clear" w:color="000000" w:fill="FFFFFF"/>
            <w:noWrap/>
            <w:vAlign w:val="bottom"/>
            <w:hideMark/>
          </w:tcPr>
          <w:p w14:paraId="78FEC4F7"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30 </w:t>
            </w:r>
          </w:p>
        </w:tc>
      </w:tr>
      <w:tr w:rsidR="008408EE" w:rsidRPr="008408EE" w14:paraId="38489085" w14:textId="77777777" w:rsidTr="008408EE">
        <w:trPr>
          <w:gridAfter w:val="1"/>
          <w:wAfter w:w="236" w:type="dxa"/>
          <w:trHeight w:val="270"/>
        </w:trPr>
        <w:tc>
          <w:tcPr>
            <w:tcW w:w="4700" w:type="dxa"/>
            <w:gridSpan w:val="4"/>
            <w:tcBorders>
              <w:top w:val="nil"/>
              <w:left w:val="nil"/>
              <w:bottom w:val="nil"/>
              <w:right w:val="nil"/>
            </w:tcBorders>
            <w:shd w:val="clear" w:color="000000" w:fill="FFFFFF"/>
            <w:noWrap/>
            <w:vAlign w:val="bottom"/>
            <w:hideMark/>
          </w:tcPr>
          <w:p w14:paraId="3B16A2BF"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Underlying interest income from finance lease receivables</w:t>
            </w:r>
          </w:p>
        </w:tc>
        <w:tc>
          <w:tcPr>
            <w:tcW w:w="720" w:type="dxa"/>
            <w:tcBorders>
              <w:top w:val="nil"/>
              <w:left w:val="nil"/>
              <w:bottom w:val="nil"/>
              <w:right w:val="nil"/>
            </w:tcBorders>
            <w:shd w:val="clear" w:color="000000" w:fill="FFFFFF"/>
            <w:noWrap/>
            <w:vAlign w:val="bottom"/>
            <w:hideMark/>
          </w:tcPr>
          <w:p w14:paraId="6E6E3EC5"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166AED0D"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w:t>
            </w:r>
          </w:p>
        </w:tc>
        <w:tc>
          <w:tcPr>
            <w:tcW w:w="1180" w:type="dxa"/>
            <w:tcBorders>
              <w:top w:val="nil"/>
              <w:left w:val="nil"/>
              <w:bottom w:val="nil"/>
              <w:right w:val="nil"/>
            </w:tcBorders>
            <w:shd w:val="clear" w:color="auto" w:fill="CCECFF"/>
            <w:noWrap/>
            <w:vAlign w:val="bottom"/>
            <w:hideMark/>
          </w:tcPr>
          <w:p w14:paraId="1F14CB57"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xml:space="preserve">1 </w:t>
            </w:r>
          </w:p>
        </w:tc>
        <w:tc>
          <w:tcPr>
            <w:tcW w:w="1180" w:type="dxa"/>
            <w:tcBorders>
              <w:top w:val="nil"/>
              <w:left w:val="nil"/>
              <w:bottom w:val="nil"/>
              <w:right w:val="nil"/>
            </w:tcBorders>
            <w:shd w:val="clear" w:color="000000" w:fill="FFFFFF"/>
            <w:noWrap/>
            <w:vAlign w:val="bottom"/>
            <w:hideMark/>
          </w:tcPr>
          <w:p w14:paraId="7BC9843F"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1 </w:t>
            </w:r>
          </w:p>
        </w:tc>
        <w:tc>
          <w:tcPr>
            <w:tcW w:w="1281" w:type="dxa"/>
            <w:tcBorders>
              <w:top w:val="nil"/>
              <w:left w:val="nil"/>
              <w:bottom w:val="nil"/>
              <w:right w:val="nil"/>
            </w:tcBorders>
            <w:shd w:val="clear" w:color="000000" w:fill="FFFFFF"/>
            <w:noWrap/>
            <w:vAlign w:val="bottom"/>
            <w:hideMark/>
          </w:tcPr>
          <w:p w14:paraId="7CE35533"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3 </w:t>
            </w:r>
          </w:p>
        </w:tc>
      </w:tr>
      <w:tr w:rsidR="008408EE" w:rsidRPr="008408EE" w14:paraId="5AF59105" w14:textId="77777777" w:rsidTr="008408EE">
        <w:trPr>
          <w:gridAfter w:val="1"/>
          <w:wAfter w:w="236" w:type="dxa"/>
          <w:trHeight w:val="270"/>
        </w:trPr>
        <w:tc>
          <w:tcPr>
            <w:tcW w:w="6140" w:type="dxa"/>
            <w:gridSpan w:val="6"/>
            <w:tcBorders>
              <w:top w:val="nil"/>
              <w:left w:val="nil"/>
              <w:bottom w:val="nil"/>
              <w:right w:val="nil"/>
            </w:tcBorders>
            <w:shd w:val="clear" w:color="000000" w:fill="FFFFFF"/>
            <w:noWrap/>
            <w:vAlign w:val="bottom"/>
            <w:hideMark/>
          </w:tcPr>
          <w:p w14:paraId="52DD160E"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Fair value movement on foreign exchange contracts and commodity derivatives</w:t>
            </w:r>
          </w:p>
        </w:tc>
        <w:tc>
          <w:tcPr>
            <w:tcW w:w="1180" w:type="dxa"/>
            <w:tcBorders>
              <w:top w:val="nil"/>
              <w:left w:val="nil"/>
              <w:bottom w:val="nil"/>
              <w:right w:val="nil"/>
            </w:tcBorders>
            <w:shd w:val="clear" w:color="auto" w:fill="CCECFF"/>
            <w:noWrap/>
            <w:vAlign w:val="bottom"/>
            <w:hideMark/>
          </w:tcPr>
          <w:p w14:paraId="06A40BD4"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xml:space="preserve">27 </w:t>
            </w:r>
          </w:p>
        </w:tc>
        <w:tc>
          <w:tcPr>
            <w:tcW w:w="1180" w:type="dxa"/>
            <w:tcBorders>
              <w:top w:val="nil"/>
              <w:left w:val="nil"/>
              <w:bottom w:val="nil"/>
              <w:right w:val="nil"/>
            </w:tcBorders>
            <w:shd w:val="clear" w:color="000000" w:fill="FFFFFF"/>
            <w:noWrap/>
            <w:vAlign w:val="bottom"/>
            <w:hideMark/>
          </w:tcPr>
          <w:p w14:paraId="5E667757"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3 </w:t>
            </w:r>
          </w:p>
        </w:tc>
        <w:tc>
          <w:tcPr>
            <w:tcW w:w="1281" w:type="dxa"/>
            <w:tcBorders>
              <w:top w:val="nil"/>
              <w:left w:val="nil"/>
              <w:bottom w:val="nil"/>
              <w:right w:val="nil"/>
            </w:tcBorders>
            <w:shd w:val="clear" w:color="000000" w:fill="FFFFFF"/>
            <w:noWrap/>
            <w:vAlign w:val="bottom"/>
            <w:hideMark/>
          </w:tcPr>
          <w:p w14:paraId="1BFD2EB5"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5 </w:t>
            </w:r>
          </w:p>
        </w:tc>
      </w:tr>
      <w:tr w:rsidR="008408EE" w:rsidRPr="008408EE" w14:paraId="67916FED" w14:textId="77777777" w:rsidTr="00662C8F">
        <w:trPr>
          <w:gridAfter w:val="1"/>
          <w:wAfter w:w="236" w:type="dxa"/>
          <w:trHeight w:val="270"/>
        </w:trPr>
        <w:tc>
          <w:tcPr>
            <w:tcW w:w="3686" w:type="dxa"/>
            <w:gridSpan w:val="2"/>
            <w:tcBorders>
              <w:top w:val="nil"/>
              <w:left w:val="nil"/>
              <w:bottom w:val="nil"/>
              <w:right w:val="nil"/>
            </w:tcBorders>
            <w:shd w:val="clear" w:color="000000" w:fill="FFFFFF"/>
            <w:noWrap/>
            <w:vAlign w:val="bottom"/>
            <w:hideMark/>
          </w:tcPr>
          <w:p w14:paraId="19C960A8"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Fair value movement on quoted Group debt</w:t>
            </w:r>
          </w:p>
        </w:tc>
        <w:tc>
          <w:tcPr>
            <w:tcW w:w="294" w:type="dxa"/>
            <w:tcBorders>
              <w:top w:val="nil"/>
              <w:left w:val="nil"/>
              <w:bottom w:val="nil"/>
              <w:right w:val="nil"/>
            </w:tcBorders>
            <w:shd w:val="clear" w:color="000000" w:fill="FFFFFF"/>
            <w:noWrap/>
            <w:vAlign w:val="bottom"/>
            <w:hideMark/>
          </w:tcPr>
          <w:p w14:paraId="5D8DDFD3"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26D096D8"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2B37933E"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0E1882E6"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w:t>
            </w:r>
          </w:p>
        </w:tc>
        <w:tc>
          <w:tcPr>
            <w:tcW w:w="1180" w:type="dxa"/>
            <w:tcBorders>
              <w:top w:val="nil"/>
              <w:left w:val="nil"/>
              <w:bottom w:val="nil"/>
              <w:right w:val="nil"/>
            </w:tcBorders>
            <w:shd w:val="clear" w:color="auto" w:fill="CCECFF"/>
            <w:noWrap/>
            <w:vAlign w:val="bottom"/>
            <w:hideMark/>
          </w:tcPr>
          <w:p w14:paraId="5D626F12"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xml:space="preserve">29 </w:t>
            </w:r>
          </w:p>
        </w:tc>
        <w:tc>
          <w:tcPr>
            <w:tcW w:w="1180" w:type="dxa"/>
            <w:tcBorders>
              <w:top w:val="nil"/>
              <w:left w:val="nil"/>
              <w:bottom w:val="nil"/>
              <w:right w:val="nil"/>
            </w:tcBorders>
            <w:shd w:val="clear" w:color="000000" w:fill="FFFFFF"/>
            <w:noWrap/>
            <w:vAlign w:val="bottom"/>
            <w:hideMark/>
          </w:tcPr>
          <w:p w14:paraId="244BE440"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 </w:t>
            </w:r>
          </w:p>
        </w:tc>
        <w:tc>
          <w:tcPr>
            <w:tcW w:w="1281" w:type="dxa"/>
            <w:tcBorders>
              <w:top w:val="nil"/>
              <w:left w:val="nil"/>
              <w:bottom w:val="nil"/>
              <w:right w:val="nil"/>
            </w:tcBorders>
            <w:shd w:val="clear" w:color="000000" w:fill="FFFFFF"/>
            <w:noWrap/>
            <w:vAlign w:val="bottom"/>
            <w:hideMark/>
          </w:tcPr>
          <w:p w14:paraId="0E803582"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5 </w:t>
            </w:r>
          </w:p>
        </w:tc>
      </w:tr>
      <w:tr w:rsidR="008408EE" w:rsidRPr="008408EE" w14:paraId="0693575E" w14:textId="77777777" w:rsidTr="008408EE">
        <w:trPr>
          <w:gridAfter w:val="1"/>
          <w:wAfter w:w="236" w:type="dxa"/>
          <w:trHeight w:val="270"/>
        </w:trPr>
        <w:tc>
          <w:tcPr>
            <w:tcW w:w="6140" w:type="dxa"/>
            <w:gridSpan w:val="6"/>
            <w:tcBorders>
              <w:top w:val="nil"/>
              <w:left w:val="nil"/>
              <w:bottom w:val="nil"/>
              <w:right w:val="nil"/>
            </w:tcBorders>
            <w:shd w:val="clear" w:color="000000" w:fill="FFFFFF"/>
            <w:noWrap/>
            <w:vAlign w:val="bottom"/>
            <w:hideMark/>
          </w:tcPr>
          <w:p w14:paraId="517FBDAC"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One-off gain on settlement of Group Relief Creditor owed to The Co-operative Bank Plc</w:t>
            </w:r>
          </w:p>
        </w:tc>
        <w:tc>
          <w:tcPr>
            <w:tcW w:w="1180" w:type="dxa"/>
            <w:tcBorders>
              <w:top w:val="nil"/>
              <w:left w:val="nil"/>
              <w:bottom w:val="nil"/>
              <w:right w:val="nil"/>
            </w:tcBorders>
            <w:shd w:val="clear" w:color="auto" w:fill="CCECFF"/>
            <w:noWrap/>
            <w:vAlign w:val="bottom"/>
            <w:hideMark/>
          </w:tcPr>
          <w:p w14:paraId="2C9C62E0"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xml:space="preserve">- </w:t>
            </w:r>
          </w:p>
        </w:tc>
        <w:tc>
          <w:tcPr>
            <w:tcW w:w="1180" w:type="dxa"/>
            <w:tcBorders>
              <w:top w:val="nil"/>
              <w:left w:val="nil"/>
              <w:bottom w:val="nil"/>
              <w:right w:val="nil"/>
            </w:tcBorders>
            <w:shd w:val="clear" w:color="000000" w:fill="FFFFFF"/>
            <w:noWrap/>
            <w:vAlign w:val="bottom"/>
            <w:hideMark/>
          </w:tcPr>
          <w:p w14:paraId="0689FABA"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99 </w:t>
            </w:r>
          </w:p>
        </w:tc>
        <w:tc>
          <w:tcPr>
            <w:tcW w:w="1281" w:type="dxa"/>
            <w:tcBorders>
              <w:top w:val="nil"/>
              <w:left w:val="nil"/>
              <w:bottom w:val="nil"/>
              <w:right w:val="nil"/>
            </w:tcBorders>
            <w:shd w:val="clear" w:color="000000" w:fill="FFFFFF"/>
            <w:noWrap/>
            <w:vAlign w:val="bottom"/>
            <w:hideMark/>
          </w:tcPr>
          <w:p w14:paraId="766472C1"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99 </w:t>
            </w:r>
          </w:p>
        </w:tc>
      </w:tr>
      <w:tr w:rsidR="008408EE" w:rsidRPr="008408EE" w14:paraId="68EF868C" w14:textId="77777777" w:rsidTr="00662C8F">
        <w:trPr>
          <w:gridAfter w:val="1"/>
          <w:wAfter w:w="236" w:type="dxa"/>
          <w:trHeight w:val="270"/>
        </w:trPr>
        <w:tc>
          <w:tcPr>
            <w:tcW w:w="3686" w:type="dxa"/>
            <w:gridSpan w:val="2"/>
            <w:tcBorders>
              <w:top w:val="nil"/>
              <w:left w:val="nil"/>
              <w:bottom w:val="single" w:sz="4" w:space="0" w:color="BFBFBF"/>
              <w:right w:val="nil"/>
            </w:tcBorders>
            <w:shd w:val="clear" w:color="000000" w:fill="FFFFFF"/>
            <w:noWrap/>
            <w:vAlign w:val="bottom"/>
            <w:hideMark/>
          </w:tcPr>
          <w:p w14:paraId="5D8B715C"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Other non-underlying finance income</w:t>
            </w:r>
          </w:p>
        </w:tc>
        <w:tc>
          <w:tcPr>
            <w:tcW w:w="294" w:type="dxa"/>
            <w:tcBorders>
              <w:top w:val="nil"/>
              <w:left w:val="nil"/>
              <w:bottom w:val="single" w:sz="4" w:space="0" w:color="BFBFBF"/>
              <w:right w:val="nil"/>
            </w:tcBorders>
            <w:shd w:val="clear" w:color="000000" w:fill="FFFFFF"/>
            <w:noWrap/>
            <w:vAlign w:val="bottom"/>
            <w:hideMark/>
          </w:tcPr>
          <w:p w14:paraId="4988C9D0"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1FB2FFEA"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31107532"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5F6CDA0D"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w:t>
            </w:r>
          </w:p>
        </w:tc>
        <w:tc>
          <w:tcPr>
            <w:tcW w:w="1180" w:type="dxa"/>
            <w:tcBorders>
              <w:top w:val="nil"/>
              <w:left w:val="nil"/>
              <w:bottom w:val="single" w:sz="4" w:space="0" w:color="BFBFBF"/>
              <w:right w:val="nil"/>
            </w:tcBorders>
            <w:shd w:val="clear" w:color="auto" w:fill="CCECFF"/>
            <w:noWrap/>
            <w:vAlign w:val="bottom"/>
            <w:hideMark/>
          </w:tcPr>
          <w:p w14:paraId="6DF60B39"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xml:space="preserve">3 </w:t>
            </w:r>
          </w:p>
        </w:tc>
        <w:tc>
          <w:tcPr>
            <w:tcW w:w="1180" w:type="dxa"/>
            <w:tcBorders>
              <w:top w:val="nil"/>
              <w:left w:val="nil"/>
              <w:bottom w:val="nil"/>
              <w:right w:val="nil"/>
            </w:tcBorders>
            <w:shd w:val="clear" w:color="000000" w:fill="FFFFFF"/>
            <w:noWrap/>
            <w:vAlign w:val="bottom"/>
            <w:hideMark/>
          </w:tcPr>
          <w:p w14:paraId="13197622"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 </w:t>
            </w:r>
          </w:p>
        </w:tc>
        <w:tc>
          <w:tcPr>
            <w:tcW w:w="1281" w:type="dxa"/>
            <w:tcBorders>
              <w:top w:val="nil"/>
              <w:left w:val="nil"/>
              <w:bottom w:val="nil"/>
              <w:right w:val="nil"/>
            </w:tcBorders>
            <w:shd w:val="clear" w:color="000000" w:fill="FFFFFF"/>
            <w:noWrap/>
            <w:vAlign w:val="bottom"/>
            <w:hideMark/>
          </w:tcPr>
          <w:p w14:paraId="52D5A388"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 </w:t>
            </w:r>
          </w:p>
        </w:tc>
      </w:tr>
      <w:tr w:rsidR="008408EE" w:rsidRPr="008408EE" w14:paraId="068B7327" w14:textId="77777777" w:rsidTr="008408EE">
        <w:trPr>
          <w:gridAfter w:val="1"/>
          <w:wAfter w:w="236" w:type="dxa"/>
          <w:trHeight w:val="270"/>
        </w:trPr>
        <w:tc>
          <w:tcPr>
            <w:tcW w:w="3980" w:type="dxa"/>
            <w:gridSpan w:val="3"/>
            <w:tcBorders>
              <w:top w:val="single" w:sz="4" w:space="0" w:color="BFBFBF"/>
              <w:left w:val="nil"/>
              <w:bottom w:val="single" w:sz="4" w:space="0" w:color="BFBFBF"/>
              <w:right w:val="nil"/>
            </w:tcBorders>
            <w:shd w:val="clear" w:color="000000" w:fill="FFFFFF"/>
            <w:noWrap/>
            <w:vAlign w:val="bottom"/>
            <w:hideMark/>
          </w:tcPr>
          <w:p w14:paraId="4809A983"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Finance income (excluding funeral plans)</w:t>
            </w:r>
          </w:p>
        </w:tc>
        <w:tc>
          <w:tcPr>
            <w:tcW w:w="720" w:type="dxa"/>
            <w:tcBorders>
              <w:top w:val="nil"/>
              <w:left w:val="nil"/>
              <w:bottom w:val="single" w:sz="4" w:space="0" w:color="BFBFBF"/>
              <w:right w:val="nil"/>
            </w:tcBorders>
            <w:shd w:val="clear" w:color="000000" w:fill="FFFFFF"/>
            <w:noWrap/>
            <w:vAlign w:val="bottom"/>
            <w:hideMark/>
          </w:tcPr>
          <w:p w14:paraId="35B8DBB6"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0FD195C9"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766BEA20"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w:t>
            </w:r>
          </w:p>
        </w:tc>
        <w:tc>
          <w:tcPr>
            <w:tcW w:w="1180" w:type="dxa"/>
            <w:tcBorders>
              <w:top w:val="nil"/>
              <w:left w:val="nil"/>
              <w:bottom w:val="single" w:sz="4" w:space="0" w:color="BFBFBF"/>
              <w:right w:val="nil"/>
            </w:tcBorders>
            <w:shd w:val="clear" w:color="auto" w:fill="CCECFF"/>
            <w:noWrap/>
            <w:vAlign w:val="bottom"/>
            <w:hideMark/>
          </w:tcPr>
          <w:p w14:paraId="2501D0FA"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xml:space="preserve">80 </w:t>
            </w:r>
          </w:p>
        </w:tc>
        <w:tc>
          <w:tcPr>
            <w:tcW w:w="1180" w:type="dxa"/>
            <w:tcBorders>
              <w:top w:val="single" w:sz="4" w:space="0" w:color="BFBFBF"/>
              <w:left w:val="nil"/>
              <w:bottom w:val="single" w:sz="4" w:space="0" w:color="BFBFBF"/>
              <w:right w:val="nil"/>
            </w:tcBorders>
            <w:shd w:val="clear" w:color="000000" w:fill="FFFFFF"/>
            <w:noWrap/>
            <w:vAlign w:val="bottom"/>
            <w:hideMark/>
          </w:tcPr>
          <w:p w14:paraId="51BACA54"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117 </w:t>
            </w:r>
          </w:p>
        </w:tc>
        <w:tc>
          <w:tcPr>
            <w:tcW w:w="1281" w:type="dxa"/>
            <w:tcBorders>
              <w:top w:val="single" w:sz="4" w:space="0" w:color="BFBFBF"/>
              <w:left w:val="nil"/>
              <w:bottom w:val="single" w:sz="4" w:space="0" w:color="BFBFBF"/>
              <w:right w:val="nil"/>
            </w:tcBorders>
            <w:shd w:val="clear" w:color="000000" w:fill="FFFFFF"/>
            <w:noWrap/>
            <w:vAlign w:val="bottom"/>
            <w:hideMark/>
          </w:tcPr>
          <w:p w14:paraId="05F0EB9C"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142 </w:t>
            </w:r>
          </w:p>
        </w:tc>
      </w:tr>
      <w:tr w:rsidR="008408EE" w:rsidRPr="008408EE" w14:paraId="14E95987" w14:textId="77777777" w:rsidTr="008408EE">
        <w:trPr>
          <w:gridAfter w:val="1"/>
          <w:wAfter w:w="236" w:type="dxa"/>
          <w:trHeight w:val="270"/>
        </w:trPr>
        <w:tc>
          <w:tcPr>
            <w:tcW w:w="4700" w:type="dxa"/>
            <w:gridSpan w:val="4"/>
            <w:tcBorders>
              <w:top w:val="nil"/>
              <w:left w:val="nil"/>
              <w:bottom w:val="nil"/>
              <w:right w:val="nil"/>
            </w:tcBorders>
            <w:shd w:val="clear" w:color="000000" w:fill="FFFFFF"/>
            <w:noWrap/>
            <w:vAlign w:val="bottom"/>
            <w:hideMark/>
          </w:tcPr>
          <w:p w14:paraId="2ECD4A7A"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Unrealised fair value movement on funeral plan investments</w:t>
            </w:r>
          </w:p>
        </w:tc>
        <w:tc>
          <w:tcPr>
            <w:tcW w:w="720" w:type="dxa"/>
            <w:tcBorders>
              <w:top w:val="nil"/>
              <w:left w:val="nil"/>
              <w:bottom w:val="nil"/>
              <w:right w:val="nil"/>
            </w:tcBorders>
            <w:shd w:val="clear" w:color="000000" w:fill="FFFFFF"/>
            <w:noWrap/>
            <w:vAlign w:val="bottom"/>
            <w:hideMark/>
          </w:tcPr>
          <w:p w14:paraId="14AF03B6"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192E2B58"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w:t>
            </w:r>
          </w:p>
        </w:tc>
        <w:tc>
          <w:tcPr>
            <w:tcW w:w="1180" w:type="dxa"/>
            <w:tcBorders>
              <w:top w:val="nil"/>
              <w:left w:val="nil"/>
              <w:bottom w:val="nil"/>
              <w:right w:val="nil"/>
            </w:tcBorders>
            <w:shd w:val="clear" w:color="auto" w:fill="CCECFF"/>
            <w:noWrap/>
            <w:vAlign w:val="bottom"/>
            <w:hideMark/>
          </w:tcPr>
          <w:p w14:paraId="1B419AB9"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xml:space="preserve">48 </w:t>
            </w:r>
          </w:p>
        </w:tc>
        <w:tc>
          <w:tcPr>
            <w:tcW w:w="1180" w:type="dxa"/>
            <w:tcBorders>
              <w:top w:val="nil"/>
              <w:left w:val="nil"/>
              <w:bottom w:val="nil"/>
              <w:right w:val="nil"/>
            </w:tcBorders>
            <w:shd w:val="clear" w:color="000000" w:fill="FFFFFF"/>
            <w:noWrap/>
            <w:vAlign w:val="bottom"/>
            <w:hideMark/>
          </w:tcPr>
          <w:p w14:paraId="3ED9772F"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25 </w:t>
            </w:r>
          </w:p>
        </w:tc>
        <w:tc>
          <w:tcPr>
            <w:tcW w:w="1281" w:type="dxa"/>
            <w:tcBorders>
              <w:top w:val="nil"/>
              <w:left w:val="nil"/>
              <w:bottom w:val="nil"/>
              <w:right w:val="nil"/>
            </w:tcBorders>
            <w:shd w:val="clear" w:color="000000" w:fill="FFFFFF"/>
            <w:noWrap/>
            <w:vAlign w:val="bottom"/>
            <w:hideMark/>
          </w:tcPr>
          <w:p w14:paraId="37BE26F5"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54 </w:t>
            </w:r>
          </w:p>
        </w:tc>
      </w:tr>
      <w:tr w:rsidR="008408EE" w:rsidRPr="008408EE" w14:paraId="1EBB48AB" w14:textId="77777777" w:rsidTr="00662C8F">
        <w:trPr>
          <w:gridAfter w:val="1"/>
          <w:wAfter w:w="236" w:type="dxa"/>
          <w:trHeight w:val="270"/>
        </w:trPr>
        <w:tc>
          <w:tcPr>
            <w:tcW w:w="3686" w:type="dxa"/>
            <w:gridSpan w:val="2"/>
            <w:tcBorders>
              <w:top w:val="single" w:sz="4" w:space="0" w:color="BFBFBF"/>
              <w:left w:val="nil"/>
              <w:bottom w:val="single" w:sz="4" w:space="0" w:color="BFBFBF"/>
              <w:right w:val="nil"/>
            </w:tcBorders>
            <w:shd w:val="clear" w:color="000000" w:fill="FFFFFF"/>
            <w:noWrap/>
            <w:vAlign w:val="bottom"/>
            <w:hideMark/>
          </w:tcPr>
          <w:p w14:paraId="571C3F52"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Finance income (on funeral plans)</w:t>
            </w:r>
          </w:p>
        </w:tc>
        <w:tc>
          <w:tcPr>
            <w:tcW w:w="294" w:type="dxa"/>
            <w:tcBorders>
              <w:top w:val="single" w:sz="4" w:space="0" w:color="BFBFBF"/>
              <w:left w:val="nil"/>
              <w:bottom w:val="single" w:sz="4" w:space="0" w:color="BFBFBF"/>
              <w:right w:val="nil"/>
            </w:tcBorders>
            <w:shd w:val="clear" w:color="000000" w:fill="FFFFFF"/>
            <w:noWrap/>
            <w:vAlign w:val="bottom"/>
            <w:hideMark/>
          </w:tcPr>
          <w:p w14:paraId="71B61E3A"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single" w:sz="4" w:space="0" w:color="BFBFBF"/>
              <w:left w:val="nil"/>
              <w:bottom w:val="single" w:sz="4" w:space="0" w:color="BFBFBF"/>
              <w:right w:val="nil"/>
            </w:tcBorders>
            <w:shd w:val="clear" w:color="000000" w:fill="FFFFFF"/>
            <w:noWrap/>
            <w:vAlign w:val="bottom"/>
            <w:hideMark/>
          </w:tcPr>
          <w:p w14:paraId="72B2976B"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single" w:sz="4" w:space="0" w:color="BFBFBF"/>
              <w:left w:val="nil"/>
              <w:bottom w:val="single" w:sz="4" w:space="0" w:color="BFBFBF"/>
              <w:right w:val="nil"/>
            </w:tcBorders>
            <w:shd w:val="clear" w:color="000000" w:fill="FFFFFF"/>
            <w:noWrap/>
            <w:vAlign w:val="bottom"/>
            <w:hideMark/>
          </w:tcPr>
          <w:p w14:paraId="4867E9EB"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single" w:sz="4" w:space="0" w:color="BFBFBF"/>
              <w:left w:val="nil"/>
              <w:bottom w:val="single" w:sz="4" w:space="0" w:color="BFBFBF"/>
              <w:right w:val="nil"/>
            </w:tcBorders>
            <w:shd w:val="clear" w:color="000000" w:fill="FFFFFF"/>
            <w:noWrap/>
            <w:vAlign w:val="bottom"/>
            <w:hideMark/>
          </w:tcPr>
          <w:p w14:paraId="5585B490"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w:t>
            </w:r>
          </w:p>
        </w:tc>
        <w:tc>
          <w:tcPr>
            <w:tcW w:w="1180" w:type="dxa"/>
            <w:tcBorders>
              <w:top w:val="single" w:sz="4" w:space="0" w:color="BFBFBF"/>
              <w:left w:val="nil"/>
              <w:bottom w:val="single" w:sz="4" w:space="0" w:color="BFBFBF"/>
              <w:right w:val="nil"/>
            </w:tcBorders>
            <w:shd w:val="clear" w:color="auto" w:fill="CCECFF"/>
            <w:noWrap/>
            <w:vAlign w:val="bottom"/>
            <w:hideMark/>
          </w:tcPr>
          <w:p w14:paraId="056CCA23"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xml:space="preserve">48 </w:t>
            </w:r>
          </w:p>
        </w:tc>
        <w:tc>
          <w:tcPr>
            <w:tcW w:w="1180" w:type="dxa"/>
            <w:tcBorders>
              <w:top w:val="single" w:sz="4" w:space="0" w:color="BFBFBF"/>
              <w:left w:val="nil"/>
              <w:bottom w:val="single" w:sz="4" w:space="0" w:color="BFBFBF"/>
              <w:right w:val="nil"/>
            </w:tcBorders>
            <w:shd w:val="clear" w:color="000000" w:fill="FFFFFF"/>
            <w:noWrap/>
            <w:vAlign w:val="bottom"/>
            <w:hideMark/>
          </w:tcPr>
          <w:p w14:paraId="399361AE"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25 </w:t>
            </w:r>
          </w:p>
        </w:tc>
        <w:tc>
          <w:tcPr>
            <w:tcW w:w="1281" w:type="dxa"/>
            <w:tcBorders>
              <w:top w:val="single" w:sz="4" w:space="0" w:color="BFBFBF"/>
              <w:left w:val="nil"/>
              <w:bottom w:val="single" w:sz="4" w:space="0" w:color="BFBFBF"/>
              <w:right w:val="nil"/>
            </w:tcBorders>
            <w:shd w:val="clear" w:color="000000" w:fill="FFFFFF"/>
            <w:noWrap/>
            <w:vAlign w:val="bottom"/>
            <w:hideMark/>
          </w:tcPr>
          <w:p w14:paraId="66171631"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54 </w:t>
            </w:r>
          </w:p>
        </w:tc>
      </w:tr>
      <w:tr w:rsidR="00662C8F" w:rsidRPr="008408EE" w14:paraId="1866E410" w14:textId="77777777" w:rsidTr="00662C8F">
        <w:trPr>
          <w:gridAfter w:val="1"/>
          <w:wAfter w:w="236" w:type="dxa"/>
          <w:trHeight w:val="240"/>
        </w:trPr>
        <w:tc>
          <w:tcPr>
            <w:tcW w:w="2460" w:type="dxa"/>
            <w:tcBorders>
              <w:top w:val="nil"/>
              <w:left w:val="nil"/>
              <w:bottom w:val="single" w:sz="4" w:space="0" w:color="BFBFBF"/>
              <w:right w:val="nil"/>
            </w:tcBorders>
            <w:shd w:val="clear" w:color="000000" w:fill="FFFFFF"/>
            <w:noWrap/>
            <w:vAlign w:val="bottom"/>
            <w:hideMark/>
          </w:tcPr>
          <w:p w14:paraId="11DF8D0F"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w:t>
            </w:r>
          </w:p>
        </w:tc>
        <w:tc>
          <w:tcPr>
            <w:tcW w:w="1226" w:type="dxa"/>
            <w:tcBorders>
              <w:top w:val="nil"/>
              <w:left w:val="nil"/>
              <w:bottom w:val="single" w:sz="4" w:space="0" w:color="BFBFBF"/>
              <w:right w:val="nil"/>
            </w:tcBorders>
            <w:shd w:val="clear" w:color="000000" w:fill="FFFFFF"/>
            <w:noWrap/>
            <w:vAlign w:val="bottom"/>
            <w:hideMark/>
          </w:tcPr>
          <w:p w14:paraId="4833301F"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294" w:type="dxa"/>
            <w:tcBorders>
              <w:top w:val="nil"/>
              <w:left w:val="nil"/>
              <w:bottom w:val="single" w:sz="4" w:space="0" w:color="BFBFBF"/>
              <w:right w:val="nil"/>
            </w:tcBorders>
            <w:shd w:val="clear" w:color="000000" w:fill="FFFFFF"/>
            <w:noWrap/>
            <w:vAlign w:val="bottom"/>
            <w:hideMark/>
          </w:tcPr>
          <w:p w14:paraId="6EC9ED86"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53AA2CD5"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4286CAA9"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481982B8"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w:t>
            </w:r>
          </w:p>
        </w:tc>
        <w:tc>
          <w:tcPr>
            <w:tcW w:w="1180" w:type="dxa"/>
            <w:tcBorders>
              <w:top w:val="nil"/>
              <w:left w:val="nil"/>
              <w:bottom w:val="single" w:sz="4" w:space="0" w:color="BFBFBF"/>
              <w:right w:val="nil"/>
            </w:tcBorders>
            <w:shd w:val="clear" w:color="auto" w:fill="CCECFF"/>
            <w:noWrap/>
            <w:vAlign w:val="bottom"/>
            <w:hideMark/>
          </w:tcPr>
          <w:p w14:paraId="15B8B812"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w:t>
            </w:r>
          </w:p>
        </w:tc>
        <w:tc>
          <w:tcPr>
            <w:tcW w:w="1180" w:type="dxa"/>
            <w:tcBorders>
              <w:top w:val="nil"/>
              <w:left w:val="nil"/>
              <w:bottom w:val="single" w:sz="4" w:space="0" w:color="BFBFBF"/>
              <w:right w:val="nil"/>
            </w:tcBorders>
            <w:shd w:val="clear" w:color="000000" w:fill="FFFFFF"/>
            <w:noWrap/>
            <w:vAlign w:val="bottom"/>
            <w:hideMark/>
          </w:tcPr>
          <w:p w14:paraId="6A7A3B3D"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 </w:t>
            </w:r>
          </w:p>
        </w:tc>
        <w:tc>
          <w:tcPr>
            <w:tcW w:w="1281" w:type="dxa"/>
            <w:tcBorders>
              <w:top w:val="nil"/>
              <w:left w:val="nil"/>
              <w:bottom w:val="single" w:sz="4" w:space="0" w:color="BFBFBF"/>
              <w:right w:val="nil"/>
            </w:tcBorders>
            <w:shd w:val="clear" w:color="000000" w:fill="FFFFFF"/>
            <w:noWrap/>
            <w:vAlign w:val="bottom"/>
            <w:hideMark/>
          </w:tcPr>
          <w:p w14:paraId="6E3F95E8"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 </w:t>
            </w:r>
          </w:p>
        </w:tc>
      </w:tr>
      <w:tr w:rsidR="00662C8F" w:rsidRPr="008408EE" w14:paraId="7C00B1D3" w14:textId="77777777" w:rsidTr="00662C8F">
        <w:trPr>
          <w:gridAfter w:val="1"/>
          <w:wAfter w:w="236" w:type="dxa"/>
          <w:trHeight w:val="270"/>
        </w:trPr>
        <w:tc>
          <w:tcPr>
            <w:tcW w:w="2460" w:type="dxa"/>
            <w:tcBorders>
              <w:top w:val="nil"/>
              <w:left w:val="nil"/>
              <w:bottom w:val="single" w:sz="4" w:space="0" w:color="BFBFBF"/>
              <w:right w:val="nil"/>
            </w:tcBorders>
            <w:shd w:val="clear" w:color="000000" w:fill="FFFFFF"/>
            <w:noWrap/>
            <w:vAlign w:val="bottom"/>
            <w:hideMark/>
          </w:tcPr>
          <w:p w14:paraId="3E47FA2D"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xml:space="preserve">Total finance income </w:t>
            </w:r>
          </w:p>
        </w:tc>
        <w:tc>
          <w:tcPr>
            <w:tcW w:w="1226" w:type="dxa"/>
            <w:tcBorders>
              <w:top w:val="nil"/>
              <w:left w:val="nil"/>
              <w:bottom w:val="single" w:sz="4" w:space="0" w:color="BFBFBF"/>
              <w:right w:val="nil"/>
            </w:tcBorders>
            <w:shd w:val="clear" w:color="000000" w:fill="FFFFFF"/>
            <w:noWrap/>
            <w:vAlign w:val="bottom"/>
            <w:hideMark/>
          </w:tcPr>
          <w:p w14:paraId="6A556B4F"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294" w:type="dxa"/>
            <w:tcBorders>
              <w:top w:val="nil"/>
              <w:left w:val="nil"/>
              <w:bottom w:val="single" w:sz="4" w:space="0" w:color="BFBFBF"/>
              <w:right w:val="nil"/>
            </w:tcBorders>
            <w:shd w:val="clear" w:color="000000" w:fill="FFFFFF"/>
            <w:noWrap/>
            <w:vAlign w:val="bottom"/>
            <w:hideMark/>
          </w:tcPr>
          <w:p w14:paraId="6A02A32B"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023A90ED"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1BD68195"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0F35EE6D"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w:t>
            </w:r>
          </w:p>
        </w:tc>
        <w:tc>
          <w:tcPr>
            <w:tcW w:w="1180" w:type="dxa"/>
            <w:tcBorders>
              <w:top w:val="nil"/>
              <w:left w:val="nil"/>
              <w:bottom w:val="single" w:sz="4" w:space="0" w:color="BFBFBF"/>
              <w:right w:val="nil"/>
            </w:tcBorders>
            <w:shd w:val="clear" w:color="auto" w:fill="CCECFF"/>
            <w:noWrap/>
            <w:vAlign w:val="bottom"/>
            <w:hideMark/>
          </w:tcPr>
          <w:p w14:paraId="2308860B"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xml:space="preserve">128 </w:t>
            </w:r>
          </w:p>
        </w:tc>
        <w:tc>
          <w:tcPr>
            <w:tcW w:w="1180" w:type="dxa"/>
            <w:tcBorders>
              <w:top w:val="nil"/>
              <w:left w:val="nil"/>
              <w:bottom w:val="single" w:sz="4" w:space="0" w:color="BFBFBF"/>
              <w:right w:val="nil"/>
            </w:tcBorders>
            <w:shd w:val="clear" w:color="000000" w:fill="FFFFFF"/>
            <w:noWrap/>
            <w:vAlign w:val="bottom"/>
            <w:hideMark/>
          </w:tcPr>
          <w:p w14:paraId="190B218D"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142 </w:t>
            </w:r>
          </w:p>
        </w:tc>
        <w:tc>
          <w:tcPr>
            <w:tcW w:w="1281" w:type="dxa"/>
            <w:tcBorders>
              <w:top w:val="nil"/>
              <w:left w:val="nil"/>
              <w:bottom w:val="single" w:sz="4" w:space="0" w:color="BFBFBF"/>
              <w:right w:val="nil"/>
            </w:tcBorders>
            <w:shd w:val="clear" w:color="000000" w:fill="FFFFFF"/>
            <w:noWrap/>
            <w:vAlign w:val="bottom"/>
            <w:hideMark/>
          </w:tcPr>
          <w:p w14:paraId="5B12D19F"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196 </w:t>
            </w:r>
          </w:p>
        </w:tc>
      </w:tr>
      <w:tr w:rsidR="008408EE" w:rsidRPr="008408EE" w14:paraId="288CFA1C" w14:textId="77777777" w:rsidTr="00662C8F">
        <w:trPr>
          <w:gridAfter w:val="1"/>
          <w:wAfter w:w="236" w:type="dxa"/>
          <w:trHeight w:val="158"/>
        </w:trPr>
        <w:tc>
          <w:tcPr>
            <w:tcW w:w="2460" w:type="dxa"/>
            <w:tcBorders>
              <w:top w:val="nil"/>
              <w:left w:val="nil"/>
              <w:bottom w:val="nil"/>
              <w:right w:val="nil"/>
            </w:tcBorders>
            <w:shd w:val="clear" w:color="auto" w:fill="auto"/>
            <w:noWrap/>
            <w:vAlign w:val="bottom"/>
            <w:hideMark/>
          </w:tcPr>
          <w:p w14:paraId="41B2EF87" w14:textId="77777777" w:rsidR="008408EE" w:rsidRPr="008408EE" w:rsidRDefault="008408EE" w:rsidP="008408EE">
            <w:pPr>
              <w:spacing w:after="0" w:line="240" w:lineRule="auto"/>
              <w:jc w:val="right"/>
              <w:rPr>
                <w:rFonts w:ascii="Arial" w:eastAsia="Times New Roman" w:hAnsi="Arial" w:cs="Arial"/>
                <w:sz w:val="15"/>
                <w:szCs w:val="15"/>
                <w:lang w:eastAsia="en-GB"/>
              </w:rPr>
            </w:pPr>
          </w:p>
        </w:tc>
        <w:tc>
          <w:tcPr>
            <w:tcW w:w="1226" w:type="dxa"/>
            <w:tcBorders>
              <w:top w:val="nil"/>
              <w:left w:val="nil"/>
              <w:bottom w:val="nil"/>
              <w:right w:val="nil"/>
            </w:tcBorders>
            <w:shd w:val="clear" w:color="auto" w:fill="auto"/>
            <w:noWrap/>
            <w:vAlign w:val="bottom"/>
            <w:hideMark/>
          </w:tcPr>
          <w:p w14:paraId="089BDBE6"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c>
          <w:tcPr>
            <w:tcW w:w="294" w:type="dxa"/>
            <w:tcBorders>
              <w:top w:val="nil"/>
              <w:left w:val="nil"/>
              <w:bottom w:val="nil"/>
              <w:right w:val="nil"/>
            </w:tcBorders>
            <w:shd w:val="clear" w:color="auto" w:fill="auto"/>
            <w:noWrap/>
            <w:vAlign w:val="bottom"/>
            <w:hideMark/>
          </w:tcPr>
          <w:p w14:paraId="5E4FAF77"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14:paraId="320B48D0"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14:paraId="75F53292"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14:paraId="5AA1F12A"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11ADC847"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52E91479" w14:textId="77777777" w:rsidR="008408EE" w:rsidRPr="008408EE" w:rsidRDefault="008408EE" w:rsidP="008408EE">
            <w:pPr>
              <w:spacing w:after="0" w:line="240" w:lineRule="auto"/>
              <w:jc w:val="right"/>
              <w:rPr>
                <w:rFonts w:ascii="Times New Roman" w:eastAsia="Times New Roman" w:hAnsi="Times New Roman" w:cs="Times New Roman"/>
                <w:sz w:val="20"/>
                <w:szCs w:val="20"/>
                <w:lang w:eastAsia="en-GB"/>
              </w:rPr>
            </w:pPr>
          </w:p>
        </w:tc>
        <w:tc>
          <w:tcPr>
            <w:tcW w:w="1281" w:type="dxa"/>
            <w:tcBorders>
              <w:top w:val="nil"/>
              <w:left w:val="nil"/>
              <w:bottom w:val="nil"/>
              <w:right w:val="nil"/>
            </w:tcBorders>
            <w:shd w:val="clear" w:color="auto" w:fill="auto"/>
            <w:noWrap/>
            <w:vAlign w:val="bottom"/>
            <w:hideMark/>
          </w:tcPr>
          <w:p w14:paraId="52C34723"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8408EE" w:rsidRPr="008408EE" w14:paraId="662F8E74" w14:textId="77777777" w:rsidTr="008408EE">
        <w:trPr>
          <w:gridAfter w:val="1"/>
          <w:wAfter w:w="236" w:type="dxa"/>
          <w:trHeight w:val="289"/>
        </w:trPr>
        <w:tc>
          <w:tcPr>
            <w:tcW w:w="9781" w:type="dxa"/>
            <w:gridSpan w:val="9"/>
            <w:tcBorders>
              <w:top w:val="nil"/>
              <w:left w:val="nil"/>
              <w:bottom w:val="nil"/>
              <w:right w:val="nil"/>
            </w:tcBorders>
            <w:shd w:val="clear" w:color="auto" w:fill="auto"/>
            <w:vAlign w:val="center"/>
            <w:hideMark/>
          </w:tcPr>
          <w:p w14:paraId="4363C955"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8408EE" w:rsidRPr="008408EE" w14:paraId="59B9474B" w14:textId="77777777" w:rsidTr="00662C8F">
        <w:trPr>
          <w:gridAfter w:val="1"/>
          <w:wAfter w:w="236" w:type="dxa"/>
          <w:trHeight w:val="169"/>
        </w:trPr>
        <w:tc>
          <w:tcPr>
            <w:tcW w:w="2460" w:type="dxa"/>
            <w:tcBorders>
              <w:top w:val="nil"/>
              <w:left w:val="nil"/>
              <w:bottom w:val="nil"/>
              <w:right w:val="nil"/>
            </w:tcBorders>
            <w:shd w:val="clear" w:color="auto" w:fill="auto"/>
            <w:noWrap/>
            <w:vAlign w:val="bottom"/>
            <w:hideMark/>
          </w:tcPr>
          <w:p w14:paraId="4978EA68"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c>
          <w:tcPr>
            <w:tcW w:w="1226" w:type="dxa"/>
            <w:tcBorders>
              <w:top w:val="nil"/>
              <w:left w:val="nil"/>
              <w:bottom w:val="nil"/>
              <w:right w:val="nil"/>
            </w:tcBorders>
            <w:shd w:val="clear" w:color="auto" w:fill="auto"/>
            <w:noWrap/>
            <w:vAlign w:val="bottom"/>
            <w:hideMark/>
          </w:tcPr>
          <w:p w14:paraId="3EC571B2"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c>
          <w:tcPr>
            <w:tcW w:w="294" w:type="dxa"/>
            <w:tcBorders>
              <w:top w:val="nil"/>
              <w:left w:val="nil"/>
              <w:bottom w:val="nil"/>
              <w:right w:val="nil"/>
            </w:tcBorders>
            <w:shd w:val="clear" w:color="auto" w:fill="auto"/>
            <w:noWrap/>
            <w:vAlign w:val="bottom"/>
            <w:hideMark/>
          </w:tcPr>
          <w:p w14:paraId="37A7924E"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14:paraId="32A48F9B"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14:paraId="6E25FBE8"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14:paraId="423DE1E0"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5B0F2C1C"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701C10ED"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c>
          <w:tcPr>
            <w:tcW w:w="1281" w:type="dxa"/>
            <w:tcBorders>
              <w:top w:val="nil"/>
              <w:left w:val="nil"/>
              <w:bottom w:val="nil"/>
              <w:right w:val="nil"/>
            </w:tcBorders>
            <w:shd w:val="clear" w:color="auto" w:fill="auto"/>
            <w:noWrap/>
            <w:vAlign w:val="bottom"/>
            <w:hideMark/>
          </w:tcPr>
          <w:p w14:paraId="7FC23D5E" w14:textId="77777777" w:rsidR="008408EE" w:rsidRPr="008408EE" w:rsidRDefault="008408EE" w:rsidP="008408EE">
            <w:pPr>
              <w:spacing w:after="0" w:line="240" w:lineRule="auto"/>
              <w:jc w:val="right"/>
              <w:rPr>
                <w:rFonts w:ascii="Times New Roman" w:eastAsia="Times New Roman" w:hAnsi="Times New Roman" w:cs="Times New Roman"/>
                <w:sz w:val="20"/>
                <w:szCs w:val="20"/>
                <w:lang w:eastAsia="en-GB"/>
              </w:rPr>
            </w:pPr>
          </w:p>
        </w:tc>
      </w:tr>
      <w:tr w:rsidR="008408EE" w:rsidRPr="008408EE" w14:paraId="534F5BF3" w14:textId="77777777" w:rsidTr="00662C8F">
        <w:trPr>
          <w:gridAfter w:val="1"/>
          <w:wAfter w:w="236" w:type="dxa"/>
          <w:trHeight w:val="255"/>
        </w:trPr>
        <w:tc>
          <w:tcPr>
            <w:tcW w:w="2460" w:type="dxa"/>
            <w:tcBorders>
              <w:top w:val="nil"/>
              <w:left w:val="nil"/>
              <w:bottom w:val="nil"/>
              <w:right w:val="nil"/>
            </w:tcBorders>
            <w:shd w:val="clear" w:color="000000" w:fill="FFFFFF"/>
            <w:noWrap/>
            <w:vAlign w:val="bottom"/>
            <w:hideMark/>
          </w:tcPr>
          <w:p w14:paraId="33F0E3BC"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4    Finance costs</w:t>
            </w:r>
          </w:p>
        </w:tc>
        <w:tc>
          <w:tcPr>
            <w:tcW w:w="1226" w:type="dxa"/>
            <w:tcBorders>
              <w:top w:val="nil"/>
              <w:left w:val="nil"/>
              <w:bottom w:val="nil"/>
              <w:right w:val="nil"/>
            </w:tcBorders>
            <w:shd w:val="clear" w:color="000000" w:fill="FFFFFF"/>
            <w:noWrap/>
            <w:vAlign w:val="bottom"/>
            <w:hideMark/>
          </w:tcPr>
          <w:p w14:paraId="3B5D74D2"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294" w:type="dxa"/>
            <w:tcBorders>
              <w:top w:val="nil"/>
              <w:left w:val="nil"/>
              <w:bottom w:val="nil"/>
              <w:right w:val="nil"/>
            </w:tcBorders>
            <w:shd w:val="clear" w:color="000000" w:fill="FFFFFF"/>
            <w:noWrap/>
            <w:vAlign w:val="bottom"/>
            <w:hideMark/>
          </w:tcPr>
          <w:p w14:paraId="0B5767BF"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3333BA7E"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62863EC6"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53232B50"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nil"/>
              <w:left w:val="nil"/>
              <w:bottom w:val="nil"/>
              <w:right w:val="nil"/>
            </w:tcBorders>
            <w:shd w:val="clear" w:color="000000" w:fill="FFFFFF"/>
            <w:noWrap/>
            <w:vAlign w:val="bottom"/>
            <w:hideMark/>
          </w:tcPr>
          <w:p w14:paraId="07417FCC"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1180" w:type="dxa"/>
            <w:tcBorders>
              <w:top w:val="nil"/>
              <w:left w:val="nil"/>
              <w:bottom w:val="nil"/>
              <w:right w:val="nil"/>
            </w:tcBorders>
            <w:shd w:val="clear" w:color="000000" w:fill="FFFFFF"/>
            <w:noWrap/>
            <w:vAlign w:val="bottom"/>
            <w:hideMark/>
          </w:tcPr>
          <w:p w14:paraId="76D05F84"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1281" w:type="dxa"/>
            <w:tcBorders>
              <w:top w:val="nil"/>
              <w:left w:val="nil"/>
              <w:bottom w:val="nil"/>
              <w:right w:val="nil"/>
            </w:tcBorders>
            <w:shd w:val="clear" w:color="000000" w:fill="FFFFFF"/>
            <w:noWrap/>
            <w:vAlign w:val="bottom"/>
            <w:hideMark/>
          </w:tcPr>
          <w:p w14:paraId="32ED43D0"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r>
      <w:tr w:rsidR="008408EE" w:rsidRPr="008408EE" w14:paraId="4C66B3D4" w14:textId="77777777" w:rsidTr="00662C8F">
        <w:trPr>
          <w:gridAfter w:val="1"/>
          <w:wAfter w:w="236" w:type="dxa"/>
          <w:trHeight w:val="90"/>
        </w:trPr>
        <w:tc>
          <w:tcPr>
            <w:tcW w:w="2460" w:type="dxa"/>
            <w:tcBorders>
              <w:top w:val="nil"/>
              <w:left w:val="nil"/>
              <w:bottom w:val="nil"/>
              <w:right w:val="nil"/>
            </w:tcBorders>
            <w:shd w:val="clear" w:color="000000" w:fill="FFFFFF"/>
            <w:noWrap/>
            <w:vAlign w:val="bottom"/>
            <w:hideMark/>
          </w:tcPr>
          <w:p w14:paraId="26876DDE"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1226" w:type="dxa"/>
            <w:tcBorders>
              <w:top w:val="nil"/>
              <w:left w:val="nil"/>
              <w:bottom w:val="nil"/>
              <w:right w:val="nil"/>
            </w:tcBorders>
            <w:shd w:val="clear" w:color="000000" w:fill="FFFFFF"/>
            <w:noWrap/>
            <w:vAlign w:val="bottom"/>
            <w:hideMark/>
          </w:tcPr>
          <w:p w14:paraId="348EA967"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294" w:type="dxa"/>
            <w:tcBorders>
              <w:top w:val="nil"/>
              <w:left w:val="nil"/>
              <w:bottom w:val="nil"/>
              <w:right w:val="nil"/>
            </w:tcBorders>
            <w:shd w:val="clear" w:color="000000" w:fill="FFFFFF"/>
            <w:noWrap/>
            <w:vAlign w:val="bottom"/>
            <w:hideMark/>
          </w:tcPr>
          <w:p w14:paraId="6005A065"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52E72393"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084C92ED"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7CAD3D60"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nil"/>
              <w:left w:val="nil"/>
              <w:bottom w:val="nil"/>
              <w:right w:val="nil"/>
            </w:tcBorders>
            <w:shd w:val="clear" w:color="000000" w:fill="FFFFFF"/>
            <w:noWrap/>
            <w:vAlign w:val="bottom"/>
            <w:hideMark/>
          </w:tcPr>
          <w:p w14:paraId="1D187D52"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1180" w:type="dxa"/>
            <w:tcBorders>
              <w:top w:val="nil"/>
              <w:left w:val="nil"/>
              <w:bottom w:val="nil"/>
              <w:right w:val="nil"/>
            </w:tcBorders>
            <w:shd w:val="clear" w:color="000000" w:fill="FFFFFF"/>
            <w:noWrap/>
            <w:vAlign w:val="bottom"/>
            <w:hideMark/>
          </w:tcPr>
          <w:p w14:paraId="4F8C6690"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1281" w:type="dxa"/>
            <w:tcBorders>
              <w:top w:val="nil"/>
              <w:left w:val="nil"/>
              <w:bottom w:val="nil"/>
              <w:right w:val="nil"/>
            </w:tcBorders>
            <w:shd w:val="clear" w:color="000000" w:fill="FFFFFF"/>
            <w:noWrap/>
            <w:vAlign w:val="bottom"/>
            <w:hideMark/>
          </w:tcPr>
          <w:p w14:paraId="58478FDB"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r>
      <w:tr w:rsidR="008408EE" w:rsidRPr="008408EE" w14:paraId="741C85B0" w14:textId="77777777" w:rsidTr="008408EE">
        <w:trPr>
          <w:gridAfter w:val="1"/>
          <w:wAfter w:w="236" w:type="dxa"/>
          <w:trHeight w:val="450"/>
        </w:trPr>
        <w:tc>
          <w:tcPr>
            <w:tcW w:w="9781" w:type="dxa"/>
            <w:gridSpan w:val="9"/>
            <w:vMerge w:val="restart"/>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1B0D9BBE" w14:textId="77777777" w:rsidR="008408EE" w:rsidRPr="008408EE" w:rsidRDefault="008408EE" w:rsidP="008408EE">
            <w:pPr>
              <w:spacing w:after="0" w:line="240" w:lineRule="auto"/>
              <w:rPr>
                <w:rFonts w:ascii="Arial" w:eastAsia="Times New Roman" w:hAnsi="Arial" w:cs="Arial"/>
                <w:sz w:val="18"/>
                <w:szCs w:val="18"/>
                <w:lang w:eastAsia="en-GB"/>
              </w:rPr>
            </w:pPr>
            <w:r w:rsidRPr="008408EE">
              <w:rPr>
                <w:rFonts w:ascii="Arial" w:eastAsia="Times New Roman" w:hAnsi="Arial" w:cs="Arial"/>
                <w:b/>
                <w:bCs/>
                <w:sz w:val="18"/>
                <w:szCs w:val="18"/>
                <w:lang w:eastAsia="en-GB"/>
              </w:rPr>
              <w:t>What does this show?</w:t>
            </w:r>
            <w:r w:rsidRPr="008408EE">
              <w:rPr>
                <w:rFonts w:ascii="Arial" w:eastAsia="Times New Roman" w:hAnsi="Arial" w:cs="Arial"/>
                <w:sz w:val="18"/>
                <w:szCs w:val="18"/>
                <w:lang w:eastAsia="en-GB"/>
              </w:rPr>
              <w:t xml:space="preserve"> Our main finance costs are the interest that we've paid during the year on our bank borrowings (that help fund the business) and the interest payments we incur on our lease liabilities. We also include the movement in the fair value of some elements of our debt and our interest rate swap positions (which are used to manage risks from interest rate movements) if these are losses. If they are gains, they are included in Finance income (see note 3). We also include the interest that accrues on the funeral plans we hold and any impact of discounting on funeral plan instalment debtors if it is a charge. </w:t>
            </w:r>
          </w:p>
        </w:tc>
      </w:tr>
      <w:tr w:rsidR="008408EE" w:rsidRPr="008408EE" w14:paraId="6648006A" w14:textId="77777777" w:rsidTr="008408EE">
        <w:trPr>
          <w:trHeight w:val="529"/>
        </w:trPr>
        <w:tc>
          <w:tcPr>
            <w:tcW w:w="9781" w:type="dxa"/>
            <w:gridSpan w:val="9"/>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05419D96" w14:textId="77777777" w:rsidR="008408EE" w:rsidRPr="008408EE" w:rsidRDefault="008408EE" w:rsidP="008408EE">
            <w:pPr>
              <w:spacing w:after="0" w:line="240" w:lineRule="auto"/>
              <w:rPr>
                <w:rFonts w:ascii="Arial" w:eastAsia="Times New Roman" w:hAnsi="Arial" w:cs="Arial"/>
                <w:sz w:val="18"/>
                <w:szCs w:val="18"/>
                <w:lang w:eastAsia="en-GB"/>
              </w:rPr>
            </w:pPr>
          </w:p>
        </w:tc>
        <w:tc>
          <w:tcPr>
            <w:tcW w:w="236" w:type="dxa"/>
            <w:tcBorders>
              <w:top w:val="nil"/>
              <w:left w:val="nil"/>
              <w:bottom w:val="nil"/>
              <w:right w:val="nil"/>
            </w:tcBorders>
            <w:shd w:val="clear" w:color="auto" w:fill="auto"/>
            <w:noWrap/>
            <w:vAlign w:val="bottom"/>
            <w:hideMark/>
          </w:tcPr>
          <w:p w14:paraId="414745A7" w14:textId="77777777" w:rsidR="008408EE" w:rsidRPr="008408EE" w:rsidRDefault="008408EE" w:rsidP="008408EE">
            <w:pPr>
              <w:spacing w:after="0" w:line="240" w:lineRule="auto"/>
              <w:rPr>
                <w:rFonts w:ascii="Arial" w:eastAsia="Times New Roman" w:hAnsi="Arial" w:cs="Arial"/>
                <w:sz w:val="18"/>
                <w:szCs w:val="18"/>
                <w:lang w:eastAsia="en-GB"/>
              </w:rPr>
            </w:pPr>
          </w:p>
        </w:tc>
      </w:tr>
      <w:tr w:rsidR="008408EE" w:rsidRPr="008408EE" w14:paraId="40BADB7D" w14:textId="77777777" w:rsidTr="008408EE">
        <w:trPr>
          <w:trHeight w:val="458"/>
        </w:trPr>
        <w:tc>
          <w:tcPr>
            <w:tcW w:w="9781" w:type="dxa"/>
            <w:gridSpan w:val="9"/>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7344E029" w14:textId="77777777" w:rsidR="008408EE" w:rsidRPr="008408EE" w:rsidRDefault="008408EE" w:rsidP="008408EE">
            <w:pPr>
              <w:spacing w:after="0" w:line="240" w:lineRule="auto"/>
              <w:rPr>
                <w:rFonts w:ascii="Arial" w:eastAsia="Times New Roman" w:hAnsi="Arial" w:cs="Arial"/>
                <w:sz w:val="18"/>
                <w:szCs w:val="18"/>
                <w:lang w:eastAsia="en-GB"/>
              </w:rPr>
            </w:pPr>
          </w:p>
        </w:tc>
        <w:tc>
          <w:tcPr>
            <w:tcW w:w="236" w:type="dxa"/>
            <w:tcBorders>
              <w:top w:val="nil"/>
              <w:left w:val="nil"/>
              <w:bottom w:val="nil"/>
              <w:right w:val="nil"/>
            </w:tcBorders>
            <w:shd w:val="clear" w:color="auto" w:fill="auto"/>
            <w:noWrap/>
            <w:vAlign w:val="bottom"/>
            <w:hideMark/>
          </w:tcPr>
          <w:p w14:paraId="34587630"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662C8F" w:rsidRPr="008408EE" w14:paraId="4957ED3C" w14:textId="77777777" w:rsidTr="00662C8F">
        <w:trPr>
          <w:trHeight w:val="240"/>
        </w:trPr>
        <w:tc>
          <w:tcPr>
            <w:tcW w:w="2460" w:type="dxa"/>
            <w:tcBorders>
              <w:top w:val="nil"/>
              <w:left w:val="nil"/>
              <w:bottom w:val="single" w:sz="4" w:space="0" w:color="BFBFBF"/>
              <w:right w:val="nil"/>
            </w:tcBorders>
            <w:shd w:val="clear" w:color="000000" w:fill="FFFFFF"/>
            <w:noWrap/>
            <w:vAlign w:val="bottom"/>
            <w:hideMark/>
          </w:tcPr>
          <w:p w14:paraId="5B833242"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1226" w:type="dxa"/>
            <w:tcBorders>
              <w:top w:val="nil"/>
              <w:left w:val="nil"/>
              <w:bottom w:val="single" w:sz="4" w:space="0" w:color="BFBFBF"/>
              <w:right w:val="nil"/>
            </w:tcBorders>
            <w:shd w:val="clear" w:color="000000" w:fill="FFFFFF"/>
            <w:noWrap/>
            <w:vAlign w:val="bottom"/>
            <w:hideMark/>
          </w:tcPr>
          <w:p w14:paraId="532C04BD"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294" w:type="dxa"/>
            <w:tcBorders>
              <w:top w:val="nil"/>
              <w:left w:val="nil"/>
              <w:bottom w:val="single" w:sz="4" w:space="0" w:color="BFBFBF"/>
              <w:right w:val="nil"/>
            </w:tcBorders>
            <w:shd w:val="clear" w:color="000000" w:fill="FFFFFF"/>
            <w:noWrap/>
            <w:vAlign w:val="bottom"/>
            <w:hideMark/>
          </w:tcPr>
          <w:p w14:paraId="5ABE9CAD"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5D8D86C4"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1977F8F4"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2A9663C3"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nil"/>
              <w:left w:val="nil"/>
              <w:bottom w:val="single" w:sz="4" w:space="0" w:color="BFBFBF"/>
              <w:right w:val="nil"/>
            </w:tcBorders>
            <w:shd w:val="clear" w:color="000000" w:fill="FFFFFF"/>
            <w:noWrap/>
            <w:vAlign w:val="bottom"/>
            <w:hideMark/>
          </w:tcPr>
          <w:p w14:paraId="667DEF61"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1180" w:type="dxa"/>
            <w:tcBorders>
              <w:top w:val="nil"/>
              <w:left w:val="nil"/>
              <w:bottom w:val="single" w:sz="4" w:space="0" w:color="BFBFBF"/>
              <w:right w:val="nil"/>
            </w:tcBorders>
            <w:shd w:val="clear" w:color="000000" w:fill="FFFFFF"/>
            <w:noWrap/>
            <w:vAlign w:val="bottom"/>
            <w:hideMark/>
          </w:tcPr>
          <w:p w14:paraId="08553748"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1281" w:type="dxa"/>
            <w:tcBorders>
              <w:top w:val="nil"/>
              <w:left w:val="nil"/>
              <w:bottom w:val="single" w:sz="4" w:space="0" w:color="BFBFBF"/>
              <w:right w:val="nil"/>
            </w:tcBorders>
            <w:shd w:val="clear" w:color="000000" w:fill="FFFFFF"/>
            <w:noWrap/>
            <w:vAlign w:val="bottom"/>
            <w:hideMark/>
          </w:tcPr>
          <w:p w14:paraId="48366CDE"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236" w:type="dxa"/>
            <w:vAlign w:val="center"/>
            <w:hideMark/>
          </w:tcPr>
          <w:p w14:paraId="6AFB64D3"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8408EE" w:rsidRPr="008408EE" w14:paraId="0DB23B6A" w14:textId="77777777" w:rsidTr="00662C8F">
        <w:trPr>
          <w:trHeight w:val="398"/>
        </w:trPr>
        <w:tc>
          <w:tcPr>
            <w:tcW w:w="2460" w:type="dxa"/>
            <w:tcBorders>
              <w:top w:val="nil"/>
              <w:left w:val="single" w:sz="4" w:space="0" w:color="BFBFBF"/>
              <w:bottom w:val="nil"/>
              <w:right w:val="nil"/>
            </w:tcBorders>
            <w:shd w:val="clear" w:color="auto" w:fill="auto"/>
            <w:noWrap/>
            <w:vAlign w:val="bottom"/>
            <w:hideMark/>
          </w:tcPr>
          <w:p w14:paraId="4D34F6EE"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1226" w:type="dxa"/>
            <w:tcBorders>
              <w:top w:val="nil"/>
              <w:left w:val="nil"/>
              <w:bottom w:val="nil"/>
              <w:right w:val="nil"/>
            </w:tcBorders>
            <w:shd w:val="clear" w:color="auto" w:fill="auto"/>
            <w:noWrap/>
            <w:vAlign w:val="bottom"/>
            <w:hideMark/>
          </w:tcPr>
          <w:p w14:paraId="03F1E407"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294" w:type="dxa"/>
            <w:tcBorders>
              <w:top w:val="nil"/>
              <w:left w:val="nil"/>
              <w:bottom w:val="nil"/>
              <w:right w:val="nil"/>
            </w:tcBorders>
            <w:shd w:val="clear" w:color="auto" w:fill="auto"/>
            <w:noWrap/>
            <w:vAlign w:val="bottom"/>
            <w:hideMark/>
          </w:tcPr>
          <w:p w14:paraId="71C592AB"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720" w:type="dxa"/>
            <w:tcBorders>
              <w:top w:val="nil"/>
              <w:left w:val="nil"/>
              <w:bottom w:val="nil"/>
              <w:right w:val="nil"/>
            </w:tcBorders>
            <w:shd w:val="clear" w:color="auto" w:fill="auto"/>
            <w:noWrap/>
            <w:vAlign w:val="bottom"/>
            <w:hideMark/>
          </w:tcPr>
          <w:p w14:paraId="439897D1"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720" w:type="dxa"/>
            <w:tcBorders>
              <w:top w:val="nil"/>
              <w:left w:val="nil"/>
              <w:bottom w:val="nil"/>
              <w:right w:val="nil"/>
            </w:tcBorders>
            <w:shd w:val="clear" w:color="auto" w:fill="auto"/>
            <w:noWrap/>
            <w:vAlign w:val="bottom"/>
            <w:hideMark/>
          </w:tcPr>
          <w:p w14:paraId="500503C4"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720" w:type="dxa"/>
            <w:tcBorders>
              <w:top w:val="nil"/>
              <w:left w:val="nil"/>
              <w:bottom w:val="nil"/>
              <w:right w:val="nil"/>
            </w:tcBorders>
            <w:shd w:val="clear" w:color="auto" w:fill="auto"/>
            <w:noWrap/>
            <w:vAlign w:val="bottom"/>
            <w:hideMark/>
          </w:tcPr>
          <w:p w14:paraId="6B6E640C"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1180" w:type="dxa"/>
            <w:vMerge w:val="restart"/>
            <w:tcBorders>
              <w:top w:val="nil"/>
              <w:left w:val="nil"/>
              <w:bottom w:val="nil"/>
              <w:right w:val="nil"/>
            </w:tcBorders>
            <w:shd w:val="clear" w:color="auto" w:fill="auto"/>
            <w:hideMark/>
          </w:tcPr>
          <w:p w14:paraId="05010524"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26 weeks ended</w:t>
            </w:r>
            <w:r w:rsidRPr="008408EE">
              <w:rPr>
                <w:rFonts w:ascii="Arial" w:eastAsia="Times New Roman" w:hAnsi="Arial" w:cs="Arial"/>
                <w:b/>
                <w:bCs/>
                <w:sz w:val="15"/>
                <w:szCs w:val="15"/>
                <w:lang w:eastAsia="en-GB"/>
              </w:rPr>
              <w:br/>
              <w:t>2 July 2022</w:t>
            </w:r>
            <w:r w:rsidRPr="008408EE">
              <w:rPr>
                <w:rFonts w:ascii="Arial" w:eastAsia="Times New Roman" w:hAnsi="Arial" w:cs="Arial"/>
                <w:b/>
                <w:bCs/>
                <w:sz w:val="15"/>
                <w:szCs w:val="15"/>
                <w:lang w:eastAsia="en-GB"/>
              </w:rPr>
              <w:br/>
              <w:t>(unaudited)</w:t>
            </w:r>
          </w:p>
        </w:tc>
        <w:tc>
          <w:tcPr>
            <w:tcW w:w="1180" w:type="dxa"/>
            <w:vMerge w:val="restart"/>
            <w:tcBorders>
              <w:top w:val="nil"/>
              <w:left w:val="nil"/>
              <w:bottom w:val="nil"/>
              <w:right w:val="nil"/>
            </w:tcBorders>
            <w:shd w:val="clear" w:color="auto" w:fill="auto"/>
            <w:hideMark/>
          </w:tcPr>
          <w:p w14:paraId="132EF565"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26 weeks ended</w:t>
            </w:r>
            <w:r w:rsidRPr="008408EE">
              <w:rPr>
                <w:rFonts w:ascii="Arial" w:eastAsia="Times New Roman" w:hAnsi="Arial" w:cs="Arial"/>
                <w:sz w:val="15"/>
                <w:szCs w:val="15"/>
                <w:lang w:eastAsia="en-GB"/>
              </w:rPr>
              <w:br/>
              <w:t>3 July 2021</w:t>
            </w:r>
            <w:r w:rsidRPr="008408EE">
              <w:rPr>
                <w:rFonts w:ascii="Arial" w:eastAsia="Times New Roman" w:hAnsi="Arial" w:cs="Arial"/>
                <w:sz w:val="15"/>
                <w:szCs w:val="15"/>
                <w:lang w:eastAsia="en-GB"/>
              </w:rPr>
              <w:br/>
              <w:t>(unaudited)</w:t>
            </w:r>
          </w:p>
        </w:tc>
        <w:tc>
          <w:tcPr>
            <w:tcW w:w="1281" w:type="dxa"/>
            <w:vMerge w:val="restart"/>
            <w:tcBorders>
              <w:top w:val="nil"/>
              <w:left w:val="nil"/>
              <w:bottom w:val="nil"/>
              <w:right w:val="single" w:sz="4" w:space="0" w:color="BFBFBF"/>
            </w:tcBorders>
            <w:shd w:val="clear" w:color="auto" w:fill="auto"/>
            <w:hideMark/>
          </w:tcPr>
          <w:p w14:paraId="0B88E9D4"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52 weeks ended</w:t>
            </w:r>
            <w:r w:rsidRPr="008408EE">
              <w:rPr>
                <w:rFonts w:ascii="Arial" w:eastAsia="Times New Roman" w:hAnsi="Arial" w:cs="Arial"/>
                <w:sz w:val="15"/>
                <w:szCs w:val="15"/>
                <w:lang w:eastAsia="en-GB"/>
              </w:rPr>
              <w:br/>
              <w:t>1 January 2022</w:t>
            </w:r>
            <w:r w:rsidRPr="008408EE">
              <w:rPr>
                <w:rFonts w:ascii="Arial" w:eastAsia="Times New Roman" w:hAnsi="Arial" w:cs="Arial"/>
                <w:sz w:val="15"/>
                <w:szCs w:val="15"/>
                <w:lang w:eastAsia="en-GB"/>
              </w:rPr>
              <w:br/>
              <w:t>(audited)</w:t>
            </w:r>
          </w:p>
        </w:tc>
        <w:tc>
          <w:tcPr>
            <w:tcW w:w="236" w:type="dxa"/>
            <w:vAlign w:val="center"/>
            <w:hideMark/>
          </w:tcPr>
          <w:p w14:paraId="1E7F1E18"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8408EE" w:rsidRPr="008408EE" w14:paraId="7AA76B9F" w14:textId="77777777" w:rsidTr="00662C8F">
        <w:trPr>
          <w:trHeight w:val="360"/>
        </w:trPr>
        <w:tc>
          <w:tcPr>
            <w:tcW w:w="2460" w:type="dxa"/>
            <w:tcBorders>
              <w:top w:val="nil"/>
              <w:left w:val="single" w:sz="4" w:space="0" w:color="BFBFBF"/>
              <w:bottom w:val="nil"/>
              <w:right w:val="nil"/>
            </w:tcBorders>
            <w:shd w:val="clear" w:color="auto" w:fill="auto"/>
            <w:noWrap/>
            <w:vAlign w:val="bottom"/>
            <w:hideMark/>
          </w:tcPr>
          <w:p w14:paraId="099E09EF"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1226" w:type="dxa"/>
            <w:tcBorders>
              <w:top w:val="nil"/>
              <w:left w:val="nil"/>
              <w:bottom w:val="nil"/>
              <w:right w:val="nil"/>
            </w:tcBorders>
            <w:shd w:val="clear" w:color="auto" w:fill="auto"/>
            <w:noWrap/>
            <w:vAlign w:val="bottom"/>
            <w:hideMark/>
          </w:tcPr>
          <w:p w14:paraId="0EEFC0B0"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294" w:type="dxa"/>
            <w:tcBorders>
              <w:top w:val="nil"/>
              <w:left w:val="nil"/>
              <w:bottom w:val="nil"/>
              <w:right w:val="nil"/>
            </w:tcBorders>
            <w:shd w:val="clear" w:color="auto" w:fill="auto"/>
            <w:noWrap/>
            <w:vAlign w:val="bottom"/>
            <w:hideMark/>
          </w:tcPr>
          <w:p w14:paraId="1EBFCF85"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720" w:type="dxa"/>
            <w:tcBorders>
              <w:top w:val="nil"/>
              <w:left w:val="nil"/>
              <w:bottom w:val="nil"/>
              <w:right w:val="nil"/>
            </w:tcBorders>
            <w:shd w:val="clear" w:color="auto" w:fill="auto"/>
            <w:noWrap/>
            <w:vAlign w:val="bottom"/>
            <w:hideMark/>
          </w:tcPr>
          <w:p w14:paraId="3F88E1E8"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720" w:type="dxa"/>
            <w:tcBorders>
              <w:top w:val="nil"/>
              <w:left w:val="nil"/>
              <w:bottom w:val="nil"/>
              <w:right w:val="nil"/>
            </w:tcBorders>
            <w:shd w:val="clear" w:color="auto" w:fill="auto"/>
            <w:noWrap/>
            <w:vAlign w:val="bottom"/>
            <w:hideMark/>
          </w:tcPr>
          <w:p w14:paraId="014F4ACA"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720" w:type="dxa"/>
            <w:tcBorders>
              <w:top w:val="nil"/>
              <w:left w:val="nil"/>
              <w:bottom w:val="nil"/>
              <w:right w:val="nil"/>
            </w:tcBorders>
            <w:shd w:val="clear" w:color="auto" w:fill="auto"/>
            <w:noWrap/>
            <w:vAlign w:val="bottom"/>
            <w:hideMark/>
          </w:tcPr>
          <w:p w14:paraId="59F4E220" w14:textId="77777777" w:rsidR="008408EE" w:rsidRPr="008408EE" w:rsidRDefault="008408EE" w:rsidP="008408EE">
            <w:pPr>
              <w:spacing w:after="0" w:line="240" w:lineRule="auto"/>
              <w:rPr>
                <w:rFonts w:ascii="Arial" w:eastAsia="Times New Roman" w:hAnsi="Arial" w:cs="Arial"/>
                <w:b/>
                <w:bCs/>
                <w:sz w:val="18"/>
                <w:szCs w:val="18"/>
                <w:lang w:eastAsia="en-GB"/>
              </w:rPr>
            </w:pPr>
            <w:r w:rsidRPr="008408EE">
              <w:rPr>
                <w:rFonts w:ascii="Arial" w:eastAsia="Times New Roman" w:hAnsi="Arial" w:cs="Arial"/>
                <w:b/>
                <w:bCs/>
                <w:sz w:val="18"/>
                <w:szCs w:val="18"/>
                <w:lang w:eastAsia="en-GB"/>
              </w:rPr>
              <w:t> </w:t>
            </w:r>
          </w:p>
        </w:tc>
        <w:tc>
          <w:tcPr>
            <w:tcW w:w="1180" w:type="dxa"/>
            <w:vMerge/>
            <w:tcBorders>
              <w:top w:val="nil"/>
              <w:left w:val="nil"/>
              <w:bottom w:val="nil"/>
              <w:right w:val="nil"/>
            </w:tcBorders>
            <w:shd w:val="clear" w:color="auto" w:fill="auto"/>
            <w:vAlign w:val="center"/>
            <w:hideMark/>
          </w:tcPr>
          <w:p w14:paraId="2293CF0D" w14:textId="77777777" w:rsidR="008408EE" w:rsidRPr="008408EE" w:rsidRDefault="008408EE" w:rsidP="008408EE">
            <w:pPr>
              <w:spacing w:after="0" w:line="240" w:lineRule="auto"/>
              <w:rPr>
                <w:rFonts w:ascii="Arial" w:eastAsia="Times New Roman" w:hAnsi="Arial" w:cs="Arial"/>
                <w:b/>
                <w:bCs/>
                <w:sz w:val="15"/>
                <w:szCs w:val="15"/>
                <w:lang w:eastAsia="en-GB"/>
              </w:rPr>
            </w:pPr>
          </w:p>
        </w:tc>
        <w:tc>
          <w:tcPr>
            <w:tcW w:w="1180" w:type="dxa"/>
            <w:vMerge/>
            <w:tcBorders>
              <w:top w:val="nil"/>
              <w:left w:val="nil"/>
              <w:bottom w:val="nil"/>
              <w:right w:val="nil"/>
            </w:tcBorders>
            <w:shd w:val="clear" w:color="auto" w:fill="auto"/>
            <w:vAlign w:val="center"/>
            <w:hideMark/>
          </w:tcPr>
          <w:p w14:paraId="1B7AFA78" w14:textId="77777777" w:rsidR="008408EE" w:rsidRPr="008408EE" w:rsidRDefault="008408EE" w:rsidP="008408EE">
            <w:pPr>
              <w:spacing w:after="0" w:line="240" w:lineRule="auto"/>
              <w:rPr>
                <w:rFonts w:ascii="Arial" w:eastAsia="Times New Roman" w:hAnsi="Arial" w:cs="Arial"/>
                <w:sz w:val="15"/>
                <w:szCs w:val="15"/>
                <w:lang w:eastAsia="en-GB"/>
              </w:rPr>
            </w:pPr>
          </w:p>
        </w:tc>
        <w:tc>
          <w:tcPr>
            <w:tcW w:w="1281" w:type="dxa"/>
            <w:vMerge/>
            <w:tcBorders>
              <w:top w:val="nil"/>
              <w:left w:val="nil"/>
              <w:bottom w:val="nil"/>
              <w:right w:val="single" w:sz="4" w:space="0" w:color="BFBFBF"/>
            </w:tcBorders>
            <w:shd w:val="clear" w:color="auto" w:fill="auto"/>
            <w:vAlign w:val="center"/>
            <w:hideMark/>
          </w:tcPr>
          <w:p w14:paraId="57E791C7" w14:textId="77777777" w:rsidR="008408EE" w:rsidRPr="008408EE" w:rsidRDefault="008408EE" w:rsidP="008408EE">
            <w:pPr>
              <w:spacing w:after="0" w:line="240" w:lineRule="auto"/>
              <w:rPr>
                <w:rFonts w:ascii="Arial" w:eastAsia="Times New Roman" w:hAnsi="Arial" w:cs="Arial"/>
                <w:sz w:val="15"/>
                <w:szCs w:val="15"/>
                <w:lang w:eastAsia="en-GB"/>
              </w:rPr>
            </w:pPr>
          </w:p>
        </w:tc>
        <w:tc>
          <w:tcPr>
            <w:tcW w:w="236" w:type="dxa"/>
            <w:vAlign w:val="center"/>
            <w:hideMark/>
          </w:tcPr>
          <w:p w14:paraId="69D0645E"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8408EE" w:rsidRPr="008408EE" w14:paraId="3B591D1E" w14:textId="77777777" w:rsidTr="00662C8F">
        <w:trPr>
          <w:trHeight w:val="199"/>
        </w:trPr>
        <w:tc>
          <w:tcPr>
            <w:tcW w:w="2460" w:type="dxa"/>
            <w:tcBorders>
              <w:top w:val="nil"/>
              <w:left w:val="single" w:sz="4" w:space="0" w:color="BFBFBF"/>
              <w:bottom w:val="single" w:sz="4" w:space="0" w:color="BFBFBF"/>
              <w:right w:val="nil"/>
            </w:tcBorders>
            <w:shd w:val="clear" w:color="auto" w:fill="auto"/>
            <w:noWrap/>
            <w:vAlign w:val="bottom"/>
            <w:hideMark/>
          </w:tcPr>
          <w:p w14:paraId="03D8AE2C" w14:textId="77777777" w:rsidR="008408EE" w:rsidRPr="008408EE" w:rsidRDefault="008408EE" w:rsidP="008408EE">
            <w:pPr>
              <w:spacing w:after="0" w:line="240" w:lineRule="auto"/>
              <w:rPr>
                <w:rFonts w:ascii="Arial" w:eastAsia="Times New Roman" w:hAnsi="Arial" w:cs="Arial"/>
                <w:sz w:val="14"/>
                <w:szCs w:val="14"/>
                <w:lang w:eastAsia="en-GB"/>
              </w:rPr>
            </w:pPr>
            <w:r w:rsidRPr="008408EE">
              <w:rPr>
                <w:rFonts w:ascii="Arial" w:eastAsia="Times New Roman" w:hAnsi="Arial" w:cs="Arial"/>
                <w:sz w:val="14"/>
                <w:szCs w:val="14"/>
                <w:lang w:eastAsia="en-GB"/>
              </w:rPr>
              <w:t> </w:t>
            </w:r>
          </w:p>
        </w:tc>
        <w:tc>
          <w:tcPr>
            <w:tcW w:w="1226" w:type="dxa"/>
            <w:tcBorders>
              <w:top w:val="nil"/>
              <w:left w:val="nil"/>
              <w:bottom w:val="single" w:sz="4" w:space="0" w:color="BFBFBF"/>
              <w:right w:val="nil"/>
            </w:tcBorders>
            <w:shd w:val="clear" w:color="auto" w:fill="auto"/>
            <w:noWrap/>
            <w:vAlign w:val="bottom"/>
            <w:hideMark/>
          </w:tcPr>
          <w:p w14:paraId="2A9E87C1" w14:textId="77777777" w:rsidR="008408EE" w:rsidRPr="008408EE" w:rsidRDefault="008408EE" w:rsidP="008408EE">
            <w:pPr>
              <w:spacing w:after="0" w:line="240" w:lineRule="auto"/>
              <w:rPr>
                <w:rFonts w:ascii="Arial" w:eastAsia="Times New Roman" w:hAnsi="Arial" w:cs="Arial"/>
                <w:sz w:val="14"/>
                <w:szCs w:val="14"/>
                <w:lang w:eastAsia="en-GB"/>
              </w:rPr>
            </w:pPr>
            <w:r w:rsidRPr="008408EE">
              <w:rPr>
                <w:rFonts w:ascii="Arial" w:eastAsia="Times New Roman" w:hAnsi="Arial" w:cs="Arial"/>
                <w:sz w:val="14"/>
                <w:szCs w:val="14"/>
                <w:lang w:eastAsia="en-GB"/>
              </w:rPr>
              <w:t> </w:t>
            </w:r>
          </w:p>
        </w:tc>
        <w:tc>
          <w:tcPr>
            <w:tcW w:w="294" w:type="dxa"/>
            <w:tcBorders>
              <w:top w:val="nil"/>
              <w:left w:val="nil"/>
              <w:bottom w:val="single" w:sz="4" w:space="0" w:color="BFBFBF"/>
              <w:right w:val="nil"/>
            </w:tcBorders>
            <w:shd w:val="clear" w:color="auto" w:fill="auto"/>
            <w:noWrap/>
            <w:vAlign w:val="bottom"/>
            <w:hideMark/>
          </w:tcPr>
          <w:p w14:paraId="1ECAD2AE" w14:textId="77777777" w:rsidR="008408EE" w:rsidRPr="008408EE" w:rsidRDefault="008408EE" w:rsidP="008408EE">
            <w:pPr>
              <w:spacing w:after="0" w:line="240" w:lineRule="auto"/>
              <w:rPr>
                <w:rFonts w:ascii="Arial" w:eastAsia="Times New Roman" w:hAnsi="Arial" w:cs="Arial"/>
                <w:sz w:val="14"/>
                <w:szCs w:val="14"/>
                <w:lang w:eastAsia="en-GB"/>
              </w:rPr>
            </w:pPr>
            <w:r w:rsidRPr="008408EE">
              <w:rPr>
                <w:rFonts w:ascii="Arial" w:eastAsia="Times New Roman" w:hAnsi="Arial" w:cs="Arial"/>
                <w:sz w:val="14"/>
                <w:szCs w:val="14"/>
                <w:lang w:eastAsia="en-GB"/>
              </w:rPr>
              <w:t> </w:t>
            </w:r>
          </w:p>
        </w:tc>
        <w:tc>
          <w:tcPr>
            <w:tcW w:w="720" w:type="dxa"/>
            <w:tcBorders>
              <w:top w:val="nil"/>
              <w:left w:val="nil"/>
              <w:bottom w:val="single" w:sz="4" w:space="0" w:color="BFBFBF"/>
              <w:right w:val="nil"/>
            </w:tcBorders>
            <w:shd w:val="clear" w:color="auto" w:fill="auto"/>
            <w:noWrap/>
            <w:vAlign w:val="bottom"/>
            <w:hideMark/>
          </w:tcPr>
          <w:p w14:paraId="66010F56" w14:textId="77777777" w:rsidR="008408EE" w:rsidRPr="008408EE" w:rsidRDefault="008408EE" w:rsidP="008408EE">
            <w:pPr>
              <w:spacing w:after="0" w:line="240" w:lineRule="auto"/>
              <w:rPr>
                <w:rFonts w:ascii="Arial" w:eastAsia="Times New Roman" w:hAnsi="Arial" w:cs="Arial"/>
                <w:sz w:val="14"/>
                <w:szCs w:val="14"/>
                <w:lang w:eastAsia="en-GB"/>
              </w:rPr>
            </w:pPr>
            <w:r w:rsidRPr="008408EE">
              <w:rPr>
                <w:rFonts w:ascii="Arial" w:eastAsia="Times New Roman" w:hAnsi="Arial" w:cs="Arial"/>
                <w:sz w:val="14"/>
                <w:szCs w:val="14"/>
                <w:lang w:eastAsia="en-GB"/>
              </w:rPr>
              <w:t> </w:t>
            </w:r>
          </w:p>
        </w:tc>
        <w:tc>
          <w:tcPr>
            <w:tcW w:w="720" w:type="dxa"/>
            <w:tcBorders>
              <w:top w:val="nil"/>
              <w:left w:val="nil"/>
              <w:bottom w:val="single" w:sz="4" w:space="0" w:color="BFBFBF"/>
              <w:right w:val="nil"/>
            </w:tcBorders>
            <w:shd w:val="clear" w:color="auto" w:fill="auto"/>
            <w:noWrap/>
            <w:vAlign w:val="bottom"/>
            <w:hideMark/>
          </w:tcPr>
          <w:p w14:paraId="51B643F0" w14:textId="77777777" w:rsidR="008408EE" w:rsidRPr="008408EE" w:rsidRDefault="008408EE" w:rsidP="008408EE">
            <w:pPr>
              <w:spacing w:after="0" w:line="240" w:lineRule="auto"/>
              <w:rPr>
                <w:rFonts w:ascii="Arial" w:eastAsia="Times New Roman" w:hAnsi="Arial" w:cs="Arial"/>
                <w:sz w:val="14"/>
                <w:szCs w:val="14"/>
                <w:lang w:eastAsia="en-GB"/>
              </w:rPr>
            </w:pPr>
            <w:r w:rsidRPr="008408EE">
              <w:rPr>
                <w:rFonts w:ascii="Arial" w:eastAsia="Times New Roman" w:hAnsi="Arial" w:cs="Arial"/>
                <w:sz w:val="14"/>
                <w:szCs w:val="14"/>
                <w:lang w:eastAsia="en-GB"/>
              </w:rPr>
              <w:t> </w:t>
            </w:r>
          </w:p>
        </w:tc>
        <w:tc>
          <w:tcPr>
            <w:tcW w:w="720" w:type="dxa"/>
            <w:tcBorders>
              <w:top w:val="nil"/>
              <w:left w:val="nil"/>
              <w:bottom w:val="single" w:sz="4" w:space="0" w:color="BFBFBF"/>
              <w:right w:val="nil"/>
            </w:tcBorders>
            <w:shd w:val="clear" w:color="auto" w:fill="auto"/>
            <w:noWrap/>
            <w:vAlign w:val="bottom"/>
            <w:hideMark/>
          </w:tcPr>
          <w:p w14:paraId="58592507" w14:textId="77777777" w:rsidR="008408EE" w:rsidRPr="008408EE" w:rsidRDefault="008408EE" w:rsidP="008408EE">
            <w:pPr>
              <w:spacing w:after="0" w:line="240" w:lineRule="auto"/>
              <w:rPr>
                <w:rFonts w:ascii="Arial" w:eastAsia="Times New Roman" w:hAnsi="Arial" w:cs="Arial"/>
                <w:sz w:val="14"/>
                <w:szCs w:val="14"/>
                <w:lang w:eastAsia="en-GB"/>
              </w:rPr>
            </w:pPr>
            <w:r w:rsidRPr="008408EE">
              <w:rPr>
                <w:rFonts w:ascii="Arial" w:eastAsia="Times New Roman" w:hAnsi="Arial" w:cs="Arial"/>
                <w:sz w:val="14"/>
                <w:szCs w:val="14"/>
                <w:lang w:eastAsia="en-GB"/>
              </w:rPr>
              <w:t> </w:t>
            </w:r>
          </w:p>
        </w:tc>
        <w:tc>
          <w:tcPr>
            <w:tcW w:w="1180" w:type="dxa"/>
            <w:tcBorders>
              <w:top w:val="nil"/>
              <w:left w:val="nil"/>
              <w:bottom w:val="single" w:sz="4" w:space="0" w:color="BFBFBF"/>
              <w:right w:val="nil"/>
            </w:tcBorders>
            <w:shd w:val="clear" w:color="auto" w:fill="auto"/>
            <w:noWrap/>
            <w:hideMark/>
          </w:tcPr>
          <w:p w14:paraId="6EEE6B63"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£m</w:t>
            </w:r>
          </w:p>
        </w:tc>
        <w:tc>
          <w:tcPr>
            <w:tcW w:w="1180" w:type="dxa"/>
            <w:tcBorders>
              <w:top w:val="nil"/>
              <w:left w:val="nil"/>
              <w:bottom w:val="single" w:sz="4" w:space="0" w:color="BFBFBF"/>
              <w:right w:val="nil"/>
            </w:tcBorders>
            <w:shd w:val="clear" w:color="auto" w:fill="auto"/>
            <w:noWrap/>
            <w:hideMark/>
          </w:tcPr>
          <w:p w14:paraId="4B9A99BE"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£m</w:t>
            </w:r>
          </w:p>
        </w:tc>
        <w:tc>
          <w:tcPr>
            <w:tcW w:w="1281" w:type="dxa"/>
            <w:tcBorders>
              <w:top w:val="nil"/>
              <w:left w:val="nil"/>
              <w:bottom w:val="single" w:sz="4" w:space="0" w:color="BFBFBF"/>
              <w:right w:val="single" w:sz="4" w:space="0" w:color="BFBFBF"/>
            </w:tcBorders>
            <w:shd w:val="clear" w:color="auto" w:fill="auto"/>
            <w:noWrap/>
            <w:hideMark/>
          </w:tcPr>
          <w:p w14:paraId="0508F3B4"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£m</w:t>
            </w:r>
          </w:p>
        </w:tc>
        <w:tc>
          <w:tcPr>
            <w:tcW w:w="236" w:type="dxa"/>
            <w:vAlign w:val="center"/>
            <w:hideMark/>
          </w:tcPr>
          <w:p w14:paraId="437A0686"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8408EE" w:rsidRPr="008408EE" w14:paraId="1B930F40" w14:textId="77777777" w:rsidTr="00662C8F">
        <w:trPr>
          <w:trHeight w:val="255"/>
        </w:trPr>
        <w:tc>
          <w:tcPr>
            <w:tcW w:w="2460" w:type="dxa"/>
            <w:tcBorders>
              <w:top w:val="nil"/>
              <w:left w:val="nil"/>
              <w:bottom w:val="nil"/>
              <w:right w:val="nil"/>
            </w:tcBorders>
            <w:shd w:val="clear" w:color="000000" w:fill="FFFFFF"/>
            <w:noWrap/>
            <w:vAlign w:val="bottom"/>
            <w:hideMark/>
          </w:tcPr>
          <w:p w14:paraId="64BEEAF4"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lastRenderedPageBreak/>
              <w:t>Loans repayable within five years</w:t>
            </w:r>
          </w:p>
        </w:tc>
        <w:tc>
          <w:tcPr>
            <w:tcW w:w="1226" w:type="dxa"/>
            <w:tcBorders>
              <w:top w:val="nil"/>
              <w:left w:val="nil"/>
              <w:bottom w:val="nil"/>
              <w:right w:val="nil"/>
            </w:tcBorders>
            <w:shd w:val="clear" w:color="000000" w:fill="FFFFFF"/>
            <w:noWrap/>
            <w:vAlign w:val="bottom"/>
            <w:hideMark/>
          </w:tcPr>
          <w:p w14:paraId="0B48716E" w14:textId="77777777" w:rsidR="008408EE" w:rsidRPr="008408EE" w:rsidRDefault="008408EE" w:rsidP="008408EE">
            <w:pPr>
              <w:spacing w:after="0" w:line="240" w:lineRule="auto"/>
              <w:rPr>
                <w:rFonts w:ascii="Arial" w:eastAsia="Times New Roman" w:hAnsi="Arial" w:cs="Arial"/>
                <w:sz w:val="14"/>
                <w:szCs w:val="14"/>
                <w:lang w:eastAsia="en-GB"/>
              </w:rPr>
            </w:pPr>
            <w:r w:rsidRPr="008408EE">
              <w:rPr>
                <w:rFonts w:ascii="Arial" w:eastAsia="Times New Roman" w:hAnsi="Arial" w:cs="Arial"/>
                <w:sz w:val="14"/>
                <w:szCs w:val="14"/>
                <w:lang w:eastAsia="en-GB"/>
              </w:rPr>
              <w:t> </w:t>
            </w:r>
          </w:p>
        </w:tc>
        <w:tc>
          <w:tcPr>
            <w:tcW w:w="294" w:type="dxa"/>
            <w:tcBorders>
              <w:top w:val="nil"/>
              <w:left w:val="nil"/>
              <w:bottom w:val="nil"/>
              <w:right w:val="nil"/>
            </w:tcBorders>
            <w:shd w:val="clear" w:color="000000" w:fill="FFFFFF"/>
            <w:noWrap/>
            <w:vAlign w:val="bottom"/>
            <w:hideMark/>
          </w:tcPr>
          <w:p w14:paraId="753433D1"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6EB4D53B"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2A651F76"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0474C26B"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nil"/>
              <w:left w:val="nil"/>
              <w:bottom w:val="nil"/>
              <w:right w:val="nil"/>
            </w:tcBorders>
            <w:shd w:val="clear" w:color="auto" w:fill="CCECFF"/>
            <w:noWrap/>
            <w:vAlign w:val="bottom"/>
            <w:hideMark/>
          </w:tcPr>
          <w:p w14:paraId="0E534077"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(28)</w:t>
            </w:r>
          </w:p>
        </w:tc>
        <w:tc>
          <w:tcPr>
            <w:tcW w:w="1180" w:type="dxa"/>
            <w:tcBorders>
              <w:top w:val="nil"/>
              <w:left w:val="nil"/>
              <w:bottom w:val="nil"/>
              <w:right w:val="nil"/>
            </w:tcBorders>
            <w:shd w:val="clear" w:color="000000" w:fill="FFFFFF"/>
            <w:noWrap/>
            <w:vAlign w:val="bottom"/>
            <w:hideMark/>
          </w:tcPr>
          <w:p w14:paraId="2ADCD48C"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(15)</w:t>
            </w:r>
          </w:p>
        </w:tc>
        <w:tc>
          <w:tcPr>
            <w:tcW w:w="1281" w:type="dxa"/>
            <w:tcBorders>
              <w:top w:val="nil"/>
              <w:left w:val="nil"/>
              <w:bottom w:val="nil"/>
              <w:right w:val="nil"/>
            </w:tcBorders>
            <w:shd w:val="clear" w:color="000000" w:fill="FFFFFF"/>
            <w:noWrap/>
            <w:vAlign w:val="bottom"/>
            <w:hideMark/>
          </w:tcPr>
          <w:p w14:paraId="74D2C4FD"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(56)</w:t>
            </w:r>
          </w:p>
        </w:tc>
        <w:tc>
          <w:tcPr>
            <w:tcW w:w="236" w:type="dxa"/>
            <w:vAlign w:val="center"/>
            <w:hideMark/>
          </w:tcPr>
          <w:p w14:paraId="54DC1EB6"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662C8F" w:rsidRPr="008408EE" w14:paraId="2EFF1503" w14:textId="77777777" w:rsidTr="00662C8F">
        <w:trPr>
          <w:trHeight w:val="255"/>
        </w:trPr>
        <w:tc>
          <w:tcPr>
            <w:tcW w:w="3686" w:type="dxa"/>
            <w:gridSpan w:val="2"/>
            <w:tcBorders>
              <w:top w:val="nil"/>
              <w:left w:val="nil"/>
              <w:bottom w:val="nil"/>
              <w:right w:val="nil"/>
            </w:tcBorders>
            <w:shd w:val="clear" w:color="000000" w:fill="FFFFFF"/>
            <w:noWrap/>
            <w:vAlign w:val="bottom"/>
            <w:hideMark/>
          </w:tcPr>
          <w:p w14:paraId="73BCC9A3"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Loans repayable wholly or in part after five years</w:t>
            </w:r>
          </w:p>
        </w:tc>
        <w:tc>
          <w:tcPr>
            <w:tcW w:w="294" w:type="dxa"/>
            <w:tcBorders>
              <w:top w:val="nil"/>
              <w:left w:val="nil"/>
              <w:bottom w:val="nil"/>
              <w:right w:val="nil"/>
            </w:tcBorders>
            <w:shd w:val="clear" w:color="000000" w:fill="FFFFFF"/>
            <w:noWrap/>
            <w:vAlign w:val="bottom"/>
            <w:hideMark/>
          </w:tcPr>
          <w:p w14:paraId="2C9065AE"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3A999A9B"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31CCF058"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1E2D371D"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nil"/>
              <w:left w:val="nil"/>
              <w:bottom w:val="nil"/>
              <w:right w:val="nil"/>
            </w:tcBorders>
            <w:shd w:val="clear" w:color="auto" w:fill="CCECFF"/>
            <w:noWrap/>
            <w:vAlign w:val="bottom"/>
            <w:hideMark/>
          </w:tcPr>
          <w:p w14:paraId="47A81087"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xml:space="preserve">- </w:t>
            </w:r>
          </w:p>
        </w:tc>
        <w:tc>
          <w:tcPr>
            <w:tcW w:w="1180" w:type="dxa"/>
            <w:tcBorders>
              <w:top w:val="nil"/>
              <w:left w:val="nil"/>
              <w:bottom w:val="nil"/>
              <w:right w:val="nil"/>
            </w:tcBorders>
            <w:shd w:val="clear" w:color="000000" w:fill="FFFFFF"/>
            <w:noWrap/>
            <w:vAlign w:val="bottom"/>
            <w:hideMark/>
          </w:tcPr>
          <w:p w14:paraId="158EDF57"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(14)</w:t>
            </w:r>
          </w:p>
        </w:tc>
        <w:tc>
          <w:tcPr>
            <w:tcW w:w="1281" w:type="dxa"/>
            <w:tcBorders>
              <w:top w:val="nil"/>
              <w:left w:val="nil"/>
              <w:bottom w:val="nil"/>
              <w:right w:val="nil"/>
            </w:tcBorders>
            <w:shd w:val="clear" w:color="000000" w:fill="FFFFFF"/>
            <w:noWrap/>
            <w:vAlign w:val="bottom"/>
            <w:hideMark/>
          </w:tcPr>
          <w:p w14:paraId="251ACD58"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 </w:t>
            </w:r>
          </w:p>
        </w:tc>
        <w:tc>
          <w:tcPr>
            <w:tcW w:w="236" w:type="dxa"/>
            <w:vAlign w:val="center"/>
            <w:hideMark/>
          </w:tcPr>
          <w:p w14:paraId="1044806A"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662C8F" w:rsidRPr="008408EE" w14:paraId="7AE0AA32" w14:textId="77777777" w:rsidTr="00662C8F">
        <w:trPr>
          <w:trHeight w:val="255"/>
        </w:trPr>
        <w:tc>
          <w:tcPr>
            <w:tcW w:w="3686" w:type="dxa"/>
            <w:gridSpan w:val="2"/>
            <w:tcBorders>
              <w:top w:val="single" w:sz="4" w:space="0" w:color="BFBFBF"/>
              <w:left w:val="nil"/>
              <w:bottom w:val="single" w:sz="4" w:space="0" w:color="BFBFBF"/>
              <w:right w:val="nil"/>
            </w:tcBorders>
            <w:shd w:val="clear" w:color="000000" w:fill="FFFFFF"/>
            <w:noWrap/>
            <w:vAlign w:val="bottom"/>
            <w:hideMark/>
          </w:tcPr>
          <w:p w14:paraId="0AD5D7E7"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Underlying loan interest payable</w:t>
            </w:r>
          </w:p>
        </w:tc>
        <w:tc>
          <w:tcPr>
            <w:tcW w:w="294" w:type="dxa"/>
            <w:tcBorders>
              <w:top w:val="single" w:sz="4" w:space="0" w:color="BFBFBF"/>
              <w:left w:val="nil"/>
              <w:bottom w:val="single" w:sz="4" w:space="0" w:color="BFBFBF"/>
              <w:right w:val="nil"/>
            </w:tcBorders>
            <w:shd w:val="clear" w:color="000000" w:fill="FFFFFF"/>
            <w:noWrap/>
            <w:vAlign w:val="bottom"/>
            <w:hideMark/>
          </w:tcPr>
          <w:p w14:paraId="48C87B28" w14:textId="77777777" w:rsidR="008408EE" w:rsidRPr="008408EE" w:rsidRDefault="008408EE" w:rsidP="008408EE">
            <w:pPr>
              <w:spacing w:after="0" w:line="240" w:lineRule="auto"/>
              <w:rPr>
                <w:rFonts w:ascii="Arial" w:eastAsia="Times New Roman" w:hAnsi="Arial" w:cs="Arial"/>
                <w:b/>
                <w:bCs/>
                <w:sz w:val="20"/>
                <w:szCs w:val="20"/>
                <w:lang w:eastAsia="en-GB"/>
              </w:rPr>
            </w:pPr>
            <w:r w:rsidRPr="008408EE">
              <w:rPr>
                <w:rFonts w:ascii="Arial" w:eastAsia="Times New Roman" w:hAnsi="Arial" w:cs="Arial"/>
                <w:b/>
                <w:bCs/>
                <w:sz w:val="20"/>
                <w:szCs w:val="20"/>
                <w:lang w:eastAsia="en-GB"/>
              </w:rPr>
              <w:t> </w:t>
            </w:r>
          </w:p>
        </w:tc>
        <w:tc>
          <w:tcPr>
            <w:tcW w:w="720" w:type="dxa"/>
            <w:tcBorders>
              <w:top w:val="single" w:sz="4" w:space="0" w:color="BFBFBF"/>
              <w:left w:val="nil"/>
              <w:bottom w:val="single" w:sz="4" w:space="0" w:color="BFBFBF"/>
              <w:right w:val="nil"/>
            </w:tcBorders>
            <w:shd w:val="clear" w:color="000000" w:fill="FFFFFF"/>
            <w:noWrap/>
            <w:vAlign w:val="bottom"/>
            <w:hideMark/>
          </w:tcPr>
          <w:p w14:paraId="4E2976E3"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single" w:sz="4" w:space="0" w:color="BFBFBF"/>
              <w:left w:val="nil"/>
              <w:bottom w:val="single" w:sz="4" w:space="0" w:color="BFBFBF"/>
              <w:right w:val="nil"/>
            </w:tcBorders>
            <w:shd w:val="clear" w:color="000000" w:fill="FFFFFF"/>
            <w:noWrap/>
            <w:vAlign w:val="bottom"/>
            <w:hideMark/>
          </w:tcPr>
          <w:p w14:paraId="27C2B5A3"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single" w:sz="4" w:space="0" w:color="BFBFBF"/>
              <w:left w:val="nil"/>
              <w:bottom w:val="single" w:sz="4" w:space="0" w:color="BFBFBF"/>
              <w:right w:val="nil"/>
            </w:tcBorders>
            <w:shd w:val="clear" w:color="000000" w:fill="FFFFFF"/>
            <w:noWrap/>
            <w:vAlign w:val="bottom"/>
            <w:hideMark/>
          </w:tcPr>
          <w:p w14:paraId="73BEF984"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single" w:sz="4" w:space="0" w:color="BFBFBF"/>
              <w:left w:val="nil"/>
              <w:bottom w:val="single" w:sz="4" w:space="0" w:color="BFBFBF"/>
              <w:right w:val="nil"/>
            </w:tcBorders>
            <w:shd w:val="clear" w:color="auto" w:fill="CCECFF"/>
            <w:noWrap/>
            <w:vAlign w:val="bottom"/>
            <w:hideMark/>
          </w:tcPr>
          <w:p w14:paraId="00772BDA"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(28)</w:t>
            </w:r>
          </w:p>
        </w:tc>
        <w:tc>
          <w:tcPr>
            <w:tcW w:w="1180" w:type="dxa"/>
            <w:tcBorders>
              <w:top w:val="single" w:sz="4" w:space="0" w:color="BFBFBF"/>
              <w:left w:val="nil"/>
              <w:bottom w:val="single" w:sz="4" w:space="0" w:color="BFBFBF"/>
              <w:right w:val="nil"/>
            </w:tcBorders>
            <w:shd w:val="clear" w:color="000000" w:fill="FFFFFF"/>
            <w:noWrap/>
            <w:vAlign w:val="bottom"/>
            <w:hideMark/>
          </w:tcPr>
          <w:p w14:paraId="76D9F713"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(29)</w:t>
            </w:r>
          </w:p>
        </w:tc>
        <w:tc>
          <w:tcPr>
            <w:tcW w:w="1281" w:type="dxa"/>
            <w:tcBorders>
              <w:top w:val="single" w:sz="4" w:space="0" w:color="BFBFBF"/>
              <w:left w:val="nil"/>
              <w:bottom w:val="single" w:sz="4" w:space="0" w:color="BFBFBF"/>
              <w:right w:val="nil"/>
            </w:tcBorders>
            <w:shd w:val="clear" w:color="000000" w:fill="FFFFFF"/>
            <w:noWrap/>
            <w:vAlign w:val="bottom"/>
            <w:hideMark/>
          </w:tcPr>
          <w:p w14:paraId="22E88C8A"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(56)</w:t>
            </w:r>
          </w:p>
        </w:tc>
        <w:tc>
          <w:tcPr>
            <w:tcW w:w="236" w:type="dxa"/>
            <w:vAlign w:val="center"/>
            <w:hideMark/>
          </w:tcPr>
          <w:p w14:paraId="4E645A15"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8408EE" w:rsidRPr="008408EE" w14:paraId="48165677" w14:textId="77777777" w:rsidTr="008408EE">
        <w:trPr>
          <w:trHeight w:val="255"/>
        </w:trPr>
        <w:tc>
          <w:tcPr>
            <w:tcW w:w="3980" w:type="dxa"/>
            <w:gridSpan w:val="3"/>
            <w:tcBorders>
              <w:top w:val="single" w:sz="4" w:space="0" w:color="BFBFBF"/>
              <w:left w:val="nil"/>
              <w:bottom w:val="single" w:sz="4" w:space="0" w:color="BFBFBF"/>
              <w:right w:val="nil"/>
            </w:tcBorders>
            <w:shd w:val="clear" w:color="000000" w:fill="FFFFFF"/>
            <w:noWrap/>
            <w:vAlign w:val="bottom"/>
            <w:hideMark/>
          </w:tcPr>
          <w:p w14:paraId="17EE46D0"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Underlying interest expense on lease liabilities</w:t>
            </w:r>
          </w:p>
        </w:tc>
        <w:tc>
          <w:tcPr>
            <w:tcW w:w="720" w:type="dxa"/>
            <w:tcBorders>
              <w:top w:val="nil"/>
              <w:left w:val="nil"/>
              <w:bottom w:val="single" w:sz="4" w:space="0" w:color="BFBFBF"/>
              <w:right w:val="nil"/>
            </w:tcBorders>
            <w:shd w:val="clear" w:color="000000" w:fill="FFFFFF"/>
            <w:noWrap/>
            <w:vAlign w:val="bottom"/>
            <w:hideMark/>
          </w:tcPr>
          <w:p w14:paraId="2B1F5CC6"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6D36EF25"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6F8148C3"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nil"/>
              <w:left w:val="nil"/>
              <w:bottom w:val="single" w:sz="4" w:space="0" w:color="BFBFBF"/>
              <w:right w:val="nil"/>
            </w:tcBorders>
            <w:shd w:val="clear" w:color="auto" w:fill="CCECFF"/>
            <w:noWrap/>
            <w:vAlign w:val="bottom"/>
            <w:hideMark/>
          </w:tcPr>
          <w:p w14:paraId="4DD15773"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(40)</w:t>
            </w:r>
          </w:p>
        </w:tc>
        <w:tc>
          <w:tcPr>
            <w:tcW w:w="1180" w:type="dxa"/>
            <w:tcBorders>
              <w:top w:val="nil"/>
              <w:left w:val="nil"/>
              <w:bottom w:val="single" w:sz="4" w:space="0" w:color="BFBFBF"/>
              <w:right w:val="nil"/>
            </w:tcBorders>
            <w:shd w:val="clear" w:color="000000" w:fill="FFFFFF"/>
            <w:noWrap/>
            <w:vAlign w:val="bottom"/>
            <w:hideMark/>
          </w:tcPr>
          <w:p w14:paraId="7314C54B"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(38)</w:t>
            </w:r>
          </w:p>
        </w:tc>
        <w:tc>
          <w:tcPr>
            <w:tcW w:w="1281" w:type="dxa"/>
            <w:tcBorders>
              <w:top w:val="nil"/>
              <w:left w:val="nil"/>
              <w:bottom w:val="single" w:sz="4" w:space="0" w:color="BFBFBF"/>
              <w:right w:val="nil"/>
            </w:tcBorders>
            <w:shd w:val="clear" w:color="000000" w:fill="FFFFFF"/>
            <w:noWrap/>
            <w:vAlign w:val="bottom"/>
            <w:hideMark/>
          </w:tcPr>
          <w:p w14:paraId="7EE1CB5F"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(79)</w:t>
            </w:r>
          </w:p>
        </w:tc>
        <w:tc>
          <w:tcPr>
            <w:tcW w:w="236" w:type="dxa"/>
            <w:vAlign w:val="center"/>
            <w:hideMark/>
          </w:tcPr>
          <w:p w14:paraId="374408E7"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662C8F" w:rsidRPr="008408EE" w14:paraId="37069AA5" w14:textId="77777777" w:rsidTr="00662C8F">
        <w:trPr>
          <w:trHeight w:val="255"/>
        </w:trPr>
        <w:tc>
          <w:tcPr>
            <w:tcW w:w="3686" w:type="dxa"/>
            <w:gridSpan w:val="2"/>
            <w:tcBorders>
              <w:top w:val="single" w:sz="4" w:space="0" w:color="BFBFBF"/>
              <w:left w:val="nil"/>
              <w:bottom w:val="single" w:sz="4" w:space="0" w:color="BFBFBF"/>
              <w:right w:val="nil"/>
            </w:tcBorders>
            <w:shd w:val="clear" w:color="000000" w:fill="FFFFFF"/>
            <w:noWrap/>
            <w:vAlign w:val="bottom"/>
            <w:hideMark/>
          </w:tcPr>
          <w:p w14:paraId="1BFFF730"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Total underlying interest expense</w:t>
            </w:r>
          </w:p>
        </w:tc>
        <w:tc>
          <w:tcPr>
            <w:tcW w:w="294" w:type="dxa"/>
            <w:tcBorders>
              <w:top w:val="nil"/>
              <w:left w:val="nil"/>
              <w:bottom w:val="single" w:sz="4" w:space="0" w:color="BFBFBF"/>
              <w:right w:val="nil"/>
            </w:tcBorders>
            <w:shd w:val="clear" w:color="000000" w:fill="FFFFFF"/>
            <w:noWrap/>
            <w:vAlign w:val="bottom"/>
            <w:hideMark/>
          </w:tcPr>
          <w:p w14:paraId="45BAABC0" w14:textId="77777777" w:rsidR="008408EE" w:rsidRPr="008408EE" w:rsidRDefault="008408EE" w:rsidP="008408EE">
            <w:pPr>
              <w:spacing w:after="0" w:line="240" w:lineRule="auto"/>
              <w:rPr>
                <w:rFonts w:ascii="Arial" w:eastAsia="Times New Roman" w:hAnsi="Arial" w:cs="Arial"/>
                <w:b/>
                <w:bCs/>
                <w:sz w:val="20"/>
                <w:szCs w:val="20"/>
                <w:lang w:eastAsia="en-GB"/>
              </w:rPr>
            </w:pPr>
            <w:r w:rsidRPr="008408EE">
              <w:rPr>
                <w:rFonts w:ascii="Arial" w:eastAsia="Times New Roman" w:hAnsi="Arial" w:cs="Arial"/>
                <w:b/>
                <w:bCs/>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255BD140"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4E773853"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4EB8AB35"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nil"/>
              <w:left w:val="nil"/>
              <w:bottom w:val="single" w:sz="4" w:space="0" w:color="BFBFBF"/>
              <w:right w:val="nil"/>
            </w:tcBorders>
            <w:shd w:val="clear" w:color="auto" w:fill="CCECFF"/>
            <w:noWrap/>
            <w:vAlign w:val="bottom"/>
            <w:hideMark/>
          </w:tcPr>
          <w:p w14:paraId="1D8CEF0A"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(68)</w:t>
            </w:r>
          </w:p>
        </w:tc>
        <w:tc>
          <w:tcPr>
            <w:tcW w:w="1180" w:type="dxa"/>
            <w:tcBorders>
              <w:top w:val="nil"/>
              <w:left w:val="nil"/>
              <w:bottom w:val="single" w:sz="4" w:space="0" w:color="BFBFBF"/>
              <w:right w:val="nil"/>
            </w:tcBorders>
            <w:shd w:val="clear" w:color="000000" w:fill="FFFFFF"/>
            <w:noWrap/>
            <w:vAlign w:val="bottom"/>
            <w:hideMark/>
          </w:tcPr>
          <w:p w14:paraId="42BB23DB"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(67)</w:t>
            </w:r>
          </w:p>
        </w:tc>
        <w:tc>
          <w:tcPr>
            <w:tcW w:w="1281" w:type="dxa"/>
            <w:tcBorders>
              <w:top w:val="nil"/>
              <w:left w:val="nil"/>
              <w:bottom w:val="single" w:sz="4" w:space="0" w:color="BFBFBF"/>
              <w:right w:val="nil"/>
            </w:tcBorders>
            <w:shd w:val="clear" w:color="000000" w:fill="FFFFFF"/>
            <w:noWrap/>
            <w:vAlign w:val="bottom"/>
            <w:hideMark/>
          </w:tcPr>
          <w:p w14:paraId="205B5E81"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(135)</w:t>
            </w:r>
          </w:p>
        </w:tc>
        <w:tc>
          <w:tcPr>
            <w:tcW w:w="236" w:type="dxa"/>
            <w:vAlign w:val="center"/>
            <w:hideMark/>
          </w:tcPr>
          <w:p w14:paraId="6C453B73"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662C8F" w:rsidRPr="008408EE" w14:paraId="0E430B1C" w14:textId="77777777" w:rsidTr="00662C8F">
        <w:trPr>
          <w:trHeight w:val="255"/>
        </w:trPr>
        <w:tc>
          <w:tcPr>
            <w:tcW w:w="3686" w:type="dxa"/>
            <w:gridSpan w:val="2"/>
            <w:tcBorders>
              <w:top w:val="nil"/>
              <w:left w:val="nil"/>
              <w:bottom w:val="nil"/>
              <w:right w:val="nil"/>
            </w:tcBorders>
            <w:shd w:val="clear" w:color="000000" w:fill="FFFFFF"/>
            <w:noWrap/>
            <w:vAlign w:val="bottom"/>
            <w:hideMark/>
          </w:tcPr>
          <w:p w14:paraId="13678D20"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Fair value movement on interest rate swaps</w:t>
            </w:r>
          </w:p>
        </w:tc>
        <w:tc>
          <w:tcPr>
            <w:tcW w:w="294" w:type="dxa"/>
            <w:tcBorders>
              <w:top w:val="nil"/>
              <w:left w:val="nil"/>
              <w:bottom w:val="nil"/>
              <w:right w:val="nil"/>
            </w:tcBorders>
            <w:shd w:val="clear" w:color="000000" w:fill="FFFFFF"/>
            <w:noWrap/>
            <w:vAlign w:val="bottom"/>
            <w:hideMark/>
          </w:tcPr>
          <w:p w14:paraId="069DCEA8"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6F0DC830"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7EC5CC60"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053E714B"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nil"/>
              <w:left w:val="nil"/>
              <w:bottom w:val="nil"/>
              <w:right w:val="nil"/>
            </w:tcBorders>
            <w:shd w:val="clear" w:color="auto" w:fill="CCECFF"/>
            <w:noWrap/>
            <w:vAlign w:val="bottom"/>
            <w:hideMark/>
          </w:tcPr>
          <w:p w14:paraId="478D0BCF"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(5)</w:t>
            </w:r>
          </w:p>
        </w:tc>
        <w:tc>
          <w:tcPr>
            <w:tcW w:w="1180" w:type="dxa"/>
            <w:tcBorders>
              <w:top w:val="nil"/>
              <w:left w:val="nil"/>
              <w:bottom w:val="nil"/>
              <w:right w:val="nil"/>
            </w:tcBorders>
            <w:shd w:val="clear" w:color="000000" w:fill="FFFFFF"/>
            <w:noWrap/>
            <w:vAlign w:val="bottom"/>
            <w:hideMark/>
          </w:tcPr>
          <w:p w14:paraId="090ADB92"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(3)</w:t>
            </w:r>
          </w:p>
        </w:tc>
        <w:tc>
          <w:tcPr>
            <w:tcW w:w="1281" w:type="dxa"/>
            <w:tcBorders>
              <w:top w:val="nil"/>
              <w:left w:val="nil"/>
              <w:bottom w:val="nil"/>
              <w:right w:val="nil"/>
            </w:tcBorders>
            <w:shd w:val="clear" w:color="000000" w:fill="FFFFFF"/>
            <w:noWrap/>
            <w:vAlign w:val="bottom"/>
            <w:hideMark/>
          </w:tcPr>
          <w:p w14:paraId="00961B94"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(5)</w:t>
            </w:r>
          </w:p>
        </w:tc>
        <w:tc>
          <w:tcPr>
            <w:tcW w:w="236" w:type="dxa"/>
            <w:vAlign w:val="center"/>
            <w:hideMark/>
          </w:tcPr>
          <w:p w14:paraId="19AC9E56"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662C8F" w:rsidRPr="008408EE" w14:paraId="35FB8FD4" w14:textId="77777777" w:rsidTr="00662C8F">
        <w:trPr>
          <w:trHeight w:val="255"/>
        </w:trPr>
        <w:tc>
          <w:tcPr>
            <w:tcW w:w="3686" w:type="dxa"/>
            <w:gridSpan w:val="2"/>
            <w:tcBorders>
              <w:top w:val="nil"/>
              <w:left w:val="nil"/>
              <w:bottom w:val="nil"/>
              <w:right w:val="nil"/>
            </w:tcBorders>
            <w:shd w:val="clear" w:color="000000" w:fill="FFFFFF"/>
            <w:noWrap/>
            <w:vAlign w:val="bottom"/>
            <w:hideMark/>
          </w:tcPr>
          <w:p w14:paraId="3D0DE330"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Other non-underlying finance interest</w:t>
            </w:r>
          </w:p>
        </w:tc>
        <w:tc>
          <w:tcPr>
            <w:tcW w:w="294" w:type="dxa"/>
            <w:tcBorders>
              <w:top w:val="nil"/>
              <w:left w:val="nil"/>
              <w:bottom w:val="nil"/>
              <w:right w:val="nil"/>
            </w:tcBorders>
            <w:shd w:val="clear" w:color="000000" w:fill="FFFFFF"/>
            <w:noWrap/>
            <w:vAlign w:val="bottom"/>
            <w:hideMark/>
          </w:tcPr>
          <w:p w14:paraId="58D1787F"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77089060"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1E97B6D3"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3D4D918C"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nil"/>
              <w:left w:val="nil"/>
              <w:bottom w:val="nil"/>
              <w:right w:val="nil"/>
            </w:tcBorders>
            <w:shd w:val="clear" w:color="auto" w:fill="CCECFF"/>
            <w:noWrap/>
            <w:vAlign w:val="bottom"/>
            <w:hideMark/>
          </w:tcPr>
          <w:p w14:paraId="63D579FB"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(1)</w:t>
            </w:r>
          </w:p>
        </w:tc>
        <w:tc>
          <w:tcPr>
            <w:tcW w:w="1180" w:type="dxa"/>
            <w:tcBorders>
              <w:top w:val="nil"/>
              <w:left w:val="nil"/>
              <w:bottom w:val="nil"/>
              <w:right w:val="nil"/>
            </w:tcBorders>
            <w:shd w:val="clear" w:color="000000" w:fill="FFFFFF"/>
            <w:noWrap/>
            <w:vAlign w:val="bottom"/>
            <w:hideMark/>
          </w:tcPr>
          <w:p w14:paraId="0FB56F06"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(2)</w:t>
            </w:r>
          </w:p>
        </w:tc>
        <w:tc>
          <w:tcPr>
            <w:tcW w:w="1281" w:type="dxa"/>
            <w:tcBorders>
              <w:top w:val="nil"/>
              <w:left w:val="nil"/>
              <w:bottom w:val="nil"/>
              <w:right w:val="nil"/>
            </w:tcBorders>
            <w:shd w:val="clear" w:color="000000" w:fill="FFFFFF"/>
            <w:noWrap/>
            <w:vAlign w:val="bottom"/>
            <w:hideMark/>
          </w:tcPr>
          <w:p w14:paraId="3E70EEAE"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(5)</w:t>
            </w:r>
          </w:p>
        </w:tc>
        <w:tc>
          <w:tcPr>
            <w:tcW w:w="236" w:type="dxa"/>
            <w:vAlign w:val="center"/>
            <w:hideMark/>
          </w:tcPr>
          <w:p w14:paraId="0D815737"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8408EE" w:rsidRPr="008408EE" w14:paraId="7D4E26FA" w14:textId="77777777" w:rsidTr="008408EE">
        <w:trPr>
          <w:trHeight w:val="255"/>
        </w:trPr>
        <w:tc>
          <w:tcPr>
            <w:tcW w:w="3980" w:type="dxa"/>
            <w:gridSpan w:val="3"/>
            <w:tcBorders>
              <w:top w:val="single" w:sz="4" w:space="0" w:color="BFBFBF"/>
              <w:left w:val="nil"/>
              <w:bottom w:val="single" w:sz="4" w:space="0" w:color="BFBFBF"/>
              <w:right w:val="nil"/>
            </w:tcBorders>
            <w:shd w:val="clear" w:color="000000" w:fill="FFFFFF"/>
            <w:noWrap/>
            <w:vAlign w:val="bottom"/>
            <w:hideMark/>
          </w:tcPr>
          <w:p w14:paraId="0EC9905C"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Finance costs (excluding funeral plans)</w:t>
            </w:r>
          </w:p>
        </w:tc>
        <w:tc>
          <w:tcPr>
            <w:tcW w:w="720" w:type="dxa"/>
            <w:tcBorders>
              <w:top w:val="single" w:sz="4" w:space="0" w:color="BFBFBF"/>
              <w:left w:val="nil"/>
              <w:bottom w:val="single" w:sz="4" w:space="0" w:color="BFBFBF"/>
              <w:right w:val="nil"/>
            </w:tcBorders>
            <w:shd w:val="clear" w:color="000000" w:fill="FFFFFF"/>
            <w:noWrap/>
            <w:vAlign w:val="bottom"/>
            <w:hideMark/>
          </w:tcPr>
          <w:p w14:paraId="65B3D2D1"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single" w:sz="4" w:space="0" w:color="BFBFBF"/>
              <w:left w:val="nil"/>
              <w:bottom w:val="single" w:sz="4" w:space="0" w:color="BFBFBF"/>
              <w:right w:val="nil"/>
            </w:tcBorders>
            <w:shd w:val="clear" w:color="000000" w:fill="FFFFFF"/>
            <w:noWrap/>
            <w:vAlign w:val="bottom"/>
            <w:hideMark/>
          </w:tcPr>
          <w:p w14:paraId="3EAB7B03"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single" w:sz="4" w:space="0" w:color="BFBFBF"/>
              <w:left w:val="nil"/>
              <w:bottom w:val="single" w:sz="4" w:space="0" w:color="BFBFBF"/>
              <w:right w:val="nil"/>
            </w:tcBorders>
            <w:shd w:val="clear" w:color="000000" w:fill="FFFFFF"/>
            <w:noWrap/>
            <w:vAlign w:val="bottom"/>
            <w:hideMark/>
          </w:tcPr>
          <w:p w14:paraId="539AE8D2"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single" w:sz="4" w:space="0" w:color="BFBFBF"/>
              <w:left w:val="nil"/>
              <w:bottom w:val="single" w:sz="4" w:space="0" w:color="BFBFBF"/>
              <w:right w:val="nil"/>
            </w:tcBorders>
            <w:shd w:val="clear" w:color="auto" w:fill="CCECFF"/>
            <w:noWrap/>
            <w:vAlign w:val="bottom"/>
            <w:hideMark/>
          </w:tcPr>
          <w:p w14:paraId="78E2AC1C"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(74)</w:t>
            </w:r>
          </w:p>
        </w:tc>
        <w:tc>
          <w:tcPr>
            <w:tcW w:w="1180" w:type="dxa"/>
            <w:tcBorders>
              <w:top w:val="single" w:sz="4" w:space="0" w:color="BFBFBF"/>
              <w:left w:val="nil"/>
              <w:bottom w:val="single" w:sz="4" w:space="0" w:color="BFBFBF"/>
              <w:right w:val="nil"/>
            </w:tcBorders>
            <w:shd w:val="clear" w:color="000000" w:fill="FFFFFF"/>
            <w:noWrap/>
            <w:vAlign w:val="bottom"/>
            <w:hideMark/>
          </w:tcPr>
          <w:p w14:paraId="2AF196A0"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(72)</w:t>
            </w:r>
          </w:p>
        </w:tc>
        <w:tc>
          <w:tcPr>
            <w:tcW w:w="1281" w:type="dxa"/>
            <w:tcBorders>
              <w:top w:val="single" w:sz="4" w:space="0" w:color="BFBFBF"/>
              <w:left w:val="nil"/>
              <w:bottom w:val="single" w:sz="4" w:space="0" w:color="BFBFBF"/>
              <w:right w:val="nil"/>
            </w:tcBorders>
            <w:shd w:val="clear" w:color="000000" w:fill="FFFFFF"/>
            <w:noWrap/>
            <w:vAlign w:val="bottom"/>
            <w:hideMark/>
          </w:tcPr>
          <w:p w14:paraId="112C33B2"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(145)</w:t>
            </w:r>
          </w:p>
        </w:tc>
        <w:tc>
          <w:tcPr>
            <w:tcW w:w="236" w:type="dxa"/>
            <w:vAlign w:val="center"/>
            <w:hideMark/>
          </w:tcPr>
          <w:p w14:paraId="67C7F6A6"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662C8F" w:rsidRPr="008408EE" w14:paraId="45AB6B23" w14:textId="77777777" w:rsidTr="00662C8F">
        <w:trPr>
          <w:trHeight w:val="255"/>
        </w:trPr>
        <w:tc>
          <w:tcPr>
            <w:tcW w:w="3686" w:type="dxa"/>
            <w:gridSpan w:val="2"/>
            <w:tcBorders>
              <w:top w:val="nil"/>
              <w:left w:val="nil"/>
              <w:bottom w:val="nil"/>
              <w:right w:val="nil"/>
            </w:tcBorders>
            <w:shd w:val="clear" w:color="000000" w:fill="FFFFFF"/>
            <w:noWrap/>
            <w:vAlign w:val="bottom"/>
            <w:hideMark/>
          </w:tcPr>
          <w:p w14:paraId="3A3A3B82"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 xml:space="preserve">Interest accruing on funeral plan liabilities </w:t>
            </w:r>
          </w:p>
        </w:tc>
        <w:tc>
          <w:tcPr>
            <w:tcW w:w="294" w:type="dxa"/>
            <w:tcBorders>
              <w:top w:val="nil"/>
              <w:left w:val="nil"/>
              <w:bottom w:val="nil"/>
              <w:right w:val="nil"/>
            </w:tcBorders>
            <w:shd w:val="clear" w:color="000000" w:fill="FFFFFF"/>
            <w:noWrap/>
            <w:vAlign w:val="bottom"/>
            <w:hideMark/>
          </w:tcPr>
          <w:p w14:paraId="6709B946"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7B15A478"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08537AF8"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05A13AD0"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nil"/>
              <w:left w:val="nil"/>
              <w:bottom w:val="nil"/>
              <w:right w:val="nil"/>
            </w:tcBorders>
            <w:shd w:val="clear" w:color="auto" w:fill="CCECFF"/>
            <w:noWrap/>
            <w:vAlign w:val="bottom"/>
            <w:hideMark/>
          </w:tcPr>
          <w:p w14:paraId="1559F251"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(27)</w:t>
            </w:r>
          </w:p>
        </w:tc>
        <w:tc>
          <w:tcPr>
            <w:tcW w:w="1180" w:type="dxa"/>
            <w:tcBorders>
              <w:top w:val="nil"/>
              <w:left w:val="nil"/>
              <w:bottom w:val="nil"/>
              <w:right w:val="nil"/>
            </w:tcBorders>
            <w:shd w:val="clear" w:color="000000" w:fill="FFFFFF"/>
            <w:noWrap/>
            <w:vAlign w:val="bottom"/>
            <w:hideMark/>
          </w:tcPr>
          <w:p w14:paraId="36B1BC1B"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(29)</w:t>
            </w:r>
          </w:p>
        </w:tc>
        <w:tc>
          <w:tcPr>
            <w:tcW w:w="1281" w:type="dxa"/>
            <w:tcBorders>
              <w:top w:val="nil"/>
              <w:left w:val="nil"/>
              <w:bottom w:val="nil"/>
              <w:right w:val="nil"/>
            </w:tcBorders>
            <w:shd w:val="clear" w:color="000000" w:fill="FFFFFF"/>
            <w:noWrap/>
            <w:vAlign w:val="bottom"/>
            <w:hideMark/>
          </w:tcPr>
          <w:p w14:paraId="5B8A37DE"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(54)</w:t>
            </w:r>
          </w:p>
        </w:tc>
        <w:tc>
          <w:tcPr>
            <w:tcW w:w="236" w:type="dxa"/>
            <w:vAlign w:val="center"/>
            <w:hideMark/>
          </w:tcPr>
          <w:p w14:paraId="608E143E"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662C8F" w:rsidRPr="008408EE" w14:paraId="40A53D49" w14:textId="77777777" w:rsidTr="00662C8F">
        <w:trPr>
          <w:trHeight w:val="255"/>
        </w:trPr>
        <w:tc>
          <w:tcPr>
            <w:tcW w:w="3686" w:type="dxa"/>
            <w:gridSpan w:val="2"/>
            <w:tcBorders>
              <w:top w:val="nil"/>
              <w:left w:val="nil"/>
              <w:bottom w:val="nil"/>
              <w:right w:val="nil"/>
            </w:tcBorders>
            <w:shd w:val="clear" w:color="000000" w:fill="FFFFFF"/>
            <w:noWrap/>
            <w:vAlign w:val="bottom"/>
            <w:hideMark/>
          </w:tcPr>
          <w:p w14:paraId="5C39E4AC"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Discounting on funeral plan debtors</w:t>
            </w:r>
          </w:p>
        </w:tc>
        <w:tc>
          <w:tcPr>
            <w:tcW w:w="294" w:type="dxa"/>
            <w:tcBorders>
              <w:top w:val="nil"/>
              <w:left w:val="nil"/>
              <w:bottom w:val="nil"/>
              <w:right w:val="nil"/>
            </w:tcBorders>
            <w:shd w:val="clear" w:color="000000" w:fill="FFFFFF"/>
            <w:noWrap/>
            <w:vAlign w:val="bottom"/>
            <w:hideMark/>
          </w:tcPr>
          <w:p w14:paraId="340674D9"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76BD84EA"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5FA10E46"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nil"/>
              <w:right w:val="nil"/>
            </w:tcBorders>
            <w:shd w:val="clear" w:color="000000" w:fill="FFFFFF"/>
            <w:noWrap/>
            <w:vAlign w:val="bottom"/>
            <w:hideMark/>
          </w:tcPr>
          <w:p w14:paraId="40AD8AA4"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nil"/>
              <w:left w:val="nil"/>
              <w:bottom w:val="nil"/>
              <w:right w:val="nil"/>
            </w:tcBorders>
            <w:shd w:val="clear" w:color="auto" w:fill="CCECFF"/>
            <w:noWrap/>
            <w:vAlign w:val="bottom"/>
            <w:hideMark/>
          </w:tcPr>
          <w:p w14:paraId="5CAC8F0B"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xml:space="preserve">- </w:t>
            </w:r>
          </w:p>
        </w:tc>
        <w:tc>
          <w:tcPr>
            <w:tcW w:w="1180" w:type="dxa"/>
            <w:tcBorders>
              <w:top w:val="nil"/>
              <w:left w:val="nil"/>
              <w:bottom w:val="nil"/>
              <w:right w:val="nil"/>
            </w:tcBorders>
            <w:shd w:val="clear" w:color="000000" w:fill="FFFFFF"/>
            <w:noWrap/>
            <w:vAlign w:val="bottom"/>
            <w:hideMark/>
          </w:tcPr>
          <w:p w14:paraId="62F86E30"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(5)</w:t>
            </w:r>
          </w:p>
        </w:tc>
        <w:tc>
          <w:tcPr>
            <w:tcW w:w="1281" w:type="dxa"/>
            <w:tcBorders>
              <w:top w:val="nil"/>
              <w:left w:val="nil"/>
              <w:bottom w:val="nil"/>
              <w:right w:val="nil"/>
            </w:tcBorders>
            <w:shd w:val="clear" w:color="000000" w:fill="FFFFFF"/>
            <w:noWrap/>
            <w:vAlign w:val="bottom"/>
            <w:hideMark/>
          </w:tcPr>
          <w:p w14:paraId="6FA8156E"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(4)</w:t>
            </w:r>
          </w:p>
        </w:tc>
        <w:tc>
          <w:tcPr>
            <w:tcW w:w="236" w:type="dxa"/>
            <w:vAlign w:val="center"/>
            <w:hideMark/>
          </w:tcPr>
          <w:p w14:paraId="1E4B0FAE"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662C8F" w:rsidRPr="008408EE" w14:paraId="204AB479" w14:textId="77777777" w:rsidTr="00662C8F">
        <w:trPr>
          <w:trHeight w:val="255"/>
        </w:trPr>
        <w:tc>
          <w:tcPr>
            <w:tcW w:w="3686" w:type="dxa"/>
            <w:gridSpan w:val="2"/>
            <w:tcBorders>
              <w:top w:val="single" w:sz="4" w:space="0" w:color="BFBFBF"/>
              <w:left w:val="nil"/>
              <w:bottom w:val="single" w:sz="4" w:space="0" w:color="BFBFBF"/>
              <w:right w:val="nil"/>
            </w:tcBorders>
            <w:shd w:val="clear" w:color="000000" w:fill="FFFFFF"/>
            <w:noWrap/>
            <w:vAlign w:val="bottom"/>
            <w:hideMark/>
          </w:tcPr>
          <w:p w14:paraId="1E2CE067"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Finance costs (on funeral plans)</w:t>
            </w:r>
          </w:p>
        </w:tc>
        <w:tc>
          <w:tcPr>
            <w:tcW w:w="294" w:type="dxa"/>
            <w:tcBorders>
              <w:top w:val="single" w:sz="4" w:space="0" w:color="BFBFBF"/>
              <w:left w:val="nil"/>
              <w:bottom w:val="single" w:sz="4" w:space="0" w:color="BFBFBF"/>
              <w:right w:val="nil"/>
            </w:tcBorders>
            <w:shd w:val="clear" w:color="000000" w:fill="FFFFFF"/>
            <w:noWrap/>
            <w:vAlign w:val="bottom"/>
            <w:hideMark/>
          </w:tcPr>
          <w:p w14:paraId="3AA9A2D0" w14:textId="77777777" w:rsidR="008408EE" w:rsidRPr="008408EE" w:rsidRDefault="008408EE" w:rsidP="008408EE">
            <w:pPr>
              <w:spacing w:after="0" w:line="240" w:lineRule="auto"/>
              <w:rPr>
                <w:rFonts w:ascii="Arial" w:eastAsia="Times New Roman" w:hAnsi="Arial" w:cs="Arial"/>
                <w:sz w:val="14"/>
                <w:szCs w:val="14"/>
                <w:lang w:eastAsia="en-GB"/>
              </w:rPr>
            </w:pPr>
            <w:r w:rsidRPr="008408EE">
              <w:rPr>
                <w:rFonts w:ascii="Arial" w:eastAsia="Times New Roman" w:hAnsi="Arial" w:cs="Arial"/>
                <w:sz w:val="14"/>
                <w:szCs w:val="14"/>
                <w:lang w:eastAsia="en-GB"/>
              </w:rPr>
              <w:t> </w:t>
            </w:r>
          </w:p>
        </w:tc>
        <w:tc>
          <w:tcPr>
            <w:tcW w:w="720" w:type="dxa"/>
            <w:tcBorders>
              <w:top w:val="single" w:sz="4" w:space="0" w:color="BFBFBF"/>
              <w:left w:val="nil"/>
              <w:bottom w:val="single" w:sz="4" w:space="0" w:color="BFBFBF"/>
              <w:right w:val="nil"/>
            </w:tcBorders>
            <w:shd w:val="clear" w:color="000000" w:fill="FFFFFF"/>
            <w:noWrap/>
            <w:vAlign w:val="bottom"/>
            <w:hideMark/>
          </w:tcPr>
          <w:p w14:paraId="18D7E5C6" w14:textId="77777777" w:rsidR="008408EE" w:rsidRPr="008408EE" w:rsidRDefault="008408EE" w:rsidP="008408EE">
            <w:pPr>
              <w:spacing w:after="0" w:line="240" w:lineRule="auto"/>
              <w:rPr>
                <w:rFonts w:ascii="Arial" w:eastAsia="Times New Roman" w:hAnsi="Arial" w:cs="Arial"/>
                <w:sz w:val="14"/>
                <w:szCs w:val="14"/>
                <w:lang w:eastAsia="en-GB"/>
              </w:rPr>
            </w:pPr>
            <w:r w:rsidRPr="008408EE">
              <w:rPr>
                <w:rFonts w:ascii="Arial" w:eastAsia="Times New Roman" w:hAnsi="Arial" w:cs="Arial"/>
                <w:sz w:val="14"/>
                <w:szCs w:val="14"/>
                <w:lang w:eastAsia="en-GB"/>
              </w:rPr>
              <w:t> </w:t>
            </w:r>
          </w:p>
        </w:tc>
        <w:tc>
          <w:tcPr>
            <w:tcW w:w="720" w:type="dxa"/>
            <w:tcBorders>
              <w:top w:val="single" w:sz="4" w:space="0" w:color="BFBFBF"/>
              <w:left w:val="nil"/>
              <w:bottom w:val="single" w:sz="4" w:space="0" w:color="BFBFBF"/>
              <w:right w:val="nil"/>
            </w:tcBorders>
            <w:shd w:val="clear" w:color="000000" w:fill="FFFFFF"/>
            <w:noWrap/>
            <w:vAlign w:val="bottom"/>
            <w:hideMark/>
          </w:tcPr>
          <w:p w14:paraId="2D969919" w14:textId="77777777" w:rsidR="008408EE" w:rsidRPr="008408EE" w:rsidRDefault="008408EE" w:rsidP="008408EE">
            <w:pPr>
              <w:spacing w:after="0" w:line="240" w:lineRule="auto"/>
              <w:rPr>
                <w:rFonts w:ascii="Arial" w:eastAsia="Times New Roman" w:hAnsi="Arial" w:cs="Arial"/>
                <w:sz w:val="14"/>
                <w:szCs w:val="14"/>
                <w:lang w:eastAsia="en-GB"/>
              </w:rPr>
            </w:pPr>
            <w:r w:rsidRPr="008408EE">
              <w:rPr>
                <w:rFonts w:ascii="Arial" w:eastAsia="Times New Roman" w:hAnsi="Arial" w:cs="Arial"/>
                <w:sz w:val="14"/>
                <w:szCs w:val="14"/>
                <w:lang w:eastAsia="en-GB"/>
              </w:rPr>
              <w:t> </w:t>
            </w:r>
          </w:p>
        </w:tc>
        <w:tc>
          <w:tcPr>
            <w:tcW w:w="720" w:type="dxa"/>
            <w:tcBorders>
              <w:top w:val="single" w:sz="4" w:space="0" w:color="BFBFBF"/>
              <w:left w:val="nil"/>
              <w:bottom w:val="single" w:sz="4" w:space="0" w:color="BFBFBF"/>
              <w:right w:val="nil"/>
            </w:tcBorders>
            <w:shd w:val="clear" w:color="000000" w:fill="FFFFFF"/>
            <w:noWrap/>
            <w:vAlign w:val="bottom"/>
            <w:hideMark/>
          </w:tcPr>
          <w:p w14:paraId="057C2875" w14:textId="77777777" w:rsidR="008408EE" w:rsidRPr="008408EE" w:rsidRDefault="008408EE" w:rsidP="008408EE">
            <w:pPr>
              <w:spacing w:after="0" w:line="240" w:lineRule="auto"/>
              <w:rPr>
                <w:rFonts w:ascii="Arial" w:eastAsia="Times New Roman" w:hAnsi="Arial" w:cs="Arial"/>
                <w:sz w:val="14"/>
                <w:szCs w:val="14"/>
                <w:lang w:eastAsia="en-GB"/>
              </w:rPr>
            </w:pPr>
            <w:r w:rsidRPr="008408EE">
              <w:rPr>
                <w:rFonts w:ascii="Arial" w:eastAsia="Times New Roman" w:hAnsi="Arial" w:cs="Arial"/>
                <w:sz w:val="14"/>
                <w:szCs w:val="14"/>
                <w:lang w:eastAsia="en-GB"/>
              </w:rPr>
              <w:t> </w:t>
            </w:r>
          </w:p>
        </w:tc>
        <w:tc>
          <w:tcPr>
            <w:tcW w:w="1180" w:type="dxa"/>
            <w:tcBorders>
              <w:top w:val="single" w:sz="4" w:space="0" w:color="BFBFBF"/>
              <w:left w:val="nil"/>
              <w:bottom w:val="single" w:sz="4" w:space="0" w:color="BFBFBF"/>
              <w:right w:val="nil"/>
            </w:tcBorders>
            <w:shd w:val="clear" w:color="auto" w:fill="CCECFF"/>
            <w:noWrap/>
            <w:vAlign w:val="bottom"/>
            <w:hideMark/>
          </w:tcPr>
          <w:p w14:paraId="0728B1DA"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(27)</w:t>
            </w:r>
          </w:p>
        </w:tc>
        <w:tc>
          <w:tcPr>
            <w:tcW w:w="1180" w:type="dxa"/>
            <w:tcBorders>
              <w:top w:val="single" w:sz="4" w:space="0" w:color="BFBFBF"/>
              <w:left w:val="nil"/>
              <w:bottom w:val="single" w:sz="4" w:space="0" w:color="BFBFBF"/>
              <w:right w:val="nil"/>
            </w:tcBorders>
            <w:shd w:val="clear" w:color="000000" w:fill="FFFFFF"/>
            <w:noWrap/>
            <w:vAlign w:val="bottom"/>
            <w:hideMark/>
          </w:tcPr>
          <w:p w14:paraId="3F3BA527"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(34)</w:t>
            </w:r>
          </w:p>
        </w:tc>
        <w:tc>
          <w:tcPr>
            <w:tcW w:w="1281" w:type="dxa"/>
            <w:tcBorders>
              <w:top w:val="single" w:sz="4" w:space="0" w:color="BFBFBF"/>
              <w:left w:val="nil"/>
              <w:bottom w:val="single" w:sz="4" w:space="0" w:color="BFBFBF"/>
              <w:right w:val="nil"/>
            </w:tcBorders>
            <w:shd w:val="clear" w:color="000000" w:fill="FFFFFF"/>
            <w:noWrap/>
            <w:vAlign w:val="bottom"/>
            <w:hideMark/>
          </w:tcPr>
          <w:p w14:paraId="6E3BA268"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(58)</w:t>
            </w:r>
          </w:p>
        </w:tc>
        <w:tc>
          <w:tcPr>
            <w:tcW w:w="236" w:type="dxa"/>
            <w:vAlign w:val="center"/>
            <w:hideMark/>
          </w:tcPr>
          <w:p w14:paraId="00D25670"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8408EE" w:rsidRPr="008408EE" w14:paraId="59B86C4B" w14:textId="77777777" w:rsidTr="00662C8F">
        <w:trPr>
          <w:trHeight w:val="240"/>
        </w:trPr>
        <w:tc>
          <w:tcPr>
            <w:tcW w:w="2460" w:type="dxa"/>
            <w:tcBorders>
              <w:top w:val="nil"/>
              <w:left w:val="nil"/>
              <w:bottom w:val="single" w:sz="4" w:space="0" w:color="BFBFBF"/>
              <w:right w:val="nil"/>
            </w:tcBorders>
            <w:shd w:val="clear" w:color="000000" w:fill="FFFFFF"/>
            <w:noWrap/>
            <w:vAlign w:val="bottom"/>
            <w:hideMark/>
          </w:tcPr>
          <w:p w14:paraId="6CFA38C2"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w:t>
            </w:r>
          </w:p>
        </w:tc>
        <w:tc>
          <w:tcPr>
            <w:tcW w:w="1226" w:type="dxa"/>
            <w:tcBorders>
              <w:top w:val="nil"/>
              <w:left w:val="nil"/>
              <w:bottom w:val="single" w:sz="4" w:space="0" w:color="BFBFBF"/>
              <w:right w:val="nil"/>
            </w:tcBorders>
            <w:shd w:val="clear" w:color="000000" w:fill="FFFFFF"/>
            <w:noWrap/>
            <w:vAlign w:val="bottom"/>
            <w:hideMark/>
          </w:tcPr>
          <w:p w14:paraId="566055A9" w14:textId="77777777" w:rsidR="008408EE" w:rsidRPr="008408EE" w:rsidRDefault="008408EE" w:rsidP="008408EE">
            <w:pPr>
              <w:spacing w:after="0" w:line="240" w:lineRule="auto"/>
              <w:rPr>
                <w:rFonts w:ascii="Arial" w:eastAsia="Times New Roman" w:hAnsi="Arial" w:cs="Arial"/>
                <w:sz w:val="14"/>
                <w:szCs w:val="14"/>
                <w:lang w:eastAsia="en-GB"/>
              </w:rPr>
            </w:pPr>
            <w:r w:rsidRPr="008408EE">
              <w:rPr>
                <w:rFonts w:ascii="Arial" w:eastAsia="Times New Roman" w:hAnsi="Arial" w:cs="Arial"/>
                <w:sz w:val="14"/>
                <w:szCs w:val="14"/>
                <w:lang w:eastAsia="en-GB"/>
              </w:rPr>
              <w:t> </w:t>
            </w:r>
          </w:p>
        </w:tc>
        <w:tc>
          <w:tcPr>
            <w:tcW w:w="294" w:type="dxa"/>
            <w:tcBorders>
              <w:top w:val="nil"/>
              <w:left w:val="nil"/>
              <w:bottom w:val="single" w:sz="4" w:space="0" w:color="BFBFBF"/>
              <w:right w:val="nil"/>
            </w:tcBorders>
            <w:shd w:val="clear" w:color="000000" w:fill="FFFFFF"/>
            <w:noWrap/>
            <w:vAlign w:val="bottom"/>
            <w:hideMark/>
          </w:tcPr>
          <w:p w14:paraId="48C31B45" w14:textId="77777777" w:rsidR="008408EE" w:rsidRPr="008408EE" w:rsidRDefault="008408EE" w:rsidP="008408EE">
            <w:pPr>
              <w:spacing w:after="0" w:line="240" w:lineRule="auto"/>
              <w:rPr>
                <w:rFonts w:ascii="Arial" w:eastAsia="Times New Roman" w:hAnsi="Arial" w:cs="Arial"/>
                <w:sz w:val="14"/>
                <w:szCs w:val="14"/>
                <w:lang w:eastAsia="en-GB"/>
              </w:rPr>
            </w:pPr>
            <w:r w:rsidRPr="008408EE">
              <w:rPr>
                <w:rFonts w:ascii="Arial" w:eastAsia="Times New Roman" w:hAnsi="Arial" w:cs="Arial"/>
                <w:sz w:val="14"/>
                <w:szCs w:val="14"/>
                <w:lang w:eastAsia="en-GB"/>
              </w:rPr>
              <w:t> </w:t>
            </w:r>
          </w:p>
        </w:tc>
        <w:tc>
          <w:tcPr>
            <w:tcW w:w="720" w:type="dxa"/>
            <w:tcBorders>
              <w:top w:val="nil"/>
              <w:left w:val="nil"/>
              <w:bottom w:val="single" w:sz="4" w:space="0" w:color="BFBFBF"/>
              <w:right w:val="nil"/>
            </w:tcBorders>
            <w:shd w:val="clear" w:color="000000" w:fill="FFFFFF"/>
            <w:noWrap/>
            <w:vAlign w:val="bottom"/>
            <w:hideMark/>
          </w:tcPr>
          <w:p w14:paraId="7FFA0EF6" w14:textId="77777777" w:rsidR="008408EE" w:rsidRPr="008408EE" w:rsidRDefault="008408EE" w:rsidP="008408EE">
            <w:pPr>
              <w:spacing w:after="0" w:line="240" w:lineRule="auto"/>
              <w:rPr>
                <w:rFonts w:ascii="Arial" w:eastAsia="Times New Roman" w:hAnsi="Arial" w:cs="Arial"/>
                <w:sz w:val="14"/>
                <w:szCs w:val="14"/>
                <w:lang w:eastAsia="en-GB"/>
              </w:rPr>
            </w:pPr>
            <w:r w:rsidRPr="008408EE">
              <w:rPr>
                <w:rFonts w:ascii="Arial" w:eastAsia="Times New Roman" w:hAnsi="Arial" w:cs="Arial"/>
                <w:sz w:val="14"/>
                <w:szCs w:val="14"/>
                <w:lang w:eastAsia="en-GB"/>
              </w:rPr>
              <w:t> </w:t>
            </w:r>
          </w:p>
        </w:tc>
        <w:tc>
          <w:tcPr>
            <w:tcW w:w="720" w:type="dxa"/>
            <w:tcBorders>
              <w:top w:val="nil"/>
              <w:left w:val="nil"/>
              <w:bottom w:val="single" w:sz="4" w:space="0" w:color="BFBFBF"/>
              <w:right w:val="nil"/>
            </w:tcBorders>
            <w:shd w:val="clear" w:color="000000" w:fill="FFFFFF"/>
            <w:noWrap/>
            <w:vAlign w:val="bottom"/>
            <w:hideMark/>
          </w:tcPr>
          <w:p w14:paraId="371CFEF6" w14:textId="77777777" w:rsidR="008408EE" w:rsidRPr="008408EE" w:rsidRDefault="008408EE" w:rsidP="008408EE">
            <w:pPr>
              <w:spacing w:after="0" w:line="240" w:lineRule="auto"/>
              <w:rPr>
                <w:rFonts w:ascii="Arial" w:eastAsia="Times New Roman" w:hAnsi="Arial" w:cs="Arial"/>
                <w:sz w:val="14"/>
                <w:szCs w:val="14"/>
                <w:lang w:eastAsia="en-GB"/>
              </w:rPr>
            </w:pPr>
            <w:r w:rsidRPr="008408EE">
              <w:rPr>
                <w:rFonts w:ascii="Arial" w:eastAsia="Times New Roman" w:hAnsi="Arial" w:cs="Arial"/>
                <w:sz w:val="14"/>
                <w:szCs w:val="14"/>
                <w:lang w:eastAsia="en-GB"/>
              </w:rPr>
              <w:t> </w:t>
            </w:r>
          </w:p>
        </w:tc>
        <w:tc>
          <w:tcPr>
            <w:tcW w:w="720" w:type="dxa"/>
            <w:tcBorders>
              <w:top w:val="nil"/>
              <w:left w:val="nil"/>
              <w:bottom w:val="single" w:sz="4" w:space="0" w:color="BFBFBF"/>
              <w:right w:val="nil"/>
            </w:tcBorders>
            <w:shd w:val="clear" w:color="000000" w:fill="FFFFFF"/>
            <w:noWrap/>
            <w:vAlign w:val="bottom"/>
            <w:hideMark/>
          </w:tcPr>
          <w:p w14:paraId="6E6DE620" w14:textId="77777777" w:rsidR="008408EE" w:rsidRPr="008408EE" w:rsidRDefault="008408EE" w:rsidP="008408EE">
            <w:pPr>
              <w:spacing w:after="0" w:line="240" w:lineRule="auto"/>
              <w:rPr>
                <w:rFonts w:ascii="Arial" w:eastAsia="Times New Roman" w:hAnsi="Arial" w:cs="Arial"/>
                <w:sz w:val="14"/>
                <w:szCs w:val="14"/>
                <w:lang w:eastAsia="en-GB"/>
              </w:rPr>
            </w:pPr>
            <w:r w:rsidRPr="008408EE">
              <w:rPr>
                <w:rFonts w:ascii="Arial" w:eastAsia="Times New Roman" w:hAnsi="Arial" w:cs="Arial"/>
                <w:sz w:val="14"/>
                <w:szCs w:val="14"/>
                <w:lang w:eastAsia="en-GB"/>
              </w:rPr>
              <w:t> </w:t>
            </w:r>
          </w:p>
        </w:tc>
        <w:tc>
          <w:tcPr>
            <w:tcW w:w="1180" w:type="dxa"/>
            <w:tcBorders>
              <w:top w:val="nil"/>
              <w:left w:val="nil"/>
              <w:bottom w:val="single" w:sz="4" w:space="0" w:color="BFBFBF"/>
              <w:right w:val="nil"/>
            </w:tcBorders>
            <w:shd w:val="clear" w:color="auto" w:fill="CCECFF"/>
            <w:noWrap/>
            <w:vAlign w:val="bottom"/>
            <w:hideMark/>
          </w:tcPr>
          <w:p w14:paraId="092253C3"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 </w:t>
            </w:r>
          </w:p>
        </w:tc>
        <w:tc>
          <w:tcPr>
            <w:tcW w:w="1180" w:type="dxa"/>
            <w:tcBorders>
              <w:top w:val="nil"/>
              <w:left w:val="nil"/>
              <w:bottom w:val="single" w:sz="4" w:space="0" w:color="BFBFBF"/>
              <w:right w:val="nil"/>
            </w:tcBorders>
            <w:shd w:val="clear" w:color="000000" w:fill="FFFFFF"/>
            <w:noWrap/>
            <w:vAlign w:val="bottom"/>
            <w:hideMark/>
          </w:tcPr>
          <w:p w14:paraId="04F41651"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 </w:t>
            </w:r>
          </w:p>
        </w:tc>
        <w:tc>
          <w:tcPr>
            <w:tcW w:w="1281" w:type="dxa"/>
            <w:tcBorders>
              <w:top w:val="nil"/>
              <w:left w:val="nil"/>
              <w:bottom w:val="single" w:sz="4" w:space="0" w:color="BFBFBF"/>
              <w:right w:val="nil"/>
            </w:tcBorders>
            <w:shd w:val="clear" w:color="000000" w:fill="FFFFFF"/>
            <w:noWrap/>
            <w:vAlign w:val="bottom"/>
            <w:hideMark/>
          </w:tcPr>
          <w:p w14:paraId="2308D6ED" w14:textId="77777777" w:rsidR="008408EE" w:rsidRPr="008408EE" w:rsidRDefault="008408EE" w:rsidP="008408EE">
            <w:pPr>
              <w:spacing w:after="0" w:line="240" w:lineRule="auto"/>
              <w:rPr>
                <w:rFonts w:ascii="Arial" w:eastAsia="Times New Roman" w:hAnsi="Arial" w:cs="Arial"/>
                <w:sz w:val="15"/>
                <w:szCs w:val="15"/>
                <w:lang w:eastAsia="en-GB"/>
              </w:rPr>
            </w:pPr>
            <w:r w:rsidRPr="008408EE">
              <w:rPr>
                <w:rFonts w:ascii="Arial" w:eastAsia="Times New Roman" w:hAnsi="Arial" w:cs="Arial"/>
                <w:sz w:val="15"/>
                <w:szCs w:val="15"/>
                <w:lang w:eastAsia="en-GB"/>
              </w:rPr>
              <w:t> </w:t>
            </w:r>
          </w:p>
        </w:tc>
        <w:tc>
          <w:tcPr>
            <w:tcW w:w="236" w:type="dxa"/>
            <w:vAlign w:val="center"/>
            <w:hideMark/>
          </w:tcPr>
          <w:p w14:paraId="252A101A"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r w:rsidR="008408EE" w:rsidRPr="008408EE" w14:paraId="3E66300D" w14:textId="77777777" w:rsidTr="00662C8F">
        <w:trPr>
          <w:trHeight w:val="255"/>
        </w:trPr>
        <w:tc>
          <w:tcPr>
            <w:tcW w:w="2460" w:type="dxa"/>
            <w:tcBorders>
              <w:top w:val="nil"/>
              <w:left w:val="nil"/>
              <w:bottom w:val="single" w:sz="4" w:space="0" w:color="BFBFBF"/>
              <w:right w:val="nil"/>
            </w:tcBorders>
            <w:shd w:val="clear" w:color="000000" w:fill="FFFFFF"/>
            <w:noWrap/>
            <w:vAlign w:val="bottom"/>
            <w:hideMark/>
          </w:tcPr>
          <w:p w14:paraId="131F5197" w14:textId="77777777" w:rsidR="008408EE" w:rsidRPr="008408EE" w:rsidRDefault="008408EE" w:rsidP="008408EE">
            <w:pPr>
              <w:spacing w:after="0" w:line="240" w:lineRule="auto"/>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Total finance costs</w:t>
            </w:r>
          </w:p>
        </w:tc>
        <w:tc>
          <w:tcPr>
            <w:tcW w:w="1226" w:type="dxa"/>
            <w:tcBorders>
              <w:top w:val="nil"/>
              <w:left w:val="nil"/>
              <w:bottom w:val="single" w:sz="4" w:space="0" w:color="BFBFBF"/>
              <w:right w:val="nil"/>
            </w:tcBorders>
            <w:shd w:val="clear" w:color="000000" w:fill="FFFFFF"/>
            <w:noWrap/>
            <w:vAlign w:val="bottom"/>
            <w:hideMark/>
          </w:tcPr>
          <w:p w14:paraId="3389C740"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294" w:type="dxa"/>
            <w:tcBorders>
              <w:top w:val="nil"/>
              <w:left w:val="nil"/>
              <w:bottom w:val="single" w:sz="4" w:space="0" w:color="BFBFBF"/>
              <w:right w:val="nil"/>
            </w:tcBorders>
            <w:shd w:val="clear" w:color="000000" w:fill="FFFFFF"/>
            <w:noWrap/>
            <w:vAlign w:val="bottom"/>
            <w:hideMark/>
          </w:tcPr>
          <w:p w14:paraId="47ADC155"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6FDEC6F9"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50842A47"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720" w:type="dxa"/>
            <w:tcBorders>
              <w:top w:val="nil"/>
              <w:left w:val="nil"/>
              <w:bottom w:val="single" w:sz="4" w:space="0" w:color="BFBFBF"/>
              <w:right w:val="nil"/>
            </w:tcBorders>
            <w:shd w:val="clear" w:color="000000" w:fill="FFFFFF"/>
            <w:noWrap/>
            <w:vAlign w:val="bottom"/>
            <w:hideMark/>
          </w:tcPr>
          <w:p w14:paraId="7956CE51" w14:textId="77777777" w:rsidR="008408EE" w:rsidRPr="008408EE" w:rsidRDefault="008408EE" w:rsidP="008408EE">
            <w:pPr>
              <w:spacing w:after="0" w:line="240" w:lineRule="auto"/>
              <w:rPr>
                <w:rFonts w:ascii="Arial" w:eastAsia="Times New Roman" w:hAnsi="Arial" w:cs="Arial"/>
                <w:sz w:val="20"/>
                <w:szCs w:val="20"/>
                <w:lang w:eastAsia="en-GB"/>
              </w:rPr>
            </w:pPr>
            <w:r w:rsidRPr="008408EE">
              <w:rPr>
                <w:rFonts w:ascii="Arial" w:eastAsia="Times New Roman" w:hAnsi="Arial" w:cs="Arial"/>
                <w:sz w:val="20"/>
                <w:szCs w:val="20"/>
                <w:lang w:eastAsia="en-GB"/>
              </w:rPr>
              <w:t> </w:t>
            </w:r>
          </w:p>
        </w:tc>
        <w:tc>
          <w:tcPr>
            <w:tcW w:w="1180" w:type="dxa"/>
            <w:tcBorders>
              <w:top w:val="nil"/>
              <w:left w:val="nil"/>
              <w:bottom w:val="single" w:sz="4" w:space="0" w:color="BFBFBF"/>
              <w:right w:val="nil"/>
            </w:tcBorders>
            <w:shd w:val="clear" w:color="auto" w:fill="CCECFF"/>
            <w:noWrap/>
            <w:vAlign w:val="bottom"/>
            <w:hideMark/>
          </w:tcPr>
          <w:p w14:paraId="1235E22E" w14:textId="77777777" w:rsidR="008408EE" w:rsidRPr="008408EE" w:rsidRDefault="008408EE" w:rsidP="008408EE">
            <w:pPr>
              <w:spacing w:after="0" w:line="240" w:lineRule="auto"/>
              <w:jc w:val="right"/>
              <w:rPr>
                <w:rFonts w:ascii="Arial" w:eastAsia="Times New Roman" w:hAnsi="Arial" w:cs="Arial"/>
                <w:b/>
                <w:bCs/>
                <w:sz w:val="15"/>
                <w:szCs w:val="15"/>
                <w:lang w:eastAsia="en-GB"/>
              </w:rPr>
            </w:pPr>
            <w:r w:rsidRPr="008408EE">
              <w:rPr>
                <w:rFonts w:ascii="Arial" w:eastAsia="Times New Roman" w:hAnsi="Arial" w:cs="Arial"/>
                <w:b/>
                <w:bCs/>
                <w:sz w:val="15"/>
                <w:szCs w:val="15"/>
                <w:lang w:eastAsia="en-GB"/>
              </w:rPr>
              <w:t>(101)</w:t>
            </w:r>
          </w:p>
        </w:tc>
        <w:tc>
          <w:tcPr>
            <w:tcW w:w="1180" w:type="dxa"/>
            <w:tcBorders>
              <w:top w:val="nil"/>
              <w:left w:val="nil"/>
              <w:bottom w:val="single" w:sz="4" w:space="0" w:color="BFBFBF"/>
              <w:right w:val="nil"/>
            </w:tcBorders>
            <w:shd w:val="clear" w:color="000000" w:fill="FFFFFF"/>
            <w:noWrap/>
            <w:vAlign w:val="bottom"/>
            <w:hideMark/>
          </w:tcPr>
          <w:p w14:paraId="3832AFCA"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(106)</w:t>
            </w:r>
          </w:p>
        </w:tc>
        <w:tc>
          <w:tcPr>
            <w:tcW w:w="1281" w:type="dxa"/>
            <w:tcBorders>
              <w:top w:val="nil"/>
              <w:left w:val="nil"/>
              <w:bottom w:val="single" w:sz="4" w:space="0" w:color="BFBFBF"/>
              <w:right w:val="nil"/>
            </w:tcBorders>
            <w:shd w:val="clear" w:color="000000" w:fill="FFFFFF"/>
            <w:noWrap/>
            <w:vAlign w:val="bottom"/>
            <w:hideMark/>
          </w:tcPr>
          <w:p w14:paraId="0B8EB140" w14:textId="77777777" w:rsidR="008408EE" w:rsidRPr="008408EE" w:rsidRDefault="008408EE" w:rsidP="008408EE">
            <w:pPr>
              <w:spacing w:after="0" w:line="240" w:lineRule="auto"/>
              <w:jc w:val="right"/>
              <w:rPr>
                <w:rFonts w:ascii="Arial" w:eastAsia="Times New Roman" w:hAnsi="Arial" w:cs="Arial"/>
                <w:sz w:val="15"/>
                <w:szCs w:val="15"/>
                <w:lang w:eastAsia="en-GB"/>
              </w:rPr>
            </w:pPr>
            <w:r w:rsidRPr="008408EE">
              <w:rPr>
                <w:rFonts w:ascii="Arial" w:eastAsia="Times New Roman" w:hAnsi="Arial" w:cs="Arial"/>
                <w:sz w:val="15"/>
                <w:szCs w:val="15"/>
                <w:lang w:eastAsia="en-GB"/>
              </w:rPr>
              <w:t>(203)</w:t>
            </w:r>
          </w:p>
        </w:tc>
        <w:tc>
          <w:tcPr>
            <w:tcW w:w="236" w:type="dxa"/>
            <w:vAlign w:val="center"/>
            <w:hideMark/>
          </w:tcPr>
          <w:p w14:paraId="7C32A80F" w14:textId="77777777" w:rsidR="008408EE" w:rsidRPr="008408EE" w:rsidRDefault="008408EE" w:rsidP="008408EE">
            <w:pPr>
              <w:spacing w:after="0" w:line="240" w:lineRule="auto"/>
              <w:rPr>
                <w:rFonts w:ascii="Times New Roman" w:eastAsia="Times New Roman" w:hAnsi="Times New Roman" w:cs="Times New Roman"/>
                <w:sz w:val="20"/>
                <w:szCs w:val="20"/>
                <w:lang w:eastAsia="en-GB"/>
              </w:rPr>
            </w:pPr>
          </w:p>
        </w:tc>
      </w:tr>
    </w:tbl>
    <w:p w14:paraId="3D42E90C" w14:textId="4AF34AF9" w:rsidR="002E2BB5" w:rsidRDefault="002E2BB5" w:rsidP="00BB64F8"/>
    <w:tbl>
      <w:tblPr>
        <w:tblW w:w="10301" w:type="dxa"/>
        <w:tblLook w:val="04A0" w:firstRow="1" w:lastRow="0" w:firstColumn="1" w:lastColumn="0" w:noHBand="0" w:noVBand="1"/>
      </w:tblPr>
      <w:tblGrid>
        <w:gridCol w:w="2694"/>
        <w:gridCol w:w="627"/>
        <w:gridCol w:w="658"/>
        <w:gridCol w:w="715"/>
        <w:gridCol w:w="712"/>
        <w:gridCol w:w="712"/>
        <w:gridCol w:w="1166"/>
        <w:gridCol w:w="1180"/>
        <w:gridCol w:w="1601"/>
        <w:gridCol w:w="236"/>
      </w:tblGrid>
      <w:tr w:rsidR="002E2BB5" w:rsidRPr="002E2BB5" w14:paraId="6BC26EEF" w14:textId="77777777" w:rsidTr="00DE7814">
        <w:trPr>
          <w:gridAfter w:val="1"/>
          <w:wAfter w:w="236" w:type="dxa"/>
          <w:trHeight w:val="432"/>
        </w:trPr>
        <w:tc>
          <w:tcPr>
            <w:tcW w:w="2694" w:type="dxa"/>
            <w:tcBorders>
              <w:top w:val="nil"/>
              <w:left w:val="nil"/>
              <w:bottom w:val="nil"/>
              <w:right w:val="nil"/>
            </w:tcBorders>
            <w:shd w:val="clear" w:color="000000" w:fill="FFFFFF"/>
            <w:noWrap/>
            <w:vAlign w:val="center"/>
            <w:hideMark/>
          </w:tcPr>
          <w:p w14:paraId="491490CD" w14:textId="77777777" w:rsidR="002E2BB5" w:rsidRPr="002E2BB5" w:rsidRDefault="002E2BB5" w:rsidP="002E2BB5">
            <w:pPr>
              <w:spacing w:after="0" w:line="240" w:lineRule="auto"/>
              <w:rPr>
                <w:rFonts w:ascii="Arial" w:eastAsia="Times New Roman" w:hAnsi="Arial" w:cs="Arial"/>
                <w:b/>
                <w:bCs/>
                <w:sz w:val="18"/>
                <w:szCs w:val="18"/>
                <w:lang w:eastAsia="en-GB"/>
              </w:rPr>
            </w:pPr>
            <w:r w:rsidRPr="002E2BB5">
              <w:rPr>
                <w:rFonts w:ascii="Arial" w:eastAsia="Times New Roman" w:hAnsi="Arial" w:cs="Arial"/>
                <w:b/>
                <w:bCs/>
                <w:sz w:val="18"/>
                <w:szCs w:val="18"/>
                <w:lang w:eastAsia="en-GB"/>
              </w:rPr>
              <w:t>5    Taxation</w:t>
            </w:r>
          </w:p>
        </w:tc>
        <w:tc>
          <w:tcPr>
            <w:tcW w:w="627" w:type="dxa"/>
            <w:tcBorders>
              <w:top w:val="nil"/>
              <w:left w:val="nil"/>
              <w:bottom w:val="nil"/>
              <w:right w:val="nil"/>
            </w:tcBorders>
            <w:shd w:val="clear" w:color="000000" w:fill="FFFFFF"/>
            <w:noWrap/>
            <w:vAlign w:val="center"/>
            <w:hideMark/>
          </w:tcPr>
          <w:p w14:paraId="3503D833" w14:textId="77777777" w:rsidR="002E2BB5" w:rsidRPr="002E2BB5" w:rsidRDefault="002E2BB5" w:rsidP="002E2BB5">
            <w:pPr>
              <w:spacing w:after="0" w:line="240" w:lineRule="auto"/>
              <w:rPr>
                <w:rFonts w:ascii="Arial" w:eastAsia="Times New Roman" w:hAnsi="Arial" w:cs="Arial"/>
                <w:sz w:val="20"/>
                <w:szCs w:val="20"/>
                <w:lang w:eastAsia="en-GB"/>
              </w:rPr>
            </w:pPr>
            <w:r w:rsidRPr="002E2BB5">
              <w:rPr>
                <w:rFonts w:ascii="Arial" w:eastAsia="Times New Roman" w:hAnsi="Arial" w:cs="Arial"/>
                <w:sz w:val="20"/>
                <w:szCs w:val="20"/>
                <w:lang w:eastAsia="en-GB"/>
              </w:rPr>
              <w:t> </w:t>
            </w:r>
          </w:p>
        </w:tc>
        <w:tc>
          <w:tcPr>
            <w:tcW w:w="3963" w:type="dxa"/>
            <w:gridSpan w:val="5"/>
            <w:tcBorders>
              <w:top w:val="nil"/>
              <w:left w:val="nil"/>
              <w:bottom w:val="nil"/>
              <w:right w:val="nil"/>
            </w:tcBorders>
            <w:shd w:val="clear" w:color="000000" w:fill="FFFFFF"/>
            <w:vAlign w:val="center"/>
            <w:hideMark/>
          </w:tcPr>
          <w:p w14:paraId="6F89DA31" w14:textId="77777777" w:rsidR="002E2BB5" w:rsidRPr="002E2BB5" w:rsidRDefault="002E2BB5" w:rsidP="002E2BB5">
            <w:pPr>
              <w:spacing w:after="0" w:line="240" w:lineRule="auto"/>
              <w:jc w:val="center"/>
              <w:rPr>
                <w:rFonts w:ascii="Arial" w:eastAsia="Times New Roman" w:hAnsi="Arial" w:cs="Arial"/>
                <w:b/>
                <w:bCs/>
                <w:color w:val="FF0000"/>
                <w:sz w:val="15"/>
                <w:szCs w:val="15"/>
                <w:lang w:eastAsia="en-GB"/>
              </w:rPr>
            </w:pPr>
            <w:r w:rsidRPr="002E2BB5">
              <w:rPr>
                <w:rFonts w:ascii="Arial" w:eastAsia="Times New Roman" w:hAnsi="Arial" w:cs="Arial"/>
                <w:b/>
                <w:bCs/>
                <w:color w:val="FF0000"/>
                <w:sz w:val="15"/>
                <w:szCs w:val="15"/>
                <w:lang w:eastAsia="en-GB"/>
              </w:rPr>
              <w:t> </w:t>
            </w:r>
          </w:p>
        </w:tc>
        <w:tc>
          <w:tcPr>
            <w:tcW w:w="1180" w:type="dxa"/>
            <w:tcBorders>
              <w:top w:val="nil"/>
              <w:left w:val="nil"/>
              <w:bottom w:val="nil"/>
              <w:right w:val="nil"/>
            </w:tcBorders>
            <w:shd w:val="clear" w:color="000000" w:fill="FFFFFF"/>
            <w:noWrap/>
            <w:vAlign w:val="center"/>
            <w:hideMark/>
          </w:tcPr>
          <w:p w14:paraId="16847673" w14:textId="77777777" w:rsidR="002E2BB5" w:rsidRPr="002E2BB5" w:rsidRDefault="002E2BB5" w:rsidP="002E2BB5">
            <w:pPr>
              <w:spacing w:after="0" w:line="240" w:lineRule="auto"/>
              <w:jc w:val="right"/>
              <w:rPr>
                <w:rFonts w:ascii="Arial" w:eastAsia="Times New Roman" w:hAnsi="Arial" w:cs="Arial"/>
                <w:sz w:val="20"/>
                <w:szCs w:val="20"/>
                <w:lang w:eastAsia="en-GB"/>
              </w:rPr>
            </w:pPr>
            <w:r w:rsidRPr="002E2BB5">
              <w:rPr>
                <w:rFonts w:ascii="Arial" w:eastAsia="Times New Roman" w:hAnsi="Arial" w:cs="Arial"/>
                <w:sz w:val="20"/>
                <w:szCs w:val="20"/>
                <w:lang w:eastAsia="en-GB"/>
              </w:rPr>
              <w:t> </w:t>
            </w:r>
          </w:p>
        </w:tc>
        <w:tc>
          <w:tcPr>
            <w:tcW w:w="1601" w:type="dxa"/>
            <w:tcBorders>
              <w:top w:val="nil"/>
              <w:left w:val="nil"/>
              <w:bottom w:val="nil"/>
              <w:right w:val="nil"/>
            </w:tcBorders>
            <w:shd w:val="clear" w:color="000000" w:fill="FFFFFF"/>
            <w:noWrap/>
            <w:vAlign w:val="center"/>
            <w:hideMark/>
          </w:tcPr>
          <w:p w14:paraId="72C0DBF0" w14:textId="77777777" w:rsidR="002E2BB5" w:rsidRPr="002E2BB5" w:rsidRDefault="002E2BB5" w:rsidP="002E2BB5">
            <w:pPr>
              <w:spacing w:after="0" w:line="240" w:lineRule="auto"/>
              <w:rPr>
                <w:rFonts w:ascii="Arial" w:eastAsia="Times New Roman" w:hAnsi="Arial" w:cs="Arial"/>
                <w:sz w:val="20"/>
                <w:szCs w:val="20"/>
                <w:lang w:eastAsia="en-GB"/>
              </w:rPr>
            </w:pPr>
            <w:r w:rsidRPr="002E2BB5">
              <w:rPr>
                <w:rFonts w:ascii="Arial" w:eastAsia="Times New Roman" w:hAnsi="Arial" w:cs="Arial"/>
                <w:sz w:val="20"/>
                <w:szCs w:val="20"/>
                <w:lang w:eastAsia="en-GB"/>
              </w:rPr>
              <w:t> </w:t>
            </w:r>
          </w:p>
        </w:tc>
      </w:tr>
      <w:tr w:rsidR="002E2BB5" w:rsidRPr="002E2BB5" w14:paraId="73522D6D" w14:textId="77777777" w:rsidTr="00962207">
        <w:trPr>
          <w:gridAfter w:val="1"/>
          <w:wAfter w:w="236" w:type="dxa"/>
          <w:trHeight w:val="450"/>
        </w:trPr>
        <w:tc>
          <w:tcPr>
            <w:tcW w:w="10065" w:type="dxa"/>
            <w:gridSpan w:val="9"/>
            <w:vMerge w:val="restart"/>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1D26C4A2" w14:textId="77777777" w:rsidR="002E2BB5" w:rsidRPr="002E2BB5" w:rsidRDefault="002E2BB5" w:rsidP="002E2BB5">
            <w:pPr>
              <w:spacing w:after="0" w:line="240" w:lineRule="auto"/>
              <w:rPr>
                <w:rFonts w:ascii="Arial" w:eastAsia="Times New Roman" w:hAnsi="Arial" w:cs="Arial"/>
                <w:sz w:val="18"/>
                <w:szCs w:val="18"/>
                <w:lang w:eastAsia="en-GB"/>
              </w:rPr>
            </w:pPr>
            <w:r w:rsidRPr="002E2BB5">
              <w:rPr>
                <w:rFonts w:ascii="Arial" w:eastAsia="Times New Roman" w:hAnsi="Arial" w:cs="Arial"/>
                <w:b/>
                <w:bCs/>
                <w:sz w:val="18"/>
                <w:szCs w:val="18"/>
                <w:lang w:eastAsia="en-GB"/>
              </w:rPr>
              <w:t>What does this show?</w:t>
            </w:r>
            <w:r w:rsidRPr="002E2BB5">
              <w:rPr>
                <w:rFonts w:ascii="Arial" w:eastAsia="Times New Roman" w:hAnsi="Arial" w:cs="Arial"/>
                <w:sz w:val="18"/>
                <w:szCs w:val="18"/>
                <w:lang w:eastAsia="en-GB"/>
              </w:rPr>
              <w:t xml:space="preserve"> This note shows the tax charge recognised at half year. This is calculated in four parts based on (</w:t>
            </w:r>
            <w:proofErr w:type="spellStart"/>
            <w:r w:rsidRPr="002E2BB5">
              <w:rPr>
                <w:rFonts w:ascii="Arial" w:eastAsia="Times New Roman" w:hAnsi="Arial" w:cs="Arial"/>
                <w:sz w:val="18"/>
                <w:szCs w:val="18"/>
                <w:lang w:eastAsia="en-GB"/>
              </w:rPr>
              <w:t>i</w:t>
            </w:r>
            <w:proofErr w:type="spellEnd"/>
            <w:r w:rsidRPr="002E2BB5">
              <w:rPr>
                <w:rFonts w:ascii="Arial" w:eastAsia="Times New Roman" w:hAnsi="Arial" w:cs="Arial"/>
                <w:sz w:val="18"/>
                <w:szCs w:val="18"/>
                <w:lang w:eastAsia="en-GB"/>
              </w:rPr>
              <w:t>) the forecast effective tax rate for the full year applied to our underlying half year trading results (excluding the tax impact of any material transactions) (ii) material transactions reflected in the half year results (iii) recognition of the full impact of enquiries concluded by HMRC in the first half of the year and (iv) an adjustment in respect of revised estimates used to calculate the timing of when deferred tax charges arise.</w:t>
            </w:r>
          </w:p>
        </w:tc>
      </w:tr>
      <w:tr w:rsidR="002E2BB5" w:rsidRPr="002E2BB5" w14:paraId="42A7C08D" w14:textId="77777777" w:rsidTr="00962207">
        <w:trPr>
          <w:trHeight w:val="919"/>
        </w:trPr>
        <w:tc>
          <w:tcPr>
            <w:tcW w:w="10065" w:type="dxa"/>
            <w:gridSpan w:val="9"/>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32A59FBE" w14:textId="77777777" w:rsidR="002E2BB5" w:rsidRPr="002E2BB5" w:rsidRDefault="002E2BB5" w:rsidP="002E2BB5">
            <w:pPr>
              <w:spacing w:after="0" w:line="240" w:lineRule="auto"/>
              <w:rPr>
                <w:rFonts w:ascii="Arial" w:eastAsia="Times New Roman" w:hAnsi="Arial" w:cs="Arial"/>
                <w:sz w:val="18"/>
                <w:szCs w:val="18"/>
                <w:lang w:eastAsia="en-GB"/>
              </w:rPr>
            </w:pPr>
          </w:p>
        </w:tc>
        <w:tc>
          <w:tcPr>
            <w:tcW w:w="236" w:type="dxa"/>
            <w:tcBorders>
              <w:top w:val="nil"/>
              <w:left w:val="nil"/>
              <w:bottom w:val="nil"/>
              <w:right w:val="nil"/>
            </w:tcBorders>
            <w:shd w:val="clear" w:color="auto" w:fill="auto"/>
            <w:noWrap/>
            <w:vAlign w:val="bottom"/>
            <w:hideMark/>
          </w:tcPr>
          <w:p w14:paraId="16EDFA4B" w14:textId="77777777" w:rsidR="002E2BB5" w:rsidRPr="002E2BB5" w:rsidRDefault="002E2BB5" w:rsidP="002E2BB5">
            <w:pPr>
              <w:spacing w:after="0" w:line="240" w:lineRule="auto"/>
              <w:rPr>
                <w:rFonts w:ascii="Arial" w:eastAsia="Times New Roman" w:hAnsi="Arial" w:cs="Arial"/>
                <w:sz w:val="18"/>
                <w:szCs w:val="18"/>
                <w:lang w:eastAsia="en-GB"/>
              </w:rPr>
            </w:pPr>
          </w:p>
        </w:tc>
      </w:tr>
      <w:tr w:rsidR="002E2BB5" w:rsidRPr="002E2BB5" w14:paraId="74AF19F6" w14:textId="77777777" w:rsidTr="00DE7814">
        <w:trPr>
          <w:trHeight w:val="203"/>
        </w:trPr>
        <w:tc>
          <w:tcPr>
            <w:tcW w:w="2694" w:type="dxa"/>
            <w:tcBorders>
              <w:top w:val="nil"/>
              <w:left w:val="nil"/>
              <w:bottom w:val="nil"/>
              <w:right w:val="nil"/>
            </w:tcBorders>
            <w:shd w:val="clear" w:color="000000" w:fill="FFFFFF"/>
            <w:vAlign w:val="center"/>
            <w:hideMark/>
          </w:tcPr>
          <w:p w14:paraId="3892A8A1" w14:textId="77777777" w:rsidR="002E2BB5" w:rsidRPr="002E2BB5" w:rsidRDefault="002E2BB5" w:rsidP="002E2BB5">
            <w:pPr>
              <w:spacing w:after="0" w:line="240" w:lineRule="auto"/>
              <w:rPr>
                <w:rFonts w:ascii="Arial" w:eastAsia="Times New Roman" w:hAnsi="Arial" w:cs="Arial"/>
                <w:sz w:val="18"/>
                <w:szCs w:val="18"/>
                <w:lang w:eastAsia="en-GB"/>
              </w:rPr>
            </w:pPr>
            <w:r w:rsidRPr="002E2BB5">
              <w:rPr>
                <w:rFonts w:ascii="Arial" w:eastAsia="Times New Roman" w:hAnsi="Arial" w:cs="Arial"/>
                <w:sz w:val="18"/>
                <w:szCs w:val="18"/>
                <w:lang w:eastAsia="en-GB"/>
              </w:rPr>
              <w:t> </w:t>
            </w:r>
          </w:p>
        </w:tc>
        <w:tc>
          <w:tcPr>
            <w:tcW w:w="627" w:type="dxa"/>
            <w:tcBorders>
              <w:top w:val="nil"/>
              <w:left w:val="nil"/>
              <w:bottom w:val="nil"/>
              <w:right w:val="nil"/>
            </w:tcBorders>
            <w:shd w:val="clear" w:color="000000" w:fill="FFFFFF"/>
            <w:vAlign w:val="center"/>
            <w:hideMark/>
          </w:tcPr>
          <w:p w14:paraId="6D5C064C" w14:textId="77777777" w:rsidR="002E2BB5" w:rsidRPr="002E2BB5" w:rsidRDefault="002E2BB5" w:rsidP="002E2BB5">
            <w:pPr>
              <w:spacing w:after="0" w:line="240" w:lineRule="auto"/>
              <w:rPr>
                <w:rFonts w:ascii="Arial" w:eastAsia="Times New Roman" w:hAnsi="Arial" w:cs="Arial"/>
                <w:sz w:val="18"/>
                <w:szCs w:val="18"/>
                <w:lang w:eastAsia="en-GB"/>
              </w:rPr>
            </w:pPr>
            <w:r w:rsidRPr="002E2BB5">
              <w:rPr>
                <w:rFonts w:ascii="Arial" w:eastAsia="Times New Roman" w:hAnsi="Arial" w:cs="Arial"/>
                <w:sz w:val="18"/>
                <w:szCs w:val="18"/>
                <w:lang w:eastAsia="en-GB"/>
              </w:rPr>
              <w:t> </w:t>
            </w:r>
          </w:p>
        </w:tc>
        <w:tc>
          <w:tcPr>
            <w:tcW w:w="658" w:type="dxa"/>
            <w:tcBorders>
              <w:top w:val="nil"/>
              <w:left w:val="nil"/>
              <w:bottom w:val="nil"/>
              <w:right w:val="nil"/>
            </w:tcBorders>
            <w:shd w:val="clear" w:color="000000" w:fill="FFFFFF"/>
            <w:vAlign w:val="center"/>
            <w:hideMark/>
          </w:tcPr>
          <w:p w14:paraId="7E6A7B54" w14:textId="77777777" w:rsidR="002E2BB5" w:rsidRPr="002E2BB5" w:rsidRDefault="002E2BB5" w:rsidP="002E2BB5">
            <w:pPr>
              <w:spacing w:after="0" w:line="240" w:lineRule="auto"/>
              <w:rPr>
                <w:rFonts w:ascii="Arial" w:eastAsia="Times New Roman" w:hAnsi="Arial" w:cs="Arial"/>
                <w:sz w:val="18"/>
                <w:szCs w:val="18"/>
                <w:lang w:eastAsia="en-GB"/>
              </w:rPr>
            </w:pPr>
            <w:r w:rsidRPr="002E2BB5">
              <w:rPr>
                <w:rFonts w:ascii="Arial" w:eastAsia="Times New Roman" w:hAnsi="Arial" w:cs="Arial"/>
                <w:sz w:val="18"/>
                <w:szCs w:val="18"/>
                <w:lang w:eastAsia="en-GB"/>
              </w:rPr>
              <w:t> </w:t>
            </w:r>
          </w:p>
        </w:tc>
        <w:tc>
          <w:tcPr>
            <w:tcW w:w="715" w:type="dxa"/>
            <w:tcBorders>
              <w:top w:val="nil"/>
              <w:left w:val="nil"/>
              <w:bottom w:val="nil"/>
              <w:right w:val="nil"/>
            </w:tcBorders>
            <w:shd w:val="clear" w:color="000000" w:fill="FFFFFF"/>
            <w:vAlign w:val="center"/>
            <w:hideMark/>
          </w:tcPr>
          <w:p w14:paraId="560A511B" w14:textId="77777777" w:rsidR="002E2BB5" w:rsidRPr="002E2BB5" w:rsidRDefault="002E2BB5" w:rsidP="002E2BB5">
            <w:pPr>
              <w:spacing w:after="0" w:line="240" w:lineRule="auto"/>
              <w:rPr>
                <w:rFonts w:ascii="Arial" w:eastAsia="Times New Roman" w:hAnsi="Arial" w:cs="Arial"/>
                <w:sz w:val="18"/>
                <w:szCs w:val="18"/>
                <w:lang w:eastAsia="en-GB"/>
              </w:rPr>
            </w:pPr>
            <w:r w:rsidRPr="002E2BB5">
              <w:rPr>
                <w:rFonts w:ascii="Arial" w:eastAsia="Times New Roman" w:hAnsi="Arial" w:cs="Arial"/>
                <w:sz w:val="18"/>
                <w:szCs w:val="18"/>
                <w:lang w:eastAsia="en-GB"/>
              </w:rPr>
              <w:t> </w:t>
            </w:r>
          </w:p>
        </w:tc>
        <w:tc>
          <w:tcPr>
            <w:tcW w:w="712" w:type="dxa"/>
            <w:tcBorders>
              <w:top w:val="nil"/>
              <w:left w:val="nil"/>
              <w:bottom w:val="nil"/>
              <w:right w:val="nil"/>
            </w:tcBorders>
            <w:shd w:val="clear" w:color="000000" w:fill="FFFFFF"/>
            <w:vAlign w:val="center"/>
            <w:hideMark/>
          </w:tcPr>
          <w:p w14:paraId="64D661EE" w14:textId="77777777" w:rsidR="002E2BB5" w:rsidRPr="002E2BB5" w:rsidRDefault="002E2BB5" w:rsidP="002E2BB5">
            <w:pPr>
              <w:spacing w:after="0" w:line="240" w:lineRule="auto"/>
              <w:rPr>
                <w:rFonts w:ascii="Arial" w:eastAsia="Times New Roman" w:hAnsi="Arial" w:cs="Arial"/>
                <w:sz w:val="18"/>
                <w:szCs w:val="18"/>
                <w:lang w:eastAsia="en-GB"/>
              </w:rPr>
            </w:pPr>
            <w:r w:rsidRPr="002E2BB5">
              <w:rPr>
                <w:rFonts w:ascii="Arial" w:eastAsia="Times New Roman" w:hAnsi="Arial" w:cs="Arial"/>
                <w:sz w:val="18"/>
                <w:szCs w:val="18"/>
                <w:lang w:eastAsia="en-GB"/>
              </w:rPr>
              <w:t> </w:t>
            </w:r>
          </w:p>
        </w:tc>
        <w:tc>
          <w:tcPr>
            <w:tcW w:w="712" w:type="dxa"/>
            <w:tcBorders>
              <w:top w:val="nil"/>
              <w:left w:val="nil"/>
              <w:bottom w:val="nil"/>
              <w:right w:val="nil"/>
            </w:tcBorders>
            <w:shd w:val="clear" w:color="000000" w:fill="FFFFFF"/>
            <w:vAlign w:val="center"/>
            <w:hideMark/>
          </w:tcPr>
          <w:p w14:paraId="0F77E199" w14:textId="77777777" w:rsidR="002E2BB5" w:rsidRPr="002E2BB5" w:rsidRDefault="002E2BB5" w:rsidP="002E2BB5">
            <w:pPr>
              <w:spacing w:after="0" w:line="240" w:lineRule="auto"/>
              <w:rPr>
                <w:rFonts w:ascii="Arial" w:eastAsia="Times New Roman" w:hAnsi="Arial" w:cs="Arial"/>
                <w:sz w:val="18"/>
                <w:szCs w:val="18"/>
                <w:lang w:eastAsia="en-GB"/>
              </w:rPr>
            </w:pPr>
            <w:r w:rsidRPr="002E2BB5">
              <w:rPr>
                <w:rFonts w:ascii="Arial" w:eastAsia="Times New Roman" w:hAnsi="Arial" w:cs="Arial"/>
                <w:sz w:val="18"/>
                <w:szCs w:val="18"/>
                <w:lang w:eastAsia="en-GB"/>
              </w:rPr>
              <w:t> </w:t>
            </w:r>
          </w:p>
        </w:tc>
        <w:tc>
          <w:tcPr>
            <w:tcW w:w="1166" w:type="dxa"/>
            <w:tcBorders>
              <w:top w:val="nil"/>
              <w:left w:val="nil"/>
              <w:bottom w:val="nil"/>
              <w:right w:val="nil"/>
            </w:tcBorders>
            <w:shd w:val="clear" w:color="000000" w:fill="FFFFFF"/>
            <w:vAlign w:val="center"/>
            <w:hideMark/>
          </w:tcPr>
          <w:p w14:paraId="051660E9" w14:textId="77777777" w:rsidR="002E2BB5" w:rsidRPr="002E2BB5" w:rsidRDefault="002E2BB5" w:rsidP="002E2BB5">
            <w:pPr>
              <w:spacing w:after="0" w:line="240" w:lineRule="auto"/>
              <w:rPr>
                <w:rFonts w:ascii="Arial" w:eastAsia="Times New Roman" w:hAnsi="Arial" w:cs="Arial"/>
                <w:sz w:val="18"/>
                <w:szCs w:val="18"/>
                <w:lang w:eastAsia="en-GB"/>
              </w:rPr>
            </w:pPr>
            <w:r w:rsidRPr="002E2BB5">
              <w:rPr>
                <w:rFonts w:ascii="Arial" w:eastAsia="Times New Roman" w:hAnsi="Arial" w:cs="Arial"/>
                <w:sz w:val="18"/>
                <w:szCs w:val="18"/>
                <w:lang w:eastAsia="en-GB"/>
              </w:rPr>
              <w:t> </w:t>
            </w:r>
          </w:p>
        </w:tc>
        <w:tc>
          <w:tcPr>
            <w:tcW w:w="1180" w:type="dxa"/>
            <w:tcBorders>
              <w:top w:val="nil"/>
              <w:left w:val="nil"/>
              <w:bottom w:val="nil"/>
              <w:right w:val="nil"/>
            </w:tcBorders>
            <w:shd w:val="clear" w:color="000000" w:fill="FFFFFF"/>
            <w:vAlign w:val="center"/>
            <w:hideMark/>
          </w:tcPr>
          <w:p w14:paraId="46907235" w14:textId="77777777" w:rsidR="002E2BB5" w:rsidRPr="002E2BB5" w:rsidRDefault="002E2BB5" w:rsidP="002E2BB5">
            <w:pPr>
              <w:spacing w:after="0" w:line="240" w:lineRule="auto"/>
              <w:rPr>
                <w:rFonts w:ascii="Arial" w:eastAsia="Times New Roman" w:hAnsi="Arial" w:cs="Arial"/>
                <w:sz w:val="18"/>
                <w:szCs w:val="18"/>
                <w:lang w:eastAsia="en-GB"/>
              </w:rPr>
            </w:pPr>
            <w:r w:rsidRPr="002E2BB5">
              <w:rPr>
                <w:rFonts w:ascii="Arial" w:eastAsia="Times New Roman" w:hAnsi="Arial" w:cs="Arial"/>
                <w:sz w:val="18"/>
                <w:szCs w:val="18"/>
                <w:lang w:eastAsia="en-GB"/>
              </w:rPr>
              <w:t> </w:t>
            </w:r>
          </w:p>
        </w:tc>
        <w:tc>
          <w:tcPr>
            <w:tcW w:w="1601" w:type="dxa"/>
            <w:tcBorders>
              <w:top w:val="nil"/>
              <w:left w:val="nil"/>
              <w:bottom w:val="nil"/>
              <w:right w:val="nil"/>
            </w:tcBorders>
            <w:shd w:val="clear" w:color="000000" w:fill="FFFFFF"/>
            <w:vAlign w:val="center"/>
            <w:hideMark/>
          </w:tcPr>
          <w:p w14:paraId="2E7A317F" w14:textId="77777777" w:rsidR="002E2BB5" w:rsidRPr="002E2BB5" w:rsidRDefault="002E2BB5" w:rsidP="002E2BB5">
            <w:pPr>
              <w:spacing w:after="0" w:line="240" w:lineRule="auto"/>
              <w:rPr>
                <w:rFonts w:ascii="Arial" w:eastAsia="Times New Roman" w:hAnsi="Arial" w:cs="Arial"/>
                <w:sz w:val="18"/>
                <w:szCs w:val="18"/>
                <w:lang w:eastAsia="en-GB"/>
              </w:rPr>
            </w:pPr>
            <w:r w:rsidRPr="002E2BB5">
              <w:rPr>
                <w:rFonts w:ascii="Arial" w:eastAsia="Times New Roman" w:hAnsi="Arial" w:cs="Arial"/>
                <w:sz w:val="18"/>
                <w:szCs w:val="18"/>
                <w:lang w:eastAsia="en-GB"/>
              </w:rPr>
              <w:t> </w:t>
            </w:r>
          </w:p>
        </w:tc>
        <w:tc>
          <w:tcPr>
            <w:tcW w:w="236" w:type="dxa"/>
            <w:vAlign w:val="center"/>
            <w:hideMark/>
          </w:tcPr>
          <w:p w14:paraId="20C9B19A"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2E2BB5" w:rsidRPr="002E2BB5" w14:paraId="3EA030CA" w14:textId="77777777" w:rsidTr="00962207">
        <w:trPr>
          <w:trHeight w:val="1129"/>
        </w:trPr>
        <w:tc>
          <w:tcPr>
            <w:tcW w:w="10065" w:type="dxa"/>
            <w:gridSpan w:val="9"/>
            <w:tcBorders>
              <w:top w:val="nil"/>
              <w:left w:val="nil"/>
              <w:bottom w:val="nil"/>
              <w:right w:val="nil"/>
            </w:tcBorders>
            <w:shd w:val="clear" w:color="000000" w:fill="FFFFFF"/>
            <w:vAlign w:val="center"/>
            <w:hideMark/>
          </w:tcPr>
          <w:p w14:paraId="7C83FB55"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The Group does not expect to be tax-paying in respect of its half year results due to the availability of brought forward tax losses and allowances. The tax charge therefore relates to forecast use or movements of deferred tax assets or liabilities.</w:t>
            </w:r>
            <w:r w:rsidRPr="002E2BB5">
              <w:rPr>
                <w:rFonts w:ascii="Arial" w:eastAsia="Times New Roman" w:hAnsi="Arial" w:cs="Arial"/>
                <w:sz w:val="15"/>
                <w:szCs w:val="15"/>
                <w:lang w:eastAsia="en-GB"/>
              </w:rPr>
              <w:br/>
            </w:r>
            <w:r w:rsidRPr="002E2BB5">
              <w:rPr>
                <w:rFonts w:ascii="Arial" w:eastAsia="Times New Roman" w:hAnsi="Arial" w:cs="Arial"/>
                <w:sz w:val="15"/>
                <w:szCs w:val="15"/>
                <w:lang w:eastAsia="en-GB"/>
              </w:rPr>
              <w:br/>
              <w:t>The tax charge in respect of continuing operations of £19m (26 weeks ended 3 July 2021: charge of £7m; and 52 weeks ended 1 January 2022: charge of £25m) and effective tax rate of 276% (26 weeks ended 3 July 2021: 16%; and 52 weeks ended 1 January 2022: 45%) relates to:</w:t>
            </w:r>
          </w:p>
        </w:tc>
        <w:tc>
          <w:tcPr>
            <w:tcW w:w="236" w:type="dxa"/>
            <w:vAlign w:val="center"/>
            <w:hideMark/>
          </w:tcPr>
          <w:p w14:paraId="6E4DED94"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2E2BB5" w:rsidRPr="002E2BB5" w14:paraId="03320C52" w14:textId="77777777" w:rsidTr="00962207">
        <w:trPr>
          <w:trHeight w:val="600"/>
        </w:trPr>
        <w:tc>
          <w:tcPr>
            <w:tcW w:w="10065" w:type="dxa"/>
            <w:gridSpan w:val="9"/>
            <w:tcBorders>
              <w:top w:val="nil"/>
              <w:left w:val="nil"/>
              <w:bottom w:val="nil"/>
              <w:right w:val="nil"/>
            </w:tcBorders>
            <w:shd w:val="clear" w:color="000000" w:fill="FFFFFF"/>
            <w:vAlign w:val="center"/>
            <w:hideMark/>
          </w:tcPr>
          <w:p w14:paraId="227C9020"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1.    A review of the effective tax rate for the full year has been applied to the underlying trading results (excluding recurring net pension credits taken to the income statement) - this results in a tax charge of £2m.</w:t>
            </w:r>
          </w:p>
        </w:tc>
        <w:tc>
          <w:tcPr>
            <w:tcW w:w="236" w:type="dxa"/>
            <w:vAlign w:val="center"/>
            <w:hideMark/>
          </w:tcPr>
          <w:p w14:paraId="1FB1CDD4"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2E2BB5" w:rsidRPr="002E2BB5" w14:paraId="7A63A2A7" w14:textId="77777777" w:rsidTr="00962207">
        <w:trPr>
          <w:trHeight w:val="840"/>
        </w:trPr>
        <w:tc>
          <w:tcPr>
            <w:tcW w:w="10065" w:type="dxa"/>
            <w:gridSpan w:val="9"/>
            <w:tcBorders>
              <w:top w:val="nil"/>
              <w:left w:val="nil"/>
              <w:bottom w:val="nil"/>
              <w:right w:val="nil"/>
            </w:tcBorders>
            <w:shd w:val="clear" w:color="000000" w:fill="FFFFFF"/>
            <w:vAlign w:val="center"/>
            <w:hideMark/>
          </w:tcPr>
          <w:p w14:paraId="320F5226" w14:textId="75E2EE6A"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xml:space="preserve">2.    A review of material transactions reflected in the </w:t>
            </w:r>
            <w:proofErr w:type="gramStart"/>
            <w:r w:rsidRPr="002E2BB5">
              <w:rPr>
                <w:rFonts w:ascii="Arial" w:eastAsia="Times New Roman" w:hAnsi="Arial" w:cs="Arial"/>
                <w:sz w:val="15"/>
                <w:szCs w:val="15"/>
                <w:lang w:eastAsia="en-GB"/>
              </w:rPr>
              <w:t>26 week</w:t>
            </w:r>
            <w:proofErr w:type="gramEnd"/>
            <w:r w:rsidRPr="002E2BB5">
              <w:rPr>
                <w:rFonts w:ascii="Arial" w:eastAsia="Times New Roman" w:hAnsi="Arial" w:cs="Arial"/>
                <w:sz w:val="15"/>
                <w:szCs w:val="15"/>
                <w:lang w:eastAsia="en-GB"/>
              </w:rPr>
              <w:t xml:space="preserve"> period ended 2 July 2022 gave rise to a net tax charge of £14m. The tax impact of these material transactions mainly </w:t>
            </w:r>
            <w:proofErr w:type="gramStart"/>
            <w:r w:rsidRPr="002E2BB5">
              <w:rPr>
                <w:rFonts w:ascii="Arial" w:eastAsia="Times New Roman" w:hAnsi="Arial" w:cs="Arial"/>
                <w:sz w:val="15"/>
                <w:szCs w:val="15"/>
                <w:lang w:eastAsia="en-GB"/>
              </w:rPr>
              <w:t>relate</w:t>
            </w:r>
            <w:proofErr w:type="gramEnd"/>
            <w:r w:rsidRPr="002E2BB5">
              <w:rPr>
                <w:rFonts w:ascii="Arial" w:eastAsia="Times New Roman" w:hAnsi="Arial" w:cs="Arial"/>
                <w:sz w:val="15"/>
                <w:szCs w:val="15"/>
                <w:lang w:eastAsia="en-GB"/>
              </w:rPr>
              <w:t xml:space="preserve"> to losses on property disposals (tax credit of £5m) </w:t>
            </w:r>
            <w:r w:rsidR="00A75277" w:rsidRPr="002E2BB5">
              <w:rPr>
                <w:rFonts w:ascii="Arial" w:eastAsia="Times New Roman" w:hAnsi="Arial" w:cs="Arial"/>
                <w:sz w:val="15"/>
                <w:szCs w:val="15"/>
                <w:lang w:eastAsia="en-GB"/>
              </w:rPr>
              <w:t>offsetting</w:t>
            </w:r>
            <w:r w:rsidRPr="002E2BB5">
              <w:rPr>
                <w:rFonts w:ascii="Arial" w:eastAsia="Times New Roman" w:hAnsi="Arial" w:cs="Arial"/>
                <w:sz w:val="15"/>
                <w:szCs w:val="15"/>
                <w:lang w:eastAsia="en-GB"/>
              </w:rPr>
              <w:t xml:space="preserve"> fair value movements (tax charge of £10m), net pension credits (tax charge £4m) and net funeral plan finance income (tax charge of £4m). See Note 1 for more detail of non-underlying profit movements. </w:t>
            </w:r>
          </w:p>
        </w:tc>
        <w:tc>
          <w:tcPr>
            <w:tcW w:w="236" w:type="dxa"/>
            <w:vAlign w:val="center"/>
            <w:hideMark/>
          </w:tcPr>
          <w:p w14:paraId="10CF43AB"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2E2BB5" w:rsidRPr="002E2BB5" w14:paraId="01E8E319" w14:textId="77777777" w:rsidTr="00962207">
        <w:trPr>
          <w:trHeight w:val="600"/>
        </w:trPr>
        <w:tc>
          <w:tcPr>
            <w:tcW w:w="10065" w:type="dxa"/>
            <w:gridSpan w:val="9"/>
            <w:tcBorders>
              <w:top w:val="nil"/>
              <w:left w:val="nil"/>
              <w:bottom w:val="nil"/>
              <w:right w:val="nil"/>
            </w:tcBorders>
            <w:shd w:val="clear" w:color="000000" w:fill="FFFFFF"/>
            <w:vAlign w:val="center"/>
            <w:hideMark/>
          </w:tcPr>
          <w:p w14:paraId="5B63CEF6"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xml:space="preserve">3.    HMRC have not raised any further enquiries in the first half of the year, as such the uncertain tax risk provision for existing enquiries remains unchanged from as </w:t>
            </w:r>
            <w:proofErr w:type="gramStart"/>
            <w:r w:rsidRPr="002E2BB5">
              <w:rPr>
                <w:rFonts w:ascii="Arial" w:eastAsia="Times New Roman" w:hAnsi="Arial" w:cs="Arial"/>
                <w:sz w:val="15"/>
                <w:szCs w:val="15"/>
                <w:lang w:eastAsia="en-GB"/>
              </w:rPr>
              <w:t>at</w:t>
            </w:r>
            <w:proofErr w:type="gramEnd"/>
            <w:r w:rsidRPr="002E2BB5">
              <w:rPr>
                <w:rFonts w:ascii="Arial" w:eastAsia="Times New Roman" w:hAnsi="Arial" w:cs="Arial"/>
                <w:sz w:val="15"/>
                <w:szCs w:val="15"/>
                <w:lang w:eastAsia="en-GB"/>
              </w:rPr>
              <w:t xml:space="preserve"> 1 January 2022.</w:t>
            </w:r>
          </w:p>
        </w:tc>
        <w:tc>
          <w:tcPr>
            <w:tcW w:w="236" w:type="dxa"/>
            <w:vAlign w:val="center"/>
            <w:hideMark/>
          </w:tcPr>
          <w:p w14:paraId="1F079B98"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2E2BB5" w:rsidRPr="002E2BB5" w14:paraId="311087D2" w14:textId="77777777" w:rsidTr="00962207">
        <w:trPr>
          <w:trHeight w:val="1020"/>
        </w:trPr>
        <w:tc>
          <w:tcPr>
            <w:tcW w:w="10065" w:type="dxa"/>
            <w:gridSpan w:val="9"/>
            <w:tcBorders>
              <w:top w:val="nil"/>
              <w:left w:val="nil"/>
              <w:bottom w:val="nil"/>
              <w:right w:val="nil"/>
            </w:tcBorders>
            <w:shd w:val="clear" w:color="000000" w:fill="FFFFFF"/>
            <w:vAlign w:val="center"/>
            <w:hideMark/>
          </w:tcPr>
          <w:p w14:paraId="5E5CF77E"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4.  The Finance Act 2021 enacted the Corporation Tax rate rise from 19% to 25% on 1 April 2023. The deferred tax assets and liabilities of the Group were restated to the prevailing 25% tax rate last year, where these were materially expected to unwind after 1 April 2023. Current year movement in deferred tax is therefore restated to reflect a rate of 25% and not the current 19% corporation tax rate. The impact of this rate change is a £5m net tax charge in relation to the restatement of these deferred tax assets and liabilities.</w:t>
            </w:r>
          </w:p>
        </w:tc>
        <w:tc>
          <w:tcPr>
            <w:tcW w:w="236" w:type="dxa"/>
            <w:vAlign w:val="center"/>
            <w:hideMark/>
          </w:tcPr>
          <w:p w14:paraId="2F8F8C92"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2E2BB5" w:rsidRPr="002E2BB5" w14:paraId="11E7FD3E" w14:textId="77777777" w:rsidTr="00962207">
        <w:trPr>
          <w:trHeight w:val="803"/>
        </w:trPr>
        <w:tc>
          <w:tcPr>
            <w:tcW w:w="10065" w:type="dxa"/>
            <w:gridSpan w:val="9"/>
            <w:tcBorders>
              <w:top w:val="nil"/>
              <w:left w:val="nil"/>
              <w:bottom w:val="nil"/>
              <w:right w:val="nil"/>
            </w:tcBorders>
            <w:shd w:val="clear" w:color="000000" w:fill="FFFFFF"/>
            <w:hideMark/>
          </w:tcPr>
          <w:p w14:paraId="62374167"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xml:space="preserve">A charge of £33m has been posted to other comprehensive income in respect of the actuarial movement arising on the Group's pension schemes. In addition, a charge of £11m has been posted to other comprehensive income in respect of the restatement of the deferred tax liability related to the Group's pension schemes. </w:t>
            </w:r>
          </w:p>
        </w:tc>
        <w:tc>
          <w:tcPr>
            <w:tcW w:w="236" w:type="dxa"/>
            <w:vAlign w:val="center"/>
            <w:hideMark/>
          </w:tcPr>
          <w:p w14:paraId="7CD4FC82"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2E2BB5" w:rsidRPr="002E2BB5" w14:paraId="6AE91F10" w14:textId="77777777" w:rsidTr="00962207">
        <w:trPr>
          <w:trHeight w:val="503"/>
        </w:trPr>
        <w:tc>
          <w:tcPr>
            <w:tcW w:w="10065" w:type="dxa"/>
            <w:gridSpan w:val="9"/>
            <w:tcBorders>
              <w:top w:val="nil"/>
              <w:left w:val="nil"/>
              <w:bottom w:val="nil"/>
              <w:right w:val="nil"/>
            </w:tcBorders>
            <w:shd w:val="clear" w:color="000000" w:fill="FFFFFF"/>
            <w:vAlign w:val="center"/>
            <w:hideMark/>
          </w:tcPr>
          <w:p w14:paraId="0BEAEA4D"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xml:space="preserve">The net deferred tax liability of the Group at half year is £397m (as </w:t>
            </w:r>
            <w:proofErr w:type="gramStart"/>
            <w:r w:rsidRPr="002E2BB5">
              <w:rPr>
                <w:rFonts w:ascii="Arial" w:eastAsia="Times New Roman" w:hAnsi="Arial" w:cs="Arial"/>
                <w:sz w:val="15"/>
                <w:szCs w:val="15"/>
                <w:lang w:eastAsia="en-GB"/>
              </w:rPr>
              <w:t>at</w:t>
            </w:r>
            <w:proofErr w:type="gramEnd"/>
            <w:r w:rsidRPr="002E2BB5">
              <w:rPr>
                <w:rFonts w:ascii="Arial" w:eastAsia="Times New Roman" w:hAnsi="Arial" w:cs="Arial"/>
                <w:sz w:val="15"/>
                <w:szCs w:val="15"/>
                <w:lang w:eastAsia="en-GB"/>
              </w:rPr>
              <w:t xml:space="preserve"> 3 July 2021: £185m; and 1 January 2022: £314m) and the corporation tax creditor for continuing operations is £nil.</w:t>
            </w:r>
          </w:p>
        </w:tc>
        <w:tc>
          <w:tcPr>
            <w:tcW w:w="236" w:type="dxa"/>
            <w:vAlign w:val="center"/>
            <w:hideMark/>
          </w:tcPr>
          <w:p w14:paraId="4E2B36FB"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2E2BB5" w:rsidRPr="002E2BB5" w14:paraId="5B0B4FE3" w14:textId="77777777" w:rsidTr="00962207">
        <w:trPr>
          <w:trHeight w:val="600"/>
        </w:trPr>
        <w:tc>
          <w:tcPr>
            <w:tcW w:w="10065" w:type="dxa"/>
            <w:gridSpan w:val="9"/>
            <w:tcBorders>
              <w:top w:val="nil"/>
              <w:left w:val="nil"/>
              <w:bottom w:val="nil"/>
              <w:right w:val="nil"/>
            </w:tcBorders>
            <w:shd w:val="clear" w:color="000000" w:fill="FFFFFF"/>
            <w:vAlign w:val="center"/>
            <w:hideMark/>
          </w:tcPr>
          <w:p w14:paraId="0C598786"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Deferred taxes in respect of brought forward tax losses and allowances are fully recognised and offset against deferred tax liabilities. A reconciliation of the opening deferred tax balance to the closing balance is set out below:</w:t>
            </w:r>
          </w:p>
        </w:tc>
        <w:tc>
          <w:tcPr>
            <w:tcW w:w="236" w:type="dxa"/>
            <w:vAlign w:val="center"/>
            <w:hideMark/>
          </w:tcPr>
          <w:p w14:paraId="61B0E9EF"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2E2BB5" w:rsidRPr="002E2BB5" w14:paraId="00D908E1" w14:textId="77777777" w:rsidTr="00DE7814">
        <w:trPr>
          <w:trHeight w:val="300"/>
        </w:trPr>
        <w:tc>
          <w:tcPr>
            <w:tcW w:w="2694" w:type="dxa"/>
            <w:tcBorders>
              <w:top w:val="nil"/>
              <w:left w:val="nil"/>
              <w:bottom w:val="single" w:sz="4" w:space="0" w:color="BFBFBF"/>
              <w:right w:val="nil"/>
            </w:tcBorders>
            <w:shd w:val="clear" w:color="auto" w:fill="auto"/>
            <w:vAlign w:val="center"/>
            <w:hideMark/>
          </w:tcPr>
          <w:p w14:paraId="5C049E0A"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627" w:type="dxa"/>
            <w:tcBorders>
              <w:top w:val="nil"/>
              <w:left w:val="nil"/>
              <w:bottom w:val="single" w:sz="4" w:space="0" w:color="BFBFBF"/>
              <w:right w:val="nil"/>
            </w:tcBorders>
            <w:shd w:val="clear" w:color="auto" w:fill="auto"/>
            <w:vAlign w:val="center"/>
            <w:hideMark/>
          </w:tcPr>
          <w:p w14:paraId="382FD906"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658" w:type="dxa"/>
            <w:tcBorders>
              <w:top w:val="nil"/>
              <w:left w:val="nil"/>
              <w:bottom w:val="single" w:sz="4" w:space="0" w:color="BFBFBF"/>
              <w:right w:val="nil"/>
            </w:tcBorders>
            <w:shd w:val="clear" w:color="auto" w:fill="auto"/>
            <w:vAlign w:val="center"/>
            <w:hideMark/>
          </w:tcPr>
          <w:p w14:paraId="1EA58A88"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5" w:type="dxa"/>
            <w:tcBorders>
              <w:top w:val="nil"/>
              <w:left w:val="nil"/>
              <w:bottom w:val="single" w:sz="4" w:space="0" w:color="BFBFBF"/>
              <w:right w:val="nil"/>
            </w:tcBorders>
            <w:shd w:val="clear" w:color="auto" w:fill="auto"/>
            <w:vAlign w:val="center"/>
            <w:hideMark/>
          </w:tcPr>
          <w:p w14:paraId="4FC04498"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single" w:sz="4" w:space="0" w:color="BFBFBF"/>
              <w:right w:val="nil"/>
            </w:tcBorders>
            <w:shd w:val="clear" w:color="auto" w:fill="auto"/>
            <w:vAlign w:val="center"/>
            <w:hideMark/>
          </w:tcPr>
          <w:p w14:paraId="1E14561C"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single" w:sz="4" w:space="0" w:color="BFBFBF"/>
              <w:right w:val="nil"/>
            </w:tcBorders>
            <w:shd w:val="clear" w:color="auto" w:fill="auto"/>
            <w:vAlign w:val="center"/>
            <w:hideMark/>
          </w:tcPr>
          <w:p w14:paraId="0D383050"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66" w:type="dxa"/>
            <w:tcBorders>
              <w:top w:val="nil"/>
              <w:left w:val="nil"/>
              <w:bottom w:val="single" w:sz="4" w:space="0" w:color="BFBFBF"/>
              <w:right w:val="nil"/>
            </w:tcBorders>
            <w:shd w:val="clear" w:color="auto" w:fill="auto"/>
            <w:vAlign w:val="center"/>
            <w:hideMark/>
          </w:tcPr>
          <w:p w14:paraId="3FA2331F"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80" w:type="dxa"/>
            <w:tcBorders>
              <w:top w:val="nil"/>
              <w:left w:val="nil"/>
              <w:bottom w:val="single" w:sz="4" w:space="0" w:color="BFBFBF"/>
              <w:right w:val="nil"/>
            </w:tcBorders>
            <w:shd w:val="clear" w:color="auto" w:fill="auto"/>
            <w:vAlign w:val="center"/>
            <w:hideMark/>
          </w:tcPr>
          <w:p w14:paraId="4C8FFFBB"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601" w:type="dxa"/>
            <w:tcBorders>
              <w:top w:val="nil"/>
              <w:left w:val="nil"/>
              <w:bottom w:val="single" w:sz="4" w:space="0" w:color="BFBFBF"/>
              <w:right w:val="nil"/>
            </w:tcBorders>
            <w:shd w:val="clear" w:color="auto" w:fill="auto"/>
            <w:vAlign w:val="center"/>
            <w:hideMark/>
          </w:tcPr>
          <w:p w14:paraId="4B52901C"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236" w:type="dxa"/>
            <w:vAlign w:val="center"/>
            <w:hideMark/>
          </w:tcPr>
          <w:p w14:paraId="396F6095"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2E2BB5" w:rsidRPr="002E2BB5" w14:paraId="3BC7F9FF" w14:textId="77777777" w:rsidTr="00DE7814">
        <w:trPr>
          <w:trHeight w:val="432"/>
        </w:trPr>
        <w:tc>
          <w:tcPr>
            <w:tcW w:w="2694" w:type="dxa"/>
            <w:tcBorders>
              <w:top w:val="nil"/>
              <w:left w:val="single" w:sz="4" w:space="0" w:color="BFBFBF"/>
              <w:bottom w:val="nil"/>
              <w:right w:val="nil"/>
            </w:tcBorders>
            <w:shd w:val="clear" w:color="auto" w:fill="auto"/>
            <w:noWrap/>
            <w:vAlign w:val="bottom"/>
            <w:hideMark/>
          </w:tcPr>
          <w:p w14:paraId="21363D90" w14:textId="77777777" w:rsidR="002E2BB5" w:rsidRPr="002E2BB5" w:rsidRDefault="002E2BB5" w:rsidP="002E2BB5">
            <w:pPr>
              <w:spacing w:after="0" w:line="240" w:lineRule="auto"/>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627" w:type="dxa"/>
            <w:tcBorders>
              <w:top w:val="nil"/>
              <w:left w:val="nil"/>
              <w:bottom w:val="nil"/>
              <w:right w:val="nil"/>
            </w:tcBorders>
            <w:shd w:val="clear" w:color="auto" w:fill="auto"/>
            <w:noWrap/>
            <w:vAlign w:val="bottom"/>
            <w:hideMark/>
          </w:tcPr>
          <w:p w14:paraId="38E47C08" w14:textId="77777777" w:rsidR="002E2BB5" w:rsidRPr="002E2BB5" w:rsidRDefault="002E2BB5" w:rsidP="002E2BB5">
            <w:pPr>
              <w:spacing w:after="0" w:line="240" w:lineRule="auto"/>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658" w:type="dxa"/>
            <w:tcBorders>
              <w:top w:val="nil"/>
              <w:left w:val="nil"/>
              <w:bottom w:val="nil"/>
              <w:right w:val="nil"/>
            </w:tcBorders>
            <w:shd w:val="clear" w:color="auto" w:fill="auto"/>
            <w:noWrap/>
            <w:vAlign w:val="bottom"/>
            <w:hideMark/>
          </w:tcPr>
          <w:p w14:paraId="3076FF29" w14:textId="77777777" w:rsidR="002E2BB5" w:rsidRPr="002E2BB5" w:rsidRDefault="002E2BB5" w:rsidP="002E2BB5">
            <w:pPr>
              <w:spacing w:after="0" w:line="240" w:lineRule="auto"/>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715" w:type="dxa"/>
            <w:tcBorders>
              <w:top w:val="nil"/>
              <w:left w:val="nil"/>
              <w:bottom w:val="nil"/>
              <w:right w:val="nil"/>
            </w:tcBorders>
            <w:shd w:val="clear" w:color="auto" w:fill="auto"/>
            <w:noWrap/>
            <w:vAlign w:val="bottom"/>
            <w:hideMark/>
          </w:tcPr>
          <w:p w14:paraId="6027852F" w14:textId="77777777" w:rsidR="002E2BB5" w:rsidRPr="002E2BB5" w:rsidRDefault="002E2BB5" w:rsidP="002E2BB5">
            <w:pPr>
              <w:spacing w:after="0" w:line="240" w:lineRule="auto"/>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712" w:type="dxa"/>
            <w:tcBorders>
              <w:top w:val="nil"/>
              <w:left w:val="nil"/>
              <w:bottom w:val="nil"/>
              <w:right w:val="nil"/>
            </w:tcBorders>
            <w:shd w:val="clear" w:color="auto" w:fill="auto"/>
            <w:noWrap/>
            <w:vAlign w:val="bottom"/>
            <w:hideMark/>
          </w:tcPr>
          <w:p w14:paraId="672D4C3D" w14:textId="77777777" w:rsidR="002E2BB5" w:rsidRPr="002E2BB5" w:rsidRDefault="002E2BB5" w:rsidP="002E2BB5">
            <w:pPr>
              <w:spacing w:after="0" w:line="240" w:lineRule="auto"/>
              <w:rPr>
                <w:rFonts w:ascii="Arial" w:eastAsia="Times New Roman" w:hAnsi="Arial" w:cs="Arial"/>
                <w:sz w:val="20"/>
                <w:szCs w:val="20"/>
                <w:lang w:eastAsia="en-GB"/>
              </w:rPr>
            </w:pPr>
            <w:r w:rsidRPr="002E2BB5">
              <w:rPr>
                <w:rFonts w:ascii="Arial" w:eastAsia="Times New Roman" w:hAnsi="Arial" w:cs="Arial"/>
                <w:sz w:val="20"/>
                <w:szCs w:val="20"/>
                <w:lang w:eastAsia="en-GB"/>
              </w:rPr>
              <w:t> </w:t>
            </w:r>
          </w:p>
        </w:tc>
        <w:tc>
          <w:tcPr>
            <w:tcW w:w="712" w:type="dxa"/>
            <w:tcBorders>
              <w:top w:val="nil"/>
              <w:left w:val="nil"/>
              <w:bottom w:val="nil"/>
              <w:right w:val="nil"/>
            </w:tcBorders>
            <w:shd w:val="clear" w:color="auto" w:fill="auto"/>
            <w:noWrap/>
            <w:vAlign w:val="bottom"/>
            <w:hideMark/>
          </w:tcPr>
          <w:p w14:paraId="4FD2BD24" w14:textId="77777777" w:rsidR="002E2BB5" w:rsidRPr="002E2BB5" w:rsidRDefault="002E2BB5" w:rsidP="002E2BB5">
            <w:pPr>
              <w:spacing w:after="0" w:line="240" w:lineRule="auto"/>
              <w:rPr>
                <w:rFonts w:ascii="Arial" w:eastAsia="Times New Roman" w:hAnsi="Arial" w:cs="Arial"/>
                <w:sz w:val="20"/>
                <w:szCs w:val="20"/>
                <w:lang w:eastAsia="en-GB"/>
              </w:rPr>
            </w:pPr>
            <w:r w:rsidRPr="002E2BB5">
              <w:rPr>
                <w:rFonts w:ascii="Arial" w:eastAsia="Times New Roman" w:hAnsi="Arial" w:cs="Arial"/>
                <w:sz w:val="20"/>
                <w:szCs w:val="20"/>
                <w:lang w:eastAsia="en-GB"/>
              </w:rPr>
              <w:t> </w:t>
            </w:r>
          </w:p>
        </w:tc>
        <w:tc>
          <w:tcPr>
            <w:tcW w:w="1166" w:type="dxa"/>
            <w:tcBorders>
              <w:top w:val="nil"/>
              <w:left w:val="nil"/>
              <w:bottom w:val="nil"/>
              <w:right w:val="nil"/>
            </w:tcBorders>
            <w:shd w:val="clear" w:color="auto" w:fill="auto"/>
            <w:noWrap/>
            <w:vAlign w:val="bottom"/>
            <w:hideMark/>
          </w:tcPr>
          <w:p w14:paraId="62AEE704" w14:textId="77777777" w:rsidR="002E2BB5" w:rsidRPr="002E2BB5" w:rsidRDefault="002E2BB5" w:rsidP="002E2BB5">
            <w:pPr>
              <w:spacing w:after="0" w:line="240" w:lineRule="auto"/>
              <w:rPr>
                <w:rFonts w:ascii="Arial" w:eastAsia="Times New Roman" w:hAnsi="Arial" w:cs="Arial"/>
                <w:sz w:val="20"/>
                <w:szCs w:val="20"/>
                <w:lang w:eastAsia="en-GB"/>
              </w:rPr>
            </w:pPr>
            <w:r w:rsidRPr="002E2BB5">
              <w:rPr>
                <w:rFonts w:ascii="Arial" w:eastAsia="Times New Roman" w:hAnsi="Arial" w:cs="Arial"/>
                <w:sz w:val="20"/>
                <w:szCs w:val="20"/>
                <w:lang w:eastAsia="en-GB"/>
              </w:rPr>
              <w:t> </w:t>
            </w:r>
          </w:p>
        </w:tc>
        <w:tc>
          <w:tcPr>
            <w:tcW w:w="1180" w:type="dxa"/>
            <w:tcBorders>
              <w:top w:val="nil"/>
              <w:left w:val="nil"/>
              <w:bottom w:val="nil"/>
              <w:right w:val="nil"/>
            </w:tcBorders>
            <w:shd w:val="clear" w:color="auto" w:fill="auto"/>
            <w:noWrap/>
            <w:vAlign w:val="bottom"/>
            <w:hideMark/>
          </w:tcPr>
          <w:p w14:paraId="6AE17598" w14:textId="77777777" w:rsidR="002E2BB5" w:rsidRPr="002E2BB5" w:rsidRDefault="002E2BB5" w:rsidP="002E2BB5">
            <w:pPr>
              <w:spacing w:after="0" w:line="240" w:lineRule="auto"/>
              <w:rPr>
                <w:rFonts w:ascii="Arial" w:eastAsia="Times New Roman" w:hAnsi="Arial" w:cs="Arial"/>
                <w:sz w:val="20"/>
                <w:szCs w:val="20"/>
                <w:lang w:eastAsia="en-GB"/>
              </w:rPr>
            </w:pPr>
            <w:r w:rsidRPr="002E2BB5">
              <w:rPr>
                <w:rFonts w:ascii="Arial" w:eastAsia="Times New Roman" w:hAnsi="Arial" w:cs="Arial"/>
                <w:sz w:val="20"/>
                <w:szCs w:val="20"/>
                <w:lang w:eastAsia="en-GB"/>
              </w:rPr>
              <w:t> </w:t>
            </w:r>
          </w:p>
        </w:tc>
        <w:tc>
          <w:tcPr>
            <w:tcW w:w="1601" w:type="dxa"/>
            <w:vMerge w:val="restart"/>
            <w:tcBorders>
              <w:top w:val="nil"/>
              <w:left w:val="nil"/>
              <w:bottom w:val="nil"/>
              <w:right w:val="single" w:sz="4" w:space="0" w:color="BFBFBF"/>
            </w:tcBorders>
            <w:shd w:val="clear" w:color="auto" w:fill="auto"/>
            <w:hideMark/>
          </w:tcPr>
          <w:p w14:paraId="66692CB2" w14:textId="77777777" w:rsidR="002E2BB5" w:rsidRPr="002E2BB5" w:rsidRDefault="002E2BB5" w:rsidP="002E2BB5">
            <w:pPr>
              <w:spacing w:after="0" w:line="240" w:lineRule="auto"/>
              <w:jc w:val="right"/>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26 weeks ended 2 July 2022 (unaudited)</w:t>
            </w:r>
          </w:p>
        </w:tc>
        <w:tc>
          <w:tcPr>
            <w:tcW w:w="236" w:type="dxa"/>
            <w:vAlign w:val="center"/>
            <w:hideMark/>
          </w:tcPr>
          <w:p w14:paraId="6BE498D4"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FF3CC2" w:rsidRPr="002E2BB5" w14:paraId="7037F19E" w14:textId="77777777" w:rsidTr="00FF3CC2">
        <w:trPr>
          <w:trHeight w:val="144"/>
        </w:trPr>
        <w:tc>
          <w:tcPr>
            <w:tcW w:w="4694" w:type="dxa"/>
            <w:gridSpan w:val="4"/>
            <w:tcBorders>
              <w:top w:val="nil"/>
              <w:left w:val="single" w:sz="4" w:space="0" w:color="BFBFBF"/>
              <w:bottom w:val="nil"/>
              <w:right w:val="nil"/>
            </w:tcBorders>
            <w:shd w:val="clear" w:color="auto" w:fill="auto"/>
            <w:noWrap/>
            <w:hideMark/>
          </w:tcPr>
          <w:p w14:paraId="01CE8495" w14:textId="77777777" w:rsidR="002E2BB5" w:rsidRPr="002E2BB5" w:rsidRDefault="002E2BB5" w:rsidP="002E2BB5">
            <w:pPr>
              <w:spacing w:after="0" w:line="240" w:lineRule="auto"/>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Movements in deferred tax in period to 2 July 2022</w:t>
            </w:r>
          </w:p>
        </w:tc>
        <w:tc>
          <w:tcPr>
            <w:tcW w:w="712" w:type="dxa"/>
            <w:tcBorders>
              <w:top w:val="nil"/>
              <w:left w:val="nil"/>
              <w:bottom w:val="nil"/>
              <w:right w:val="nil"/>
            </w:tcBorders>
            <w:shd w:val="clear" w:color="auto" w:fill="auto"/>
            <w:noWrap/>
            <w:vAlign w:val="bottom"/>
            <w:hideMark/>
          </w:tcPr>
          <w:p w14:paraId="6AC0EC8B"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auto" w:fill="auto"/>
            <w:noWrap/>
            <w:vAlign w:val="bottom"/>
            <w:hideMark/>
          </w:tcPr>
          <w:p w14:paraId="063F74FB"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66" w:type="dxa"/>
            <w:tcBorders>
              <w:top w:val="nil"/>
              <w:left w:val="nil"/>
              <w:bottom w:val="nil"/>
              <w:right w:val="nil"/>
            </w:tcBorders>
            <w:shd w:val="clear" w:color="auto" w:fill="auto"/>
            <w:noWrap/>
            <w:vAlign w:val="bottom"/>
            <w:hideMark/>
          </w:tcPr>
          <w:p w14:paraId="4B777B8D"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80" w:type="dxa"/>
            <w:tcBorders>
              <w:top w:val="nil"/>
              <w:left w:val="nil"/>
              <w:bottom w:val="nil"/>
              <w:right w:val="nil"/>
            </w:tcBorders>
            <w:shd w:val="clear" w:color="auto" w:fill="auto"/>
            <w:noWrap/>
            <w:vAlign w:val="bottom"/>
            <w:hideMark/>
          </w:tcPr>
          <w:p w14:paraId="41CBBD2B" w14:textId="77777777" w:rsidR="002E2BB5" w:rsidRPr="002E2BB5" w:rsidRDefault="002E2BB5" w:rsidP="002E2BB5">
            <w:pPr>
              <w:spacing w:after="0" w:line="240" w:lineRule="auto"/>
              <w:jc w:val="right"/>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601" w:type="dxa"/>
            <w:vMerge/>
            <w:tcBorders>
              <w:top w:val="nil"/>
              <w:left w:val="nil"/>
              <w:bottom w:val="nil"/>
              <w:right w:val="single" w:sz="4" w:space="0" w:color="BFBFBF"/>
            </w:tcBorders>
            <w:shd w:val="clear" w:color="auto" w:fill="auto"/>
            <w:vAlign w:val="center"/>
            <w:hideMark/>
          </w:tcPr>
          <w:p w14:paraId="4024F882" w14:textId="77777777" w:rsidR="002E2BB5" w:rsidRPr="002E2BB5" w:rsidRDefault="002E2BB5" w:rsidP="002E2BB5">
            <w:pPr>
              <w:spacing w:after="0" w:line="240" w:lineRule="auto"/>
              <w:rPr>
                <w:rFonts w:ascii="Arial" w:eastAsia="Times New Roman" w:hAnsi="Arial" w:cs="Arial"/>
                <w:b/>
                <w:bCs/>
                <w:sz w:val="15"/>
                <w:szCs w:val="15"/>
                <w:lang w:eastAsia="en-GB"/>
              </w:rPr>
            </w:pPr>
          </w:p>
        </w:tc>
        <w:tc>
          <w:tcPr>
            <w:tcW w:w="236" w:type="dxa"/>
            <w:vAlign w:val="center"/>
            <w:hideMark/>
          </w:tcPr>
          <w:p w14:paraId="655E5D8E"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962207" w:rsidRPr="002E2BB5" w14:paraId="63D5127B" w14:textId="77777777" w:rsidTr="00DE7814">
        <w:trPr>
          <w:trHeight w:val="74"/>
        </w:trPr>
        <w:tc>
          <w:tcPr>
            <w:tcW w:w="2694" w:type="dxa"/>
            <w:tcBorders>
              <w:top w:val="nil"/>
              <w:left w:val="single" w:sz="4" w:space="0" w:color="BFBFBF"/>
              <w:bottom w:val="single" w:sz="4" w:space="0" w:color="BFBFBF"/>
              <w:right w:val="nil"/>
            </w:tcBorders>
            <w:shd w:val="clear" w:color="auto" w:fill="auto"/>
            <w:noWrap/>
            <w:vAlign w:val="bottom"/>
            <w:hideMark/>
          </w:tcPr>
          <w:p w14:paraId="2D3D1CDB"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627" w:type="dxa"/>
            <w:tcBorders>
              <w:top w:val="nil"/>
              <w:left w:val="nil"/>
              <w:bottom w:val="single" w:sz="4" w:space="0" w:color="BFBFBF"/>
              <w:right w:val="nil"/>
            </w:tcBorders>
            <w:shd w:val="clear" w:color="auto" w:fill="auto"/>
            <w:noWrap/>
            <w:vAlign w:val="bottom"/>
            <w:hideMark/>
          </w:tcPr>
          <w:p w14:paraId="1C88CB1D"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658" w:type="dxa"/>
            <w:tcBorders>
              <w:top w:val="nil"/>
              <w:left w:val="nil"/>
              <w:bottom w:val="single" w:sz="4" w:space="0" w:color="BFBFBF"/>
              <w:right w:val="nil"/>
            </w:tcBorders>
            <w:shd w:val="clear" w:color="auto" w:fill="auto"/>
            <w:noWrap/>
            <w:vAlign w:val="bottom"/>
            <w:hideMark/>
          </w:tcPr>
          <w:p w14:paraId="46E4CAF0"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5" w:type="dxa"/>
            <w:tcBorders>
              <w:top w:val="nil"/>
              <w:left w:val="nil"/>
              <w:bottom w:val="single" w:sz="4" w:space="0" w:color="BFBFBF"/>
              <w:right w:val="nil"/>
            </w:tcBorders>
            <w:shd w:val="clear" w:color="auto" w:fill="auto"/>
            <w:noWrap/>
            <w:vAlign w:val="bottom"/>
            <w:hideMark/>
          </w:tcPr>
          <w:p w14:paraId="524A23E4"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single" w:sz="4" w:space="0" w:color="BFBFBF"/>
              <w:right w:val="nil"/>
            </w:tcBorders>
            <w:shd w:val="clear" w:color="auto" w:fill="auto"/>
            <w:noWrap/>
            <w:vAlign w:val="bottom"/>
            <w:hideMark/>
          </w:tcPr>
          <w:p w14:paraId="014FBF58"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single" w:sz="4" w:space="0" w:color="BFBFBF"/>
              <w:right w:val="nil"/>
            </w:tcBorders>
            <w:shd w:val="clear" w:color="auto" w:fill="auto"/>
            <w:noWrap/>
            <w:vAlign w:val="bottom"/>
            <w:hideMark/>
          </w:tcPr>
          <w:p w14:paraId="6B6C3A74"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66" w:type="dxa"/>
            <w:tcBorders>
              <w:top w:val="nil"/>
              <w:left w:val="nil"/>
              <w:bottom w:val="single" w:sz="4" w:space="0" w:color="BFBFBF"/>
              <w:right w:val="nil"/>
            </w:tcBorders>
            <w:shd w:val="clear" w:color="auto" w:fill="auto"/>
            <w:noWrap/>
            <w:vAlign w:val="bottom"/>
            <w:hideMark/>
          </w:tcPr>
          <w:p w14:paraId="320B69C8"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80" w:type="dxa"/>
            <w:tcBorders>
              <w:top w:val="nil"/>
              <w:left w:val="nil"/>
              <w:bottom w:val="single" w:sz="4" w:space="0" w:color="BFBFBF"/>
              <w:right w:val="nil"/>
            </w:tcBorders>
            <w:shd w:val="clear" w:color="auto" w:fill="auto"/>
            <w:noWrap/>
            <w:vAlign w:val="bottom"/>
            <w:hideMark/>
          </w:tcPr>
          <w:p w14:paraId="7AE5E369" w14:textId="77777777" w:rsidR="002E2BB5" w:rsidRPr="002E2BB5" w:rsidRDefault="002E2BB5" w:rsidP="002E2BB5">
            <w:pPr>
              <w:spacing w:after="0" w:line="240" w:lineRule="auto"/>
              <w:jc w:val="right"/>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601" w:type="dxa"/>
            <w:tcBorders>
              <w:top w:val="nil"/>
              <w:left w:val="nil"/>
              <w:bottom w:val="single" w:sz="4" w:space="0" w:color="BFBFBF"/>
              <w:right w:val="single" w:sz="4" w:space="0" w:color="BFBFBF"/>
            </w:tcBorders>
            <w:shd w:val="clear" w:color="auto" w:fill="auto"/>
            <w:noWrap/>
            <w:hideMark/>
          </w:tcPr>
          <w:p w14:paraId="60523777" w14:textId="77777777" w:rsidR="002E2BB5" w:rsidRPr="002E2BB5" w:rsidRDefault="002E2BB5" w:rsidP="002E2BB5">
            <w:pPr>
              <w:spacing w:after="0" w:line="240" w:lineRule="auto"/>
              <w:jc w:val="right"/>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£m</w:t>
            </w:r>
          </w:p>
        </w:tc>
        <w:tc>
          <w:tcPr>
            <w:tcW w:w="236" w:type="dxa"/>
            <w:vAlign w:val="center"/>
            <w:hideMark/>
          </w:tcPr>
          <w:p w14:paraId="4D26C80A"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962207" w:rsidRPr="002E2BB5" w14:paraId="633BF0BE" w14:textId="77777777" w:rsidTr="00FF3CC2">
        <w:trPr>
          <w:trHeight w:val="300"/>
        </w:trPr>
        <w:tc>
          <w:tcPr>
            <w:tcW w:w="3321" w:type="dxa"/>
            <w:gridSpan w:val="2"/>
            <w:tcBorders>
              <w:top w:val="nil"/>
              <w:left w:val="nil"/>
              <w:bottom w:val="nil"/>
              <w:right w:val="nil"/>
            </w:tcBorders>
            <w:shd w:val="clear" w:color="000000" w:fill="FFFFFF"/>
            <w:noWrap/>
            <w:vAlign w:val="bottom"/>
            <w:hideMark/>
          </w:tcPr>
          <w:p w14:paraId="0032D347"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At beginning of the year (net liability)</w:t>
            </w:r>
          </w:p>
        </w:tc>
        <w:tc>
          <w:tcPr>
            <w:tcW w:w="658" w:type="dxa"/>
            <w:tcBorders>
              <w:top w:val="nil"/>
              <w:left w:val="nil"/>
              <w:bottom w:val="nil"/>
              <w:right w:val="nil"/>
            </w:tcBorders>
            <w:shd w:val="clear" w:color="000000" w:fill="FFFFFF"/>
            <w:noWrap/>
            <w:vAlign w:val="bottom"/>
            <w:hideMark/>
          </w:tcPr>
          <w:p w14:paraId="38DFEF0F"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5" w:type="dxa"/>
            <w:tcBorders>
              <w:top w:val="nil"/>
              <w:left w:val="nil"/>
              <w:bottom w:val="nil"/>
              <w:right w:val="nil"/>
            </w:tcBorders>
            <w:shd w:val="clear" w:color="000000" w:fill="FFFFFF"/>
            <w:noWrap/>
            <w:vAlign w:val="bottom"/>
            <w:hideMark/>
          </w:tcPr>
          <w:p w14:paraId="01E2E8FF"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791138A1"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24B668F6"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66" w:type="dxa"/>
            <w:tcBorders>
              <w:top w:val="nil"/>
              <w:left w:val="nil"/>
              <w:bottom w:val="nil"/>
              <w:right w:val="nil"/>
            </w:tcBorders>
            <w:shd w:val="clear" w:color="000000" w:fill="FFFFFF"/>
            <w:noWrap/>
            <w:vAlign w:val="bottom"/>
            <w:hideMark/>
          </w:tcPr>
          <w:p w14:paraId="04E56223"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80" w:type="dxa"/>
            <w:tcBorders>
              <w:top w:val="nil"/>
              <w:left w:val="nil"/>
              <w:bottom w:val="nil"/>
              <w:right w:val="nil"/>
            </w:tcBorders>
            <w:shd w:val="clear" w:color="000000" w:fill="FFFFFF"/>
            <w:noWrap/>
            <w:vAlign w:val="bottom"/>
            <w:hideMark/>
          </w:tcPr>
          <w:p w14:paraId="6EF2981A"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601" w:type="dxa"/>
            <w:tcBorders>
              <w:top w:val="nil"/>
              <w:left w:val="nil"/>
              <w:bottom w:val="nil"/>
              <w:right w:val="nil"/>
            </w:tcBorders>
            <w:shd w:val="clear" w:color="auto" w:fill="CCECFF"/>
            <w:noWrap/>
            <w:vAlign w:val="bottom"/>
            <w:hideMark/>
          </w:tcPr>
          <w:p w14:paraId="6BC210E8" w14:textId="77777777" w:rsidR="002E2BB5" w:rsidRPr="002E2BB5" w:rsidRDefault="002E2BB5" w:rsidP="002E2BB5">
            <w:pPr>
              <w:spacing w:after="0" w:line="240" w:lineRule="auto"/>
              <w:jc w:val="right"/>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(314)</w:t>
            </w:r>
          </w:p>
        </w:tc>
        <w:tc>
          <w:tcPr>
            <w:tcW w:w="236" w:type="dxa"/>
            <w:vAlign w:val="center"/>
            <w:hideMark/>
          </w:tcPr>
          <w:p w14:paraId="0F0F910A"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962207" w:rsidRPr="002E2BB5" w14:paraId="0CBFA031" w14:textId="77777777" w:rsidTr="00DE7814">
        <w:trPr>
          <w:trHeight w:val="368"/>
        </w:trPr>
        <w:tc>
          <w:tcPr>
            <w:tcW w:w="2694" w:type="dxa"/>
            <w:tcBorders>
              <w:top w:val="nil"/>
              <w:left w:val="nil"/>
              <w:bottom w:val="nil"/>
              <w:right w:val="nil"/>
            </w:tcBorders>
            <w:shd w:val="clear" w:color="000000" w:fill="FFFFFF"/>
            <w:noWrap/>
            <w:vAlign w:val="bottom"/>
            <w:hideMark/>
          </w:tcPr>
          <w:p w14:paraId="0D8F8723" w14:textId="77777777" w:rsidR="002E2BB5" w:rsidRPr="002E2BB5" w:rsidRDefault="002E2BB5" w:rsidP="002E2BB5">
            <w:pPr>
              <w:spacing w:after="0" w:line="240" w:lineRule="auto"/>
              <w:rPr>
                <w:rFonts w:ascii="Arial" w:eastAsia="Times New Roman" w:hAnsi="Arial" w:cs="Arial"/>
                <w:sz w:val="15"/>
                <w:szCs w:val="15"/>
                <w:u w:val="single"/>
                <w:lang w:eastAsia="en-GB"/>
              </w:rPr>
            </w:pPr>
            <w:r w:rsidRPr="002E2BB5">
              <w:rPr>
                <w:rFonts w:ascii="Arial" w:eastAsia="Times New Roman" w:hAnsi="Arial" w:cs="Arial"/>
                <w:sz w:val="15"/>
                <w:szCs w:val="15"/>
                <w:u w:val="single"/>
                <w:lang w:eastAsia="en-GB"/>
              </w:rPr>
              <w:t>Charged to the Income Statement:</w:t>
            </w:r>
          </w:p>
        </w:tc>
        <w:tc>
          <w:tcPr>
            <w:tcW w:w="627" w:type="dxa"/>
            <w:tcBorders>
              <w:top w:val="nil"/>
              <w:left w:val="nil"/>
              <w:bottom w:val="nil"/>
              <w:right w:val="nil"/>
            </w:tcBorders>
            <w:shd w:val="clear" w:color="000000" w:fill="FFFFFF"/>
            <w:noWrap/>
            <w:vAlign w:val="bottom"/>
            <w:hideMark/>
          </w:tcPr>
          <w:p w14:paraId="56400296"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658" w:type="dxa"/>
            <w:tcBorders>
              <w:top w:val="nil"/>
              <w:left w:val="nil"/>
              <w:bottom w:val="nil"/>
              <w:right w:val="nil"/>
            </w:tcBorders>
            <w:shd w:val="clear" w:color="000000" w:fill="FFFFFF"/>
            <w:noWrap/>
            <w:vAlign w:val="bottom"/>
            <w:hideMark/>
          </w:tcPr>
          <w:p w14:paraId="70B00929"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5" w:type="dxa"/>
            <w:tcBorders>
              <w:top w:val="nil"/>
              <w:left w:val="nil"/>
              <w:bottom w:val="nil"/>
              <w:right w:val="nil"/>
            </w:tcBorders>
            <w:shd w:val="clear" w:color="000000" w:fill="FFFFFF"/>
            <w:noWrap/>
            <w:vAlign w:val="bottom"/>
            <w:hideMark/>
          </w:tcPr>
          <w:p w14:paraId="2C5C4D7A"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6C15043B"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7D502D23"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66" w:type="dxa"/>
            <w:tcBorders>
              <w:top w:val="nil"/>
              <w:left w:val="nil"/>
              <w:bottom w:val="nil"/>
              <w:right w:val="nil"/>
            </w:tcBorders>
            <w:shd w:val="clear" w:color="000000" w:fill="FFFFFF"/>
            <w:noWrap/>
            <w:vAlign w:val="bottom"/>
            <w:hideMark/>
          </w:tcPr>
          <w:p w14:paraId="07E09287"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80" w:type="dxa"/>
            <w:tcBorders>
              <w:top w:val="nil"/>
              <w:left w:val="nil"/>
              <w:bottom w:val="nil"/>
              <w:right w:val="nil"/>
            </w:tcBorders>
            <w:shd w:val="clear" w:color="000000" w:fill="FFFFFF"/>
            <w:noWrap/>
            <w:vAlign w:val="bottom"/>
            <w:hideMark/>
          </w:tcPr>
          <w:p w14:paraId="4D61ED6E"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601" w:type="dxa"/>
            <w:tcBorders>
              <w:top w:val="nil"/>
              <w:left w:val="nil"/>
              <w:bottom w:val="nil"/>
              <w:right w:val="nil"/>
            </w:tcBorders>
            <w:shd w:val="clear" w:color="auto" w:fill="CCECFF"/>
            <w:noWrap/>
            <w:vAlign w:val="bottom"/>
            <w:hideMark/>
          </w:tcPr>
          <w:p w14:paraId="40DE6B21" w14:textId="77777777" w:rsidR="002E2BB5" w:rsidRPr="002E2BB5" w:rsidRDefault="002E2BB5" w:rsidP="002E2BB5">
            <w:pPr>
              <w:spacing w:after="0" w:line="240" w:lineRule="auto"/>
              <w:jc w:val="right"/>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236" w:type="dxa"/>
            <w:vAlign w:val="center"/>
            <w:hideMark/>
          </w:tcPr>
          <w:p w14:paraId="2FC0A67C"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962207" w:rsidRPr="002E2BB5" w14:paraId="6EC44097" w14:textId="77777777" w:rsidTr="00DE7814">
        <w:trPr>
          <w:trHeight w:val="300"/>
        </w:trPr>
        <w:tc>
          <w:tcPr>
            <w:tcW w:w="2694" w:type="dxa"/>
            <w:tcBorders>
              <w:top w:val="nil"/>
              <w:left w:val="nil"/>
              <w:bottom w:val="nil"/>
              <w:right w:val="nil"/>
            </w:tcBorders>
            <w:shd w:val="clear" w:color="000000" w:fill="FFFFFF"/>
            <w:noWrap/>
            <w:vAlign w:val="bottom"/>
            <w:hideMark/>
          </w:tcPr>
          <w:p w14:paraId="2E7133AB" w14:textId="2FA8AED4" w:rsidR="002E2BB5" w:rsidRPr="002E2BB5" w:rsidRDefault="00C9468F" w:rsidP="002E2BB5">
            <w:pPr>
              <w:spacing w:after="0" w:line="240" w:lineRule="auto"/>
              <w:rPr>
                <w:rFonts w:ascii="Arial" w:eastAsia="Times New Roman" w:hAnsi="Arial" w:cs="Arial"/>
                <w:sz w:val="15"/>
                <w:szCs w:val="15"/>
                <w:lang w:eastAsia="en-GB"/>
              </w:rPr>
            </w:pPr>
            <w:r>
              <w:rPr>
                <w:rFonts w:ascii="Arial" w:eastAsia="Times New Roman" w:hAnsi="Arial" w:cs="Arial"/>
                <w:sz w:val="15"/>
                <w:szCs w:val="15"/>
                <w:lang w:eastAsia="en-GB"/>
              </w:rPr>
              <w:t xml:space="preserve"> </w:t>
            </w:r>
            <w:r w:rsidR="002E2BB5" w:rsidRPr="002E2BB5">
              <w:rPr>
                <w:rFonts w:ascii="Arial" w:eastAsia="Times New Roman" w:hAnsi="Arial" w:cs="Arial"/>
                <w:sz w:val="15"/>
                <w:szCs w:val="15"/>
                <w:lang w:eastAsia="en-GB"/>
              </w:rPr>
              <w:t xml:space="preserve">  - Current period movement</w:t>
            </w:r>
          </w:p>
        </w:tc>
        <w:tc>
          <w:tcPr>
            <w:tcW w:w="627" w:type="dxa"/>
            <w:tcBorders>
              <w:top w:val="nil"/>
              <w:left w:val="nil"/>
              <w:bottom w:val="nil"/>
              <w:right w:val="nil"/>
            </w:tcBorders>
            <w:shd w:val="clear" w:color="000000" w:fill="FFFFFF"/>
            <w:noWrap/>
            <w:vAlign w:val="bottom"/>
            <w:hideMark/>
          </w:tcPr>
          <w:p w14:paraId="47D805FB"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658" w:type="dxa"/>
            <w:tcBorders>
              <w:top w:val="nil"/>
              <w:left w:val="nil"/>
              <w:bottom w:val="nil"/>
              <w:right w:val="nil"/>
            </w:tcBorders>
            <w:shd w:val="clear" w:color="000000" w:fill="FFFFFF"/>
            <w:noWrap/>
            <w:vAlign w:val="bottom"/>
            <w:hideMark/>
          </w:tcPr>
          <w:p w14:paraId="456A4660"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5" w:type="dxa"/>
            <w:tcBorders>
              <w:top w:val="nil"/>
              <w:left w:val="nil"/>
              <w:bottom w:val="nil"/>
              <w:right w:val="nil"/>
            </w:tcBorders>
            <w:shd w:val="clear" w:color="000000" w:fill="FFFFFF"/>
            <w:noWrap/>
            <w:vAlign w:val="bottom"/>
            <w:hideMark/>
          </w:tcPr>
          <w:p w14:paraId="191AA2B3"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2DE06DFE"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15E86F42"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66" w:type="dxa"/>
            <w:tcBorders>
              <w:top w:val="nil"/>
              <w:left w:val="nil"/>
              <w:bottom w:val="nil"/>
              <w:right w:val="nil"/>
            </w:tcBorders>
            <w:shd w:val="clear" w:color="000000" w:fill="FFFFFF"/>
            <w:noWrap/>
            <w:vAlign w:val="bottom"/>
            <w:hideMark/>
          </w:tcPr>
          <w:p w14:paraId="1101037B"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80" w:type="dxa"/>
            <w:tcBorders>
              <w:top w:val="nil"/>
              <w:left w:val="nil"/>
              <w:bottom w:val="nil"/>
              <w:right w:val="nil"/>
            </w:tcBorders>
            <w:shd w:val="clear" w:color="000000" w:fill="FFFFFF"/>
            <w:noWrap/>
            <w:vAlign w:val="bottom"/>
            <w:hideMark/>
          </w:tcPr>
          <w:p w14:paraId="6EEF4A9D"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601" w:type="dxa"/>
            <w:tcBorders>
              <w:top w:val="nil"/>
              <w:left w:val="nil"/>
              <w:bottom w:val="nil"/>
              <w:right w:val="nil"/>
            </w:tcBorders>
            <w:shd w:val="clear" w:color="auto" w:fill="CCECFF"/>
            <w:noWrap/>
            <w:vAlign w:val="bottom"/>
            <w:hideMark/>
          </w:tcPr>
          <w:p w14:paraId="6D0E6D6E" w14:textId="77777777" w:rsidR="002E2BB5" w:rsidRPr="002E2BB5" w:rsidRDefault="002E2BB5" w:rsidP="002E2BB5">
            <w:pPr>
              <w:spacing w:after="0" w:line="240" w:lineRule="auto"/>
              <w:jc w:val="right"/>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(14)</w:t>
            </w:r>
          </w:p>
        </w:tc>
        <w:tc>
          <w:tcPr>
            <w:tcW w:w="236" w:type="dxa"/>
            <w:vAlign w:val="center"/>
            <w:hideMark/>
          </w:tcPr>
          <w:p w14:paraId="5D8913AA"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962207" w:rsidRPr="002E2BB5" w14:paraId="746BD799" w14:textId="77777777" w:rsidTr="00FF3CC2">
        <w:trPr>
          <w:trHeight w:val="300"/>
        </w:trPr>
        <w:tc>
          <w:tcPr>
            <w:tcW w:w="3321" w:type="dxa"/>
            <w:gridSpan w:val="2"/>
            <w:tcBorders>
              <w:top w:val="nil"/>
              <w:left w:val="nil"/>
              <w:bottom w:val="nil"/>
              <w:right w:val="nil"/>
            </w:tcBorders>
            <w:shd w:val="clear" w:color="000000" w:fill="FFFFFF"/>
            <w:noWrap/>
            <w:vAlign w:val="bottom"/>
            <w:hideMark/>
          </w:tcPr>
          <w:p w14:paraId="79EEC6E8"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xml:space="preserve">   - Impact of change to deferred tax rate</w:t>
            </w:r>
          </w:p>
        </w:tc>
        <w:tc>
          <w:tcPr>
            <w:tcW w:w="658" w:type="dxa"/>
            <w:tcBorders>
              <w:top w:val="nil"/>
              <w:left w:val="nil"/>
              <w:bottom w:val="nil"/>
              <w:right w:val="nil"/>
            </w:tcBorders>
            <w:shd w:val="clear" w:color="000000" w:fill="FFFFFF"/>
            <w:noWrap/>
            <w:vAlign w:val="bottom"/>
            <w:hideMark/>
          </w:tcPr>
          <w:p w14:paraId="58519B68"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5" w:type="dxa"/>
            <w:tcBorders>
              <w:top w:val="nil"/>
              <w:left w:val="nil"/>
              <w:bottom w:val="nil"/>
              <w:right w:val="nil"/>
            </w:tcBorders>
            <w:shd w:val="clear" w:color="000000" w:fill="FFFFFF"/>
            <w:noWrap/>
            <w:vAlign w:val="bottom"/>
            <w:hideMark/>
          </w:tcPr>
          <w:p w14:paraId="4DC3B8A0"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688EB5C7"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45E08376"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66" w:type="dxa"/>
            <w:tcBorders>
              <w:top w:val="nil"/>
              <w:left w:val="nil"/>
              <w:bottom w:val="nil"/>
              <w:right w:val="nil"/>
            </w:tcBorders>
            <w:shd w:val="clear" w:color="000000" w:fill="FFFFFF"/>
            <w:noWrap/>
            <w:vAlign w:val="bottom"/>
            <w:hideMark/>
          </w:tcPr>
          <w:p w14:paraId="51201C7C"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80" w:type="dxa"/>
            <w:tcBorders>
              <w:top w:val="nil"/>
              <w:left w:val="nil"/>
              <w:bottom w:val="nil"/>
              <w:right w:val="nil"/>
            </w:tcBorders>
            <w:shd w:val="clear" w:color="000000" w:fill="FFFFFF"/>
            <w:noWrap/>
            <w:vAlign w:val="bottom"/>
            <w:hideMark/>
          </w:tcPr>
          <w:p w14:paraId="57F199FC"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601" w:type="dxa"/>
            <w:tcBorders>
              <w:top w:val="nil"/>
              <w:left w:val="nil"/>
              <w:bottom w:val="nil"/>
              <w:right w:val="nil"/>
            </w:tcBorders>
            <w:shd w:val="clear" w:color="auto" w:fill="CCECFF"/>
            <w:noWrap/>
            <w:vAlign w:val="bottom"/>
            <w:hideMark/>
          </w:tcPr>
          <w:p w14:paraId="6AAD49B0" w14:textId="77777777" w:rsidR="002E2BB5" w:rsidRPr="002E2BB5" w:rsidRDefault="002E2BB5" w:rsidP="002E2BB5">
            <w:pPr>
              <w:spacing w:after="0" w:line="240" w:lineRule="auto"/>
              <w:jc w:val="right"/>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(5)</w:t>
            </w:r>
          </w:p>
        </w:tc>
        <w:tc>
          <w:tcPr>
            <w:tcW w:w="236" w:type="dxa"/>
            <w:vAlign w:val="center"/>
            <w:hideMark/>
          </w:tcPr>
          <w:p w14:paraId="14F0C96B"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2E2BB5" w:rsidRPr="002E2BB5" w14:paraId="4EBECF82" w14:textId="77777777" w:rsidTr="00FF3CC2">
        <w:trPr>
          <w:trHeight w:val="300"/>
        </w:trPr>
        <w:tc>
          <w:tcPr>
            <w:tcW w:w="4694" w:type="dxa"/>
            <w:gridSpan w:val="4"/>
            <w:tcBorders>
              <w:top w:val="nil"/>
              <w:left w:val="nil"/>
              <w:bottom w:val="nil"/>
              <w:right w:val="nil"/>
            </w:tcBorders>
            <w:shd w:val="clear" w:color="000000" w:fill="FFFFFF"/>
            <w:noWrap/>
            <w:vAlign w:val="bottom"/>
            <w:hideMark/>
          </w:tcPr>
          <w:p w14:paraId="683AFE98"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xml:space="preserve">   - Tax charge relating to discontinued operations (see Note 6)</w:t>
            </w:r>
          </w:p>
        </w:tc>
        <w:tc>
          <w:tcPr>
            <w:tcW w:w="712" w:type="dxa"/>
            <w:tcBorders>
              <w:top w:val="nil"/>
              <w:left w:val="nil"/>
              <w:bottom w:val="nil"/>
              <w:right w:val="nil"/>
            </w:tcBorders>
            <w:shd w:val="clear" w:color="000000" w:fill="FFFFFF"/>
            <w:noWrap/>
            <w:vAlign w:val="bottom"/>
            <w:hideMark/>
          </w:tcPr>
          <w:p w14:paraId="3A45EA5B"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273C766F"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66" w:type="dxa"/>
            <w:tcBorders>
              <w:top w:val="nil"/>
              <w:left w:val="nil"/>
              <w:bottom w:val="nil"/>
              <w:right w:val="nil"/>
            </w:tcBorders>
            <w:shd w:val="clear" w:color="000000" w:fill="FFFFFF"/>
            <w:noWrap/>
            <w:vAlign w:val="bottom"/>
            <w:hideMark/>
          </w:tcPr>
          <w:p w14:paraId="55983DD7"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80" w:type="dxa"/>
            <w:tcBorders>
              <w:top w:val="nil"/>
              <w:left w:val="nil"/>
              <w:bottom w:val="nil"/>
              <w:right w:val="nil"/>
            </w:tcBorders>
            <w:shd w:val="clear" w:color="000000" w:fill="FFFFFF"/>
            <w:noWrap/>
            <w:vAlign w:val="bottom"/>
            <w:hideMark/>
          </w:tcPr>
          <w:p w14:paraId="4C893FD0"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601" w:type="dxa"/>
            <w:tcBorders>
              <w:top w:val="nil"/>
              <w:left w:val="nil"/>
              <w:bottom w:val="nil"/>
              <w:right w:val="nil"/>
            </w:tcBorders>
            <w:shd w:val="clear" w:color="auto" w:fill="CCECFF"/>
            <w:noWrap/>
            <w:vAlign w:val="bottom"/>
            <w:hideMark/>
          </w:tcPr>
          <w:p w14:paraId="4861FF2E" w14:textId="77777777" w:rsidR="002E2BB5" w:rsidRPr="002E2BB5" w:rsidRDefault="002E2BB5" w:rsidP="002E2BB5">
            <w:pPr>
              <w:spacing w:after="0" w:line="240" w:lineRule="auto"/>
              <w:jc w:val="right"/>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(18)</w:t>
            </w:r>
          </w:p>
        </w:tc>
        <w:tc>
          <w:tcPr>
            <w:tcW w:w="236" w:type="dxa"/>
            <w:vAlign w:val="center"/>
            <w:hideMark/>
          </w:tcPr>
          <w:p w14:paraId="728761C6"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FF3CC2" w:rsidRPr="002E2BB5" w14:paraId="1C7215A3" w14:textId="77777777" w:rsidTr="00FF3CC2">
        <w:trPr>
          <w:trHeight w:val="353"/>
        </w:trPr>
        <w:tc>
          <w:tcPr>
            <w:tcW w:w="3979" w:type="dxa"/>
            <w:gridSpan w:val="3"/>
            <w:tcBorders>
              <w:top w:val="nil"/>
              <w:left w:val="nil"/>
              <w:bottom w:val="nil"/>
              <w:right w:val="nil"/>
            </w:tcBorders>
            <w:shd w:val="clear" w:color="000000" w:fill="FFFFFF"/>
            <w:noWrap/>
            <w:vAlign w:val="bottom"/>
            <w:hideMark/>
          </w:tcPr>
          <w:p w14:paraId="092B7B55" w14:textId="77777777" w:rsidR="002E2BB5" w:rsidRPr="002E2BB5" w:rsidRDefault="002E2BB5" w:rsidP="002E2BB5">
            <w:pPr>
              <w:spacing w:after="0" w:line="240" w:lineRule="auto"/>
              <w:rPr>
                <w:rFonts w:ascii="Arial" w:eastAsia="Times New Roman" w:hAnsi="Arial" w:cs="Arial"/>
                <w:sz w:val="15"/>
                <w:szCs w:val="15"/>
                <w:u w:val="single"/>
                <w:lang w:eastAsia="en-GB"/>
              </w:rPr>
            </w:pPr>
            <w:r w:rsidRPr="002E2BB5">
              <w:rPr>
                <w:rFonts w:ascii="Arial" w:eastAsia="Times New Roman" w:hAnsi="Arial" w:cs="Arial"/>
                <w:sz w:val="15"/>
                <w:szCs w:val="15"/>
                <w:u w:val="single"/>
                <w:lang w:eastAsia="en-GB"/>
              </w:rPr>
              <w:lastRenderedPageBreak/>
              <w:t>Assets moved to Held for Sale in the Balance Sheet:</w:t>
            </w:r>
          </w:p>
        </w:tc>
        <w:tc>
          <w:tcPr>
            <w:tcW w:w="715" w:type="dxa"/>
            <w:tcBorders>
              <w:top w:val="nil"/>
              <w:left w:val="nil"/>
              <w:bottom w:val="nil"/>
              <w:right w:val="nil"/>
            </w:tcBorders>
            <w:shd w:val="clear" w:color="000000" w:fill="FFFFFF"/>
            <w:noWrap/>
            <w:vAlign w:val="bottom"/>
            <w:hideMark/>
          </w:tcPr>
          <w:p w14:paraId="64271BD5"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4B639DCF"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47A9E976"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66" w:type="dxa"/>
            <w:tcBorders>
              <w:top w:val="nil"/>
              <w:left w:val="nil"/>
              <w:bottom w:val="nil"/>
              <w:right w:val="nil"/>
            </w:tcBorders>
            <w:shd w:val="clear" w:color="000000" w:fill="FFFFFF"/>
            <w:noWrap/>
            <w:vAlign w:val="bottom"/>
            <w:hideMark/>
          </w:tcPr>
          <w:p w14:paraId="5C6E36D9"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80" w:type="dxa"/>
            <w:tcBorders>
              <w:top w:val="nil"/>
              <w:left w:val="nil"/>
              <w:bottom w:val="nil"/>
              <w:right w:val="nil"/>
            </w:tcBorders>
            <w:shd w:val="clear" w:color="000000" w:fill="FFFFFF"/>
            <w:noWrap/>
            <w:vAlign w:val="bottom"/>
            <w:hideMark/>
          </w:tcPr>
          <w:p w14:paraId="0B3AFAA7"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601" w:type="dxa"/>
            <w:tcBorders>
              <w:top w:val="nil"/>
              <w:left w:val="nil"/>
              <w:bottom w:val="nil"/>
              <w:right w:val="nil"/>
            </w:tcBorders>
            <w:shd w:val="clear" w:color="auto" w:fill="CCECFF"/>
            <w:noWrap/>
            <w:vAlign w:val="bottom"/>
            <w:hideMark/>
          </w:tcPr>
          <w:p w14:paraId="70AE87A5" w14:textId="77777777" w:rsidR="002E2BB5" w:rsidRPr="002E2BB5" w:rsidRDefault="002E2BB5" w:rsidP="002E2BB5">
            <w:pPr>
              <w:spacing w:after="0" w:line="240" w:lineRule="auto"/>
              <w:jc w:val="right"/>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236" w:type="dxa"/>
            <w:vAlign w:val="center"/>
            <w:hideMark/>
          </w:tcPr>
          <w:p w14:paraId="7296C0DF"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962207" w:rsidRPr="002E2BB5" w14:paraId="341B514C" w14:textId="77777777" w:rsidTr="00FF3CC2">
        <w:trPr>
          <w:trHeight w:val="300"/>
        </w:trPr>
        <w:tc>
          <w:tcPr>
            <w:tcW w:w="3321" w:type="dxa"/>
            <w:gridSpan w:val="2"/>
            <w:tcBorders>
              <w:top w:val="nil"/>
              <w:left w:val="nil"/>
              <w:bottom w:val="nil"/>
              <w:right w:val="nil"/>
            </w:tcBorders>
            <w:shd w:val="clear" w:color="000000" w:fill="FFFFFF"/>
            <w:noWrap/>
            <w:vAlign w:val="bottom"/>
            <w:hideMark/>
          </w:tcPr>
          <w:p w14:paraId="5FB4D3F9"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xml:space="preserve">   - Assets moved to Held for Sale (see Note 8) </w:t>
            </w:r>
          </w:p>
        </w:tc>
        <w:tc>
          <w:tcPr>
            <w:tcW w:w="658" w:type="dxa"/>
            <w:tcBorders>
              <w:top w:val="nil"/>
              <w:left w:val="nil"/>
              <w:bottom w:val="nil"/>
              <w:right w:val="nil"/>
            </w:tcBorders>
            <w:shd w:val="clear" w:color="000000" w:fill="FFFFFF"/>
            <w:noWrap/>
            <w:vAlign w:val="bottom"/>
            <w:hideMark/>
          </w:tcPr>
          <w:p w14:paraId="3734D56B"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5" w:type="dxa"/>
            <w:tcBorders>
              <w:top w:val="nil"/>
              <w:left w:val="nil"/>
              <w:bottom w:val="nil"/>
              <w:right w:val="nil"/>
            </w:tcBorders>
            <w:shd w:val="clear" w:color="000000" w:fill="FFFFFF"/>
            <w:noWrap/>
            <w:vAlign w:val="bottom"/>
            <w:hideMark/>
          </w:tcPr>
          <w:p w14:paraId="00EC3B2C"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01A6BD89"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74C1ED3C"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66" w:type="dxa"/>
            <w:tcBorders>
              <w:top w:val="nil"/>
              <w:left w:val="nil"/>
              <w:bottom w:val="nil"/>
              <w:right w:val="nil"/>
            </w:tcBorders>
            <w:shd w:val="clear" w:color="000000" w:fill="FFFFFF"/>
            <w:noWrap/>
            <w:vAlign w:val="bottom"/>
            <w:hideMark/>
          </w:tcPr>
          <w:p w14:paraId="4EB7128A"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80" w:type="dxa"/>
            <w:tcBorders>
              <w:top w:val="nil"/>
              <w:left w:val="nil"/>
              <w:bottom w:val="nil"/>
              <w:right w:val="nil"/>
            </w:tcBorders>
            <w:shd w:val="clear" w:color="000000" w:fill="FFFFFF"/>
            <w:noWrap/>
            <w:vAlign w:val="bottom"/>
            <w:hideMark/>
          </w:tcPr>
          <w:p w14:paraId="604F0D79"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601" w:type="dxa"/>
            <w:tcBorders>
              <w:top w:val="nil"/>
              <w:left w:val="nil"/>
              <w:bottom w:val="nil"/>
              <w:right w:val="nil"/>
            </w:tcBorders>
            <w:shd w:val="clear" w:color="auto" w:fill="CCECFF"/>
            <w:noWrap/>
            <w:vAlign w:val="bottom"/>
            <w:hideMark/>
          </w:tcPr>
          <w:p w14:paraId="53C4D6E3" w14:textId="77777777" w:rsidR="002E2BB5" w:rsidRPr="002E2BB5" w:rsidRDefault="002E2BB5" w:rsidP="002E2BB5">
            <w:pPr>
              <w:spacing w:after="0" w:line="240" w:lineRule="auto"/>
              <w:jc w:val="right"/>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(2)</w:t>
            </w:r>
          </w:p>
        </w:tc>
        <w:tc>
          <w:tcPr>
            <w:tcW w:w="236" w:type="dxa"/>
            <w:vAlign w:val="center"/>
            <w:hideMark/>
          </w:tcPr>
          <w:p w14:paraId="4174ACF0"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962207" w:rsidRPr="002E2BB5" w14:paraId="2E8648D6" w14:textId="77777777" w:rsidTr="00DE7814">
        <w:trPr>
          <w:trHeight w:val="360"/>
        </w:trPr>
        <w:tc>
          <w:tcPr>
            <w:tcW w:w="2694" w:type="dxa"/>
            <w:tcBorders>
              <w:top w:val="nil"/>
              <w:left w:val="nil"/>
              <w:bottom w:val="nil"/>
              <w:right w:val="nil"/>
            </w:tcBorders>
            <w:shd w:val="clear" w:color="000000" w:fill="FFFFFF"/>
            <w:noWrap/>
            <w:vAlign w:val="bottom"/>
            <w:hideMark/>
          </w:tcPr>
          <w:p w14:paraId="170AAFD9" w14:textId="77777777" w:rsidR="002E2BB5" w:rsidRPr="002E2BB5" w:rsidRDefault="002E2BB5" w:rsidP="002E2BB5">
            <w:pPr>
              <w:spacing w:after="0" w:line="240" w:lineRule="auto"/>
              <w:rPr>
                <w:rFonts w:ascii="Arial" w:eastAsia="Times New Roman" w:hAnsi="Arial" w:cs="Arial"/>
                <w:sz w:val="15"/>
                <w:szCs w:val="15"/>
                <w:u w:val="single"/>
                <w:lang w:eastAsia="en-GB"/>
              </w:rPr>
            </w:pPr>
            <w:r w:rsidRPr="002E2BB5">
              <w:rPr>
                <w:rFonts w:ascii="Arial" w:eastAsia="Times New Roman" w:hAnsi="Arial" w:cs="Arial"/>
                <w:sz w:val="15"/>
                <w:szCs w:val="15"/>
                <w:u w:val="single"/>
                <w:lang w:eastAsia="en-GB"/>
              </w:rPr>
              <w:t>Charged to equity:</w:t>
            </w:r>
          </w:p>
        </w:tc>
        <w:tc>
          <w:tcPr>
            <w:tcW w:w="627" w:type="dxa"/>
            <w:tcBorders>
              <w:top w:val="nil"/>
              <w:left w:val="nil"/>
              <w:bottom w:val="nil"/>
              <w:right w:val="nil"/>
            </w:tcBorders>
            <w:shd w:val="clear" w:color="000000" w:fill="FFFFFF"/>
            <w:noWrap/>
            <w:vAlign w:val="bottom"/>
            <w:hideMark/>
          </w:tcPr>
          <w:p w14:paraId="1008C624"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658" w:type="dxa"/>
            <w:tcBorders>
              <w:top w:val="nil"/>
              <w:left w:val="nil"/>
              <w:bottom w:val="nil"/>
              <w:right w:val="nil"/>
            </w:tcBorders>
            <w:shd w:val="clear" w:color="000000" w:fill="FFFFFF"/>
            <w:noWrap/>
            <w:vAlign w:val="bottom"/>
            <w:hideMark/>
          </w:tcPr>
          <w:p w14:paraId="3BA6104C"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5" w:type="dxa"/>
            <w:tcBorders>
              <w:top w:val="nil"/>
              <w:left w:val="nil"/>
              <w:bottom w:val="nil"/>
              <w:right w:val="nil"/>
            </w:tcBorders>
            <w:shd w:val="clear" w:color="000000" w:fill="FFFFFF"/>
            <w:noWrap/>
            <w:vAlign w:val="bottom"/>
            <w:hideMark/>
          </w:tcPr>
          <w:p w14:paraId="6CCBF671"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67BA4E26"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715506CE"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66" w:type="dxa"/>
            <w:tcBorders>
              <w:top w:val="nil"/>
              <w:left w:val="nil"/>
              <w:bottom w:val="nil"/>
              <w:right w:val="nil"/>
            </w:tcBorders>
            <w:shd w:val="clear" w:color="000000" w:fill="FFFFFF"/>
            <w:noWrap/>
            <w:vAlign w:val="bottom"/>
            <w:hideMark/>
          </w:tcPr>
          <w:p w14:paraId="65F30877"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80" w:type="dxa"/>
            <w:tcBorders>
              <w:top w:val="nil"/>
              <w:left w:val="nil"/>
              <w:bottom w:val="nil"/>
              <w:right w:val="nil"/>
            </w:tcBorders>
            <w:shd w:val="clear" w:color="000000" w:fill="FFFFFF"/>
            <w:noWrap/>
            <w:vAlign w:val="bottom"/>
            <w:hideMark/>
          </w:tcPr>
          <w:p w14:paraId="3798B258"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601" w:type="dxa"/>
            <w:tcBorders>
              <w:top w:val="nil"/>
              <w:left w:val="nil"/>
              <w:bottom w:val="nil"/>
              <w:right w:val="nil"/>
            </w:tcBorders>
            <w:shd w:val="clear" w:color="auto" w:fill="CCECFF"/>
            <w:noWrap/>
            <w:vAlign w:val="bottom"/>
            <w:hideMark/>
          </w:tcPr>
          <w:p w14:paraId="77FEB022" w14:textId="77777777" w:rsidR="002E2BB5" w:rsidRPr="002E2BB5" w:rsidRDefault="002E2BB5" w:rsidP="002E2BB5">
            <w:pPr>
              <w:spacing w:after="0" w:line="240" w:lineRule="auto"/>
              <w:jc w:val="right"/>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236" w:type="dxa"/>
            <w:vAlign w:val="center"/>
            <w:hideMark/>
          </w:tcPr>
          <w:p w14:paraId="00B80436"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962207" w:rsidRPr="002E2BB5" w14:paraId="411F4940" w14:textId="77777777" w:rsidTr="00DE7814">
        <w:trPr>
          <w:trHeight w:val="300"/>
        </w:trPr>
        <w:tc>
          <w:tcPr>
            <w:tcW w:w="2694" w:type="dxa"/>
            <w:tcBorders>
              <w:top w:val="nil"/>
              <w:left w:val="nil"/>
              <w:bottom w:val="nil"/>
              <w:right w:val="nil"/>
            </w:tcBorders>
            <w:shd w:val="clear" w:color="000000" w:fill="FFFFFF"/>
            <w:noWrap/>
            <w:vAlign w:val="bottom"/>
            <w:hideMark/>
          </w:tcPr>
          <w:p w14:paraId="70A4FC94" w14:textId="7547D91F"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xml:space="preserve"> </w:t>
            </w:r>
            <w:r w:rsidR="00C9468F">
              <w:rPr>
                <w:rFonts w:ascii="Arial" w:eastAsia="Times New Roman" w:hAnsi="Arial" w:cs="Arial"/>
                <w:sz w:val="15"/>
                <w:szCs w:val="15"/>
                <w:lang w:eastAsia="en-GB"/>
              </w:rPr>
              <w:t xml:space="preserve"> </w:t>
            </w:r>
            <w:r w:rsidRPr="002E2BB5">
              <w:rPr>
                <w:rFonts w:ascii="Arial" w:eastAsia="Times New Roman" w:hAnsi="Arial" w:cs="Arial"/>
                <w:sz w:val="15"/>
                <w:szCs w:val="15"/>
                <w:lang w:eastAsia="en-GB"/>
              </w:rPr>
              <w:t xml:space="preserve"> - Employee pension schemes </w:t>
            </w:r>
          </w:p>
        </w:tc>
        <w:tc>
          <w:tcPr>
            <w:tcW w:w="627" w:type="dxa"/>
            <w:tcBorders>
              <w:top w:val="nil"/>
              <w:left w:val="nil"/>
              <w:bottom w:val="nil"/>
              <w:right w:val="nil"/>
            </w:tcBorders>
            <w:shd w:val="clear" w:color="000000" w:fill="FFFFFF"/>
            <w:noWrap/>
            <w:vAlign w:val="bottom"/>
            <w:hideMark/>
          </w:tcPr>
          <w:p w14:paraId="047AA002"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658" w:type="dxa"/>
            <w:tcBorders>
              <w:top w:val="nil"/>
              <w:left w:val="nil"/>
              <w:bottom w:val="nil"/>
              <w:right w:val="nil"/>
            </w:tcBorders>
            <w:shd w:val="clear" w:color="000000" w:fill="FFFFFF"/>
            <w:noWrap/>
            <w:vAlign w:val="bottom"/>
            <w:hideMark/>
          </w:tcPr>
          <w:p w14:paraId="6F592DB0"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5" w:type="dxa"/>
            <w:tcBorders>
              <w:top w:val="nil"/>
              <w:left w:val="nil"/>
              <w:bottom w:val="nil"/>
              <w:right w:val="nil"/>
            </w:tcBorders>
            <w:shd w:val="clear" w:color="000000" w:fill="FFFFFF"/>
            <w:noWrap/>
            <w:vAlign w:val="bottom"/>
            <w:hideMark/>
          </w:tcPr>
          <w:p w14:paraId="4B3AA549"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23E3AE2C"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2" w:type="dxa"/>
            <w:tcBorders>
              <w:top w:val="nil"/>
              <w:left w:val="nil"/>
              <w:bottom w:val="nil"/>
              <w:right w:val="nil"/>
            </w:tcBorders>
            <w:shd w:val="clear" w:color="000000" w:fill="FFFFFF"/>
            <w:noWrap/>
            <w:vAlign w:val="bottom"/>
            <w:hideMark/>
          </w:tcPr>
          <w:p w14:paraId="709DA0DA"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66" w:type="dxa"/>
            <w:tcBorders>
              <w:top w:val="nil"/>
              <w:left w:val="nil"/>
              <w:bottom w:val="nil"/>
              <w:right w:val="nil"/>
            </w:tcBorders>
            <w:shd w:val="clear" w:color="000000" w:fill="FFFFFF"/>
            <w:noWrap/>
            <w:vAlign w:val="bottom"/>
            <w:hideMark/>
          </w:tcPr>
          <w:p w14:paraId="6A30C759"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180" w:type="dxa"/>
            <w:tcBorders>
              <w:top w:val="nil"/>
              <w:left w:val="nil"/>
              <w:bottom w:val="nil"/>
              <w:right w:val="nil"/>
            </w:tcBorders>
            <w:shd w:val="clear" w:color="000000" w:fill="FFFFFF"/>
            <w:noWrap/>
            <w:vAlign w:val="bottom"/>
            <w:hideMark/>
          </w:tcPr>
          <w:p w14:paraId="6C5CA0C8"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1601" w:type="dxa"/>
            <w:tcBorders>
              <w:top w:val="nil"/>
              <w:left w:val="nil"/>
              <w:bottom w:val="nil"/>
              <w:right w:val="nil"/>
            </w:tcBorders>
            <w:shd w:val="clear" w:color="auto" w:fill="CCECFF"/>
            <w:noWrap/>
            <w:vAlign w:val="bottom"/>
            <w:hideMark/>
          </w:tcPr>
          <w:p w14:paraId="389117BC" w14:textId="77777777" w:rsidR="002E2BB5" w:rsidRPr="002E2BB5" w:rsidRDefault="002E2BB5" w:rsidP="002E2BB5">
            <w:pPr>
              <w:spacing w:after="0" w:line="240" w:lineRule="auto"/>
              <w:jc w:val="right"/>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(33)</w:t>
            </w:r>
          </w:p>
        </w:tc>
        <w:tc>
          <w:tcPr>
            <w:tcW w:w="236" w:type="dxa"/>
            <w:vAlign w:val="center"/>
            <w:hideMark/>
          </w:tcPr>
          <w:p w14:paraId="31486389"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962207" w:rsidRPr="002E2BB5" w14:paraId="0B3130B8" w14:textId="77777777" w:rsidTr="00FF3CC2">
        <w:trPr>
          <w:trHeight w:val="353"/>
        </w:trPr>
        <w:tc>
          <w:tcPr>
            <w:tcW w:w="3321" w:type="dxa"/>
            <w:gridSpan w:val="2"/>
            <w:tcBorders>
              <w:top w:val="nil"/>
              <w:left w:val="nil"/>
              <w:bottom w:val="single" w:sz="4" w:space="0" w:color="BFBFBF"/>
              <w:right w:val="nil"/>
            </w:tcBorders>
            <w:shd w:val="clear" w:color="000000" w:fill="FFFFFF"/>
            <w:noWrap/>
            <w:vAlign w:val="center"/>
            <w:hideMark/>
          </w:tcPr>
          <w:p w14:paraId="6849E4DA"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xml:space="preserve">   - Impact of change to deferred tax rate</w:t>
            </w:r>
          </w:p>
        </w:tc>
        <w:tc>
          <w:tcPr>
            <w:tcW w:w="658" w:type="dxa"/>
            <w:tcBorders>
              <w:top w:val="nil"/>
              <w:left w:val="nil"/>
              <w:bottom w:val="single" w:sz="4" w:space="0" w:color="BFBFBF"/>
              <w:right w:val="nil"/>
            </w:tcBorders>
            <w:shd w:val="clear" w:color="000000" w:fill="FFFFFF"/>
            <w:noWrap/>
            <w:vAlign w:val="bottom"/>
            <w:hideMark/>
          </w:tcPr>
          <w:p w14:paraId="75DD7FC5"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5" w:type="dxa"/>
            <w:tcBorders>
              <w:top w:val="nil"/>
              <w:left w:val="nil"/>
              <w:bottom w:val="single" w:sz="4" w:space="0" w:color="BFBFBF"/>
              <w:right w:val="nil"/>
            </w:tcBorders>
            <w:shd w:val="clear" w:color="000000" w:fill="FFFFFF"/>
            <w:noWrap/>
            <w:vAlign w:val="bottom"/>
            <w:hideMark/>
          </w:tcPr>
          <w:p w14:paraId="4D7B9D14" w14:textId="77777777" w:rsidR="002E2BB5" w:rsidRPr="002E2BB5" w:rsidRDefault="002E2BB5" w:rsidP="002E2BB5">
            <w:pPr>
              <w:spacing w:after="0" w:line="240" w:lineRule="auto"/>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712" w:type="dxa"/>
            <w:tcBorders>
              <w:top w:val="nil"/>
              <w:left w:val="nil"/>
              <w:bottom w:val="single" w:sz="4" w:space="0" w:color="BFBFBF"/>
              <w:right w:val="nil"/>
            </w:tcBorders>
            <w:shd w:val="clear" w:color="000000" w:fill="FFFFFF"/>
            <w:noWrap/>
            <w:vAlign w:val="bottom"/>
            <w:hideMark/>
          </w:tcPr>
          <w:p w14:paraId="1A45F37E" w14:textId="77777777" w:rsidR="002E2BB5" w:rsidRPr="002E2BB5" w:rsidRDefault="002E2BB5" w:rsidP="002E2BB5">
            <w:pPr>
              <w:spacing w:after="0" w:line="240" w:lineRule="auto"/>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712" w:type="dxa"/>
            <w:tcBorders>
              <w:top w:val="nil"/>
              <w:left w:val="nil"/>
              <w:bottom w:val="single" w:sz="4" w:space="0" w:color="BFBFBF"/>
              <w:right w:val="nil"/>
            </w:tcBorders>
            <w:shd w:val="clear" w:color="000000" w:fill="FFFFFF"/>
            <w:noWrap/>
            <w:vAlign w:val="bottom"/>
            <w:hideMark/>
          </w:tcPr>
          <w:p w14:paraId="089AD97B" w14:textId="77777777" w:rsidR="002E2BB5" w:rsidRPr="002E2BB5" w:rsidRDefault="002E2BB5" w:rsidP="002E2BB5">
            <w:pPr>
              <w:spacing w:after="0" w:line="240" w:lineRule="auto"/>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1166" w:type="dxa"/>
            <w:tcBorders>
              <w:top w:val="nil"/>
              <w:left w:val="nil"/>
              <w:bottom w:val="single" w:sz="4" w:space="0" w:color="BFBFBF"/>
              <w:right w:val="nil"/>
            </w:tcBorders>
            <w:shd w:val="clear" w:color="000000" w:fill="FFFFFF"/>
            <w:noWrap/>
            <w:vAlign w:val="bottom"/>
            <w:hideMark/>
          </w:tcPr>
          <w:p w14:paraId="3795F9B5" w14:textId="77777777" w:rsidR="002E2BB5" w:rsidRPr="002E2BB5" w:rsidRDefault="002E2BB5" w:rsidP="002E2BB5">
            <w:pPr>
              <w:spacing w:after="0" w:line="240" w:lineRule="auto"/>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1180" w:type="dxa"/>
            <w:tcBorders>
              <w:top w:val="nil"/>
              <w:left w:val="nil"/>
              <w:bottom w:val="single" w:sz="4" w:space="0" w:color="BFBFBF"/>
              <w:right w:val="nil"/>
            </w:tcBorders>
            <w:shd w:val="clear" w:color="000000" w:fill="FFFFFF"/>
            <w:noWrap/>
            <w:vAlign w:val="bottom"/>
            <w:hideMark/>
          </w:tcPr>
          <w:p w14:paraId="0F996D2C" w14:textId="77777777" w:rsidR="002E2BB5" w:rsidRPr="002E2BB5" w:rsidRDefault="002E2BB5" w:rsidP="002E2BB5">
            <w:pPr>
              <w:spacing w:after="0" w:line="240" w:lineRule="auto"/>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1601" w:type="dxa"/>
            <w:tcBorders>
              <w:top w:val="nil"/>
              <w:left w:val="nil"/>
              <w:bottom w:val="single" w:sz="4" w:space="0" w:color="BFBFBF"/>
              <w:right w:val="nil"/>
            </w:tcBorders>
            <w:shd w:val="clear" w:color="auto" w:fill="CCECFF"/>
            <w:noWrap/>
            <w:vAlign w:val="bottom"/>
            <w:hideMark/>
          </w:tcPr>
          <w:p w14:paraId="0BFDF15A" w14:textId="77777777" w:rsidR="002E2BB5" w:rsidRPr="002E2BB5" w:rsidRDefault="002E2BB5" w:rsidP="002E2BB5">
            <w:pPr>
              <w:spacing w:after="0" w:line="240" w:lineRule="auto"/>
              <w:jc w:val="right"/>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(11)</w:t>
            </w:r>
          </w:p>
        </w:tc>
        <w:tc>
          <w:tcPr>
            <w:tcW w:w="236" w:type="dxa"/>
            <w:vAlign w:val="center"/>
            <w:hideMark/>
          </w:tcPr>
          <w:p w14:paraId="2820BE4C"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r w:rsidR="00962207" w:rsidRPr="002E2BB5" w14:paraId="5156E874" w14:textId="77777777" w:rsidTr="00DE7814">
        <w:trPr>
          <w:trHeight w:val="300"/>
        </w:trPr>
        <w:tc>
          <w:tcPr>
            <w:tcW w:w="2694" w:type="dxa"/>
            <w:tcBorders>
              <w:top w:val="nil"/>
              <w:left w:val="nil"/>
              <w:bottom w:val="single" w:sz="4" w:space="0" w:color="BFBFBF"/>
              <w:right w:val="nil"/>
            </w:tcBorders>
            <w:shd w:val="clear" w:color="000000" w:fill="FFFFFF"/>
            <w:noWrap/>
            <w:vAlign w:val="bottom"/>
            <w:hideMark/>
          </w:tcPr>
          <w:p w14:paraId="7926C4C7"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At end of period (net liability)</w:t>
            </w:r>
          </w:p>
        </w:tc>
        <w:tc>
          <w:tcPr>
            <w:tcW w:w="627" w:type="dxa"/>
            <w:tcBorders>
              <w:top w:val="nil"/>
              <w:left w:val="nil"/>
              <w:bottom w:val="single" w:sz="4" w:space="0" w:color="BFBFBF"/>
              <w:right w:val="nil"/>
            </w:tcBorders>
            <w:shd w:val="clear" w:color="000000" w:fill="FFFFFF"/>
            <w:noWrap/>
            <w:vAlign w:val="bottom"/>
            <w:hideMark/>
          </w:tcPr>
          <w:p w14:paraId="5F580080"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658" w:type="dxa"/>
            <w:tcBorders>
              <w:top w:val="nil"/>
              <w:left w:val="nil"/>
              <w:bottom w:val="single" w:sz="4" w:space="0" w:color="BFBFBF"/>
              <w:right w:val="nil"/>
            </w:tcBorders>
            <w:shd w:val="clear" w:color="000000" w:fill="FFFFFF"/>
            <w:noWrap/>
            <w:vAlign w:val="bottom"/>
            <w:hideMark/>
          </w:tcPr>
          <w:p w14:paraId="4E18123B" w14:textId="77777777" w:rsidR="002E2BB5" w:rsidRPr="002E2BB5" w:rsidRDefault="002E2BB5" w:rsidP="002E2BB5">
            <w:pPr>
              <w:spacing w:after="0" w:line="240" w:lineRule="auto"/>
              <w:rPr>
                <w:rFonts w:ascii="Arial" w:eastAsia="Times New Roman" w:hAnsi="Arial" w:cs="Arial"/>
                <w:sz w:val="15"/>
                <w:szCs w:val="15"/>
                <w:lang w:eastAsia="en-GB"/>
              </w:rPr>
            </w:pPr>
            <w:r w:rsidRPr="002E2BB5">
              <w:rPr>
                <w:rFonts w:ascii="Arial" w:eastAsia="Times New Roman" w:hAnsi="Arial" w:cs="Arial"/>
                <w:sz w:val="15"/>
                <w:szCs w:val="15"/>
                <w:lang w:eastAsia="en-GB"/>
              </w:rPr>
              <w:t> </w:t>
            </w:r>
          </w:p>
        </w:tc>
        <w:tc>
          <w:tcPr>
            <w:tcW w:w="715" w:type="dxa"/>
            <w:tcBorders>
              <w:top w:val="nil"/>
              <w:left w:val="nil"/>
              <w:bottom w:val="single" w:sz="4" w:space="0" w:color="BFBFBF"/>
              <w:right w:val="nil"/>
            </w:tcBorders>
            <w:shd w:val="clear" w:color="000000" w:fill="FFFFFF"/>
            <w:noWrap/>
            <w:vAlign w:val="bottom"/>
            <w:hideMark/>
          </w:tcPr>
          <w:p w14:paraId="0C803236" w14:textId="77777777" w:rsidR="002E2BB5" w:rsidRPr="002E2BB5" w:rsidRDefault="002E2BB5" w:rsidP="002E2BB5">
            <w:pPr>
              <w:spacing w:after="0" w:line="240" w:lineRule="auto"/>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712" w:type="dxa"/>
            <w:tcBorders>
              <w:top w:val="nil"/>
              <w:left w:val="nil"/>
              <w:bottom w:val="single" w:sz="4" w:space="0" w:color="BFBFBF"/>
              <w:right w:val="nil"/>
            </w:tcBorders>
            <w:shd w:val="clear" w:color="000000" w:fill="FFFFFF"/>
            <w:noWrap/>
            <w:vAlign w:val="bottom"/>
            <w:hideMark/>
          </w:tcPr>
          <w:p w14:paraId="2D12EDC0" w14:textId="77777777" w:rsidR="002E2BB5" w:rsidRPr="002E2BB5" w:rsidRDefault="002E2BB5" w:rsidP="002E2BB5">
            <w:pPr>
              <w:spacing w:after="0" w:line="240" w:lineRule="auto"/>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712" w:type="dxa"/>
            <w:tcBorders>
              <w:top w:val="nil"/>
              <w:left w:val="nil"/>
              <w:bottom w:val="single" w:sz="4" w:space="0" w:color="BFBFBF"/>
              <w:right w:val="nil"/>
            </w:tcBorders>
            <w:shd w:val="clear" w:color="000000" w:fill="FFFFFF"/>
            <w:noWrap/>
            <w:vAlign w:val="bottom"/>
            <w:hideMark/>
          </w:tcPr>
          <w:p w14:paraId="4A37B810" w14:textId="77777777" w:rsidR="002E2BB5" w:rsidRPr="002E2BB5" w:rsidRDefault="002E2BB5" w:rsidP="002E2BB5">
            <w:pPr>
              <w:spacing w:after="0" w:line="240" w:lineRule="auto"/>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1166" w:type="dxa"/>
            <w:tcBorders>
              <w:top w:val="nil"/>
              <w:left w:val="nil"/>
              <w:bottom w:val="single" w:sz="4" w:space="0" w:color="BFBFBF"/>
              <w:right w:val="nil"/>
            </w:tcBorders>
            <w:shd w:val="clear" w:color="000000" w:fill="FFFFFF"/>
            <w:noWrap/>
            <w:vAlign w:val="bottom"/>
            <w:hideMark/>
          </w:tcPr>
          <w:p w14:paraId="569D2B6E" w14:textId="77777777" w:rsidR="002E2BB5" w:rsidRPr="002E2BB5" w:rsidRDefault="002E2BB5" w:rsidP="002E2BB5">
            <w:pPr>
              <w:spacing w:after="0" w:line="240" w:lineRule="auto"/>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1180" w:type="dxa"/>
            <w:tcBorders>
              <w:top w:val="nil"/>
              <w:left w:val="nil"/>
              <w:bottom w:val="single" w:sz="4" w:space="0" w:color="BFBFBF"/>
              <w:right w:val="nil"/>
            </w:tcBorders>
            <w:shd w:val="clear" w:color="000000" w:fill="FFFFFF"/>
            <w:noWrap/>
            <w:vAlign w:val="bottom"/>
            <w:hideMark/>
          </w:tcPr>
          <w:p w14:paraId="66981132" w14:textId="77777777" w:rsidR="002E2BB5" w:rsidRPr="002E2BB5" w:rsidRDefault="002E2BB5" w:rsidP="002E2BB5">
            <w:pPr>
              <w:spacing w:after="0" w:line="240" w:lineRule="auto"/>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 </w:t>
            </w:r>
          </w:p>
        </w:tc>
        <w:tc>
          <w:tcPr>
            <w:tcW w:w="1601" w:type="dxa"/>
            <w:tcBorders>
              <w:top w:val="nil"/>
              <w:left w:val="nil"/>
              <w:bottom w:val="single" w:sz="4" w:space="0" w:color="BFBFBF"/>
              <w:right w:val="nil"/>
            </w:tcBorders>
            <w:shd w:val="clear" w:color="auto" w:fill="CCECFF"/>
            <w:noWrap/>
            <w:vAlign w:val="bottom"/>
            <w:hideMark/>
          </w:tcPr>
          <w:p w14:paraId="72D89D21" w14:textId="77777777" w:rsidR="002E2BB5" w:rsidRPr="002E2BB5" w:rsidRDefault="002E2BB5" w:rsidP="002E2BB5">
            <w:pPr>
              <w:spacing w:after="0" w:line="240" w:lineRule="auto"/>
              <w:jc w:val="right"/>
              <w:rPr>
                <w:rFonts w:ascii="Arial" w:eastAsia="Times New Roman" w:hAnsi="Arial" w:cs="Arial"/>
                <w:b/>
                <w:bCs/>
                <w:sz w:val="15"/>
                <w:szCs w:val="15"/>
                <w:lang w:eastAsia="en-GB"/>
              </w:rPr>
            </w:pPr>
            <w:r w:rsidRPr="002E2BB5">
              <w:rPr>
                <w:rFonts w:ascii="Arial" w:eastAsia="Times New Roman" w:hAnsi="Arial" w:cs="Arial"/>
                <w:b/>
                <w:bCs/>
                <w:sz w:val="15"/>
                <w:szCs w:val="15"/>
                <w:lang w:eastAsia="en-GB"/>
              </w:rPr>
              <w:t>(397)</w:t>
            </w:r>
          </w:p>
        </w:tc>
        <w:tc>
          <w:tcPr>
            <w:tcW w:w="236" w:type="dxa"/>
            <w:vAlign w:val="center"/>
            <w:hideMark/>
          </w:tcPr>
          <w:p w14:paraId="7B10DF64" w14:textId="77777777" w:rsidR="002E2BB5" w:rsidRPr="002E2BB5" w:rsidRDefault="002E2BB5" w:rsidP="002E2BB5">
            <w:pPr>
              <w:spacing w:after="0" w:line="240" w:lineRule="auto"/>
              <w:rPr>
                <w:rFonts w:ascii="Times New Roman" w:eastAsia="Times New Roman" w:hAnsi="Times New Roman" w:cs="Times New Roman"/>
                <w:sz w:val="20"/>
                <w:szCs w:val="20"/>
                <w:lang w:eastAsia="en-GB"/>
              </w:rPr>
            </w:pPr>
          </w:p>
        </w:tc>
      </w:tr>
    </w:tbl>
    <w:p w14:paraId="72901596" w14:textId="60617FDB" w:rsidR="002E2BB5" w:rsidRDefault="002E2BB5" w:rsidP="00BB64F8"/>
    <w:p w14:paraId="1772EFAB" w14:textId="2F61374F" w:rsidR="00C9468F" w:rsidRDefault="00C9468F" w:rsidP="00BB64F8"/>
    <w:tbl>
      <w:tblPr>
        <w:tblpPr w:leftFromText="180" w:rightFromText="180" w:vertAnchor="text" w:tblpY="1"/>
        <w:tblOverlap w:val="never"/>
        <w:tblW w:w="10145" w:type="dxa"/>
        <w:tblLook w:val="04A0" w:firstRow="1" w:lastRow="0" w:firstColumn="1" w:lastColumn="0" w:noHBand="0" w:noVBand="1"/>
      </w:tblPr>
      <w:tblGrid>
        <w:gridCol w:w="700"/>
        <w:gridCol w:w="700"/>
        <w:gridCol w:w="700"/>
        <w:gridCol w:w="700"/>
        <w:gridCol w:w="744"/>
        <w:gridCol w:w="476"/>
        <w:gridCol w:w="820"/>
        <w:gridCol w:w="1256"/>
        <w:gridCol w:w="1275"/>
        <w:gridCol w:w="1276"/>
        <w:gridCol w:w="1276"/>
        <w:gridCol w:w="222"/>
      </w:tblGrid>
      <w:tr w:rsidR="00130B78" w:rsidRPr="00EC475F" w14:paraId="35B4C790" w14:textId="77777777" w:rsidTr="00130B78">
        <w:trPr>
          <w:gridAfter w:val="1"/>
          <w:wAfter w:w="222" w:type="dxa"/>
          <w:trHeight w:val="240"/>
        </w:trPr>
        <w:tc>
          <w:tcPr>
            <w:tcW w:w="4840" w:type="dxa"/>
            <w:gridSpan w:val="7"/>
            <w:tcBorders>
              <w:top w:val="nil"/>
              <w:left w:val="nil"/>
              <w:bottom w:val="nil"/>
              <w:right w:val="nil"/>
            </w:tcBorders>
            <w:shd w:val="clear" w:color="000000" w:fill="FFFFFF"/>
            <w:noWrap/>
            <w:vAlign w:val="bottom"/>
            <w:hideMark/>
          </w:tcPr>
          <w:p w14:paraId="5BC9779A" w14:textId="77777777" w:rsidR="00EC475F" w:rsidRPr="00EC475F" w:rsidRDefault="00EC475F" w:rsidP="00EC475F">
            <w:pPr>
              <w:spacing w:after="0" w:line="240" w:lineRule="auto"/>
              <w:rPr>
                <w:rFonts w:ascii="Arial" w:eastAsia="Times New Roman" w:hAnsi="Arial" w:cs="Arial"/>
                <w:b/>
                <w:bCs/>
                <w:sz w:val="18"/>
                <w:szCs w:val="18"/>
                <w:lang w:eastAsia="en-GB"/>
              </w:rPr>
            </w:pPr>
            <w:r w:rsidRPr="00EC475F">
              <w:rPr>
                <w:rFonts w:ascii="Arial" w:eastAsia="Times New Roman" w:hAnsi="Arial" w:cs="Arial"/>
                <w:b/>
                <w:bCs/>
                <w:sz w:val="18"/>
                <w:szCs w:val="18"/>
                <w:lang w:eastAsia="en-GB"/>
              </w:rPr>
              <w:t>6    Profit on discontinued operation, net of tax</w:t>
            </w:r>
          </w:p>
        </w:tc>
        <w:tc>
          <w:tcPr>
            <w:tcW w:w="1256" w:type="dxa"/>
            <w:tcBorders>
              <w:top w:val="nil"/>
              <w:left w:val="nil"/>
              <w:bottom w:val="nil"/>
              <w:right w:val="nil"/>
            </w:tcBorders>
            <w:shd w:val="clear" w:color="000000" w:fill="FFFFFF"/>
            <w:noWrap/>
            <w:vAlign w:val="bottom"/>
            <w:hideMark/>
          </w:tcPr>
          <w:p w14:paraId="5AFE337F" w14:textId="77777777" w:rsidR="00EC475F" w:rsidRPr="00EC475F" w:rsidRDefault="00EC475F" w:rsidP="00EC475F">
            <w:pPr>
              <w:spacing w:after="0" w:line="240" w:lineRule="auto"/>
              <w:rPr>
                <w:rFonts w:ascii="Arial" w:eastAsia="Times New Roman" w:hAnsi="Arial" w:cs="Arial"/>
                <w:sz w:val="18"/>
                <w:szCs w:val="18"/>
                <w:lang w:eastAsia="en-GB"/>
              </w:rPr>
            </w:pPr>
            <w:r w:rsidRPr="00EC475F">
              <w:rPr>
                <w:rFonts w:ascii="Arial" w:eastAsia="Times New Roman" w:hAnsi="Arial" w:cs="Arial"/>
                <w:sz w:val="18"/>
                <w:szCs w:val="18"/>
                <w:lang w:eastAsia="en-GB"/>
              </w:rPr>
              <w:t> </w:t>
            </w:r>
          </w:p>
        </w:tc>
        <w:tc>
          <w:tcPr>
            <w:tcW w:w="1275" w:type="dxa"/>
            <w:tcBorders>
              <w:top w:val="nil"/>
              <w:left w:val="nil"/>
              <w:bottom w:val="nil"/>
              <w:right w:val="nil"/>
            </w:tcBorders>
            <w:shd w:val="clear" w:color="000000" w:fill="FFFFFF"/>
            <w:noWrap/>
            <w:vAlign w:val="bottom"/>
            <w:hideMark/>
          </w:tcPr>
          <w:p w14:paraId="650A8632" w14:textId="77777777" w:rsidR="00EC475F" w:rsidRPr="00EC475F" w:rsidRDefault="00EC475F" w:rsidP="00EC475F">
            <w:pPr>
              <w:spacing w:after="0" w:line="240" w:lineRule="auto"/>
              <w:rPr>
                <w:rFonts w:ascii="Arial" w:eastAsia="Times New Roman" w:hAnsi="Arial" w:cs="Arial"/>
                <w:sz w:val="18"/>
                <w:szCs w:val="18"/>
                <w:lang w:eastAsia="en-GB"/>
              </w:rPr>
            </w:pPr>
            <w:r w:rsidRPr="00EC475F">
              <w:rPr>
                <w:rFonts w:ascii="Arial" w:eastAsia="Times New Roman" w:hAnsi="Arial" w:cs="Arial"/>
                <w:sz w:val="18"/>
                <w:szCs w:val="18"/>
                <w:lang w:eastAsia="en-GB"/>
              </w:rPr>
              <w:t> </w:t>
            </w:r>
          </w:p>
        </w:tc>
        <w:tc>
          <w:tcPr>
            <w:tcW w:w="1276" w:type="dxa"/>
            <w:tcBorders>
              <w:top w:val="nil"/>
              <w:left w:val="nil"/>
              <w:bottom w:val="nil"/>
              <w:right w:val="nil"/>
            </w:tcBorders>
            <w:shd w:val="clear" w:color="000000" w:fill="FFFFFF"/>
            <w:noWrap/>
            <w:vAlign w:val="bottom"/>
            <w:hideMark/>
          </w:tcPr>
          <w:p w14:paraId="5FCB1E0E" w14:textId="77777777" w:rsidR="00EC475F" w:rsidRPr="00EC475F" w:rsidRDefault="00EC475F" w:rsidP="00EC475F">
            <w:pPr>
              <w:spacing w:after="0" w:line="240" w:lineRule="auto"/>
              <w:rPr>
                <w:rFonts w:ascii="Arial" w:eastAsia="Times New Roman" w:hAnsi="Arial" w:cs="Arial"/>
                <w:sz w:val="18"/>
                <w:szCs w:val="18"/>
                <w:lang w:eastAsia="en-GB"/>
              </w:rPr>
            </w:pPr>
            <w:r w:rsidRPr="00EC475F">
              <w:rPr>
                <w:rFonts w:ascii="Arial" w:eastAsia="Times New Roman" w:hAnsi="Arial" w:cs="Arial"/>
                <w:sz w:val="18"/>
                <w:szCs w:val="18"/>
                <w:lang w:eastAsia="en-GB"/>
              </w:rPr>
              <w:t> </w:t>
            </w:r>
          </w:p>
        </w:tc>
        <w:tc>
          <w:tcPr>
            <w:tcW w:w="1276" w:type="dxa"/>
            <w:tcBorders>
              <w:top w:val="nil"/>
              <w:left w:val="nil"/>
              <w:bottom w:val="nil"/>
              <w:right w:val="nil"/>
            </w:tcBorders>
            <w:shd w:val="clear" w:color="000000" w:fill="FFFFFF"/>
            <w:noWrap/>
            <w:vAlign w:val="bottom"/>
            <w:hideMark/>
          </w:tcPr>
          <w:p w14:paraId="0E4CDC86" w14:textId="77777777" w:rsidR="00EC475F" w:rsidRPr="00EC475F" w:rsidRDefault="00EC475F" w:rsidP="00EC475F">
            <w:pPr>
              <w:spacing w:after="0" w:line="240" w:lineRule="auto"/>
              <w:rPr>
                <w:rFonts w:ascii="Arial" w:eastAsia="Times New Roman" w:hAnsi="Arial" w:cs="Arial"/>
                <w:sz w:val="18"/>
                <w:szCs w:val="18"/>
                <w:lang w:eastAsia="en-GB"/>
              </w:rPr>
            </w:pPr>
            <w:r w:rsidRPr="00EC475F">
              <w:rPr>
                <w:rFonts w:ascii="Arial" w:eastAsia="Times New Roman" w:hAnsi="Arial" w:cs="Arial"/>
                <w:sz w:val="18"/>
                <w:szCs w:val="18"/>
                <w:lang w:eastAsia="en-GB"/>
              </w:rPr>
              <w:t> </w:t>
            </w:r>
          </w:p>
        </w:tc>
      </w:tr>
      <w:tr w:rsidR="00EC475F" w:rsidRPr="00EC475F" w14:paraId="50C0DA1B" w14:textId="77777777" w:rsidTr="00130B78">
        <w:trPr>
          <w:gridAfter w:val="1"/>
          <w:wAfter w:w="222" w:type="dxa"/>
          <w:trHeight w:val="255"/>
        </w:trPr>
        <w:tc>
          <w:tcPr>
            <w:tcW w:w="700" w:type="dxa"/>
            <w:tcBorders>
              <w:top w:val="nil"/>
              <w:left w:val="nil"/>
              <w:bottom w:val="nil"/>
              <w:right w:val="nil"/>
            </w:tcBorders>
            <w:shd w:val="clear" w:color="000000" w:fill="FFFFFF"/>
            <w:noWrap/>
            <w:vAlign w:val="bottom"/>
            <w:hideMark/>
          </w:tcPr>
          <w:p w14:paraId="7358B2B4" w14:textId="77777777" w:rsidR="00EC475F" w:rsidRPr="00EC475F" w:rsidRDefault="00EC475F" w:rsidP="00EC475F">
            <w:pPr>
              <w:spacing w:after="0" w:line="240" w:lineRule="auto"/>
              <w:rPr>
                <w:rFonts w:ascii="Arial" w:eastAsia="Times New Roman" w:hAnsi="Arial" w:cs="Arial"/>
                <w:b/>
                <w:bCs/>
                <w:sz w:val="18"/>
                <w:szCs w:val="18"/>
                <w:lang w:eastAsia="en-GB"/>
              </w:rPr>
            </w:pPr>
            <w:r w:rsidRPr="00EC475F">
              <w:rPr>
                <w:rFonts w:ascii="Arial" w:eastAsia="Times New Roman" w:hAnsi="Arial" w:cs="Arial"/>
                <w:b/>
                <w:bCs/>
                <w:sz w:val="18"/>
                <w:szCs w:val="18"/>
                <w:lang w:eastAsia="en-GB"/>
              </w:rPr>
              <w:t> </w:t>
            </w:r>
          </w:p>
        </w:tc>
        <w:tc>
          <w:tcPr>
            <w:tcW w:w="700" w:type="dxa"/>
            <w:tcBorders>
              <w:top w:val="nil"/>
              <w:left w:val="nil"/>
              <w:bottom w:val="nil"/>
              <w:right w:val="nil"/>
            </w:tcBorders>
            <w:shd w:val="clear" w:color="000000" w:fill="FFFFFF"/>
            <w:noWrap/>
            <w:vAlign w:val="bottom"/>
            <w:hideMark/>
          </w:tcPr>
          <w:p w14:paraId="2CCCA9F7" w14:textId="77777777" w:rsidR="00EC475F" w:rsidRPr="00EC475F" w:rsidRDefault="00EC475F" w:rsidP="00EC475F">
            <w:pPr>
              <w:spacing w:after="0" w:line="240" w:lineRule="auto"/>
              <w:rPr>
                <w:rFonts w:ascii="Arial" w:eastAsia="Times New Roman" w:hAnsi="Arial" w:cs="Arial"/>
                <w:b/>
                <w:bCs/>
                <w:sz w:val="18"/>
                <w:szCs w:val="18"/>
                <w:lang w:eastAsia="en-GB"/>
              </w:rPr>
            </w:pPr>
            <w:r w:rsidRPr="00EC475F">
              <w:rPr>
                <w:rFonts w:ascii="Arial" w:eastAsia="Times New Roman" w:hAnsi="Arial" w:cs="Arial"/>
                <w:b/>
                <w:bCs/>
                <w:sz w:val="18"/>
                <w:szCs w:val="18"/>
                <w:lang w:eastAsia="en-GB"/>
              </w:rPr>
              <w:t> </w:t>
            </w:r>
          </w:p>
        </w:tc>
        <w:tc>
          <w:tcPr>
            <w:tcW w:w="700" w:type="dxa"/>
            <w:tcBorders>
              <w:top w:val="nil"/>
              <w:left w:val="nil"/>
              <w:bottom w:val="nil"/>
              <w:right w:val="nil"/>
            </w:tcBorders>
            <w:shd w:val="clear" w:color="000000" w:fill="FFFFFF"/>
            <w:noWrap/>
            <w:vAlign w:val="bottom"/>
            <w:hideMark/>
          </w:tcPr>
          <w:p w14:paraId="42A124E6" w14:textId="77777777" w:rsidR="00EC475F" w:rsidRPr="00EC475F" w:rsidRDefault="00EC475F" w:rsidP="00EC475F">
            <w:pPr>
              <w:spacing w:after="0" w:line="240" w:lineRule="auto"/>
              <w:rPr>
                <w:rFonts w:ascii="Arial" w:eastAsia="Times New Roman" w:hAnsi="Arial" w:cs="Arial"/>
                <w:b/>
                <w:bCs/>
                <w:sz w:val="18"/>
                <w:szCs w:val="18"/>
                <w:lang w:eastAsia="en-GB"/>
              </w:rPr>
            </w:pPr>
            <w:r w:rsidRPr="00EC475F">
              <w:rPr>
                <w:rFonts w:ascii="Arial" w:eastAsia="Times New Roman" w:hAnsi="Arial" w:cs="Arial"/>
                <w:b/>
                <w:bCs/>
                <w:sz w:val="18"/>
                <w:szCs w:val="18"/>
                <w:lang w:eastAsia="en-GB"/>
              </w:rPr>
              <w:t> </w:t>
            </w:r>
          </w:p>
        </w:tc>
        <w:tc>
          <w:tcPr>
            <w:tcW w:w="700" w:type="dxa"/>
            <w:tcBorders>
              <w:top w:val="nil"/>
              <w:left w:val="nil"/>
              <w:bottom w:val="nil"/>
              <w:right w:val="nil"/>
            </w:tcBorders>
            <w:shd w:val="clear" w:color="000000" w:fill="FFFFFF"/>
            <w:noWrap/>
            <w:vAlign w:val="bottom"/>
            <w:hideMark/>
          </w:tcPr>
          <w:p w14:paraId="3B115FED" w14:textId="77777777" w:rsidR="00EC475F" w:rsidRPr="00EC475F" w:rsidRDefault="00EC475F" w:rsidP="00EC475F">
            <w:pPr>
              <w:spacing w:after="0" w:line="240" w:lineRule="auto"/>
              <w:rPr>
                <w:rFonts w:ascii="Arial" w:eastAsia="Times New Roman" w:hAnsi="Arial" w:cs="Arial"/>
                <w:b/>
                <w:bCs/>
                <w:sz w:val="18"/>
                <w:szCs w:val="18"/>
                <w:lang w:eastAsia="en-GB"/>
              </w:rPr>
            </w:pPr>
            <w:r w:rsidRPr="00EC475F">
              <w:rPr>
                <w:rFonts w:ascii="Arial" w:eastAsia="Times New Roman" w:hAnsi="Arial" w:cs="Arial"/>
                <w:b/>
                <w:bCs/>
                <w:sz w:val="18"/>
                <w:szCs w:val="18"/>
                <w:lang w:eastAsia="en-GB"/>
              </w:rPr>
              <w:t> </w:t>
            </w:r>
          </w:p>
        </w:tc>
        <w:tc>
          <w:tcPr>
            <w:tcW w:w="744" w:type="dxa"/>
            <w:tcBorders>
              <w:top w:val="nil"/>
              <w:left w:val="nil"/>
              <w:bottom w:val="nil"/>
              <w:right w:val="nil"/>
            </w:tcBorders>
            <w:shd w:val="clear" w:color="000000" w:fill="FFFFFF"/>
            <w:noWrap/>
            <w:vAlign w:val="bottom"/>
            <w:hideMark/>
          </w:tcPr>
          <w:p w14:paraId="2499CECE" w14:textId="77777777" w:rsidR="00EC475F" w:rsidRPr="00EC475F" w:rsidRDefault="00EC475F" w:rsidP="00EC475F">
            <w:pPr>
              <w:spacing w:after="0" w:line="240" w:lineRule="auto"/>
              <w:rPr>
                <w:rFonts w:ascii="Arial" w:eastAsia="Times New Roman" w:hAnsi="Arial" w:cs="Arial"/>
                <w:b/>
                <w:bCs/>
                <w:sz w:val="18"/>
                <w:szCs w:val="18"/>
                <w:lang w:eastAsia="en-GB"/>
              </w:rPr>
            </w:pPr>
            <w:r w:rsidRPr="00EC475F">
              <w:rPr>
                <w:rFonts w:ascii="Arial" w:eastAsia="Times New Roman" w:hAnsi="Arial" w:cs="Arial"/>
                <w:b/>
                <w:bCs/>
                <w:sz w:val="18"/>
                <w:szCs w:val="18"/>
                <w:lang w:eastAsia="en-GB"/>
              </w:rPr>
              <w:t> </w:t>
            </w:r>
          </w:p>
        </w:tc>
        <w:tc>
          <w:tcPr>
            <w:tcW w:w="476" w:type="dxa"/>
            <w:tcBorders>
              <w:top w:val="nil"/>
              <w:left w:val="nil"/>
              <w:bottom w:val="nil"/>
              <w:right w:val="nil"/>
            </w:tcBorders>
            <w:shd w:val="clear" w:color="000000" w:fill="FFFFFF"/>
            <w:noWrap/>
            <w:vAlign w:val="bottom"/>
            <w:hideMark/>
          </w:tcPr>
          <w:p w14:paraId="3B9F8828" w14:textId="77777777" w:rsidR="00EC475F" w:rsidRPr="00EC475F" w:rsidRDefault="00EC475F" w:rsidP="00EC475F">
            <w:pPr>
              <w:spacing w:after="0" w:line="240" w:lineRule="auto"/>
              <w:rPr>
                <w:rFonts w:ascii="Arial" w:eastAsia="Times New Roman" w:hAnsi="Arial" w:cs="Arial"/>
                <w:b/>
                <w:bCs/>
                <w:sz w:val="18"/>
                <w:szCs w:val="18"/>
                <w:lang w:eastAsia="en-GB"/>
              </w:rPr>
            </w:pPr>
            <w:r w:rsidRPr="00EC475F">
              <w:rPr>
                <w:rFonts w:ascii="Arial" w:eastAsia="Times New Roman" w:hAnsi="Arial" w:cs="Arial"/>
                <w:b/>
                <w:bCs/>
                <w:sz w:val="18"/>
                <w:szCs w:val="18"/>
                <w:lang w:eastAsia="en-GB"/>
              </w:rPr>
              <w:t> </w:t>
            </w:r>
          </w:p>
        </w:tc>
        <w:tc>
          <w:tcPr>
            <w:tcW w:w="820" w:type="dxa"/>
            <w:tcBorders>
              <w:top w:val="nil"/>
              <w:left w:val="nil"/>
              <w:bottom w:val="nil"/>
              <w:right w:val="nil"/>
            </w:tcBorders>
            <w:shd w:val="clear" w:color="000000" w:fill="FFFFFF"/>
            <w:noWrap/>
            <w:vAlign w:val="bottom"/>
            <w:hideMark/>
          </w:tcPr>
          <w:p w14:paraId="72373FC5" w14:textId="77777777" w:rsidR="00EC475F" w:rsidRPr="00EC475F" w:rsidRDefault="00EC475F" w:rsidP="00EC475F">
            <w:pPr>
              <w:spacing w:after="0" w:line="240" w:lineRule="auto"/>
              <w:rPr>
                <w:rFonts w:ascii="Arial" w:eastAsia="Times New Roman" w:hAnsi="Arial" w:cs="Arial"/>
                <w:b/>
                <w:bCs/>
                <w:sz w:val="18"/>
                <w:szCs w:val="18"/>
                <w:lang w:eastAsia="en-GB"/>
              </w:rPr>
            </w:pPr>
            <w:r w:rsidRPr="00EC475F">
              <w:rPr>
                <w:rFonts w:ascii="Arial" w:eastAsia="Times New Roman" w:hAnsi="Arial" w:cs="Arial"/>
                <w:b/>
                <w:bCs/>
                <w:sz w:val="18"/>
                <w:szCs w:val="18"/>
                <w:lang w:eastAsia="en-GB"/>
              </w:rPr>
              <w:t> </w:t>
            </w:r>
          </w:p>
        </w:tc>
        <w:tc>
          <w:tcPr>
            <w:tcW w:w="1256" w:type="dxa"/>
            <w:tcBorders>
              <w:top w:val="nil"/>
              <w:left w:val="nil"/>
              <w:bottom w:val="nil"/>
              <w:right w:val="nil"/>
            </w:tcBorders>
            <w:shd w:val="clear" w:color="000000" w:fill="FFFFFF"/>
            <w:noWrap/>
            <w:vAlign w:val="bottom"/>
            <w:hideMark/>
          </w:tcPr>
          <w:p w14:paraId="4C964F38" w14:textId="77777777" w:rsidR="00EC475F" w:rsidRPr="00EC475F" w:rsidRDefault="00EC475F" w:rsidP="00EC475F">
            <w:pPr>
              <w:spacing w:after="0" w:line="240" w:lineRule="auto"/>
              <w:rPr>
                <w:rFonts w:ascii="Arial" w:eastAsia="Times New Roman" w:hAnsi="Arial" w:cs="Arial"/>
                <w:sz w:val="18"/>
                <w:szCs w:val="18"/>
                <w:lang w:eastAsia="en-GB"/>
              </w:rPr>
            </w:pPr>
            <w:r w:rsidRPr="00EC475F">
              <w:rPr>
                <w:rFonts w:ascii="Arial" w:eastAsia="Times New Roman" w:hAnsi="Arial" w:cs="Arial"/>
                <w:sz w:val="18"/>
                <w:szCs w:val="18"/>
                <w:lang w:eastAsia="en-GB"/>
              </w:rPr>
              <w:t> </w:t>
            </w:r>
          </w:p>
        </w:tc>
        <w:tc>
          <w:tcPr>
            <w:tcW w:w="1275" w:type="dxa"/>
            <w:tcBorders>
              <w:top w:val="nil"/>
              <w:left w:val="nil"/>
              <w:bottom w:val="nil"/>
              <w:right w:val="nil"/>
            </w:tcBorders>
            <w:shd w:val="clear" w:color="000000" w:fill="FFFFFF"/>
            <w:noWrap/>
            <w:vAlign w:val="bottom"/>
            <w:hideMark/>
          </w:tcPr>
          <w:p w14:paraId="3D69EB7D" w14:textId="77777777" w:rsidR="00EC475F" w:rsidRPr="00EC475F" w:rsidRDefault="00EC475F" w:rsidP="00EC475F">
            <w:pPr>
              <w:spacing w:after="0" w:line="240" w:lineRule="auto"/>
              <w:rPr>
                <w:rFonts w:ascii="Arial" w:eastAsia="Times New Roman" w:hAnsi="Arial" w:cs="Arial"/>
                <w:sz w:val="18"/>
                <w:szCs w:val="18"/>
                <w:lang w:eastAsia="en-GB"/>
              </w:rPr>
            </w:pPr>
            <w:r w:rsidRPr="00EC475F">
              <w:rPr>
                <w:rFonts w:ascii="Arial" w:eastAsia="Times New Roman" w:hAnsi="Arial" w:cs="Arial"/>
                <w:sz w:val="18"/>
                <w:szCs w:val="18"/>
                <w:lang w:eastAsia="en-GB"/>
              </w:rPr>
              <w:t> </w:t>
            </w:r>
          </w:p>
        </w:tc>
        <w:tc>
          <w:tcPr>
            <w:tcW w:w="1276" w:type="dxa"/>
            <w:tcBorders>
              <w:top w:val="nil"/>
              <w:left w:val="nil"/>
              <w:bottom w:val="nil"/>
              <w:right w:val="nil"/>
            </w:tcBorders>
            <w:shd w:val="clear" w:color="000000" w:fill="FFFFFF"/>
            <w:noWrap/>
            <w:vAlign w:val="bottom"/>
            <w:hideMark/>
          </w:tcPr>
          <w:p w14:paraId="237BF394" w14:textId="77777777" w:rsidR="00EC475F" w:rsidRPr="00EC475F" w:rsidRDefault="00EC475F" w:rsidP="00EC475F">
            <w:pPr>
              <w:spacing w:after="0" w:line="240" w:lineRule="auto"/>
              <w:rPr>
                <w:rFonts w:ascii="Arial" w:eastAsia="Times New Roman" w:hAnsi="Arial" w:cs="Arial"/>
                <w:sz w:val="18"/>
                <w:szCs w:val="18"/>
                <w:lang w:eastAsia="en-GB"/>
              </w:rPr>
            </w:pPr>
            <w:r w:rsidRPr="00EC475F">
              <w:rPr>
                <w:rFonts w:ascii="Arial" w:eastAsia="Times New Roman" w:hAnsi="Arial" w:cs="Arial"/>
                <w:sz w:val="18"/>
                <w:szCs w:val="18"/>
                <w:lang w:eastAsia="en-GB"/>
              </w:rPr>
              <w:t> </w:t>
            </w:r>
          </w:p>
        </w:tc>
        <w:tc>
          <w:tcPr>
            <w:tcW w:w="1276" w:type="dxa"/>
            <w:tcBorders>
              <w:top w:val="nil"/>
              <w:left w:val="nil"/>
              <w:bottom w:val="nil"/>
              <w:right w:val="nil"/>
            </w:tcBorders>
            <w:shd w:val="clear" w:color="000000" w:fill="FFFFFF"/>
            <w:noWrap/>
            <w:vAlign w:val="bottom"/>
            <w:hideMark/>
          </w:tcPr>
          <w:p w14:paraId="653C2E15" w14:textId="77777777" w:rsidR="00EC475F" w:rsidRPr="00EC475F" w:rsidRDefault="00EC475F" w:rsidP="00EC475F">
            <w:pPr>
              <w:spacing w:after="0" w:line="240" w:lineRule="auto"/>
              <w:rPr>
                <w:rFonts w:ascii="Arial" w:eastAsia="Times New Roman" w:hAnsi="Arial" w:cs="Arial"/>
                <w:sz w:val="18"/>
                <w:szCs w:val="18"/>
                <w:lang w:eastAsia="en-GB"/>
              </w:rPr>
            </w:pPr>
            <w:r w:rsidRPr="00EC475F">
              <w:rPr>
                <w:rFonts w:ascii="Arial" w:eastAsia="Times New Roman" w:hAnsi="Arial" w:cs="Arial"/>
                <w:sz w:val="18"/>
                <w:szCs w:val="18"/>
                <w:lang w:eastAsia="en-GB"/>
              </w:rPr>
              <w:t> </w:t>
            </w:r>
          </w:p>
        </w:tc>
      </w:tr>
      <w:tr w:rsidR="00EC475F" w:rsidRPr="00EC475F" w14:paraId="6424E4A0" w14:textId="77777777" w:rsidTr="00EC475F">
        <w:trPr>
          <w:gridAfter w:val="1"/>
          <w:wAfter w:w="222" w:type="dxa"/>
          <w:trHeight w:val="450"/>
        </w:trPr>
        <w:tc>
          <w:tcPr>
            <w:tcW w:w="9923" w:type="dxa"/>
            <w:gridSpan w:val="11"/>
            <w:vMerge w:val="restart"/>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117C2F07" w14:textId="77777777" w:rsidR="00EC475F" w:rsidRPr="00EC475F" w:rsidRDefault="00EC475F" w:rsidP="00EC475F">
            <w:pPr>
              <w:spacing w:after="0" w:line="240" w:lineRule="auto"/>
              <w:rPr>
                <w:rFonts w:ascii="Arial" w:eastAsia="Times New Roman" w:hAnsi="Arial" w:cs="Arial"/>
                <w:b/>
                <w:bCs/>
                <w:sz w:val="18"/>
                <w:szCs w:val="18"/>
                <w:lang w:eastAsia="en-GB"/>
              </w:rPr>
            </w:pPr>
            <w:r w:rsidRPr="00EC475F">
              <w:rPr>
                <w:rFonts w:ascii="Arial" w:eastAsia="Times New Roman" w:hAnsi="Arial" w:cs="Arial"/>
                <w:b/>
                <w:bCs/>
                <w:sz w:val="18"/>
                <w:szCs w:val="18"/>
                <w:lang w:eastAsia="en-GB"/>
              </w:rPr>
              <w:t xml:space="preserve">What does this show? </w:t>
            </w:r>
            <w:r w:rsidRPr="00EC475F">
              <w:rPr>
                <w:rFonts w:ascii="Arial" w:eastAsia="Times New Roman" w:hAnsi="Arial" w:cs="Arial"/>
                <w:sz w:val="18"/>
                <w:szCs w:val="18"/>
                <w:lang w:eastAsia="en-GB"/>
              </w:rPr>
              <w:t xml:space="preserve">We classify any of our business operating segments as discontinued operations if they have been disposed of during the year or if they are held for sale at the balance sheet </w:t>
            </w:r>
            <w:proofErr w:type="spellStart"/>
            <w:r w:rsidRPr="00EC475F">
              <w:rPr>
                <w:rFonts w:ascii="Arial" w:eastAsia="Times New Roman" w:hAnsi="Arial" w:cs="Arial"/>
                <w:sz w:val="18"/>
                <w:szCs w:val="18"/>
                <w:lang w:eastAsia="en-GB"/>
              </w:rPr>
              <w:t>date</w:t>
            </w:r>
            <w:proofErr w:type="spellEnd"/>
            <w:r w:rsidRPr="00EC475F">
              <w:rPr>
                <w:rFonts w:ascii="Arial" w:eastAsia="Times New Roman" w:hAnsi="Arial" w:cs="Arial"/>
                <w:sz w:val="18"/>
                <w:szCs w:val="18"/>
                <w:lang w:eastAsia="en-GB"/>
              </w:rPr>
              <w:t xml:space="preserve"> (which means they are most likely to be sold within a year). This note shows the operating result for these segments as well as the profit or loss on disposal. </w:t>
            </w:r>
          </w:p>
        </w:tc>
      </w:tr>
      <w:tr w:rsidR="00EC475F" w:rsidRPr="00EC475F" w14:paraId="3FEDE259" w14:textId="77777777" w:rsidTr="00EC475F">
        <w:trPr>
          <w:trHeight w:val="360"/>
        </w:trPr>
        <w:tc>
          <w:tcPr>
            <w:tcW w:w="9923" w:type="dxa"/>
            <w:gridSpan w:val="11"/>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7663BA18" w14:textId="77777777" w:rsidR="00EC475F" w:rsidRPr="00EC475F" w:rsidRDefault="00EC475F" w:rsidP="00EC475F">
            <w:pPr>
              <w:spacing w:after="0" w:line="240" w:lineRule="auto"/>
              <w:rPr>
                <w:rFonts w:ascii="Arial" w:eastAsia="Times New Roman" w:hAnsi="Arial" w:cs="Arial"/>
                <w:b/>
                <w:bCs/>
                <w:sz w:val="18"/>
                <w:szCs w:val="18"/>
                <w:lang w:eastAsia="en-GB"/>
              </w:rPr>
            </w:pPr>
          </w:p>
        </w:tc>
        <w:tc>
          <w:tcPr>
            <w:tcW w:w="222" w:type="dxa"/>
            <w:tcBorders>
              <w:top w:val="nil"/>
              <w:left w:val="nil"/>
              <w:bottom w:val="nil"/>
              <w:right w:val="nil"/>
            </w:tcBorders>
            <w:shd w:val="clear" w:color="auto" w:fill="auto"/>
            <w:noWrap/>
            <w:vAlign w:val="bottom"/>
            <w:hideMark/>
          </w:tcPr>
          <w:p w14:paraId="6AE7211A" w14:textId="77777777" w:rsidR="00EC475F" w:rsidRPr="00EC475F" w:rsidRDefault="00EC475F" w:rsidP="00EC475F">
            <w:pPr>
              <w:spacing w:after="0" w:line="240" w:lineRule="auto"/>
              <w:rPr>
                <w:rFonts w:ascii="Arial" w:eastAsia="Times New Roman" w:hAnsi="Arial" w:cs="Arial"/>
                <w:b/>
                <w:bCs/>
                <w:sz w:val="18"/>
                <w:szCs w:val="18"/>
                <w:lang w:eastAsia="en-GB"/>
              </w:rPr>
            </w:pPr>
          </w:p>
        </w:tc>
      </w:tr>
      <w:tr w:rsidR="00EC475F" w:rsidRPr="00EC475F" w14:paraId="66CB81EB" w14:textId="77777777" w:rsidTr="00EC475F">
        <w:trPr>
          <w:trHeight w:val="300"/>
        </w:trPr>
        <w:tc>
          <w:tcPr>
            <w:tcW w:w="9923" w:type="dxa"/>
            <w:gridSpan w:val="11"/>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24114C92" w14:textId="77777777" w:rsidR="00EC475F" w:rsidRPr="00EC475F" w:rsidRDefault="00EC475F" w:rsidP="00EC475F">
            <w:pPr>
              <w:spacing w:after="0" w:line="240" w:lineRule="auto"/>
              <w:rPr>
                <w:rFonts w:ascii="Arial" w:eastAsia="Times New Roman" w:hAnsi="Arial" w:cs="Arial"/>
                <w:b/>
                <w:bCs/>
                <w:sz w:val="18"/>
                <w:szCs w:val="18"/>
                <w:lang w:eastAsia="en-GB"/>
              </w:rPr>
            </w:pPr>
          </w:p>
        </w:tc>
        <w:tc>
          <w:tcPr>
            <w:tcW w:w="222" w:type="dxa"/>
            <w:tcBorders>
              <w:top w:val="nil"/>
              <w:left w:val="nil"/>
              <w:bottom w:val="nil"/>
              <w:right w:val="nil"/>
            </w:tcBorders>
            <w:shd w:val="clear" w:color="auto" w:fill="auto"/>
            <w:noWrap/>
            <w:vAlign w:val="bottom"/>
            <w:hideMark/>
          </w:tcPr>
          <w:p w14:paraId="46B34785"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16864CBF" w14:textId="77777777" w:rsidTr="00EC475F">
        <w:trPr>
          <w:trHeight w:val="300"/>
        </w:trPr>
        <w:tc>
          <w:tcPr>
            <w:tcW w:w="9923" w:type="dxa"/>
            <w:gridSpan w:val="11"/>
            <w:tcBorders>
              <w:top w:val="nil"/>
              <w:left w:val="nil"/>
              <w:bottom w:val="nil"/>
              <w:right w:val="nil"/>
            </w:tcBorders>
            <w:shd w:val="clear" w:color="000000" w:fill="FFFFFF"/>
            <w:vAlign w:val="center"/>
            <w:hideMark/>
          </w:tcPr>
          <w:p w14:paraId="284414F3" w14:textId="77777777" w:rsidR="00EC475F" w:rsidRPr="00EC475F" w:rsidRDefault="00EC475F" w:rsidP="00EC475F">
            <w:pPr>
              <w:spacing w:after="0" w:line="240" w:lineRule="auto"/>
              <w:jc w:val="both"/>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222" w:type="dxa"/>
            <w:vAlign w:val="center"/>
            <w:hideMark/>
          </w:tcPr>
          <w:p w14:paraId="56E47C6D"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5C6843A0" w14:textId="77777777" w:rsidTr="00EC475F">
        <w:trPr>
          <w:trHeight w:val="300"/>
        </w:trPr>
        <w:tc>
          <w:tcPr>
            <w:tcW w:w="9923" w:type="dxa"/>
            <w:gridSpan w:val="11"/>
            <w:tcBorders>
              <w:top w:val="nil"/>
              <w:left w:val="nil"/>
              <w:bottom w:val="nil"/>
              <w:right w:val="nil"/>
            </w:tcBorders>
            <w:shd w:val="clear" w:color="000000" w:fill="FFFFFF"/>
            <w:noWrap/>
            <w:vAlign w:val="center"/>
            <w:hideMark/>
          </w:tcPr>
          <w:p w14:paraId="393B0B7C" w14:textId="77777777" w:rsidR="00EC475F" w:rsidRPr="00EC475F" w:rsidRDefault="00EC475F" w:rsidP="00EC475F">
            <w:pPr>
              <w:spacing w:after="0" w:line="240" w:lineRule="auto"/>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Discontinued operation - Insurance (underwriting business)</w:t>
            </w:r>
          </w:p>
        </w:tc>
        <w:tc>
          <w:tcPr>
            <w:tcW w:w="222" w:type="dxa"/>
            <w:vAlign w:val="center"/>
            <w:hideMark/>
          </w:tcPr>
          <w:p w14:paraId="2934748E"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202339DD" w14:textId="77777777" w:rsidTr="00EC475F">
        <w:trPr>
          <w:trHeight w:val="2018"/>
        </w:trPr>
        <w:tc>
          <w:tcPr>
            <w:tcW w:w="9923" w:type="dxa"/>
            <w:gridSpan w:val="11"/>
            <w:tcBorders>
              <w:top w:val="nil"/>
              <w:left w:val="nil"/>
              <w:bottom w:val="nil"/>
              <w:right w:val="nil"/>
            </w:tcBorders>
            <w:shd w:val="clear" w:color="000000" w:fill="FFFFFF"/>
            <w:vAlign w:val="center"/>
            <w:hideMark/>
          </w:tcPr>
          <w:p w14:paraId="26F73B60" w14:textId="77777777" w:rsidR="00EC475F" w:rsidRPr="00EC475F" w:rsidRDefault="00EC475F" w:rsidP="00EC475F">
            <w:pPr>
              <w:spacing w:after="0" w:line="240" w:lineRule="auto"/>
              <w:jc w:val="both"/>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The sale of our insurance underwriting business completed on 3 December 2020. The results of that business have been classified as a discontinued operation since 2019 and shown in a separate line at the bottom of the consolidated income statement under Discontinued Operations. As part of the sale agreement Co-op continued to supply certain agreed services in the first half of 2021 under a service agreement (TSA). The costs and recoveries associated with that agreement are included in the table below within operating expenses and operating income respectively and are shown within Discontinued operations in the Consolidated Income statement. Other income also includes a gain of £78m (2021: £12m) following the judgment that was handed down by the Court of Appeal in April 2022 in relation to the historic legal claim against IBM as disclosed as a post balance sheet event in the 2021 Annual Report and Accounts. The gain of £78 million reflects £72 million of cash that was received in 2022 following the Appeal judgment and a further £6 million that was received in 2021 following the original judgment but which was held on the balance sheet until the outcome of the Appeal was known at which point it has been released to the Income Statement within Discontinued Operations.   </w:t>
            </w:r>
          </w:p>
        </w:tc>
        <w:tc>
          <w:tcPr>
            <w:tcW w:w="222" w:type="dxa"/>
            <w:vAlign w:val="center"/>
            <w:hideMark/>
          </w:tcPr>
          <w:p w14:paraId="75AD9B14"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3E87AAEF" w14:textId="77777777" w:rsidTr="00130B78">
        <w:trPr>
          <w:trHeight w:val="263"/>
        </w:trPr>
        <w:tc>
          <w:tcPr>
            <w:tcW w:w="700" w:type="dxa"/>
            <w:tcBorders>
              <w:top w:val="nil"/>
              <w:left w:val="nil"/>
              <w:bottom w:val="nil"/>
              <w:right w:val="nil"/>
            </w:tcBorders>
            <w:shd w:val="clear" w:color="000000" w:fill="FFFFFF"/>
            <w:vAlign w:val="center"/>
            <w:hideMark/>
          </w:tcPr>
          <w:p w14:paraId="026FA6D6" w14:textId="77777777" w:rsidR="00EC475F" w:rsidRPr="00EC475F" w:rsidRDefault="00EC475F" w:rsidP="00EC475F">
            <w:pPr>
              <w:spacing w:after="0" w:line="240" w:lineRule="auto"/>
              <w:jc w:val="both"/>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vAlign w:val="center"/>
            <w:hideMark/>
          </w:tcPr>
          <w:p w14:paraId="1060012A" w14:textId="77777777" w:rsidR="00EC475F" w:rsidRPr="00EC475F" w:rsidRDefault="00EC475F" w:rsidP="00EC475F">
            <w:pPr>
              <w:spacing w:after="0" w:line="240" w:lineRule="auto"/>
              <w:jc w:val="both"/>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vAlign w:val="center"/>
            <w:hideMark/>
          </w:tcPr>
          <w:p w14:paraId="4E195C2F" w14:textId="77777777" w:rsidR="00EC475F" w:rsidRPr="00EC475F" w:rsidRDefault="00EC475F" w:rsidP="00EC475F">
            <w:pPr>
              <w:spacing w:after="0" w:line="240" w:lineRule="auto"/>
              <w:jc w:val="both"/>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vAlign w:val="center"/>
            <w:hideMark/>
          </w:tcPr>
          <w:p w14:paraId="3DF26332" w14:textId="77777777" w:rsidR="00EC475F" w:rsidRPr="00EC475F" w:rsidRDefault="00EC475F" w:rsidP="00EC475F">
            <w:pPr>
              <w:spacing w:after="0" w:line="240" w:lineRule="auto"/>
              <w:jc w:val="both"/>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44" w:type="dxa"/>
            <w:tcBorders>
              <w:top w:val="nil"/>
              <w:left w:val="nil"/>
              <w:bottom w:val="nil"/>
              <w:right w:val="nil"/>
            </w:tcBorders>
            <w:shd w:val="clear" w:color="000000" w:fill="FFFFFF"/>
            <w:vAlign w:val="center"/>
            <w:hideMark/>
          </w:tcPr>
          <w:p w14:paraId="16D45321" w14:textId="77777777" w:rsidR="00EC475F" w:rsidRPr="00EC475F" w:rsidRDefault="00EC475F" w:rsidP="00EC475F">
            <w:pPr>
              <w:spacing w:after="0" w:line="240" w:lineRule="auto"/>
              <w:jc w:val="both"/>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476" w:type="dxa"/>
            <w:tcBorders>
              <w:top w:val="nil"/>
              <w:left w:val="nil"/>
              <w:bottom w:val="nil"/>
              <w:right w:val="nil"/>
            </w:tcBorders>
            <w:shd w:val="clear" w:color="000000" w:fill="FFFFFF"/>
            <w:vAlign w:val="center"/>
            <w:hideMark/>
          </w:tcPr>
          <w:p w14:paraId="6A85C3EC" w14:textId="77777777" w:rsidR="00EC475F" w:rsidRPr="00EC475F" w:rsidRDefault="00EC475F" w:rsidP="00EC475F">
            <w:pPr>
              <w:spacing w:after="0" w:line="240" w:lineRule="auto"/>
              <w:jc w:val="both"/>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820" w:type="dxa"/>
            <w:tcBorders>
              <w:top w:val="nil"/>
              <w:left w:val="nil"/>
              <w:bottom w:val="nil"/>
              <w:right w:val="nil"/>
            </w:tcBorders>
            <w:shd w:val="clear" w:color="000000" w:fill="FFFFFF"/>
            <w:vAlign w:val="center"/>
            <w:hideMark/>
          </w:tcPr>
          <w:p w14:paraId="28BA11A6" w14:textId="77777777" w:rsidR="00EC475F" w:rsidRPr="00EC475F" w:rsidRDefault="00EC475F" w:rsidP="00EC475F">
            <w:pPr>
              <w:spacing w:after="0" w:line="240" w:lineRule="auto"/>
              <w:jc w:val="both"/>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56" w:type="dxa"/>
            <w:tcBorders>
              <w:top w:val="nil"/>
              <w:left w:val="nil"/>
              <w:bottom w:val="nil"/>
              <w:right w:val="nil"/>
            </w:tcBorders>
            <w:shd w:val="clear" w:color="000000" w:fill="FFFFFF"/>
            <w:vAlign w:val="center"/>
            <w:hideMark/>
          </w:tcPr>
          <w:p w14:paraId="0543C9C7" w14:textId="77777777" w:rsidR="00EC475F" w:rsidRPr="00EC475F" w:rsidRDefault="00EC475F" w:rsidP="00EC475F">
            <w:pPr>
              <w:spacing w:after="0" w:line="240" w:lineRule="auto"/>
              <w:jc w:val="both"/>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75" w:type="dxa"/>
            <w:tcBorders>
              <w:top w:val="nil"/>
              <w:left w:val="nil"/>
              <w:bottom w:val="nil"/>
              <w:right w:val="nil"/>
            </w:tcBorders>
            <w:shd w:val="clear" w:color="000000" w:fill="FFFFFF"/>
            <w:vAlign w:val="center"/>
            <w:hideMark/>
          </w:tcPr>
          <w:p w14:paraId="14A07AD0" w14:textId="77777777" w:rsidR="00EC475F" w:rsidRPr="00EC475F" w:rsidRDefault="00EC475F" w:rsidP="00EC475F">
            <w:pPr>
              <w:spacing w:after="0" w:line="240" w:lineRule="auto"/>
              <w:jc w:val="both"/>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76" w:type="dxa"/>
            <w:tcBorders>
              <w:top w:val="nil"/>
              <w:left w:val="nil"/>
              <w:bottom w:val="nil"/>
              <w:right w:val="nil"/>
            </w:tcBorders>
            <w:shd w:val="clear" w:color="000000" w:fill="FFFFFF"/>
            <w:vAlign w:val="center"/>
            <w:hideMark/>
          </w:tcPr>
          <w:p w14:paraId="6B9434C8" w14:textId="77777777" w:rsidR="00EC475F" w:rsidRPr="00EC475F" w:rsidRDefault="00EC475F" w:rsidP="00EC475F">
            <w:pPr>
              <w:spacing w:after="0" w:line="240" w:lineRule="auto"/>
              <w:jc w:val="both"/>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76" w:type="dxa"/>
            <w:tcBorders>
              <w:top w:val="nil"/>
              <w:left w:val="nil"/>
              <w:bottom w:val="nil"/>
              <w:right w:val="nil"/>
            </w:tcBorders>
            <w:shd w:val="clear" w:color="000000" w:fill="FFFFFF"/>
            <w:vAlign w:val="center"/>
            <w:hideMark/>
          </w:tcPr>
          <w:p w14:paraId="2FB9D7D7" w14:textId="77777777" w:rsidR="00EC475F" w:rsidRPr="00EC475F" w:rsidRDefault="00EC475F" w:rsidP="00EC475F">
            <w:pPr>
              <w:spacing w:after="0" w:line="240" w:lineRule="auto"/>
              <w:jc w:val="both"/>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222" w:type="dxa"/>
            <w:vAlign w:val="center"/>
            <w:hideMark/>
          </w:tcPr>
          <w:p w14:paraId="079A1E43"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50742654" w14:textId="77777777" w:rsidTr="00130B78">
        <w:trPr>
          <w:trHeight w:val="319"/>
        </w:trPr>
        <w:tc>
          <w:tcPr>
            <w:tcW w:w="6096" w:type="dxa"/>
            <w:gridSpan w:val="8"/>
            <w:tcBorders>
              <w:top w:val="single" w:sz="4" w:space="0" w:color="BFBFBF"/>
              <w:left w:val="single" w:sz="4" w:space="0" w:color="BFBFBF"/>
              <w:bottom w:val="nil"/>
              <w:right w:val="nil"/>
            </w:tcBorders>
            <w:shd w:val="clear" w:color="auto" w:fill="auto"/>
            <w:noWrap/>
            <w:vAlign w:val="bottom"/>
            <w:hideMark/>
          </w:tcPr>
          <w:p w14:paraId="75B56E4F" w14:textId="77777777" w:rsidR="00EC475F" w:rsidRPr="00EC475F" w:rsidRDefault="00EC475F" w:rsidP="00EC475F">
            <w:pPr>
              <w:spacing w:after="0" w:line="240" w:lineRule="auto"/>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Results of discontinued operation - Insurance (underwriting business)</w:t>
            </w:r>
          </w:p>
        </w:tc>
        <w:tc>
          <w:tcPr>
            <w:tcW w:w="1275" w:type="dxa"/>
            <w:vMerge w:val="restart"/>
            <w:tcBorders>
              <w:top w:val="single" w:sz="4" w:space="0" w:color="BFBFBF"/>
              <w:left w:val="nil"/>
              <w:bottom w:val="nil"/>
              <w:right w:val="nil"/>
            </w:tcBorders>
            <w:shd w:val="clear" w:color="auto" w:fill="auto"/>
            <w:hideMark/>
          </w:tcPr>
          <w:p w14:paraId="4C55C496"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26 weeks ended</w:t>
            </w:r>
            <w:r w:rsidRPr="00EC475F">
              <w:rPr>
                <w:rFonts w:ascii="Arial" w:eastAsia="Times New Roman" w:hAnsi="Arial" w:cs="Arial"/>
                <w:b/>
                <w:bCs/>
                <w:sz w:val="15"/>
                <w:szCs w:val="15"/>
                <w:lang w:eastAsia="en-GB"/>
              </w:rPr>
              <w:br/>
              <w:t>2 July 2022</w:t>
            </w:r>
            <w:r w:rsidRPr="00EC475F">
              <w:rPr>
                <w:rFonts w:ascii="Arial" w:eastAsia="Times New Roman" w:hAnsi="Arial" w:cs="Arial"/>
                <w:b/>
                <w:bCs/>
                <w:sz w:val="15"/>
                <w:szCs w:val="15"/>
                <w:lang w:eastAsia="en-GB"/>
              </w:rPr>
              <w:br/>
              <w:t>(unaudited)</w:t>
            </w:r>
          </w:p>
        </w:tc>
        <w:tc>
          <w:tcPr>
            <w:tcW w:w="1276" w:type="dxa"/>
            <w:vMerge w:val="restart"/>
            <w:tcBorders>
              <w:top w:val="single" w:sz="4" w:space="0" w:color="BFBFBF"/>
              <w:left w:val="nil"/>
              <w:bottom w:val="nil"/>
              <w:right w:val="nil"/>
            </w:tcBorders>
            <w:shd w:val="clear" w:color="auto" w:fill="auto"/>
            <w:hideMark/>
          </w:tcPr>
          <w:p w14:paraId="116379F3"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26 weeks ended</w:t>
            </w:r>
            <w:r w:rsidRPr="00EC475F">
              <w:rPr>
                <w:rFonts w:ascii="Arial" w:eastAsia="Times New Roman" w:hAnsi="Arial" w:cs="Arial"/>
                <w:sz w:val="15"/>
                <w:szCs w:val="15"/>
                <w:lang w:eastAsia="en-GB"/>
              </w:rPr>
              <w:br/>
              <w:t>3 July 2021</w:t>
            </w:r>
            <w:r w:rsidRPr="00EC475F">
              <w:rPr>
                <w:rFonts w:ascii="Arial" w:eastAsia="Times New Roman" w:hAnsi="Arial" w:cs="Arial"/>
                <w:sz w:val="15"/>
                <w:szCs w:val="15"/>
                <w:lang w:eastAsia="en-GB"/>
              </w:rPr>
              <w:br/>
              <w:t>(unaudited)</w:t>
            </w:r>
          </w:p>
        </w:tc>
        <w:tc>
          <w:tcPr>
            <w:tcW w:w="1276" w:type="dxa"/>
            <w:vMerge w:val="restart"/>
            <w:tcBorders>
              <w:top w:val="single" w:sz="4" w:space="0" w:color="BFBFBF"/>
              <w:left w:val="nil"/>
              <w:bottom w:val="nil"/>
              <w:right w:val="single" w:sz="4" w:space="0" w:color="BFBFBF"/>
            </w:tcBorders>
            <w:shd w:val="clear" w:color="auto" w:fill="auto"/>
            <w:hideMark/>
          </w:tcPr>
          <w:p w14:paraId="304A0F62"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52 weeks ended</w:t>
            </w:r>
            <w:r w:rsidRPr="00EC475F">
              <w:rPr>
                <w:rFonts w:ascii="Arial" w:eastAsia="Times New Roman" w:hAnsi="Arial" w:cs="Arial"/>
                <w:sz w:val="15"/>
                <w:szCs w:val="15"/>
                <w:lang w:eastAsia="en-GB"/>
              </w:rPr>
              <w:br/>
              <w:t>1 January 2022</w:t>
            </w:r>
            <w:r w:rsidRPr="00EC475F">
              <w:rPr>
                <w:rFonts w:ascii="Arial" w:eastAsia="Times New Roman" w:hAnsi="Arial" w:cs="Arial"/>
                <w:sz w:val="15"/>
                <w:szCs w:val="15"/>
                <w:lang w:eastAsia="en-GB"/>
              </w:rPr>
              <w:br/>
              <w:t>(audited)</w:t>
            </w:r>
          </w:p>
        </w:tc>
        <w:tc>
          <w:tcPr>
            <w:tcW w:w="222" w:type="dxa"/>
            <w:vAlign w:val="center"/>
            <w:hideMark/>
          </w:tcPr>
          <w:p w14:paraId="243CED9B"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11953A87" w14:textId="77777777" w:rsidTr="00130B78">
        <w:trPr>
          <w:trHeight w:val="319"/>
        </w:trPr>
        <w:tc>
          <w:tcPr>
            <w:tcW w:w="700" w:type="dxa"/>
            <w:tcBorders>
              <w:top w:val="nil"/>
              <w:left w:val="single" w:sz="4" w:space="0" w:color="BFBFBF"/>
              <w:bottom w:val="nil"/>
              <w:right w:val="nil"/>
            </w:tcBorders>
            <w:shd w:val="clear" w:color="auto" w:fill="auto"/>
            <w:noWrap/>
            <w:vAlign w:val="bottom"/>
            <w:hideMark/>
          </w:tcPr>
          <w:p w14:paraId="12EF4840" w14:textId="77777777" w:rsidR="00EC475F" w:rsidRPr="00EC475F" w:rsidRDefault="00EC475F" w:rsidP="00EC475F">
            <w:pPr>
              <w:spacing w:after="0" w:line="240" w:lineRule="auto"/>
              <w:rPr>
                <w:rFonts w:ascii="Arial" w:eastAsia="Times New Roman" w:hAnsi="Arial" w:cs="Arial"/>
                <w:b/>
                <w:bCs/>
                <w:color w:val="FFFFFF"/>
                <w:sz w:val="15"/>
                <w:szCs w:val="15"/>
                <w:lang w:eastAsia="en-GB"/>
              </w:rPr>
            </w:pPr>
            <w:r w:rsidRPr="00EC475F">
              <w:rPr>
                <w:rFonts w:ascii="Arial" w:eastAsia="Times New Roman" w:hAnsi="Arial" w:cs="Arial"/>
                <w:b/>
                <w:bCs/>
                <w:color w:val="FFFFFF"/>
                <w:sz w:val="15"/>
                <w:szCs w:val="15"/>
                <w:lang w:eastAsia="en-GB"/>
              </w:rPr>
              <w:t> </w:t>
            </w:r>
          </w:p>
        </w:tc>
        <w:tc>
          <w:tcPr>
            <w:tcW w:w="700" w:type="dxa"/>
            <w:tcBorders>
              <w:top w:val="nil"/>
              <w:left w:val="nil"/>
              <w:bottom w:val="nil"/>
              <w:right w:val="nil"/>
            </w:tcBorders>
            <w:shd w:val="clear" w:color="auto" w:fill="auto"/>
            <w:noWrap/>
            <w:vAlign w:val="bottom"/>
            <w:hideMark/>
          </w:tcPr>
          <w:p w14:paraId="00B369AA" w14:textId="77777777" w:rsidR="00EC475F" w:rsidRPr="00EC475F" w:rsidRDefault="00EC475F" w:rsidP="00EC475F">
            <w:pPr>
              <w:spacing w:after="0" w:line="240" w:lineRule="auto"/>
              <w:rPr>
                <w:rFonts w:ascii="Arial" w:eastAsia="Times New Roman" w:hAnsi="Arial" w:cs="Arial"/>
                <w:color w:val="FFFFFF"/>
                <w:sz w:val="15"/>
                <w:szCs w:val="15"/>
                <w:lang w:eastAsia="en-GB"/>
              </w:rPr>
            </w:pPr>
            <w:r w:rsidRPr="00EC475F">
              <w:rPr>
                <w:rFonts w:ascii="Arial" w:eastAsia="Times New Roman" w:hAnsi="Arial" w:cs="Arial"/>
                <w:color w:val="FFFFFF"/>
                <w:sz w:val="15"/>
                <w:szCs w:val="15"/>
                <w:lang w:eastAsia="en-GB"/>
              </w:rPr>
              <w:t> </w:t>
            </w:r>
          </w:p>
        </w:tc>
        <w:tc>
          <w:tcPr>
            <w:tcW w:w="700" w:type="dxa"/>
            <w:tcBorders>
              <w:top w:val="nil"/>
              <w:left w:val="nil"/>
              <w:bottom w:val="nil"/>
              <w:right w:val="nil"/>
            </w:tcBorders>
            <w:shd w:val="clear" w:color="auto" w:fill="auto"/>
            <w:noWrap/>
            <w:vAlign w:val="bottom"/>
            <w:hideMark/>
          </w:tcPr>
          <w:p w14:paraId="7DE94AE3" w14:textId="77777777" w:rsidR="00EC475F" w:rsidRPr="00EC475F" w:rsidRDefault="00EC475F" w:rsidP="00EC475F">
            <w:pPr>
              <w:spacing w:after="0" w:line="240" w:lineRule="auto"/>
              <w:rPr>
                <w:rFonts w:ascii="Arial" w:eastAsia="Times New Roman" w:hAnsi="Arial" w:cs="Arial"/>
                <w:color w:val="FFFFFF"/>
                <w:sz w:val="15"/>
                <w:szCs w:val="15"/>
                <w:lang w:eastAsia="en-GB"/>
              </w:rPr>
            </w:pPr>
            <w:r w:rsidRPr="00EC475F">
              <w:rPr>
                <w:rFonts w:ascii="Arial" w:eastAsia="Times New Roman" w:hAnsi="Arial" w:cs="Arial"/>
                <w:color w:val="FFFFFF"/>
                <w:sz w:val="15"/>
                <w:szCs w:val="15"/>
                <w:lang w:eastAsia="en-GB"/>
              </w:rPr>
              <w:t> </w:t>
            </w:r>
          </w:p>
        </w:tc>
        <w:tc>
          <w:tcPr>
            <w:tcW w:w="700" w:type="dxa"/>
            <w:tcBorders>
              <w:top w:val="nil"/>
              <w:left w:val="nil"/>
              <w:bottom w:val="nil"/>
              <w:right w:val="nil"/>
            </w:tcBorders>
            <w:shd w:val="clear" w:color="auto" w:fill="auto"/>
            <w:noWrap/>
            <w:vAlign w:val="bottom"/>
            <w:hideMark/>
          </w:tcPr>
          <w:p w14:paraId="79EAE624" w14:textId="77777777" w:rsidR="00EC475F" w:rsidRPr="00EC475F" w:rsidRDefault="00EC475F" w:rsidP="00EC475F">
            <w:pPr>
              <w:spacing w:after="0" w:line="240" w:lineRule="auto"/>
              <w:jc w:val="right"/>
              <w:rPr>
                <w:rFonts w:ascii="Arial" w:eastAsia="Times New Roman" w:hAnsi="Arial" w:cs="Arial"/>
                <w:color w:val="FFFFFF"/>
                <w:sz w:val="15"/>
                <w:szCs w:val="15"/>
                <w:lang w:eastAsia="en-GB"/>
              </w:rPr>
            </w:pPr>
            <w:r w:rsidRPr="00EC475F">
              <w:rPr>
                <w:rFonts w:ascii="Arial" w:eastAsia="Times New Roman" w:hAnsi="Arial" w:cs="Arial"/>
                <w:color w:val="FFFFFF"/>
                <w:sz w:val="15"/>
                <w:szCs w:val="15"/>
                <w:lang w:eastAsia="en-GB"/>
              </w:rPr>
              <w:t> </w:t>
            </w:r>
          </w:p>
        </w:tc>
        <w:tc>
          <w:tcPr>
            <w:tcW w:w="744" w:type="dxa"/>
            <w:tcBorders>
              <w:top w:val="nil"/>
              <w:left w:val="nil"/>
              <w:bottom w:val="nil"/>
              <w:right w:val="nil"/>
            </w:tcBorders>
            <w:shd w:val="clear" w:color="auto" w:fill="auto"/>
            <w:noWrap/>
            <w:vAlign w:val="bottom"/>
            <w:hideMark/>
          </w:tcPr>
          <w:p w14:paraId="438BEC3D" w14:textId="77777777" w:rsidR="00EC475F" w:rsidRPr="00EC475F" w:rsidRDefault="00EC475F" w:rsidP="00EC475F">
            <w:pPr>
              <w:spacing w:after="0" w:line="240" w:lineRule="auto"/>
              <w:jc w:val="right"/>
              <w:rPr>
                <w:rFonts w:ascii="Arial" w:eastAsia="Times New Roman" w:hAnsi="Arial" w:cs="Arial"/>
                <w:color w:val="FFFFFF"/>
                <w:sz w:val="15"/>
                <w:szCs w:val="15"/>
                <w:lang w:eastAsia="en-GB"/>
              </w:rPr>
            </w:pPr>
            <w:r w:rsidRPr="00EC475F">
              <w:rPr>
                <w:rFonts w:ascii="Arial" w:eastAsia="Times New Roman" w:hAnsi="Arial" w:cs="Arial"/>
                <w:color w:val="FFFFFF"/>
                <w:sz w:val="15"/>
                <w:szCs w:val="15"/>
                <w:lang w:eastAsia="en-GB"/>
              </w:rPr>
              <w:t> </w:t>
            </w:r>
          </w:p>
        </w:tc>
        <w:tc>
          <w:tcPr>
            <w:tcW w:w="476" w:type="dxa"/>
            <w:tcBorders>
              <w:top w:val="nil"/>
              <w:left w:val="nil"/>
              <w:bottom w:val="nil"/>
              <w:right w:val="nil"/>
            </w:tcBorders>
            <w:shd w:val="clear" w:color="auto" w:fill="auto"/>
            <w:noWrap/>
            <w:vAlign w:val="bottom"/>
            <w:hideMark/>
          </w:tcPr>
          <w:p w14:paraId="69F2AF0F"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820" w:type="dxa"/>
            <w:tcBorders>
              <w:top w:val="nil"/>
              <w:left w:val="nil"/>
              <w:bottom w:val="nil"/>
              <w:right w:val="nil"/>
            </w:tcBorders>
            <w:shd w:val="clear" w:color="auto" w:fill="auto"/>
            <w:noWrap/>
            <w:vAlign w:val="bottom"/>
            <w:hideMark/>
          </w:tcPr>
          <w:p w14:paraId="1E32B68E"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56" w:type="dxa"/>
            <w:tcBorders>
              <w:top w:val="nil"/>
              <w:left w:val="nil"/>
              <w:bottom w:val="nil"/>
              <w:right w:val="nil"/>
            </w:tcBorders>
            <w:shd w:val="clear" w:color="auto" w:fill="auto"/>
            <w:noWrap/>
            <w:vAlign w:val="bottom"/>
            <w:hideMark/>
          </w:tcPr>
          <w:p w14:paraId="1A9232D7"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75" w:type="dxa"/>
            <w:vMerge/>
            <w:tcBorders>
              <w:top w:val="single" w:sz="4" w:space="0" w:color="BFBFBF"/>
              <w:left w:val="nil"/>
              <w:bottom w:val="nil"/>
              <w:right w:val="nil"/>
            </w:tcBorders>
            <w:shd w:val="clear" w:color="auto" w:fill="auto"/>
            <w:vAlign w:val="center"/>
            <w:hideMark/>
          </w:tcPr>
          <w:p w14:paraId="75B51FFE" w14:textId="77777777" w:rsidR="00EC475F" w:rsidRPr="00EC475F" w:rsidRDefault="00EC475F" w:rsidP="00EC475F">
            <w:pPr>
              <w:spacing w:after="0" w:line="240" w:lineRule="auto"/>
              <w:rPr>
                <w:rFonts w:ascii="Arial" w:eastAsia="Times New Roman" w:hAnsi="Arial" w:cs="Arial"/>
                <w:b/>
                <w:bCs/>
                <w:sz w:val="15"/>
                <w:szCs w:val="15"/>
                <w:lang w:eastAsia="en-GB"/>
              </w:rPr>
            </w:pPr>
          </w:p>
        </w:tc>
        <w:tc>
          <w:tcPr>
            <w:tcW w:w="1276" w:type="dxa"/>
            <w:vMerge/>
            <w:tcBorders>
              <w:top w:val="single" w:sz="4" w:space="0" w:color="BFBFBF"/>
              <w:left w:val="nil"/>
              <w:bottom w:val="nil"/>
              <w:right w:val="nil"/>
            </w:tcBorders>
            <w:shd w:val="clear" w:color="auto" w:fill="auto"/>
            <w:vAlign w:val="center"/>
            <w:hideMark/>
          </w:tcPr>
          <w:p w14:paraId="409954D3" w14:textId="77777777" w:rsidR="00EC475F" w:rsidRPr="00EC475F" w:rsidRDefault="00EC475F" w:rsidP="00EC475F">
            <w:pPr>
              <w:spacing w:after="0" w:line="240" w:lineRule="auto"/>
              <w:rPr>
                <w:rFonts w:ascii="Arial" w:eastAsia="Times New Roman" w:hAnsi="Arial" w:cs="Arial"/>
                <w:sz w:val="15"/>
                <w:szCs w:val="15"/>
                <w:lang w:eastAsia="en-GB"/>
              </w:rPr>
            </w:pPr>
          </w:p>
        </w:tc>
        <w:tc>
          <w:tcPr>
            <w:tcW w:w="1276" w:type="dxa"/>
            <w:vMerge/>
            <w:tcBorders>
              <w:top w:val="single" w:sz="4" w:space="0" w:color="BFBFBF"/>
              <w:left w:val="nil"/>
              <w:bottom w:val="nil"/>
              <w:right w:val="single" w:sz="4" w:space="0" w:color="BFBFBF"/>
            </w:tcBorders>
            <w:shd w:val="clear" w:color="auto" w:fill="auto"/>
            <w:vAlign w:val="center"/>
            <w:hideMark/>
          </w:tcPr>
          <w:p w14:paraId="5557FEBD" w14:textId="77777777" w:rsidR="00EC475F" w:rsidRPr="00EC475F" w:rsidRDefault="00EC475F" w:rsidP="00EC475F">
            <w:pPr>
              <w:spacing w:after="0" w:line="240" w:lineRule="auto"/>
              <w:rPr>
                <w:rFonts w:ascii="Arial" w:eastAsia="Times New Roman" w:hAnsi="Arial" w:cs="Arial"/>
                <w:sz w:val="15"/>
                <w:szCs w:val="15"/>
                <w:lang w:eastAsia="en-GB"/>
              </w:rPr>
            </w:pPr>
          </w:p>
        </w:tc>
        <w:tc>
          <w:tcPr>
            <w:tcW w:w="222" w:type="dxa"/>
            <w:vAlign w:val="center"/>
            <w:hideMark/>
          </w:tcPr>
          <w:p w14:paraId="2BD47B91"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54F6AED0" w14:textId="77777777" w:rsidTr="00130B78">
        <w:trPr>
          <w:trHeight w:val="218"/>
        </w:trPr>
        <w:tc>
          <w:tcPr>
            <w:tcW w:w="700" w:type="dxa"/>
            <w:tcBorders>
              <w:top w:val="nil"/>
              <w:left w:val="single" w:sz="4" w:space="0" w:color="BFBFBF"/>
              <w:bottom w:val="single" w:sz="4" w:space="0" w:color="BFBFBF"/>
              <w:right w:val="nil"/>
            </w:tcBorders>
            <w:shd w:val="clear" w:color="auto" w:fill="auto"/>
            <w:noWrap/>
            <w:vAlign w:val="bottom"/>
            <w:hideMark/>
          </w:tcPr>
          <w:p w14:paraId="24F30025" w14:textId="77777777" w:rsidR="00EC475F" w:rsidRPr="00EC475F" w:rsidRDefault="00EC475F" w:rsidP="00EC475F">
            <w:pPr>
              <w:spacing w:after="0" w:line="240" w:lineRule="auto"/>
              <w:rPr>
                <w:rFonts w:ascii="Arial" w:eastAsia="Times New Roman" w:hAnsi="Arial" w:cs="Arial"/>
                <w:color w:val="FFFFFF"/>
                <w:sz w:val="15"/>
                <w:szCs w:val="15"/>
                <w:lang w:eastAsia="en-GB"/>
              </w:rPr>
            </w:pPr>
            <w:r w:rsidRPr="00EC475F">
              <w:rPr>
                <w:rFonts w:ascii="Arial" w:eastAsia="Times New Roman" w:hAnsi="Arial" w:cs="Arial"/>
                <w:color w:val="FFFFFF"/>
                <w:sz w:val="15"/>
                <w:szCs w:val="15"/>
                <w:lang w:eastAsia="en-GB"/>
              </w:rPr>
              <w:t> </w:t>
            </w:r>
          </w:p>
        </w:tc>
        <w:tc>
          <w:tcPr>
            <w:tcW w:w="700" w:type="dxa"/>
            <w:tcBorders>
              <w:top w:val="nil"/>
              <w:left w:val="nil"/>
              <w:bottom w:val="single" w:sz="4" w:space="0" w:color="BFBFBF"/>
              <w:right w:val="nil"/>
            </w:tcBorders>
            <w:shd w:val="clear" w:color="auto" w:fill="auto"/>
            <w:noWrap/>
            <w:vAlign w:val="bottom"/>
            <w:hideMark/>
          </w:tcPr>
          <w:p w14:paraId="195960A3" w14:textId="77777777" w:rsidR="00EC475F" w:rsidRPr="00EC475F" w:rsidRDefault="00EC475F" w:rsidP="00EC475F">
            <w:pPr>
              <w:spacing w:after="0" w:line="240" w:lineRule="auto"/>
              <w:rPr>
                <w:rFonts w:ascii="Arial" w:eastAsia="Times New Roman" w:hAnsi="Arial" w:cs="Arial"/>
                <w:color w:val="FFFFFF"/>
                <w:sz w:val="15"/>
                <w:szCs w:val="15"/>
                <w:lang w:eastAsia="en-GB"/>
              </w:rPr>
            </w:pPr>
            <w:r w:rsidRPr="00EC475F">
              <w:rPr>
                <w:rFonts w:ascii="Arial" w:eastAsia="Times New Roman" w:hAnsi="Arial" w:cs="Arial"/>
                <w:color w:val="FFFFFF"/>
                <w:sz w:val="15"/>
                <w:szCs w:val="15"/>
                <w:lang w:eastAsia="en-GB"/>
              </w:rPr>
              <w:t> </w:t>
            </w:r>
          </w:p>
        </w:tc>
        <w:tc>
          <w:tcPr>
            <w:tcW w:w="700" w:type="dxa"/>
            <w:tcBorders>
              <w:top w:val="nil"/>
              <w:left w:val="nil"/>
              <w:bottom w:val="single" w:sz="4" w:space="0" w:color="BFBFBF"/>
              <w:right w:val="nil"/>
            </w:tcBorders>
            <w:shd w:val="clear" w:color="auto" w:fill="auto"/>
            <w:noWrap/>
            <w:vAlign w:val="bottom"/>
            <w:hideMark/>
          </w:tcPr>
          <w:p w14:paraId="14DD14D9" w14:textId="77777777" w:rsidR="00EC475F" w:rsidRPr="00EC475F" w:rsidRDefault="00EC475F" w:rsidP="00EC475F">
            <w:pPr>
              <w:spacing w:after="0" w:line="240" w:lineRule="auto"/>
              <w:rPr>
                <w:rFonts w:ascii="Arial" w:eastAsia="Times New Roman" w:hAnsi="Arial" w:cs="Arial"/>
                <w:color w:val="FFFFFF"/>
                <w:sz w:val="15"/>
                <w:szCs w:val="15"/>
                <w:lang w:eastAsia="en-GB"/>
              </w:rPr>
            </w:pPr>
            <w:r w:rsidRPr="00EC475F">
              <w:rPr>
                <w:rFonts w:ascii="Arial" w:eastAsia="Times New Roman" w:hAnsi="Arial" w:cs="Arial"/>
                <w:color w:val="FFFFFF"/>
                <w:sz w:val="15"/>
                <w:szCs w:val="15"/>
                <w:lang w:eastAsia="en-GB"/>
              </w:rPr>
              <w:t> </w:t>
            </w:r>
          </w:p>
        </w:tc>
        <w:tc>
          <w:tcPr>
            <w:tcW w:w="700" w:type="dxa"/>
            <w:tcBorders>
              <w:top w:val="nil"/>
              <w:left w:val="nil"/>
              <w:bottom w:val="single" w:sz="4" w:space="0" w:color="BFBFBF"/>
              <w:right w:val="nil"/>
            </w:tcBorders>
            <w:shd w:val="clear" w:color="auto" w:fill="auto"/>
            <w:noWrap/>
            <w:vAlign w:val="bottom"/>
            <w:hideMark/>
          </w:tcPr>
          <w:p w14:paraId="00759530" w14:textId="77777777" w:rsidR="00EC475F" w:rsidRPr="00EC475F" w:rsidRDefault="00EC475F" w:rsidP="00EC475F">
            <w:pPr>
              <w:spacing w:after="0" w:line="240" w:lineRule="auto"/>
              <w:jc w:val="right"/>
              <w:rPr>
                <w:rFonts w:ascii="Arial" w:eastAsia="Times New Roman" w:hAnsi="Arial" w:cs="Arial"/>
                <w:color w:val="FFFFFF"/>
                <w:sz w:val="15"/>
                <w:szCs w:val="15"/>
                <w:lang w:eastAsia="en-GB"/>
              </w:rPr>
            </w:pPr>
            <w:r w:rsidRPr="00EC475F">
              <w:rPr>
                <w:rFonts w:ascii="Arial" w:eastAsia="Times New Roman" w:hAnsi="Arial" w:cs="Arial"/>
                <w:color w:val="FFFFFF"/>
                <w:sz w:val="15"/>
                <w:szCs w:val="15"/>
                <w:lang w:eastAsia="en-GB"/>
              </w:rPr>
              <w:t> </w:t>
            </w:r>
          </w:p>
        </w:tc>
        <w:tc>
          <w:tcPr>
            <w:tcW w:w="744" w:type="dxa"/>
            <w:tcBorders>
              <w:top w:val="nil"/>
              <w:left w:val="nil"/>
              <w:bottom w:val="single" w:sz="4" w:space="0" w:color="BFBFBF"/>
              <w:right w:val="nil"/>
            </w:tcBorders>
            <w:shd w:val="clear" w:color="auto" w:fill="auto"/>
            <w:noWrap/>
            <w:vAlign w:val="bottom"/>
            <w:hideMark/>
          </w:tcPr>
          <w:p w14:paraId="39E90970" w14:textId="77777777" w:rsidR="00EC475F" w:rsidRPr="00EC475F" w:rsidRDefault="00EC475F" w:rsidP="00EC475F">
            <w:pPr>
              <w:spacing w:after="0" w:line="240" w:lineRule="auto"/>
              <w:jc w:val="right"/>
              <w:rPr>
                <w:rFonts w:ascii="Arial" w:eastAsia="Times New Roman" w:hAnsi="Arial" w:cs="Arial"/>
                <w:color w:val="FFFFFF"/>
                <w:sz w:val="15"/>
                <w:szCs w:val="15"/>
                <w:lang w:eastAsia="en-GB"/>
              </w:rPr>
            </w:pPr>
            <w:r w:rsidRPr="00EC475F">
              <w:rPr>
                <w:rFonts w:ascii="Arial" w:eastAsia="Times New Roman" w:hAnsi="Arial" w:cs="Arial"/>
                <w:color w:val="FFFFFF"/>
                <w:sz w:val="15"/>
                <w:szCs w:val="15"/>
                <w:lang w:eastAsia="en-GB"/>
              </w:rPr>
              <w:t> </w:t>
            </w:r>
          </w:p>
        </w:tc>
        <w:tc>
          <w:tcPr>
            <w:tcW w:w="476" w:type="dxa"/>
            <w:tcBorders>
              <w:top w:val="nil"/>
              <w:left w:val="nil"/>
              <w:bottom w:val="single" w:sz="4" w:space="0" w:color="BFBFBF"/>
              <w:right w:val="nil"/>
            </w:tcBorders>
            <w:shd w:val="clear" w:color="auto" w:fill="auto"/>
            <w:noWrap/>
            <w:vAlign w:val="bottom"/>
            <w:hideMark/>
          </w:tcPr>
          <w:p w14:paraId="3C1BCD9A"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820" w:type="dxa"/>
            <w:tcBorders>
              <w:top w:val="nil"/>
              <w:left w:val="nil"/>
              <w:bottom w:val="single" w:sz="4" w:space="0" w:color="BFBFBF"/>
              <w:right w:val="nil"/>
            </w:tcBorders>
            <w:shd w:val="clear" w:color="auto" w:fill="auto"/>
            <w:noWrap/>
            <w:vAlign w:val="bottom"/>
            <w:hideMark/>
          </w:tcPr>
          <w:p w14:paraId="11AB6FEE"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56" w:type="dxa"/>
            <w:tcBorders>
              <w:top w:val="nil"/>
              <w:left w:val="nil"/>
              <w:bottom w:val="single" w:sz="4" w:space="0" w:color="BFBFBF"/>
              <w:right w:val="nil"/>
            </w:tcBorders>
            <w:shd w:val="clear" w:color="auto" w:fill="auto"/>
            <w:noWrap/>
            <w:vAlign w:val="bottom"/>
            <w:hideMark/>
          </w:tcPr>
          <w:p w14:paraId="78F1AEE9"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75" w:type="dxa"/>
            <w:tcBorders>
              <w:top w:val="nil"/>
              <w:left w:val="nil"/>
              <w:bottom w:val="single" w:sz="4" w:space="0" w:color="BFBFBF"/>
              <w:right w:val="nil"/>
            </w:tcBorders>
            <w:shd w:val="clear" w:color="auto" w:fill="auto"/>
            <w:noWrap/>
            <w:vAlign w:val="bottom"/>
            <w:hideMark/>
          </w:tcPr>
          <w:p w14:paraId="6AD01C59"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£m</w:t>
            </w:r>
          </w:p>
        </w:tc>
        <w:tc>
          <w:tcPr>
            <w:tcW w:w="1276" w:type="dxa"/>
            <w:tcBorders>
              <w:top w:val="nil"/>
              <w:left w:val="nil"/>
              <w:bottom w:val="single" w:sz="4" w:space="0" w:color="BFBFBF"/>
              <w:right w:val="nil"/>
            </w:tcBorders>
            <w:shd w:val="clear" w:color="auto" w:fill="auto"/>
            <w:noWrap/>
            <w:vAlign w:val="bottom"/>
            <w:hideMark/>
          </w:tcPr>
          <w:p w14:paraId="4CDC7E57"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£m</w:t>
            </w:r>
          </w:p>
        </w:tc>
        <w:tc>
          <w:tcPr>
            <w:tcW w:w="1276" w:type="dxa"/>
            <w:tcBorders>
              <w:top w:val="nil"/>
              <w:left w:val="nil"/>
              <w:bottom w:val="single" w:sz="4" w:space="0" w:color="BFBFBF"/>
              <w:right w:val="single" w:sz="4" w:space="0" w:color="BFBFBF"/>
            </w:tcBorders>
            <w:shd w:val="clear" w:color="auto" w:fill="auto"/>
            <w:noWrap/>
            <w:vAlign w:val="bottom"/>
            <w:hideMark/>
          </w:tcPr>
          <w:p w14:paraId="41E79AC2"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£m</w:t>
            </w:r>
          </w:p>
        </w:tc>
        <w:tc>
          <w:tcPr>
            <w:tcW w:w="222" w:type="dxa"/>
            <w:vAlign w:val="center"/>
            <w:hideMark/>
          </w:tcPr>
          <w:p w14:paraId="6D28E56E"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0767CD5E" w14:textId="77777777" w:rsidTr="00130B78">
        <w:trPr>
          <w:trHeight w:val="263"/>
        </w:trPr>
        <w:tc>
          <w:tcPr>
            <w:tcW w:w="1400" w:type="dxa"/>
            <w:gridSpan w:val="2"/>
            <w:tcBorders>
              <w:top w:val="nil"/>
              <w:left w:val="nil"/>
              <w:bottom w:val="nil"/>
              <w:right w:val="nil"/>
            </w:tcBorders>
            <w:shd w:val="clear" w:color="000000" w:fill="FFFFFF"/>
            <w:noWrap/>
            <w:vAlign w:val="bottom"/>
            <w:hideMark/>
          </w:tcPr>
          <w:p w14:paraId="169D332A"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Operating income </w:t>
            </w:r>
          </w:p>
        </w:tc>
        <w:tc>
          <w:tcPr>
            <w:tcW w:w="700" w:type="dxa"/>
            <w:tcBorders>
              <w:top w:val="nil"/>
              <w:left w:val="nil"/>
              <w:bottom w:val="nil"/>
              <w:right w:val="nil"/>
            </w:tcBorders>
            <w:shd w:val="clear" w:color="000000" w:fill="FFFFFF"/>
            <w:noWrap/>
            <w:vAlign w:val="bottom"/>
            <w:hideMark/>
          </w:tcPr>
          <w:p w14:paraId="27C07E51"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noWrap/>
            <w:vAlign w:val="bottom"/>
            <w:hideMark/>
          </w:tcPr>
          <w:p w14:paraId="1EBABBC6"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44" w:type="dxa"/>
            <w:tcBorders>
              <w:top w:val="nil"/>
              <w:left w:val="nil"/>
              <w:bottom w:val="nil"/>
              <w:right w:val="nil"/>
            </w:tcBorders>
            <w:shd w:val="clear" w:color="000000" w:fill="FFFFFF"/>
            <w:noWrap/>
            <w:vAlign w:val="bottom"/>
            <w:hideMark/>
          </w:tcPr>
          <w:p w14:paraId="7CC2664E"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476" w:type="dxa"/>
            <w:tcBorders>
              <w:top w:val="nil"/>
              <w:left w:val="nil"/>
              <w:bottom w:val="nil"/>
              <w:right w:val="nil"/>
            </w:tcBorders>
            <w:shd w:val="clear" w:color="000000" w:fill="FFFFFF"/>
            <w:noWrap/>
            <w:vAlign w:val="bottom"/>
            <w:hideMark/>
          </w:tcPr>
          <w:p w14:paraId="48DBB433"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820" w:type="dxa"/>
            <w:tcBorders>
              <w:top w:val="nil"/>
              <w:left w:val="nil"/>
              <w:bottom w:val="nil"/>
              <w:right w:val="nil"/>
            </w:tcBorders>
            <w:shd w:val="clear" w:color="000000" w:fill="FFFFFF"/>
            <w:noWrap/>
            <w:vAlign w:val="bottom"/>
            <w:hideMark/>
          </w:tcPr>
          <w:p w14:paraId="2F9CD7BA"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56" w:type="dxa"/>
            <w:tcBorders>
              <w:top w:val="nil"/>
              <w:left w:val="nil"/>
              <w:bottom w:val="nil"/>
              <w:right w:val="nil"/>
            </w:tcBorders>
            <w:shd w:val="clear" w:color="000000" w:fill="FFFFFF"/>
            <w:noWrap/>
            <w:vAlign w:val="bottom"/>
            <w:hideMark/>
          </w:tcPr>
          <w:p w14:paraId="2F0CD430"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75" w:type="dxa"/>
            <w:tcBorders>
              <w:top w:val="nil"/>
              <w:left w:val="nil"/>
              <w:bottom w:val="nil"/>
              <w:right w:val="nil"/>
            </w:tcBorders>
            <w:shd w:val="clear" w:color="auto" w:fill="CCECFF"/>
            <w:noWrap/>
            <w:vAlign w:val="bottom"/>
            <w:hideMark/>
          </w:tcPr>
          <w:p w14:paraId="1A34F235"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xml:space="preserve">- </w:t>
            </w:r>
          </w:p>
        </w:tc>
        <w:tc>
          <w:tcPr>
            <w:tcW w:w="1276" w:type="dxa"/>
            <w:tcBorders>
              <w:top w:val="nil"/>
              <w:left w:val="nil"/>
              <w:bottom w:val="nil"/>
              <w:right w:val="nil"/>
            </w:tcBorders>
            <w:shd w:val="clear" w:color="000000" w:fill="FFFFFF"/>
            <w:noWrap/>
            <w:vAlign w:val="bottom"/>
            <w:hideMark/>
          </w:tcPr>
          <w:p w14:paraId="7C3C9AA4"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14 </w:t>
            </w:r>
          </w:p>
        </w:tc>
        <w:tc>
          <w:tcPr>
            <w:tcW w:w="1276" w:type="dxa"/>
            <w:tcBorders>
              <w:top w:val="nil"/>
              <w:left w:val="nil"/>
              <w:bottom w:val="nil"/>
              <w:right w:val="nil"/>
            </w:tcBorders>
            <w:shd w:val="clear" w:color="000000" w:fill="FFFFFF"/>
            <w:noWrap/>
            <w:vAlign w:val="bottom"/>
            <w:hideMark/>
          </w:tcPr>
          <w:p w14:paraId="3C05790B"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12 </w:t>
            </w:r>
          </w:p>
        </w:tc>
        <w:tc>
          <w:tcPr>
            <w:tcW w:w="222" w:type="dxa"/>
            <w:vAlign w:val="center"/>
            <w:hideMark/>
          </w:tcPr>
          <w:p w14:paraId="39017164"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17983D39" w14:textId="77777777" w:rsidTr="00130B78">
        <w:trPr>
          <w:trHeight w:val="263"/>
        </w:trPr>
        <w:tc>
          <w:tcPr>
            <w:tcW w:w="2100" w:type="dxa"/>
            <w:gridSpan w:val="3"/>
            <w:tcBorders>
              <w:top w:val="nil"/>
              <w:left w:val="nil"/>
              <w:bottom w:val="nil"/>
              <w:right w:val="nil"/>
            </w:tcBorders>
            <w:shd w:val="clear" w:color="000000" w:fill="FFFFFF"/>
            <w:noWrap/>
            <w:vAlign w:val="bottom"/>
            <w:hideMark/>
          </w:tcPr>
          <w:p w14:paraId="343E3FEE"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Operating expenses</w:t>
            </w:r>
          </w:p>
        </w:tc>
        <w:tc>
          <w:tcPr>
            <w:tcW w:w="700" w:type="dxa"/>
            <w:tcBorders>
              <w:top w:val="nil"/>
              <w:left w:val="nil"/>
              <w:bottom w:val="nil"/>
              <w:right w:val="nil"/>
            </w:tcBorders>
            <w:shd w:val="clear" w:color="000000" w:fill="FFFFFF"/>
            <w:noWrap/>
            <w:vAlign w:val="bottom"/>
            <w:hideMark/>
          </w:tcPr>
          <w:p w14:paraId="53274A74"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44" w:type="dxa"/>
            <w:tcBorders>
              <w:top w:val="nil"/>
              <w:left w:val="nil"/>
              <w:bottom w:val="nil"/>
              <w:right w:val="nil"/>
            </w:tcBorders>
            <w:shd w:val="clear" w:color="000000" w:fill="FFFFFF"/>
            <w:noWrap/>
            <w:vAlign w:val="bottom"/>
            <w:hideMark/>
          </w:tcPr>
          <w:p w14:paraId="25601870"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476" w:type="dxa"/>
            <w:tcBorders>
              <w:top w:val="nil"/>
              <w:left w:val="nil"/>
              <w:bottom w:val="nil"/>
              <w:right w:val="nil"/>
            </w:tcBorders>
            <w:shd w:val="clear" w:color="000000" w:fill="FFFFFF"/>
            <w:noWrap/>
            <w:vAlign w:val="bottom"/>
            <w:hideMark/>
          </w:tcPr>
          <w:p w14:paraId="7296416C"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820" w:type="dxa"/>
            <w:tcBorders>
              <w:top w:val="nil"/>
              <w:left w:val="nil"/>
              <w:bottom w:val="nil"/>
              <w:right w:val="nil"/>
            </w:tcBorders>
            <w:shd w:val="clear" w:color="000000" w:fill="FFFFFF"/>
            <w:noWrap/>
            <w:vAlign w:val="bottom"/>
            <w:hideMark/>
          </w:tcPr>
          <w:p w14:paraId="0958CA0B"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56" w:type="dxa"/>
            <w:tcBorders>
              <w:top w:val="nil"/>
              <w:left w:val="nil"/>
              <w:bottom w:val="nil"/>
              <w:right w:val="nil"/>
            </w:tcBorders>
            <w:shd w:val="clear" w:color="000000" w:fill="FFFFFF"/>
            <w:noWrap/>
            <w:vAlign w:val="bottom"/>
            <w:hideMark/>
          </w:tcPr>
          <w:p w14:paraId="2E4BBA93"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75" w:type="dxa"/>
            <w:tcBorders>
              <w:top w:val="nil"/>
              <w:left w:val="nil"/>
              <w:bottom w:val="nil"/>
              <w:right w:val="nil"/>
            </w:tcBorders>
            <w:shd w:val="clear" w:color="auto" w:fill="CCECFF"/>
            <w:noWrap/>
            <w:vAlign w:val="bottom"/>
            <w:hideMark/>
          </w:tcPr>
          <w:p w14:paraId="2A41642F"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xml:space="preserve">- </w:t>
            </w:r>
          </w:p>
        </w:tc>
        <w:tc>
          <w:tcPr>
            <w:tcW w:w="1276" w:type="dxa"/>
            <w:tcBorders>
              <w:top w:val="nil"/>
              <w:left w:val="nil"/>
              <w:bottom w:val="nil"/>
              <w:right w:val="nil"/>
            </w:tcBorders>
            <w:shd w:val="clear" w:color="000000" w:fill="FFFFFF"/>
            <w:noWrap/>
            <w:vAlign w:val="bottom"/>
            <w:hideMark/>
          </w:tcPr>
          <w:p w14:paraId="29AD1D31"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(16)</w:t>
            </w:r>
          </w:p>
        </w:tc>
        <w:tc>
          <w:tcPr>
            <w:tcW w:w="1276" w:type="dxa"/>
            <w:tcBorders>
              <w:top w:val="nil"/>
              <w:left w:val="nil"/>
              <w:bottom w:val="nil"/>
              <w:right w:val="nil"/>
            </w:tcBorders>
            <w:shd w:val="clear" w:color="000000" w:fill="FFFFFF"/>
            <w:noWrap/>
            <w:vAlign w:val="bottom"/>
            <w:hideMark/>
          </w:tcPr>
          <w:p w14:paraId="7145AA87"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(13)</w:t>
            </w:r>
          </w:p>
        </w:tc>
        <w:tc>
          <w:tcPr>
            <w:tcW w:w="222" w:type="dxa"/>
            <w:vAlign w:val="center"/>
            <w:hideMark/>
          </w:tcPr>
          <w:p w14:paraId="18ABF30F"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007E0AA5" w14:textId="77777777" w:rsidTr="00130B78">
        <w:trPr>
          <w:trHeight w:val="263"/>
        </w:trPr>
        <w:tc>
          <w:tcPr>
            <w:tcW w:w="1400" w:type="dxa"/>
            <w:gridSpan w:val="2"/>
            <w:tcBorders>
              <w:top w:val="nil"/>
              <w:left w:val="nil"/>
              <w:bottom w:val="nil"/>
              <w:right w:val="nil"/>
            </w:tcBorders>
            <w:shd w:val="clear" w:color="000000" w:fill="FFFFFF"/>
            <w:noWrap/>
            <w:vAlign w:val="bottom"/>
            <w:hideMark/>
          </w:tcPr>
          <w:p w14:paraId="46718514"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Other income</w:t>
            </w:r>
          </w:p>
        </w:tc>
        <w:tc>
          <w:tcPr>
            <w:tcW w:w="700" w:type="dxa"/>
            <w:tcBorders>
              <w:top w:val="nil"/>
              <w:left w:val="nil"/>
              <w:bottom w:val="nil"/>
              <w:right w:val="nil"/>
            </w:tcBorders>
            <w:shd w:val="clear" w:color="000000" w:fill="FFFFFF"/>
            <w:noWrap/>
            <w:vAlign w:val="bottom"/>
            <w:hideMark/>
          </w:tcPr>
          <w:p w14:paraId="0C0B3426"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noWrap/>
            <w:vAlign w:val="bottom"/>
            <w:hideMark/>
          </w:tcPr>
          <w:p w14:paraId="24DC4E27"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44" w:type="dxa"/>
            <w:tcBorders>
              <w:top w:val="nil"/>
              <w:left w:val="nil"/>
              <w:bottom w:val="nil"/>
              <w:right w:val="nil"/>
            </w:tcBorders>
            <w:shd w:val="clear" w:color="000000" w:fill="FFFFFF"/>
            <w:noWrap/>
            <w:vAlign w:val="bottom"/>
            <w:hideMark/>
          </w:tcPr>
          <w:p w14:paraId="32AEF86C"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476" w:type="dxa"/>
            <w:tcBorders>
              <w:top w:val="nil"/>
              <w:left w:val="nil"/>
              <w:bottom w:val="nil"/>
              <w:right w:val="nil"/>
            </w:tcBorders>
            <w:shd w:val="clear" w:color="000000" w:fill="FFFFFF"/>
            <w:noWrap/>
            <w:vAlign w:val="bottom"/>
            <w:hideMark/>
          </w:tcPr>
          <w:p w14:paraId="7D7D214B"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820" w:type="dxa"/>
            <w:tcBorders>
              <w:top w:val="nil"/>
              <w:left w:val="nil"/>
              <w:bottom w:val="nil"/>
              <w:right w:val="nil"/>
            </w:tcBorders>
            <w:shd w:val="clear" w:color="000000" w:fill="FFFFFF"/>
            <w:noWrap/>
            <w:vAlign w:val="bottom"/>
            <w:hideMark/>
          </w:tcPr>
          <w:p w14:paraId="44734730"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56" w:type="dxa"/>
            <w:tcBorders>
              <w:top w:val="nil"/>
              <w:left w:val="nil"/>
              <w:bottom w:val="nil"/>
              <w:right w:val="nil"/>
            </w:tcBorders>
            <w:shd w:val="clear" w:color="000000" w:fill="FFFFFF"/>
            <w:noWrap/>
            <w:vAlign w:val="bottom"/>
            <w:hideMark/>
          </w:tcPr>
          <w:p w14:paraId="157EC98B"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75" w:type="dxa"/>
            <w:tcBorders>
              <w:top w:val="nil"/>
              <w:left w:val="nil"/>
              <w:bottom w:val="nil"/>
              <w:right w:val="nil"/>
            </w:tcBorders>
            <w:shd w:val="clear" w:color="auto" w:fill="CCECFF"/>
            <w:noWrap/>
            <w:vAlign w:val="bottom"/>
            <w:hideMark/>
          </w:tcPr>
          <w:p w14:paraId="3C068973"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xml:space="preserve">78 </w:t>
            </w:r>
          </w:p>
        </w:tc>
        <w:tc>
          <w:tcPr>
            <w:tcW w:w="1276" w:type="dxa"/>
            <w:tcBorders>
              <w:top w:val="nil"/>
              <w:left w:val="nil"/>
              <w:bottom w:val="nil"/>
              <w:right w:val="nil"/>
            </w:tcBorders>
            <w:shd w:val="clear" w:color="000000" w:fill="FFFFFF"/>
            <w:noWrap/>
            <w:vAlign w:val="bottom"/>
            <w:hideMark/>
          </w:tcPr>
          <w:p w14:paraId="61D3E435"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12 </w:t>
            </w:r>
          </w:p>
        </w:tc>
        <w:tc>
          <w:tcPr>
            <w:tcW w:w="1276" w:type="dxa"/>
            <w:tcBorders>
              <w:top w:val="nil"/>
              <w:left w:val="nil"/>
              <w:bottom w:val="nil"/>
              <w:right w:val="nil"/>
            </w:tcBorders>
            <w:shd w:val="clear" w:color="000000" w:fill="FFFFFF"/>
            <w:noWrap/>
            <w:vAlign w:val="bottom"/>
            <w:hideMark/>
          </w:tcPr>
          <w:p w14:paraId="18E6A085"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13 </w:t>
            </w:r>
          </w:p>
        </w:tc>
        <w:tc>
          <w:tcPr>
            <w:tcW w:w="222" w:type="dxa"/>
            <w:vAlign w:val="center"/>
            <w:hideMark/>
          </w:tcPr>
          <w:p w14:paraId="62A8CAEE"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177305C3" w14:textId="77777777" w:rsidTr="00130B78">
        <w:trPr>
          <w:trHeight w:val="263"/>
        </w:trPr>
        <w:tc>
          <w:tcPr>
            <w:tcW w:w="4020" w:type="dxa"/>
            <w:gridSpan w:val="6"/>
            <w:tcBorders>
              <w:top w:val="single" w:sz="4" w:space="0" w:color="BFBFBF"/>
              <w:left w:val="nil"/>
              <w:bottom w:val="single" w:sz="4" w:space="0" w:color="BFBFBF"/>
              <w:right w:val="nil"/>
            </w:tcBorders>
            <w:shd w:val="clear" w:color="000000" w:fill="FFFFFF"/>
            <w:noWrap/>
            <w:vAlign w:val="center"/>
            <w:hideMark/>
          </w:tcPr>
          <w:p w14:paraId="7E6B0AEB" w14:textId="77777777" w:rsidR="00EC475F" w:rsidRPr="00EC475F" w:rsidRDefault="00EC475F" w:rsidP="00EC475F">
            <w:pPr>
              <w:spacing w:after="0" w:line="240" w:lineRule="auto"/>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Profit before tax from discontinued operation</w:t>
            </w:r>
          </w:p>
        </w:tc>
        <w:tc>
          <w:tcPr>
            <w:tcW w:w="820" w:type="dxa"/>
            <w:tcBorders>
              <w:top w:val="single" w:sz="4" w:space="0" w:color="BFBFBF"/>
              <w:left w:val="nil"/>
              <w:bottom w:val="single" w:sz="4" w:space="0" w:color="BFBFBF"/>
              <w:right w:val="nil"/>
            </w:tcBorders>
            <w:shd w:val="clear" w:color="000000" w:fill="FFFFFF"/>
            <w:noWrap/>
            <w:vAlign w:val="center"/>
            <w:hideMark/>
          </w:tcPr>
          <w:p w14:paraId="6B8ED54D"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56" w:type="dxa"/>
            <w:tcBorders>
              <w:top w:val="single" w:sz="4" w:space="0" w:color="BFBFBF"/>
              <w:left w:val="nil"/>
              <w:bottom w:val="single" w:sz="4" w:space="0" w:color="BFBFBF"/>
              <w:right w:val="nil"/>
            </w:tcBorders>
            <w:shd w:val="clear" w:color="000000" w:fill="FFFFFF"/>
            <w:noWrap/>
            <w:vAlign w:val="center"/>
            <w:hideMark/>
          </w:tcPr>
          <w:p w14:paraId="6199E0FC"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75" w:type="dxa"/>
            <w:tcBorders>
              <w:top w:val="nil"/>
              <w:left w:val="nil"/>
              <w:bottom w:val="single" w:sz="4" w:space="0" w:color="BFBFBF"/>
              <w:right w:val="nil"/>
            </w:tcBorders>
            <w:shd w:val="clear" w:color="auto" w:fill="CCECFF"/>
            <w:noWrap/>
            <w:vAlign w:val="center"/>
            <w:hideMark/>
          </w:tcPr>
          <w:p w14:paraId="675900AE"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xml:space="preserve">78 </w:t>
            </w:r>
          </w:p>
        </w:tc>
        <w:tc>
          <w:tcPr>
            <w:tcW w:w="1276" w:type="dxa"/>
            <w:tcBorders>
              <w:top w:val="single" w:sz="4" w:space="0" w:color="BFBFBF"/>
              <w:left w:val="nil"/>
              <w:bottom w:val="single" w:sz="4" w:space="0" w:color="BFBFBF"/>
              <w:right w:val="nil"/>
            </w:tcBorders>
            <w:shd w:val="clear" w:color="000000" w:fill="FFFFFF"/>
            <w:noWrap/>
            <w:vAlign w:val="center"/>
            <w:hideMark/>
          </w:tcPr>
          <w:p w14:paraId="5C7C0AF2"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10 </w:t>
            </w:r>
          </w:p>
        </w:tc>
        <w:tc>
          <w:tcPr>
            <w:tcW w:w="1276" w:type="dxa"/>
            <w:tcBorders>
              <w:top w:val="single" w:sz="4" w:space="0" w:color="BFBFBF"/>
              <w:left w:val="nil"/>
              <w:bottom w:val="single" w:sz="4" w:space="0" w:color="BFBFBF"/>
              <w:right w:val="nil"/>
            </w:tcBorders>
            <w:shd w:val="clear" w:color="000000" w:fill="FFFFFF"/>
            <w:noWrap/>
            <w:vAlign w:val="center"/>
            <w:hideMark/>
          </w:tcPr>
          <w:p w14:paraId="1DBCC9CC"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12 </w:t>
            </w:r>
          </w:p>
        </w:tc>
        <w:tc>
          <w:tcPr>
            <w:tcW w:w="222" w:type="dxa"/>
            <w:vAlign w:val="center"/>
            <w:hideMark/>
          </w:tcPr>
          <w:p w14:paraId="6E964F74"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130B78" w:rsidRPr="00EC475F" w14:paraId="0C4F55C7" w14:textId="77777777" w:rsidTr="00130B78">
        <w:trPr>
          <w:trHeight w:val="263"/>
        </w:trPr>
        <w:tc>
          <w:tcPr>
            <w:tcW w:w="4840" w:type="dxa"/>
            <w:gridSpan w:val="7"/>
            <w:tcBorders>
              <w:top w:val="nil"/>
              <w:left w:val="nil"/>
              <w:bottom w:val="nil"/>
              <w:right w:val="nil"/>
            </w:tcBorders>
            <w:shd w:val="clear" w:color="000000" w:fill="FFFFFF"/>
            <w:noWrap/>
            <w:vAlign w:val="center"/>
            <w:hideMark/>
          </w:tcPr>
          <w:p w14:paraId="32B0BD9E"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Tax - relating to the pre-tax profit on discontinued operation</w:t>
            </w:r>
          </w:p>
        </w:tc>
        <w:tc>
          <w:tcPr>
            <w:tcW w:w="1256" w:type="dxa"/>
            <w:tcBorders>
              <w:top w:val="nil"/>
              <w:left w:val="nil"/>
              <w:bottom w:val="nil"/>
              <w:right w:val="nil"/>
            </w:tcBorders>
            <w:shd w:val="clear" w:color="000000" w:fill="FFFFFF"/>
            <w:noWrap/>
            <w:vAlign w:val="center"/>
            <w:hideMark/>
          </w:tcPr>
          <w:p w14:paraId="41671D95"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75" w:type="dxa"/>
            <w:tcBorders>
              <w:top w:val="nil"/>
              <w:left w:val="nil"/>
              <w:bottom w:val="single" w:sz="4" w:space="0" w:color="BFBFBF"/>
              <w:right w:val="nil"/>
            </w:tcBorders>
            <w:shd w:val="clear" w:color="auto" w:fill="CCECFF"/>
            <w:noWrap/>
            <w:vAlign w:val="bottom"/>
            <w:hideMark/>
          </w:tcPr>
          <w:p w14:paraId="2BE6A609"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(18)</w:t>
            </w:r>
          </w:p>
        </w:tc>
        <w:tc>
          <w:tcPr>
            <w:tcW w:w="1276" w:type="dxa"/>
            <w:tcBorders>
              <w:top w:val="nil"/>
              <w:left w:val="nil"/>
              <w:bottom w:val="nil"/>
              <w:right w:val="nil"/>
            </w:tcBorders>
            <w:shd w:val="clear" w:color="000000" w:fill="FFFFFF"/>
            <w:noWrap/>
            <w:vAlign w:val="center"/>
            <w:hideMark/>
          </w:tcPr>
          <w:p w14:paraId="4A7C76FE"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w:t>
            </w:r>
          </w:p>
        </w:tc>
        <w:tc>
          <w:tcPr>
            <w:tcW w:w="1276" w:type="dxa"/>
            <w:tcBorders>
              <w:top w:val="nil"/>
              <w:left w:val="nil"/>
              <w:bottom w:val="nil"/>
              <w:right w:val="nil"/>
            </w:tcBorders>
            <w:shd w:val="clear" w:color="000000" w:fill="FFFFFF"/>
            <w:noWrap/>
            <w:vAlign w:val="center"/>
            <w:hideMark/>
          </w:tcPr>
          <w:p w14:paraId="23EDD24E"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1 </w:t>
            </w:r>
          </w:p>
        </w:tc>
        <w:tc>
          <w:tcPr>
            <w:tcW w:w="222" w:type="dxa"/>
            <w:vAlign w:val="center"/>
            <w:hideMark/>
          </w:tcPr>
          <w:p w14:paraId="75A9C09E"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130B78" w:rsidRPr="00EC475F" w14:paraId="172EF3DA" w14:textId="77777777" w:rsidTr="00130B78">
        <w:trPr>
          <w:trHeight w:val="263"/>
        </w:trPr>
        <w:tc>
          <w:tcPr>
            <w:tcW w:w="4840" w:type="dxa"/>
            <w:gridSpan w:val="7"/>
            <w:tcBorders>
              <w:top w:val="single" w:sz="4" w:space="0" w:color="BFBFBF"/>
              <w:left w:val="nil"/>
              <w:bottom w:val="single" w:sz="4" w:space="0" w:color="BFBFBF"/>
              <w:right w:val="nil"/>
            </w:tcBorders>
            <w:shd w:val="clear" w:color="000000" w:fill="FFFFFF"/>
            <w:noWrap/>
            <w:vAlign w:val="center"/>
            <w:hideMark/>
          </w:tcPr>
          <w:p w14:paraId="5A9A67D1" w14:textId="77777777" w:rsidR="00EC475F" w:rsidRPr="00EC475F" w:rsidRDefault="00EC475F" w:rsidP="00EC475F">
            <w:pPr>
              <w:spacing w:after="0" w:line="240" w:lineRule="auto"/>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Profit for the period from discontinued operation</w:t>
            </w:r>
          </w:p>
        </w:tc>
        <w:tc>
          <w:tcPr>
            <w:tcW w:w="1256" w:type="dxa"/>
            <w:tcBorders>
              <w:top w:val="single" w:sz="4" w:space="0" w:color="BFBFBF"/>
              <w:left w:val="nil"/>
              <w:bottom w:val="single" w:sz="4" w:space="0" w:color="BFBFBF"/>
              <w:right w:val="nil"/>
            </w:tcBorders>
            <w:shd w:val="clear" w:color="000000" w:fill="FFFFFF"/>
            <w:noWrap/>
            <w:vAlign w:val="center"/>
            <w:hideMark/>
          </w:tcPr>
          <w:p w14:paraId="708DA36D"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75" w:type="dxa"/>
            <w:tcBorders>
              <w:top w:val="nil"/>
              <w:left w:val="nil"/>
              <w:bottom w:val="single" w:sz="4" w:space="0" w:color="BFBFBF"/>
              <w:right w:val="nil"/>
            </w:tcBorders>
            <w:shd w:val="clear" w:color="auto" w:fill="CCECFF"/>
            <w:noWrap/>
            <w:vAlign w:val="center"/>
            <w:hideMark/>
          </w:tcPr>
          <w:p w14:paraId="04C37906"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xml:space="preserve">60 </w:t>
            </w:r>
          </w:p>
        </w:tc>
        <w:tc>
          <w:tcPr>
            <w:tcW w:w="1276" w:type="dxa"/>
            <w:tcBorders>
              <w:top w:val="single" w:sz="4" w:space="0" w:color="BFBFBF"/>
              <w:left w:val="nil"/>
              <w:bottom w:val="single" w:sz="4" w:space="0" w:color="BFBFBF"/>
              <w:right w:val="nil"/>
            </w:tcBorders>
            <w:shd w:val="clear" w:color="000000" w:fill="FFFFFF"/>
            <w:noWrap/>
            <w:vAlign w:val="center"/>
            <w:hideMark/>
          </w:tcPr>
          <w:p w14:paraId="5A06885C"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10 </w:t>
            </w:r>
          </w:p>
        </w:tc>
        <w:tc>
          <w:tcPr>
            <w:tcW w:w="1276" w:type="dxa"/>
            <w:tcBorders>
              <w:top w:val="single" w:sz="4" w:space="0" w:color="BFBFBF"/>
              <w:left w:val="nil"/>
              <w:bottom w:val="single" w:sz="4" w:space="0" w:color="BFBFBF"/>
              <w:right w:val="nil"/>
            </w:tcBorders>
            <w:shd w:val="clear" w:color="000000" w:fill="FFFFFF"/>
            <w:noWrap/>
            <w:vAlign w:val="center"/>
            <w:hideMark/>
          </w:tcPr>
          <w:p w14:paraId="47AA1F91"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13 </w:t>
            </w:r>
          </w:p>
        </w:tc>
        <w:tc>
          <w:tcPr>
            <w:tcW w:w="222" w:type="dxa"/>
            <w:vAlign w:val="center"/>
            <w:hideMark/>
          </w:tcPr>
          <w:p w14:paraId="6489D7F6"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058D6BA1" w14:textId="77777777" w:rsidTr="00130B78">
        <w:trPr>
          <w:trHeight w:val="199"/>
        </w:trPr>
        <w:tc>
          <w:tcPr>
            <w:tcW w:w="700" w:type="dxa"/>
            <w:tcBorders>
              <w:top w:val="nil"/>
              <w:left w:val="nil"/>
              <w:bottom w:val="nil"/>
              <w:right w:val="nil"/>
            </w:tcBorders>
            <w:shd w:val="clear" w:color="000000" w:fill="FFFFFF"/>
            <w:noWrap/>
            <w:vAlign w:val="center"/>
            <w:hideMark/>
          </w:tcPr>
          <w:p w14:paraId="7F4DB2DB" w14:textId="77777777" w:rsidR="00EC475F" w:rsidRPr="00EC475F" w:rsidRDefault="00EC475F" w:rsidP="00EC475F">
            <w:pPr>
              <w:spacing w:after="0" w:line="240" w:lineRule="auto"/>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700" w:type="dxa"/>
            <w:tcBorders>
              <w:top w:val="nil"/>
              <w:left w:val="nil"/>
              <w:bottom w:val="nil"/>
              <w:right w:val="nil"/>
            </w:tcBorders>
            <w:shd w:val="clear" w:color="000000" w:fill="FFFFFF"/>
            <w:noWrap/>
            <w:vAlign w:val="center"/>
            <w:hideMark/>
          </w:tcPr>
          <w:p w14:paraId="62D37265"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noWrap/>
            <w:vAlign w:val="center"/>
            <w:hideMark/>
          </w:tcPr>
          <w:p w14:paraId="64D869D3"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noWrap/>
            <w:vAlign w:val="center"/>
            <w:hideMark/>
          </w:tcPr>
          <w:p w14:paraId="5D60BB63"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44" w:type="dxa"/>
            <w:tcBorders>
              <w:top w:val="nil"/>
              <w:left w:val="nil"/>
              <w:bottom w:val="nil"/>
              <w:right w:val="nil"/>
            </w:tcBorders>
            <w:shd w:val="clear" w:color="000000" w:fill="FFFFFF"/>
            <w:noWrap/>
            <w:vAlign w:val="center"/>
            <w:hideMark/>
          </w:tcPr>
          <w:p w14:paraId="6301A8D8"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476" w:type="dxa"/>
            <w:tcBorders>
              <w:top w:val="nil"/>
              <w:left w:val="nil"/>
              <w:bottom w:val="nil"/>
              <w:right w:val="nil"/>
            </w:tcBorders>
            <w:shd w:val="clear" w:color="000000" w:fill="FFFFFF"/>
            <w:noWrap/>
            <w:vAlign w:val="center"/>
            <w:hideMark/>
          </w:tcPr>
          <w:p w14:paraId="51B7452D"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820" w:type="dxa"/>
            <w:tcBorders>
              <w:top w:val="nil"/>
              <w:left w:val="nil"/>
              <w:bottom w:val="nil"/>
              <w:right w:val="nil"/>
            </w:tcBorders>
            <w:shd w:val="clear" w:color="000000" w:fill="FFFFFF"/>
            <w:noWrap/>
            <w:vAlign w:val="center"/>
            <w:hideMark/>
          </w:tcPr>
          <w:p w14:paraId="7EE5BFF6"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56" w:type="dxa"/>
            <w:tcBorders>
              <w:top w:val="nil"/>
              <w:left w:val="nil"/>
              <w:bottom w:val="nil"/>
              <w:right w:val="nil"/>
            </w:tcBorders>
            <w:shd w:val="clear" w:color="000000" w:fill="FFFFFF"/>
            <w:noWrap/>
            <w:vAlign w:val="center"/>
            <w:hideMark/>
          </w:tcPr>
          <w:p w14:paraId="4F0240CB"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75" w:type="dxa"/>
            <w:tcBorders>
              <w:top w:val="nil"/>
              <w:left w:val="nil"/>
              <w:bottom w:val="nil"/>
              <w:right w:val="nil"/>
            </w:tcBorders>
            <w:shd w:val="clear" w:color="000000" w:fill="FFFFFF"/>
            <w:noWrap/>
            <w:vAlign w:val="center"/>
            <w:hideMark/>
          </w:tcPr>
          <w:p w14:paraId="247C927A"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76" w:type="dxa"/>
            <w:tcBorders>
              <w:top w:val="nil"/>
              <w:left w:val="nil"/>
              <w:bottom w:val="nil"/>
              <w:right w:val="nil"/>
            </w:tcBorders>
            <w:shd w:val="clear" w:color="000000" w:fill="FFFFFF"/>
            <w:noWrap/>
            <w:vAlign w:val="center"/>
            <w:hideMark/>
          </w:tcPr>
          <w:p w14:paraId="5A0C06EB" w14:textId="77777777" w:rsidR="00EC475F" w:rsidRPr="00EC475F" w:rsidRDefault="00EC475F" w:rsidP="00EC475F">
            <w:pPr>
              <w:spacing w:after="0" w:line="240" w:lineRule="auto"/>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76" w:type="dxa"/>
            <w:tcBorders>
              <w:top w:val="nil"/>
              <w:left w:val="nil"/>
              <w:bottom w:val="nil"/>
              <w:right w:val="nil"/>
            </w:tcBorders>
            <w:shd w:val="clear" w:color="000000" w:fill="FFFFFF"/>
            <w:noWrap/>
            <w:vAlign w:val="center"/>
            <w:hideMark/>
          </w:tcPr>
          <w:p w14:paraId="1A7252D8" w14:textId="77777777" w:rsidR="00EC475F" w:rsidRPr="00EC475F" w:rsidRDefault="00EC475F" w:rsidP="00EC475F">
            <w:pPr>
              <w:spacing w:after="0" w:line="240" w:lineRule="auto"/>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222" w:type="dxa"/>
            <w:vAlign w:val="center"/>
            <w:hideMark/>
          </w:tcPr>
          <w:p w14:paraId="2EE0EA68"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378A3ED0" w14:textId="77777777" w:rsidTr="00130B78">
        <w:trPr>
          <w:trHeight w:val="360"/>
        </w:trPr>
        <w:tc>
          <w:tcPr>
            <w:tcW w:w="700" w:type="dxa"/>
            <w:tcBorders>
              <w:top w:val="nil"/>
              <w:left w:val="nil"/>
              <w:bottom w:val="nil"/>
              <w:right w:val="nil"/>
            </w:tcBorders>
            <w:shd w:val="clear" w:color="000000" w:fill="FFFFFF"/>
            <w:noWrap/>
            <w:vAlign w:val="bottom"/>
            <w:hideMark/>
          </w:tcPr>
          <w:p w14:paraId="1D66BCC8"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noWrap/>
            <w:vAlign w:val="bottom"/>
            <w:hideMark/>
          </w:tcPr>
          <w:p w14:paraId="09650E77"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noWrap/>
            <w:vAlign w:val="bottom"/>
            <w:hideMark/>
          </w:tcPr>
          <w:p w14:paraId="04E89B7D"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noWrap/>
            <w:vAlign w:val="bottom"/>
            <w:hideMark/>
          </w:tcPr>
          <w:p w14:paraId="6AA1BCFC"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44" w:type="dxa"/>
            <w:tcBorders>
              <w:top w:val="nil"/>
              <w:left w:val="nil"/>
              <w:bottom w:val="nil"/>
              <w:right w:val="nil"/>
            </w:tcBorders>
            <w:shd w:val="clear" w:color="000000" w:fill="FFFFFF"/>
            <w:noWrap/>
            <w:vAlign w:val="bottom"/>
            <w:hideMark/>
          </w:tcPr>
          <w:p w14:paraId="59DC00B0"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476" w:type="dxa"/>
            <w:tcBorders>
              <w:top w:val="nil"/>
              <w:left w:val="nil"/>
              <w:bottom w:val="nil"/>
              <w:right w:val="nil"/>
            </w:tcBorders>
            <w:shd w:val="clear" w:color="000000" w:fill="FFFFFF"/>
            <w:noWrap/>
            <w:vAlign w:val="bottom"/>
            <w:hideMark/>
          </w:tcPr>
          <w:p w14:paraId="6813446A"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820" w:type="dxa"/>
            <w:tcBorders>
              <w:top w:val="nil"/>
              <w:left w:val="nil"/>
              <w:bottom w:val="nil"/>
              <w:right w:val="nil"/>
            </w:tcBorders>
            <w:shd w:val="clear" w:color="000000" w:fill="FFFFFF"/>
            <w:noWrap/>
            <w:vAlign w:val="bottom"/>
            <w:hideMark/>
          </w:tcPr>
          <w:p w14:paraId="4634869A"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56" w:type="dxa"/>
            <w:tcBorders>
              <w:top w:val="nil"/>
              <w:left w:val="nil"/>
              <w:bottom w:val="nil"/>
              <w:right w:val="nil"/>
            </w:tcBorders>
            <w:shd w:val="clear" w:color="000000" w:fill="FFFFFF"/>
            <w:noWrap/>
            <w:vAlign w:val="bottom"/>
            <w:hideMark/>
          </w:tcPr>
          <w:p w14:paraId="681C9198"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75" w:type="dxa"/>
            <w:tcBorders>
              <w:top w:val="nil"/>
              <w:left w:val="nil"/>
              <w:bottom w:val="nil"/>
              <w:right w:val="nil"/>
            </w:tcBorders>
            <w:shd w:val="clear" w:color="000000" w:fill="FFFFFF"/>
            <w:noWrap/>
            <w:vAlign w:val="bottom"/>
            <w:hideMark/>
          </w:tcPr>
          <w:p w14:paraId="2B0A5148"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76" w:type="dxa"/>
            <w:tcBorders>
              <w:top w:val="nil"/>
              <w:left w:val="nil"/>
              <w:bottom w:val="nil"/>
              <w:right w:val="nil"/>
            </w:tcBorders>
            <w:shd w:val="clear" w:color="000000" w:fill="FFFFFF"/>
            <w:noWrap/>
            <w:vAlign w:val="bottom"/>
            <w:hideMark/>
          </w:tcPr>
          <w:p w14:paraId="45DD018F"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1276" w:type="dxa"/>
            <w:tcBorders>
              <w:top w:val="nil"/>
              <w:left w:val="nil"/>
              <w:bottom w:val="nil"/>
              <w:right w:val="nil"/>
            </w:tcBorders>
            <w:shd w:val="clear" w:color="000000" w:fill="FFFFFF"/>
            <w:noWrap/>
            <w:vAlign w:val="bottom"/>
            <w:hideMark/>
          </w:tcPr>
          <w:p w14:paraId="4A91B2F3"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222" w:type="dxa"/>
            <w:vAlign w:val="center"/>
            <w:hideMark/>
          </w:tcPr>
          <w:p w14:paraId="528AF29C"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61C3E924" w14:textId="77777777" w:rsidTr="00130B78">
        <w:trPr>
          <w:trHeight w:val="360"/>
        </w:trPr>
        <w:tc>
          <w:tcPr>
            <w:tcW w:w="6096" w:type="dxa"/>
            <w:gridSpan w:val="8"/>
            <w:tcBorders>
              <w:top w:val="single" w:sz="4" w:space="0" w:color="BFBFBF"/>
              <w:left w:val="single" w:sz="4" w:space="0" w:color="BFBFBF"/>
              <w:bottom w:val="nil"/>
              <w:right w:val="nil"/>
            </w:tcBorders>
            <w:shd w:val="clear" w:color="auto" w:fill="auto"/>
            <w:vAlign w:val="center"/>
            <w:hideMark/>
          </w:tcPr>
          <w:p w14:paraId="4D9879DE" w14:textId="77777777" w:rsidR="00EC475F" w:rsidRPr="00EC475F" w:rsidRDefault="00EC475F" w:rsidP="00EC475F">
            <w:pPr>
              <w:spacing w:after="0" w:line="240" w:lineRule="auto"/>
              <w:jc w:val="both"/>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Segmental analysis - Insurance (underwriting business)</w:t>
            </w:r>
          </w:p>
        </w:tc>
        <w:tc>
          <w:tcPr>
            <w:tcW w:w="1275" w:type="dxa"/>
            <w:vMerge w:val="restart"/>
            <w:tcBorders>
              <w:top w:val="single" w:sz="4" w:space="0" w:color="BFBFBF"/>
              <w:left w:val="nil"/>
              <w:bottom w:val="nil"/>
              <w:right w:val="nil"/>
            </w:tcBorders>
            <w:shd w:val="clear" w:color="auto" w:fill="auto"/>
            <w:hideMark/>
          </w:tcPr>
          <w:p w14:paraId="6D881E59"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26 weeks ended</w:t>
            </w:r>
            <w:r w:rsidRPr="00EC475F">
              <w:rPr>
                <w:rFonts w:ascii="Arial" w:eastAsia="Times New Roman" w:hAnsi="Arial" w:cs="Arial"/>
                <w:b/>
                <w:bCs/>
                <w:sz w:val="15"/>
                <w:szCs w:val="15"/>
                <w:lang w:eastAsia="en-GB"/>
              </w:rPr>
              <w:br/>
              <w:t>2 July 2022</w:t>
            </w:r>
            <w:r w:rsidRPr="00EC475F">
              <w:rPr>
                <w:rFonts w:ascii="Arial" w:eastAsia="Times New Roman" w:hAnsi="Arial" w:cs="Arial"/>
                <w:b/>
                <w:bCs/>
                <w:sz w:val="15"/>
                <w:szCs w:val="15"/>
                <w:lang w:eastAsia="en-GB"/>
              </w:rPr>
              <w:br/>
              <w:t>(unaudited)</w:t>
            </w:r>
          </w:p>
        </w:tc>
        <w:tc>
          <w:tcPr>
            <w:tcW w:w="1276" w:type="dxa"/>
            <w:vMerge w:val="restart"/>
            <w:tcBorders>
              <w:top w:val="single" w:sz="4" w:space="0" w:color="BFBFBF"/>
              <w:left w:val="nil"/>
              <w:bottom w:val="nil"/>
              <w:right w:val="nil"/>
            </w:tcBorders>
            <w:shd w:val="clear" w:color="auto" w:fill="auto"/>
            <w:hideMark/>
          </w:tcPr>
          <w:p w14:paraId="1A014155"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26 weeks ended</w:t>
            </w:r>
            <w:r w:rsidRPr="00EC475F">
              <w:rPr>
                <w:rFonts w:ascii="Arial" w:eastAsia="Times New Roman" w:hAnsi="Arial" w:cs="Arial"/>
                <w:sz w:val="15"/>
                <w:szCs w:val="15"/>
                <w:lang w:eastAsia="en-GB"/>
              </w:rPr>
              <w:br/>
              <w:t>3 July 2021</w:t>
            </w:r>
            <w:r w:rsidRPr="00EC475F">
              <w:rPr>
                <w:rFonts w:ascii="Arial" w:eastAsia="Times New Roman" w:hAnsi="Arial" w:cs="Arial"/>
                <w:sz w:val="15"/>
                <w:szCs w:val="15"/>
                <w:lang w:eastAsia="en-GB"/>
              </w:rPr>
              <w:br/>
              <w:t>(unaudited)</w:t>
            </w:r>
          </w:p>
        </w:tc>
        <w:tc>
          <w:tcPr>
            <w:tcW w:w="1276" w:type="dxa"/>
            <w:vMerge w:val="restart"/>
            <w:tcBorders>
              <w:top w:val="single" w:sz="4" w:space="0" w:color="BFBFBF"/>
              <w:left w:val="nil"/>
              <w:bottom w:val="nil"/>
              <w:right w:val="single" w:sz="4" w:space="0" w:color="BFBFBF"/>
            </w:tcBorders>
            <w:shd w:val="clear" w:color="auto" w:fill="auto"/>
            <w:hideMark/>
          </w:tcPr>
          <w:p w14:paraId="3D341D3D"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52 weeks ended</w:t>
            </w:r>
            <w:r w:rsidRPr="00EC475F">
              <w:rPr>
                <w:rFonts w:ascii="Arial" w:eastAsia="Times New Roman" w:hAnsi="Arial" w:cs="Arial"/>
                <w:sz w:val="15"/>
                <w:szCs w:val="15"/>
                <w:lang w:eastAsia="en-GB"/>
              </w:rPr>
              <w:br/>
              <w:t>1 January 2022</w:t>
            </w:r>
            <w:r w:rsidRPr="00EC475F">
              <w:rPr>
                <w:rFonts w:ascii="Arial" w:eastAsia="Times New Roman" w:hAnsi="Arial" w:cs="Arial"/>
                <w:sz w:val="15"/>
                <w:szCs w:val="15"/>
                <w:lang w:eastAsia="en-GB"/>
              </w:rPr>
              <w:br/>
              <w:t>(audited)</w:t>
            </w:r>
          </w:p>
        </w:tc>
        <w:tc>
          <w:tcPr>
            <w:tcW w:w="222" w:type="dxa"/>
            <w:vAlign w:val="center"/>
            <w:hideMark/>
          </w:tcPr>
          <w:p w14:paraId="13529251"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130B78" w:rsidRPr="00EC475F" w14:paraId="2D9D3FCC" w14:textId="77777777" w:rsidTr="00130B78">
        <w:trPr>
          <w:trHeight w:val="270"/>
        </w:trPr>
        <w:tc>
          <w:tcPr>
            <w:tcW w:w="6096" w:type="dxa"/>
            <w:gridSpan w:val="8"/>
            <w:tcBorders>
              <w:top w:val="nil"/>
              <w:left w:val="single" w:sz="4" w:space="0" w:color="BFBFBF"/>
              <w:bottom w:val="nil"/>
              <w:right w:val="nil"/>
            </w:tcBorders>
            <w:shd w:val="clear" w:color="auto" w:fill="auto"/>
            <w:vAlign w:val="center"/>
            <w:hideMark/>
          </w:tcPr>
          <w:p w14:paraId="33D4015D" w14:textId="77777777" w:rsidR="00EC475F" w:rsidRPr="00EC475F" w:rsidRDefault="00EC475F" w:rsidP="00EC475F">
            <w:pPr>
              <w:spacing w:after="0" w:line="240" w:lineRule="auto"/>
              <w:jc w:val="both"/>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75" w:type="dxa"/>
            <w:vMerge/>
            <w:tcBorders>
              <w:top w:val="single" w:sz="4" w:space="0" w:color="BFBFBF"/>
              <w:left w:val="nil"/>
              <w:bottom w:val="nil"/>
              <w:right w:val="nil"/>
            </w:tcBorders>
            <w:shd w:val="clear" w:color="auto" w:fill="auto"/>
            <w:vAlign w:val="center"/>
            <w:hideMark/>
          </w:tcPr>
          <w:p w14:paraId="67452D37" w14:textId="77777777" w:rsidR="00EC475F" w:rsidRPr="00EC475F" w:rsidRDefault="00EC475F" w:rsidP="00EC475F">
            <w:pPr>
              <w:spacing w:after="0" w:line="240" w:lineRule="auto"/>
              <w:rPr>
                <w:rFonts w:ascii="Arial" w:eastAsia="Times New Roman" w:hAnsi="Arial" w:cs="Arial"/>
                <w:b/>
                <w:bCs/>
                <w:sz w:val="15"/>
                <w:szCs w:val="15"/>
                <w:lang w:eastAsia="en-GB"/>
              </w:rPr>
            </w:pPr>
          </w:p>
        </w:tc>
        <w:tc>
          <w:tcPr>
            <w:tcW w:w="1276" w:type="dxa"/>
            <w:vMerge/>
            <w:tcBorders>
              <w:top w:val="single" w:sz="4" w:space="0" w:color="BFBFBF"/>
              <w:left w:val="nil"/>
              <w:bottom w:val="nil"/>
              <w:right w:val="nil"/>
            </w:tcBorders>
            <w:shd w:val="clear" w:color="auto" w:fill="auto"/>
            <w:vAlign w:val="center"/>
            <w:hideMark/>
          </w:tcPr>
          <w:p w14:paraId="63E48E6A" w14:textId="77777777" w:rsidR="00EC475F" w:rsidRPr="00EC475F" w:rsidRDefault="00EC475F" w:rsidP="00EC475F">
            <w:pPr>
              <w:spacing w:after="0" w:line="240" w:lineRule="auto"/>
              <w:rPr>
                <w:rFonts w:ascii="Arial" w:eastAsia="Times New Roman" w:hAnsi="Arial" w:cs="Arial"/>
                <w:sz w:val="15"/>
                <w:szCs w:val="15"/>
                <w:lang w:eastAsia="en-GB"/>
              </w:rPr>
            </w:pPr>
          </w:p>
        </w:tc>
        <w:tc>
          <w:tcPr>
            <w:tcW w:w="1276" w:type="dxa"/>
            <w:vMerge/>
            <w:tcBorders>
              <w:top w:val="single" w:sz="4" w:space="0" w:color="BFBFBF"/>
              <w:left w:val="nil"/>
              <w:bottom w:val="nil"/>
              <w:right w:val="single" w:sz="4" w:space="0" w:color="BFBFBF"/>
            </w:tcBorders>
            <w:shd w:val="clear" w:color="auto" w:fill="auto"/>
            <w:vAlign w:val="center"/>
            <w:hideMark/>
          </w:tcPr>
          <w:p w14:paraId="523866E0" w14:textId="77777777" w:rsidR="00EC475F" w:rsidRPr="00EC475F" w:rsidRDefault="00EC475F" w:rsidP="00EC475F">
            <w:pPr>
              <w:spacing w:after="0" w:line="240" w:lineRule="auto"/>
              <w:rPr>
                <w:rFonts w:ascii="Arial" w:eastAsia="Times New Roman" w:hAnsi="Arial" w:cs="Arial"/>
                <w:sz w:val="15"/>
                <w:szCs w:val="15"/>
                <w:lang w:eastAsia="en-GB"/>
              </w:rPr>
            </w:pPr>
          </w:p>
        </w:tc>
        <w:tc>
          <w:tcPr>
            <w:tcW w:w="222" w:type="dxa"/>
            <w:vAlign w:val="center"/>
            <w:hideMark/>
          </w:tcPr>
          <w:p w14:paraId="58CF8E91"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24509B01" w14:textId="77777777" w:rsidTr="00130B78">
        <w:trPr>
          <w:trHeight w:val="218"/>
        </w:trPr>
        <w:tc>
          <w:tcPr>
            <w:tcW w:w="6096" w:type="dxa"/>
            <w:gridSpan w:val="8"/>
            <w:tcBorders>
              <w:top w:val="nil"/>
              <w:left w:val="single" w:sz="4" w:space="0" w:color="BFBFBF"/>
              <w:bottom w:val="single" w:sz="4" w:space="0" w:color="BFBFBF"/>
              <w:right w:val="nil"/>
            </w:tcBorders>
            <w:shd w:val="clear" w:color="auto" w:fill="auto"/>
            <w:vAlign w:val="center"/>
            <w:hideMark/>
          </w:tcPr>
          <w:p w14:paraId="04A536E6" w14:textId="77777777" w:rsidR="00EC475F" w:rsidRPr="00EC475F" w:rsidRDefault="00EC475F" w:rsidP="00EC475F">
            <w:pPr>
              <w:spacing w:after="0" w:line="240" w:lineRule="auto"/>
              <w:jc w:val="both"/>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75" w:type="dxa"/>
            <w:tcBorders>
              <w:top w:val="nil"/>
              <w:left w:val="nil"/>
              <w:bottom w:val="single" w:sz="4" w:space="0" w:color="BFBFBF"/>
              <w:right w:val="nil"/>
            </w:tcBorders>
            <w:shd w:val="clear" w:color="auto" w:fill="auto"/>
            <w:noWrap/>
            <w:vAlign w:val="bottom"/>
            <w:hideMark/>
          </w:tcPr>
          <w:p w14:paraId="5137DB76"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£m</w:t>
            </w:r>
          </w:p>
        </w:tc>
        <w:tc>
          <w:tcPr>
            <w:tcW w:w="1276" w:type="dxa"/>
            <w:tcBorders>
              <w:top w:val="nil"/>
              <w:left w:val="nil"/>
              <w:bottom w:val="single" w:sz="4" w:space="0" w:color="BFBFBF"/>
              <w:right w:val="nil"/>
            </w:tcBorders>
            <w:shd w:val="clear" w:color="auto" w:fill="auto"/>
            <w:noWrap/>
            <w:vAlign w:val="bottom"/>
            <w:hideMark/>
          </w:tcPr>
          <w:p w14:paraId="66EB29C3"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£m</w:t>
            </w:r>
          </w:p>
        </w:tc>
        <w:tc>
          <w:tcPr>
            <w:tcW w:w="1276" w:type="dxa"/>
            <w:tcBorders>
              <w:top w:val="nil"/>
              <w:left w:val="nil"/>
              <w:bottom w:val="single" w:sz="4" w:space="0" w:color="BFBFBF"/>
              <w:right w:val="single" w:sz="4" w:space="0" w:color="BFBFBF"/>
            </w:tcBorders>
            <w:shd w:val="clear" w:color="auto" w:fill="auto"/>
            <w:noWrap/>
            <w:vAlign w:val="bottom"/>
            <w:hideMark/>
          </w:tcPr>
          <w:p w14:paraId="66AE0D42"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£m</w:t>
            </w:r>
          </w:p>
        </w:tc>
        <w:tc>
          <w:tcPr>
            <w:tcW w:w="222" w:type="dxa"/>
            <w:vAlign w:val="center"/>
            <w:hideMark/>
          </w:tcPr>
          <w:p w14:paraId="3E3F7AA3"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7DF1673A" w14:textId="77777777" w:rsidTr="00130B78">
        <w:trPr>
          <w:trHeight w:val="255"/>
        </w:trPr>
        <w:tc>
          <w:tcPr>
            <w:tcW w:w="1400" w:type="dxa"/>
            <w:gridSpan w:val="2"/>
            <w:tcBorders>
              <w:top w:val="nil"/>
              <w:left w:val="nil"/>
              <w:bottom w:val="single" w:sz="4" w:space="0" w:color="BFBFBF"/>
              <w:right w:val="nil"/>
            </w:tcBorders>
            <w:shd w:val="clear" w:color="000000" w:fill="FFFFFF"/>
            <w:noWrap/>
            <w:vAlign w:val="bottom"/>
            <w:hideMark/>
          </w:tcPr>
          <w:p w14:paraId="43573C65"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Operating income </w:t>
            </w:r>
          </w:p>
        </w:tc>
        <w:tc>
          <w:tcPr>
            <w:tcW w:w="700" w:type="dxa"/>
            <w:tcBorders>
              <w:top w:val="nil"/>
              <w:left w:val="nil"/>
              <w:bottom w:val="single" w:sz="4" w:space="0" w:color="BFBFBF"/>
              <w:right w:val="nil"/>
            </w:tcBorders>
            <w:shd w:val="clear" w:color="000000" w:fill="FFFFFF"/>
            <w:noWrap/>
            <w:vAlign w:val="center"/>
            <w:hideMark/>
          </w:tcPr>
          <w:p w14:paraId="04B4D007"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00" w:type="dxa"/>
            <w:tcBorders>
              <w:top w:val="nil"/>
              <w:left w:val="nil"/>
              <w:bottom w:val="single" w:sz="4" w:space="0" w:color="BFBFBF"/>
              <w:right w:val="nil"/>
            </w:tcBorders>
            <w:shd w:val="clear" w:color="000000" w:fill="FFFFFF"/>
            <w:noWrap/>
            <w:vAlign w:val="center"/>
            <w:hideMark/>
          </w:tcPr>
          <w:p w14:paraId="279D4E26"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44" w:type="dxa"/>
            <w:tcBorders>
              <w:top w:val="nil"/>
              <w:left w:val="nil"/>
              <w:bottom w:val="single" w:sz="4" w:space="0" w:color="BFBFBF"/>
              <w:right w:val="nil"/>
            </w:tcBorders>
            <w:shd w:val="clear" w:color="000000" w:fill="FFFFFF"/>
            <w:noWrap/>
            <w:vAlign w:val="center"/>
            <w:hideMark/>
          </w:tcPr>
          <w:p w14:paraId="58CBC4B8"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476" w:type="dxa"/>
            <w:tcBorders>
              <w:top w:val="nil"/>
              <w:left w:val="nil"/>
              <w:bottom w:val="single" w:sz="4" w:space="0" w:color="BFBFBF"/>
              <w:right w:val="nil"/>
            </w:tcBorders>
            <w:shd w:val="clear" w:color="000000" w:fill="FFFFFF"/>
            <w:vAlign w:val="center"/>
            <w:hideMark/>
          </w:tcPr>
          <w:p w14:paraId="1C46BA89"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820" w:type="dxa"/>
            <w:tcBorders>
              <w:top w:val="nil"/>
              <w:left w:val="nil"/>
              <w:bottom w:val="single" w:sz="4" w:space="0" w:color="BFBFBF"/>
              <w:right w:val="nil"/>
            </w:tcBorders>
            <w:shd w:val="clear" w:color="000000" w:fill="FFFFFF"/>
            <w:vAlign w:val="center"/>
            <w:hideMark/>
          </w:tcPr>
          <w:p w14:paraId="606EDEA1"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56" w:type="dxa"/>
            <w:tcBorders>
              <w:top w:val="nil"/>
              <w:left w:val="nil"/>
              <w:bottom w:val="single" w:sz="4" w:space="0" w:color="BFBFBF"/>
              <w:right w:val="nil"/>
            </w:tcBorders>
            <w:shd w:val="clear" w:color="000000" w:fill="FFFFFF"/>
            <w:vAlign w:val="center"/>
            <w:hideMark/>
          </w:tcPr>
          <w:p w14:paraId="185F9D8F"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75" w:type="dxa"/>
            <w:tcBorders>
              <w:top w:val="nil"/>
              <w:left w:val="nil"/>
              <w:bottom w:val="single" w:sz="4" w:space="0" w:color="BFBFBF"/>
              <w:right w:val="nil"/>
            </w:tcBorders>
            <w:shd w:val="clear" w:color="auto" w:fill="CCECFF"/>
            <w:noWrap/>
            <w:vAlign w:val="center"/>
            <w:hideMark/>
          </w:tcPr>
          <w:p w14:paraId="272C2CF9"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w:t>
            </w:r>
          </w:p>
        </w:tc>
        <w:tc>
          <w:tcPr>
            <w:tcW w:w="1276" w:type="dxa"/>
            <w:tcBorders>
              <w:top w:val="nil"/>
              <w:left w:val="nil"/>
              <w:bottom w:val="single" w:sz="4" w:space="0" w:color="BFBFBF"/>
              <w:right w:val="nil"/>
            </w:tcBorders>
            <w:shd w:val="clear" w:color="000000" w:fill="FFFFFF"/>
            <w:vAlign w:val="center"/>
            <w:hideMark/>
          </w:tcPr>
          <w:p w14:paraId="64C624DF"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14 </w:t>
            </w:r>
          </w:p>
        </w:tc>
        <w:tc>
          <w:tcPr>
            <w:tcW w:w="1276" w:type="dxa"/>
            <w:tcBorders>
              <w:top w:val="nil"/>
              <w:left w:val="nil"/>
              <w:bottom w:val="single" w:sz="4" w:space="0" w:color="BFBFBF"/>
              <w:right w:val="nil"/>
            </w:tcBorders>
            <w:shd w:val="clear" w:color="000000" w:fill="FFFFFF"/>
            <w:vAlign w:val="center"/>
            <w:hideMark/>
          </w:tcPr>
          <w:p w14:paraId="208165BE"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12</w:t>
            </w:r>
          </w:p>
        </w:tc>
        <w:tc>
          <w:tcPr>
            <w:tcW w:w="222" w:type="dxa"/>
            <w:vAlign w:val="center"/>
            <w:hideMark/>
          </w:tcPr>
          <w:p w14:paraId="1F28DEA0"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3EA8DB81" w14:textId="77777777" w:rsidTr="00130B78">
        <w:trPr>
          <w:trHeight w:val="255"/>
        </w:trPr>
        <w:tc>
          <w:tcPr>
            <w:tcW w:w="3544" w:type="dxa"/>
            <w:gridSpan w:val="5"/>
            <w:tcBorders>
              <w:top w:val="nil"/>
              <w:left w:val="nil"/>
              <w:bottom w:val="single" w:sz="4" w:space="0" w:color="BFBFBF"/>
              <w:right w:val="nil"/>
            </w:tcBorders>
            <w:shd w:val="clear" w:color="000000" w:fill="FFFFFF"/>
            <w:noWrap/>
            <w:vAlign w:val="bottom"/>
            <w:hideMark/>
          </w:tcPr>
          <w:p w14:paraId="31122ABC"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Underlying segment operating profit / (loss) </w:t>
            </w:r>
          </w:p>
        </w:tc>
        <w:tc>
          <w:tcPr>
            <w:tcW w:w="476" w:type="dxa"/>
            <w:tcBorders>
              <w:top w:val="nil"/>
              <w:left w:val="nil"/>
              <w:bottom w:val="single" w:sz="4" w:space="0" w:color="BFBFBF"/>
              <w:right w:val="nil"/>
            </w:tcBorders>
            <w:shd w:val="clear" w:color="000000" w:fill="FFFFFF"/>
            <w:vAlign w:val="center"/>
            <w:hideMark/>
          </w:tcPr>
          <w:p w14:paraId="20FE4225"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820" w:type="dxa"/>
            <w:tcBorders>
              <w:top w:val="nil"/>
              <w:left w:val="nil"/>
              <w:bottom w:val="single" w:sz="4" w:space="0" w:color="BFBFBF"/>
              <w:right w:val="nil"/>
            </w:tcBorders>
            <w:shd w:val="clear" w:color="000000" w:fill="FFFFFF"/>
            <w:vAlign w:val="center"/>
            <w:hideMark/>
          </w:tcPr>
          <w:p w14:paraId="553C42BB"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56" w:type="dxa"/>
            <w:tcBorders>
              <w:top w:val="nil"/>
              <w:left w:val="nil"/>
              <w:bottom w:val="single" w:sz="4" w:space="0" w:color="BFBFBF"/>
              <w:right w:val="nil"/>
            </w:tcBorders>
            <w:shd w:val="clear" w:color="000000" w:fill="FFFFFF"/>
            <w:vAlign w:val="center"/>
            <w:hideMark/>
          </w:tcPr>
          <w:p w14:paraId="03D8F01B"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75" w:type="dxa"/>
            <w:tcBorders>
              <w:top w:val="nil"/>
              <w:left w:val="nil"/>
              <w:bottom w:val="single" w:sz="4" w:space="0" w:color="BFBFBF"/>
              <w:right w:val="nil"/>
            </w:tcBorders>
            <w:shd w:val="clear" w:color="auto" w:fill="CCECFF"/>
            <w:noWrap/>
            <w:vAlign w:val="center"/>
            <w:hideMark/>
          </w:tcPr>
          <w:p w14:paraId="347FEC10"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w:t>
            </w:r>
          </w:p>
        </w:tc>
        <w:tc>
          <w:tcPr>
            <w:tcW w:w="1276" w:type="dxa"/>
            <w:tcBorders>
              <w:top w:val="nil"/>
              <w:left w:val="nil"/>
              <w:bottom w:val="single" w:sz="4" w:space="0" w:color="BFBFBF"/>
              <w:right w:val="nil"/>
            </w:tcBorders>
            <w:shd w:val="clear" w:color="000000" w:fill="FFFFFF"/>
            <w:noWrap/>
            <w:vAlign w:val="center"/>
            <w:hideMark/>
          </w:tcPr>
          <w:p w14:paraId="2A8FFAC1"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(2)</w:t>
            </w:r>
          </w:p>
        </w:tc>
        <w:tc>
          <w:tcPr>
            <w:tcW w:w="1276" w:type="dxa"/>
            <w:tcBorders>
              <w:top w:val="nil"/>
              <w:left w:val="nil"/>
              <w:bottom w:val="single" w:sz="4" w:space="0" w:color="BFBFBF"/>
              <w:right w:val="nil"/>
            </w:tcBorders>
            <w:shd w:val="clear" w:color="000000" w:fill="FFFFFF"/>
            <w:noWrap/>
            <w:vAlign w:val="center"/>
            <w:hideMark/>
          </w:tcPr>
          <w:p w14:paraId="709388E4"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(1)</w:t>
            </w:r>
          </w:p>
        </w:tc>
        <w:tc>
          <w:tcPr>
            <w:tcW w:w="222" w:type="dxa"/>
            <w:vAlign w:val="center"/>
            <w:hideMark/>
          </w:tcPr>
          <w:p w14:paraId="66F7774E"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07FCBE47" w14:textId="77777777" w:rsidTr="00130B78">
        <w:trPr>
          <w:trHeight w:val="255"/>
        </w:trPr>
        <w:tc>
          <w:tcPr>
            <w:tcW w:w="1400" w:type="dxa"/>
            <w:gridSpan w:val="2"/>
            <w:tcBorders>
              <w:top w:val="nil"/>
              <w:left w:val="nil"/>
              <w:bottom w:val="single" w:sz="4" w:space="0" w:color="BFBFBF"/>
              <w:right w:val="nil"/>
            </w:tcBorders>
            <w:shd w:val="clear" w:color="000000" w:fill="FFFFFF"/>
            <w:noWrap/>
            <w:vAlign w:val="center"/>
            <w:hideMark/>
          </w:tcPr>
          <w:p w14:paraId="6EF9BA7A"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Operating profit  </w:t>
            </w:r>
          </w:p>
        </w:tc>
        <w:tc>
          <w:tcPr>
            <w:tcW w:w="700" w:type="dxa"/>
            <w:tcBorders>
              <w:top w:val="nil"/>
              <w:left w:val="nil"/>
              <w:bottom w:val="single" w:sz="4" w:space="0" w:color="BFBFBF"/>
              <w:right w:val="nil"/>
            </w:tcBorders>
            <w:shd w:val="clear" w:color="000000" w:fill="FFFFFF"/>
            <w:noWrap/>
            <w:vAlign w:val="center"/>
            <w:hideMark/>
          </w:tcPr>
          <w:p w14:paraId="7D73D99F"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00" w:type="dxa"/>
            <w:tcBorders>
              <w:top w:val="nil"/>
              <w:left w:val="nil"/>
              <w:bottom w:val="single" w:sz="4" w:space="0" w:color="BFBFBF"/>
              <w:right w:val="nil"/>
            </w:tcBorders>
            <w:shd w:val="clear" w:color="000000" w:fill="FFFFFF"/>
            <w:noWrap/>
            <w:vAlign w:val="center"/>
            <w:hideMark/>
          </w:tcPr>
          <w:p w14:paraId="607099FA"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44" w:type="dxa"/>
            <w:tcBorders>
              <w:top w:val="nil"/>
              <w:left w:val="nil"/>
              <w:bottom w:val="single" w:sz="4" w:space="0" w:color="BFBFBF"/>
              <w:right w:val="nil"/>
            </w:tcBorders>
            <w:shd w:val="clear" w:color="000000" w:fill="FFFFFF"/>
            <w:noWrap/>
            <w:vAlign w:val="center"/>
            <w:hideMark/>
          </w:tcPr>
          <w:p w14:paraId="5ACFF757"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476" w:type="dxa"/>
            <w:tcBorders>
              <w:top w:val="nil"/>
              <w:left w:val="nil"/>
              <w:bottom w:val="single" w:sz="4" w:space="0" w:color="BFBFBF"/>
              <w:right w:val="nil"/>
            </w:tcBorders>
            <w:shd w:val="clear" w:color="000000" w:fill="FFFFFF"/>
            <w:vAlign w:val="center"/>
            <w:hideMark/>
          </w:tcPr>
          <w:p w14:paraId="7750B78B"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820" w:type="dxa"/>
            <w:tcBorders>
              <w:top w:val="nil"/>
              <w:left w:val="nil"/>
              <w:bottom w:val="single" w:sz="4" w:space="0" w:color="BFBFBF"/>
              <w:right w:val="nil"/>
            </w:tcBorders>
            <w:shd w:val="clear" w:color="000000" w:fill="FFFFFF"/>
            <w:vAlign w:val="center"/>
            <w:hideMark/>
          </w:tcPr>
          <w:p w14:paraId="6E9E41C2"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56" w:type="dxa"/>
            <w:tcBorders>
              <w:top w:val="nil"/>
              <w:left w:val="nil"/>
              <w:bottom w:val="single" w:sz="4" w:space="0" w:color="BFBFBF"/>
              <w:right w:val="nil"/>
            </w:tcBorders>
            <w:shd w:val="clear" w:color="000000" w:fill="FFFFFF"/>
            <w:vAlign w:val="center"/>
            <w:hideMark/>
          </w:tcPr>
          <w:p w14:paraId="484DAFD4"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75" w:type="dxa"/>
            <w:tcBorders>
              <w:top w:val="nil"/>
              <w:left w:val="nil"/>
              <w:bottom w:val="single" w:sz="4" w:space="0" w:color="BFBFBF"/>
              <w:right w:val="nil"/>
            </w:tcBorders>
            <w:shd w:val="clear" w:color="auto" w:fill="CCECFF"/>
            <w:noWrap/>
            <w:vAlign w:val="center"/>
            <w:hideMark/>
          </w:tcPr>
          <w:p w14:paraId="675F37B2"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xml:space="preserve">78 </w:t>
            </w:r>
          </w:p>
        </w:tc>
        <w:tc>
          <w:tcPr>
            <w:tcW w:w="1276" w:type="dxa"/>
            <w:tcBorders>
              <w:top w:val="nil"/>
              <w:left w:val="nil"/>
              <w:bottom w:val="single" w:sz="4" w:space="0" w:color="BFBFBF"/>
              <w:right w:val="nil"/>
            </w:tcBorders>
            <w:shd w:val="clear" w:color="000000" w:fill="FFFFFF"/>
            <w:vAlign w:val="center"/>
            <w:hideMark/>
          </w:tcPr>
          <w:p w14:paraId="4AE8A625"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10 </w:t>
            </w:r>
          </w:p>
        </w:tc>
        <w:tc>
          <w:tcPr>
            <w:tcW w:w="1276" w:type="dxa"/>
            <w:tcBorders>
              <w:top w:val="nil"/>
              <w:left w:val="nil"/>
              <w:bottom w:val="single" w:sz="4" w:space="0" w:color="BFBFBF"/>
              <w:right w:val="nil"/>
            </w:tcBorders>
            <w:shd w:val="clear" w:color="000000" w:fill="FFFFFF"/>
            <w:vAlign w:val="center"/>
            <w:hideMark/>
          </w:tcPr>
          <w:p w14:paraId="5A3AA44B"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12</w:t>
            </w:r>
          </w:p>
        </w:tc>
        <w:tc>
          <w:tcPr>
            <w:tcW w:w="222" w:type="dxa"/>
            <w:vAlign w:val="center"/>
            <w:hideMark/>
          </w:tcPr>
          <w:p w14:paraId="16BDBCB2"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14688960" w14:textId="77777777" w:rsidTr="00EC475F">
        <w:trPr>
          <w:trHeight w:val="383"/>
        </w:trPr>
        <w:tc>
          <w:tcPr>
            <w:tcW w:w="9923" w:type="dxa"/>
            <w:gridSpan w:val="11"/>
            <w:tcBorders>
              <w:top w:val="nil"/>
              <w:left w:val="nil"/>
              <w:bottom w:val="nil"/>
              <w:right w:val="nil"/>
            </w:tcBorders>
            <w:shd w:val="clear" w:color="auto" w:fill="auto"/>
            <w:vAlign w:val="center"/>
            <w:hideMark/>
          </w:tcPr>
          <w:p w14:paraId="061C5375" w14:textId="77777777" w:rsidR="00EC475F" w:rsidRPr="00EC475F" w:rsidRDefault="00EC475F" w:rsidP="00EC475F">
            <w:pPr>
              <w:spacing w:after="0" w:line="240" w:lineRule="auto"/>
              <w:jc w:val="right"/>
              <w:rPr>
                <w:rFonts w:ascii="Arial" w:eastAsia="Times New Roman" w:hAnsi="Arial" w:cs="Arial"/>
                <w:sz w:val="15"/>
                <w:szCs w:val="15"/>
                <w:lang w:eastAsia="en-GB"/>
              </w:rPr>
            </w:pPr>
          </w:p>
        </w:tc>
        <w:tc>
          <w:tcPr>
            <w:tcW w:w="222" w:type="dxa"/>
            <w:vAlign w:val="center"/>
            <w:hideMark/>
          </w:tcPr>
          <w:p w14:paraId="07BA62AF"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130B78" w:rsidRPr="00EC475F" w14:paraId="05070D4F" w14:textId="77777777" w:rsidTr="00130B78">
        <w:trPr>
          <w:trHeight w:val="255"/>
        </w:trPr>
        <w:tc>
          <w:tcPr>
            <w:tcW w:w="6096" w:type="dxa"/>
            <w:gridSpan w:val="8"/>
            <w:tcBorders>
              <w:top w:val="nil"/>
              <w:left w:val="nil"/>
              <w:bottom w:val="nil"/>
              <w:right w:val="nil"/>
            </w:tcBorders>
            <w:shd w:val="clear" w:color="000000" w:fill="FFFFFF"/>
            <w:noWrap/>
            <w:vAlign w:val="bottom"/>
            <w:hideMark/>
          </w:tcPr>
          <w:p w14:paraId="096AEB64"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The table below shows a summary of the cash flows of discontinued operations:</w:t>
            </w:r>
          </w:p>
        </w:tc>
        <w:tc>
          <w:tcPr>
            <w:tcW w:w="1275" w:type="dxa"/>
            <w:tcBorders>
              <w:top w:val="nil"/>
              <w:left w:val="nil"/>
              <w:bottom w:val="nil"/>
              <w:right w:val="nil"/>
            </w:tcBorders>
            <w:shd w:val="clear" w:color="000000" w:fill="FFFFFF"/>
            <w:noWrap/>
            <w:vAlign w:val="bottom"/>
            <w:hideMark/>
          </w:tcPr>
          <w:p w14:paraId="65D501B0"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1276" w:type="dxa"/>
            <w:tcBorders>
              <w:top w:val="nil"/>
              <w:left w:val="nil"/>
              <w:bottom w:val="nil"/>
              <w:right w:val="nil"/>
            </w:tcBorders>
            <w:shd w:val="clear" w:color="000000" w:fill="FFFFFF"/>
            <w:noWrap/>
            <w:vAlign w:val="bottom"/>
            <w:hideMark/>
          </w:tcPr>
          <w:p w14:paraId="37AEBD24"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1276" w:type="dxa"/>
            <w:tcBorders>
              <w:top w:val="nil"/>
              <w:left w:val="nil"/>
              <w:bottom w:val="nil"/>
              <w:right w:val="nil"/>
            </w:tcBorders>
            <w:shd w:val="clear" w:color="000000" w:fill="FFFFFF"/>
            <w:noWrap/>
            <w:vAlign w:val="bottom"/>
            <w:hideMark/>
          </w:tcPr>
          <w:p w14:paraId="459ADFC0"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222" w:type="dxa"/>
            <w:vAlign w:val="center"/>
            <w:hideMark/>
          </w:tcPr>
          <w:p w14:paraId="6186A223"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78C0B642" w14:textId="77777777" w:rsidTr="00130B78">
        <w:trPr>
          <w:trHeight w:val="158"/>
        </w:trPr>
        <w:tc>
          <w:tcPr>
            <w:tcW w:w="700" w:type="dxa"/>
            <w:tcBorders>
              <w:top w:val="nil"/>
              <w:left w:val="nil"/>
              <w:bottom w:val="nil"/>
              <w:right w:val="nil"/>
            </w:tcBorders>
            <w:shd w:val="clear" w:color="000000" w:fill="FFFFFF"/>
            <w:noWrap/>
            <w:vAlign w:val="bottom"/>
            <w:hideMark/>
          </w:tcPr>
          <w:p w14:paraId="7A963516"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noWrap/>
            <w:vAlign w:val="bottom"/>
            <w:hideMark/>
          </w:tcPr>
          <w:p w14:paraId="6F7F7F55" w14:textId="77777777" w:rsidR="00EC475F" w:rsidRPr="00EC475F" w:rsidRDefault="00EC475F" w:rsidP="00EC475F">
            <w:pPr>
              <w:spacing w:after="0" w:line="240" w:lineRule="auto"/>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14:paraId="0944C0EA"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14:paraId="2DA98D2D"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744" w:type="dxa"/>
            <w:tcBorders>
              <w:top w:val="nil"/>
              <w:left w:val="nil"/>
              <w:bottom w:val="nil"/>
              <w:right w:val="nil"/>
            </w:tcBorders>
            <w:shd w:val="clear" w:color="000000" w:fill="FFFFFF"/>
            <w:noWrap/>
            <w:vAlign w:val="bottom"/>
            <w:hideMark/>
          </w:tcPr>
          <w:p w14:paraId="5C99CBB7"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476" w:type="dxa"/>
            <w:tcBorders>
              <w:top w:val="nil"/>
              <w:left w:val="nil"/>
              <w:bottom w:val="nil"/>
              <w:right w:val="nil"/>
            </w:tcBorders>
            <w:shd w:val="clear" w:color="000000" w:fill="FFFFFF"/>
            <w:noWrap/>
            <w:vAlign w:val="bottom"/>
            <w:hideMark/>
          </w:tcPr>
          <w:p w14:paraId="1329198E"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820" w:type="dxa"/>
            <w:tcBorders>
              <w:top w:val="nil"/>
              <w:left w:val="nil"/>
              <w:bottom w:val="nil"/>
              <w:right w:val="nil"/>
            </w:tcBorders>
            <w:shd w:val="clear" w:color="000000" w:fill="FFFFFF"/>
            <w:noWrap/>
            <w:vAlign w:val="bottom"/>
            <w:hideMark/>
          </w:tcPr>
          <w:p w14:paraId="2AC6098B"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1256" w:type="dxa"/>
            <w:tcBorders>
              <w:top w:val="nil"/>
              <w:left w:val="nil"/>
              <w:bottom w:val="nil"/>
              <w:right w:val="nil"/>
            </w:tcBorders>
            <w:shd w:val="clear" w:color="000000" w:fill="FFFFFF"/>
            <w:noWrap/>
            <w:vAlign w:val="bottom"/>
            <w:hideMark/>
          </w:tcPr>
          <w:p w14:paraId="0A68F2BD"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1275" w:type="dxa"/>
            <w:tcBorders>
              <w:top w:val="nil"/>
              <w:left w:val="nil"/>
              <w:bottom w:val="nil"/>
              <w:right w:val="nil"/>
            </w:tcBorders>
            <w:shd w:val="clear" w:color="000000" w:fill="FFFFFF"/>
            <w:noWrap/>
            <w:vAlign w:val="bottom"/>
            <w:hideMark/>
          </w:tcPr>
          <w:p w14:paraId="7734FCF2"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1276" w:type="dxa"/>
            <w:tcBorders>
              <w:top w:val="nil"/>
              <w:left w:val="nil"/>
              <w:bottom w:val="nil"/>
              <w:right w:val="nil"/>
            </w:tcBorders>
            <w:shd w:val="clear" w:color="000000" w:fill="FFFFFF"/>
            <w:noWrap/>
            <w:vAlign w:val="bottom"/>
            <w:hideMark/>
          </w:tcPr>
          <w:p w14:paraId="46D8CA46"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1276" w:type="dxa"/>
            <w:tcBorders>
              <w:top w:val="nil"/>
              <w:left w:val="nil"/>
              <w:bottom w:val="nil"/>
              <w:right w:val="nil"/>
            </w:tcBorders>
            <w:shd w:val="clear" w:color="000000" w:fill="FFFFFF"/>
            <w:noWrap/>
            <w:vAlign w:val="bottom"/>
            <w:hideMark/>
          </w:tcPr>
          <w:p w14:paraId="05D4AABD"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222" w:type="dxa"/>
            <w:vAlign w:val="center"/>
            <w:hideMark/>
          </w:tcPr>
          <w:p w14:paraId="4AA6B6D4"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6FFE0AC7" w14:textId="77777777" w:rsidTr="00130B78">
        <w:trPr>
          <w:trHeight w:val="312"/>
        </w:trPr>
        <w:tc>
          <w:tcPr>
            <w:tcW w:w="6096" w:type="dxa"/>
            <w:gridSpan w:val="8"/>
            <w:tcBorders>
              <w:top w:val="single" w:sz="4" w:space="0" w:color="BFBFBF"/>
              <w:left w:val="single" w:sz="4" w:space="0" w:color="BFBFBF"/>
              <w:bottom w:val="nil"/>
              <w:right w:val="nil"/>
            </w:tcBorders>
            <w:shd w:val="clear" w:color="auto" w:fill="auto"/>
            <w:vAlign w:val="center"/>
            <w:hideMark/>
          </w:tcPr>
          <w:p w14:paraId="141CFA9D" w14:textId="77777777" w:rsidR="00EC475F" w:rsidRPr="00EC475F" w:rsidRDefault="00EC475F" w:rsidP="00EC475F">
            <w:pPr>
              <w:spacing w:after="0" w:line="240" w:lineRule="auto"/>
              <w:jc w:val="both"/>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Cash flows used in discontinued operations:</w:t>
            </w:r>
          </w:p>
        </w:tc>
        <w:tc>
          <w:tcPr>
            <w:tcW w:w="1275" w:type="dxa"/>
            <w:vMerge w:val="restart"/>
            <w:tcBorders>
              <w:top w:val="single" w:sz="4" w:space="0" w:color="BFBFBF"/>
              <w:left w:val="nil"/>
              <w:bottom w:val="nil"/>
              <w:right w:val="nil"/>
            </w:tcBorders>
            <w:shd w:val="clear" w:color="auto" w:fill="auto"/>
            <w:hideMark/>
          </w:tcPr>
          <w:p w14:paraId="0A3070BB" w14:textId="77777777" w:rsidR="006B0941"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26 weeks ended</w:t>
            </w:r>
          </w:p>
          <w:p w14:paraId="36C71D98" w14:textId="1767F50B"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xml:space="preserve"> 2 July 2022 (unaudited)</w:t>
            </w:r>
          </w:p>
        </w:tc>
        <w:tc>
          <w:tcPr>
            <w:tcW w:w="1276" w:type="dxa"/>
            <w:vMerge w:val="restart"/>
            <w:tcBorders>
              <w:top w:val="single" w:sz="4" w:space="0" w:color="BFBFBF"/>
              <w:left w:val="nil"/>
              <w:bottom w:val="nil"/>
              <w:right w:val="nil"/>
            </w:tcBorders>
            <w:shd w:val="clear" w:color="auto" w:fill="auto"/>
            <w:hideMark/>
          </w:tcPr>
          <w:p w14:paraId="558EC467" w14:textId="77777777" w:rsidR="006B0941"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26 weeks ended </w:t>
            </w:r>
          </w:p>
          <w:p w14:paraId="0FC731C7" w14:textId="7F615F3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3 July 2021 (unaudited)</w:t>
            </w:r>
          </w:p>
        </w:tc>
        <w:tc>
          <w:tcPr>
            <w:tcW w:w="1276" w:type="dxa"/>
            <w:vMerge w:val="restart"/>
            <w:tcBorders>
              <w:top w:val="single" w:sz="4" w:space="0" w:color="BFBFBF"/>
              <w:left w:val="nil"/>
              <w:bottom w:val="nil"/>
              <w:right w:val="single" w:sz="4" w:space="0" w:color="BFBFBF"/>
            </w:tcBorders>
            <w:shd w:val="clear" w:color="auto" w:fill="auto"/>
            <w:hideMark/>
          </w:tcPr>
          <w:p w14:paraId="7A7476D0" w14:textId="77777777" w:rsidR="006B0941"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52 weeks ended          </w:t>
            </w:r>
          </w:p>
          <w:p w14:paraId="67CD65CC" w14:textId="61119455"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1 January 2022 (audited)</w:t>
            </w:r>
          </w:p>
        </w:tc>
        <w:tc>
          <w:tcPr>
            <w:tcW w:w="222" w:type="dxa"/>
            <w:vAlign w:val="center"/>
            <w:hideMark/>
          </w:tcPr>
          <w:p w14:paraId="4DC74064"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130B78" w:rsidRPr="00EC475F" w14:paraId="523909E8" w14:textId="77777777" w:rsidTr="00130B78">
        <w:trPr>
          <w:trHeight w:val="338"/>
        </w:trPr>
        <w:tc>
          <w:tcPr>
            <w:tcW w:w="6096" w:type="dxa"/>
            <w:gridSpan w:val="8"/>
            <w:tcBorders>
              <w:top w:val="nil"/>
              <w:left w:val="single" w:sz="4" w:space="0" w:color="BFBFBF"/>
              <w:bottom w:val="nil"/>
              <w:right w:val="nil"/>
            </w:tcBorders>
            <w:shd w:val="clear" w:color="auto" w:fill="auto"/>
            <w:vAlign w:val="center"/>
            <w:hideMark/>
          </w:tcPr>
          <w:p w14:paraId="7FF054F2" w14:textId="77777777" w:rsidR="00EC475F" w:rsidRPr="00EC475F" w:rsidRDefault="00EC475F" w:rsidP="00EC475F">
            <w:pPr>
              <w:spacing w:after="0" w:line="240" w:lineRule="auto"/>
              <w:jc w:val="both"/>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75" w:type="dxa"/>
            <w:vMerge/>
            <w:tcBorders>
              <w:top w:val="single" w:sz="4" w:space="0" w:color="BFBFBF"/>
              <w:left w:val="nil"/>
              <w:bottom w:val="nil"/>
              <w:right w:val="nil"/>
            </w:tcBorders>
            <w:shd w:val="clear" w:color="auto" w:fill="auto"/>
            <w:vAlign w:val="center"/>
            <w:hideMark/>
          </w:tcPr>
          <w:p w14:paraId="41F7D468" w14:textId="77777777" w:rsidR="00EC475F" w:rsidRPr="00EC475F" w:rsidRDefault="00EC475F" w:rsidP="00EC475F">
            <w:pPr>
              <w:spacing w:after="0" w:line="240" w:lineRule="auto"/>
              <w:rPr>
                <w:rFonts w:ascii="Arial" w:eastAsia="Times New Roman" w:hAnsi="Arial" w:cs="Arial"/>
                <w:b/>
                <w:bCs/>
                <w:sz w:val="15"/>
                <w:szCs w:val="15"/>
                <w:lang w:eastAsia="en-GB"/>
              </w:rPr>
            </w:pPr>
          </w:p>
        </w:tc>
        <w:tc>
          <w:tcPr>
            <w:tcW w:w="1276" w:type="dxa"/>
            <w:vMerge/>
            <w:tcBorders>
              <w:top w:val="single" w:sz="4" w:space="0" w:color="BFBFBF"/>
              <w:left w:val="nil"/>
              <w:bottom w:val="nil"/>
              <w:right w:val="nil"/>
            </w:tcBorders>
            <w:shd w:val="clear" w:color="auto" w:fill="auto"/>
            <w:vAlign w:val="center"/>
            <w:hideMark/>
          </w:tcPr>
          <w:p w14:paraId="5B9C636F" w14:textId="77777777" w:rsidR="00EC475F" w:rsidRPr="00EC475F" w:rsidRDefault="00EC475F" w:rsidP="00EC475F">
            <w:pPr>
              <w:spacing w:after="0" w:line="240" w:lineRule="auto"/>
              <w:rPr>
                <w:rFonts w:ascii="Arial" w:eastAsia="Times New Roman" w:hAnsi="Arial" w:cs="Arial"/>
                <w:sz w:val="15"/>
                <w:szCs w:val="15"/>
                <w:lang w:eastAsia="en-GB"/>
              </w:rPr>
            </w:pPr>
          </w:p>
        </w:tc>
        <w:tc>
          <w:tcPr>
            <w:tcW w:w="1276" w:type="dxa"/>
            <w:vMerge/>
            <w:tcBorders>
              <w:top w:val="single" w:sz="4" w:space="0" w:color="BFBFBF"/>
              <w:left w:val="nil"/>
              <w:bottom w:val="nil"/>
              <w:right w:val="single" w:sz="4" w:space="0" w:color="BFBFBF"/>
            </w:tcBorders>
            <w:shd w:val="clear" w:color="auto" w:fill="auto"/>
            <w:vAlign w:val="center"/>
            <w:hideMark/>
          </w:tcPr>
          <w:p w14:paraId="199F885F" w14:textId="77777777" w:rsidR="00EC475F" w:rsidRPr="00EC475F" w:rsidRDefault="00EC475F" w:rsidP="00EC475F">
            <w:pPr>
              <w:spacing w:after="0" w:line="240" w:lineRule="auto"/>
              <w:rPr>
                <w:rFonts w:ascii="Arial" w:eastAsia="Times New Roman" w:hAnsi="Arial" w:cs="Arial"/>
                <w:sz w:val="15"/>
                <w:szCs w:val="15"/>
                <w:lang w:eastAsia="en-GB"/>
              </w:rPr>
            </w:pPr>
          </w:p>
        </w:tc>
        <w:tc>
          <w:tcPr>
            <w:tcW w:w="222" w:type="dxa"/>
            <w:vAlign w:val="center"/>
            <w:hideMark/>
          </w:tcPr>
          <w:p w14:paraId="183F5F55"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17A8B4EC" w14:textId="77777777" w:rsidTr="00130B78">
        <w:trPr>
          <w:trHeight w:val="218"/>
        </w:trPr>
        <w:tc>
          <w:tcPr>
            <w:tcW w:w="6096" w:type="dxa"/>
            <w:gridSpan w:val="8"/>
            <w:tcBorders>
              <w:top w:val="nil"/>
              <w:left w:val="single" w:sz="4" w:space="0" w:color="BFBFBF"/>
              <w:bottom w:val="single" w:sz="4" w:space="0" w:color="BFBFBF"/>
              <w:right w:val="nil"/>
            </w:tcBorders>
            <w:shd w:val="clear" w:color="auto" w:fill="auto"/>
            <w:vAlign w:val="center"/>
            <w:hideMark/>
          </w:tcPr>
          <w:p w14:paraId="713DF4CD" w14:textId="77777777" w:rsidR="00EC475F" w:rsidRPr="00EC475F" w:rsidRDefault="00EC475F" w:rsidP="00EC475F">
            <w:pPr>
              <w:spacing w:after="0" w:line="240" w:lineRule="auto"/>
              <w:jc w:val="both"/>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75" w:type="dxa"/>
            <w:tcBorders>
              <w:top w:val="nil"/>
              <w:left w:val="nil"/>
              <w:bottom w:val="single" w:sz="4" w:space="0" w:color="BFBFBF"/>
              <w:right w:val="nil"/>
            </w:tcBorders>
            <w:shd w:val="clear" w:color="auto" w:fill="auto"/>
            <w:noWrap/>
            <w:vAlign w:val="bottom"/>
            <w:hideMark/>
          </w:tcPr>
          <w:p w14:paraId="70E54F69"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£m</w:t>
            </w:r>
          </w:p>
        </w:tc>
        <w:tc>
          <w:tcPr>
            <w:tcW w:w="1276" w:type="dxa"/>
            <w:tcBorders>
              <w:top w:val="nil"/>
              <w:left w:val="nil"/>
              <w:bottom w:val="single" w:sz="4" w:space="0" w:color="BFBFBF"/>
              <w:right w:val="nil"/>
            </w:tcBorders>
            <w:shd w:val="clear" w:color="auto" w:fill="auto"/>
            <w:noWrap/>
            <w:vAlign w:val="bottom"/>
            <w:hideMark/>
          </w:tcPr>
          <w:p w14:paraId="28246190"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£m</w:t>
            </w:r>
          </w:p>
        </w:tc>
        <w:tc>
          <w:tcPr>
            <w:tcW w:w="1276" w:type="dxa"/>
            <w:tcBorders>
              <w:top w:val="nil"/>
              <w:left w:val="nil"/>
              <w:bottom w:val="single" w:sz="4" w:space="0" w:color="BFBFBF"/>
              <w:right w:val="single" w:sz="4" w:space="0" w:color="BFBFBF"/>
            </w:tcBorders>
            <w:shd w:val="clear" w:color="auto" w:fill="auto"/>
            <w:noWrap/>
            <w:vAlign w:val="bottom"/>
            <w:hideMark/>
          </w:tcPr>
          <w:p w14:paraId="16BF92E1"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£m</w:t>
            </w:r>
          </w:p>
        </w:tc>
        <w:tc>
          <w:tcPr>
            <w:tcW w:w="222" w:type="dxa"/>
            <w:vAlign w:val="center"/>
            <w:hideMark/>
          </w:tcPr>
          <w:p w14:paraId="4E7272BE"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0AE21A32" w14:textId="77777777" w:rsidTr="00130B78">
        <w:trPr>
          <w:trHeight w:val="278"/>
        </w:trPr>
        <w:tc>
          <w:tcPr>
            <w:tcW w:w="3544" w:type="dxa"/>
            <w:gridSpan w:val="5"/>
            <w:tcBorders>
              <w:top w:val="nil"/>
              <w:left w:val="nil"/>
              <w:bottom w:val="single" w:sz="4" w:space="0" w:color="BFBFBF"/>
              <w:right w:val="nil"/>
            </w:tcBorders>
            <w:shd w:val="clear" w:color="000000" w:fill="FFFFFF"/>
            <w:noWrap/>
            <w:vAlign w:val="bottom"/>
            <w:hideMark/>
          </w:tcPr>
          <w:p w14:paraId="3E3189AA"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Operating profit from discontinued operations </w:t>
            </w:r>
          </w:p>
        </w:tc>
        <w:tc>
          <w:tcPr>
            <w:tcW w:w="476" w:type="dxa"/>
            <w:tcBorders>
              <w:top w:val="nil"/>
              <w:left w:val="nil"/>
              <w:bottom w:val="single" w:sz="4" w:space="0" w:color="BFBFBF"/>
              <w:right w:val="nil"/>
            </w:tcBorders>
            <w:shd w:val="clear" w:color="000000" w:fill="FFFFFF"/>
            <w:vAlign w:val="center"/>
            <w:hideMark/>
          </w:tcPr>
          <w:p w14:paraId="0D7B26FD"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820" w:type="dxa"/>
            <w:tcBorders>
              <w:top w:val="nil"/>
              <w:left w:val="nil"/>
              <w:bottom w:val="single" w:sz="4" w:space="0" w:color="BFBFBF"/>
              <w:right w:val="nil"/>
            </w:tcBorders>
            <w:shd w:val="clear" w:color="000000" w:fill="FFFFFF"/>
            <w:vAlign w:val="center"/>
            <w:hideMark/>
          </w:tcPr>
          <w:p w14:paraId="48935E6C"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56" w:type="dxa"/>
            <w:tcBorders>
              <w:top w:val="nil"/>
              <w:left w:val="nil"/>
              <w:bottom w:val="single" w:sz="4" w:space="0" w:color="BFBFBF"/>
              <w:right w:val="nil"/>
            </w:tcBorders>
            <w:shd w:val="clear" w:color="000000" w:fill="FFFFFF"/>
            <w:vAlign w:val="center"/>
            <w:hideMark/>
          </w:tcPr>
          <w:p w14:paraId="589A3D02"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75" w:type="dxa"/>
            <w:tcBorders>
              <w:top w:val="nil"/>
              <w:left w:val="nil"/>
              <w:bottom w:val="single" w:sz="4" w:space="0" w:color="BFBFBF"/>
              <w:right w:val="nil"/>
            </w:tcBorders>
            <w:shd w:val="clear" w:color="auto" w:fill="CCECFF"/>
            <w:noWrap/>
            <w:vAlign w:val="center"/>
            <w:hideMark/>
          </w:tcPr>
          <w:p w14:paraId="30236585"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xml:space="preserve">78 </w:t>
            </w:r>
          </w:p>
        </w:tc>
        <w:tc>
          <w:tcPr>
            <w:tcW w:w="1276" w:type="dxa"/>
            <w:tcBorders>
              <w:top w:val="nil"/>
              <w:left w:val="nil"/>
              <w:bottom w:val="single" w:sz="4" w:space="0" w:color="BFBFBF"/>
              <w:right w:val="nil"/>
            </w:tcBorders>
            <w:shd w:val="clear" w:color="000000" w:fill="FFFFFF"/>
            <w:vAlign w:val="center"/>
            <w:hideMark/>
          </w:tcPr>
          <w:p w14:paraId="58FA7974"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10 </w:t>
            </w:r>
          </w:p>
        </w:tc>
        <w:tc>
          <w:tcPr>
            <w:tcW w:w="1276" w:type="dxa"/>
            <w:tcBorders>
              <w:top w:val="nil"/>
              <w:left w:val="nil"/>
              <w:bottom w:val="single" w:sz="4" w:space="0" w:color="BFBFBF"/>
              <w:right w:val="nil"/>
            </w:tcBorders>
            <w:shd w:val="clear" w:color="000000" w:fill="FFFFFF"/>
            <w:vAlign w:val="center"/>
            <w:hideMark/>
          </w:tcPr>
          <w:p w14:paraId="1C1244B0"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13</w:t>
            </w:r>
          </w:p>
        </w:tc>
        <w:tc>
          <w:tcPr>
            <w:tcW w:w="222" w:type="dxa"/>
            <w:vAlign w:val="center"/>
            <w:hideMark/>
          </w:tcPr>
          <w:p w14:paraId="03E1DCD9"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57AF3C7C" w14:textId="77777777" w:rsidTr="00130B78">
        <w:trPr>
          <w:trHeight w:val="278"/>
        </w:trPr>
        <w:tc>
          <w:tcPr>
            <w:tcW w:w="2800" w:type="dxa"/>
            <w:gridSpan w:val="4"/>
            <w:tcBorders>
              <w:top w:val="nil"/>
              <w:left w:val="nil"/>
              <w:bottom w:val="single" w:sz="4" w:space="0" w:color="BFBFBF"/>
              <w:right w:val="nil"/>
            </w:tcBorders>
            <w:shd w:val="clear" w:color="000000" w:fill="FFFFFF"/>
            <w:noWrap/>
            <w:vAlign w:val="bottom"/>
            <w:hideMark/>
          </w:tcPr>
          <w:p w14:paraId="1F13ADD5"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Decrease in discontinued payable*</w:t>
            </w:r>
          </w:p>
        </w:tc>
        <w:tc>
          <w:tcPr>
            <w:tcW w:w="744" w:type="dxa"/>
            <w:tcBorders>
              <w:top w:val="nil"/>
              <w:left w:val="nil"/>
              <w:bottom w:val="single" w:sz="4" w:space="0" w:color="BFBFBF"/>
              <w:right w:val="nil"/>
            </w:tcBorders>
            <w:shd w:val="clear" w:color="000000" w:fill="FFFFFF"/>
            <w:noWrap/>
            <w:vAlign w:val="center"/>
            <w:hideMark/>
          </w:tcPr>
          <w:p w14:paraId="51008AA9"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w:t>
            </w:r>
          </w:p>
        </w:tc>
        <w:tc>
          <w:tcPr>
            <w:tcW w:w="476" w:type="dxa"/>
            <w:tcBorders>
              <w:top w:val="nil"/>
              <w:left w:val="nil"/>
              <w:bottom w:val="single" w:sz="4" w:space="0" w:color="BFBFBF"/>
              <w:right w:val="nil"/>
            </w:tcBorders>
            <w:shd w:val="clear" w:color="000000" w:fill="FFFFFF"/>
            <w:vAlign w:val="center"/>
            <w:hideMark/>
          </w:tcPr>
          <w:p w14:paraId="1CD45DC6"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820" w:type="dxa"/>
            <w:tcBorders>
              <w:top w:val="nil"/>
              <w:left w:val="nil"/>
              <w:bottom w:val="single" w:sz="4" w:space="0" w:color="BFBFBF"/>
              <w:right w:val="nil"/>
            </w:tcBorders>
            <w:shd w:val="clear" w:color="000000" w:fill="FFFFFF"/>
            <w:vAlign w:val="center"/>
            <w:hideMark/>
          </w:tcPr>
          <w:p w14:paraId="1A1E2962"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56" w:type="dxa"/>
            <w:tcBorders>
              <w:top w:val="nil"/>
              <w:left w:val="nil"/>
              <w:bottom w:val="single" w:sz="4" w:space="0" w:color="BFBFBF"/>
              <w:right w:val="nil"/>
            </w:tcBorders>
            <w:shd w:val="clear" w:color="000000" w:fill="FFFFFF"/>
            <w:vAlign w:val="center"/>
            <w:hideMark/>
          </w:tcPr>
          <w:p w14:paraId="12264DC6"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75" w:type="dxa"/>
            <w:tcBorders>
              <w:top w:val="nil"/>
              <w:left w:val="nil"/>
              <w:bottom w:val="single" w:sz="4" w:space="0" w:color="BFBFBF"/>
              <w:right w:val="nil"/>
            </w:tcBorders>
            <w:shd w:val="clear" w:color="auto" w:fill="CCECFF"/>
            <w:noWrap/>
            <w:vAlign w:val="center"/>
            <w:hideMark/>
          </w:tcPr>
          <w:p w14:paraId="62826F1B"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(6)</w:t>
            </w:r>
          </w:p>
        </w:tc>
        <w:tc>
          <w:tcPr>
            <w:tcW w:w="1276" w:type="dxa"/>
            <w:tcBorders>
              <w:top w:val="nil"/>
              <w:left w:val="nil"/>
              <w:bottom w:val="single" w:sz="4" w:space="0" w:color="BFBFBF"/>
              <w:right w:val="nil"/>
            </w:tcBorders>
            <w:shd w:val="clear" w:color="000000" w:fill="FFFFFF"/>
            <w:noWrap/>
            <w:vAlign w:val="center"/>
            <w:hideMark/>
          </w:tcPr>
          <w:p w14:paraId="40ED5845"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w:t>
            </w:r>
          </w:p>
        </w:tc>
        <w:tc>
          <w:tcPr>
            <w:tcW w:w="1276" w:type="dxa"/>
            <w:tcBorders>
              <w:top w:val="nil"/>
              <w:left w:val="nil"/>
              <w:bottom w:val="single" w:sz="4" w:space="0" w:color="BFBFBF"/>
              <w:right w:val="nil"/>
            </w:tcBorders>
            <w:shd w:val="clear" w:color="000000" w:fill="FFFFFF"/>
            <w:noWrap/>
            <w:vAlign w:val="center"/>
            <w:hideMark/>
          </w:tcPr>
          <w:p w14:paraId="6C601366"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w:t>
            </w:r>
          </w:p>
        </w:tc>
        <w:tc>
          <w:tcPr>
            <w:tcW w:w="222" w:type="dxa"/>
            <w:vAlign w:val="center"/>
            <w:hideMark/>
          </w:tcPr>
          <w:p w14:paraId="3CD52312"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26DAA9F0" w14:textId="77777777" w:rsidTr="00130B78">
        <w:trPr>
          <w:trHeight w:val="278"/>
        </w:trPr>
        <w:tc>
          <w:tcPr>
            <w:tcW w:w="4020" w:type="dxa"/>
            <w:gridSpan w:val="6"/>
            <w:tcBorders>
              <w:top w:val="single" w:sz="4" w:space="0" w:color="BFBFBF"/>
              <w:left w:val="nil"/>
              <w:bottom w:val="single" w:sz="4" w:space="0" w:color="BFBFBF"/>
              <w:right w:val="nil"/>
            </w:tcBorders>
            <w:shd w:val="clear" w:color="000000" w:fill="FFFFFF"/>
            <w:noWrap/>
            <w:vAlign w:val="bottom"/>
            <w:hideMark/>
          </w:tcPr>
          <w:p w14:paraId="78B03DCE" w14:textId="77777777" w:rsidR="00EC475F" w:rsidRPr="00EC475F" w:rsidRDefault="00EC475F" w:rsidP="00EC475F">
            <w:pPr>
              <w:spacing w:after="0" w:line="240" w:lineRule="auto"/>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lastRenderedPageBreak/>
              <w:t>Net cash from discontinued operations</w:t>
            </w:r>
          </w:p>
        </w:tc>
        <w:tc>
          <w:tcPr>
            <w:tcW w:w="820" w:type="dxa"/>
            <w:tcBorders>
              <w:top w:val="nil"/>
              <w:left w:val="nil"/>
              <w:bottom w:val="single" w:sz="4" w:space="0" w:color="BFBFBF"/>
              <w:right w:val="nil"/>
            </w:tcBorders>
            <w:shd w:val="clear" w:color="000000" w:fill="FFFFFF"/>
            <w:vAlign w:val="center"/>
            <w:hideMark/>
          </w:tcPr>
          <w:p w14:paraId="1C400318"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56" w:type="dxa"/>
            <w:tcBorders>
              <w:top w:val="nil"/>
              <w:left w:val="nil"/>
              <w:bottom w:val="single" w:sz="4" w:space="0" w:color="BFBFBF"/>
              <w:right w:val="nil"/>
            </w:tcBorders>
            <w:shd w:val="clear" w:color="000000" w:fill="FFFFFF"/>
            <w:vAlign w:val="center"/>
            <w:hideMark/>
          </w:tcPr>
          <w:p w14:paraId="5EC381EA"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w:t>
            </w:r>
          </w:p>
        </w:tc>
        <w:tc>
          <w:tcPr>
            <w:tcW w:w="1275" w:type="dxa"/>
            <w:tcBorders>
              <w:top w:val="nil"/>
              <w:left w:val="nil"/>
              <w:bottom w:val="single" w:sz="4" w:space="0" w:color="BFBFBF"/>
              <w:right w:val="nil"/>
            </w:tcBorders>
            <w:shd w:val="clear" w:color="auto" w:fill="CCECFF"/>
            <w:noWrap/>
            <w:vAlign w:val="center"/>
            <w:hideMark/>
          </w:tcPr>
          <w:p w14:paraId="0D5BD1D1" w14:textId="77777777" w:rsidR="00EC475F" w:rsidRPr="00EC475F" w:rsidRDefault="00EC475F" w:rsidP="00EC475F">
            <w:pPr>
              <w:spacing w:after="0" w:line="240" w:lineRule="auto"/>
              <w:jc w:val="right"/>
              <w:rPr>
                <w:rFonts w:ascii="Arial" w:eastAsia="Times New Roman" w:hAnsi="Arial" w:cs="Arial"/>
                <w:b/>
                <w:bCs/>
                <w:sz w:val="15"/>
                <w:szCs w:val="15"/>
                <w:lang w:eastAsia="en-GB"/>
              </w:rPr>
            </w:pPr>
            <w:r w:rsidRPr="00EC475F">
              <w:rPr>
                <w:rFonts w:ascii="Arial" w:eastAsia="Times New Roman" w:hAnsi="Arial" w:cs="Arial"/>
                <w:b/>
                <w:bCs/>
                <w:sz w:val="15"/>
                <w:szCs w:val="15"/>
                <w:lang w:eastAsia="en-GB"/>
              </w:rPr>
              <w:t xml:space="preserve">72 </w:t>
            </w:r>
          </w:p>
        </w:tc>
        <w:tc>
          <w:tcPr>
            <w:tcW w:w="1276" w:type="dxa"/>
            <w:tcBorders>
              <w:top w:val="nil"/>
              <w:left w:val="nil"/>
              <w:bottom w:val="single" w:sz="4" w:space="0" w:color="BFBFBF"/>
              <w:right w:val="nil"/>
            </w:tcBorders>
            <w:shd w:val="clear" w:color="000000" w:fill="FFFFFF"/>
            <w:vAlign w:val="center"/>
            <w:hideMark/>
          </w:tcPr>
          <w:p w14:paraId="168CF04E"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10 </w:t>
            </w:r>
          </w:p>
        </w:tc>
        <w:tc>
          <w:tcPr>
            <w:tcW w:w="1276" w:type="dxa"/>
            <w:tcBorders>
              <w:top w:val="nil"/>
              <w:left w:val="nil"/>
              <w:bottom w:val="single" w:sz="4" w:space="0" w:color="BFBFBF"/>
              <w:right w:val="nil"/>
            </w:tcBorders>
            <w:shd w:val="clear" w:color="000000" w:fill="FFFFFF"/>
            <w:vAlign w:val="center"/>
            <w:hideMark/>
          </w:tcPr>
          <w:p w14:paraId="37EBAEB6" w14:textId="77777777" w:rsidR="00EC475F" w:rsidRPr="00EC475F" w:rsidRDefault="00EC475F" w:rsidP="00EC475F">
            <w:pPr>
              <w:spacing w:after="0" w:line="240" w:lineRule="auto"/>
              <w:jc w:val="right"/>
              <w:rPr>
                <w:rFonts w:ascii="Arial" w:eastAsia="Times New Roman" w:hAnsi="Arial" w:cs="Arial"/>
                <w:sz w:val="15"/>
                <w:szCs w:val="15"/>
                <w:lang w:eastAsia="en-GB"/>
              </w:rPr>
            </w:pPr>
            <w:r w:rsidRPr="00EC475F">
              <w:rPr>
                <w:rFonts w:ascii="Arial" w:eastAsia="Times New Roman" w:hAnsi="Arial" w:cs="Arial"/>
                <w:sz w:val="15"/>
                <w:szCs w:val="15"/>
                <w:lang w:eastAsia="en-GB"/>
              </w:rPr>
              <w:t>13</w:t>
            </w:r>
          </w:p>
        </w:tc>
        <w:tc>
          <w:tcPr>
            <w:tcW w:w="222" w:type="dxa"/>
            <w:vAlign w:val="center"/>
            <w:hideMark/>
          </w:tcPr>
          <w:p w14:paraId="679A55CE"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52586F97" w14:textId="77777777" w:rsidTr="00130B78">
        <w:trPr>
          <w:trHeight w:val="90"/>
        </w:trPr>
        <w:tc>
          <w:tcPr>
            <w:tcW w:w="700" w:type="dxa"/>
            <w:tcBorders>
              <w:top w:val="nil"/>
              <w:left w:val="nil"/>
              <w:bottom w:val="nil"/>
              <w:right w:val="nil"/>
            </w:tcBorders>
            <w:shd w:val="clear" w:color="000000" w:fill="FFFFFF"/>
            <w:noWrap/>
            <w:vAlign w:val="bottom"/>
            <w:hideMark/>
          </w:tcPr>
          <w:p w14:paraId="2DB61775" w14:textId="77777777" w:rsidR="00EC475F" w:rsidRPr="00EC475F" w:rsidRDefault="00EC475F" w:rsidP="00EC475F">
            <w:pPr>
              <w:spacing w:after="0" w:line="240" w:lineRule="auto"/>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14:paraId="3DAEB0FB" w14:textId="77777777" w:rsidR="00EC475F" w:rsidRPr="00EC475F" w:rsidRDefault="00EC475F" w:rsidP="00EC475F">
            <w:pPr>
              <w:spacing w:after="0" w:line="240" w:lineRule="auto"/>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14:paraId="71C85FFA"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700" w:type="dxa"/>
            <w:tcBorders>
              <w:top w:val="nil"/>
              <w:left w:val="nil"/>
              <w:bottom w:val="nil"/>
              <w:right w:val="nil"/>
            </w:tcBorders>
            <w:shd w:val="clear" w:color="000000" w:fill="FFFFFF"/>
            <w:noWrap/>
            <w:vAlign w:val="bottom"/>
            <w:hideMark/>
          </w:tcPr>
          <w:p w14:paraId="2F16EF02"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744" w:type="dxa"/>
            <w:tcBorders>
              <w:top w:val="nil"/>
              <w:left w:val="nil"/>
              <w:bottom w:val="nil"/>
              <w:right w:val="nil"/>
            </w:tcBorders>
            <w:shd w:val="clear" w:color="000000" w:fill="FFFFFF"/>
            <w:noWrap/>
            <w:vAlign w:val="bottom"/>
            <w:hideMark/>
          </w:tcPr>
          <w:p w14:paraId="1DDBFCDD"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476" w:type="dxa"/>
            <w:tcBorders>
              <w:top w:val="nil"/>
              <w:left w:val="nil"/>
              <w:bottom w:val="nil"/>
              <w:right w:val="nil"/>
            </w:tcBorders>
            <w:shd w:val="clear" w:color="000000" w:fill="FFFFFF"/>
            <w:noWrap/>
            <w:vAlign w:val="bottom"/>
            <w:hideMark/>
          </w:tcPr>
          <w:p w14:paraId="1B807BA9"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820" w:type="dxa"/>
            <w:tcBorders>
              <w:top w:val="nil"/>
              <w:left w:val="nil"/>
              <w:bottom w:val="nil"/>
              <w:right w:val="nil"/>
            </w:tcBorders>
            <w:shd w:val="clear" w:color="000000" w:fill="FFFFFF"/>
            <w:noWrap/>
            <w:vAlign w:val="bottom"/>
            <w:hideMark/>
          </w:tcPr>
          <w:p w14:paraId="2B14BFEA"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1256" w:type="dxa"/>
            <w:tcBorders>
              <w:top w:val="nil"/>
              <w:left w:val="nil"/>
              <w:bottom w:val="nil"/>
              <w:right w:val="nil"/>
            </w:tcBorders>
            <w:shd w:val="clear" w:color="000000" w:fill="FFFFFF"/>
            <w:noWrap/>
            <w:vAlign w:val="bottom"/>
            <w:hideMark/>
          </w:tcPr>
          <w:p w14:paraId="56132C5A"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1275" w:type="dxa"/>
            <w:tcBorders>
              <w:top w:val="nil"/>
              <w:left w:val="nil"/>
              <w:bottom w:val="nil"/>
              <w:right w:val="nil"/>
            </w:tcBorders>
            <w:shd w:val="clear" w:color="000000" w:fill="FFFFFF"/>
            <w:noWrap/>
            <w:vAlign w:val="bottom"/>
            <w:hideMark/>
          </w:tcPr>
          <w:p w14:paraId="38996950"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1276" w:type="dxa"/>
            <w:tcBorders>
              <w:top w:val="nil"/>
              <w:left w:val="nil"/>
              <w:bottom w:val="nil"/>
              <w:right w:val="nil"/>
            </w:tcBorders>
            <w:shd w:val="clear" w:color="000000" w:fill="FFFFFF"/>
            <w:noWrap/>
            <w:vAlign w:val="bottom"/>
            <w:hideMark/>
          </w:tcPr>
          <w:p w14:paraId="7069FC20"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1276" w:type="dxa"/>
            <w:tcBorders>
              <w:top w:val="nil"/>
              <w:left w:val="nil"/>
              <w:bottom w:val="nil"/>
              <w:right w:val="nil"/>
            </w:tcBorders>
            <w:shd w:val="clear" w:color="000000" w:fill="FFFFFF"/>
            <w:noWrap/>
            <w:vAlign w:val="bottom"/>
            <w:hideMark/>
          </w:tcPr>
          <w:p w14:paraId="2CFA3E34"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222" w:type="dxa"/>
            <w:vAlign w:val="center"/>
            <w:hideMark/>
          </w:tcPr>
          <w:p w14:paraId="17311DFF"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2DBA69A3" w14:textId="77777777" w:rsidTr="00EC475F">
        <w:trPr>
          <w:trHeight w:val="480"/>
        </w:trPr>
        <w:tc>
          <w:tcPr>
            <w:tcW w:w="9923" w:type="dxa"/>
            <w:gridSpan w:val="11"/>
            <w:tcBorders>
              <w:top w:val="nil"/>
              <w:left w:val="nil"/>
              <w:bottom w:val="nil"/>
              <w:right w:val="nil"/>
            </w:tcBorders>
            <w:shd w:val="clear" w:color="000000" w:fill="FFFFFF"/>
            <w:vAlign w:val="center"/>
            <w:hideMark/>
          </w:tcPr>
          <w:p w14:paraId="25BDD74A"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*£6m payment on account received in relation to fees following the original IBM judgment in May 2021 was held on the balance and only released to the Income statement (Discontinued operations) in 2022 following the appeal judgment.   </w:t>
            </w:r>
          </w:p>
        </w:tc>
        <w:tc>
          <w:tcPr>
            <w:tcW w:w="222" w:type="dxa"/>
            <w:vAlign w:val="center"/>
            <w:hideMark/>
          </w:tcPr>
          <w:p w14:paraId="7EF8E6C7"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r w:rsidR="00EC475F" w:rsidRPr="00EC475F" w14:paraId="6E734888" w14:textId="77777777" w:rsidTr="00130B78">
        <w:trPr>
          <w:trHeight w:val="233"/>
        </w:trPr>
        <w:tc>
          <w:tcPr>
            <w:tcW w:w="7371" w:type="dxa"/>
            <w:gridSpan w:val="9"/>
            <w:tcBorders>
              <w:top w:val="nil"/>
              <w:left w:val="nil"/>
              <w:bottom w:val="nil"/>
              <w:right w:val="nil"/>
            </w:tcBorders>
            <w:shd w:val="clear" w:color="000000" w:fill="FFFFFF"/>
            <w:noWrap/>
            <w:vAlign w:val="bottom"/>
            <w:hideMark/>
          </w:tcPr>
          <w:p w14:paraId="63736A1B" w14:textId="77777777" w:rsidR="00EC475F" w:rsidRPr="00EC475F" w:rsidRDefault="00EC475F" w:rsidP="00EC475F">
            <w:pPr>
              <w:spacing w:after="0" w:line="240" w:lineRule="auto"/>
              <w:rPr>
                <w:rFonts w:ascii="Arial" w:eastAsia="Times New Roman" w:hAnsi="Arial" w:cs="Arial"/>
                <w:sz w:val="15"/>
                <w:szCs w:val="15"/>
                <w:lang w:eastAsia="en-GB"/>
              </w:rPr>
            </w:pPr>
            <w:r w:rsidRPr="00EC475F">
              <w:rPr>
                <w:rFonts w:ascii="Arial" w:eastAsia="Times New Roman" w:hAnsi="Arial" w:cs="Arial"/>
                <w:sz w:val="15"/>
                <w:szCs w:val="15"/>
                <w:lang w:eastAsia="en-GB"/>
              </w:rPr>
              <w:t xml:space="preserve">Cash flows from financing and investing activities were not significant in any period. </w:t>
            </w:r>
          </w:p>
        </w:tc>
        <w:tc>
          <w:tcPr>
            <w:tcW w:w="1276" w:type="dxa"/>
            <w:tcBorders>
              <w:top w:val="nil"/>
              <w:left w:val="nil"/>
              <w:bottom w:val="nil"/>
              <w:right w:val="nil"/>
            </w:tcBorders>
            <w:shd w:val="clear" w:color="000000" w:fill="FFFFFF"/>
            <w:noWrap/>
            <w:vAlign w:val="bottom"/>
            <w:hideMark/>
          </w:tcPr>
          <w:p w14:paraId="5DBA6A1E"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1276" w:type="dxa"/>
            <w:tcBorders>
              <w:top w:val="nil"/>
              <w:left w:val="nil"/>
              <w:bottom w:val="nil"/>
              <w:right w:val="nil"/>
            </w:tcBorders>
            <w:shd w:val="clear" w:color="000000" w:fill="FFFFFF"/>
            <w:noWrap/>
            <w:vAlign w:val="bottom"/>
            <w:hideMark/>
          </w:tcPr>
          <w:p w14:paraId="5385F8B5" w14:textId="77777777" w:rsidR="00EC475F" w:rsidRPr="00EC475F" w:rsidRDefault="00EC475F" w:rsidP="00EC475F">
            <w:pPr>
              <w:spacing w:after="0" w:line="240" w:lineRule="auto"/>
              <w:jc w:val="right"/>
              <w:rPr>
                <w:rFonts w:ascii="Arial" w:eastAsia="Times New Roman" w:hAnsi="Arial" w:cs="Arial"/>
                <w:sz w:val="20"/>
                <w:szCs w:val="20"/>
                <w:lang w:eastAsia="en-GB"/>
              </w:rPr>
            </w:pPr>
            <w:r w:rsidRPr="00EC475F">
              <w:rPr>
                <w:rFonts w:ascii="Arial" w:eastAsia="Times New Roman" w:hAnsi="Arial" w:cs="Arial"/>
                <w:sz w:val="20"/>
                <w:szCs w:val="20"/>
                <w:lang w:eastAsia="en-GB"/>
              </w:rPr>
              <w:t> </w:t>
            </w:r>
          </w:p>
        </w:tc>
        <w:tc>
          <w:tcPr>
            <w:tcW w:w="222" w:type="dxa"/>
            <w:vAlign w:val="center"/>
            <w:hideMark/>
          </w:tcPr>
          <w:p w14:paraId="55A3229A" w14:textId="77777777" w:rsidR="00EC475F" w:rsidRPr="00EC475F" w:rsidRDefault="00EC475F" w:rsidP="00EC475F">
            <w:pPr>
              <w:spacing w:after="0" w:line="240" w:lineRule="auto"/>
              <w:rPr>
                <w:rFonts w:ascii="Times New Roman" w:eastAsia="Times New Roman" w:hAnsi="Times New Roman" w:cs="Times New Roman"/>
                <w:sz w:val="20"/>
                <w:szCs w:val="20"/>
                <w:lang w:eastAsia="en-GB"/>
              </w:rPr>
            </w:pPr>
          </w:p>
        </w:tc>
      </w:tr>
    </w:tbl>
    <w:p w14:paraId="3F93906A" w14:textId="7225EEAF" w:rsidR="00C9468F" w:rsidRDefault="00C9468F" w:rsidP="00BB64F8"/>
    <w:tbl>
      <w:tblPr>
        <w:tblW w:w="10302" w:type="dxa"/>
        <w:tblLook w:val="04A0" w:firstRow="1" w:lastRow="0" w:firstColumn="1" w:lastColumn="0" w:noHBand="0" w:noVBand="1"/>
      </w:tblPr>
      <w:tblGrid>
        <w:gridCol w:w="1600"/>
        <w:gridCol w:w="1060"/>
        <w:gridCol w:w="1120"/>
        <w:gridCol w:w="1220"/>
        <w:gridCol w:w="1521"/>
        <w:gridCol w:w="1033"/>
        <w:gridCol w:w="1220"/>
        <w:gridCol w:w="1340"/>
        <w:gridCol w:w="222"/>
      </w:tblGrid>
      <w:tr w:rsidR="00043DAE" w:rsidRPr="00043DAE" w14:paraId="6296100D" w14:textId="77777777" w:rsidTr="00B26CCA">
        <w:trPr>
          <w:gridAfter w:val="1"/>
          <w:wAfter w:w="222" w:type="dxa"/>
          <w:trHeight w:val="255"/>
        </w:trPr>
        <w:tc>
          <w:tcPr>
            <w:tcW w:w="10080" w:type="dxa"/>
            <w:gridSpan w:val="8"/>
            <w:tcBorders>
              <w:top w:val="nil"/>
              <w:left w:val="nil"/>
              <w:bottom w:val="nil"/>
              <w:right w:val="nil"/>
            </w:tcBorders>
            <w:shd w:val="clear" w:color="auto" w:fill="auto"/>
            <w:noWrap/>
            <w:vAlign w:val="bottom"/>
            <w:hideMark/>
          </w:tcPr>
          <w:p w14:paraId="01A99A6E"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7    Pensions</w:t>
            </w:r>
            <w:r w:rsidRPr="00043DAE">
              <w:rPr>
                <w:rFonts w:ascii="Arial" w:eastAsia="Times New Roman" w:hAnsi="Arial" w:cs="Arial"/>
                <w:sz w:val="18"/>
                <w:szCs w:val="18"/>
                <w:lang w:eastAsia="en-GB"/>
              </w:rPr>
              <w:t xml:space="preserve"> </w:t>
            </w:r>
          </w:p>
        </w:tc>
      </w:tr>
      <w:tr w:rsidR="00043DAE" w:rsidRPr="00043DAE" w14:paraId="4644334E" w14:textId="77777777" w:rsidTr="00B26CCA">
        <w:trPr>
          <w:gridAfter w:val="1"/>
          <w:wAfter w:w="222" w:type="dxa"/>
          <w:trHeight w:val="240"/>
        </w:trPr>
        <w:tc>
          <w:tcPr>
            <w:tcW w:w="1600" w:type="dxa"/>
            <w:tcBorders>
              <w:top w:val="nil"/>
              <w:left w:val="nil"/>
              <w:bottom w:val="nil"/>
              <w:right w:val="nil"/>
            </w:tcBorders>
            <w:shd w:val="clear" w:color="000000" w:fill="FFFFFF"/>
            <w:noWrap/>
            <w:vAlign w:val="bottom"/>
            <w:hideMark/>
          </w:tcPr>
          <w:p w14:paraId="31F2B55E"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060" w:type="dxa"/>
            <w:tcBorders>
              <w:top w:val="nil"/>
              <w:left w:val="nil"/>
              <w:bottom w:val="nil"/>
              <w:right w:val="nil"/>
            </w:tcBorders>
            <w:shd w:val="clear" w:color="000000" w:fill="FFFFFF"/>
            <w:noWrap/>
            <w:vAlign w:val="bottom"/>
            <w:hideMark/>
          </w:tcPr>
          <w:p w14:paraId="472492A4"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120" w:type="dxa"/>
            <w:tcBorders>
              <w:top w:val="nil"/>
              <w:left w:val="nil"/>
              <w:bottom w:val="nil"/>
              <w:right w:val="nil"/>
            </w:tcBorders>
            <w:shd w:val="clear" w:color="000000" w:fill="FFFFFF"/>
            <w:noWrap/>
            <w:vAlign w:val="bottom"/>
            <w:hideMark/>
          </w:tcPr>
          <w:p w14:paraId="611A7FF5"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220" w:type="dxa"/>
            <w:tcBorders>
              <w:top w:val="nil"/>
              <w:left w:val="nil"/>
              <w:bottom w:val="nil"/>
              <w:right w:val="nil"/>
            </w:tcBorders>
            <w:shd w:val="clear" w:color="000000" w:fill="FFFFFF"/>
            <w:noWrap/>
            <w:vAlign w:val="bottom"/>
            <w:hideMark/>
          </w:tcPr>
          <w:p w14:paraId="50ABC6CD"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521" w:type="dxa"/>
            <w:tcBorders>
              <w:top w:val="nil"/>
              <w:left w:val="nil"/>
              <w:bottom w:val="nil"/>
              <w:right w:val="nil"/>
            </w:tcBorders>
            <w:shd w:val="clear" w:color="000000" w:fill="FFFFFF"/>
            <w:noWrap/>
            <w:vAlign w:val="bottom"/>
            <w:hideMark/>
          </w:tcPr>
          <w:p w14:paraId="68F6766B"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999" w:type="dxa"/>
            <w:tcBorders>
              <w:top w:val="nil"/>
              <w:left w:val="nil"/>
              <w:bottom w:val="nil"/>
              <w:right w:val="nil"/>
            </w:tcBorders>
            <w:shd w:val="clear" w:color="000000" w:fill="FFFFFF"/>
            <w:noWrap/>
            <w:vAlign w:val="bottom"/>
            <w:hideMark/>
          </w:tcPr>
          <w:p w14:paraId="5229DFCE"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220" w:type="dxa"/>
            <w:tcBorders>
              <w:top w:val="nil"/>
              <w:left w:val="nil"/>
              <w:bottom w:val="nil"/>
              <w:right w:val="nil"/>
            </w:tcBorders>
            <w:shd w:val="clear" w:color="000000" w:fill="FFFFFF"/>
            <w:noWrap/>
            <w:vAlign w:val="bottom"/>
            <w:hideMark/>
          </w:tcPr>
          <w:p w14:paraId="2B7BC21F"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340" w:type="dxa"/>
            <w:tcBorders>
              <w:top w:val="nil"/>
              <w:left w:val="nil"/>
              <w:bottom w:val="nil"/>
              <w:right w:val="nil"/>
            </w:tcBorders>
            <w:shd w:val="clear" w:color="000000" w:fill="FFFFFF"/>
            <w:noWrap/>
            <w:vAlign w:val="bottom"/>
            <w:hideMark/>
          </w:tcPr>
          <w:p w14:paraId="45D2E266"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r>
      <w:tr w:rsidR="00043DAE" w:rsidRPr="00043DAE" w14:paraId="27037BAC" w14:textId="77777777" w:rsidTr="00B26CCA">
        <w:trPr>
          <w:gridAfter w:val="1"/>
          <w:wAfter w:w="222" w:type="dxa"/>
          <w:trHeight w:val="450"/>
        </w:trPr>
        <w:tc>
          <w:tcPr>
            <w:tcW w:w="10080" w:type="dxa"/>
            <w:gridSpan w:val="8"/>
            <w:vMerge w:val="restart"/>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4170FF6B" w14:textId="77777777" w:rsidR="00043DAE" w:rsidRPr="00043DAE" w:rsidRDefault="00043DAE" w:rsidP="00043DAE">
            <w:pPr>
              <w:spacing w:after="0" w:line="240" w:lineRule="auto"/>
              <w:rPr>
                <w:rFonts w:ascii="Arial" w:eastAsia="Times New Roman" w:hAnsi="Arial" w:cs="Arial"/>
                <w:sz w:val="18"/>
                <w:szCs w:val="18"/>
                <w:lang w:eastAsia="en-GB"/>
              </w:rPr>
            </w:pPr>
            <w:r w:rsidRPr="00043DAE">
              <w:rPr>
                <w:rFonts w:ascii="Arial" w:eastAsia="Times New Roman" w:hAnsi="Arial" w:cs="Arial"/>
                <w:b/>
                <w:bCs/>
                <w:sz w:val="18"/>
                <w:szCs w:val="18"/>
                <w:lang w:eastAsia="en-GB"/>
              </w:rPr>
              <w:t>What does this show?</w:t>
            </w:r>
            <w:r w:rsidRPr="00043DAE">
              <w:rPr>
                <w:rFonts w:ascii="Arial" w:eastAsia="Times New Roman" w:hAnsi="Arial" w:cs="Arial"/>
                <w:sz w:val="18"/>
                <w:szCs w:val="18"/>
                <w:lang w:eastAsia="en-GB"/>
              </w:rPr>
              <w:t xml:space="preserve"> This note shows the net position (either a surplus or a deficit) for </w:t>
            </w:r>
            <w:proofErr w:type="gramStart"/>
            <w:r w:rsidRPr="00043DAE">
              <w:rPr>
                <w:rFonts w:ascii="Arial" w:eastAsia="Times New Roman" w:hAnsi="Arial" w:cs="Arial"/>
                <w:sz w:val="18"/>
                <w:szCs w:val="18"/>
                <w:lang w:eastAsia="en-GB"/>
              </w:rPr>
              <w:t>all of</w:t>
            </w:r>
            <w:proofErr w:type="gramEnd"/>
            <w:r w:rsidRPr="00043DAE">
              <w:rPr>
                <w:rFonts w:ascii="Arial" w:eastAsia="Times New Roman" w:hAnsi="Arial" w:cs="Arial"/>
                <w:sz w:val="18"/>
                <w:szCs w:val="18"/>
                <w:lang w:eastAsia="en-GB"/>
              </w:rPr>
              <w:t xml:space="preserve"> the Group's defined benefit (DB) pension schemes and the key assumptions that our actuaries have used to value the Pace scheme as well as showing how the total net position has changed during the period. </w:t>
            </w:r>
          </w:p>
        </w:tc>
      </w:tr>
      <w:tr w:rsidR="00043DAE" w:rsidRPr="00043DAE" w14:paraId="5CC50CFC" w14:textId="77777777" w:rsidTr="00B26CCA">
        <w:trPr>
          <w:trHeight w:val="282"/>
        </w:trPr>
        <w:tc>
          <w:tcPr>
            <w:tcW w:w="10080" w:type="dxa"/>
            <w:gridSpan w:val="8"/>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4BAC3A1E" w14:textId="77777777" w:rsidR="00043DAE" w:rsidRPr="00043DAE" w:rsidRDefault="00043DAE" w:rsidP="00043DAE">
            <w:pPr>
              <w:spacing w:after="0" w:line="240" w:lineRule="auto"/>
              <w:rPr>
                <w:rFonts w:ascii="Arial" w:eastAsia="Times New Roman" w:hAnsi="Arial" w:cs="Arial"/>
                <w:sz w:val="18"/>
                <w:szCs w:val="18"/>
                <w:lang w:eastAsia="en-GB"/>
              </w:rPr>
            </w:pPr>
          </w:p>
        </w:tc>
        <w:tc>
          <w:tcPr>
            <w:tcW w:w="222" w:type="dxa"/>
            <w:tcBorders>
              <w:top w:val="nil"/>
              <w:left w:val="nil"/>
              <w:bottom w:val="nil"/>
              <w:right w:val="nil"/>
            </w:tcBorders>
            <w:shd w:val="clear" w:color="auto" w:fill="auto"/>
            <w:noWrap/>
            <w:vAlign w:val="bottom"/>
            <w:hideMark/>
          </w:tcPr>
          <w:p w14:paraId="293E796D" w14:textId="77777777" w:rsidR="00043DAE" w:rsidRPr="00043DAE" w:rsidRDefault="00043DAE" w:rsidP="00043DAE">
            <w:pPr>
              <w:spacing w:after="0" w:line="240" w:lineRule="auto"/>
              <w:rPr>
                <w:rFonts w:ascii="Arial" w:eastAsia="Times New Roman" w:hAnsi="Arial" w:cs="Arial"/>
                <w:sz w:val="18"/>
                <w:szCs w:val="18"/>
                <w:lang w:eastAsia="en-GB"/>
              </w:rPr>
            </w:pPr>
          </w:p>
        </w:tc>
      </w:tr>
      <w:tr w:rsidR="00043DAE" w:rsidRPr="00043DAE" w14:paraId="6A806252" w14:textId="77777777" w:rsidTr="00B26CCA">
        <w:trPr>
          <w:trHeight w:val="282"/>
        </w:trPr>
        <w:tc>
          <w:tcPr>
            <w:tcW w:w="10080" w:type="dxa"/>
            <w:gridSpan w:val="8"/>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0E8FF6D7" w14:textId="77777777" w:rsidR="00043DAE" w:rsidRPr="00043DAE" w:rsidRDefault="00043DAE" w:rsidP="00043DAE">
            <w:pPr>
              <w:spacing w:after="0" w:line="240" w:lineRule="auto"/>
              <w:rPr>
                <w:rFonts w:ascii="Arial" w:eastAsia="Times New Roman" w:hAnsi="Arial" w:cs="Arial"/>
                <w:sz w:val="18"/>
                <w:szCs w:val="18"/>
                <w:lang w:eastAsia="en-GB"/>
              </w:rPr>
            </w:pPr>
          </w:p>
        </w:tc>
        <w:tc>
          <w:tcPr>
            <w:tcW w:w="222" w:type="dxa"/>
            <w:tcBorders>
              <w:top w:val="nil"/>
              <w:left w:val="nil"/>
              <w:bottom w:val="nil"/>
              <w:right w:val="nil"/>
            </w:tcBorders>
            <w:shd w:val="clear" w:color="auto" w:fill="auto"/>
            <w:noWrap/>
            <w:vAlign w:val="bottom"/>
            <w:hideMark/>
          </w:tcPr>
          <w:p w14:paraId="43FD6109"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5D73E130" w14:textId="77777777" w:rsidTr="00B26CCA">
        <w:trPr>
          <w:trHeight w:val="255"/>
        </w:trPr>
        <w:tc>
          <w:tcPr>
            <w:tcW w:w="1600" w:type="dxa"/>
            <w:tcBorders>
              <w:top w:val="nil"/>
              <w:left w:val="nil"/>
              <w:bottom w:val="single" w:sz="4" w:space="0" w:color="BFBFBF"/>
              <w:right w:val="nil"/>
            </w:tcBorders>
            <w:shd w:val="clear" w:color="000000" w:fill="FFFFFF"/>
            <w:noWrap/>
            <w:vAlign w:val="bottom"/>
            <w:hideMark/>
          </w:tcPr>
          <w:p w14:paraId="5A48CBA3"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060" w:type="dxa"/>
            <w:tcBorders>
              <w:top w:val="nil"/>
              <w:left w:val="nil"/>
              <w:bottom w:val="single" w:sz="4" w:space="0" w:color="BFBFBF"/>
              <w:right w:val="nil"/>
            </w:tcBorders>
            <w:shd w:val="clear" w:color="000000" w:fill="FFFFFF"/>
            <w:noWrap/>
            <w:vAlign w:val="bottom"/>
            <w:hideMark/>
          </w:tcPr>
          <w:p w14:paraId="35B922FA"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120" w:type="dxa"/>
            <w:tcBorders>
              <w:top w:val="nil"/>
              <w:left w:val="nil"/>
              <w:bottom w:val="single" w:sz="4" w:space="0" w:color="BFBFBF"/>
              <w:right w:val="nil"/>
            </w:tcBorders>
            <w:shd w:val="clear" w:color="000000" w:fill="FFFFFF"/>
            <w:noWrap/>
            <w:vAlign w:val="bottom"/>
            <w:hideMark/>
          </w:tcPr>
          <w:p w14:paraId="1A7FA6D7"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220" w:type="dxa"/>
            <w:tcBorders>
              <w:top w:val="nil"/>
              <w:left w:val="nil"/>
              <w:bottom w:val="single" w:sz="4" w:space="0" w:color="BFBFBF"/>
              <w:right w:val="nil"/>
            </w:tcBorders>
            <w:shd w:val="clear" w:color="000000" w:fill="FFFFFF"/>
            <w:noWrap/>
            <w:vAlign w:val="bottom"/>
            <w:hideMark/>
          </w:tcPr>
          <w:p w14:paraId="2E304DAA"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521" w:type="dxa"/>
            <w:tcBorders>
              <w:top w:val="nil"/>
              <w:left w:val="nil"/>
              <w:bottom w:val="single" w:sz="4" w:space="0" w:color="BFBFBF"/>
              <w:right w:val="nil"/>
            </w:tcBorders>
            <w:shd w:val="clear" w:color="000000" w:fill="FFFFFF"/>
            <w:noWrap/>
            <w:vAlign w:val="bottom"/>
            <w:hideMark/>
          </w:tcPr>
          <w:p w14:paraId="0E203825"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999" w:type="dxa"/>
            <w:tcBorders>
              <w:top w:val="nil"/>
              <w:left w:val="nil"/>
              <w:bottom w:val="single" w:sz="4" w:space="0" w:color="BFBFBF"/>
              <w:right w:val="nil"/>
            </w:tcBorders>
            <w:shd w:val="clear" w:color="000000" w:fill="FFFFFF"/>
            <w:noWrap/>
            <w:vAlign w:val="bottom"/>
            <w:hideMark/>
          </w:tcPr>
          <w:p w14:paraId="05169E90"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220" w:type="dxa"/>
            <w:tcBorders>
              <w:top w:val="nil"/>
              <w:left w:val="nil"/>
              <w:bottom w:val="single" w:sz="4" w:space="0" w:color="BFBFBF"/>
              <w:right w:val="nil"/>
            </w:tcBorders>
            <w:shd w:val="clear" w:color="000000" w:fill="FFFFFF"/>
            <w:noWrap/>
            <w:vAlign w:val="bottom"/>
            <w:hideMark/>
          </w:tcPr>
          <w:p w14:paraId="4FCDB9DA"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340" w:type="dxa"/>
            <w:tcBorders>
              <w:top w:val="nil"/>
              <w:left w:val="nil"/>
              <w:bottom w:val="single" w:sz="4" w:space="0" w:color="BFBFBF"/>
              <w:right w:val="nil"/>
            </w:tcBorders>
            <w:shd w:val="clear" w:color="000000" w:fill="FFFFFF"/>
            <w:noWrap/>
            <w:vAlign w:val="bottom"/>
            <w:hideMark/>
          </w:tcPr>
          <w:p w14:paraId="225FBB3C"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222" w:type="dxa"/>
            <w:vAlign w:val="center"/>
            <w:hideMark/>
          </w:tcPr>
          <w:p w14:paraId="4D9EBADF"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00D14" w:rsidRPr="00043DAE" w14:paraId="2F355319" w14:textId="77777777" w:rsidTr="00B26CCA">
        <w:trPr>
          <w:trHeight w:val="240"/>
        </w:trPr>
        <w:tc>
          <w:tcPr>
            <w:tcW w:w="1600" w:type="dxa"/>
            <w:tcBorders>
              <w:top w:val="nil"/>
              <w:left w:val="single" w:sz="4" w:space="0" w:color="BFBFBF"/>
              <w:bottom w:val="nil"/>
              <w:right w:val="nil"/>
            </w:tcBorders>
            <w:shd w:val="clear" w:color="auto" w:fill="auto"/>
            <w:noWrap/>
            <w:vAlign w:val="bottom"/>
            <w:hideMark/>
          </w:tcPr>
          <w:p w14:paraId="4192E905"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060" w:type="dxa"/>
            <w:tcBorders>
              <w:top w:val="nil"/>
              <w:left w:val="nil"/>
              <w:bottom w:val="nil"/>
              <w:right w:val="nil"/>
            </w:tcBorders>
            <w:shd w:val="clear" w:color="auto" w:fill="auto"/>
            <w:noWrap/>
            <w:vAlign w:val="bottom"/>
            <w:hideMark/>
          </w:tcPr>
          <w:p w14:paraId="3C0244F3"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120" w:type="dxa"/>
            <w:tcBorders>
              <w:top w:val="nil"/>
              <w:left w:val="nil"/>
              <w:bottom w:val="nil"/>
              <w:right w:val="nil"/>
            </w:tcBorders>
            <w:shd w:val="clear" w:color="auto" w:fill="auto"/>
            <w:noWrap/>
            <w:vAlign w:val="bottom"/>
            <w:hideMark/>
          </w:tcPr>
          <w:p w14:paraId="3E1BF9D7"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nil"/>
              <w:right w:val="nil"/>
            </w:tcBorders>
            <w:shd w:val="clear" w:color="auto" w:fill="auto"/>
            <w:noWrap/>
            <w:vAlign w:val="bottom"/>
            <w:hideMark/>
          </w:tcPr>
          <w:p w14:paraId="524C8598"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nil"/>
              <w:right w:val="nil"/>
            </w:tcBorders>
            <w:shd w:val="clear" w:color="auto" w:fill="auto"/>
            <w:noWrap/>
            <w:vAlign w:val="bottom"/>
            <w:hideMark/>
          </w:tcPr>
          <w:p w14:paraId="5CAE05EA"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nil"/>
              <w:right w:val="nil"/>
            </w:tcBorders>
            <w:shd w:val="clear" w:color="auto" w:fill="auto"/>
            <w:vAlign w:val="bottom"/>
            <w:hideMark/>
          </w:tcPr>
          <w:p w14:paraId="1B25B8DA"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2 July 2022</w:t>
            </w:r>
          </w:p>
        </w:tc>
        <w:tc>
          <w:tcPr>
            <w:tcW w:w="1220" w:type="dxa"/>
            <w:tcBorders>
              <w:top w:val="nil"/>
              <w:left w:val="nil"/>
              <w:bottom w:val="nil"/>
              <w:right w:val="nil"/>
            </w:tcBorders>
            <w:shd w:val="clear" w:color="auto" w:fill="auto"/>
            <w:vAlign w:val="bottom"/>
            <w:hideMark/>
          </w:tcPr>
          <w:p w14:paraId="11314AAE"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3 July 2021</w:t>
            </w:r>
          </w:p>
        </w:tc>
        <w:tc>
          <w:tcPr>
            <w:tcW w:w="1340" w:type="dxa"/>
            <w:tcBorders>
              <w:top w:val="nil"/>
              <w:left w:val="nil"/>
              <w:bottom w:val="nil"/>
              <w:right w:val="single" w:sz="4" w:space="0" w:color="BFBFBF"/>
            </w:tcBorders>
            <w:shd w:val="clear" w:color="auto" w:fill="auto"/>
            <w:vAlign w:val="bottom"/>
            <w:hideMark/>
          </w:tcPr>
          <w:p w14:paraId="2B0AB3A1"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1 January 2022</w:t>
            </w:r>
          </w:p>
        </w:tc>
        <w:tc>
          <w:tcPr>
            <w:tcW w:w="222" w:type="dxa"/>
            <w:vAlign w:val="center"/>
            <w:hideMark/>
          </w:tcPr>
          <w:p w14:paraId="5499E6BA"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B26CCA" w:rsidRPr="00043DAE" w14:paraId="6D65D006" w14:textId="77777777" w:rsidTr="00B26CCA">
        <w:trPr>
          <w:trHeight w:val="300"/>
        </w:trPr>
        <w:tc>
          <w:tcPr>
            <w:tcW w:w="5000" w:type="dxa"/>
            <w:gridSpan w:val="4"/>
            <w:tcBorders>
              <w:top w:val="nil"/>
              <w:left w:val="single" w:sz="4" w:space="0" w:color="BFBFBF"/>
              <w:bottom w:val="nil"/>
              <w:right w:val="nil"/>
            </w:tcBorders>
            <w:shd w:val="clear" w:color="auto" w:fill="auto"/>
            <w:noWrap/>
            <w:vAlign w:val="bottom"/>
            <w:hideMark/>
          </w:tcPr>
          <w:p w14:paraId="2BC1C4A5" w14:textId="77777777" w:rsidR="00043DAE" w:rsidRPr="00043DAE" w:rsidRDefault="00043DAE" w:rsidP="00043DAE">
            <w:pPr>
              <w:spacing w:after="0" w:line="240" w:lineRule="auto"/>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Net retirement benefit asset (per balance sheet)</w:t>
            </w:r>
          </w:p>
        </w:tc>
        <w:tc>
          <w:tcPr>
            <w:tcW w:w="1521" w:type="dxa"/>
            <w:tcBorders>
              <w:top w:val="nil"/>
              <w:left w:val="nil"/>
              <w:bottom w:val="nil"/>
              <w:right w:val="nil"/>
            </w:tcBorders>
            <w:shd w:val="clear" w:color="auto" w:fill="auto"/>
            <w:noWrap/>
            <w:vAlign w:val="bottom"/>
            <w:hideMark/>
          </w:tcPr>
          <w:p w14:paraId="43A1AA42"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nil"/>
              <w:right w:val="nil"/>
            </w:tcBorders>
            <w:shd w:val="clear" w:color="auto" w:fill="auto"/>
            <w:noWrap/>
            <w:hideMark/>
          </w:tcPr>
          <w:p w14:paraId="2C0D8849"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(unaudited)</w:t>
            </w:r>
          </w:p>
        </w:tc>
        <w:tc>
          <w:tcPr>
            <w:tcW w:w="1220" w:type="dxa"/>
            <w:tcBorders>
              <w:top w:val="nil"/>
              <w:left w:val="nil"/>
              <w:bottom w:val="nil"/>
              <w:right w:val="nil"/>
            </w:tcBorders>
            <w:shd w:val="clear" w:color="auto" w:fill="auto"/>
            <w:hideMark/>
          </w:tcPr>
          <w:p w14:paraId="1E3217FC"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(unaudited)</w:t>
            </w:r>
          </w:p>
        </w:tc>
        <w:tc>
          <w:tcPr>
            <w:tcW w:w="1340" w:type="dxa"/>
            <w:tcBorders>
              <w:top w:val="nil"/>
              <w:left w:val="nil"/>
              <w:bottom w:val="nil"/>
              <w:right w:val="single" w:sz="4" w:space="0" w:color="BFBFBF"/>
            </w:tcBorders>
            <w:shd w:val="clear" w:color="auto" w:fill="auto"/>
            <w:noWrap/>
            <w:hideMark/>
          </w:tcPr>
          <w:p w14:paraId="02CEF29F"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(audited)</w:t>
            </w:r>
          </w:p>
        </w:tc>
        <w:tc>
          <w:tcPr>
            <w:tcW w:w="222" w:type="dxa"/>
            <w:vAlign w:val="center"/>
            <w:hideMark/>
          </w:tcPr>
          <w:p w14:paraId="583E6998"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00D14" w:rsidRPr="00043DAE" w14:paraId="0256B048" w14:textId="77777777" w:rsidTr="00B26CCA">
        <w:trPr>
          <w:trHeight w:val="240"/>
        </w:trPr>
        <w:tc>
          <w:tcPr>
            <w:tcW w:w="1600" w:type="dxa"/>
            <w:tcBorders>
              <w:top w:val="nil"/>
              <w:left w:val="single" w:sz="4" w:space="0" w:color="BFBFBF"/>
              <w:bottom w:val="single" w:sz="4" w:space="0" w:color="BFBFBF"/>
              <w:right w:val="nil"/>
            </w:tcBorders>
            <w:shd w:val="clear" w:color="auto" w:fill="auto"/>
            <w:noWrap/>
            <w:vAlign w:val="bottom"/>
            <w:hideMark/>
          </w:tcPr>
          <w:p w14:paraId="75EA64EC"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060" w:type="dxa"/>
            <w:tcBorders>
              <w:top w:val="nil"/>
              <w:left w:val="nil"/>
              <w:bottom w:val="single" w:sz="4" w:space="0" w:color="BFBFBF"/>
              <w:right w:val="nil"/>
            </w:tcBorders>
            <w:shd w:val="clear" w:color="auto" w:fill="auto"/>
            <w:noWrap/>
            <w:vAlign w:val="bottom"/>
            <w:hideMark/>
          </w:tcPr>
          <w:p w14:paraId="3C2E9D8F"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120" w:type="dxa"/>
            <w:tcBorders>
              <w:top w:val="nil"/>
              <w:left w:val="nil"/>
              <w:bottom w:val="single" w:sz="4" w:space="0" w:color="BFBFBF"/>
              <w:right w:val="nil"/>
            </w:tcBorders>
            <w:shd w:val="clear" w:color="auto" w:fill="auto"/>
            <w:noWrap/>
            <w:vAlign w:val="bottom"/>
            <w:hideMark/>
          </w:tcPr>
          <w:p w14:paraId="635F391C"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single" w:sz="4" w:space="0" w:color="BFBFBF"/>
              <w:right w:val="nil"/>
            </w:tcBorders>
            <w:shd w:val="clear" w:color="auto" w:fill="auto"/>
            <w:noWrap/>
            <w:vAlign w:val="bottom"/>
            <w:hideMark/>
          </w:tcPr>
          <w:p w14:paraId="571ECFEC"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single" w:sz="4" w:space="0" w:color="BFBFBF"/>
              <w:right w:val="nil"/>
            </w:tcBorders>
            <w:shd w:val="clear" w:color="auto" w:fill="auto"/>
            <w:noWrap/>
            <w:vAlign w:val="bottom"/>
            <w:hideMark/>
          </w:tcPr>
          <w:p w14:paraId="541B6806"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single" w:sz="4" w:space="0" w:color="BFBFBF"/>
              <w:right w:val="nil"/>
            </w:tcBorders>
            <w:shd w:val="clear" w:color="auto" w:fill="auto"/>
            <w:noWrap/>
            <w:vAlign w:val="bottom"/>
            <w:hideMark/>
          </w:tcPr>
          <w:p w14:paraId="3A729F79"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£m</w:t>
            </w:r>
          </w:p>
        </w:tc>
        <w:tc>
          <w:tcPr>
            <w:tcW w:w="1220" w:type="dxa"/>
            <w:tcBorders>
              <w:top w:val="nil"/>
              <w:left w:val="nil"/>
              <w:bottom w:val="single" w:sz="4" w:space="0" w:color="BFBFBF"/>
              <w:right w:val="nil"/>
            </w:tcBorders>
            <w:shd w:val="clear" w:color="auto" w:fill="auto"/>
            <w:noWrap/>
            <w:vAlign w:val="bottom"/>
            <w:hideMark/>
          </w:tcPr>
          <w:p w14:paraId="5A5CB102"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£m</w:t>
            </w:r>
          </w:p>
        </w:tc>
        <w:tc>
          <w:tcPr>
            <w:tcW w:w="1340" w:type="dxa"/>
            <w:tcBorders>
              <w:top w:val="nil"/>
              <w:left w:val="nil"/>
              <w:bottom w:val="single" w:sz="4" w:space="0" w:color="BFBFBF"/>
              <w:right w:val="single" w:sz="4" w:space="0" w:color="BFBFBF"/>
            </w:tcBorders>
            <w:shd w:val="clear" w:color="auto" w:fill="auto"/>
            <w:noWrap/>
            <w:vAlign w:val="bottom"/>
            <w:hideMark/>
          </w:tcPr>
          <w:p w14:paraId="30FF8194"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£m</w:t>
            </w:r>
          </w:p>
        </w:tc>
        <w:tc>
          <w:tcPr>
            <w:tcW w:w="222" w:type="dxa"/>
            <w:vAlign w:val="center"/>
            <w:hideMark/>
          </w:tcPr>
          <w:p w14:paraId="551ADB2A"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B26CCA" w:rsidRPr="00043DAE" w14:paraId="234ED00F" w14:textId="77777777" w:rsidTr="00B26CCA">
        <w:trPr>
          <w:trHeight w:val="270"/>
        </w:trPr>
        <w:tc>
          <w:tcPr>
            <w:tcW w:w="2660" w:type="dxa"/>
            <w:gridSpan w:val="2"/>
            <w:tcBorders>
              <w:top w:val="nil"/>
              <w:left w:val="nil"/>
              <w:bottom w:val="nil"/>
              <w:right w:val="nil"/>
            </w:tcBorders>
            <w:shd w:val="clear" w:color="000000" w:fill="FFFFFF"/>
            <w:noWrap/>
            <w:vAlign w:val="bottom"/>
            <w:hideMark/>
          </w:tcPr>
          <w:p w14:paraId="52B55B59"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Pension schemes in surplus</w:t>
            </w:r>
          </w:p>
        </w:tc>
        <w:tc>
          <w:tcPr>
            <w:tcW w:w="1120" w:type="dxa"/>
            <w:tcBorders>
              <w:top w:val="nil"/>
              <w:left w:val="nil"/>
              <w:bottom w:val="nil"/>
              <w:right w:val="nil"/>
            </w:tcBorders>
            <w:shd w:val="clear" w:color="000000" w:fill="FFFFFF"/>
            <w:hideMark/>
          </w:tcPr>
          <w:p w14:paraId="127E5116" w14:textId="77777777" w:rsidR="00043DAE" w:rsidRPr="00043DAE" w:rsidRDefault="00043DAE" w:rsidP="00043DAE">
            <w:pPr>
              <w:spacing w:after="0" w:line="240" w:lineRule="auto"/>
              <w:jc w:val="both"/>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nil"/>
              <w:right w:val="nil"/>
            </w:tcBorders>
            <w:shd w:val="clear" w:color="000000" w:fill="FFFFFF"/>
            <w:hideMark/>
          </w:tcPr>
          <w:p w14:paraId="12F964C1" w14:textId="77777777" w:rsidR="00043DAE" w:rsidRPr="00043DAE" w:rsidRDefault="00043DAE" w:rsidP="00043DAE">
            <w:pPr>
              <w:spacing w:after="0" w:line="240" w:lineRule="auto"/>
              <w:jc w:val="both"/>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nil"/>
              <w:right w:val="nil"/>
            </w:tcBorders>
            <w:shd w:val="clear" w:color="000000" w:fill="FFFFFF"/>
            <w:hideMark/>
          </w:tcPr>
          <w:p w14:paraId="049AF697" w14:textId="77777777" w:rsidR="00043DAE" w:rsidRPr="00043DAE" w:rsidRDefault="00043DAE" w:rsidP="00043DAE">
            <w:pPr>
              <w:spacing w:after="0" w:line="240" w:lineRule="auto"/>
              <w:jc w:val="both"/>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nil"/>
              <w:right w:val="nil"/>
            </w:tcBorders>
            <w:shd w:val="clear" w:color="auto" w:fill="CCECFF"/>
            <w:noWrap/>
            <w:vAlign w:val="bottom"/>
            <w:hideMark/>
          </w:tcPr>
          <w:p w14:paraId="47F2B45B"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 xml:space="preserve">2,464 </w:t>
            </w:r>
          </w:p>
        </w:tc>
        <w:tc>
          <w:tcPr>
            <w:tcW w:w="1220" w:type="dxa"/>
            <w:tcBorders>
              <w:top w:val="nil"/>
              <w:left w:val="nil"/>
              <w:bottom w:val="nil"/>
              <w:right w:val="nil"/>
            </w:tcBorders>
            <w:shd w:val="clear" w:color="000000" w:fill="FFFFFF"/>
            <w:noWrap/>
            <w:vAlign w:val="bottom"/>
            <w:hideMark/>
          </w:tcPr>
          <w:p w14:paraId="44FDD50F"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1,799 </w:t>
            </w:r>
          </w:p>
        </w:tc>
        <w:tc>
          <w:tcPr>
            <w:tcW w:w="1340" w:type="dxa"/>
            <w:tcBorders>
              <w:top w:val="nil"/>
              <w:left w:val="nil"/>
              <w:bottom w:val="nil"/>
              <w:right w:val="nil"/>
            </w:tcBorders>
            <w:shd w:val="clear" w:color="000000" w:fill="FFFFFF"/>
            <w:noWrap/>
            <w:vAlign w:val="bottom"/>
            <w:hideMark/>
          </w:tcPr>
          <w:p w14:paraId="58E37DA9"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2,262 </w:t>
            </w:r>
          </w:p>
        </w:tc>
        <w:tc>
          <w:tcPr>
            <w:tcW w:w="222" w:type="dxa"/>
            <w:vAlign w:val="center"/>
            <w:hideMark/>
          </w:tcPr>
          <w:p w14:paraId="2A5894BD"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B26CCA" w:rsidRPr="00043DAE" w14:paraId="5930E952" w14:textId="77777777" w:rsidTr="00B26CCA">
        <w:trPr>
          <w:trHeight w:val="270"/>
        </w:trPr>
        <w:tc>
          <w:tcPr>
            <w:tcW w:w="2660" w:type="dxa"/>
            <w:gridSpan w:val="2"/>
            <w:tcBorders>
              <w:top w:val="nil"/>
              <w:left w:val="nil"/>
              <w:bottom w:val="single" w:sz="4" w:space="0" w:color="BFBFBF"/>
              <w:right w:val="nil"/>
            </w:tcBorders>
            <w:shd w:val="clear" w:color="000000" w:fill="FFFFFF"/>
            <w:noWrap/>
            <w:vAlign w:val="bottom"/>
            <w:hideMark/>
          </w:tcPr>
          <w:p w14:paraId="2190882C"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Pension schemes in deficit</w:t>
            </w:r>
          </w:p>
        </w:tc>
        <w:tc>
          <w:tcPr>
            <w:tcW w:w="1120" w:type="dxa"/>
            <w:tcBorders>
              <w:top w:val="nil"/>
              <w:left w:val="nil"/>
              <w:bottom w:val="single" w:sz="4" w:space="0" w:color="BFBFBF"/>
              <w:right w:val="nil"/>
            </w:tcBorders>
            <w:shd w:val="clear" w:color="000000" w:fill="FFFFFF"/>
            <w:hideMark/>
          </w:tcPr>
          <w:p w14:paraId="40C4C6B8" w14:textId="77777777" w:rsidR="00043DAE" w:rsidRPr="00043DAE" w:rsidRDefault="00043DAE" w:rsidP="00043DAE">
            <w:pPr>
              <w:spacing w:after="0" w:line="240" w:lineRule="auto"/>
              <w:jc w:val="both"/>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single" w:sz="4" w:space="0" w:color="BFBFBF"/>
              <w:right w:val="nil"/>
            </w:tcBorders>
            <w:shd w:val="clear" w:color="000000" w:fill="FFFFFF"/>
            <w:hideMark/>
          </w:tcPr>
          <w:p w14:paraId="5808464D" w14:textId="77777777" w:rsidR="00043DAE" w:rsidRPr="00043DAE" w:rsidRDefault="00043DAE" w:rsidP="00043DAE">
            <w:pPr>
              <w:spacing w:after="0" w:line="240" w:lineRule="auto"/>
              <w:jc w:val="both"/>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single" w:sz="4" w:space="0" w:color="BFBFBF"/>
              <w:right w:val="nil"/>
            </w:tcBorders>
            <w:shd w:val="clear" w:color="000000" w:fill="FFFFFF"/>
            <w:hideMark/>
          </w:tcPr>
          <w:p w14:paraId="507DE06C" w14:textId="77777777" w:rsidR="00043DAE" w:rsidRPr="00043DAE" w:rsidRDefault="00043DAE" w:rsidP="00043DAE">
            <w:pPr>
              <w:spacing w:after="0" w:line="240" w:lineRule="auto"/>
              <w:jc w:val="both"/>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single" w:sz="4" w:space="0" w:color="BFBFBF"/>
              <w:right w:val="nil"/>
            </w:tcBorders>
            <w:shd w:val="clear" w:color="auto" w:fill="CCECFF"/>
            <w:noWrap/>
            <w:vAlign w:val="bottom"/>
            <w:hideMark/>
          </w:tcPr>
          <w:p w14:paraId="08177105"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(4)</w:t>
            </w:r>
          </w:p>
        </w:tc>
        <w:tc>
          <w:tcPr>
            <w:tcW w:w="1220" w:type="dxa"/>
            <w:tcBorders>
              <w:top w:val="nil"/>
              <w:left w:val="nil"/>
              <w:bottom w:val="single" w:sz="4" w:space="0" w:color="BFBFBF"/>
              <w:right w:val="nil"/>
            </w:tcBorders>
            <w:shd w:val="clear" w:color="000000" w:fill="FFFFFF"/>
            <w:noWrap/>
            <w:vAlign w:val="bottom"/>
            <w:hideMark/>
          </w:tcPr>
          <w:p w14:paraId="065781DF"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(13)</w:t>
            </w:r>
          </w:p>
        </w:tc>
        <w:tc>
          <w:tcPr>
            <w:tcW w:w="1340" w:type="dxa"/>
            <w:tcBorders>
              <w:top w:val="nil"/>
              <w:left w:val="nil"/>
              <w:bottom w:val="single" w:sz="4" w:space="0" w:color="BFBFBF"/>
              <w:right w:val="nil"/>
            </w:tcBorders>
            <w:shd w:val="clear" w:color="000000" w:fill="FFFFFF"/>
            <w:noWrap/>
            <w:vAlign w:val="bottom"/>
            <w:hideMark/>
          </w:tcPr>
          <w:p w14:paraId="661DEC33"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(4)</w:t>
            </w:r>
          </w:p>
        </w:tc>
        <w:tc>
          <w:tcPr>
            <w:tcW w:w="222" w:type="dxa"/>
            <w:vAlign w:val="center"/>
            <w:hideMark/>
          </w:tcPr>
          <w:p w14:paraId="24FB5677"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34634096" w14:textId="77777777" w:rsidTr="00B26CCA">
        <w:trPr>
          <w:trHeight w:val="270"/>
        </w:trPr>
        <w:tc>
          <w:tcPr>
            <w:tcW w:w="2660" w:type="dxa"/>
            <w:gridSpan w:val="2"/>
            <w:tcBorders>
              <w:top w:val="single" w:sz="4" w:space="0" w:color="BFBFBF"/>
              <w:left w:val="nil"/>
              <w:bottom w:val="single" w:sz="4" w:space="0" w:color="BFBFBF"/>
              <w:right w:val="nil"/>
            </w:tcBorders>
            <w:shd w:val="clear" w:color="000000" w:fill="FFFFFF"/>
            <w:noWrap/>
            <w:vAlign w:val="bottom"/>
            <w:hideMark/>
          </w:tcPr>
          <w:p w14:paraId="4473E3AD" w14:textId="77777777" w:rsidR="00043DAE" w:rsidRPr="00043DAE" w:rsidRDefault="00043DAE" w:rsidP="00043DAE">
            <w:pPr>
              <w:spacing w:after="0" w:line="240" w:lineRule="auto"/>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Closing net retirement benefit</w:t>
            </w:r>
          </w:p>
        </w:tc>
        <w:tc>
          <w:tcPr>
            <w:tcW w:w="1120" w:type="dxa"/>
            <w:tcBorders>
              <w:top w:val="nil"/>
              <w:left w:val="nil"/>
              <w:bottom w:val="single" w:sz="4" w:space="0" w:color="BFBFBF"/>
              <w:right w:val="nil"/>
            </w:tcBorders>
            <w:shd w:val="clear" w:color="000000" w:fill="FFFFFF"/>
            <w:noWrap/>
            <w:vAlign w:val="bottom"/>
            <w:hideMark/>
          </w:tcPr>
          <w:p w14:paraId="2CF24B7A" w14:textId="77777777" w:rsidR="00043DAE" w:rsidRPr="00043DAE" w:rsidRDefault="00043DAE" w:rsidP="00043DAE">
            <w:pPr>
              <w:spacing w:after="0" w:line="240" w:lineRule="auto"/>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 </w:t>
            </w:r>
          </w:p>
        </w:tc>
        <w:tc>
          <w:tcPr>
            <w:tcW w:w="1220" w:type="dxa"/>
            <w:tcBorders>
              <w:top w:val="nil"/>
              <w:left w:val="nil"/>
              <w:bottom w:val="single" w:sz="4" w:space="0" w:color="BFBFBF"/>
              <w:right w:val="nil"/>
            </w:tcBorders>
            <w:shd w:val="clear" w:color="000000" w:fill="FFFFFF"/>
            <w:noWrap/>
            <w:vAlign w:val="bottom"/>
            <w:hideMark/>
          </w:tcPr>
          <w:p w14:paraId="664642D0" w14:textId="77777777" w:rsidR="00043DAE" w:rsidRPr="00043DAE" w:rsidRDefault="00043DAE" w:rsidP="00043DAE">
            <w:pPr>
              <w:spacing w:after="0" w:line="240" w:lineRule="auto"/>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 </w:t>
            </w:r>
          </w:p>
        </w:tc>
        <w:tc>
          <w:tcPr>
            <w:tcW w:w="1521" w:type="dxa"/>
            <w:tcBorders>
              <w:top w:val="nil"/>
              <w:left w:val="nil"/>
              <w:bottom w:val="single" w:sz="4" w:space="0" w:color="BFBFBF"/>
              <w:right w:val="nil"/>
            </w:tcBorders>
            <w:shd w:val="clear" w:color="000000" w:fill="FFFFFF"/>
            <w:noWrap/>
            <w:vAlign w:val="bottom"/>
            <w:hideMark/>
          </w:tcPr>
          <w:p w14:paraId="307E07F2" w14:textId="77777777" w:rsidR="00043DAE" w:rsidRPr="00043DAE" w:rsidRDefault="00043DAE" w:rsidP="00043DAE">
            <w:pPr>
              <w:spacing w:after="0" w:line="240" w:lineRule="auto"/>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 </w:t>
            </w:r>
          </w:p>
        </w:tc>
        <w:tc>
          <w:tcPr>
            <w:tcW w:w="999" w:type="dxa"/>
            <w:tcBorders>
              <w:top w:val="nil"/>
              <w:left w:val="nil"/>
              <w:bottom w:val="single" w:sz="4" w:space="0" w:color="BFBFBF"/>
              <w:right w:val="nil"/>
            </w:tcBorders>
            <w:shd w:val="clear" w:color="auto" w:fill="CCECFF"/>
            <w:noWrap/>
            <w:vAlign w:val="bottom"/>
            <w:hideMark/>
          </w:tcPr>
          <w:p w14:paraId="6E039558"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 xml:space="preserve">2,460 </w:t>
            </w:r>
          </w:p>
        </w:tc>
        <w:tc>
          <w:tcPr>
            <w:tcW w:w="1220" w:type="dxa"/>
            <w:tcBorders>
              <w:top w:val="nil"/>
              <w:left w:val="nil"/>
              <w:bottom w:val="single" w:sz="4" w:space="0" w:color="BFBFBF"/>
              <w:right w:val="nil"/>
            </w:tcBorders>
            <w:shd w:val="clear" w:color="000000" w:fill="FFFFFF"/>
            <w:noWrap/>
            <w:vAlign w:val="bottom"/>
            <w:hideMark/>
          </w:tcPr>
          <w:p w14:paraId="1A854748"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1,786 </w:t>
            </w:r>
          </w:p>
        </w:tc>
        <w:tc>
          <w:tcPr>
            <w:tcW w:w="1340" w:type="dxa"/>
            <w:tcBorders>
              <w:top w:val="nil"/>
              <w:left w:val="nil"/>
              <w:bottom w:val="single" w:sz="4" w:space="0" w:color="BFBFBF"/>
              <w:right w:val="nil"/>
            </w:tcBorders>
            <w:shd w:val="clear" w:color="000000" w:fill="FFFFFF"/>
            <w:noWrap/>
            <w:vAlign w:val="bottom"/>
            <w:hideMark/>
          </w:tcPr>
          <w:p w14:paraId="060C67CE"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2,258 </w:t>
            </w:r>
          </w:p>
        </w:tc>
        <w:tc>
          <w:tcPr>
            <w:tcW w:w="222" w:type="dxa"/>
            <w:vAlign w:val="center"/>
            <w:hideMark/>
          </w:tcPr>
          <w:p w14:paraId="24F70ABA"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2CB1FBB5" w14:textId="77777777" w:rsidTr="00B26CCA">
        <w:trPr>
          <w:trHeight w:val="199"/>
        </w:trPr>
        <w:tc>
          <w:tcPr>
            <w:tcW w:w="1600" w:type="dxa"/>
            <w:tcBorders>
              <w:top w:val="nil"/>
              <w:left w:val="nil"/>
              <w:bottom w:val="nil"/>
              <w:right w:val="nil"/>
            </w:tcBorders>
            <w:shd w:val="clear" w:color="000000" w:fill="FFFFFF"/>
            <w:noWrap/>
            <w:vAlign w:val="bottom"/>
            <w:hideMark/>
          </w:tcPr>
          <w:p w14:paraId="5EB18B1D"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060" w:type="dxa"/>
            <w:tcBorders>
              <w:top w:val="nil"/>
              <w:left w:val="nil"/>
              <w:bottom w:val="nil"/>
              <w:right w:val="nil"/>
            </w:tcBorders>
            <w:shd w:val="clear" w:color="000000" w:fill="FFFFFF"/>
            <w:noWrap/>
            <w:vAlign w:val="bottom"/>
            <w:hideMark/>
          </w:tcPr>
          <w:p w14:paraId="5C32C275"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120" w:type="dxa"/>
            <w:tcBorders>
              <w:top w:val="nil"/>
              <w:left w:val="nil"/>
              <w:bottom w:val="nil"/>
              <w:right w:val="nil"/>
            </w:tcBorders>
            <w:shd w:val="clear" w:color="000000" w:fill="FFFFFF"/>
            <w:noWrap/>
            <w:vAlign w:val="bottom"/>
            <w:hideMark/>
          </w:tcPr>
          <w:p w14:paraId="225AE410"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220" w:type="dxa"/>
            <w:tcBorders>
              <w:top w:val="nil"/>
              <w:left w:val="nil"/>
              <w:bottom w:val="nil"/>
              <w:right w:val="nil"/>
            </w:tcBorders>
            <w:shd w:val="clear" w:color="000000" w:fill="FFFFFF"/>
            <w:noWrap/>
            <w:vAlign w:val="bottom"/>
            <w:hideMark/>
          </w:tcPr>
          <w:p w14:paraId="13EC0053"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521" w:type="dxa"/>
            <w:tcBorders>
              <w:top w:val="nil"/>
              <w:left w:val="nil"/>
              <w:bottom w:val="nil"/>
              <w:right w:val="nil"/>
            </w:tcBorders>
            <w:shd w:val="clear" w:color="000000" w:fill="FFFFFF"/>
            <w:noWrap/>
            <w:vAlign w:val="bottom"/>
            <w:hideMark/>
          </w:tcPr>
          <w:p w14:paraId="5FD520B4"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999" w:type="dxa"/>
            <w:tcBorders>
              <w:top w:val="nil"/>
              <w:left w:val="nil"/>
              <w:bottom w:val="nil"/>
              <w:right w:val="nil"/>
            </w:tcBorders>
            <w:shd w:val="clear" w:color="000000" w:fill="FFFFFF"/>
            <w:noWrap/>
            <w:vAlign w:val="bottom"/>
            <w:hideMark/>
          </w:tcPr>
          <w:p w14:paraId="0E548E35"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220" w:type="dxa"/>
            <w:tcBorders>
              <w:top w:val="nil"/>
              <w:left w:val="nil"/>
              <w:bottom w:val="nil"/>
              <w:right w:val="nil"/>
            </w:tcBorders>
            <w:shd w:val="clear" w:color="000000" w:fill="FFFFFF"/>
            <w:noWrap/>
            <w:vAlign w:val="bottom"/>
            <w:hideMark/>
          </w:tcPr>
          <w:p w14:paraId="5CE0418C"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1340" w:type="dxa"/>
            <w:tcBorders>
              <w:top w:val="nil"/>
              <w:left w:val="nil"/>
              <w:bottom w:val="nil"/>
              <w:right w:val="nil"/>
            </w:tcBorders>
            <w:shd w:val="clear" w:color="000000" w:fill="FFFFFF"/>
            <w:noWrap/>
            <w:vAlign w:val="bottom"/>
            <w:hideMark/>
          </w:tcPr>
          <w:p w14:paraId="223F7DD7" w14:textId="77777777" w:rsidR="00043DAE" w:rsidRPr="00043DAE" w:rsidRDefault="00043DAE" w:rsidP="00043DAE">
            <w:pPr>
              <w:spacing w:after="0" w:line="240" w:lineRule="auto"/>
              <w:rPr>
                <w:rFonts w:ascii="Arial" w:eastAsia="Times New Roman" w:hAnsi="Arial" w:cs="Arial"/>
                <w:b/>
                <w:bCs/>
                <w:sz w:val="18"/>
                <w:szCs w:val="18"/>
                <w:lang w:eastAsia="en-GB"/>
              </w:rPr>
            </w:pPr>
            <w:r w:rsidRPr="00043DAE">
              <w:rPr>
                <w:rFonts w:ascii="Arial" w:eastAsia="Times New Roman" w:hAnsi="Arial" w:cs="Arial"/>
                <w:b/>
                <w:bCs/>
                <w:sz w:val="18"/>
                <w:szCs w:val="18"/>
                <w:lang w:eastAsia="en-GB"/>
              </w:rPr>
              <w:t> </w:t>
            </w:r>
          </w:p>
        </w:tc>
        <w:tc>
          <w:tcPr>
            <w:tcW w:w="222" w:type="dxa"/>
            <w:vAlign w:val="center"/>
            <w:hideMark/>
          </w:tcPr>
          <w:p w14:paraId="78CB5CBF"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233E6C75" w14:textId="77777777" w:rsidTr="00B26CCA">
        <w:trPr>
          <w:trHeight w:val="465"/>
        </w:trPr>
        <w:tc>
          <w:tcPr>
            <w:tcW w:w="10080" w:type="dxa"/>
            <w:gridSpan w:val="8"/>
            <w:tcBorders>
              <w:top w:val="nil"/>
              <w:left w:val="nil"/>
              <w:bottom w:val="nil"/>
              <w:right w:val="nil"/>
            </w:tcBorders>
            <w:shd w:val="clear" w:color="auto" w:fill="auto"/>
            <w:vAlign w:val="center"/>
            <w:hideMark/>
          </w:tcPr>
          <w:p w14:paraId="43120D05"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The Group operates </w:t>
            </w:r>
            <w:proofErr w:type="gramStart"/>
            <w:r w:rsidRPr="00043DAE">
              <w:rPr>
                <w:rFonts w:ascii="Arial" w:eastAsia="Times New Roman" w:hAnsi="Arial" w:cs="Arial"/>
                <w:sz w:val="15"/>
                <w:szCs w:val="15"/>
                <w:lang w:eastAsia="en-GB"/>
              </w:rPr>
              <w:t>a number of</w:t>
            </w:r>
            <w:proofErr w:type="gramEnd"/>
            <w:r w:rsidRPr="00043DAE">
              <w:rPr>
                <w:rFonts w:ascii="Arial" w:eastAsia="Times New Roman" w:hAnsi="Arial" w:cs="Arial"/>
                <w:sz w:val="15"/>
                <w:szCs w:val="15"/>
                <w:lang w:eastAsia="en-GB"/>
              </w:rPr>
              <w:t xml:space="preserve"> defined benefit (DB) pension schemes, the assets of which are held in separate trustee-administered funds for the benefit of its employees and former employees. The Group also provides pension benefits through defined contribution (DC) arrangements. </w:t>
            </w:r>
          </w:p>
        </w:tc>
        <w:tc>
          <w:tcPr>
            <w:tcW w:w="222" w:type="dxa"/>
            <w:vAlign w:val="center"/>
            <w:hideMark/>
          </w:tcPr>
          <w:p w14:paraId="268A507C"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674AFC27" w14:textId="77777777" w:rsidTr="00B26CCA">
        <w:trPr>
          <w:trHeight w:val="818"/>
        </w:trPr>
        <w:tc>
          <w:tcPr>
            <w:tcW w:w="10080" w:type="dxa"/>
            <w:gridSpan w:val="8"/>
            <w:tcBorders>
              <w:top w:val="nil"/>
              <w:left w:val="nil"/>
              <w:bottom w:val="nil"/>
              <w:right w:val="nil"/>
            </w:tcBorders>
            <w:shd w:val="clear" w:color="auto" w:fill="auto"/>
            <w:vAlign w:val="center"/>
            <w:hideMark/>
          </w:tcPr>
          <w:p w14:paraId="2CD37BF4"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The main DB pension scheme for the Group is the Pace scheme which closed to future service accrual on 28 October 2015. The actuarial valuations for the Pace scheme have been updated to 2 July 2022 in accordance with IAS 19. Valuations for the Somerfield and United schemes have also been updated for the 2022 interim financial statements.  </w:t>
            </w:r>
          </w:p>
        </w:tc>
        <w:tc>
          <w:tcPr>
            <w:tcW w:w="222" w:type="dxa"/>
            <w:vAlign w:val="center"/>
            <w:hideMark/>
          </w:tcPr>
          <w:p w14:paraId="48470300"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3DBA2DC3" w14:textId="77777777" w:rsidTr="00B26CCA">
        <w:trPr>
          <w:trHeight w:val="349"/>
        </w:trPr>
        <w:tc>
          <w:tcPr>
            <w:tcW w:w="1600" w:type="dxa"/>
            <w:tcBorders>
              <w:top w:val="nil"/>
              <w:left w:val="nil"/>
              <w:bottom w:val="nil"/>
              <w:right w:val="nil"/>
            </w:tcBorders>
            <w:shd w:val="clear" w:color="000000" w:fill="FFFFFF"/>
            <w:noWrap/>
            <w:vAlign w:val="bottom"/>
            <w:hideMark/>
          </w:tcPr>
          <w:p w14:paraId="42B84640" w14:textId="77777777" w:rsidR="00043DAE" w:rsidRPr="00043DAE" w:rsidRDefault="00043DAE" w:rsidP="00043DAE">
            <w:pPr>
              <w:spacing w:after="0" w:line="240" w:lineRule="auto"/>
              <w:rPr>
                <w:rFonts w:ascii="Arial" w:eastAsia="Times New Roman" w:hAnsi="Arial" w:cs="Arial"/>
                <w:sz w:val="14"/>
                <w:szCs w:val="14"/>
                <w:lang w:eastAsia="en-GB"/>
              </w:rPr>
            </w:pPr>
            <w:r w:rsidRPr="00043DAE">
              <w:rPr>
                <w:rFonts w:ascii="Arial" w:eastAsia="Times New Roman" w:hAnsi="Arial" w:cs="Arial"/>
                <w:sz w:val="14"/>
                <w:szCs w:val="14"/>
                <w:lang w:eastAsia="en-GB"/>
              </w:rPr>
              <w:t> </w:t>
            </w:r>
          </w:p>
        </w:tc>
        <w:tc>
          <w:tcPr>
            <w:tcW w:w="1060" w:type="dxa"/>
            <w:tcBorders>
              <w:top w:val="nil"/>
              <w:left w:val="nil"/>
              <w:bottom w:val="nil"/>
              <w:right w:val="nil"/>
            </w:tcBorders>
            <w:shd w:val="clear" w:color="000000" w:fill="FFFFFF"/>
            <w:noWrap/>
            <w:vAlign w:val="bottom"/>
            <w:hideMark/>
          </w:tcPr>
          <w:p w14:paraId="326BD62C" w14:textId="77777777" w:rsidR="00043DAE" w:rsidRPr="00043DAE" w:rsidRDefault="00043DAE" w:rsidP="00043DAE">
            <w:pPr>
              <w:spacing w:after="0" w:line="240" w:lineRule="auto"/>
              <w:rPr>
                <w:rFonts w:ascii="Arial" w:eastAsia="Times New Roman" w:hAnsi="Arial" w:cs="Arial"/>
                <w:sz w:val="14"/>
                <w:szCs w:val="14"/>
                <w:lang w:eastAsia="en-GB"/>
              </w:rPr>
            </w:pPr>
            <w:r w:rsidRPr="00043DAE">
              <w:rPr>
                <w:rFonts w:ascii="Arial" w:eastAsia="Times New Roman" w:hAnsi="Arial" w:cs="Arial"/>
                <w:sz w:val="14"/>
                <w:szCs w:val="14"/>
                <w:lang w:eastAsia="en-GB"/>
              </w:rPr>
              <w:t> </w:t>
            </w:r>
          </w:p>
        </w:tc>
        <w:tc>
          <w:tcPr>
            <w:tcW w:w="1120" w:type="dxa"/>
            <w:tcBorders>
              <w:top w:val="nil"/>
              <w:left w:val="nil"/>
              <w:bottom w:val="nil"/>
              <w:right w:val="nil"/>
            </w:tcBorders>
            <w:shd w:val="clear" w:color="000000" w:fill="FFFFFF"/>
            <w:noWrap/>
            <w:vAlign w:val="bottom"/>
            <w:hideMark/>
          </w:tcPr>
          <w:p w14:paraId="6E04366A" w14:textId="77777777" w:rsidR="00043DAE" w:rsidRPr="00043DAE" w:rsidRDefault="00043DAE" w:rsidP="00043DAE">
            <w:pPr>
              <w:spacing w:after="0" w:line="240" w:lineRule="auto"/>
              <w:rPr>
                <w:rFonts w:ascii="Arial" w:eastAsia="Times New Roman" w:hAnsi="Arial" w:cs="Arial"/>
                <w:sz w:val="14"/>
                <w:szCs w:val="14"/>
                <w:lang w:eastAsia="en-GB"/>
              </w:rPr>
            </w:pPr>
            <w:r w:rsidRPr="00043DAE">
              <w:rPr>
                <w:rFonts w:ascii="Arial" w:eastAsia="Times New Roman" w:hAnsi="Arial" w:cs="Arial"/>
                <w:sz w:val="14"/>
                <w:szCs w:val="14"/>
                <w:lang w:eastAsia="en-GB"/>
              </w:rPr>
              <w:t> </w:t>
            </w:r>
          </w:p>
        </w:tc>
        <w:tc>
          <w:tcPr>
            <w:tcW w:w="1220" w:type="dxa"/>
            <w:tcBorders>
              <w:top w:val="nil"/>
              <w:left w:val="nil"/>
              <w:bottom w:val="nil"/>
              <w:right w:val="nil"/>
            </w:tcBorders>
            <w:shd w:val="clear" w:color="000000" w:fill="FFFFFF"/>
            <w:noWrap/>
            <w:vAlign w:val="bottom"/>
            <w:hideMark/>
          </w:tcPr>
          <w:p w14:paraId="32A877F2" w14:textId="77777777" w:rsidR="00043DAE" w:rsidRPr="00043DAE" w:rsidRDefault="00043DAE" w:rsidP="00043DAE">
            <w:pPr>
              <w:spacing w:after="0" w:line="240" w:lineRule="auto"/>
              <w:rPr>
                <w:rFonts w:ascii="Arial" w:eastAsia="Times New Roman" w:hAnsi="Arial" w:cs="Arial"/>
                <w:sz w:val="14"/>
                <w:szCs w:val="14"/>
                <w:lang w:eastAsia="en-GB"/>
              </w:rPr>
            </w:pPr>
            <w:r w:rsidRPr="00043DAE">
              <w:rPr>
                <w:rFonts w:ascii="Arial" w:eastAsia="Times New Roman" w:hAnsi="Arial" w:cs="Arial"/>
                <w:sz w:val="14"/>
                <w:szCs w:val="14"/>
                <w:lang w:eastAsia="en-GB"/>
              </w:rPr>
              <w:t> </w:t>
            </w:r>
          </w:p>
        </w:tc>
        <w:tc>
          <w:tcPr>
            <w:tcW w:w="1521" w:type="dxa"/>
            <w:tcBorders>
              <w:top w:val="nil"/>
              <w:left w:val="nil"/>
              <w:bottom w:val="nil"/>
              <w:right w:val="nil"/>
            </w:tcBorders>
            <w:shd w:val="clear" w:color="000000" w:fill="FFFFFF"/>
            <w:noWrap/>
            <w:vAlign w:val="bottom"/>
            <w:hideMark/>
          </w:tcPr>
          <w:p w14:paraId="040E4713" w14:textId="77777777" w:rsidR="00043DAE" w:rsidRPr="00043DAE" w:rsidRDefault="00043DAE" w:rsidP="00043DAE">
            <w:pPr>
              <w:spacing w:after="0" w:line="240" w:lineRule="auto"/>
              <w:rPr>
                <w:rFonts w:ascii="Arial" w:eastAsia="Times New Roman" w:hAnsi="Arial" w:cs="Arial"/>
                <w:sz w:val="14"/>
                <w:szCs w:val="14"/>
                <w:lang w:eastAsia="en-GB"/>
              </w:rPr>
            </w:pPr>
            <w:r w:rsidRPr="00043DAE">
              <w:rPr>
                <w:rFonts w:ascii="Arial" w:eastAsia="Times New Roman" w:hAnsi="Arial" w:cs="Arial"/>
                <w:sz w:val="14"/>
                <w:szCs w:val="14"/>
                <w:lang w:eastAsia="en-GB"/>
              </w:rPr>
              <w:t> </w:t>
            </w:r>
          </w:p>
        </w:tc>
        <w:tc>
          <w:tcPr>
            <w:tcW w:w="999" w:type="dxa"/>
            <w:tcBorders>
              <w:top w:val="nil"/>
              <w:left w:val="nil"/>
              <w:bottom w:val="nil"/>
              <w:right w:val="nil"/>
            </w:tcBorders>
            <w:shd w:val="clear" w:color="000000" w:fill="FFFFFF"/>
            <w:noWrap/>
            <w:vAlign w:val="bottom"/>
            <w:hideMark/>
          </w:tcPr>
          <w:p w14:paraId="32C9544F" w14:textId="77777777" w:rsidR="00043DAE" w:rsidRPr="00043DAE" w:rsidRDefault="00043DAE" w:rsidP="00043DAE">
            <w:pPr>
              <w:spacing w:after="0" w:line="240" w:lineRule="auto"/>
              <w:rPr>
                <w:rFonts w:ascii="Arial" w:eastAsia="Times New Roman" w:hAnsi="Arial" w:cs="Arial"/>
                <w:sz w:val="14"/>
                <w:szCs w:val="14"/>
                <w:lang w:eastAsia="en-GB"/>
              </w:rPr>
            </w:pPr>
            <w:r w:rsidRPr="00043DAE">
              <w:rPr>
                <w:rFonts w:ascii="Arial" w:eastAsia="Times New Roman" w:hAnsi="Arial" w:cs="Arial"/>
                <w:sz w:val="14"/>
                <w:szCs w:val="14"/>
                <w:lang w:eastAsia="en-GB"/>
              </w:rPr>
              <w:t> </w:t>
            </w:r>
          </w:p>
        </w:tc>
        <w:tc>
          <w:tcPr>
            <w:tcW w:w="1220" w:type="dxa"/>
            <w:tcBorders>
              <w:top w:val="nil"/>
              <w:left w:val="nil"/>
              <w:bottom w:val="nil"/>
              <w:right w:val="nil"/>
            </w:tcBorders>
            <w:shd w:val="clear" w:color="000000" w:fill="FFFFFF"/>
            <w:noWrap/>
            <w:vAlign w:val="bottom"/>
            <w:hideMark/>
          </w:tcPr>
          <w:p w14:paraId="70B41B36" w14:textId="77777777" w:rsidR="00043DAE" w:rsidRPr="00043DAE" w:rsidRDefault="00043DAE" w:rsidP="00043DAE">
            <w:pPr>
              <w:spacing w:after="0" w:line="240" w:lineRule="auto"/>
              <w:rPr>
                <w:rFonts w:ascii="Arial" w:eastAsia="Times New Roman" w:hAnsi="Arial" w:cs="Arial"/>
                <w:sz w:val="14"/>
                <w:szCs w:val="14"/>
                <w:lang w:eastAsia="en-GB"/>
              </w:rPr>
            </w:pPr>
            <w:r w:rsidRPr="00043DAE">
              <w:rPr>
                <w:rFonts w:ascii="Arial" w:eastAsia="Times New Roman" w:hAnsi="Arial" w:cs="Arial"/>
                <w:sz w:val="14"/>
                <w:szCs w:val="14"/>
                <w:lang w:eastAsia="en-GB"/>
              </w:rPr>
              <w:t> </w:t>
            </w:r>
          </w:p>
        </w:tc>
        <w:tc>
          <w:tcPr>
            <w:tcW w:w="1340" w:type="dxa"/>
            <w:tcBorders>
              <w:top w:val="nil"/>
              <w:left w:val="nil"/>
              <w:bottom w:val="nil"/>
              <w:right w:val="nil"/>
            </w:tcBorders>
            <w:shd w:val="clear" w:color="000000" w:fill="FFFFFF"/>
            <w:noWrap/>
            <w:vAlign w:val="bottom"/>
            <w:hideMark/>
          </w:tcPr>
          <w:p w14:paraId="4884CF84" w14:textId="77777777" w:rsidR="00043DAE" w:rsidRPr="00043DAE" w:rsidRDefault="00043DAE" w:rsidP="00043DAE">
            <w:pPr>
              <w:spacing w:after="0" w:line="240" w:lineRule="auto"/>
              <w:rPr>
                <w:rFonts w:ascii="Arial" w:eastAsia="Times New Roman" w:hAnsi="Arial" w:cs="Arial"/>
                <w:sz w:val="14"/>
                <w:szCs w:val="14"/>
                <w:lang w:eastAsia="en-GB"/>
              </w:rPr>
            </w:pPr>
            <w:r w:rsidRPr="00043DAE">
              <w:rPr>
                <w:rFonts w:ascii="Arial" w:eastAsia="Times New Roman" w:hAnsi="Arial" w:cs="Arial"/>
                <w:sz w:val="14"/>
                <w:szCs w:val="14"/>
                <w:lang w:eastAsia="en-GB"/>
              </w:rPr>
              <w:t> </w:t>
            </w:r>
          </w:p>
        </w:tc>
        <w:tc>
          <w:tcPr>
            <w:tcW w:w="222" w:type="dxa"/>
            <w:vAlign w:val="center"/>
            <w:hideMark/>
          </w:tcPr>
          <w:p w14:paraId="2A19E02F"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00D14" w:rsidRPr="00043DAE" w14:paraId="640A1548" w14:textId="77777777" w:rsidTr="00B26CCA">
        <w:trPr>
          <w:trHeight w:val="240"/>
        </w:trPr>
        <w:tc>
          <w:tcPr>
            <w:tcW w:w="1600" w:type="dxa"/>
            <w:vMerge w:val="restart"/>
            <w:tcBorders>
              <w:top w:val="single" w:sz="4" w:space="0" w:color="BFBFBF"/>
              <w:left w:val="single" w:sz="4" w:space="0" w:color="BFBFBF"/>
              <w:bottom w:val="single" w:sz="4" w:space="0" w:color="BFBFBF"/>
              <w:right w:val="nil"/>
            </w:tcBorders>
            <w:shd w:val="clear" w:color="auto" w:fill="auto"/>
            <w:noWrap/>
            <w:vAlign w:val="center"/>
            <w:hideMark/>
          </w:tcPr>
          <w:p w14:paraId="2A7A5EA5" w14:textId="77777777" w:rsidR="00043DAE" w:rsidRPr="00043DAE" w:rsidRDefault="00043DAE" w:rsidP="00043DAE">
            <w:pPr>
              <w:spacing w:after="0" w:line="240" w:lineRule="auto"/>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Assumptions</w:t>
            </w:r>
          </w:p>
        </w:tc>
        <w:tc>
          <w:tcPr>
            <w:tcW w:w="1060" w:type="dxa"/>
            <w:tcBorders>
              <w:top w:val="single" w:sz="4" w:space="0" w:color="BFBFBF"/>
              <w:left w:val="nil"/>
              <w:bottom w:val="nil"/>
              <w:right w:val="nil"/>
            </w:tcBorders>
            <w:shd w:val="clear" w:color="auto" w:fill="auto"/>
            <w:noWrap/>
            <w:vAlign w:val="bottom"/>
            <w:hideMark/>
          </w:tcPr>
          <w:p w14:paraId="338D9A63"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120" w:type="dxa"/>
            <w:tcBorders>
              <w:top w:val="single" w:sz="4" w:space="0" w:color="BFBFBF"/>
              <w:left w:val="nil"/>
              <w:bottom w:val="nil"/>
              <w:right w:val="nil"/>
            </w:tcBorders>
            <w:shd w:val="clear" w:color="auto" w:fill="auto"/>
            <w:noWrap/>
            <w:vAlign w:val="bottom"/>
            <w:hideMark/>
          </w:tcPr>
          <w:p w14:paraId="5A689584"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single" w:sz="4" w:space="0" w:color="BFBFBF"/>
              <w:left w:val="nil"/>
              <w:bottom w:val="nil"/>
              <w:right w:val="nil"/>
            </w:tcBorders>
            <w:shd w:val="clear" w:color="auto" w:fill="auto"/>
            <w:noWrap/>
            <w:vAlign w:val="bottom"/>
            <w:hideMark/>
          </w:tcPr>
          <w:p w14:paraId="793CC2B7"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single" w:sz="4" w:space="0" w:color="BFBFBF"/>
              <w:left w:val="nil"/>
              <w:bottom w:val="nil"/>
              <w:right w:val="nil"/>
            </w:tcBorders>
            <w:shd w:val="clear" w:color="auto" w:fill="auto"/>
            <w:noWrap/>
            <w:vAlign w:val="bottom"/>
            <w:hideMark/>
          </w:tcPr>
          <w:p w14:paraId="2B06D78D"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single" w:sz="4" w:space="0" w:color="BFBFBF"/>
              <w:left w:val="nil"/>
              <w:bottom w:val="nil"/>
              <w:right w:val="nil"/>
            </w:tcBorders>
            <w:shd w:val="clear" w:color="auto" w:fill="auto"/>
            <w:vAlign w:val="bottom"/>
            <w:hideMark/>
          </w:tcPr>
          <w:p w14:paraId="4087F372"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2 July 2022</w:t>
            </w:r>
          </w:p>
        </w:tc>
        <w:tc>
          <w:tcPr>
            <w:tcW w:w="1220" w:type="dxa"/>
            <w:tcBorders>
              <w:top w:val="single" w:sz="4" w:space="0" w:color="BFBFBF"/>
              <w:left w:val="nil"/>
              <w:bottom w:val="nil"/>
              <w:right w:val="nil"/>
            </w:tcBorders>
            <w:shd w:val="clear" w:color="auto" w:fill="auto"/>
            <w:vAlign w:val="bottom"/>
            <w:hideMark/>
          </w:tcPr>
          <w:p w14:paraId="3A93313C"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3 July 2021</w:t>
            </w:r>
          </w:p>
        </w:tc>
        <w:tc>
          <w:tcPr>
            <w:tcW w:w="1340" w:type="dxa"/>
            <w:tcBorders>
              <w:top w:val="single" w:sz="4" w:space="0" w:color="BFBFBF"/>
              <w:left w:val="nil"/>
              <w:bottom w:val="nil"/>
              <w:right w:val="single" w:sz="4" w:space="0" w:color="BFBFBF"/>
            </w:tcBorders>
            <w:shd w:val="clear" w:color="auto" w:fill="auto"/>
            <w:vAlign w:val="bottom"/>
            <w:hideMark/>
          </w:tcPr>
          <w:p w14:paraId="3BD495F3"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1 January 2022</w:t>
            </w:r>
          </w:p>
        </w:tc>
        <w:tc>
          <w:tcPr>
            <w:tcW w:w="222" w:type="dxa"/>
            <w:vAlign w:val="center"/>
            <w:hideMark/>
          </w:tcPr>
          <w:p w14:paraId="65896C3C"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00D14" w:rsidRPr="00043DAE" w14:paraId="534B3C1E" w14:textId="77777777" w:rsidTr="00B26CCA">
        <w:trPr>
          <w:trHeight w:val="240"/>
        </w:trPr>
        <w:tc>
          <w:tcPr>
            <w:tcW w:w="1600" w:type="dxa"/>
            <w:vMerge/>
            <w:tcBorders>
              <w:top w:val="single" w:sz="4" w:space="0" w:color="BFBFBF"/>
              <w:left w:val="single" w:sz="4" w:space="0" w:color="BFBFBF"/>
              <w:bottom w:val="single" w:sz="4" w:space="0" w:color="BFBFBF"/>
              <w:right w:val="nil"/>
            </w:tcBorders>
            <w:shd w:val="clear" w:color="auto" w:fill="auto"/>
            <w:vAlign w:val="center"/>
            <w:hideMark/>
          </w:tcPr>
          <w:p w14:paraId="71DF630A" w14:textId="77777777" w:rsidR="00043DAE" w:rsidRPr="00043DAE" w:rsidRDefault="00043DAE" w:rsidP="00043DAE">
            <w:pPr>
              <w:spacing w:after="0" w:line="240" w:lineRule="auto"/>
              <w:rPr>
                <w:rFonts w:ascii="Arial" w:eastAsia="Times New Roman" w:hAnsi="Arial" w:cs="Arial"/>
                <w:b/>
                <w:bCs/>
                <w:sz w:val="15"/>
                <w:szCs w:val="15"/>
                <w:lang w:eastAsia="en-GB"/>
              </w:rPr>
            </w:pPr>
          </w:p>
        </w:tc>
        <w:tc>
          <w:tcPr>
            <w:tcW w:w="1060" w:type="dxa"/>
            <w:tcBorders>
              <w:top w:val="nil"/>
              <w:left w:val="nil"/>
              <w:bottom w:val="single" w:sz="4" w:space="0" w:color="BFBFBF"/>
              <w:right w:val="nil"/>
            </w:tcBorders>
            <w:shd w:val="clear" w:color="auto" w:fill="auto"/>
            <w:noWrap/>
            <w:vAlign w:val="bottom"/>
            <w:hideMark/>
          </w:tcPr>
          <w:p w14:paraId="21E76873"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120" w:type="dxa"/>
            <w:tcBorders>
              <w:top w:val="nil"/>
              <w:left w:val="nil"/>
              <w:bottom w:val="single" w:sz="4" w:space="0" w:color="BFBFBF"/>
              <w:right w:val="nil"/>
            </w:tcBorders>
            <w:shd w:val="clear" w:color="auto" w:fill="auto"/>
            <w:noWrap/>
            <w:vAlign w:val="bottom"/>
            <w:hideMark/>
          </w:tcPr>
          <w:p w14:paraId="459EDA52"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single" w:sz="4" w:space="0" w:color="BFBFBF"/>
              <w:right w:val="nil"/>
            </w:tcBorders>
            <w:shd w:val="clear" w:color="auto" w:fill="auto"/>
            <w:noWrap/>
            <w:vAlign w:val="bottom"/>
            <w:hideMark/>
          </w:tcPr>
          <w:p w14:paraId="7A2A4DC2"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single" w:sz="4" w:space="0" w:color="BFBFBF"/>
              <w:right w:val="nil"/>
            </w:tcBorders>
            <w:shd w:val="clear" w:color="auto" w:fill="auto"/>
            <w:noWrap/>
            <w:vAlign w:val="bottom"/>
            <w:hideMark/>
          </w:tcPr>
          <w:p w14:paraId="43F600BD"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single" w:sz="4" w:space="0" w:color="BFBFBF"/>
              <w:right w:val="nil"/>
            </w:tcBorders>
            <w:shd w:val="clear" w:color="auto" w:fill="auto"/>
            <w:noWrap/>
            <w:hideMark/>
          </w:tcPr>
          <w:p w14:paraId="4F8736D7"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(unaudited)</w:t>
            </w:r>
          </w:p>
        </w:tc>
        <w:tc>
          <w:tcPr>
            <w:tcW w:w="1220" w:type="dxa"/>
            <w:tcBorders>
              <w:top w:val="nil"/>
              <w:left w:val="nil"/>
              <w:bottom w:val="single" w:sz="4" w:space="0" w:color="BFBFBF"/>
              <w:right w:val="nil"/>
            </w:tcBorders>
            <w:shd w:val="clear" w:color="auto" w:fill="auto"/>
            <w:hideMark/>
          </w:tcPr>
          <w:p w14:paraId="114FAA54"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(unaudited)</w:t>
            </w:r>
          </w:p>
        </w:tc>
        <w:tc>
          <w:tcPr>
            <w:tcW w:w="1340" w:type="dxa"/>
            <w:tcBorders>
              <w:top w:val="nil"/>
              <w:left w:val="nil"/>
              <w:bottom w:val="single" w:sz="4" w:space="0" w:color="BFBFBF"/>
              <w:right w:val="single" w:sz="4" w:space="0" w:color="BFBFBF"/>
            </w:tcBorders>
            <w:shd w:val="clear" w:color="auto" w:fill="auto"/>
            <w:noWrap/>
            <w:hideMark/>
          </w:tcPr>
          <w:p w14:paraId="38461249"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(audited)</w:t>
            </w:r>
          </w:p>
        </w:tc>
        <w:tc>
          <w:tcPr>
            <w:tcW w:w="222" w:type="dxa"/>
            <w:vAlign w:val="center"/>
            <w:hideMark/>
          </w:tcPr>
          <w:p w14:paraId="73385614"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20664918" w14:textId="77777777" w:rsidTr="00B26CCA">
        <w:trPr>
          <w:trHeight w:val="349"/>
        </w:trPr>
        <w:tc>
          <w:tcPr>
            <w:tcW w:w="6521" w:type="dxa"/>
            <w:gridSpan w:val="5"/>
            <w:tcBorders>
              <w:top w:val="nil"/>
              <w:left w:val="nil"/>
              <w:bottom w:val="nil"/>
              <w:right w:val="nil"/>
            </w:tcBorders>
            <w:shd w:val="clear" w:color="000000" w:fill="FFFFFF"/>
            <w:noWrap/>
            <w:vAlign w:val="center"/>
            <w:hideMark/>
          </w:tcPr>
          <w:p w14:paraId="084E38AC"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The principal assumptions used to determine the liabilities of the Pace pension scheme were:</w:t>
            </w:r>
          </w:p>
        </w:tc>
        <w:tc>
          <w:tcPr>
            <w:tcW w:w="999" w:type="dxa"/>
            <w:tcBorders>
              <w:top w:val="nil"/>
              <w:left w:val="nil"/>
              <w:bottom w:val="nil"/>
              <w:right w:val="nil"/>
            </w:tcBorders>
            <w:shd w:val="clear" w:color="auto" w:fill="CCECFF"/>
            <w:noWrap/>
            <w:vAlign w:val="bottom"/>
            <w:hideMark/>
          </w:tcPr>
          <w:p w14:paraId="3BE0D5EF"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nil"/>
              <w:right w:val="nil"/>
            </w:tcBorders>
            <w:shd w:val="clear" w:color="000000" w:fill="FFFFFF"/>
            <w:noWrap/>
            <w:vAlign w:val="bottom"/>
            <w:hideMark/>
          </w:tcPr>
          <w:p w14:paraId="3B7BF52F"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340" w:type="dxa"/>
            <w:tcBorders>
              <w:top w:val="nil"/>
              <w:left w:val="nil"/>
              <w:bottom w:val="nil"/>
              <w:right w:val="nil"/>
            </w:tcBorders>
            <w:shd w:val="clear" w:color="000000" w:fill="FFFFFF"/>
            <w:noWrap/>
            <w:vAlign w:val="bottom"/>
            <w:hideMark/>
          </w:tcPr>
          <w:p w14:paraId="1D79F13B"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222" w:type="dxa"/>
            <w:vAlign w:val="center"/>
            <w:hideMark/>
          </w:tcPr>
          <w:p w14:paraId="6A282026"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B26CCA" w:rsidRPr="00043DAE" w14:paraId="1B0ADDD2" w14:textId="77777777" w:rsidTr="00B26CCA">
        <w:trPr>
          <w:trHeight w:val="270"/>
        </w:trPr>
        <w:tc>
          <w:tcPr>
            <w:tcW w:w="1600" w:type="dxa"/>
            <w:tcBorders>
              <w:top w:val="nil"/>
              <w:left w:val="nil"/>
              <w:bottom w:val="nil"/>
              <w:right w:val="nil"/>
            </w:tcBorders>
            <w:shd w:val="clear" w:color="000000" w:fill="FFFFFF"/>
            <w:noWrap/>
            <w:vAlign w:val="bottom"/>
            <w:hideMark/>
          </w:tcPr>
          <w:p w14:paraId="0F0ED7CB"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Discount rate</w:t>
            </w:r>
          </w:p>
        </w:tc>
        <w:tc>
          <w:tcPr>
            <w:tcW w:w="1060" w:type="dxa"/>
            <w:tcBorders>
              <w:top w:val="nil"/>
              <w:left w:val="nil"/>
              <w:bottom w:val="nil"/>
              <w:right w:val="nil"/>
            </w:tcBorders>
            <w:shd w:val="clear" w:color="000000" w:fill="FFFFFF"/>
            <w:noWrap/>
            <w:vAlign w:val="bottom"/>
            <w:hideMark/>
          </w:tcPr>
          <w:p w14:paraId="47793175"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120" w:type="dxa"/>
            <w:tcBorders>
              <w:top w:val="nil"/>
              <w:left w:val="nil"/>
              <w:bottom w:val="nil"/>
              <w:right w:val="nil"/>
            </w:tcBorders>
            <w:shd w:val="clear" w:color="000000" w:fill="FFFFFF"/>
            <w:noWrap/>
            <w:vAlign w:val="bottom"/>
            <w:hideMark/>
          </w:tcPr>
          <w:p w14:paraId="0F6B1D83"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nil"/>
              <w:right w:val="nil"/>
            </w:tcBorders>
            <w:shd w:val="clear" w:color="000000" w:fill="FFFFFF"/>
            <w:noWrap/>
            <w:vAlign w:val="bottom"/>
            <w:hideMark/>
          </w:tcPr>
          <w:p w14:paraId="1B57F36C"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nil"/>
              <w:right w:val="nil"/>
            </w:tcBorders>
            <w:shd w:val="clear" w:color="000000" w:fill="FFFFFF"/>
            <w:noWrap/>
            <w:vAlign w:val="bottom"/>
            <w:hideMark/>
          </w:tcPr>
          <w:p w14:paraId="18223EFE"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nil"/>
              <w:right w:val="nil"/>
            </w:tcBorders>
            <w:shd w:val="clear" w:color="auto" w:fill="CCECFF"/>
            <w:noWrap/>
            <w:vAlign w:val="bottom"/>
            <w:hideMark/>
          </w:tcPr>
          <w:p w14:paraId="74D7580F"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3.75%</w:t>
            </w:r>
          </w:p>
        </w:tc>
        <w:tc>
          <w:tcPr>
            <w:tcW w:w="1220" w:type="dxa"/>
            <w:tcBorders>
              <w:top w:val="nil"/>
              <w:left w:val="nil"/>
              <w:bottom w:val="nil"/>
              <w:right w:val="nil"/>
            </w:tcBorders>
            <w:shd w:val="clear" w:color="000000" w:fill="FFFFFF"/>
            <w:noWrap/>
            <w:vAlign w:val="bottom"/>
            <w:hideMark/>
          </w:tcPr>
          <w:p w14:paraId="045A23B9"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1.90%</w:t>
            </w:r>
          </w:p>
        </w:tc>
        <w:tc>
          <w:tcPr>
            <w:tcW w:w="1340" w:type="dxa"/>
            <w:tcBorders>
              <w:top w:val="nil"/>
              <w:left w:val="nil"/>
              <w:bottom w:val="nil"/>
              <w:right w:val="nil"/>
            </w:tcBorders>
            <w:shd w:val="clear" w:color="000000" w:fill="FFFFFF"/>
            <w:noWrap/>
            <w:vAlign w:val="bottom"/>
            <w:hideMark/>
          </w:tcPr>
          <w:p w14:paraId="111935D2"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1.90%</w:t>
            </w:r>
          </w:p>
        </w:tc>
        <w:tc>
          <w:tcPr>
            <w:tcW w:w="222" w:type="dxa"/>
            <w:vAlign w:val="center"/>
            <w:hideMark/>
          </w:tcPr>
          <w:p w14:paraId="0F3262F4"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B26CCA" w:rsidRPr="00043DAE" w14:paraId="7BF17B1D" w14:textId="77777777" w:rsidTr="00B26CCA">
        <w:trPr>
          <w:trHeight w:val="270"/>
        </w:trPr>
        <w:tc>
          <w:tcPr>
            <w:tcW w:w="1600" w:type="dxa"/>
            <w:tcBorders>
              <w:top w:val="nil"/>
              <w:left w:val="nil"/>
              <w:bottom w:val="nil"/>
              <w:right w:val="nil"/>
            </w:tcBorders>
            <w:shd w:val="clear" w:color="000000" w:fill="FFFFFF"/>
            <w:noWrap/>
            <w:vAlign w:val="bottom"/>
            <w:hideMark/>
          </w:tcPr>
          <w:p w14:paraId="0AEC7717"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RPI Inflation rate</w:t>
            </w:r>
          </w:p>
        </w:tc>
        <w:tc>
          <w:tcPr>
            <w:tcW w:w="1060" w:type="dxa"/>
            <w:tcBorders>
              <w:top w:val="nil"/>
              <w:left w:val="nil"/>
              <w:bottom w:val="nil"/>
              <w:right w:val="nil"/>
            </w:tcBorders>
            <w:shd w:val="clear" w:color="000000" w:fill="FFFFFF"/>
            <w:noWrap/>
            <w:vAlign w:val="bottom"/>
            <w:hideMark/>
          </w:tcPr>
          <w:p w14:paraId="2CA170DE"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120" w:type="dxa"/>
            <w:tcBorders>
              <w:top w:val="nil"/>
              <w:left w:val="nil"/>
              <w:bottom w:val="nil"/>
              <w:right w:val="nil"/>
            </w:tcBorders>
            <w:shd w:val="clear" w:color="000000" w:fill="FFFFFF"/>
            <w:noWrap/>
            <w:vAlign w:val="bottom"/>
            <w:hideMark/>
          </w:tcPr>
          <w:p w14:paraId="4873C160"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nil"/>
              <w:right w:val="nil"/>
            </w:tcBorders>
            <w:shd w:val="clear" w:color="000000" w:fill="FFFFFF"/>
            <w:noWrap/>
            <w:vAlign w:val="bottom"/>
            <w:hideMark/>
          </w:tcPr>
          <w:p w14:paraId="1BCE59B7"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nil"/>
              <w:right w:val="nil"/>
            </w:tcBorders>
            <w:shd w:val="clear" w:color="000000" w:fill="FFFFFF"/>
            <w:noWrap/>
            <w:vAlign w:val="bottom"/>
            <w:hideMark/>
          </w:tcPr>
          <w:p w14:paraId="56549327"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nil"/>
              <w:right w:val="nil"/>
            </w:tcBorders>
            <w:shd w:val="clear" w:color="auto" w:fill="CCECFF"/>
            <w:noWrap/>
            <w:vAlign w:val="bottom"/>
            <w:hideMark/>
          </w:tcPr>
          <w:p w14:paraId="059E1890"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3.38%</w:t>
            </w:r>
          </w:p>
        </w:tc>
        <w:tc>
          <w:tcPr>
            <w:tcW w:w="1220" w:type="dxa"/>
            <w:tcBorders>
              <w:top w:val="nil"/>
              <w:left w:val="nil"/>
              <w:bottom w:val="nil"/>
              <w:right w:val="nil"/>
            </w:tcBorders>
            <w:shd w:val="clear" w:color="000000" w:fill="FFFFFF"/>
            <w:noWrap/>
            <w:vAlign w:val="bottom"/>
            <w:hideMark/>
          </w:tcPr>
          <w:p w14:paraId="1D20F42D"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3.38%</w:t>
            </w:r>
          </w:p>
        </w:tc>
        <w:tc>
          <w:tcPr>
            <w:tcW w:w="1340" w:type="dxa"/>
            <w:tcBorders>
              <w:top w:val="nil"/>
              <w:left w:val="nil"/>
              <w:bottom w:val="nil"/>
              <w:right w:val="nil"/>
            </w:tcBorders>
            <w:shd w:val="clear" w:color="000000" w:fill="FFFFFF"/>
            <w:noWrap/>
            <w:vAlign w:val="bottom"/>
            <w:hideMark/>
          </w:tcPr>
          <w:p w14:paraId="14442E1A"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3.48%</w:t>
            </w:r>
          </w:p>
        </w:tc>
        <w:tc>
          <w:tcPr>
            <w:tcW w:w="222" w:type="dxa"/>
            <w:vAlign w:val="center"/>
            <w:hideMark/>
          </w:tcPr>
          <w:p w14:paraId="16A9676D"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3272E61B" w14:textId="77777777" w:rsidTr="00B26CCA">
        <w:trPr>
          <w:trHeight w:val="270"/>
        </w:trPr>
        <w:tc>
          <w:tcPr>
            <w:tcW w:w="5000" w:type="dxa"/>
            <w:gridSpan w:val="4"/>
            <w:tcBorders>
              <w:top w:val="nil"/>
              <w:left w:val="nil"/>
              <w:bottom w:val="nil"/>
              <w:right w:val="nil"/>
            </w:tcBorders>
            <w:shd w:val="clear" w:color="000000" w:fill="FFFFFF"/>
            <w:noWrap/>
            <w:vAlign w:val="bottom"/>
            <w:hideMark/>
          </w:tcPr>
          <w:p w14:paraId="7A0D026A"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Pension increases in payment (RPI capped at 5.0% p.a.)</w:t>
            </w:r>
          </w:p>
        </w:tc>
        <w:tc>
          <w:tcPr>
            <w:tcW w:w="1521" w:type="dxa"/>
            <w:tcBorders>
              <w:top w:val="nil"/>
              <w:left w:val="nil"/>
              <w:bottom w:val="nil"/>
              <w:right w:val="nil"/>
            </w:tcBorders>
            <w:shd w:val="clear" w:color="000000" w:fill="FFFFFF"/>
            <w:noWrap/>
            <w:vAlign w:val="bottom"/>
            <w:hideMark/>
          </w:tcPr>
          <w:p w14:paraId="60229883"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nil"/>
              <w:right w:val="nil"/>
            </w:tcBorders>
            <w:shd w:val="clear" w:color="auto" w:fill="CCECFF"/>
            <w:noWrap/>
            <w:vAlign w:val="bottom"/>
            <w:hideMark/>
          </w:tcPr>
          <w:p w14:paraId="2A41CB1C"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3.27%</w:t>
            </w:r>
          </w:p>
        </w:tc>
        <w:tc>
          <w:tcPr>
            <w:tcW w:w="1220" w:type="dxa"/>
            <w:tcBorders>
              <w:top w:val="nil"/>
              <w:left w:val="nil"/>
              <w:bottom w:val="nil"/>
              <w:right w:val="nil"/>
            </w:tcBorders>
            <w:shd w:val="clear" w:color="000000" w:fill="FFFFFF"/>
            <w:noWrap/>
            <w:vAlign w:val="bottom"/>
            <w:hideMark/>
          </w:tcPr>
          <w:p w14:paraId="3919ABC4"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3.29%</w:t>
            </w:r>
          </w:p>
        </w:tc>
        <w:tc>
          <w:tcPr>
            <w:tcW w:w="1340" w:type="dxa"/>
            <w:tcBorders>
              <w:top w:val="nil"/>
              <w:left w:val="nil"/>
              <w:bottom w:val="nil"/>
              <w:right w:val="nil"/>
            </w:tcBorders>
            <w:shd w:val="clear" w:color="000000" w:fill="FFFFFF"/>
            <w:noWrap/>
            <w:vAlign w:val="bottom"/>
            <w:hideMark/>
          </w:tcPr>
          <w:p w14:paraId="28DF59B1"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3.37%</w:t>
            </w:r>
          </w:p>
        </w:tc>
        <w:tc>
          <w:tcPr>
            <w:tcW w:w="222" w:type="dxa"/>
            <w:vAlign w:val="center"/>
            <w:hideMark/>
          </w:tcPr>
          <w:p w14:paraId="1B80ACD3"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5DF62DFB" w14:textId="77777777" w:rsidTr="00B26CCA">
        <w:trPr>
          <w:trHeight w:val="270"/>
        </w:trPr>
        <w:tc>
          <w:tcPr>
            <w:tcW w:w="2660" w:type="dxa"/>
            <w:gridSpan w:val="2"/>
            <w:tcBorders>
              <w:top w:val="nil"/>
              <w:left w:val="nil"/>
              <w:bottom w:val="single" w:sz="4" w:space="0" w:color="BFBFBF"/>
              <w:right w:val="nil"/>
            </w:tcBorders>
            <w:shd w:val="clear" w:color="000000" w:fill="FFFFFF"/>
            <w:noWrap/>
            <w:vAlign w:val="bottom"/>
            <w:hideMark/>
          </w:tcPr>
          <w:p w14:paraId="7CF27046"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Future salary increases</w:t>
            </w:r>
          </w:p>
        </w:tc>
        <w:tc>
          <w:tcPr>
            <w:tcW w:w="1120" w:type="dxa"/>
            <w:tcBorders>
              <w:top w:val="nil"/>
              <w:left w:val="nil"/>
              <w:bottom w:val="single" w:sz="4" w:space="0" w:color="BFBFBF"/>
              <w:right w:val="nil"/>
            </w:tcBorders>
            <w:shd w:val="clear" w:color="000000" w:fill="FFFFFF"/>
            <w:noWrap/>
            <w:vAlign w:val="bottom"/>
            <w:hideMark/>
          </w:tcPr>
          <w:p w14:paraId="7BCA1ECB"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single" w:sz="4" w:space="0" w:color="BFBFBF"/>
              <w:right w:val="nil"/>
            </w:tcBorders>
            <w:shd w:val="clear" w:color="000000" w:fill="FFFFFF"/>
            <w:noWrap/>
            <w:vAlign w:val="bottom"/>
            <w:hideMark/>
          </w:tcPr>
          <w:p w14:paraId="140C4B35"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single" w:sz="4" w:space="0" w:color="BFBFBF"/>
              <w:right w:val="nil"/>
            </w:tcBorders>
            <w:shd w:val="clear" w:color="000000" w:fill="FFFFFF"/>
            <w:noWrap/>
            <w:vAlign w:val="bottom"/>
            <w:hideMark/>
          </w:tcPr>
          <w:p w14:paraId="36ADF4AA"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single" w:sz="4" w:space="0" w:color="BFBFBF"/>
              <w:right w:val="nil"/>
            </w:tcBorders>
            <w:shd w:val="clear" w:color="auto" w:fill="CCECFF"/>
            <w:noWrap/>
            <w:vAlign w:val="bottom"/>
            <w:hideMark/>
          </w:tcPr>
          <w:p w14:paraId="4A8FF161"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3.63%</w:t>
            </w:r>
          </w:p>
        </w:tc>
        <w:tc>
          <w:tcPr>
            <w:tcW w:w="1220" w:type="dxa"/>
            <w:tcBorders>
              <w:top w:val="nil"/>
              <w:left w:val="nil"/>
              <w:bottom w:val="single" w:sz="4" w:space="0" w:color="BFBFBF"/>
              <w:right w:val="nil"/>
            </w:tcBorders>
            <w:shd w:val="clear" w:color="000000" w:fill="FFFFFF"/>
            <w:noWrap/>
            <w:vAlign w:val="bottom"/>
            <w:hideMark/>
          </w:tcPr>
          <w:p w14:paraId="0F2BE4FE"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3.63%</w:t>
            </w:r>
          </w:p>
        </w:tc>
        <w:tc>
          <w:tcPr>
            <w:tcW w:w="1340" w:type="dxa"/>
            <w:tcBorders>
              <w:top w:val="nil"/>
              <w:left w:val="nil"/>
              <w:bottom w:val="single" w:sz="4" w:space="0" w:color="BFBFBF"/>
              <w:right w:val="nil"/>
            </w:tcBorders>
            <w:shd w:val="clear" w:color="000000" w:fill="FFFFFF"/>
            <w:noWrap/>
            <w:vAlign w:val="bottom"/>
            <w:hideMark/>
          </w:tcPr>
          <w:p w14:paraId="21FC9414"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3.73%</w:t>
            </w:r>
          </w:p>
        </w:tc>
        <w:tc>
          <w:tcPr>
            <w:tcW w:w="222" w:type="dxa"/>
            <w:vAlign w:val="center"/>
            <w:hideMark/>
          </w:tcPr>
          <w:p w14:paraId="71C998C2"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3BA7BBD2" w14:textId="77777777" w:rsidTr="00B26CCA">
        <w:trPr>
          <w:trHeight w:val="255"/>
        </w:trPr>
        <w:tc>
          <w:tcPr>
            <w:tcW w:w="1600" w:type="dxa"/>
            <w:tcBorders>
              <w:top w:val="nil"/>
              <w:left w:val="nil"/>
              <w:bottom w:val="nil"/>
              <w:right w:val="nil"/>
            </w:tcBorders>
            <w:shd w:val="clear" w:color="000000" w:fill="FFFFFF"/>
            <w:noWrap/>
            <w:hideMark/>
          </w:tcPr>
          <w:p w14:paraId="484ED86A"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060" w:type="dxa"/>
            <w:tcBorders>
              <w:top w:val="nil"/>
              <w:left w:val="nil"/>
              <w:bottom w:val="nil"/>
              <w:right w:val="nil"/>
            </w:tcBorders>
            <w:shd w:val="clear" w:color="000000" w:fill="FFFFFF"/>
            <w:noWrap/>
            <w:vAlign w:val="bottom"/>
            <w:hideMark/>
          </w:tcPr>
          <w:p w14:paraId="13D1395F"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120" w:type="dxa"/>
            <w:tcBorders>
              <w:top w:val="nil"/>
              <w:left w:val="nil"/>
              <w:bottom w:val="nil"/>
              <w:right w:val="nil"/>
            </w:tcBorders>
            <w:shd w:val="clear" w:color="000000" w:fill="FFFFFF"/>
            <w:noWrap/>
            <w:vAlign w:val="bottom"/>
            <w:hideMark/>
          </w:tcPr>
          <w:p w14:paraId="5C92A356"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nil"/>
              <w:right w:val="nil"/>
            </w:tcBorders>
            <w:shd w:val="clear" w:color="000000" w:fill="FFFFFF"/>
            <w:noWrap/>
            <w:vAlign w:val="bottom"/>
            <w:hideMark/>
          </w:tcPr>
          <w:p w14:paraId="0091126E"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nil"/>
              <w:right w:val="nil"/>
            </w:tcBorders>
            <w:shd w:val="clear" w:color="000000" w:fill="FFFFFF"/>
            <w:noWrap/>
            <w:vAlign w:val="bottom"/>
            <w:hideMark/>
          </w:tcPr>
          <w:p w14:paraId="587CC6EC"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nil"/>
              <w:right w:val="nil"/>
            </w:tcBorders>
            <w:shd w:val="clear" w:color="000000" w:fill="FFFFFF"/>
            <w:noWrap/>
            <w:vAlign w:val="bottom"/>
            <w:hideMark/>
          </w:tcPr>
          <w:p w14:paraId="45E83815"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nil"/>
              <w:right w:val="nil"/>
            </w:tcBorders>
            <w:shd w:val="clear" w:color="000000" w:fill="FFFFFF"/>
            <w:noWrap/>
            <w:vAlign w:val="bottom"/>
            <w:hideMark/>
          </w:tcPr>
          <w:p w14:paraId="78BC5597"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340" w:type="dxa"/>
            <w:tcBorders>
              <w:top w:val="nil"/>
              <w:left w:val="nil"/>
              <w:bottom w:val="nil"/>
              <w:right w:val="nil"/>
            </w:tcBorders>
            <w:shd w:val="clear" w:color="000000" w:fill="FFFFFF"/>
            <w:noWrap/>
            <w:hideMark/>
          </w:tcPr>
          <w:p w14:paraId="6C2C8B7F"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222" w:type="dxa"/>
            <w:vAlign w:val="center"/>
            <w:hideMark/>
          </w:tcPr>
          <w:p w14:paraId="03F07AE8"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16DC6637" w14:textId="77777777" w:rsidTr="00B26CCA">
        <w:trPr>
          <w:trHeight w:val="255"/>
        </w:trPr>
        <w:tc>
          <w:tcPr>
            <w:tcW w:w="1600" w:type="dxa"/>
            <w:tcBorders>
              <w:top w:val="nil"/>
              <w:left w:val="nil"/>
              <w:bottom w:val="nil"/>
              <w:right w:val="nil"/>
            </w:tcBorders>
            <w:shd w:val="clear" w:color="000000" w:fill="FFFFFF"/>
            <w:hideMark/>
          </w:tcPr>
          <w:p w14:paraId="2CDD4134" w14:textId="77777777" w:rsidR="00043DAE" w:rsidRPr="00043DAE" w:rsidRDefault="00043DAE" w:rsidP="00043DAE">
            <w:pPr>
              <w:spacing w:after="0" w:line="240" w:lineRule="auto"/>
              <w:jc w:val="both"/>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060" w:type="dxa"/>
            <w:tcBorders>
              <w:top w:val="nil"/>
              <w:left w:val="nil"/>
              <w:bottom w:val="nil"/>
              <w:right w:val="nil"/>
            </w:tcBorders>
            <w:shd w:val="clear" w:color="000000" w:fill="FFFFFF"/>
            <w:hideMark/>
          </w:tcPr>
          <w:p w14:paraId="3F1B4088" w14:textId="77777777" w:rsidR="00043DAE" w:rsidRPr="00043DAE" w:rsidRDefault="00043DAE" w:rsidP="00043DAE">
            <w:pPr>
              <w:spacing w:after="0" w:line="240" w:lineRule="auto"/>
              <w:jc w:val="both"/>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120" w:type="dxa"/>
            <w:tcBorders>
              <w:top w:val="nil"/>
              <w:left w:val="nil"/>
              <w:bottom w:val="nil"/>
              <w:right w:val="nil"/>
            </w:tcBorders>
            <w:shd w:val="clear" w:color="000000" w:fill="FFFFFF"/>
            <w:hideMark/>
          </w:tcPr>
          <w:p w14:paraId="138776AD" w14:textId="77777777" w:rsidR="00043DAE" w:rsidRPr="00043DAE" w:rsidRDefault="00043DAE" w:rsidP="00043DAE">
            <w:pPr>
              <w:spacing w:after="0" w:line="240" w:lineRule="auto"/>
              <w:jc w:val="both"/>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nil"/>
              <w:right w:val="nil"/>
            </w:tcBorders>
            <w:shd w:val="clear" w:color="000000" w:fill="FFFFFF"/>
            <w:hideMark/>
          </w:tcPr>
          <w:p w14:paraId="4EE09972" w14:textId="77777777" w:rsidR="00043DAE" w:rsidRPr="00043DAE" w:rsidRDefault="00043DAE" w:rsidP="00043DAE">
            <w:pPr>
              <w:spacing w:after="0" w:line="240" w:lineRule="auto"/>
              <w:jc w:val="both"/>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nil"/>
              <w:right w:val="nil"/>
            </w:tcBorders>
            <w:shd w:val="clear" w:color="000000" w:fill="FFFFFF"/>
            <w:hideMark/>
          </w:tcPr>
          <w:p w14:paraId="196B9903" w14:textId="77777777" w:rsidR="00043DAE" w:rsidRPr="00043DAE" w:rsidRDefault="00043DAE" w:rsidP="00043DAE">
            <w:pPr>
              <w:spacing w:after="0" w:line="240" w:lineRule="auto"/>
              <w:jc w:val="both"/>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nil"/>
              <w:right w:val="nil"/>
            </w:tcBorders>
            <w:shd w:val="clear" w:color="000000" w:fill="FFFFFF"/>
            <w:hideMark/>
          </w:tcPr>
          <w:p w14:paraId="4FD9BF76" w14:textId="77777777" w:rsidR="00043DAE" w:rsidRPr="00043DAE" w:rsidRDefault="00043DAE" w:rsidP="00043DAE">
            <w:pPr>
              <w:spacing w:after="0" w:line="240" w:lineRule="auto"/>
              <w:jc w:val="both"/>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nil"/>
              <w:right w:val="nil"/>
            </w:tcBorders>
            <w:shd w:val="clear" w:color="000000" w:fill="FFFFFF"/>
            <w:hideMark/>
          </w:tcPr>
          <w:p w14:paraId="6F92F49F" w14:textId="77777777" w:rsidR="00043DAE" w:rsidRPr="00043DAE" w:rsidRDefault="00043DAE" w:rsidP="00043DAE">
            <w:pPr>
              <w:spacing w:after="0" w:line="240" w:lineRule="auto"/>
              <w:jc w:val="both"/>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340" w:type="dxa"/>
            <w:tcBorders>
              <w:top w:val="nil"/>
              <w:left w:val="nil"/>
              <w:bottom w:val="nil"/>
              <w:right w:val="nil"/>
            </w:tcBorders>
            <w:shd w:val="clear" w:color="000000" w:fill="FFFFFF"/>
            <w:hideMark/>
          </w:tcPr>
          <w:p w14:paraId="73BF6108" w14:textId="77777777" w:rsidR="00043DAE" w:rsidRPr="00043DAE" w:rsidRDefault="00043DAE" w:rsidP="00043DAE">
            <w:pPr>
              <w:spacing w:after="0" w:line="240" w:lineRule="auto"/>
              <w:jc w:val="both"/>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222" w:type="dxa"/>
            <w:vAlign w:val="center"/>
            <w:hideMark/>
          </w:tcPr>
          <w:p w14:paraId="0FFA780E"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00D14" w:rsidRPr="00043DAE" w14:paraId="7466E008" w14:textId="77777777" w:rsidTr="00605D66">
        <w:trPr>
          <w:trHeight w:val="216"/>
        </w:trPr>
        <w:tc>
          <w:tcPr>
            <w:tcW w:w="1600" w:type="dxa"/>
            <w:tcBorders>
              <w:top w:val="single" w:sz="4" w:space="0" w:color="BFBFBF"/>
              <w:left w:val="single" w:sz="4" w:space="0" w:color="BFBFBF"/>
              <w:bottom w:val="nil"/>
              <w:right w:val="nil"/>
            </w:tcBorders>
            <w:shd w:val="clear" w:color="auto" w:fill="auto"/>
            <w:noWrap/>
            <w:vAlign w:val="bottom"/>
            <w:hideMark/>
          </w:tcPr>
          <w:p w14:paraId="2049F724"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060" w:type="dxa"/>
            <w:tcBorders>
              <w:top w:val="single" w:sz="4" w:space="0" w:color="BFBFBF"/>
              <w:left w:val="nil"/>
              <w:bottom w:val="nil"/>
              <w:right w:val="nil"/>
            </w:tcBorders>
            <w:shd w:val="clear" w:color="auto" w:fill="auto"/>
            <w:noWrap/>
            <w:vAlign w:val="bottom"/>
            <w:hideMark/>
          </w:tcPr>
          <w:p w14:paraId="509AEB88"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120" w:type="dxa"/>
            <w:tcBorders>
              <w:top w:val="single" w:sz="4" w:space="0" w:color="BFBFBF"/>
              <w:left w:val="nil"/>
              <w:bottom w:val="nil"/>
              <w:right w:val="nil"/>
            </w:tcBorders>
            <w:shd w:val="clear" w:color="auto" w:fill="auto"/>
            <w:noWrap/>
            <w:vAlign w:val="bottom"/>
            <w:hideMark/>
          </w:tcPr>
          <w:p w14:paraId="624A96DF"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single" w:sz="4" w:space="0" w:color="BFBFBF"/>
              <w:left w:val="nil"/>
              <w:bottom w:val="nil"/>
              <w:right w:val="nil"/>
            </w:tcBorders>
            <w:shd w:val="clear" w:color="auto" w:fill="auto"/>
            <w:noWrap/>
            <w:vAlign w:val="bottom"/>
            <w:hideMark/>
          </w:tcPr>
          <w:p w14:paraId="628ADA60"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single" w:sz="4" w:space="0" w:color="BFBFBF"/>
              <w:left w:val="nil"/>
              <w:bottom w:val="nil"/>
              <w:right w:val="nil"/>
            </w:tcBorders>
            <w:shd w:val="clear" w:color="auto" w:fill="auto"/>
            <w:noWrap/>
            <w:vAlign w:val="bottom"/>
            <w:hideMark/>
          </w:tcPr>
          <w:p w14:paraId="03E88E43"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single" w:sz="4" w:space="0" w:color="BFBFBF"/>
              <w:left w:val="nil"/>
              <w:bottom w:val="nil"/>
              <w:right w:val="nil"/>
            </w:tcBorders>
            <w:shd w:val="clear" w:color="auto" w:fill="auto"/>
            <w:vAlign w:val="bottom"/>
            <w:hideMark/>
          </w:tcPr>
          <w:p w14:paraId="0BA65DB6"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2 July 2022</w:t>
            </w:r>
          </w:p>
        </w:tc>
        <w:tc>
          <w:tcPr>
            <w:tcW w:w="1220" w:type="dxa"/>
            <w:tcBorders>
              <w:top w:val="single" w:sz="4" w:space="0" w:color="BFBFBF"/>
              <w:left w:val="nil"/>
              <w:bottom w:val="nil"/>
              <w:right w:val="nil"/>
            </w:tcBorders>
            <w:shd w:val="clear" w:color="auto" w:fill="auto"/>
            <w:vAlign w:val="bottom"/>
            <w:hideMark/>
          </w:tcPr>
          <w:p w14:paraId="0865B988"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3 July 2021</w:t>
            </w:r>
          </w:p>
        </w:tc>
        <w:tc>
          <w:tcPr>
            <w:tcW w:w="1340" w:type="dxa"/>
            <w:tcBorders>
              <w:top w:val="single" w:sz="4" w:space="0" w:color="BFBFBF"/>
              <w:left w:val="nil"/>
              <w:bottom w:val="nil"/>
              <w:right w:val="single" w:sz="4" w:space="0" w:color="BFBFBF"/>
            </w:tcBorders>
            <w:shd w:val="clear" w:color="auto" w:fill="auto"/>
            <w:vAlign w:val="bottom"/>
            <w:hideMark/>
          </w:tcPr>
          <w:p w14:paraId="418B428A"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1 January 2022</w:t>
            </w:r>
          </w:p>
        </w:tc>
        <w:tc>
          <w:tcPr>
            <w:tcW w:w="222" w:type="dxa"/>
            <w:vAlign w:val="center"/>
            <w:hideMark/>
          </w:tcPr>
          <w:p w14:paraId="16848173"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00D14" w:rsidRPr="00043DAE" w14:paraId="0858E76E" w14:textId="77777777" w:rsidTr="00B26CCA">
        <w:trPr>
          <w:trHeight w:val="240"/>
        </w:trPr>
        <w:tc>
          <w:tcPr>
            <w:tcW w:w="2660" w:type="dxa"/>
            <w:gridSpan w:val="2"/>
            <w:tcBorders>
              <w:top w:val="nil"/>
              <w:left w:val="single" w:sz="4" w:space="0" w:color="BFBFBF"/>
              <w:bottom w:val="nil"/>
              <w:right w:val="nil"/>
            </w:tcBorders>
            <w:shd w:val="clear" w:color="auto" w:fill="auto"/>
            <w:noWrap/>
            <w:vAlign w:val="bottom"/>
            <w:hideMark/>
          </w:tcPr>
          <w:p w14:paraId="29AD8925" w14:textId="77777777" w:rsidR="00043DAE" w:rsidRPr="00043DAE" w:rsidRDefault="00043DAE" w:rsidP="00043DAE">
            <w:pPr>
              <w:spacing w:after="0" w:line="240" w:lineRule="auto"/>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Net Retirement benefit asset</w:t>
            </w:r>
          </w:p>
        </w:tc>
        <w:tc>
          <w:tcPr>
            <w:tcW w:w="1120" w:type="dxa"/>
            <w:tcBorders>
              <w:top w:val="nil"/>
              <w:left w:val="nil"/>
              <w:bottom w:val="nil"/>
              <w:right w:val="nil"/>
            </w:tcBorders>
            <w:shd w:val="clear" w:color="auto" w:fill="auto"/>
            <w:noWrap/>
            <w:vAlign w:val="bottom"/>
            <w:hideMark/>
          </w:tcPr>
          <w:p w14:paraId="01731C33"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nil"/>
              <w:right w:val="nil"/>
            </w:tcBorders>
            <w:shd w:val="clear" w:color="auto" w:fill="auto"/>
            <w:noWrap/>
            <w:vAlign w:val="bottom"/>
            <w:hideMark/>
          </w:tcPr>
          <w:p w14:paraId="380D7624"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nil"/>
              <w:right w:val="nil"/>
            </w:tcBorders>
            <w:shd w:val="clear" w:color="auto" w:fill="auto"/>
            <w:noWrap/>
            <w:vAlign w:val="bottom"/>
            <w:hideMark/>
          </w:tcPr>
          <w:p w14:paraId="777A23F5"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nil"/>
              <w:right w:val="nil"/>
            </w:tcBorders>
            <w:shd w:val="clear" w:color="auto" w:fill="auto"/>
            <w:noWrap/>
            <w:vAlign w:val="bottom"/>
            <w:hideMark/>
          </w:tcPr>
          <w:p w14:paraId="23C2745A"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(unaudited)</w:t>
            </w:r>
          </w:p>
        </w:tc>
        <w:tc>
          <w:tcPr>
            <w:tcW w:w="1220" w:type="dxa"/>
            <w:tcBorders>
              <w:top w:val="nil"/>
              <w:left w:val="nil"/>
              <w:bottom w:val="nil"/>
              <w:right w:val="nil"/>
            </w:tcBorders>
            <w:shd w:val="clear" w:color="auto" w:fill="auto"/>
            <w:vAlign w:val="bottom"/>
            <w:hideMark/>
          </w:tcPr>
          <w:p w14:paraId="75F66E65"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(unaudited)</w:t>
            </w:r>
          </w:p>
        </w:tc>
        <w:tc>
          <w:tcPr>
            <w:tcW w:w="1340" w:type="dxa"/>
            <w:tcBorders>
              <w:top w:val="nil"/>
              <w:left w:val="nil"/>
              <w:bottom w:val="nil"/>
              <w:right w:val="single" w:sz="4" w:space="0" w:color="BFBFBF"/>
            </w:tcBorders>
            <w:shd w:val="clear" w:color="auto" w:fill="auto"/>
            <w:noWrap/>
            <w:vAlign w:val="bottom"/>
            <w:hideMark/>
          </w:tcPr>
          <w:p w14:paraId="09F60065"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(audited)</w:t>
            </w:r>
          </w:p>
        </w:tc>
        <w:tc>
          <w:tcPr>
            <w:tcW w:w="222" w:type="dxa"/>
            <w:vAlign w:val="center"/>
            <w:hideMark/>
          </w:tcPr>
          <w:p w14:paraId="3D79E527"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00D14" w:rsidRPr="00043DAE" w14:paraId="6898D018" w14:textId="77777777" w:rsidTr="00B26CCA">
        <w:trPr>
          <w:trHeight w:val="218"/>
        </w:trPr>
        <w:tc>
          <w:tcPr>
            <w:tcW w:w="1600" w:type="dxa"/>
            <w:tcBorders>
              <w:top w:val="nil"/>
              <w:left w:val="single" w:sz="4" w:space="0" w:color="BFBFBF"/>
              <w:bottom w:val="single" w:sz="4" w:space="0" w:color="BFBFBF"/>
              <w:right w:val="nil"/>
            </w:tcBorders>
            <w:shd w:val="clear" w:color="auto" w:fill="auto"/>
            <w:noWrap/>
            <w:vAlign w:val="bottom"/>
            <w:hideMark/>
          </w:tcPr>
          <w:p w14:paraId="55B32DC4"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060" w:type="dxa"/>
            <w:tcBorders>
              <w:top w:val="nil"/>
              <w:left w:val="nil"/>
              <w:bottom w:val="single" w:sz="4" w:space="0" w:color="BFBFBF"/>
              <w:right w:val="nil"/>
            </w:tcBorders>
            <w:shd w:val="clear" w:color="auto" w:fill="auto"/>
            <w:noWrap/>
            <w:vAlign w:val="bottom"/>
            <w:hideMark/>
          </w:tcPr>
          <w:p w14:paraId="55EFAAFE"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120" w:type="dxa"/>
            <w:tcBorders>
              <w:top w:val="nil"/>
              <w:left w:val="nil"/>
              <w:bottom w:val="single" w:sz="4" w:space="0" w:color="BFBFBF"/>
              <w:right w:val="nil"/>
            </w:tcBorders>
            <w:shd w:val="clear" w:color="auto" w:fill="auto"/>
            <w:noWrap/>
            <w:vAlign w:val="bottom"/>
            <w:hideMark/>
          </w:tcPr>
          <w:p w14:paraId="667FB69A"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single" w:sz="4" w:space="0" w:color="BFBFBF"/>
              <w:right w:val="nil"/>
            </w:tcBorders>
            <w:shd w:val="clear" w:color="auto" w:fill="auto"/>
            <w:noWrap/>
            <w:vAlign w:val="bottom"/>
            <w:hideMark/>
          </w:tcPr>
          <w:p w14:paraId="4C8D141A"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single" w:sz="4" w:space="0" w:color="BFBFBF"/>
              <w:right w:val="nil"/>
            </w:tcBorders>
            <w:shd w:val="clear" w:color="auto" w:fill="auto"/>
            <w:noWrap/>
            <w:vAlign w:val="bottom"/>
            <w:hideMark/>
          </w:tcPr>
          <w:p w14:paraId="5B490156"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single" w:sz="4" w:space="0" w:color="BFBFBF"/>
              <w:right w:val="nil"/>
            </w:tcBorders>
            <w:shd w:val="clear" w:color="auto" w:fill="auto"/>
            <w:noWrap/>
            <w:vAlign w:val="bottom"/>
            <w:hideMark/>
          </w:tcPr>
          <w:p w14:paraId="1AC51C8E"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£m</w:t>
            </w:r>
          </w:p>
        </w:tc>
        <w:tc>
          <w:tcPr>
            <w:tcW w:w="1220" w:type="dxa"/>
            <w:tcBorders>
              <w:top w:val="nil"/>
              <w:left w:val="nil"/>
              <w:bottom w:val="single" w:sz="4" w:space="0" w:color="BFBFBF"/>
              <w:right w:val="nil"/>
            </w:tcBorders>
            <w:shd w:val="clear" w:color="auto" w:fill="auto"/>
            <w:noWrap/>
            <w:vAlign w:val="bottom"/>
            <w:hideMark/>
          </w:tcPr>
          <w:p w14:paraId="16E54509"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£m</w:t>
            </w:r>
          </w:p>
        </w:tc>
        <w:tc>
          <w:tcPr>
            <w:tcW w:w="1340" w:type="dxa"/>
            <w:tcBorders>
              <w:top w:val="nil"/>
              <w:left w:val="nil"/>
              <w:bottom w:val="single" w:sz="4" w:space="0" w:color="BFBFBF"/>
              <w:right w:val="single" w:sz="4" w:space="0" w:color="BFBFBF"/>
            </w:tcBorders>
            <w:shd w:val="clear" w:color="auto" w:fill="auto"/>
            <w:noWrap/>
            <w:vAlign w:val="bottom"/>
            <w:hideMark/>
          </w:tcPr>
          <w:p w14:paraId="74962EC0"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£m</w:t>
            </w:r>
          </w:p>
        </w:tc>
        <w:tc>
          <w:tcPr>
            <w:tcW w:w="222" w:type="dxa"/>
            <w:vAlign w:val="center"/>
            <w:hideMark/>
          </w:tcPr>
          <w:p w14:paraId="408C7CB4"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B26CCA" w:rsidRPr="00043DAE" w14:paraId="69A845F6" w14:textId="77777777" w:rsidTr="00B26CCA">
        <w:trPr>
          <w:trHeight w:val="53"/>
        </w:trPr>
        <w:tc>
          <w:tcPr>
            <w:tcW w:w="1600" w:type="dxa"/>
            <w:tcBorders>
              <w:top w:val="nil"/>
              <w:left w:val="nil"/>
              <w:bottom w:val="nil"/>
              <w:right w:val="nil"/>
            </w:tcBorders>
            <w:shd w:val="clear" w:color="000000" w:fill="FFFFFF"/>
            <w:noWrap/>
            <w:vAlign w:val="bottom"/>
            <w:hideMark/>
          </w:tcPr>
          <w:p w14:paraId="4974063B"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060" w:type="dxa"/>
            <w:tcBorders>
              <w:top w:val="nil"/>
              <w:left w:val="nil"/>
              <w:bottom w:val="nil"/>
              <w:right w:val="nil"/>
            </w:tcBorders>
            <w:shd w:val="clear" w:color="000000" w:fill="FFFFFF"/>
            <w:noWrap/>
            <w:vAlign w:val="bottom"/>
            <w:hideMark/>
          </w:tcPr>
          <w:p w14:paraId="031FD34A"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120" w:type="dxa"/>
            <w:tcBorders>
              <w:top w:val="nil"/>
              <w:left w:val="nil"/>
              <w:bottom w:val="nil"/>
              <w:right w:val="nil"/>
            </w:tcBorders>
            <w:shd w:val="clear" w:color="000000" w:fill="FFFFFF"/>
            <w:noWrap/>
            <w:vAlign w:val="bottom"/>
            <w:hideMark/>
          </w:tcPr>
          <w:p w14:paraId="76F966CA"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nil"/>
              <w:right w:val="nil"/>
            </w:tcBorders>
            <w:shd w:val="clear" w:color="000000" w:fill="FFFFFF"/>
            <w:noWrap/>
            <w:vAlign w:val="bottom"/>
            <w:hideMark/>
          </w:tcPr>
          <w:p w14:paraId="58E95A54"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nil"/>
              <w:right w:val="nil"/>
            </w:tcBorders>
            <w:shd w:val="clear" w:color="000000" w:fill="FFFFFF"/>
            <w:noWrap/>
            <w:vAlign w:val="bottom"/>
            <w:hideMark/>
          </w:tcPr>
          <w:p w14:paraId="0B3B3E88"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nil"/>
              <w:right w:val="nil"/>
            </w:tcBorders>
            <w:shd w:val="clear" w:color="auto" w:fill="CCECFF"/>
            <w:noWrap/>
            <w:vAlign w:val="bottom"/>
            <w:hideMark/>
          </w:tcPr>
          <w:p w14:paraId="7ADA9E1A"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nil"/>
              <w:right w:val="nil"/>
            </w:tcBorders>
            <w:shd w:val="clear" w:color="000000" w:fill="FFFFFF"/>
            <w:noWrap/>
            <w:vAlign w:val="bottom"/>
            <w:hideMark/>
          </w:tcPr>
          <w:p w14:paraId="2FF03C37"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340" w:type="dxa"/>
            <w:tcBorders>
              <w:top w:val="nil"/>
              <w:left w:val="nil"/>
              <w:bottom w:val="nil"/>
              <w:right w:val="nil"/>
            </w:tcBorders>
            <w:shd w:val="clear" w:color="000000" w:fill="FFFFFF"/>
            <w:noWrap/>
            <w:vAlign w:val="bottom"/>
            <w:hideMark/>
          </w:tcPr>
          <w:p w14:paraId="2E42CBB2"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222" w:type="dxa"/>
            <w:vAlign w:val="center"/>
            <w:hideMark/>
          </w:tcPr>
          <w:p w14:paraId="538D2A9A"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1F19CAF1" w14:textId="77777777" w:rsidTr="00B26CCA">
        <w:trPr>
          <w:trHeight w:val="270"/>
        </w:trPr>
        <w:tc>
          <w:tcPr>
            <w:tcW w:w="3780" w:type="dxa"/>
            <w:gridSpan w:val="3"/>
            <w:tcBorders>
              <w:top w:val="nil"/>
              <w:left w:val="nil"/>
              <w:bottom w:val="nil"/>
              <w:right w:val="nil"/>
            </w:tcBorders>
            <w:shd w:val="clear" w:color="000000" w:fill="FFFFFF"/>
            <w:noWrap/>
            <w:vAlign w:val="bottom"/>
            <w:hideMark/>
          </w:tcPr>
          <w:p w14:paraId="7790DD68"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Opening net retirement benefit attributable to Group</w:t>
            </w:r>
          </w:p>
        </w:tc>
        <w:tc>
          <w:tcPr>
            <w:tcW w:w="1220" w:type="dxa"/>
            <w:tcBorders>
              <w:top w:val="nil"/>
              <w:left w:val="nil"/>
              <w:bottom w:val="nil"/>
              <w:right w:val="nil"/>
            </w:tcBorders>
            <w:shd w:val="clear" w:color="000000" w:fill="FFFFFF"/>
            <w:noWrap/>
            <w:vAlign w:val="bottom"/>
            <w:hideMark/>
          </w:tcPr>
          <w:p w14:paraId="0B8AE654"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nil"/>
              <w:right w:val="nil"/>
            </w:tcBorders>
            <w:shd w:val="clear" w:color="000000" w:fill="FFFFFF"/>
            <w:noWrap/>
            <w:vAlign w:val="bottom"/>
            <w:hideMark/>
          </w:tcPr>
          <w:p w14:paraId="6AB2EE9E"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nil"/>
              <w:right w:val="nil"/>
            </w:tcBorders>
            <w:shd w:val="clear" w:color="auto" w:fill="CCECFF"/>
            <w:noWrap/>
            <w:vAlign w:val="bottom"/>
            <w:hideMark/>
          </w:tcPr>
          <w:p w14:paraId="6D7915E3"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 xml:space="preserve">2,258 </w:t>
            </w:r>
          </w:p>
        </w:tc>
        <w:tc>
          <w:tcPr>
            <w:tcW w:w="1220" w:type="dxa"/>
            <w:tcBorders>
              <w:top w:val="nil"/>
              <w:left w:val="nil"/>
              <w:bottom w:val="nil"/>
              <w:right w:val="nil"/>
            </w:tcBorders>
            <w:shd w:val="clear" w:color="000000" w:fill="FFFFFF"/>
            <w:noWrap/>
            <w:vAlign w:val="bottom"/>
            <w:hideMark/>
          </w:tcPr>
          <w:p w14:paraId="59499448"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1,854 </w:t>
            </w:r>
          </w:p>
        </w:tc>
        <w:tc>
          <w:tcPr>
            <w:tcW w:w="1340" w:type="dxa"/>
            <w:tcBorders>
              <w:top w:val="nil"/>
              <w:left w:val="nil"/>
              <w:bottom w:val="nil"/>
              <w:right w:val="nil"/>
            </w:tcBorders>
            <w:shd w:val="clear" w:color="000000" w:fill="FFFFFF"/>
            <w:noWrap/>
            <w:vAlign w:val="bottom"/>
            <w:hideMark/>
          </w:tcPr>
          <w:p w14:paraId="76CA80DE"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1,854 </w:t>
            </w:r>
          </w:p>
        </w:tc>
        <w:tc>
          <w:tcPr>
            <w:tcW w:w="222" w:type="dxa"/>
            <w:vAlign w:val="center"/>
            <w:hideMark/>
          </w:tcPr>
          <w:p w14:paraId="51BEC85F"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46183910" w14:textId="77777777" w:rsidTr="00B26CCA">
        <w:trPr>
          <w:trHeight w:val="270"/>
        </w:trPr>
        <w:tc>
          <w:tcPr>
            <w:tcW w:w="3780" w:type="dxa"/>
            <w:gridSpan w:val="3"/>
            <w:tcBorders>
              <w:top w:val="nil"/>
              <w:left w:val="nil"/>
              <w:bottom w:val="nil"/>
              <w:right w:val="nil"/>
            </w:tcBorders>
            <w:shd w:val="clear" w:color="000000" w:fill="FFFFFF"/>
            <w:noWrap/>
            <w:vAlign w:val="bottom"/>
            <w:hideMark/>
          </w:tcPr>
          <w:p w14:paraId="3B8B3EA4"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Admin expenses paid from plan assets</w:t>
            </w:r>
          </w:p>
        </w:tc>
        <w:tc>
          <w:tcPr>
            <w:tcW w:w="1220" w:type="dxa"/>
            <w:tcBorders>
              <w:top w:val="nil"/>
              <w:left w:val="nil"/>
              <w:bottom w:val="nil"/>
              <w:right w:val="nil"/>
            </w:tcBorders>
            <w:shd w:val="clear" w:color="000000" w:fill="FFFFFF"/>
            <w:noWrap/>
            <w:vAlign w:val="bottom"/>
            <w:hideMark/>
          </w:tcPr>
          <w:p w14:paraId="67EEF12B"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nil"/>
              <w:right w:val="nil"/>
            </w:tcBorders>
            <w:shd w:val="clear" w:color="000000" w:fill="FFFFFF"/>
            <w:noWrap/>
            <w:vAlign w:val="bottom"/>
            <w:hideMark/>
          </w:tcPr>
          <w:p w14:paraId="54A6E56C"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nil"/>
              <w:right w:val="nil"/>
            </w:tcBorders>
            <w:shd w:val="clear" w:color="auto" w:fill="CCECFF"/>
            <w:noWrap/>
            <w:vAlign w:val="bottom"/>
            <w:hideMark/>
          </w:tcPr>
          <w:p w14:paraId="21BC422B"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(2)</w:t>
            </w:r>
          </w:p>
        </w:tc>
        <w:tc>
          <w:tcPr>
            <w:tcW w:w="1220" w:type="dxa"/>
            <w:tcBorders>
              <w:top w:val="nil"/>
              <w:left w:val="nil"/>
              <w:bottom w:val="nil"/>
              <w:right w:val="nil"/>
            </w:tcBorders>
            <w:shd w:val="clear" w:color="000000" w:fill="FFFFFF"/>
            <w:noWrap/>
            <w:vAlign w:val="bottom"/>
            <w:hideMark/>
          </w:tcPr>
          <w:p w14:paraId="4E432E9B"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(2)</w:t>
            </w:r>
          </w:p>
        </w:tc>
        <w:tc>
          <w:tcPr>
            <w:tcW w:w="1340" w:type="dxa"/>
            <w:tcBorders>
              <w:top w:val="nil"/>
              <w:left w:val="nil"/>
              <w:bottom w:val="nil"/>
              <w:right w:val="nil"/>
            </w:tcBorders>
            <w:shd w:val="clear" w:color="000000" w:fill="FFFFFF"/>
            <w:noWrap/>
            <w:vAlign w:val="bottom"/>
            <w:hideMark/>
          </w:tcPr>
          <w:p w14:paraId="025FD8FD"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(5)</w:t>
            </w:r>
          </w:p>
        </w:tc>
        <w:tc>
          <w:tcPr>
            <w:tcW w:w="222" w:type="dxa"/>
            <w:vAlign w:val="center"/>
            <w:hideMark/>
          </w:tcPr>
          <w:p w14:paraId="32140BDF"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B26CCA" w:rsidRPr="00043DAE" w14:paraId="38233251" w14:textId="77777777" w:rsidTr="00B26CCA">
        <w:trPr>
          <w:trHeight w:val="270"/>
        </w:trPr>
        <w:tc>
          <w:tcPr>
            <w:tcW w:w="1600" w:type="dxa"/>
            <w:tcBorders>
              <w:top w:val="nil"/>
              <w:left w:val="nil"/>
              <w:bottom w:val="nil"/>
              <w:right w:val="nil"/>
            </w:tcBorders>
            <w:shd w:val="clear" w:color="000000" w:fill="FFFFFF"/>
            <w:noWrap/>
            <w:vAlign w:val="bottom"/>
            <w:hideMark/>
          </w:tcPr>
          <w:p w14:paraId="2A51FD7F"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Net finance income</w:t>
            </w:r>
          </w:p>
        </w:tc>
        <w:tc>
          <w:tcPr>
            <w:tcW w:w="1060" w:type="dxa"/>
            <w:tcBorders>
              <w:top w:val="nil"/>
              <w:left w:val="nil"/>
              <w:bottom w:val="nil"/>
              <w:right w:val="nil"/>
            </w:tcBorders>
            <w:shd w:val="clear" w:color="000000" w:fill="FFFFFF"/>
            <w:noWrap/>
            <w:vAlign w:val="bottom"/>
            <w:hideMark/>
          </w:tcPr>
          <w:p w14:paraId="2676AD15"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120" w:type="dxa"/>
            <w:tcBorders>
              <w:top w:val="nil"/>
              <w:left w:val="nil"/>
              <w:bottom w:val="nil"/>
              <w:right w:val="nil"/>
            </w:tcBorders>
            <w:shd w:val="clear" w:color="000000" w:fill="FFFFFF"/>
            <w:noWrap/>
            <w:vAlign w:val="bottom"/>
            <w:hideMark/>
          </w:tcPr>
          <w:p w14:paraId="31DABE18"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nil"/>
              <w:right w:val="nil"/>
            </w:tcBorders>
            <w:shd w:val="clear" w:color="000000" w:fill="FFFFFF"/>
            <w:noWrap/>
            <w:vAlign w:val="bottom"/>
            <w:hideMark/>
          </w:tcPr>
          <w:p w14:paraId="2FBB72CA"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nil"/>
              <w:right w:val="nil"/>
            </w:tcBorders>
            <w:shd w:val="clear" w:color="000000" w:fill="FFFFFF"/>
            <w:noWrap/>
            <w:vAlign w:val="bottom"/>
            <w:hideMark/>
          </w:tcPr>
          <w:p w14:paraId="452F8194"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nil"/>
              <w:right w:val="nil"/>
            </w:tcBorders>
            <w:shd w:val="clear" w:color="auto" w:fill="CCECFF"/>
            <w:noWrap/>
            <w:vAlign w:val="bottom"/>
            <w:hideMark/>
          </w:tcPr>
          <w:p w14:paraId="4A8AEE92"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 xml:space="preserve">20 </w:t>
            </w:r>
          </w:p>
        </w:tc>
        <w:tc>
          <w:tcPr>
            <w:tcW w:w="1220" w:type="dxa"/>
            <w:tcBorders>
              <w:top w:val="nil"/>
              <w:left w:val="nil"/>
              <w:bottom w:val="nil"/>
              <w:right w:val="nil"/>
            </w:tcBorders>
            <w:shd w:val="clear" w:color="000000" w:fill="FFFFFF"/>
            <w:noWrap/>
            <w:vAlign w:val="bottom"/>
            <w:hideMark/>
          </w:tcPr>
          <w:p w14:paraId="4EEF2EC8"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14 </w:t>
            </w:r>
          </w:p>
        </w:tc>
        <w:tc>
          <w:tcPr>
            <w:tcW w:w="1340" w:type="dxa"/>
            <w:tcBorders>
              <w:top w:val="nil"/>
              <w:left w:val="nil"/>
              <w:bottom w:val="nil"/>
              <w:right w:val="nil"/>
            </w:tcBorders>
            <w:shd w:val="clear" w:color="000000" w:fill="FFFFFF"/>
            <w:noWrap/>
            <w:vAlign w:val="bottom"/>
            <w:hideMark/>
          </w:tcPr>
          <w:p w14:paraId="48E27D08"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30 </w:t>
            </w:r>
          </w:p>
        </w:tc>
        <w:tc>
          <w:tcPr>
            <w:tcW w:w="222" w:type="dxa"/>
            <w:vAlign w:val="center"/>
            <w:hideMark/>
          </w:tcPr>
          <w:p w14:paraId="33E37599"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0E4104F3" w14:textId="77777777" w:rsidTr="00B26CCA">
        <w:trPr>
          <w:trHeight w:val="270"/>
        </w:trPr>
        <w:tc>
          <w:tcPr>
            <w:tcW w:w="2660" w:type="dxa"/>
            <w:gridSpan w:val="2"/>
            <w:tcBorders>
              <w:top w:val="nil"/>
              <w:left w:val="nil"/>
              <w:bottom w:val="nil"/>
              <w:right w:val="nil"/>
            </w:tcBorders>
            <w:shd w:val="clear" w:color="000000" w:fill="FFFFFF"/>
            <w:noWrap/>
            <w:vAlign w:val="bottom"/>
            <w:hideMark/>
          </w:tcPr>
          <w:p w14:paraId="394E2F0F"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Employer contributions</w:t>
            </w:r>
          </w:p>
        </w:tc>
        <w:tc>
          <w:tcPr>
            <w:tcW w:w="1120" w:type="dxa"/>
            <w:tcBorders>
              <w:top w:val="nil"/>
              <w:left w:val="nil"/>
              <w:bottom w:val="nil"/>
              <w:right w:val="nil"/>
            </w:tcBorders>
            <w:shd w:val="clear" w:color="000000" w:fill="FFFFFF"/>
            <w:noWrap/>
            <w:vAlign w:val="bottom"/>
            <w:hideMark/>
          </w:tcPr>
          <w:p w14:paraId="07701FEE"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nil"/>
              <w:right w:val="nil"/>
            </w:tcBorders>
            <w:shd w:val="clear" w:color="000000" w:fill="FFFFFF"/>
            <w:noWrap/>
            <w:vAlign w:val="bottom"/>
            <w:hideMark/>
          </w:tcPr>
          <w:p w14:paraId="738599E4"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nil"/>
              <w:right w:val="nil"/>
            </w:tcBorders>
            <w:shd w:val="clear" w:color="000000" w:fill="FFFFFF"/>
            <w:noWrap/>
            <w:vAlign w:val="bottom"/>
            <w:hideMark/>
          </w:tcPr>
          <w:p w14:paraId="676DB504"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nil"/>
              <w:right w:val="nil"/>
            </w:tcBorders>
            <w:shd w:val="clear" w:color="auto" w:fill="CCECFF"/>
            <w:noWrap/>
            <w:vAlign w:val="bottom"/>
            <w:hideMark/>
          </w:tcPr>
          <w:p w14:paraId="76C63796"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 xml:space="preserve">9 </w:t>
            </w:r>
          </w:p>
        </w:tc>
        <w:tc>
          <w:tcPr>
            <w:tcW w:w="1220" w:type="dxa"/>
            <w:tcBorders>
              <w:top w:val="nil"/>
              <w:left w:val="nil"/>
              <w:bottom w:val="nil"/>
              <w:right w:val="nil"/>
            </w:tcBorders>
            <w:shd w:val="clear" w:color="000000" w:fill="FFFFFF"/>
            <w:noWrap/>
            <w:vAlign w:val="bottom"/>
            <w:hideMark/>
          </w:tcPr>
          <w:p w14:paraId="2D4F6D3B"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15 </w:t>
            </w:r>
          </w:p>
        </w:tc>
        <w:tc>
          <w:tcPr>
            <w:tcW w:w="1340" w:type="dxa"/>
            <w:tcBorders>
              <w:top w:val="nil"/>
              <w:left w:val="nil"/>
              <w:bottom w:val="nil"/>
              <w:right w:val="nil"/>
            </w:tcBorders>
            <w:shd w:val="clear" w:color="000000" w:fill="FFFFFF"/>
            <w:noWrap/>
            <w:vAlign w:val="bottom"/>
            <w:hideMark/>
          </w:tcPr>
          <w:p w14:paraId="5B1E2E19"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27 </w:t>
            </w:r>
          </w:p>
        </w:tc>
        <w:tc>
          <w:tcPr>
            <w:tcW w:w="222" w:type="dxa"/>
            <w:vAlign w:val="center"/>
            <w:hideMark/>
          </w:tcPr>
          <w:p w14:paraId="2FDB61BB"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5BBC9383" w14:textId="77777777" w:rsidTr="00B26CCA">
        <w:trPr>
          <w:trHeight w:val="270"/>
        </w:trPr>
        <w:tc>
          <w:tcPr>
            <w:tcW w:w="3780" w:type="dxa"/>
            <w:gridSpan w:val="3"/>
            <w:tcBorders>
              <w:top w:val="nil"/>
              <w:left w:val="nil"/>
              <w:bottom w:val="nil"/>
              <w:right w:val="nil"/>
            </w:tcBorders>
            <w:shd w:val="clear" w:color="000000" w:fill="FFFFFF"/>
            <w:noWrap/>
            <w:vAlign w:val="bottom"/>
            <w:hideMark/>
          </w:tcPr>
          <w:p w14:paraId="6F6792B9"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Settlements (trivial commutation exercises)</w:t>
            </w:r>
          </w:p>
        </w:tc>
        <w:tc>
          <w:tcPr>
            <w:tcW w:w="1220" w:type="dxa"/>
            <w:tcBorders>
              <w:top w:val="nil"/>
              <w:left w:val="nil"/>
              <w:bottom w:val="nil"/>
              <w:right w:val="nil"/>
            </w:tcBorders>
            <w:shd w:val="clear" w:color="000000" w:fill="FFFFFF"/>
            <w:noWrap/>
            <w:vAlign w:val="bottom"/>
            <w:hideMark/>
          </w:tcPr>
          <w:p w14:paraId="7374C91A"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nil"/>
              <w:right w:val="nil"/>
            </w:tcBorders>
            <w:shd w:val="clear" w:color="000000" w:fill="FFFFFF"/>
            <w:noWrap/>
            <w:vAlign w:val="bottom"/>
            <w:hideMark/>
          </w:tcPr>
          <w:p w14:paraId="6253DB10"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nil"/>
              <w:right w:val="nil"/>
            </w:tcBorders>
            <w:shd w:val="clear" w:color="auto" w:fill="CCECFF"/>
            <w:noWrap/>
            <w:vAlign w:val="bottom"/>
            <w:hideMark/>
          </w:tcPr>
          <w:p w14:paraId="4607CEF4"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 xml:space="preserve">- </w:t>
            </w:r>
          </w:p>
        </w:tc>
        <w:tc>
          <w:tcPr>
            <w:tcW w:w="1220" w:type="dxa"/>
            <w:tcBorders>
              <w:top w:val="nil"/>
              <w:left w:val="nil"/>
              <w:bottom w:val="nil"/>
              <w:right w:val="nil"/>
            </w:tcBorders>
            <w:shd w:val="clear" w:color="000000" w:fill="FFFFFF"/>
            <w:noWrap/>
            <w:vAlign w:val="bottom"/>
            <w:hideMark/>
          </w:tcPr>
          <w:p w14:paraId="349B2DD3"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 </w:t>
            </w:r>
          </w:p>
        </w:tc>
        <w:tc>
          <w:tcPr>
            <w:tcW w:w="1340" w:type="dxa"/>
            <w:tcBorders>
              <w:top w:val="nil"/>
              <w:left w:val="nil"/>
              <w:bottom w:val="nil"/>
              <w:right w:val="nil"/>
            </w:tcBorders>
            <w:shd w:val="clear" w:color="000000" w:fill="FFFFFF"/>
            <w:noWrap/>
            <w:vAlign w:val="bottom"/>
            <w:hideMark/>
          </w:tcPr>
          <w:p w14:paraId="4039C08F"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2 </w:t>
            </w:r>
          </w:p>
        </w:tc>
        <w:tc>
          <w:tcPr>
            <w:tcW w:w="222" w:type="dxa"/>
            <w:vAlign w:val="center"/>
            <w:hideMark/>
          </w:tcPr>
          <w:p w14:paraId="029CFDAD"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5B18AA40" w14:textId="77777777" w:rsidTr="00B26CCA">
        <w:trPr>
          <w:trHeight w:val="270"/>
        </w:trPr>
        <w:tc>
          <w:tcPr>
            <w:tcW w:w="2660" w:type="dxa"/>
            <w:gridSpan w:val="2"/>
            <w:tcBorders>
              <w:top w:val="nil"/>
              <w:left w:val="nil"/>
              <w:bottom w:val="nil"/>
              <w:right w:val="nil"/>
            </w:tcBorders>
            <w:shd w:val="clear" w:color="000000" w:fill="FFFFFF"/>
            <w:noWrap/>
            <w:vAlign w:val="bottom"/>
            <w:hideMark/>
          </w:tcPr>
          <w:p w14:paraId="6C73F53C"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Remeasurement gains / (losses) </w:t>
            </w:r>
          </w:p>
        </w:tc>
        <w:tc>
          <w:tcPr>
            <w:tcW w:w="1120" w:type="dxa"/>
            <w:tcBorders>
              <w:top w:val="nil"/>
              <w:left w:val="nil"/>
              <w:bottom w:val="nil"/>
              <w:right w:val="nil"/>
            </w:tcBorders>
            <w:shd w:val="clear" w:color="000000" w:fill="FFFFFF"/>
            <w:noWrap/>
            <w:vAlign w:val="bottom"/>
            <w:hideMark/>
          </w:tcPr>
          <w:p w14:paraId="3793FE2D"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220" w:type="dxa"/>
            <w:tcBorders>
              <w:top w:val="nil"/>
              <w:left w:val="nil"/>
              <w:bottom w:val="nil"/>
              <w:right w:val="nil"/>
            </w:tcBorders>
            <w:shd w:val="clear" w:color="000000" w:fill="FFFFFF"/>
            <w:noWrap/>
            <w:vAlign w:val="bottom"/>
            <w:hideMark/>
          </w:tcPr>
          <w:p w14:paraId="438AD618"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1521" w:type="dxa"/>
            <w:tcBorders>
              <w:top w:val="nil"/>
              <w:left w:val="nil"/>
              <w:bottom w:val="nil"/>
              <w:right w:val="nil"/>
            </w:tcBorders>
            <w:shd w:val="clear" w:color="000000" w:fill="FFFFFF"/>
            <w:noWrap/>
            <w:vAlign w:val="bottom"/>
            <w:hideMark/>
          </w:tcPr>
          <w:p w14:paraId="40443714" w14:textId="77777777" w:rsidR="00043DAE" w:rsidRPr="00043DAE" w:rsidRDefault="00043DAE" w:rsidP="00043DAE">
            <w:pPr>
              <w:spacing w:after="0" w:line="240" w:lineRule="auto"/>
              <w:rPr>
                <w:rFonts w:ascii="Arial" w:eastAsia="Times New Roman" w:hAnsi="Arial" w:cs="Arial"/>
                <w:sz w:val="15"/>
                <w:szCs w:val="15"/>
                <w:lang w:eastAsia="en-GB"/>
              </w:rPr>
            </w:pPr>
            <w:r w:rsidRPr="00043DAE">
              <w:rPr>
                <w:rFonts w:ascii="Arial" w:eastAsia="Times New Roman" w:hAnsi="Arial" w:cs="Arial"/>
                <w:sz w:val="15"/>
                <w:szCs w:val="15"/>
                <w:lang w:eastAsia="en-GB"/>
              </w:rPr>
              <w:t> </w:t>
            </w:r>
          </w:p>
        </w:tc>
        <w:tc>
          <w:tcPr>
            <w:tcW w:w="999" w:type="dxa"/>
            <w:tcBorders>
              <w:top w:val="nil"/>
              <w:left w:val="nil"/>
              <w:bottom w:val="nil"/>
              <w:right w:val="nil"/>
            </w:tcBorders>
            <w:shd w:val="clear" w:color="auto" w:fill="CCECFF"/>
            <w:noWrap/>
            <w:vAlign w:val="bottom"/>
            <w:hideMark/>
          </w:tcPr>
          <w:p w14:paraId="1401C45F"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 xml:space="preserve">175 </w:t>
            </w:r>
          </w:p>
        </w:tc>
        <w:tc>
          <w:tcPr>
            <w:tcW w:w="1220" w:type="dxa"/>
            <w:tcBorders>
              <w:top w:val="nil"/>
              <w:left w:val="nil"/>
              <w:bottom w:val="nil"/>
              <w:right w:val="nil"/>
            </w:tcBorders>
            <w:shd w:val="clear" w:color="000000" w:fill="FFFFFF"/>
            <w:noWrap/>
            <w:vAlign w:val="bottom"/>
            <w:hideMark/>
          </w:tcPr>
          <w:p w14:paraId="22D73CA4"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(95)</w:t>
            </w:r>
          </w:p>
        </w:tc>
        <w:tc>
          <w:tcPr>
            <w:tcW w:w="1340" w:type="dxa"/>
            <w:tcBorders>
              <w:top w:val="nil"/>
              <w:left w:val="nil"/>
              <w:bottom w:val="nil"/>
              <w:right w:val="nil"/>
            </w:tcBorders>
            <w:shd w:val="clear" w:color="000000" w:fill="FFFFFF"/>
            <w:noWrap/>
            <w:vAlign w:val="bottom"/>
            <w:hideMark/>
          </w:tcPr>
          <w:p w14:paraId="363E2809"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350 </w:t>
            </w:r>
          </w:p>
        </w:tc>
        <w:tc>
          <w:tcPr>
            <w:tcW w:w="222" w:type="dxa"/>
            <w:vAlign w:val="center"/>
            <w:hideMark/>
          </w:tcPr>
          <w:p w14:paraId="0992AD8D"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r w:rsidR="00043DAE" w:rsidRPr="00043DAE" w14:paraId="3AA8BF4D" w14:textId="77777777" w:rsidTr="00B26CCA">
        <w:trPr>
          <w:trHeight w:val="270"/>
        </w:trPr>
        <w:tc>
          <w:tcPr>
            <w:tcW w:w="3780" w:type="dxa"/>
            <w:gridSpan w:val="3"/>
            <w:tcBorders>
              <w:top w:val="single" w:sz="4" w:space="0" w:color="BFBFBF"/>
              <w:left w:val="nil"/>
              <w:bottom w:val="single" w:sz="4" w:space="0" w:color="BFBFBF"/>
              <w:right w:val="nil"/>
            </w:tcBorders>
            <w:shd w:val="clear" w:color="000000" w:fill="FFFFFF"/>
            <w:noWrap/>
            <w:vAlign w:val="bottom"/>
            <w:hideMark/>
          </w:tcPr>
          <w:p w14:paraId="5C4843A6" w14:textId="77777777" w:rsidR="00043DAE" w:rsidRPr="00043DAE" w:rsidRDefault="00043DAE" w:rsidP="00043DAE">
            <w:pPr>
              <w:spacing w:after="0" w:line="240" w:lineRule="auto"/>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Closing net retirement benefit asset</w:t>
            </w:r>
          </w:p>
        </w:tc>
        <w:tc>
          <w:tcPr>
            <w:tcW w:w="1220" w:type="dxa"/>
            <w:tcBorders>
              <w:top w:val="single" w:sz="4" w:space="0" w:color="BFBFBF"/>
              <w:left w:val="nil"/>
              <w:bottom w:val="single" w:sz="4" w:space="0" w:color="BFBFBF"/>
              <w:right w:val="nil"/>
            </w:tcBorders>
            <w:shd w:val="clear" w:color="000000" w:fill="FFFFFF"/>
            <w:noWrap/>
            <w:vAlign w:val="bottom"/>
            <w:hideMark/>
          </w:tcPr>
          <w:p w14:paraId="5B580E72" w14:textId="77777777" w:rsidR="00043DAE" w:rsidRPr="00043DAE" w:rsidRDefault="00043DAE" w:rsidP="00043DAE">
            <w:pPr>
              <w:spacing w:after="0" w:line="240" w:lineRule="auto"/>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 </w:t>
            </w:r>
          </w:p>
        </w:tc>
        <w:tc>
          <w:tcPr>
            <w:tcW w:w="1521" w:type="dxa"/>
            <w:tcBorders>
              <w:top w:val="single" w:sz="4" w:space="0" w:color="BFBFBF"/>
              <w:left w:val="nil"/>
              <w:bottom w:val="single" w:sz="4" w:space="0" w:color="BFBFBF"/>
              <w:right w:val="nil"/>
            </w:tcBorders>
            <w:shd w:val="clear" w:color="000000" w:fill="FFFFFF"/>
            <w:noWrap/>
            <w:vAlign w:val="bottom"/>
            <w:hideMark/>
          </w:tcPr>
          <w:p w14:paraId="5C2F0EC5" w14:textId="77777777" w:rsidR="00043DAE" w:rsidRPr="00043DAE" w:rsidRDefault="00043DAE" w:rsidP="00043DAE">
            <w:pPr>
              <w:spacing w:after="0" w:line="240" w:lineRule="auto"/>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 </w:t>
            </w:r>
          </w:p>
        </w:tc>
        <w:tc>
          <w:tcPr>
            <w:tcW w:w="999" w:type="dxa"/>
            <w:tcBorders>
              <w:top w:val="single" w:sz="4" w:space="0" w:color="BFBFBF"/>
              <w:left w:val="nil"/>
              <w:bottom w:val="single" w:sz="4" w:space="0" w:color="BFBFBF"/>
              <w:right w:val="nil"/>
            </w:tcBorders>
            <w:shd w:val="clear" w:color="auto" w:fill="CCECFF"/>
            <w:noWrap/>
            <w:vAlign w:val="bottom"/>
            <w:hideMark/>
          </w:tcPr>
          <w:p w14:paraId="14566FDD" w14:textId="77777777" w:rsidR="00043DAE" w:rsidRPr="00043DAE" w:rsidRDefault="00043DAE" w:rsidP="00043DAE">
            <w:pPr>
              <w:spacing w:after="0" w:line="240" w:lineRule="auto"/>
              <w:jc w:val="right"/>
              <w:rPr>
                <w:rFonts w:ascii="Arial" w:eastAsia="Times New Roman" w:hAnsi="Arial" w:cs="Arial"/>
                <w:b/>
                <w:bCs/>
                <w:sz w:val="15"/>
                <w:szCs w:val="15"/>
                <w:lang w:eastAsia="en-GB"/>
              </w:rPr>
            </w:pPr>
            <w:r w:rsidRPr="00043DAE">
              <w:rPr>
                <w:rFonts w:ascii="Arial" w:eastAsia="Times New Roman" w:hAnsi="Arial" w:cs="Arial"/>
                <w:b/>
                <w:bCs/>
                <w:sz w:val="15"/>
                <w:szCs w:val="15"/>
                <w:lang w:eastAsia="en-GB"/>
              </w:rPr>
              <w:t xml:space="preserve">2,460 </w:t>
            </w:r>
          </w:p>
        </w:tc>
        <w:tc>
          <w:tcPr>
            <w:tcW w:w="1220" w:type="dxa"/>
            <w:tcBorders>
              <w:top w:val="single" w:sz="4" w:space="0" w:color="BFBFBF"/>
              <w:left w:val="nil"/>
              <w:bottom w:val="single" w:sz="4" w:space="0" w:color="BFBFBF"/>
              <w:right w:val="nil"/>
            </w:tcBorders>
            <w:shd w:val="clear" w:color="000000" w:fill="FFFFFF"/>
            <w:noWrap/>
            <w:vAlign w:val="bottom"/>
            <w:hideMark/>
          </w:tcPr>
          <w:p w14:paraId="530E3206"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1,786 </w:t>
            </w:r>
          </w:p>
        </w:tc>
        <w:tc>
          <w:tcPr>
            <w:tcW w:w="1340" w:type="dxa"/>
            <w:tcBorders>
              <w:top w:val="single" w:sz="4" w:space="0" w:color="BFBFBF"/>
              <w:left w:val="nil"/>
              <w:bottom w:val="single" w:sz="4" w:space="0" w:color="BFBFBF"/>
              <w:right w:val="nil"/>
            </w:tcBorders>
            <w:shd w:val="clear" w:color="000000" w:fill="FFFFFF"/>
            <w:noWrap/>
            <w:vAlign w:val="bottom"/>
            <w:hideMark/>
          </w:tcPr>
          <w:p w14:paraId="62A1E79F" w14:textId="77777777" w:rsidR="00043DAE" w:rsidRPr="00043DAE" w:rsidRDefault="00043DAE" w:rsidP="00043DAE">
            <w:pPr>
              <w:spacing w:after="0" w:line="240" w:lineRule="auto"/>
              <w:jc w:val="right"/>
              <w:rPr>
                <w:rFonts w:ascii="Arial" w:eastAsia="Times New Roman" w:hAnsi="Arial" w:cs="Arial"/>
                <w:sz w:val="15"/>
                <w:szCs w:val="15"/>
                <w:lang w:eastAsia="en-GB"/>
              </w:rPr>
            </w:pPr>
            <w:r w:rsidRPr="00043DAE">
              <w:rPr>
                <w:rFonts w:ascii="Arial" w:eastAsia="Times New Roman" w:hAnsi="Arial" w:cs="Arial"/>
                <w:sz w:val="15"/>
                <w:szCs w:val="15"/>
                <w:lang w:eastAsia="en-GB"/>
              </w:rPr>
              <w:t xml:space="preserve">2,258 </w:t>
            </w:r>
          </w:p>
        </w:tc>
        <w:tc>
          <w:tcPr>
            <w:tcW w:w="222" w:type="dxa"/>
            <w:vAlign w:val="center"/>
            <w:hideMark/>
          </w:tcPr>
          <w:p w14:paraId="783F97A0" w14:textId="77777777" w:rsidR="00043DAE" w:rsidRPr="00043DAE" w:rsidRDefault="00043DAE" w:rsidP="00043DAE">
            <w:pPr>
              <w:spacing w:after="0" w:line="240" w:lineRule="auto"/>
              <w:rPr>
                <w:rFonts w:ascii="Times New Roman" w:eastAsia="Times New Roman" w:hAnsi="Times New Roman" w:cs="Times New Roman"/>
                <w:sz w:val="20"/>
                <w:szCs w:val="20"/>
                <w:lang w:eastAsia="en-GB"/>
              </w:rPr>
            </w:pPr>
          </w:p>
        </w:tc>
      </w:tr>
    </w:tbl>
    <w:p w14:paraId="2A1D1404" w14:textId="6D7EB67E" w:rsidR="00043DAE" w:rsidRDefault="00043DAE" w:rsidP="00BB64F8"/>
    <w:tbl>
      <w:tblPr>
        <w:tblW w:w="10101" w:type="dxa"/>
        <w:tblLook w:val="04A0" w:firstRow="1" w:lastRow="0" w:firstColumn="1" w:lastColumn="0" w:noHBand="0" w:noVBand="1"/>
      </w:tblPr>
      <w:tblGrid>
        <w:gridCol w:w="2693"/>
        <w:gridCol w:w="458"/>
        <w:gridCol w:w="458"/>
        <w:gridCol w:w="458"/>
        <w:gridCol w:w="458"/>
        <w:gridCol w:w="1991"/>
        <w:gridCol w:w="1033"/>
        <w:gridCol w:w="1276"/>
        <w:gridCol w:w="1276"/>
      </w:tblGrid>
      <w:tr w:rsidR="002656DA" w:rsidRPr="00A920E1" w14:paraId="24235C3C" w14:textId="77777777" w:rsidTr="00A9593E">
        <w:trPr>
          <w:trHeight w:val="64"/>
        </w:trPr>
        <w:tc>
          <w:tcPr>
            <w:tcW w:w="6516" w:type="dxa"/>
            <w:gridSpan w:val="6"/>
            <w:vMerge w:val="restart"/>
            <w:tcBorders>
              <w:top w:val="single" w:sz="4" w:space="0" w:color="BFBFBF"/>
              <w:left w:val="single" w:sz="4" w:space="0" w:color="BFBFBF"/>
              <w:bottom w:val="single" w:sz="4" w:space="0" w:color="BFBFBF"/>
              <w:right w:val="nil"/>
            </w:tcBorders>
            <w:shd w:val="clear" w:color="auto" w:fill="auto"/>
            <w:noWrap/>
            <w:vAlign w:val="center"/>
            <w:hideMark/>
          </w:tcPr>
          <w:p w14:paraId="58148004" w14:textId="77777777" w:rsidR="00A920E1" w:rsidRPr="00A920E1" w:rsidRDefault="00A920E1" w:rsidP="00A920E1">
            <w:pPr>
              <w:spacing w:after="0" w:line="240" w:lineRule="auto"/>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Amounts recognised in the balance sheet:</w:t>
            </w:r>
          </w:p>
        </w:tc>
        <w:tc>
          <w:tcPr>
            <w:tcW w:w="1033" w:type="dxa"/>
            <w:tcBorders>
              <w:top w:val="single" w:sz="4" w:space="0" w:color="BFBFBF"/>
              <w:left w:val="nil"/>
              <w:bottom w:val="nil"/>
              <w:right w:val="nil"/>
            </w:tcBorders>
            <w:shd w:val="clear" w:color="auto" w:fill="auto"/>
            <w:hideMark/>
          </w:tcPr>
          <w:p w14:paraId="2580080D"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2 July 2022 (unaudited)</w:t>
            </w:r>
          </w:p>
        </w:tc>
        <w:tc>
          <w:tcPr>
            <w:tcW w:w="1276" w:type="dxa"/>
            <w:tcBorders>
              <w:top w:val="single" w:sz="4" w:space="0" w:color="BFBFBF"/>
              <w:left w:val="nil"/>
              <w:bottom w:val="nil"/>
              <w:right w:val="nil"/>
            </w:tcBorders>
            <w:shd w:val="clear" w:color="auto" w:fill="auto"/>
            <w:hideMark/>
          </w:tcPr>
          <w:p w14:paraId="3BC19218"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3 July 2021 (unaudited)</w:t>
            </w:r>
          </w:p>
        </w:tc>
        <w:tc>
          <w:tcPr>
            <w:tcW w:w="1276" w:type="dxa"/>
            <w:tcBorders>
              <w:top w:val="single" w:sz="4" w:space="0" w:color="BFBFBF"/>
              <w:left w:val="nil"/>
              <w:bottom w:val="nil"/>
              <w:right w:val="single" w:sz="4" w:space="0" w:color="BFBFBF"/>
            </w:tcBorders>
            <w:shd w:val="clear" w:color="auto" w:fill="auto"/>
            <w:hideMark/>
          </w:tcPr>
          <w:p w14:paraId="0C0E857A"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1 January 2022 (audited)</w:t>
            </w:r>
          </w:p>
        </w:tc>
      </w:tr>
      <w:tr w:rsidR="002656DA" w:rsidRPr="00A920E1" w14:paraId="6DA81E7B" w14:textId="77777777" w:rsidTr="002656DA">
        <w:trPr>
          <w:trHeight w:val="229"/>
        </w:trPr>
        <w:tc>
          <w:tcPr>
            <w:tcW w:w="6516" w:type="dxa"/>
            <w:gridSpan w:val="6"/>
            <w:vMerge/>
            <w:tcBorders>
              <w:top w:val="single" w:sz="4" w:space="0" w:color="BFBFBF"/>
              <w:left w:val="single" w:sz="4" w:space="0" w:color="BFBFBF"/>
              <w:bottom w:val="single" w:sz="4" w:space="0" w:color="BFBFBF"/>
              <w:right w:val="nil"/>
            </w:tcBorders>
            <w:shd w:val="clear" w:color="auto" w:fill="auto"/>
            <w:vAlign w:val="center"/>
            <w:hideMark/>
          </w:tcPr>
          <w:p w14:paraId="7B962523" w14:textId="77777777" w:rsidR="00A920E1" w:rsidRPr="00A920E1" w:rsidRDefault="00A920E1" w:rsidP="00A920E1">
            <w:pPr>
              <w:spacing w:after="0" w:line="240" w:lineRule="auto"/>
              <w:rPr>
                <w:rFonts w:ascii="Arial" w:eastAsia="Times New Roman" w:hAnsi="Arial" w:cs="Arial"/>
                <w:b/>
                <w:bCs/>
                <w:sz w:val="15"/>
                <w:szCs w:val="15"/>
                <w:lang w:eastAsia="en-GB"/>
              </w:rPr>
            </w:pPr>
          </w:p>
        </w:tc>
        <w:tc>
          <w:tcPr>
            <w:tcW w:w="1033" w:type="dxa"/>
            <w:tcBorders>
              <w:top w:val="nil"/>
              <w:left w:val="nil"/>
              <w:bottom w:val="single" w:sz="4" w:space="0" w:color="BFBFBF"/>
              <w:right w:val="nil"/>
            </w:tcBorders>
            <w:shd w:val="clear" w:color="auto" w:fill="auto"/>
            <w:vAlign w:val="bottom"/>
            <w:hideMark/>
          </w:tcPr>
          <w:p w14:paraId="4A1BAA86"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xml:space="preserve">                     £m</w:t>
            </w:r>
          </w:p>
        </w:tc>
        <w:tc>
          <w:tcPr>
            <w:tcW w:w="1276" w:type="dxa"/>
            <w:tcBorders>
              <w:top w:val="nil"/>
              <w:left w:val="nil"/>
              <w:bottom w:val="single" w:sz="4" w:space="0" w:color="BFBFBF"/>
              <w:right w:val="nil"/>
            </w:tcBorders>
            <w:shd w:val="clear" w:color="auto" w:fill="auto"/>
            <w:vAlign w:val="bottom"/>
            <w:hideMark/>
          </w:tcPr>
          <w:p w14:paraId="2269A56E"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                 £m</w:t>
            </w:r>
          </w:p>
        </w:tc>
        <w:tc>
          <w:tcPr>
            <w:tcW w:w="1276" w:type="dxa"/>
            <w:tcBorders>
              <w:top w:val="nil"/>
              <w:left w:val="nil"/>
              <w:bottom w:val="single" w:sz="4" w:space="0" w:color="BFBFBF"/>
              <w:right w:val="single" w:sz="4" w:space="0" w:color="BFBFBF"/>
            </w:tcBorders>
            <w:shd w:val="clear" w:color="auto" w:fill="auto"/>
            <w:vAlign w:val="bottom"/>
            <w:hideMark/>
          </w:tcPr>
          <w:p w14:paraId="49FC4321"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         £m</w:t>
            </w:r>
          </w:p>
        </w:tc>
      </w:tr>
      <w:tr w:rsidR="002656DA" w:rsidRPr="00A920E1" w14:paraId="2E7B4C82" w14:textId="77777777" w:rsidTr="002656DA">
        <w:trPr>
          <w:trHeight w:val="270"/>
        </w:trPr>
        <w:tc>
          <w:tcPr>
            <w:tcW w:w="3151" w:type="dxa"/>
            <w:gridSpan w:val="2"/>
            <w:tcBorders>
              <w:top w:val="nil"/>
              <w:left w:val="nil"/>
              <w:bottom w:val="nil"/>
              <w:right w:val="nil"/>
            </w:tcBorders>
            <w:shd w:val="clear" w:color="000000" w:fill="FFFFFF"/>
            <w:noWrap/>
            <w:vAlign w:val="bottom"/>
            <w:hideMark/>
          </w:tcPr>
          <w:p w14:paraId="65A63830"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Fair value of plan assets:</w:t>
            </w:r>
          </w:p>
        </w:tc>
        <w:tc>
          <w:tcPr>
            <w:tcW w:w="458" w:type="dxa"/>
            <w:tcBorders>
              <w:top w:val="nil"/>
              <w:left w:val="nil"/>
              <w:bottom w:val="nil"/>
              <w:right w:val="nil"/>
            </w:tcBorders>
            <w:shd w:val="clear" w:color="000000" w:fill="FFFFFF"/>
            <w:noWrap/>
            <w:vAlign w:val="bottom"/>
            <w:hideMark/>
          </w:tcPr>
          <w:p w14:paraId="34C66BAB"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nil"/>
              <w:right w:val="nil"/>
            </w:tcBorders>
            <w:shd w:val="clear" w:color="000000" w:fill="FFFFFF"/>
            <w:noWrap/>
            <w:vAlign w:val="bottom"/>
            <w:hideMark/>
          </w:tcPr>
          <w:p w14:paraId="3B1D5DFB"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nil"/>
              <w:right w:val="nil"/>
            </w:tcBorders>
            <w:shd w:val="clear" w:color="000000" w:fill="FFFFFF"/>
            <w:noWrap/>
            <w:vAlign w:val="bottom"/>
            <w:hideMark/>
          </w:tcPr>
          <w:p w14:paraId="70AB3E5F"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nil"/>
              <w:right w:val="nil"/>
            </w:tcBorders>
            <w:shd w:val="clear" w:color="000000" w:fill="FFFFFF"/>
            <w:noWrap/>
            <w:vAlign w:val="bottom"/>
            <w:hideMark/>
          </w:tcPr>
          <w:p w14:paraId="7484BAB2"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22FB25FE" w14:textId="77777777" w:rsidR="00A920E1" w:rsidRPr="00A920E1" w:rsidRDefault="00A920E1" w:rsidP="00A920E1">
            <w:pPr>
              <w:spacing w:after="0" w:line="240" w:lineRule="auto"/>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w:t>
            </w:r>
          </w:p>
        </w:tc>
        <w:tc>
          <w:tcPr>
            <w:tcW w:w="1276" w:type="dxa"/>
            <w:tcBorders>
              <w:top w:val="nil"/>
              <w:left w:val="nil"/>
              <w:bottom w:val="nil"/>
              <w:right w:val="nil"/>
            </w:tcBorders>
            <w:shd w:val="clear" w:color="000000" w:fill="FFFFFF"/>
            <w:noWrap/>
            <w:vAlign w:val="bottom"/>
            <w:hideMark/>
          </w:tcPr>
          <w:p w14:paraId="17ED4756"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1276" w:type="dxa"/>
            <w:tcBorders>
              <w:top w:val="nil"/>
              <w:left w:val="nil"/>
              <w:bottom w:val="nil"/>
              <w:right w:val="nil"/>
            </w:tcBorders>
            <w:shd w:val="clear" w:color="000000" w:fill="FFFFFF"/>
            <w:noWrap/>
            <w:vAlign w:val="center"/>
            <w:hideMark/>
          </w:tcPr>
          <w:p w14:paraId="04D65B5A"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r>
      <w:tr w:rsidR="00A920E1" w:rsidRPr="00A920E1" w14:paraId="608A9E44" w14:textId="77777777" w:rsidTr="002656DA">
        <w:trPr>
          <w:trHeight w:val="270"/>
        </w:trPr>
        <w:tc>
          <w:tcPr>
            <w:tcW w:w="2693" w:type="dxa"/>
            <w:tcBorders>
              <w:top w:val="nil"/>
              <w:left w:val="nil"/>
              <w:bottom w:val="nil"/>
              <w:right w:val="nil"/>
            </w:tcBorders>
            <w:shd w:val="clear" w:color="000000" w:fill="FFFFFF"/>
            <w:noWrap/>
            <w:vAlign w:val="bottom"/>
            <w:hideMark/>
          </w:tcPr>
          <w:p w14:paraId="4B32F5A3"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 - Pace</w:t>
            </w:r>
          </w:p>
        </w:tc>
        <w:tc>
          <w:tcPr>
            <w:tcW w:w="458" w:type="dxa"/>
            <w:tcBorders>
              <w:top w:val="nil"/>
              <w:left w:val="nil"/>
              <w:bottom w:val="nil"/>
              <w:right w:val="nil"/>
            </w:tcBorders>
            <w:shd w:val="clear" w:color="000000" w:fill="FFFFFF"/>
            <w:noWrap/>
            <w:vAlign w:val="bottom"/>
            <w:hideMark/>
          </w:tcPr>
          <w:p w14:paraId="7D0642F5"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nil"/>
              <w:right w:val="nil"/>
            </w:tcBorders>
            <w:shd w:val="clear" w:color="000000" w:fill="FFFFFF"/>
            <w:noWrap/>
            <w:vAlign w:val="bottom"/>
            <w:hideMark/>
          </w:tcPr>
          <w:p w14:paraId="74439B8D"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nil"/>
              <w:right w:val="nil"/>
            </w:tcBorders>
            <w:shd w:val="clear" w:color="000000" w:fill="FFFFFF"/>
            <w:noWrap/>
            <w:vAlign w:val="bottom"/>
            <w:hideMark/>
          </w:tcPr>
          <w:p w14:paraId="60B35573"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nil"/>
              <w:right w:val="nil"/>
            </w:tcBorders>
            <w:shd w:val="clear" w:color="000000" w:fill="FFFFFF"/>
            <w:noWrap/>
            <w:vAlign w:val="bottom"/>
            <w:hideMark/>
          </w:tcPr>
          <w:p w14:paraId="5AE205E7"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nil"/>
              <w:right w:val="nil"/>
            </w:tcBorders>
            <w:shd w:val="clear" w:color="000000" w:fill="FFFFFF"/>
            <w:noWrap/>
            <w:vAlign w:val="bottom"/>
            <w:hideMark/>
          </w:tcPr>
          <w:p w14:paraId="2C0942B0"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7A50369F"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xml:space="preserve">7,396 </w:t>
            </w:r>
          </w:p>
        </w:tc>
        <w:tc>
          <w:tcPr>
            <w:tcW w:w="1276" w:type="dxa"/>
            <w:tcBorders>
              <w:top w:val="nil"/>
              <w:left w:val="nil"/>
              <w:bottom w:val="nil"/>
              <w:right w:val="nil"/>
            </w:tcBorders>
            <w:shd w:val="clear" w:color="000000" w:fill="FFFFFF"/>
            <w:noWrap/>
            <w:vAlign w:val="bottom"/>
            <w:hideMark/>
          </w:tcPr>
          <w:p w14:paraId="724C660C"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9,189 </w:t>
            </w:r>
          </w:p>
        </w:tc>
        <w:tc>
          <w:tcPr>
            <w:tcW w:w="1276" w:type="dxa"/>
            <w:tcBorders>
              <w:top w:val="nil"/>
              <w:left w:val="nil"/>
              <w:bottom w:val="nil"/>
              <w:right w:val="nil"/>
            </w:tcBorders>
            <w:shd w:val="clear" w:color="000000" w:fill="FFFFFF"/>
            <w:noWrap/>
            <w:vAlign w:val="center"/>
            <w:hideMark/>
          </w:tcPr>
          <w:p w14:paraId="77F3D6F6"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9,486 </w:t>
            </w:r>
          </w:p>
        </w:tc>
      </w:tr>
      <w:tr w:rsidR="002656DA" w:rsidRPr="00A920E1" w14:paraId="203981C0" w14:textId="77777777" w:rsidTr="002656DA">
        <w:trPr>
          <w:trHeight w:val="270"/>
        </w:trPr>
        <w:tc>
          <w:tcPr>
            <w:tcW w:w="3151" w:type="dxa"/>
            <w:gridSpan w:val="2"/>
            <w:tcBorders>
              <w:top w:val="nil"/>
              <w:left w:val="nil"/>
              <w:bottom w:val="nil"/>
              <w:right w:val="nil"/>
            </w:tcBorders>
            <w:shd w:val="clear" w:color="000000" w:fill="FFFFFF"/>
            <w:noWrap/>
            <w:vAlign w:val="bottom"/>
            <w:hideMark/>
          </w:tcPr>
          <w:p w14:paraId="40E67D21"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 - Somerfield scheme</w:t>
            </w:r>
          </w:p>
        </w:tc>
        <w:tc>
          <w:tcPr>
            <w:tcW w:w="458" w:type="dxa"/>
            <w:tcBorders>
              <w:top w:val="nil"/>
              <w:left w:val="nil"/>
              <w:bottom w:val="nil"/>
              <w:right w:val="nil"/>
            </w:tcBorders>
            <w:shd w:val="clear" w:color="000000" w:fill="FFFFFF"/>
            <w:noWrap/>
            <w:vAlign w:val="bottom"/>
            <w:hideMark/>
          </w:tcPr>
          <w:p w14:paraId="655B4070"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nil"/>
              <w:right w:val="nil"/>
            </w:tcBorders>
            <w:shd w:val="clear" w:color="000000" w:fill="FFFFFF"/>
            <w:noWrap/>
            <w:vAlign w:val="bottom"/>
            <w:hideMark/>
          </w:tcPr>
          <w:p w14:paraId="78C406A4"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nil"/>
              <w:right w:val="nil"/>
            </w:tcBorders>
            <w:shd w:val="clear" w:color="000000" w:fill="FFFFFF"/>
            <w:noWrap/>
            <w:vAlign w:val="bottom"/>
            <w:hideMark/>
          </w:tcPr>
          <w:p w14:paraId="133FA862"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nil"/>
              <w:right w:val="nil"/>
            </w:tcBorders>
            <w:shd w:val="clear" w:color="000000" w:fill="FFFFFF"/>
            <w:noWrap/>
            <w:vAlign w:val="bottom"/>
            <w:hideMark/>
          </w:tcPr>
          <w:p w14:paraId="0C2B732C"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79EE21F8"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xml:space="preserve">1,128 </w:t>
            </w:r>
          </w:p>
        </w:tc>
        <w:tc>
          <w:tcPr>
            <w:tcW w:w="1276" w:type="dxa"/>
            <w:tcBorders>
              <w:top w:val="nil"/>
              <w:left w:val="nil"/>
              <w:bottom w:val="nil"/>
              <w:right w:val="nil"/>
            </w:tcBorders>
            <w:shd w:val="clear" w:color="000000" w:fill="FFFFFF"/>
            <w:noWrap/>
            <w:vAlign w:val="bottom"/>
            <w:hideMark/>
          </w:tcPr>
          <w:p w14:paraId="3F9A0FC5"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1,173 </w:t>
            </w:r>
          </w:p>
        </w:tc>
        <w:tc>
          <w:tcPr>
            <w:tcW w:w="1276" w:type="dxa"/>
            <w:tcBorders>
              <w:top w:val="nil"/>
              <w:left w:val="nil"/>
              <w:bottom w:val="nil"/>
              <w:right w:val="nil"/>
            </w:tcBorders>
            <w:shd w:val="clear" w:color="000000" w:fill="FFFFFF"/>
            <w:noWrap/>
            <w:vAlign w:val="center"/>
            <w:hideMark/>
          </w:tcPr>
          <w:p w14:paraId="145BC8F8"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1,141 </w:t>
            </w:r>
          </w:p>
        </w:tc>
      </w:tr>
      <w:tr w:rsidR="002656DA" w:rsidRPr="00A920E1" w14:paraId="5CCBD0FF" w14:textId="77777777" w:rsidTr="002656DA">
        <w:trPr>
          <w:trHeight w:val="270"/>
        </w:trPr>
        <w:tc>
          <w:tcPr>
            <w:tcW w:w="3151" w:type="dxa"/>
            <w:gridSpan w:val="2"/>
            <w:tcBorders>
              <w:top w:val="nil"/>
              <w:left w:val="nil"/>
              <w:bottom w:val="single" w:sz="4" w:space="0" w:color="BFBFBF"/>
              <w:right w:val="nil"/>
            </w:tcBorders>
            <w:shd w:val="clear" w:color="000000" w:fill="FFFFFF"/>
            <w:noWrap/>
            <w:vAlign w:val="bottom"/>
            <w:hideMark/>
          </w:tcPr>
          <w:p w14:paraId="59336A4E"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 - United scheme</w:t>
            </w:r>
          </w:p>
        </w:tc>
        <w:tc>
          <w:tcPr>
            <w:tcW w:w="458" w:type="dxa"/>
            <w:tcBorders>
              <w:top w:val="nil"/>
              <w:left w:val="nil"/>
              <w:bottom w:val="single" w:sz="4" w:space="0" w:color="BFBFBF"/>
              <w:right w:val="nil"/>
            </w:tcBorders>
            <w:shd w:val="clear" w:color="000000" w:fill="FFFFFF"/>
            <w:noWrap/>
            <w:vAlign w:val="bottom"/>
            <w:hideMark/>
          </w:tcPr>
          <w:p w14:paraId="24821E16"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single" w:sz="4" w:space="0" w:color="BFBFBF"/>
              <w:right w:val="nil"/>
            </w:tcBorders>
            <w:shd w:val="clear" w:color="000000" w:fill="FFFFFF"/>
            <w:noWrap/>
            <w:vAlign w:val="bottom"/>
            <w:hideMark/>
          </w:tcPr>
          <w:p w14:paraId="2EC8ED1D"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single" w:sz="4" w:space="0" w:color="BFBFBF"/>
              <w:right w:val="nil"/>
            </w:tcBorders>
            <w:shd w:val="clear" w:color="000000" w:fill="FFFFFF"/>
            <w:noWrap/>
            <w:vAlign w:val="bottom"/>
            <w:hideMark/>
          </w:tcPr>
          <w:p w14:paraId="6D3D3112"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single" w:sz="4" w:space="0" w:color="BFBFBF"/>
              <w:right w:val="nil"/>
            </w:tcBorders>
            <w:shd w:val="clear" w:color="000000" w:fill="FFFFFF"/>
            <w:noWrap/>
            <w:vAlign w:val="bottom"/>
            <w:hideMark/>
          </w:tcPr>
          <w:p w14:paraId="5F9080F0"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single" w:sz="4" w:space="0" w:color="BFBFBF"/>
              <w:right w:val="nil"/>
            </w:tcBorders>
            <w:shd w:val="clear" w:color="auto" w:fill="CCECFF"/>
            <w:noWrap/>
            <w:vAlign w:val="bottom"/>
            <w:hideMark/>
          </w:tcPr>
          <w:p w14:paraId="45AF6BB3"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xml:space="preserve">822 </w:t>
            </w:r>
          </w:p>
        </w:tc>
        <w:tc>
          <w:tcPr>
            <w:tcW w:w="1276" w:type="dxa"/>
            <w:tcBorders>
              <w:top w:val="nil"/>
              <w:left w:val="nil"/>
              <w:bottom w:val="single" w:sz="4" w:space="0" w:color="BFBFBF"/>
              <w:right w:val="nil"/>
            </w:tcBorders>
            <w:shd w:val="clear" w:color="000000" w:fill="FFFFFF"/>
            <w:noWrap/>
            <w:vAlign w:val="bottom"/>
            <w:hideMark/>
          </w:tcPr>
          <w:p w14:paraId="75C39D2C"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818 </w:t>
            </w:r>
          </w:p>
        </w:tc>
        <w:tc>
          <w:tcPr>
            <w:tcW w:w="1276" w:type="dxa"/>
            <w:tcBorders>
              <w:top w:val="nil"/>
              <w:left w:val="nil"/>
              <w:bottom w:val="single" w:sz="4" w:space="0" w:color="BFBFBF"/>
              <w:right w:val="nil"/>
            </w:tcBorders>
            <w:shd w:val="clear" w:color="000000" w:fill="FFFFFF"/>
            <w:noWrap/>
            <w:vAlign w:val="center"/>
            <w:hideMark/>
          </w:tcPr>
          <w:p w14:paraId="6C719772"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825 </w:t>
            </w:r>
          </w:p>
        </w:tc>
      </w:tr>
      <w:tr w:rsidR="002656DA" w:rsidRPr="00A920E1" w14:paraId="0BE47701" w14:textId="77777777" w:rsidTr="002656DA">
        <w:trPr>
          <w:trHeight w:val="270"/>
        </w:trPr>
        <w:tc>
          <w:tcPr>
            <w:tcW w:w="3151" w:type="dxa"/>
            <w:gridSpan w:val="2"/>
            <w:tcBorders>
              <w:top w:val="single" w:sz="4" w:space="0" w:color="BFBFBF"/>
              <w:left w:val="nil"/>
              <w:bottom w:val="single" w:sz="4" w:space="0" w:color="BFBFBF"/>
              <w:right w:val="nil"/>
            </w:tcBorders>
            <w:shd w:val="clear" w:color="000000" w:fill="FFFFFF"/>
            <w:noWrap/>
            <w:vAlign w:val="bottom"/>
            <w:hideMark/>
          </w:tcPr>
          <w:p w14:paraId="121DA5B9" w14:textId="77777777" w:rsidR="00A920E1" w:rsidRPr="00A920E1" w:rsidRDefault="00A920E1" w:rsidP="00A920E1">
            <w:pPr>
              <w:spacing w:after="0" w:line="240" w:lineRule="auto"/>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Total assets</w:t>
            </w:r>
          </w:p>
        </w:tc>
        <w:tc>
          <w:tcPr>
            <w:tcW w:w="458" w:type="dxa"/>
            <w:tcBorders>
              <w:top w:val="nil"/>
              <w:left w:val="nil"/>
              <w:bottom w:val="single" w:sz="4" w:space="0" w:color="BFBFBF"/>
              <w:right w:val="nil"/>
            </w:tcBorders>
            <w:shd w:val="clear" w:color="000000" w:fill="FFFFFF"/>
            <w:noWrap/>
            <w:vAlign w:val="bottom"/>
            <w:hideMark/>
          </w:tcPr>
          <w:p w14:paraId="166B70F1"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single" w:sz="4" w:space="0" w:color="BFBFBF"/>
              <w:right w:val="nil"/>
            </w:tcBorders>
            <w:shd w:val="clear" w:color="000000" w:fill="FFFFFF"/>
            <w:noWrap/>
            <w:vAlign w:val="bottom"/>
            <w:hideMark/>
          </w:tcPr>
          <w:p w14:paraId="32D89303"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single" w:sz="4" w:space="0" w:color="BFBFBF"/>
              <w:right w:val="nil"/>
            </w:tcBorders>
            <w:shd w:val="clear" w:color="000000" w:fill="FFFFFF"/>
            <w:noWrap/>
            <w:vAlign w:val="bottom"/>
            <w:hideMark/>
          </w:tcPr>
          <w:p w14:paraId="398C9C2D"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single" w:sz="4" w:space="0" w:color="BFBFBF"/>
              <w:right w:val="nil"/>
            </w:tcBorders>
            <w:shd w:val="clear" w:color="000000" w:fill="FFFFFF"/>
            <w:noWrap/>
            <w:vAlign w:val="bottom"/>
            <w:hideMark/>
          </w:tcPr>
          <w:p w14:paraId="62504C21"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single" w:sz="4" w:space="0" w:color="BFBFBF"/>
              <w:right w:val="nil"/>
            </w:tcBorders>
            <w:shd w:val="clear" w:color="auto" w:fill="CCECFF"/>
            <w:noWrap/>
            <w:vAlign w:val="bottom"/>
            <w:hideMark/>
          </w:tcPr>
          <w:p w14:paraId="3D856967"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xml:space="preserve">9,346 </w:t>
            </w:r>
          </w:p>
        </w:tc>
        <w:tc>
          <w:tcPr>
            <w:tcW w:w="1276" w:type="dxa"/>
            <w:tcBorders>
              <w:top w:val="nil"/>
              <w:left w:val="nil"/>
              <w:bottom w:val="single" w:sz="4" w:space="0" w:color="BFBFBF"/>
              <w:right w:val="nil"/>
            </w:tcBorders>
            <w:shd w:val="clear" w:color="000000" w:fill="FFFFFF"/>
            <w:noWrap/>
            <w:vAlign w:val="center"/>
            <w:hideMark/>
          </w:tcPr>
          <w:p w14:paraId="42295EF9"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11,180 </w:t>
            </w:r>
          </w:p>
        </w:tc>
        <w:tc>
          <w:tcPr>
            <w:tcW w:w="1276" w:type="dxa"/>
            <w:tcBorders>
              <w:top w:val="nil"/>
              <w:left w:val="nil"/>
              <w:bottom w:val="single" w:sz="4" w:space="0" w:color="BFBFBF"/>
              <w:right w:val="nil"/>
            </w:tcBorders>
            <w:shd w:val="clear" w:color="000000" w:fill="FFFFFF"/>
            <w:noWrap/>
            <w:vAlign w:val="center"/>
            <w:hideMark/>
          </w:tcPr>
          <w:p w14:paraId="482D4608"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11,452 </w:t>
            </w:r>
          </w:p>
        </w:tc>
      </w:tr>
      <w:tr w:rsidR="002656DA" w:rsidRPr="00A920E1" w14:paraId="6F5D260E" w14:textId="77777777" w:rsidTr="002656DA">
        <w:trPr>
          <w:trHeight w:val="270"/>
        </w:trPr>
        <w:tc>
          <w:tcPr>
            <w:tcW w:w="3151" w:type="dxa"/>
            <w:gridSpan w:val="2"/>
            <w:tcBorders>
              <w:top w:val="nil"/>
              <w:left w:val="nil"/>
              <w:bottom w:val="nil"/>
              <w:right w:val="nil"/>
            </w:tcBorders>
            <w:shd w:val="clear" w:color="000000" w:fill="FFFFFF"/>
            <w:noWrap/>
            <w:vAlign w:val="bottom"/>
            <w:hideMark/>
          </w:tcPr>
          <w:p w14:paraId="56B60986"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lastRenderedPageBreak/>
              <w:t>Present value of liabilities:</w:t>
            </w:r>
          </w:p>
        </w:tc>
        <w:tc>
          <w:tcPr>
            <w:tcW w:w="458" w:type="dxa"/>
            <w:tcBorders>
              <w:top w:val="nil"/>
              <w:left w:val="nil"/>
              <w:bottom w:val="nil"/>
              <w:right w:val="nil"/>
            </w:tcBorders>
            <w:shd w:val="clear" w:color="000000" w:fill="FFFFFF"/>
            <w:noWrap/>
            <w:vAlign w:val="bottom"/>
            <w:hideMark/>
          </w:tcPr>
          <w:p w14:paraId="2098414F"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nil"/>
              <w:right w:val="nil"/>
            </w:tcBorders>
            <w:shd w:val="clear" w:color="000000" w:fill="FFFFFF"/>
            <w:noWrap/>
            <w:vAlign w:val="bottom"/>
            <w:hideMark/>
          </w:tcPr>
          <w:p w14:paraId="0C0E2F32"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nil"/>
              <w:right w:val="nil"/>
            </w:tcBorders>
            <w:shd w:val="clear" w:color="000000" w:fill="FFFFFF"/>
            <w:noWrap/>
            <w:vAlign w:val="bottom"/>
            <w:hideMark/>
          </w:tcPr>
          <w:p w14:paraId="17354D2F"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nil"/>
              <w:right w:val="nil"/>
            </w:tcBorders>
            <w:shd w:val="clear" w:color="000000" w:fill="FFFFFF"/>
            <w:noWrap/>
            <w:vAlign w:val="bottom"/>
            <w:hideMark/>
          </w:tcPr>
          <w:p w14:paraId="72DECA81"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680BAD2C" w14:textId="77777777" w:rsidR="00A920E1" w:rsidRPr="00A920E1" w:rsidRDefault="00A920E1" w:rsidP="00A920E1">
            <w:pPr>
              <w:spacing w:after="0" w:line="240" w:lineRule="auto"/>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w:t>
            </w:r>
          </w:p>
        </w:tc>
        <w:tc>
          <w:tcPr>
            <w:tcW w:w="1276" w:type="dxa"/>
            <w:tcBorders>
              <w:top w:val="nil"/>
              <w:left w:val="nil"/>
              <w:bottom w:val="nil"/>
              <w:right w:val="nil"/>
            </w:tcBorders>
            <w:shd w:val="clear" w:color="000000" w:fill="FFFFFF"/>
            <w:noWrap/>
            <w:vAlign w:val="bottom"/>
            <w:hideMark/>
          </w:tcPr>
          <w:p w14:paraId="22FF69FF"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1276" w:type="dxa"/>
            <w:tcBorders>
              <w:top w:val="nil"/>
              <w:left w:val="nil"/>
              <w:bottom w:val="nil"/>
              <w:right w:val="nil"/>
            </w:tcBorders>
            <w:shd w:val="clear" w:color="000000" w:fill="FFFFFF"/>
            <w:noWrap/>
            <w:vAlign w:val="center"/>
            <w:hideMark/>
          </w:tcPr>
          <w:p w14:paraId="3B921C86"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r>
      <w:tr w:rsidR="00A920E1" w:rsidRPr="00A920E1" w14:paraId="2D6AA8FD" w14:textId="77777777" w:rsidTr="002656DA">
        <w:trPr>
          <w:trHeight w:val="270"/>
        </w:trPr>
        <w:tc>
          <w:tcPr>
            <w:tcW w:w="2693" w:type="dxa"/>
            <w:tcBorders>
              <w:top w:val="nil"/>
              <w:left w:val="nil"/>
              <w:bottom w:val="nil"/>
              <w:right w:val="nil"/>
            </w:tcBorders>
            <w:shd w:val="clear" w:color="000000" w:fill="FFFFFF"/>
            <w:noWrap/>
            <w:vAlign w:val="bottom"/>
            <w:hideMark/>
          </w:tcPr>
          <w:p w14:paraId="6389DE12"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 - Pace</w:t>
            </w:r>
          </w:p>
        </w:tc>
        <w:tc>
          <w:tcPr>
            <w:tcW w:w="458" w:type="dxa"/>
            <w:tcBorders>
              <w:top w:val="nil"/>
              <w:left w:val="nil"/>
              <w:bottom w:val="nil"/>
              <w:right w:val="nil"/>
            </w:tcBorders>
            <w:shd w:val="clear" w:color="000000" w:fill="FFFFFF"/>
            <w:noWrap/>
            <w:vAlign w:val="bottom"/>
            <w:hideMark/>
          </w:tcPr>
          <w:p w14:paraId="3B194376"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nil"/>
              <w:right w:val="nil"/>
            </w:tcBorders>
            <w:shd w:val="clear" w:color="000000" w:fill="FFFFFF"/>
            <w:noWrap/>
            <w:vAlign w:val="bottom"/>
            <w:hideMark/>
          </w:tcPr>
          <w:p w14:paraId="533DE76C"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nil"/>
              <w:right w:val="nil"/>
            </w:tcBorders>
            <w:shd w:val="clear" w:color="000000" w:fill="FFFFFF"/>
            <w:noWrap/>
            <w:vAlign w:val="bottom"/>
            <w:hideMark/>
          </w:tcPr>
          <w:p w14:paraId="08E4071C"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nil"/>
              <w:right w:val="nil"/>
            </w:tcBorders>
            <w:shd w:val="clear" w:color="000000" w:fill="FFFFFF"/>
            <w:noWrap/>
            <w:vAlign w:val="bottom"/>
            <w:hideMark/>
          </w:tcPr>
          <w:p w14:paraId="2EF16DBA"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nil"/>
              <w:right w:val="nil"/>
            </w:tcBorders>
            <w:shd w:val="clear" w:color="000000" w:fill="FFFFFF"/>
            <w:noWrap/>
            <w:vAlign w:val="bottom"/>
            <w:hideMark/>
          </w:tcPr>
          <w:p w14:paraId="7F0B4704"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6EB06B79"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(5,117)</w:t>
            </w:r>
          </w:p>
        </w:tc>
        <w:tc>
          <w:tcPr>
            <w:tcW w:w="1276" w:type="dxa"/>
            <w:tcBorders>
              <w:top w:val="nil"/>
              <w:left w:val="nil"/>
              <w:bottom w:val="nil"/>
              <w:right w:val="nil"/>
            </w:tcBorders>
            <w:shd w:val="clear" w:color="000000" w:fill="FFFFFF"/>
            <w:noWrap/>
            <w:vAlign w:val="bottom"/>
            <w:hideMark/>
          </w:tcPr>
          <w:p w14:paraId="0117E717"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(7,461)</w:t>
            </w:r>
          </w:p>
        </w:tc>
        <w:tc>
          <w:tcPr>
            <w:tcW w:w="1276" w:type="dxa"/>
            <w:tcBorders>
              <w:top w:val="nil"/>
              <w:left w:val="nil"/>
              <w:bottom w:val="nil"/>
              <w:right w:val="nil"/>
            </w:tcBorders>
            <w:shd w:val="clear" w:color="000000" w:fill="FFFFFF"/>
            <w:noWrap/>
            <w:vAlign w:val="center"/>
            <w:hideMark/>
          </w:tcPr>
          <w:p w14:paraId="0D0900A6"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(7,399)</w:t>
            </w:r>
          </w:p>
        </w:tc>
      </w:tr>
      <w:tr w:rsidR="002656DA" w:rsidRPr="00A920E1" w14:paraId="57B871EB" w14:textId="77777777" w:rsidTr="002656DA">
        <w:trPr>
          <w:trHeight w:val="270"/>
        </w:trPr>
        <w:tc>
          <w:tcPr>
            <w:tcW w:w="3151" w:type="dxa"/>
            <w:gridSpan w:val="2"/>
            <w:tcBorders>
              <w:top w:val="nil"/>
              <w:left w:val="nil"/>
              <w:bottom w:val="nil"/>
              <w:right w:val="nil"/>
            </w:tcBorders>
            <w:shd w:val="clear" w:color="000000" w:fill="FFFFFF"/>
            <w:noWrap/>
            <w:vAlign w:val="bottom"/>
            <w:hideMark/>
          </w:tcPr>
          <w:p w14:paraId="6FE1B83A"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 - Somerfield scheme</w:t>
            </w:r>
          </w:p>
        </w:tc>
        <w:tc>
          <w:tcPr>
            <w:tcW w:w="458" w:type="dxa"/>
            <w:tcBorders>
              <w:top w:val="nil"/>
              <w:left w:val="nil"/>
              <w:bottom w:val="nil"/>
              <w:right w:val="nil"/>
            </w:tcBorders>
            <w:shd w:val="clear" w:color="000000" w:fill="FFFFFF"/>
            <w:noWrap/>
            <w:vAlign w:val="bottom"/>
            <w:hideMark/>
          </w:tcPr>
          <w:p w14:paraId="4165881D"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nil"/>
              <w:right w:val="nil"/>
            </w:tcBorders>
            <w:shd w:val="clear" w:color="000000" w:fill="FFFFFF"/>
            <w:noWrap/>
            <w:vAlign w:val="bottom"/>
            <w:hideMark/>
          </w:tcPr>
          <w:p w14:paraId="6F238624"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nil"/>
              <w:right w:val="nil"/>
            </w:tcBorders>
            <w:shd w:val="clear" w:color="000000" w:fill="FFFFFF"/>
            <w:noWrap/>
            <w:vAlign w:val="bottom"/>
            <w:hideMark/>
          </w:tcPr>
          <w:p w14:paraId="40DE0977"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nil"/>
              <w:right w:val="nil"/>
            </w:tcBorders>
            <w:shd w:val="clear" w:color="000000" w:fill="FFFFFF"/>
            <w:noWrap/>
            <w:vAlign w:val="bottom"/>
            <w:hideMark/>
          </w:tcPr>
          <w:p w14:paraId="211DF3C6"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151DA8BB"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(1,019)</w:t>
            </w:r>
          </w:p>
        </w:tc>
        <w:tc>
          <w:tcPr>
            <w:tcW w:w="1276" w:type="dxa"/>
            <w:tcBorders>
              <w:top w:val="nil"/>
              <w:left w:val="nil"/>
              <w:bottom w:val="nil"/>
              <w:right w:val="nil"/>
            </w:tcBorders>
            <w:shd w:val="clear" w:color="000000" w:fill="FFFFFF"/>
            <w:noWrap/>
            <w:vAlign w:val="bottom"/>
            <w:hideMark/>
          </w:tcPr>
          <w:p w14:paraId="2DDED172"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(1,102)</w:t>
            </w:r>
          </w:p>
        </w:tc>
        <w:tc>
          <w:tcPr>
            <w:tcW w:w="1276" w:type="dxa"/>
            <w:tcBorders>
              <w:top w:val="nil"/>
              <w:left w:val="nil"/>
              <w:bottom w:val="nil"/>
              <w:right w:val="nil"/>
            </w:tcBorders>
            <w:shd w:val="clear" w:color="000000" w:fill="FFFFFF"/>
            <w:noWrap/>
            <w:vAlign w:val="center"/>
            <w:hideMark/>
          </w:tcPr>
          <w:p w14:paraId="5815CF24"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(1,033)</w:t>
            </w:r>
          </w:p>
        </w:tc>
      </w:tr>
      <w:tr w:rsidR="002656DA" w:rsidRPr="00A920E1" w14:paraId="2F2A7C6C" w14:textId="77777777" w:rsidTr="002656DA">
        <w:trPr>
          <w:trHeight w:val="270"/>
        </w:trPr>
        <w:tc>
          <w:tcPr>
            <w:tcW w:w="3151" w:type="dxa"/>
            <w:gridSpan w:val="2"/>
            <w:tcBorders>
              <w:top w:val="nil"/>
              <w:left w:val="nil"/>
              <w:bottom w:val="nil"/>
              <w:right w:val="nil"/>
            </w:tcBorders>
            <w:shd w:val="clear" w:color="000000" w:fill="FFFFFF"/>
            <w:noWrap/>
            <w:vAlign w:val="bottom"/>
            <w:hideMark/>
          </w:tcPr>
          <w:p w14:paraId="59F7160B"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 - United scheme</w:t>
            </w:r>
          </w:p>
        </w:tc>
        <w:tc>
          <w:tcPr>
            <w:tcW w:w="458" w:type="dxa"/>
            <w:tcBorders>
              <w:top w:val="nil"/>
              <w:left w:val="nil"/>
              <w:bottom w:val="nil"/>
              <w:right w:val="nil"/>
            </w:tcBorders>
            <w:shd w:val="clear" w:color="000000" w:fill="FFFFFF"/>
            <w:noWrap/>
            <w:vAlign w:val="bottom"/>
            <w:hideMark/>
          </w:tcPr>
          <w:p w14:paraId="77157D62"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nil"/>
              <w:right w:val="nil"/>
            </w:tcBorders>
            <w:shd w:val="clear" w:color="000000" w:fill="FFFFFF"/>
            <w:noWrap/>
            <w:vAlign w:val="bottom"/>
            <w:hideMark/>
          </w:tcPr>
          <w:p w14:paraId="0E780D31"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nil"/>
              <w:right w:val="nil"/>
            </w:tcBorders>
            <w:shd w:val="clear" w:color="000000" w:fill="FFFFFF"/>
            <w:noWrap/>
            <w:vAlign w:val="bottom"/>
            <w:hideMark/>
          </w:tcPr>
          <w:p w14:paraId="2E9EDC8E"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nil"/>
              <w:right w:val="nil"/>
            </w:tcBorders>
            <w:shd w:val="clear" w:color="000000" w:fill="FFFFFF"/>
            <w:noWrap/>
            <w:vAlign w:val="bottom"/>
            <w:hideMark/>
          </w:tcPr>
          <w:p w14:paraId="1F7FFF91"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0C7C1833"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(746)</w:t>
            </w:r>
          </w:p>
        </w:tc>
        <w:tc>
          <w:tcPr>
            <w:tcW w:w="1276" w:type="dxa"/>
            <w:tcBorders>
              <w:top w:val="nil"/>
              <w:left w:val="nil"/>
              <w:bottom w:val="nil"/>
              <w:right w:val="nil"/>
            </w:tcBorders>
            <w:shd w:val="clear" w:color="000000" w:fill="FFFFFF"/>
            <w:noWrap/>
            <w:vAlign w:val="bottom"/>
            <w:hideMark/>
          </w:tcPr>
          <w:p w14:paraId="0FB90AB0"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(826)</w:t>
            </w:r>
          </w:p>
        </w:tc>
        <w:tc>
          <w:tcPr>
            <w:tcW w:w="1276" w:type="dxa"/>
            <w:tcBorders>
              <w:top w:val="nil"/>
              <w:left w:val="nil"/>
              <w:bottom w:val="nil"/>
              <w:right w:val="nil"/>
            </w:tcBorders>
            <w:shd w:val="clear" w:color="000000" w:fill="FFFFFF"/>
            <w:noWrap/>
            <w:vAlign w:val="center"/>
            <w:hideMark/>
          </w:tcPr>
          <w:p w14:paraId="48DBB138"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(758)</w:t>
            </w:r>
          </w:p>
        </w:tc>
      </w:tr>
      <w:tr w:rsidR="002656DA" w:rsidRPr="00A920E1" w14:paraId="35A8D8F8" w14:textId="77777777" w:rsidTr="002656DA">
        <w:trPr>
          <w:trHeight w:val="270"/>
        </w:trPr>
        <w:tc>
          <w:tcPr>
            <w:tcW w:w="3151" w:type="dxa"/>
            <w:gridSpan w:val="2"/>
            <w:tcBorders>
              <w:top w:val="nil"/>
              <w:left w:val="nil"/>
              <w:bottom w:val="single" w:sz="4" w:space="0" w:color="BFBFBF"/>
              <w:right w:val="nil"/>
            </w:tcBorders>
            <w:shd w:val="clear" w:color="000000" w:fill="FFFFFF"/>
            <w:noWrap/>
            <w:vAlign w:val="bottom"/>
            <w:hideMark/>
          </w:tcPr>
          <w:p w14:paraId="0BF4153A"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 - Unfunded liabilities</w:t>
            </w:r>
          </w:p>
        </w:tc>
        <w:tc>
          <w:tcPr>
            <w:tcW w:w="458" w:type="dxa"/>
            <w:tcBorders>
              <w:top w:val="nil"/>
              <w:left w:val="nil"/>
              <w:bottom w:val="single" w:sz="4" w:space="0" w:color="BFBFBF"/>
              <w:right w:val="nil"/>
            </w:tcBorders>
            <w:shd w:val="clear" w:color="000000" w:fill="FFFFFF"/>
            <w:noWrap/>
            <w:vAlign w:val="bottom"/>
            <w:hideMark/>
          </w:tcPr>
          <w:p w14:paraId="2DDF0B51"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single" w:sz="4" w:space="0" w:color="BFBFBF"/>
              <w:right w:val="nil"/>
            </w:tcBorders>
            <w:shd w:val="clear" w:color="000000" w:fill="FFFFFF"/>
            <w:noWrap/>
            <w:vAlign w:val="bottom"/>
            <w:hideMark/>
          </w:tcPr>
          <w:p w14:paraId="60C1F392"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single" w:sz="4" w:space="0" w:color="BFBFBF"/>
              <w:right w:val="nil"/>
            </w:tcBorders>
            <w:shd w:val="clear" w:color="000000" w:fill="FFFFFF"/>
            <w:noWrap/>
            <w:vAlign w:val="bottom"/>
            <w:hideMark/>
          </w:tcPr>
          <w:p w14:paraId="0BAA1D61"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single" w:sz="4" w:space="0" w:color="BFBFBF"/>
              <w:right w:val="nil"/>
            </w:tcBorders>
            <w:shd w:val="clear" w:color="000000" w:fill="FFFFFF"/>
            <w:noWrap/>
            <w:vAlign w:val="bottom"/>
            <w:hideMark/>
          </w:tcPr>
          <w:p w14:paraId="1835D6F3"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single" w:sz="4" w:space="0" w:color="BFBFBF"/>
              <w:right w:val="nil"/>
            </w:tcBorders>
            <w:shd w:val="clear" w:color="auto" w:fill="CCECFF"/>
            <w:noWrap/>
            <w:vAlign w:val="bottom"/>
            <w:hideMark/>
          </w:tcPr>
          <w:p w14:paraId="6483F168"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(4)</w:t>
            </w:r>
          </w:p>
        </w:tc>
        <w:tc>
          <w:tcPr>
            <w:tcW w:w="1276" w:type="dxa"/>
            <w:tcBorders>
              <w:top w:val="nil"/>
              <w:left w:val="nil"/>
              <w:bottom w:val="single" w:sz="4" w:space="0" w:color="BFBFBF"/>
              <w:right w:val="nil"/>
            </w:tcBorders>
            <w:shd w:val="clear" w:color="000000" w:fill="FFFFFF"/>
            <w:noWrap/>
            <w:vAlign w:val="bottom"/>
            <w:hideMark/>
          </w:tcPr>
          <w:p w14:paraId="34D10769"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(5)</w:t>
            </w:r>
          </w:p>
        </w:tc>
        <w:tc>
          <w:tcPr>
            <w:tcW w:w="1276" w:type="dxa"/>
            <w:tcBorders>
              <w:top w:val="nil"/>
              <w:left w:val="nil"/>
              <w:bottom w:val="single" w:sz="4" w:space="0" w:color="BFBFBF"/>
              <w:right w:val="nil"/>
            </w:tcBorders>
            <w:shd w:val="clear" w:color="000000" w:fill="FFFFFF"/>
            <w:noWrap/>
            <w:vAlign w:val="center"/>
            <w:hideMark/>
          </w:tcPr>
          <w:p w14:paraId="52161ECF"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(4)</w:t>
            </w:r>
          </w:p>
        </w:tc>
      </w:tr>
      <w:tr w:rsidR="002656DA" w:rsidRPr="00A920E1" w14:paraId="51D4F118" w14:textId="77777777" w:rsidTr="002656DA">
        <w:trPr>
          <w:trHeight w:val="270"/>
        </w:trPr>
        <w:tc>
          <w:tcPr>
            <w:tcW w:w="3151" w:type="dxa"/>
            <w:gridSpan w:val="2"/>
            <w:tcBorders>
              <w:top w:val="single" w:sz="4" w:space="0" w:color="BFBFBF"/>
              <w:left w:val="nil"/>
              <w:bottom w:val="single" w:sz="4" w:space="0" w:color="BFBFBF"/>
              <w:right w:val="nil"/>
            </w:tcBorders>
            <w:shd w:val="clear" w:color="000000" w:fill="FFFFFF"/>
            <w:noWrap/>
            <w:vAlign w:val="bottom"/>
            <w:hideMark/>
          </w:tcPr>
          <w:p w14:paraId="29987FE8" w14:textId="77777777" w:rsidR="00A920E1" w:rsidRPr="00A920E1" w:rsidRDefault="00A920E1" w:rsidP="00A920E1">
            <w:pPr>
              <w:spacing w:after="0" w:line="240" w:lineRule="auto"/>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Total liabilities</w:t>
            </w:r>
          </w:p>
        </w:tc>
        <w:tc>
          <w:tcPr>
            <w:tcW w:w="458" w:type="dxa"/>
            <w:tcBorders>
              <w:top w:val="nil"/>
              <w:left w:val="nil"/>
              <w:bottom w:val="single" w:sz="4" w:space="0" w:color="BFBFBF"/>
              <w:right w:val="nil"/>
            </w:tcBorders>
            <w:shd w:val="clear" w:color="000000" w:fill="FFFFFF"/>
            <w:noWrap/>
            <w:vAlign w:val="bottom"/>
            <w:hideMark/>
          </w:tcPr>
          <w:p w14:paraId="5A6FAAA4"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single" w:sz="4" w:space="0" w:color="BFBFBF"/>
              <w:right w:val="nil"/>
            </w:tcBorders>
            <w:shd w:val="clear" w:color="000000" w:fill="FFFFFF"/>
            <w:noWrap/>
            <w:vAlign w:val="bottom"/>
            <w:hideMark/>
          </w:tcPr>
          <w:p w14:paraId="08F23ABC"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single" w:sz="4" w:space="0" w:color="BFBFBF"/>
              <w:right w:val="nil"/>
            </w:tcBorders>
            <w:shd w:val="clear" w:color="000000" w:fill="FFFFFF"/>
            <w:noWrap/>
            <w:vAlign w:val="bottom"/>
            <w:hideMark/>
          </w:tcPr>
          <w:p w14:paraId="4FC3FA04"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single" w:sz="4" w:space="0" w:color="BFBFBF"/>
              <w:right w:val="nil"/>
            </w:tcBorders>
            <w:shd w:val="clear" w:color="000000" w:fill="FFFFFF"/>
            <w:noWrap/>
            <w:vAlign w:val="bottom"/>
            <w:hideMark/>
          </w:tcPr>
          <w:p w14:paraId="2C5B3C61"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single" w:sz="4" w:space="0" w:color="BFBFBF"/>
              <w:right w:val="nil"/>
            </w:tcBorders>
            <w:shd w:val="clear" w:color="auto" w:fill="CCECFF"/>
            <w:noWrap/>
            <w:vAlign w:val="bottom"/>
            <w:hideMark/>
          </w:tcPr>
          <w:p w14:paraId="43280F4F"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(6,886)</w:t>
            </w:r>
          </w:p>
        </w:tc>
        <w:tc>
          <w:tcPr>
            <w:tcW w:w="1276" w:type="dxa"/>
            <w:tcBorders>
              <w:top w:val="nil"/>
              <w:left w:val="nil"/>
              <w:bottom w:val="single" w:sz="4" w:space="0" w:color="BFBFBF"/>
              <w:right w:val="nil"/>
            </w:tcBorders>
            <w:shd w:val="clear" w:color="000000" w:fill="FFFFFF"/>
            <w:noWrap/>
            <w:vAlign w:val="center"/>
            <w:hideMark/>
          </w:tcPr>
          <w:p w14:paraId="72E01AC5"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(9,394)</w:t>
            </w:r>
          </w:p>
        </w:tc>
        <w:tc>
          <w:tcPr>
            <w:tcW w:w="1276" w:type="dxa"/>
            <w:tcBorders>
              <w:top w:val="nil"/>
              <w:left w:val="nil"/>
              <w:bottom w:val="single" w:sz="4" w:space="0" w:color="BFBFBF"/>
              <w:right w:val="nil"/>
            </w:tcBorders>
            <w:shd w:val="clear" w:color="000000" w:fill="FFFFFF"/>
            <w:noWrap/>
            <w:vAlign w:val="center"/>
            <w:hideMark/>
          </w:tcPr>
          <w:p w14:paraId="1A6FE5F0"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(9,194)</w:t>
            </w:r>
          </w:p>
        </w:tc>
      </w:tr>
      <w:tr w:rsidR="002656DA" w:rsidRPr="00A920E1" w14:paraId="139D6422" w14:textId="77777777" w:rsidTr="002656DA">
        <w:trPr>
          <w:trHeight w:val="255"/>
        </w:trPr>
        <w:tc>
          <w:tcPr>
            <w:tcW w:w="2693" w:type="dxa"/>
            <w:tcBorders>
              <w:top w:val="nil"/>
              <w:left w:val="nil"/>
              <w:bottom w:val="nil"/>
              <w:right w:val="nil"/>
            </w:tcBorders>
            <w:shd w:val="clear" w:color="000000" w:fill="FFFFFF"/>
            <w:noWrap/>
            <w:vAlign w:val="bottom"/>
            <w:hideMark/>
          </w:tcPr>
          <w:p w14:paraId="7131F571" w14:textId="77777777" w:rsidR="00A920E1" w:rsidRPr="00A920E1" w:rsidRDefault="00A920E1" w:rsidP="00A920E1">
            <w:pPr>
              <w:spacing w:after="0" w:line="240" w:lineRule="auto"/>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w:t>
            </w:r>
          </w:p>
        </w:tc>
        <w:tc>
          <w:tcPr>
            <w:tcW w:w="458" w:type="dxa"/>
            <w:tcBorders>
              <w:top w:val="nil"/>
              <w:left w:val="nil"/>
              <w:bottom w:val="nil"/>
              <w:right w:val="nil"/>
            </w:tcBorders>
            <w:shd w:val="clear" w:color="000000" w:fill="FFFFFF"/>
            <w:noWrap/>
            <w:vAlign w:val="bottom"/>
            <w:hideMark/>
          </w:tcPr>
          <w:p w14:paraId="24A1D415" w14:textId="77777777" w:rsidR="00A920E1" w:rsidRPr="00A920E1" w:rsidRDefault="00A920E1" w:rsidP="00A920E1">
            <w:pPr>
              <w:spacing w:after="0" w:line="240" w:lineRule="auto"/>
              <w:rPr>
                <w:rFonts w:ascii="Arial" w:eastAsia="Times New Roman" w:hAnsi="Arial" w:cs="Arial"/>
                <w:b/>
                <w:bCs/>
                <w:sz w:val="20"/>
                <w:szCs w:val="20"/>
                <w:lang w:eastAsia="en-GB"/>
              </w:rPr>
            </w:pPr>
            <w:r w:rsidRPr="00A920E1">
              <w:rPr>
                <w:rFonts w:ascii="Arial" w:eastAsia="Times New Roman" w:hAnsi="Arial" w:cs="Arial"/>
                <w:b/>
                <w:bCs/>
                <w:sz w:val="20"/>
                <w:szCs w:val="20"/>
                <w:lang w:eastAsia="en-GB"/>
              </w:rPr>
              <w:t> </w:t>
            </w:r>
          </w:p>
        </w:tc>
        <w:tc>
          <w:tcPr>
            <w:tcW w:w="458" w:type="dxa"/>
            <w:tcBorders>
              <w:top w:val="nil"/>
              <w:left w:val="nil"/>
              <w:bottom w:val="nil"/>
              <w:right w:val="nil"/>
            </w:tcBorders>
            <w:shd w:val="clear" w:color="000000" w:fill="FFFFFF"/>
            <w:noWrap/>
            <w:vAlign w:val="bottom"/>
            <w:hideMark/>
          </w:tcPr>
          <w:p w14:paraId="6F51EFFC" w14:textId="77777777" w:rsidR="00A920E1" w:rsidRPr="00A920E1" w:rsidRDefault="00A920E1" w:rsidP="00A920E1">
            <w:pPr>
              <w:spacing w:after="0" w:line="240" w:lineRule="auto"/>
              <w:rPr>
                <w:rFonts w:ascii="Arial" w:eastAsia="Times New Roman" w:hAnsi="Arial" w:cs="Arial"/>
                <w:b/>
                <w:bCs/>
                <w:sz w:val="20"/>
                <w:szCs w:val="20"/>
                <w:lang w:eastAsia="en-GB"/>
              </w:rPr>
            </w:pPr>
            <w:r w:rsidRPr="00A920E1">
              <w:rPr>
                <w:rFonts w:ascii="Arial" w:eastAsia="Times New Roman" w:hAnsi="Arial" w:cs="Arial"/>
                <w:b/>
                <w:bCs/>
                <w:sz w:val="20"/>
                <w:szCs w:val="20"/>
                <w:lang w:eastAsia="en-GB"/>
              </w:rPr>
              <w:t> </w:t>
            </w:r>
          </w:p>
        </w:tc>
        <w:tc>
          <w:tcPr>
            <w:tcW w:w="458" w:type="dxa"/>
            <w:tcBorders>
              <w:top w:val="nil"/>
              <w:left w:val="nil"/>
              <w:bottom w:val="nil"/>
              <w:right w:val="nil"/>
            </w:tcBorders>
            <w:shd w:val="clear" w:color="000000" w:fill="FFFFFF"/>
            <w:noWrap/>
            <w:vAlign w:val="bottom"/>
            <w:hideMark/>
          </w:tcPr>
          <w:p w14:paraId="357085E4" w14:textId="77777777" w:rsidR="00A920E1" w:rsidRPr="00A920E1" w:rsidRDefault="00A920E1" w:rsidP="00A920E1">
            <w:pPr>
              <w:spacing w:after="0" w:line="240" w:lineRule="auto"/>
              <w:rPr>
                <w:rFonts w:ascii="Arial" w:eastAsia="Times New Roman" w:hAnsi="Arial" w:cs="Arial"/>
                <w:b/>
                <w:bCs/>
                <w:sz w:val="20"/>
                <w:szCs w:val="20"/>
                <w:lang w:eastAsia="en-GB"/>
              </w:rPr>
            </w:pPr>
            <w:r w:rsidRPr="00A920E1">
              <w:rPr>
                <w:rFonts w:ascii="Arial" w:eastAsia="Times New Roman" w:hAnsi="Arial" w:cs="Arial"/>
                <w:b/>
                <w:bCs/>
                <w:sz w:val="20"/>
                <w:szCs w:val="20"/>
                <w:lang w:eastAsia="en-GB"/>
              </w:rPr>
              <w:t> </w:t>
            </w:r>
          </w:p>
        </w:tc>
        <w:tc>
          <w:tcPr>
            <w:tcW w:w="458" w:type="dxa"/>
            <w:tcBorders>
              <w:top w:val="nil"/>
              <w:left w:val="nil"/>
              <w:bottom w:val="nil"/>
              <w:right w:val="nil"/>
            </w:tcBorders>
            <w:shd w:val="clear" w:color="000000" w:fill="FFFFFF"/>
            <w:noWrap/>
            <w:vAlign w:val="bottom"/>
            <w:hideMark/>
          </w:tcPr>
          <w:p w14:paraId="38CD52AC" w14:textId="77777777" w:rsidR="00A920E1" w:rsidRPr="00A920E1" w:rsidRDefault="00A920E1" w:rsidP="00A920E1">
            <w:pPr>
              <w:spacing w:after="0" w:line="240" w:lineRule="auto"/>
              <w:rPr>
                <w:rFonts w:ascii="Arial" w:eastAsia="Times New Roman" w:hAnsi="Arial" w:cs="Arial"/>
                <w:b/>
                <w:bCs/>
                <w:sz w:val="20"/>
                <w:szCs w:val="20"/>
                <w:lang w:eastAsia="en-GB"/>
              </w:rPr>
            </w:pPr>
            <w:r w:rsidRPr="00A920E1">
              <w:rPr>
                <w:rFonts w:ascii="Arial" w:eastAsia="Times New Roman" w:hAnsi="Arial" w:cs="Arial"/>
                <w:b/>
                <w:bCs/>
                <w:sz w:val="20"/>
                <w:szCs w:val="20"/>
                <w:lang w:eastAsia="en-GB"/>
              </w:rPr>
              <w:t> </w:t>
            </w:r>
          </w:p>
        </w:tc>
        <w:tc>
          <w:tcPr>
            <w:tcW w:w="1991" w:type="dxa"/>
            <w:tcBorders>
              <w:top w:val="nil"/>
              <w:left w:val="nil"/>
              <w:bottom w:val="nil"/>
              <w:right w:val="nil"/>
            </w:tcBorders>
            <w:shd w:val="clear" w:color="000000" w:fill="FFFFFF"/>
            <w:noWrap/>
            <w:vAlign w:val="bottom"/>
            <w:hideMark/>
          </w:tcPr>
          <w:p w14:paraId="37E957F7" w14:textId="77777777" w:rsidR="00A920E1" w:rsidRPr="00A920E1" w:rsidRDefault="00A920E1" w:rsidP="00A920E1">
            <w:pPr>
              <w:spacing w:after="0" w:line="240" w:lineRule="auto"/>
              <w:rPr>
                <w:rFonts w:ascii="Arial" w:eastAsia="Times New Roman" w:hAnsi="Arial" w:cs="Arial"/>
                <w:b/>
                <w:bCs/>
                <w:sz w:val="20"/>
                <w:szCs w:val="20"/>
                <w:lang w:eastAsia="en-GB"/>
              </w:rPr>
            </w:pPr>
            <w:r w:rsidRPr="00A920E1">
              <w:rPr>
                <w:rFonts w:ascii="Arial" w:eastAsia="Times New Roman" w:hAnsi="Arial" w:cs="Arial"/>
                <w:b/>
                <w:bCs/>
                <w:sz w:val="20"/>
                <w:szCs w:val="20"/>
                <w:lang w:eastAsia="en-GB"/>
              </w:rPr>
              <w:t> </w:t>
            </w:r>
          </w:p>
        </w:tc>
        <w:tc>
          <w:tcPr>
            <w:tcW w:w="1033" w:type="dxa"/>
            <w:tcBorders>
              <w:top w:val="nil"/>
              <w:left w:val="nil"/>
              <w:bottom w:val="nil"/>
              <w:right w:val="nil"/>
            </w:tcBorders>
            <w:shd w:val="clear" w:color="000000" w:fill="FFFFFF"/>
            <w:noWrap/>
            <w:vAlign w:val="bottom"/>
            <w:hideMark/>
          </w:tcPr>
          <w:p w14:paraId="0DE08383" w14:textId="77777777" w:rsidR="00A920E1" w:rsidRPr="00A920E1" w:rsidRDefault="00A920E1" w:rsidP="00A920E1">
            <w:pPr>
              <w:spacing w:after="0" w:line="240" w:lineRule="auto"/>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w:t>
            </w:r>
          </w:p>
        </w:tc>
        <w:tc>
          <w:tcPr>
            <w:tcW w:w="1276" w:type="dxa"/>
            <w:tcBorders>
              <w:top w:val="nil"/>
              <w:left w:val="nil"/>
              <w:bottom w:val="nil"/>
              <w:right w:val="nil"/>
            </w:tcBorders>
            <w:shd w:val="clear" w:color="000000" w:fill="FFFFFF"/>
            <w:noWrap/>
            <w:vAlign w:val="bottom"/>
            <w:hideMark/>
          </w:tcPr>
          <w:p w14:paraId="7921F7D3"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1276" w:type="dxa"/>
            <w:tcBorders>
              <w:top w:val="nil"/>
              <w:left w:val="nil"/>
              <w:bottom w:val="nil"/>
              <w:right w:val="nil"/>
            </w:tcBorders>
            <w:shd w:val="clear" w:color="000000" w:fill="FFFFFF"/>
            <w:noWrap/>
            <w:vAlign w:val="bottom"/>
            <w:hideMark/>
          </w:tcPr>
          <w:p w14:paraId="272D658C" w14:textId="77777777" w:rsidR="00A920E1" w:rsidRPr="00A920E1" w:rsidRDefault="00A920E1" w:rsidP="00A920E1">
            <w:pPr>
              <w:spacing w:after="0" w:line="240" w:lineRule="auto"/>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w:t>
            </w:r>
          </w:p>
        </w:tc>
      </w:tr>
      <w:tr w:rsidR="002656DA" w:rsidRPr="00A920E1" w14:paraId="48854187" w14:textId="77777777" w:rsidTr="002656DA">
        <w:trPr>
          <w:trHeight w:val="255"/>
        </w:trPr>
        <w:tc>
          <w:tcPr>
            <w:tcW w:w="4525" w:type="dxa"/>
            <w:gridSpan w:val="5"/>
            <w:tcBorders>
              <w:top w:val="nil"/>
              <w:left w:val="nil"/>
              <w:bottom w:val="single" w:sz="4" w:space="0" w:color="BFBFBF"/>
              <w:right w:val="nil"/>
            </w:tcBorders>
            <w:shd w:val="clear" w:color="000000" w:fill="FFFFFF"/>
            <w:noWrap/>
            <w:vAlign w:val="bottom"/>
            <w:hideMark/>
          </w:tcPr>
          <w:p w14:paraId="18172FA4" w14:textId="77777777" w:rsidR="00A920E1" w:rsidRPr="00A920E1" w:rsidRDefault="00A920E1" w:rsidP="00A920E1">
            <w:pPr>
              <w:spacing w:after="0" w:line="240" w:lineRule="auto"/>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Net retirement benefit asset per balance sheet:</w:t>
            </w:r>
          </w:p>
        </w:tc>
        <w:tc>
          <w:tcPr>
            <w:tcW w:w="1991" w:type="dxa"/>
            <w:tcBorders>
              <w:top w:val="nil"/>
              <w:left w:val="nil"/>
              <w:bottom w:val="single" w:sz="4" w:space="0" w:color="BFBFBF"/>
              <w:right w:val="nil"/>
            </w:tcBorders>
            <w:shd w:val="clear" w:color="000000" w:fill="FFFFFF"/>
            <w:noWrap/>
            <w:vAlign w:val="bottom"/>
            <w:hideMark/>
          </w:tcPr>
          <w:p w14:paraId="4C8B5E66"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single" w:sz="4" w:space="0" w:color="BFBFBF"/>
              <w:right w:val="nil"/>
            </w:tcBorders>
            <w:shd w:val="clear" w:color="000000" w:fill="FFFFFF"/>
            <w:noWrap/>
            <w:vAlign w:val="bottom"/>
            <w:hideMark/>
          </w:tcPr>
          <w:p w14:paraId="19B15542" w14:textId="77777777" w:rsidR="00A920E1" w:rsidRPr="00A920E1" w:rsidRDefault="00A920E1" w:rsidP="00A920E1">
            <w:pPr>
              <w:spacing w:after="0" w:line="240" w:lineRule="auto"/>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w:t>
            </w:r>
          </w:p>
        </w:tc>
        <w:tc>
          <w:tcPr>
            <w:tcW w:w="1276" w:type="dxa"/>
            <w:tcBorders>
              <w:top w:val="nil"/>
              <w:left w:val="nil"/>
              <w:bottom w:val="single" w:sz="4" w:space="0" w:color="BFBFBF"/>
              <w:right w:val="nil"/>
            </w:tcBorders>
            <w:shd w:val="clear" w:color="000000" w:fill="FFFFFF"/>
            <w:noWrap/>
            <w:vAlign w:val="bottom"/>
            <w:hideMark/>
          </w:tcPr>
          <w:p w14:paraId="43209586"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1276" w:type="dxa"/>
            <w:tcBorders>
              <w:top w:val="nil"/>
              <w:left w:val="nil"/>
              <w:bottom w:val="single" w:sz="4" w:space="0" w:color="BFBFBF"/>
              <w:right w:val="nil"/>
            </w:tcBorders>
            <w:shd w:val="clear" w:color="000000" w:fill="FFFFFF"/>
            <w:noWrap/>
            <w:vAlign w:val="center"/>
            <w:hideMark/>
          </w:tcPr>
          <w:p w14:paraId="541519A2"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r>
      <w:tr w:rsidR="00A920E1" w:rsidRPr="00A920E1" w14:paraId="2A58525A" w14:textId="77777777" w:rsidTr="002656DA">
        <w:trPr>
          <w:trHeight w:val="270"/>
        </w:trPr>
        <w:tc>
          <w:tcPr>
            <w:tcW w:w="2693" w:type="dxa"/>
            <w:tcBorders>
              <w:top w:val="nil"/>
              <w:left w:val="nil"/>
              <w:bottom w:val="nil"/>
              <w:right w:val="nil"/>
            </w:tcBorders>
            <w:shd w:val="clear" w:color="000000" w:fill="FFFFFF"/>
            <w:noWrap/>
            <w:vAlign w:val="bottom"/>
            <w:hideMark/>
          </w:tcPr>
          <w:p w14:paraId="3B2FC48A"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Pace</w:t>
            </w:r>
          </w:p>
        </w:tc>
        <w:tc>
          <w:tcPr>
            <w:tcW w:w="458" w:type="dxa"/>
            <w:tcBorders>
              <w:top w:val="nil"/>
              <w:left w:val="nil"/>
              <w:bottom w:val="nil"/>
              <w:right w:val="nil"/>
            </w:tcBorders>
            <w:shd w:val="clear" w:color="000000" w:fill="FFFFFF"/>
            <w:noWrap/>
            <w:vAlign w:val="bottom"/>
            <w:hideMark/>
          </w:tcPr>
          <w:p w14:paraId="3293BC93"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nil"/>
              <w:right w:val="nil"/>
            </w:tcBorders>
            <w:shd w:val="clear" w:color="000000" w:fill="FFFFFF"/>
            <w:noWrap/>
            <w:vAlign w:val="bottom"/>
            <w:hideMark/>
          </w:tcPr>
          <w:p w14:paraId="68B61018"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nil"/>
              <w:right w:val="nil"/>
            </w:tcBorders>
            <w:shd w:val="clear" w:color="000000" w:fill="FFFFFF"/>
            <w:noWrap/>
            <w:vAlign w:val="bottom"/>
            <w:hideMark/>
          </w:tcPr>
          <w:p w14:paraId="2B944781"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nil"/>
              <w:right w:val="nil"/>
            </w:tcBorders>
            <w:shd w:val="clear" w:color="000000" w:fill="FFFFFF"/>
            <w:noWrap/>
            <w:vAlign w:val="bottom"/>
            <w:hideMark/>
          </w:tcPr>
          <w:p w14:paraId="7287F115"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nil"/>
              <w:right w:val="nil"/>
            </w:tcBorders>
            <w:shd w:val="clear" w:color="000000" w:fill="FFFFFF"/>
            <w:noWrap/>
            <w:vAlign w:val="bottom"/>
            <w:hideMark/>
          </w:tcPr>
          <w:p w14:paraId="6438AEEF"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6D9BEDD9"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xml:space="preserve">2,279 </w:t>
            </w:r>
          </w:p>
        </w:tc>
        <w:tc>
          <w:tcPr>
            <w:tcW w:w="1276" w:type="dxa"/>
            <w:tcBorders>
              <w:top w:val="nil"/>
              <w:left w:val="nil"/>
              <w:bottom w:val="nil"/>
              <w:right w:val="nil"/>
            </w:tcBorders>
            <w:shd w:val="clear" w:color="000000" w:fill="FFFFFF"/>
            <w:noWrap/>
            <w:vAlign w:val="center"/>
            <w:hideMark/>
          </w:tcPr>
          <w:p w14:paraId="120094AC"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1,728 </w:t>
            </w:r>
          </w:p>
        </w:tc>
        <w:tc>
          <w:tcPr>
            <w:tcW w:w="1276" w:type="dxa"/>
            <w:tcBorders>
              <w:top w:val="nil"/>
              <w:left w:val="nil"/>
              <w:bottom w:val="nil"/>
              <w:right w:val="nil"/>
            </w:tcBorders>
            <w:shd w:val="clear" w:color="000000" w:fill="FFFFFF"/>
            <w:noWrap/>
            <w:vAlign w:val="center"/>
            <w:hideMark/>
          </w:tcPr>
          <w:p w14:paraId="3B544142"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2,087 </w:t>
            </w:r>
          </w:p>
        </w:tc>
      </w:tr>
      <w:tr w:rsidR="002656DA" w:rsidRPr="00A920E1" w14:paraId="524AC5E9" w14:textId="77777777" w:rsidTr="002656DA">
        <w:trPr>
          <w:trHeight w:val="270"/>
        </w:trPr>
        <w:tc>
          <w:tcPr>
            <w:tcW w:w="3151" w:type="dxa"/>
            <w:gridSpan w:val="2"/>
            <w:tcBorders>
              <w:top w:val="nil"/>
              <w:left w:val="nil"/>
              <w:bottom w:val="nil"/>
              <w:right w:val="nil"/>
            </w:tcBorders>
            <w:shd w:val="clear" w:color="000000" w:fill="FFFFFF"/>
            <w:noWrap/>
            <w:vAlign w:val="bottom"/>
            <w:hideMark/>
          </w:tcPr>
          <w:p w14:paraId="195C0437"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Somerfield scheme</w:t>
            </w:r>
          </w:p>
        </w:tc>
        <w:tc>
          <w:tcPr>
            <w:tcW w:w="458" w:type="dxa"/>
            <w:tcBorders>
              <w:top w:val="nil"/>
              <w:left w:val="nil"/>
              <w:bottom w:val="nil"/>
              <w:right w:val="nil"/>
            </w:tcBorders>
            <w:shd w:val="clear" w:color="000000" w:fill="FFFFFF"/>
            <w:noWrap/>
            <w:vAlign w:val="bottom"/>
            <w:hideMark/>
          </w:tcPr>
          <w:p w14:paraId="7A1A6A53"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nil"/>
              <w:right w:val="nil"/>
            </w:tcBorders>
            <w:shd w:val="clear" w:color="000000" w:fill="FFFFFF"/>
            <w:noWrap/>
            <w:vAlign w:val="bottom"/>
            <w:hideMark/>
          </w:tcPr>
          <w:p w14:paraId="626DE2C5"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nil"/>
              <w:right w:val="nil"/>
            </w:tcBorders>
            <w:shd w:val="clear" w:color="000000" w:fill="FFFFFF"/>
            <w:noWrap/>
            <w:vAlign w:val="bottom"/>
            <w:hideMark/>
          </w:tcPr>
          <w:p w14:paraId="2CA179B5"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nil"/>
              <w:right w:val="nil"/>
            </w:tcBorders>
            <w:shd w:val="clear" w:color="000000" w:fill="FFFFFF"/>
            <w:noWrap/>
            <w:vAlign w:val="bottom"/>
            <w:hideMark/>
          </w:tcPr>
          <w:p w14:paraId="49C6DBEF"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6CF04F17"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xml:space="preserve">109 </w:t>
            </w:r>
          </w:p>
        </w:tc>
        <w:tc>
          <w:tcPr>
            <w:tcW w:w="1276" w:type="dxa"/>
            <w:tcBorders>
              <w:top w:val="nil"/>
              <w:left w:val="nil"/>
              <w:bottom w:val="nil"/>
              <w:right w:val="nil"/>
            </w:tcBorders>
            <w:shd w:val="clear" w:color="000000" w:fill="FFFFFF"/>
            <w:noWrap/>
            <w:vAlign w:val="center"/>
            <w:hideMark/>
          </w:tcPr>
          <w:p w14:paraId="5A171B71"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71 </w:t>
            </w:r>
          </w:p>
        </w:tc>
        <w:tc>
          <w:tcPr>
            <w:tcW w:w="1276" w:type="dxa"/>
            <w:tcBorders>
              <w:top w:val="nil"/>
              <w:left w:val="nil"/>
              <w:bottom w:val="nil"/>
              <w:right w:val="nil"/>
            </w:tcBorders>
            <w:shd w:val="clear" w:color="000000" w:fill="FFFFFF"/>
            <w:noWrap/>
            <w:vAlign w:val="center"/>
            <w:hideMark/>
          </w:tcPr>
          <w:p w14:paraId="4384A215"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108 </w:t>
            </w:r>
          </w:p>
        </w:tc>
      </w:tr>
      <w:tr w:rsidR="002656DA" w:rsidRPr="00A920E1" w14:paraId="52A8CEDB" w14:textId="77777777" w:rsidTr="002656DA">
        <w:trPr>
          <w:trHeight w:val="270"/>
        </w:trPr>
        <w:tc>
          <w:tcPr>
            <w:tcW w:w="3151" w:type="dxa"/>
            <w:gridSpan w:val="2"/>
            <w:tcBorders>
              <w:top w:val="nil"/>
              <w:left w:val="nil"/>
              <w:bottom w:val="nil"/>
              <w:right w:val="nil"/>
            </w:tcBorders>
            <w:shd w:val="clear" w:color="000000" w:fill="FFFFFF"/>
            <w:noWrap/>
            <w:vAlign w:val="bottom"/>
            <w:hideMark/>
          </w:tcPr>
          <w:p w14:paraId="19976406"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United scheme</w:t>
            </w:r>
          </w:p>
        </w:tc>
        <w:tc>
          <w:tcPr>
            <w:tcW w:w="458" w:type="dxa"/>
            <w:tcBorders>
              <w:top w:val="nil"/>
              <w:left w:val="nil"/>
              <w:bottom w:val="nil"/>
              <w:right w:val="nil"/>
            </w:tcBorders>
            <w:shd w:val="clear" w:color="000000" w:fill="FFFFFF"/>
            <w:noWrap/>
            <w:vAlign w:val="bottom"/>
            <w:hideMark/>
          </w:tcPr>
          <w:p w14:paraId="5FE4EEA1"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nil"/>
              <w:right w:val="nil"/>
            </w:tcBorders>
            <w:shd w:val="clear" w:color="000000" w:fill="FFFFFF"/>
            <w:noWrap/>
            <w:vAlign w:val="bottom"/>
            <w:hideMark/>
          </w:tcPr>
          <w:p w14:paraId="6CA37605"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nil"/>
              <w:right w:val="nil"/>
            </w:tcBorders>
            <w:shd w:val="clear" w:color="000000" w:fill="FFFFFF"/>
            <w:noWrap/>
            <w:vAlign w:val="bottom"/>
            <w:hideMark/>
          </w:tcPr>
          <w:p w14:paraId="55F38E5C"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nil"/>
              <w:right w:val="nil"/>
            </w:tcBorders>
            <w:shd w:val="clear" w:color="000000" w:fill="FFFFFF"/>
            <w:noWrap/>
            <w:vAlign w:val="bottom"/>
            <w:hideMark/>
          </w:tcPr>
          <w:p w14:paraId="7BA932AA"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25099C65"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xml:space="preserve">76 </w:t>
            </w:r>
          </w:p>
        </w:tc>
        <w:tc>
          <w:tcPr>
            <w:tcW w:w="1276" w:type="dxa"/>
            <w:tcBorders>
              <w:top w:val="nil"/>
              <w:left w:val="nil"/>
              <w:bottom w:val="nil"/>
              <w:right w:val="nil"/>
            </w:tcBorders>
            <w:shd w:val="clear" w:color="000000" w:fill="FFFFFF"/>
            <w:noWrap/>
            <w:vAlign w:val="center"/>
            <w:hideMark/>
          </w:tcPr>
          <w:p w14:paraId="7CC1933F"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 </w:t>
            </w:r>
          </w:p>
        </w:tc>
        <w:tc>
          <w:tcPr>
            <w:tcW w:w="1276" w:type="dxa"/>
            <w:tcBorders>
              <w:top w:val="nil"/>
              <w:left w:val="nil"/>
              <w:bottom w:val="nil"/>
              <w:right w:val="nil"/>
            </w:tcBorders>
            <w:shd w:val="clear" w:color="000000" w:fill="FFFFFF"/>
            <w:noWrap/>
            <w:vAlign w:val="center"/>
            <w:hideMark/>
          </w:tcPr>
          <w:p w14:paraId="293ADFCF"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67 </w:t>
            </w:r>
          </w:p>
        </w:tc>
      </w:tr>
      <w:tr w:rsidR="002656DA" w:rsidRPr="00A920E1" w14:paraId="6CEC29DA" w14:textId="77777777" w:rsidTr="002656DA">
        <w:trPr>
          <w:trHeight w:val="270"/>
        </w:trPr>
        <w:tc>
          <w:tcPr>
            <w:tcW w:w="3151" w:type="dxa"/>
            <w:gridSpan w:val="2"/>
            <w:tcBorders>
              <w:top w:val="single" w:sz="4" w:space="0" w:color="BFBFBF"/>
              <w:left w:val="nil"/>
              <w:bottom w:val="single" w:sz="4" w:space="0" w:color="BFBFBF"/>
              <w:right w:val="nil"/>
            </w:tcBorders>
            <w:shd w:val="clear" w:color="000000" w:fill="FFFFFF"/>
            <w:noWrap/>
            <w:vAlign w:val="bottom"/>
            <w:hideMark/>
          </w:tcPr>
          <w:p w14:paraId="31148C6A" w14:textId="77777777" w:rsidR="00A920E1" w:rsidRPr="00A920E1" w:rsidRDefault="00A920E1" w:rsidP="00A920E1">
            <w:pPr>
              <w:spacing w:after="0" w:line="240" w:lineRule="auto"/>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Total assets</w:t>
            </w:r>
          </w:p>
        </w:tc>
        <w:tc>
          <w:tcPr>
            <w:tcW w:w="458" w:type="dxa"/>
            <w:tcBorders>
              <w:top w:val="single" w:sz="4" w:space="0" w:color="BFBFBF"/>
              <w:left w:val="nil"/>
              <w:bottom w:val="single" w:sz="4" w:space="0" w:color="BFBFBF"/>
              <w:right w:val="nil"/>
            </w:tcBorders>
            <w:shd w:val="clear" w:color="000000" w:fill="FFFFFF"/>
            <w:noWrap/>
            <w:vAlign w:val="bottom"/>
            <w:hideMark/>
          </w:tcPr>
          <w:p w14:paraId="7C5B84B6"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single" w:sz="4" w:space="0" w:color="BFBFBF"/>
              <w:left w:val="nil"/>
              <w:bottom w:val="single" w:sz="4" w:space="0" w:color="BFBFBF"/>
              <w:right w:val="nil"/>
            </w:tcBorders>
            <w:shd w:val="clear" w:color="000000" w:fill="FFFFFF"/>
            <w:noWrap/>
            <w:vAlign w:val="bottom"/>
            <w:hideMark/>
          </w:tcPr>
          <w:p w14:paraId="5DFF41E3"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single" w:sz="4" w:space="0" w:color="BFBFBF"/>
              <w:left w:val="nil"/>
              <w:bottom w:val="single" w:sz="4" w:space="0" w:color="BFBFBF"/>
              <w:right w:val="nil"/>
            </w:tcBorders>
            <w:shd w:val="clear" w:color="000000" w:fill="FFFFFF"/>
            <w:noWrap/>
            <w:vAlign w:val="bottom"/>
            <w:hideMark/>
          </w:tcPr>
          <w:p w14:paraId="248F8067"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single" w:sz="4" w:space="0" w:color="BFBFBF"/>
              <w:left w:val="nil"/>
              <w:bottom w:val="single" w:sz="4" w:space="0" w:color="BFBFBF"/>
              <w:right w:val="nil"/>
            </w:tcBorders>
            <w:shd w:val="clear" w:color="000000" w:fill="FFFFFF"/>
            <w:noWrap/>
            <w:vAlign w:val="bottom"/>
            <w:hideMark/>
          </w:tcPr>
          <w:p w14:paraId="303DA837"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single" w:sz="4" w:space="0" w:color="BFBFBF"/>
              <w:left w:val="nil"/>
              <w:bottom w:val="single" w:sz="4" w:space="0" w:color="BFBFBF"/>
              <w:right w:val="nil"/>
            </w:tcBorders>
            <w:shd w:val="clear" w:color="auto" w:fill="CCECFF"/>
            <w:noWrap/>
            <w:vAlign w:val="bottom"/>
            <w:hideMark/>
          </w:tcPr>
          <w:p w14:paraId="486B13AE"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xml:space="preserve">2,464 </w:t>
            </w:r>
          </w:p>
        </w:tc>
        <w:tc>
          <w:tcPr>
            <w:tcW w:w="1276" w:type="dxa"/>
            <w:tcBorders>
              <w:top w:val="single" w:sz="4" w:space="0" w:color="BFBFBF"/>
              <w:left w:val="nil"/>
              <w:bottom w:val="single" w:sz="4" w:space="0" w:color="BFBFBF"/>
              <w:right w:val="nil"/>
            </w:tcBorders>
            <w:shd w:val="clear" w:color="000000" w:fill="FFFFFF"/>
            <w:noWrap/>
            <w:vAlign w:val="center"/>
            <w:hideMark/>
          </w:tcPr>
          <w:p w14:paraId="4EDEE1E9"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1,799 </w:t>
            </w:r>
          </w:p>
        </w:tc>
        <w:tc>
          <w:tcPr>
            <w:tcW w:w="1276" w:type="dxa"/>
            <w:tcBorders>
              <w:top w:val="single" w:sz="4" w:space="0" w:color="BFBFBF"/>
              <w:left w:val="nil"/>
              <w:bottom w:val="single" w:sz="4" w:space="0" w:color="BFBFBF"/>
              <w:right w:val="nil"/>
            </w:tcBorders>
            <w:shd w:val="clear" w:color="000000" w:fill="FFFFFF"/>
            <w:noWrap/>
            <w:vAlign w:val="center"/>
            <w:hideMark/>
          </w:tcPr>
          <w:p w14:paraId="578D9078"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2,262 </w:t>
            </w:r>
          </w:p>
        </w:tc>
      </w:tr>
      <w:tr w:rsidR="002656DA" w:rsidRPr="00A920E1" w14:paraId="76AC9A9B" w14:textId="77777777" w:rsidTr="002656DA">
        <w:trPr>
          <w:trHeight w:val="270"/>
        </w:trPr>
        <w:tc>
          <w:tcPr>
            <w:tcW w:w="3151" w:type="dxa"/>
            <w:gridSpan w:val="2"/>
            <w:tcBorders>
              <w:top w:val="nil"/>
              <w:left w:val="nil"/>
              <w:bottom w:val="nil"/>
              <w:right w:val="nil"/>
            </w:tcBorders>
            <w:shd w:val="clear" w:color="000000" w:fill="FFFFFF"/>
            <w:noWrap/>
            <w:vAlign w:val="bottom"/>
            <w:hideMark/>
          </w:tcPr>
          <w:p w14:paraId="3B0E7D5E"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United scheme</w:t>
            </w:r>
          </w:p>
        </w:tc>
        <w:tc>
          <w:tcPr>
            <w:tcW w:w="458" w:type="dxa"/>
            <w:tcBorders>
              <w:top w:val="nil"/>
              <w:left w:val="nil"/>
              <w:bottom w:val="nil"/>
              <w:right w:val="nil"/>
            </w:tcBorders>
            <w:shd w:val="clear" w:color="000000" w:fill="FFFFFF"/>
            <w:noWrap/>
            <w:vAlign w:val="bottom"/>
            <w:hideMark/>
          </w:tcPr>
          <w:p w14:paraId="35EC4BA7"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nil"/>
              <w:right w:val="nil"/>
            </w:tcBorders>
            <w:shd w:val="clear" w:color="000000" w:fill="FFFFFF"/>
            <w:noWrap/>
            <w:vAlign w:val="bottom"/>
            <w:hideMark/>
          </w:tcPr>
          <w:p w14:paraId="451F0A9A"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nil"/>
              <w:right w:val="nil"/>
            </w:tcBorders>
            <w:shd w:val="clear" w:color="000000" w:fill="FFFFFF"/>
            <w:noWrap/>
            <w:vAlign w:val="bottom"/>
            <w:hideMark/>
          </w:tcPr>
          <w:p w14:paraId="52E693FB"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nil"/>
              <w:right w:val="nil"/>
            </w:tcBorders>
            <w:shd w:val="clear" w:color="000000" w:fill="FFFFFF"/>
            <w:noWrap/>
            <w:vAlign w:val="bottom"/>
            <w:hideMark/>
          </w:tcPr>
          <w:p w14:paraId="72C7DC72"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78610090"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xml:space="preserve">- </w:t>
            </w:r>
          </w:p>
        </w:tc>
        <w:tc>
          <w:tcPr>
            <w:tcW w:w="1276" w:type="dxa"/>
            <w:tcBorders>
              <w:top w:val="nil"/>
              <w:left w:val="nil"/>
              <w:bottom w:val="nil"/>
              <w:right w:val="nil"/>
            </w:tcBorders>
            <w:shd w:val="clear" w:color="000000" w:fill="FFFFFF"/>
            <w:noWrap/>
            <w:vAlign w:val="center"/>
            <w:hideMark/>
          </w:tcPr>
          <w:p w14:paraId="3C5F9DF5"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(8)</w:t>
            </w:r>
          </w:p>
        </w:tc>
        <w:tc>
          <w:tcPr>
            <w:tcW w:w="1276" w:type="dxa"/>
            <w:tcBorders>
              <w:top w:val="nil"/>
              <w:left w:val="nil"/>
              <w:bottom w:val="nil"/>
              <w:right w:val="nil"/>
            </w:tcBorders>
            <w:shd w:val="clear" w:color="000000" w:fill="FFFFFF"/>
            <w:noWrap/>
            <w:vAlign w:val="center"/>
            <w:hideMark/>
          </w:tcPr>
          <w:p w14:paraId="3B3B8D68"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 </w:t>
            </w:r>
          </w:p>
        </w:tc>
      </w:tr>
      <w:tr w:rsidR="002656DA" w:rsidRPr="00A920E1" w14:paraId="5B272213" w14:textId="77777777" w:rsidTr="002656DA">
        <w:trPr>
          <w:trHeight w:val="270"/>
        </w:trPr>
        <w:tc>
          <w:tcPr>
            <w:tcW w:w="3151" w:type="dxa"/>
            <w:gridSpan w:val="2"/>
            <w:tcBorders>
              <w:top w:val="nil"/>
              <w:left w:val="nil"/>
              <w:bottom w:val="single" w:sz="4" w:space="0" w:color="BFBFBF"/>
              <w:right w:val="nil"/>
            </w:tcBorders>
            <w:shd w:val="clear" w:color="000000" w:fill="FFFFFF"/>
            <w:noWrap/>
            <w:vAlign w:val="bottom"/>
            <w:hideMark/>
          </w:tcPr>
          <w:p w14:paraId="56B4259E"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Unfunded liabilities</w:t>
            </w:r>
          </w:p>
        </w:tc>
        <w:tc>
          <w:tcPr>
            <w:tcW w:w="458" w:type="dxa"/>
            <w:tcBorders>
              <w:top w:val="nil"/>
              <w:left w:val="nil"/>
              <w:bottom w:val="single" w:sz="4" w:space="0" w:color="BFBFBF"/>
              <w:right w:val="nil"/>
            </w:tcBorders>
            <w:shd w:val="clear" w:color="000000" w:fill="FFFFFF"/>
            <w:noWrap/>
            <w:vAlign w:val="bottom"/>
            <w:hideMark/>
          </w:tcPr>
          <w:p w14:paraId="5813FB3C"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single" w:sz="4" w:space="0" w:color="BFBFBF"/>
              <w:right w:val="nil"/>
            </w:tcBorders>
            <w:shd w:val="clear" w:color="000000" w:fill="FFFFFF"/>
            <w:noWrap/>
            <w:vAlign w:val="bottom"/>
            <w:hideMark/>
          </w:tcPr>
          <w:p w14:paraId="119A08AA"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single" w:sz="4" w:space="0" w:color="BFBFBF"/>
              <w:right w:val="nil"/>
            </w:tcBorders>
            <w:shd w:val="clear" w:color="000000" w:fill="FFFFFF"/>
            <w:noWrap/>
            <w:vAlign w:val="bottom"/>
            <w:hideMark/>
          </w:tcPr>
          <w:p w14:paraId="5D4B0965"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single" w:sz="4" w:space="0" w:color="BFBFBF"/>
              <w:right w:val="nil"/>
            </w:tcBorders>
            <w:shd w:val="clear" w:color="000000" w:fill="FFFFFF"/>
            <w:noWrap/>
            <w:vAlign w:val="bottom"/>
            <w:hideMark/>
          </w:tcPr>
          <w:p w14:paraId="22B444E8"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single" w:sz="4" w:space="0" w:color="BFBFBF"/>
              <w:right w:val="nil"/>
            </w:tcBorders>
            <w:shd w:val="clear" w:color="auto" w:fill="CCECFF"/>
            <w:noWrap/>
            <w:vAlign w:val="bottom"/>
            <w:hideMark/>
          </w:tcPr>
          <w:p w14:paraId="78C42A41"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(4)</w:t>
            </w:r>
          </w:p>
        </w:tc>
        <w:tc>
          <w:tcPr>
            <w:tcW w:w="1276" w:type="dxa"/>
            <w:tcBorders>
              <w:top w:val="nil"/>
              <w:left w:val="nil"/>
              <w:bottom w:val="single" w:sz="4" w:space="0" w:color="BFBFBF"/>
              <w:right w:val="nil"/>
            </w:tcBorders>
            <w:shd w:val="clear" w:color="000000" w:fill="FFFFFF"/>
            <w:noWrap/>
            <w:vAlign w:val="center"/>
            <w:hideMark/>
          </w:tcPr>
          <w:p w14:paraId="189605BD"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(5)</w:t>
            </w:r>
          </w:p>
        </w:tc>
        <w:tc>
          <w:tcPr>
            <w:tcW w:w="1276" w:type="dxa"/>
            <w:tcBorders>
              <w:top w:val="nil"/>
              <w:left w:val="nil"/>
              <w:bottom w:val="single" w:sz="4" w:space="0" w:color="BFBFBF"/>
              <w:right w:val="nil"/>
            </w:tcBorders>
            <w:shd w:val="clear" w:color="000000" w:fill="FFFFFF"/>
            <w:noWrap/>
            <w:vAlign w:val="center"/>
            <w:hideMark/>
          </w:tcPr>
          <w:p w14:paraId="4E66DC88"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(4)</w:t>
            </w:r>
          </w:p>
        </w:tc>
      </w:tr>
      <w:tr w:rsidR="002656DA" w:rsidRPr="00A920E1" w14:paraId="6E8D19D6" w14:textId="77777777" w:rsidTr="002656DA">
        <w:trPr>
          <w:trHeight w:val="270"/>
        </w:trPr>
        <w:tc>
          <w:tcPr>
            <w:tcW w:w="3151" w:type="dxa"/>
            <w:gridSpan w:val="2"/>
            <w:tcBorders>
              <w:top w:val="single" w:sz="4" w:space="0" w:color="BFBFBF"/>
              <w:left w:val="nil"/>
              <w:bottom w:val="single" w:sz="4" w:space="0" w:color="BFBFBF"/>
              <w:right w:val="nil"/>
            </w:tcBorders>
            <w:shd w:val="clear" w:color="000000" w:fill="FFFFFF"/>
            <w:noWrap/>
            <w:vAlign w:val="bottom"/>
            <w:hideMark/>
          </w:tcPr>
          <w:p w14:paraId="0753167C" w14:textId="77777777" w:rsidR="00A920E1" w:rsidRPr="00A920E1" w:rsidRDefault="00A920E1" w:rsidP="00A920E1">
            <w:pPr>
              <w:spacing w:after="0" w:line="240" w:lineRule="auto"/>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Total Liabilities</w:t>
            </w:r>
          </w:p>
        </w:tc>
        <w:tc>
          <w:tcPr>
            <w:tcW w:w="458" w:type="dxa"/>
            <w:tcBorders>
              <w:top w:val="nil"/>
              <w:left w:val="nil"/>
              <w:bottom w:val="single" w:sz="4" w:space="0" w:color="BFBFBF"/>
              <w:right w:val="nil"/>
            </w:tcBorders>
            <w:shd w:val="clear" w:color="000000" w:fill="FFFFFF"/>
            <w:noWrap/>
            <w:vAlign w:val="bottom"/>
            <w:hideMark/>
          </w:tcPr>
          <w:p w14:paraId="199255E3"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458" w:type="dxa"/>
            <w:tcBorders>
              <w:top w:val="nil"/>
              <w:left w:val="nil"/>
              <w:bottom w:val="single" w:sz="4" w:space="0" w:color="BFBFBF"/>
              <w:right w:val="nil"/>
            </w:tcBorders>
            <w:shd w:val="clear" w:color="000000" w:fill="FFFFFF"/>
            <w:noWrap/>
            <w:vAlign w:val="bottom"/>
            <w:hideMark/>
          </w:tcPr>
          <w:p w14:paraId="1DF599D8"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458" w:type="dxa"/>
            <w:tcBorders>
              <w:top w:val="nil"/>
              <w:left w:val="nil"/>
              <w:bottom w:val="single" w:sz="4" w:space="0" w:color="BFBFBF"/>
              <w:right w:val="nil"/>
            </w:tcBorders>
            <w:shd w:val="clear" w:color="000000" w:fill="FFFFFF"/>
            <w:noWrap/>
            <w:vAlign w:val="bottom"/>
            <w:hideMark/>
          </w:tcPr>
          <w:p w14:paraId="721BA5AB"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991" w:type="dxa"/>
            <w:tcBorders>
              <w:top w:val="nil"/>
              <w:left w:val="nil"/>
              <w:bottom w:val="single" w:sz="4" w:space="0" w:color="BFBFBF"/>
              <w:right w:val="nil"/>
            </w:tcBorders>
            <w:shd w:val="clear" w:color="000000" w:fill="FFFFFF"/>
            <w:noWrap/>
            <w:vAlign w:val="bottom"/>
            <w:hideMark/>
          </w:tcPr>
          <w:p w14:paraId="29AF85C9" w14:textId="77777777" w:rsidR="00A920E1" w:rsidRPr="00A920E1" w:rsidRDefault="00A920E1" w:rsidP="00A920E1">
            <w:pPr>
              <w:spacing w:after="0" w:line="240" w:lineRule="auto"/>
              <w:jc w:val="right"/>
              <w:rPr>
                <w:rFonts w:ascii="Arial" w:eastAsia="Times New Roman" w:hAnsi="Arial" w:cs="Arial"/>
                <w:sz w:val="14"/>
                <w:szCs w:val="14"/>
                <w:lang w:eastAsia="en-GB"/>
              </w:rPr>
            </w:pPr>
            <w:r w:rsidRPr="00A920E1">
              <w:rPr>
                <w:rFonts w:ascii="Arial" w:eastAsia="Times New Roman" w:hAnsi="Arial" w:cs="Arial"/>
                <w:sz w:val="14"/>
                <w:szCs w:val="14"/>
                <w:lang w:eastAsia="en-GB"/>
              </w:rPr>
              <w:t> </w:t>
            </w:r>
          </w:p>
        </w:tc>
        <w:tc>
          <w:tcPr>
            <w:tcW w:w="1033" w:type="dxa"/>
            <w:tcBorders>
              <w:top w:val="nil"/>
              <w:left w:val="nil"/>
              <w:bottom w:val="single" w:sz="4" w:space="0" w:color="BFBFBF"/>
              <w:right w:val="nil"/>
            </w:tcBorders>
            <w:shd w:val="clear" w:color="auto" w:fill="CCECFF"/>
            <w:noWrap/>
            <w:vAlign w:val="bottom"/>
            <w:hideMark/>
          </w:tcPr>
          <w:p w14:paraId="4DAC42D1"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(4)</w:t>
            </w:r>
          </w:p>
        </w:tc>
        <w:tc>
          <w:tcPr>
            <w:tcW w:w="1276" w:type="dxa"/>
            <w:tcBorders>
              <w:top w:val="nil"/>
              <w:left w:val="nil"/>
              <w:bottom w:val="single" w:sz="4" w:space="0" w:color="BFBFBF"/>
              <w:right w:val="nil"/>
            </w:tcBorders>
            <w:shd w:val="clear" w:color="000000" w:fill="FFFFFF"/>
            <w:noWrap/>
            <w:vAlign w:val="center"/>
            <w:hideMark/>
          </w:tcPr>
          <w:p w14:paraId="648C1AC0"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(13)</w:t>
            </w:r>
          </w:p>
        </w:tc>
        <w:tc>
          <w:tcPr>
            <w:tcW w:w="1276" w:type="dxa"/>
            <w:tcBorders>
              <w:top w:val="nil"/>
              <w:left w:val="nil"/>
              <w:bottom w:val="single" w:sz="4" w:space="0" w:color="BFBFBF"/>
              <w:right w:val="nil"/>
            </w:tcBorders>
            <w:shd w:val="clear" w:color="000000" w:fill="FFFFFF"/>
            <w:noWrap/>
            <w:vAlign w:val="center"/>
            <w:hideMark/>
          </w:tcPr>
          <w:p w14:paraId="6DEB14E2"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(4)</w:t>
            </w:r>
          </w:p>
        </w:tc>
      </w:tr>
      <w:tr w:rsidR="002656DA" w:rsidRPr="00A920E1" w14:paraId="5ED09BE2" w14:textId="77777777" w:rsidTr="002656DA">
        <w:trPr>
          <w:trHeight w:val="240"/>
        </w:trPr>
        <w:tc>
          <w:tcPr>
            <w:tcW w:w="2693" w:type="dxa"/>
            <w:tcBorders>
              <w:top w:val="nil"/>
              <w:left w:val="nil"/>
              <w:bottom w:val="nil"/>
              <w:right w:val="nil"/>
            </w:tcBorders>
            <w:shd w:val="clear" w:color="000000" w:fill="FFFFFF"/>
            <w:noWrap/>
            <w:vAlign w:val="bottom"/>
            <w:hideMark/>
          </w:tcPr>
          <w:p w14:paraId="36250AC6" w14:textId="77777777" w:rsidR="00A920E1" w:rsidRPr="00A920E1" w:rsidRDefault="00A920E1" w:rsidP="00A920E1">
            <w:pPr>
              <w:spacing w:after="0" w:line="240" w:lineRule="auto"/>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w:t>
            </w:r>
          </w:p>
        </w:tc>
        <w:tc>
          <w:tcPr>
            <w:tcW w:w="458" w:type="dxa"/>
            <w:tcBorders>
              <w:top w:val="nil"/>
              <w:left w:val="nil"/>
              <w:bottom w:val="nil"/>
              <w:right w:val="nil"/>
            </w:tcBorders>
            <w:shd w:val="clear" w:color="000000" w:fill="FFFFFF"/>
            <w:noWrap/>
            <w:vAlign w:val="bottom"/>
            <w:hideMark/>
          </w:tcPr>
          <w:p w14:paraId="461B144A" w14:textId="77777777" w:rsidR="00A920E1" w:rsidRPr="00A920E1" w:rsidRDefault="00A920E1" w:rsidP="00A920E1">
            <w:pPr>
              <w:spacing w:after="0" w:line="240" w:lineRule="auto"/>
              <w:rPr>
                <w:rFonts w:ascii="Arial" w:eastAsia="Times New Roman" w:hAnsi="Arial" w:cs="Arial"/>
                <w:b/>
                <w:bCs/>
                <w:sz w:val="20"/>
                <w:szCs w:val="20"/>
                <w:lang w:eastAsia="en-GB"/>
              </w:rPr>
            </w:pPr>
            <w:r w:rsidRPr="00A920E1">
              <w:rPr>
                <w:rFonts w:ascii="Arial" w:eastAsia="Times New Roman" w:hAnsi="Arial" w:cs="Arial"/>
                <w:b/>
                <w:bCs/>
                <w:sz w:val="20"/>
                <w:szCs w:val="20"/>
                <w:lang w:eastAsia="en-GB"/>
              </w:rPr>
              <w:t> </w:t>
            </w:r>
          </w:p>
        </w:tc>
        <w:tc>
          <w:tcPr>
            <w:tcW w:w="458" w:type="dxa"/>
            <w:tcBorders>
              <w:top w:val="nil"/>
              <w:left w:val="nil"/>
              <w:bottom w:val="nil"/>
              <w:right w:val="nil"/>
            </w:tcBorders>
            <w:shd w:val="clear" w:color="000000" w:fill="FFFFFF"/>
            <w:noWrap/>
            <w:vAlign w:val="bottom"/>
            <w:hideMark/>
          </w:tcPr>
          <w:p w14:paraId="17E623DE" w14:textId="77777777" w:rsidR="00A920E1" w:rsidRPr="00A920E1" w:rsidRDefault="00A920E1" w:rsidP="00A920E1">
            <w:pPr>
              <w:spacing w:after="0" w:line="240" w:lineRule="auto"/>
              <w:rPr>
                <w:rFonts w:ascii="Arial" w:eastAsia="Times New Roman" w:hAnsi="Arial" w:cs="Arial"/>
                <w:b/>
                <w:bCs/>
                <w:sz w:val="20"/>
                <w:szCs w:val="20"/>
                <w:lang w:eastAsia="en-GB"/>
              </w:rPr>
            </w:pPr>
            <w:r w:rsidRPr="00A920E1">
              <w:rPr>
                <w:rFonts w:ascii="Arial" w:eastAsia="Times New Roman" w:hAnsi="Arial" w:cs="Arial"/>
                <w:b/>
                <w:bCs/>
                <w:sz w:val="20"/>
                <w:szCs w:val="20"/>
                <w:lang w:eastAsia="en-GB"/>
              </w:rPr>
              <w:t> </w:t>
            </w:r>
          </w:p>
        </w:tc>
        <w:tc>
          <w:tcPr>
            <w:tcW w:w="458" w:type="dxa"/>
            <w:tcBorders>
              <w:top w:val="nil"/>
              <w:left w:val="nil"/>
              <w:bottom w:val="nil"/>
              <w:right w:val="nil"/>
            </w:tcBorders>
            <w:shd w:val="clear" w:color="000000" w:fill="FFFFFF"/>
            <w:noWrap/>
            <w:vAlign w:val="bottom"/>
            <w:hideMark/>
          </w:tcPr>
          <w:p w14:paraId="72FAABF9" w14:textId="77777777" w:rsidR="00A920E1" w:rsidRPr="00A920E1" w:rsidRDefault="00A920E1" w:rsidP="00A920E1">
            <w:pPr>
              <w:spacing w:after="0" w:line="240" w:lineRule="auto"/>
              <w:rPr>
                <w:rFonts w:ascii="Arial" w:eastAsia="Times New Roman" w:hAnsi="Arial" w:cs="Arial"/>
                <w:b/>
                <w:bCs/>
                <w:sz w:val="20"/>
                <w:szCs w:val="20"/>
                <w:lang w:eastAsia="en-GB"/>
              </w:rPr>
            </w:pPr>
            <w:r w:rsidRPr="00A920E1">
              <w:rPr>
                <w:rFonts w:ascii="Arial" w:eastAsia="Times New Roman" w:hAnsi="Arial" w:cs="Arial"/>
                <w:b/>
                <w:bCs/>
                <w:sz w:val="20"/>
                <w:szCs w:val="20"/>
                <w:lang w:eastAsia="en-GB"/>
              </w:rPr>
              <w:t> </w:t>
            </w:r>
          </w:p>
        </w:tc>
        <w:tc>
          <w:tcPr>
            <w:tcW w:w="458" w:type="dxa"/>
            <w:tcBorders>
              <w:top w:val="nil"/>
              <w:left w:val="nil"/>
              <w:bottom w:val="nil"/>
              <w:right w:val="nil"/>
            </w:tcBorders>
            <w:shd w:val="clear" w:color="000000" w:fill="FFFFFF"/>
            <w:noWrap/>
            <w:vAlign w:val="bottom"/>
            <w:hideMark/>
          </w:tcPr>
          <w:p w14:paraId="15A475BB" w14:textId="77777777" w:rsidR="00A920E1" w:rsidRPr="00A920E1" w:rsidRDefault="00A920E1" w:rsidP="00A920E1">
            <w:pPr>
              <w:spacing w:after="0" w:line="240" w:lineRule="auto"/>
              <w:rPr>
                <w:rFonts w:ascii="Arial" w:eastAsia="Times New Roman" w:hAnsi="Arial" w:cs="Arial"/>
                <w:b/>
                <w:bCs/>
                <w:sz w:val="20"/>
                <w:szCs w:val="20"/>
                <w:lang w:eastAsia="en-GB"/>
              </w:rPr>
            </w:pPr>
            <w:r w:rsidRPr="00A920E1">
              <w:rPr>
                <w:rFonts w:ascii="Arial" w:eastAsia="Times New Roman" w:hAnsi="Arial" w:cs="Arial"/>
                <w:b/>
                <w:bCs/>
                <w:sz w:val="20"/>
                <w:szCs w:val="20"/>
                <w:lang w:eastAsia="en-GB"/>
              </w:rPr>
              <w:t> </w:t>
            </w:r>
          </w:p>
        </w:tc>
        <w:tc>
          <w:tcPr>
            <w:tcW w:w="1991" w:type="dxa"/>
            <w:tcBorders>
              <w:top w:val="nil"/>
              <w:left w:val="nil"/>
              <w:bottom w:val="nil"/>
              <w:right w:val="nil"/>
            </w:tcBorders>
            <w:shd w:val="clear" w:color="000000" w:fill="FFFFFF"/>
            <w:noWrap/>
            <w:vAlign w:val="bottom"/>
            <w:hideMark/>
          </w:tcPr>
          <w:p w14:paraId="61454D97" w14:textId="77777777" w:rsidR="00A920E1" w:rsidRPr="00A920E1" w:rsidRDefault="00A920E1" w:rsidP="00A920E1">
            <w:pPr>
              <w:spacing w:after="0" w:line="240" w:lineRule="auto"/>
              <w:rPr>
                <w:rFonts w:ascii="Arial" w:eastAsia="Times New Roman" w:hAnsi="Arial" w:cs="Arial"/>
                <w:b/>
                <w:bCs/>
                <w:sz w:val="20"/>
                <w:szCs w:val="20"/>
                <w:lang w:eastAsia="en-GB"/>
              </w:rPr>
            </w:pPr>
            <w:r w:rsidRPr="00A920E1">
              <w:rPr>
                <w:rFonts w:ascii="Arial" w:eastAsia="Times New Roman" w:hAnsi="Arial" w:cs="Arial"/>
                <w:b/>
                <w:bCs/>
                <w:sz w:val="20"/>
                <w:szCs w:val="20"/>
                <w:lang w:eastAsia="en-GB"/>
              </w:rPr>
              <w:t> </w:t>
            </w:r>
          </w:p>
        </w:tc>
        <w:tc>
          <w:tcPr>
            <w:tcW w:w="1033" w:type="dxa"/>
            <w:tcBorders>
              <w:top w:val="nil"/>
              <w:left w:val="nil"/>
              <w:bottom w:val="nil"/>
              <w:right w:val="nil"/>
            </w:tcBorders>
            <w:shd w:val="clear" w:color="000000" w:fill="FFFFFF"/>
            <w:noWrap/>
            <w:vAlign w:val="bottom"/>
            <w:hideMark/>
          </w:tcPr>
          <w:p w14:paraId="3ABE7EB6" w14:textId="77777777" w:rsidR="00A920E1" w:rsidRPr="00A920E1" w:rsidRDefault="00A920E1" w:rsidP="00A920E1">
            <w:pPr>
              <w:spacing w:after="0" w:line="240" w:lineRule="auto"/>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w:t>
            </w:r>
          </w:p>
        </w:tc>
        <w:tc>
          <w:tcPr>
            <w:tcW w:w="1276" w:type="dxa"/>
            <w:tcBorders>
              <w:top w:val="nil"/>
              <w:left w:val="nil"/>
              <w:bottom w:val="nil"/>
              <w:right w:val="nil"/>
            </w:tcBorders>
            <w:shd w:val="clear" w:color="000000" w:fill="FFFFFF"/>
            <w:noWrap/>
            <w:vAlign w:val="bottom"/>
            <w:hideMark/>
          </w:tcPr>
          <w:p w14:paraId="390FD253" w14:textId="77777777" w:rsidR="00A920E1" w:rsidRPr="00A920E1" w:rsidRDefault="00A920E1" w:rsidP="00A920E1">
            <w:pPr>
              <w:spacing w:after="0" w:line="240" w:lineRule="auto"/>
              <w:rPr>
                <w:rFonts w:ascii="Arial" w:eastAsia="Times New Roman" w:hAnsi="Arial" w:cs="Arial"/>
                <w:sz w:val="15"/>
                <w:szCs w:val="15"/>
                <w:lang w:eastAsia="en-GB"/>
              </w:rPr>
            </w:pPr>
            <w:r w:rsidRPr="00A920E1">
              <w:rPr>
                <w:rFonts w:ascii="Arial" w:eastAsia="Times New Roman" w:hAnsi="Arial" w:cs="Arial"/>
                <w:sz w:val="15"/>
                <w:szCs w:val="15"/>
                <w:lang w:eastAsia="en-GB"/>
              </w:rPr>
              <w:t> </w:t>
            </w:r>
          </w:p>
        </w:tc>
        <w:tc>
          <w:tcPr>
            <w:tcW w:w="1276" w:type="dxa"/>
            <w:tcBorders>
              <w:top w:val="nil"/>
              <w:left w:val="nil"/>
              <w:bottom w:val="nil"/>
              <w:right w:val="nil"/>
            </w:tcBorders>
            <w:shd w:val="clear" w:color="000000" w:fill="FFFFFF"/>
            <w:noWrap/>
            <w:vAlign w:val="bottom"/>
            <w:hideMark/>
          </w:tcPr>
          <w:p w14:paraId="2F049B8F" w14:textId="77777777" w:rsidR="00A920E1" w:rsidRPr="00A920E1" w:rsidRDefault="00A920E1" w:rsidP="00A920E1">
            <w:pPr>
              <w:spacing w:after="0" w:line="240" w:lineRule="auto"/>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w:t>
            </w:r>
          </w:p>
        </w:tc>
      </w:tr>
      <w:tr w:rsidR="002656DA" w:rsidRPr="00A920E1" w14:paraId="661035A2" w14:textId="77777777" w:rsidTr="002656DA">
        <w:trPr>
          <w:trHeight w:val="270"/>
        </w:trPr>
        <w:tc>
          <w:tcPr>
            <w:tcW w:w="3151" w:type="dxa"/>
            <w:gridSpan w:val="2"/>
            <w:tcBorders>
              <w:top w:val="single" w:sz="4" w:space="0" w:color="BFBFBF"/>
              <w:left w:val="nil"/>
              <w:bottom w:val="single" w:sz="4" w:space="0" w:color="BFBFBF"/>
              <w:right w:val="nil"/>
            </w:tcBorders>
            <w:shd w:val="clear" w:color="000000" w:fill="FFFFFF"/>
            <w:noWrap/>
            <w:vAlign w:val="bottom"/>
            <w:hideMark/>
          </w:tcPr>
          <w:p w14:paraId="03F90C44" w14:textId="77777777" w:rsidR="00A920E1" w:rsidRPr="00A920E1" w:rsidRDefault="00A920E1" w:rsidP="00A920E1">
            <w:pPr>
              <w:spacing w:after="0" w:line="240" w:lineRule="auto"/>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xml:space="preserve">Net Assets </w:t>
            </w:r>
          </w:p>
        </w:tc>
        <w:tc>
          <w:tcPr>
            <w:tcW w:w="458" w:type="dxa"/>
            <w:tcBorders>
              <w:top w:val="single" w:sz="4" w:space="0" w:color="BFBFBF"/>
              <w:left w:val="nil"/>
              <w:bottom w:val="single" w:sz="4" w:space="0" w:color="BFBFBF"/>
              <w:right w:val="nil"/>
            </w:tcBorders>
            <w:shd w:val="clear" w:color="000000" w:fill="FFFFFF"/>
            <w:noWrap/>
            <w:vAlign w:val="bottom"/>
            <w:hideMark/>
          </w:tcPr>
          <w:p w14:paraId="0458340B" w14:textId="77777777" w:rsidR="00A920E1" w:rsidRPr="00A920E1" w:rsidRDefault="00A920E1" w:rsidP="00A920E1">
            <w:pPr>
              <w:spacing w:after="0" w:line="240" w:lineRule="auto"/>
              <w:rPr>
                <w:rFonts w:ascii="Arial" w:eastAsia="Times New Roman" w:hAnsi="Arial" w:cs="Arial"/>
                <w:b/>
                <w:bCs/>
                <w:sz w:val="20"/>
                <w:szCs w:val="20"/>
                <w:lang w:eastAsia="en-GB"/>
              </w:rPr>
            </w:pPr>
            <w:r w:rsidRPr="00A920E1">
              <w:rPr>
                <w:rFonts w:ascii="Arial" w:eastAsia="Times New Roman" w:hAnsi="Arial" w:cs="Arial"/>
                <w:b/>
                <w:bCs/>
                <w:sz w:val="20"/>
                <w:szCs w:val="20"/>
                <w:lang w:eastAsia="en-GB"/>
              </w:rPr>
              <w:t> </w:t>
            </w:r>
          </w:p>
        </w:tc>
        <w:tc>
          <w:tcPr>
            <w:tcW w:w="458" w:type="dxa"/>
            <w:tcBorders>
              <w:top w:val="single" w:sz="4" w:space="0" w:color="BFBFBF"/>
              <w:left w:val="nil"/>
              <w:bottom w:val="single" w:sz="4" w:space="0" w:color="BFBFBF"/>
              <w:right w:val="nil"/>
            </w:tcBorders>
            <w:shd w:val="clear" w:color="000000" w:fill="FFFFFF"/>
            <w:noWrap/>
            <w:vAlign w:val="bottom"/>
            <w:hideMark/>
          </w:tcPr>
          <w:p w14:paraId="46D14B55" w14:textId="77777777" w:rsidR="00A920E1" w:rsidRPr="00A920E1" w:rsidRDefault="00A920E1" w:rsidP="00A920E1">
            <w:pPr>
              <w:spacing w:after="0" w:line="240" w:lineRule="auto"/>
              <w:rPr>
                <w:rFonts w:ascii="Arial" w:eastAsia="Times New Roman" w:hAnsi="Arial" w:cs="Arial"/>
                <w:b/>
                <w:bCs/>
                <w:sz w:val="20"/>
                <w:szCs w:val="20"/>
                <w:lang w:eastAsia="en-GB"/>
              </w:rPr>
            </w:pPr>
            <w:r w:rsidRPr="00A920E1">
              <w:rPr>
                <w:rFonts w:ascii="Arial" w:eastAsia="Times New Roman" w:hAnsi="Arial" w:cs="Arial"/>
                <w:b/>
                <w:bCs/>
                <w:sz w:val="20"/>
                <w:szCs w:val="20"/>
                <w:lang w:eastAsia="en-GB"/>
              </w:rPr>
              <w:t> </w:t>
            </w:r>
          </w:p>
        </w:tc>
        <w:tc>
          <w:tcPr>
            <w:tcW w:w="458" w:type="dxa"/>
            <w:tcBorders>
              <w:top w:val="single" w:sz="4" w:space="0" w:color="BFBFBF"/>
              <w:left w:val="nil"/>
              <w:bottom w:val="single" w:sz="4" w:space="0" w:color="BFBFBF"/>
              <w:right w:val="nil"/>
            </w:tcBorders>
            <w:shd w:val="clear" w:color="000000" w:fill="FFFFFF"/>
            <w:noWrap/>
            <w:vAlign w:val="bottom"/>
            <w:hideMark/>
          </w:tcPr>
          <w:p w14:paraId="6643E4B4" w14:textId="77777777" w:rsidR="00A920E1" w:rsidRPr="00A920E1" w:rsidRDefault="00A920E1" w:rsidP="00A920E1">
            <w:pPr>
              <w:spacing w:after="0" w:line="240" w:lineRule="auto"/>
              <w:rPr>
                <w:rFonts w:ascii="Arial" w:eastAsia="Times New Roman" w:hAnsi="Arial" w:cs="Arial"/>
                <w:b/>
                <w:bCs/>
                <w:sz w:val="20"/>
                <w:szCs w:val="20"/>
                <w:lang w:eastAsia="en-GB"/>
              </w:rPr>
            </w:pPr>
            <w:r w:rsidRPr="00A920E1">
              <w:rPr>
                <w:rFonts w:ascii="Arial" w:eastAsia="Times New Roman" w:hAnsi="Arial" w:cs="Arial"/>
                <w:b/>
                <w:bCs/>
                <w:sz w:val="20"/>
                <w:szCs w:val="20"/>
                <w:lang w:eastAsia="en-GB"/>
              </w:rPr>
              <w:t> </w:t>
            </w:r>
          </w:p>
        </w:tc>
        <w:tc>
          <w:tcPr>
            <w:tcW w:w="1991" w:type="dxa"/>
            <w:tcBorders>
              <w:top w:val="single" w:sz="4" w:space="0" w:color="BFBFBF"/>
              <w:left w:val="nil"/>
              <w:bottom w:val="single" w:sz="4" w:space="0" w:color="BFBFBF"/>
              <w:right w:val="nil"/>
            </w:tcBorders>
            <w:shd w:val="clear" w:color="000000" w:fill="FFFFFF"/>
            <w:noWrap/>
            <w:vAlign w:val="bottom"/>
            <w:hideMark/>
          </w:tcPr>
          <w:p w14:paraId="55A9ABA6" w14:textId="77777777" w:rsidR="00A920E1" w:rsidRPr="00A920E1" w:rsidRDefault="00A920E1" w:rsidP="00A920E1">
            <w:pPr>
              <w:spacing w:after="0" w:line="240" w:lineRule="auto"/>
              <w:rPr>
                <w:rFonts w:ascii="Arial" w:eastAsia="Times New Roman" w:hAnsi="Arial" w:cs="Arial"/>
                <w:b/>
                <w:bCs/>
                <w:sz w:val="20"/>
                <w:szCs w:val="20"/>
                <w:lang w:eastAsia="en-GB"/>
              </w:rPr>
            </w:pPr>
            <w:r w:rsidRPr="00A920E1">
              <w:rPr>
                <w:rFonts w:ascii="Arial" w:eastAsia="Times New Roman" w:hAnsi="Arial" w:cs="Arial"/>
                <w:b/>
                <w:bCs/>
                <w:sz w:val="20"/>
                <w:szCs w:val="20"/>
                <w:lang w:eastAsia="en-GB"/>
              </w:rPr>
              <w:t> </w:t>
            </w:r>
          </w:p>
        </w:tc>
        <w:tc>
          <w:tcPr>
            <w:tcW w:w="1033" w:type="dxa"/>
            <w:tcBorders>
              <w:top w:val="single" w:sz="4" w:space="0" w:color="BFBFBF"/>
              <w:left w:val="nil"/>
              <w:bottom w:val="single" w:sz="4" w:space="0" w:color="BFBFBF"/>
              <w:right w:val="nil"/>
            </w:tcBorders>
            <w:shd w:val="clear" w:color="auto" w:fill="CCECFF"/>
            <w:noWrap/>
            <w:vAlign w:val="bottom"/>
            <w:hideMark/>
          </w:tcPr>
          <w:p w14:paraId="692AEC79" w14:textId="77777777" w:rsidR="00A920E1" w:rsidRPr="00A920E1" w:rsidRDefault="00A920E1" w:rsidP="00A920E1">
            <w:pPr>
              <w:spacing w:after="0" w:line="240" w:lineRule="auto"/>
              <w:jc w:val="right"/>
              <w:rPr>
                <w:rFonts w:ascii="Arial" w:eastAsia="Times New Roman" w:hAnsi="Arial" w:cs="Arial"/>
                <w:b/>
                <w:bCs/>
                <w:sz w:val="15"/>
                <w:szCs w:val="15"/>
                <w:lang w:eastAsia="en-GB"/>
              </w:rPr>
            </w:pPr>
            <w:r w:rsidRPr="00A920E1">
              <w:rPr>
                <w:rFonts w:ascii="Arial" w:eastAsia="Times New Roman" w:hAnsi="Arial" w:cs="Arial"/>
                <w:b/>
                <w:bCs/>
                <w:sz w:val="15"/>
                <w:szCs w:val="15"/>
                <w:lang w:eastAsia="en-GB"/>
              </w:rPr>
              <w:t xml:space="preserve">2,460 </w:t>
            </w:r>
          </w:p>
        </w:tc>
        <w:tc>
          <w:tcPr>
            <w:tcW w:w="1276" w:type="dxa"/>
            <w:tcBorders>
              <w:top w:val="single" w:sz="4" w:space="0" w:color="BFBFBF"/>
              <w:left w:val="nil"/>
              <w:bottom w:val="single" w:sz="4" w:space="0" w:color="BFBFBF"/>
              <w:right w:val="nil"/>
            </w:tcBorders>
            <w:shd w:val="clear" w:color="000000" w:fill="FFFFFF"/>
            <w:noWrap/>
            <w:vAlign w:val="center"/>
            <w:hideMark/>
          </w:tcPr>
          <w:p w14:paraId="2EBED0C0"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1,786 </w:t>
            </w:r>
          </w:p>
        </w:tc>
        <w:tc>
          <w:tcPr>
            <w:tcW w:w="1276" w:type="dxa"/>
            <w:tcBorders>
              <w:top w:val="single" w:sz="4" w:space="0" w:color="BFBFBF"/>
              <w:left w:val="nil"/>
              <w:bottom w:val="single" w:sz="4" w:space="0" w:color="BFBFBF"/>
              <w:right w:val="nil"/>
            </w:tcBorders>
            <w:shd w:val="clear" w:color="000000" w:fill="FFFFFF"/>
            <w:noWrap/>
            <w:vAlign w:val="bottom"/>
            <w:hideMark/>
          </w:tcPr>
          <w:p w14:paraId="695B13B7" w14:textId="77777777" w:rsidR="00A920E1" w:rsidRPr="00A920E1" w:rsidRDefault="00A920E1" w:rsidP="00A920E1">
            <w:pPr>
              <w:spacing w:after="0" w:line="240" w:lineRule="auto"/>
              <w:jc w:val="right"/>
              <w:rPr>
                <w:rFonts w:ascii="Arial" w:eastAsia="Times New Roman" w:hAnsi="Arial" w:cs="Arial"/>
                <w:sz w:val="15"/>
                <w:szCs w:val="15"/>
                <w:lang w:eastAsia="en-GB"/>
              </w:rPr>
            </w:pPr>
            <w:r w:rsidRPr="00A920E1">
              <w:rPr>
                <w:rFonts w:ascii="Arial" w:eastAsia="Times New Roman" w:hAnsi="Arial" w:cs="Arial"/>
                <w:sz w:val="15"/>
                <w:szCs w:val="15"/>
                <w:lang w:eastAsia="en-GB"/>
              </w:rPr>
              <w:t xml:space="preserve">2,258 </w:t>
            </w:r>
          </w:p>
        </w:tc>
      </w:tr>
    </w:tbl>
    <w:p w14:paraId="1E6BCDED" w14:textId="40C93761" w:rsidR="00605D66" w:rsidRDefault="00605D66" w:rsidP="00BB64F8">
      <w:pPr>
        <w:rPr>
          <w:b/>
          <w:bCs/>
        </w:rPr>
      </w:pPr>
    </w:p>
    <w:tbl>
      <w:tblPr>
        <w:tblW w:w="10462" w:type="dxa"/>
        <w:tblLook w:val="04A0" w:firstRow="1" w:lastRow="0" w:firstColumn="1" w:lastColumn="0" w:noHBand="0" w:noVBand="1"/>
      </w:tblPr>
      <w:tblGrid>
        <w:gridCol w:w="1600"/>
        <w:gridCol w:w="200"/>
        <w:gridCol w:w="700"/>
        <w:gridCol w:w="160"/>
        <w:gridCol w:w="540"/>
        <w:gridCol w:w="700"/>
        <w:gridCol w:w="495"/>
        <w:gridCol w:w="205"/>
        <w:gridCol w:w="420"/>
        <w:gridCol w:w="1340"/>
        <w:gridCol w:w="161"/>
        <w:gridCol w:w="1033"/>
        <w:gridCol w:w="106"/>
        <w:gridCol w:w="1129"/>
        <w:gridCol w:w="171"/>
        <w:gridCol w:w="1104"/>
        <w:gridCol w:w="176"/>
        <w:gridCol w:w="46"/>
        <w:gridCol w:w="176"/>
      </w:tblGrid>
      <w:tr w:rsidR="007109DC" w:rsidRPr="007109DC" w14:paraId="5C47B44C" w14:textId="77777777" w:rsidTr="00D41B2D">
        <w:trPr>
          <w:gridAfter w:val="3"/>
          <w:wAfter w:w="398" w:type="dxa"/>
          <w:trHeight w:val="255"/>
        </w:trPr>
        <w:tc>
          <w:tcPr>
            <w:tcW w:w="8789" w:type="dxa"/>
            <w:gridSpan w:val="14"/>
            <w:tcBorders>
              <w:top w:val="nil"/>
              <w:left w:val="nil"/>
              <w:bottom w:val="nil"/>
              <w:right w:val="nil"/>
            </w:tcBorders>
            <w:shd w:val="clear" w:color="auto" w:fill="auto"/>
            <w:noWrap/>
            <w:vAlign w:val="bottom"/>
            <w:hideMark/>
          </w:tcPr>
          <w:p w14:paraId="682036A4" w14:textId="77777777" w:rsidR="007109DC" w:rsidRPr="007109DC" w:rsidRDefault="007109DC" w:rsidP="007109DC">
            <w:pPr>
              <w:spacing w:after="0" w:line="240" w:lineRule="auto"/>
              <w:jc w:val="both"/>
              <w:rPr>
                <w:rFonts w:ascii="Arial" w:eastAsia="Times New Roman" w:hAnsi="Arial" w:cs="Arial"/>
                <w:b/>
                <w:bCs/>
                <w:sz w:val="18"/>
                <w:szCs w:val="18"/>
                <w:lang w:eastAsia="en-GB"/>
              </w:rPr>
            </w:pPr>
            <w:r w:rsidRPr="007109DC">
              <w:rPr>
                <w:rFonts w:ascii="Arial" w:eastAsia="Times New Roman" w:hAnsi="Arial" w:cs="Arial"/>
                <w:b/>
                <w:bCs/>
                <w:sz w:val="18"/>
                <w:szCs w:val="18"/>
                <w:lang w:eastAsia="en-GB"/>
              </w:rPr>
              <w:t>8    Assets and liabilities held for sale</w:t>
            </w:r>
          </w:p>
        </w:tc>
        <w:tc>
          <w:tcPr>
            <w:tcW w:w="1275" w:type="dxa"/>
            <w:gridSpan w:val="2"/>
            <w:tcBorders>
              <w:top w:val="nil"/>
              <w:left w:val="nil"/>
              <w:bottom w:val="nil"/>
              <w:right w:val="nil"/>
            </w:tcBorders>
            <w:shd w:val="clear" w:color="auto" w:fill="auto"/>
            <w:noWrap/>
            <w:vAlign w:val="bottom"/>
            <w:hideMark/>
          </w:tcPr>
          <w:p w14:paraId="36DD20FF" w14:textId="77777777" w:rsidR="007109DC" w:rsidRPr="007109DC" w:rsidRDefault="007109DC" w:rsidP="007109DC">
            <w:pPr>
              <w:spacing w:after="0" w:line="240" w:lineRule="auto"/>
              <w:jc w:val="both"/>
              <w:rPr>
                <w:rFonts w:ascii="Arial" w:eastAsia="Times New Roman" w:hAnsi="Arial" w:cs="Arial"/>
                <w:b/>
                <w:bCs/>
                <w:sz w:val="18"/>
                <w:szCs w:val="18"/>
                <w:lang w:eastAsia="en-GB"/>
              </w:rPr>
            </w:pPr>
          </w:p>
        </w:tc>
      </w:tr>
      <w:tr w:rsidR="0085062A" w:rsidRPr="007109DC" w14:paraId="2105BC14" w14:textId="77777777" w:rsidTr="00D41B2D">
        <w:trPr>
          <w:gridAfter w:val="3"/>
          <w:wAfter w:w="398" w:type="dxa"/>
          <w:trHeight w:val="199"/>
        </w:trPr>
        <w:tc>
          <w:tcPr>
            <w:tcW w:w="1800" w:type="dxa"/>
            <w:gridSpan w:val="2"/>
            <w:tcBorders>
              <w:top w:val="nil"/>
              <w:left w:val="nil"/>
              <w:bottom w:val="nil"/>
              <w:right w:val="nil"/>
            </w:tcBorders>
            <w:shd w:val="clear" w:color="auto" w:fill="auto"/>
            <w:noWrap/>
            <w:vAlign w:val="bottom"/>
            <w:hideMark/>
          </w:tcPr>
          <w:p w14:paraId="45DCA366"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3C754716"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c>
          <w:tcPr>
            <w:tcW w:w="700" w:type="dxa"/>
            <w:gridSpan w:val="2"/>
            <w:tcBorders>
              <w:top w:val="nil"/>
              <w:left w:val="nil"/>
              <w:bottom w:val="nil"/>
              <w:right w:val="nil"/>
            </w:tcBorders>
            <w:shd w:val="clear" w:color="auto" w:fill="auto"/>
            <w:noWrap/>
            <w:vAlign w:val="bottom"/>
            <w:hideMark/>
          </w:tcPr>
          <w:p w14:paraId="7A34F852"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5D27601E" w14:textId="77777777" w:rsidR="007109DC" w:rsidRPr="007109DC" w:rsidRDefault="007109DC" w:rsidP="007109DC">
            <w:pPr>
              <w:spacing w:after="0" w:line="240" w:lineRule="auto"/>
              <w:jc w:val="right"/>
              <w:rPr>
                <w:rFonts w:ascii="Times New Roman" w:eastAsia="Times New Roman" w:hAnsi="Times New Roman" w:cs="Times New Roman"/>
                <w:sz w:val="20"/>
                <w:szCs w:val="20"/>
                <w:lang w:eastAsia="en-GB"/>
              </w:rPr>
            </w:pPr>
          </w:p>
        </w:tc>
        <w:tc>
          <w:tcPr>
            <w:tcW w:w="700" w:type="dxa"/>
            <w:gridSpan w:val="2"/>
            <w:tcBorders>
              <w:top w:val="nil"/>
              <w:left w:val="nil"/>
              <w:bottom w:val="nil"/>
              <w:right w:val="nil"/>
            </w:tcBorders>
            <w:shd w:val="clear" w:color="auto" w:fill="auto"/>
            <w:noWrap/>
            <w:vAlign w:val="bottom"/>
            <w:hideMark/>
          </w:tcPr>
          <w:p w14:paraId="4A9F4254" w14:textId="77777777" w:rsidR="007109DC" w:rsidRPr="007109DC" w:rsidRDefault="007109DC" w:rsidP="007109DC">
            <w:pPr>
              <w:spacing w:after="0" w:line="240" w:lineRule="auto"/>
              <w:jc w:val="right"/>
              <w:rPr>
                <w:rFonts w:ascii="Times New Roman" w:eastAsia="Times New Roman" w:hAnsi="Times New Roman" w:cs="Times New Roman"/>
                <w:sz w:val="20"/>
                <w:szCs w:val="20"/>
                <w:lang w:eastAsia="en-GB"/>
              </w:rPr>
            </w:pPr>
          </w:p>
        </w:tc>
        <w:tc>
          <w:tcPr>
            <w:tcW w:w="1921" w:type="dxa"/>
            <w:gridSpan w:val="3"/>
            <w:tcBorders>
              <w:top w:val="nil"/>
              <w:left w:val="nil"/>
              <w:bottom w:val="nil"/>
              <w:right w:val="nil"/>
            </w:tcBorders>
            <w:shd w:val="clear" w:color="auto" w:fill="auto"/>
            <w:noWrap/>
            <w:vAlign w:val="bottom"/>
            <w:hideMark/>
          </w:tcPr>
          <w:p w14:paraId="5AC06BC7" w14:textId="77777777" w:rsidR="007109DC" w:rsidRPr="007109DC" w:rsidRDefault="007109DC" w:rsidP="007109DC">
            <w:pPr>
              <w:spacing w:after="0" w:line="240" w:lineRule="auto"/>
              <w:jc w:val="right"/>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14:paraId="22F39446" w14:textId="77777777" w:rsidR="007109DC" w:rsidRPr="007109DC" w:rsidRDefault="007109DC" w:rsidP="007109DC">
            <w:pPr>
              <w:spacing w:after="0" w:line="240" w:lineRule="auto"/>
              <w:jc w:val="right"/>
              <w:rPr>
                <w:rFonts w:ascii="Times New Roman" w:eastAsia="Times New Roman" w:hAnsi="Times New Roman" w:cs="Times New Roman"/>
                <w:sz w:val="20"/>
                <w:szCs w:val="20"/>
                <w:lang w:eastAsia="en-GB"/>
              </w:rPr>
            </w:pPr>
          </w:p>
        </w:tc>
        <w:tc>
          <w:tcPr>
            <w:tcW w:w="1235" w:type="dxa"/>
            <w:gridSpan w:val="2"/>
            <w:tcBorders>
              <w:top w:val="nil"/>
              <w:left w:val="nil"/>
              <w:bottom w:val="nil"/>
              <w:right w:val="nil"/>
            </w:tcBorders>
            <w:shd w:val="clear" w:color="auto" w:fill="auto"/>
            <w:noWrap/>
            <w:vAlign w:val="bottom"/>
            <w:hideMark/>
          </w:tcPr>
          <w:p w14:paraId="758C193E" w14:textId="77777777" w:rsidR="007109DC" w:rsidRPr="007109DC" w:rsidRDefault="007109DC" w:rsidP="007109DC">
            <w:pPr>
              <w:spacing w:after="0" w:line="240" w:lineRule="auto"/>
              <w:jc w:val="right"/>
              <w:rPr>
                <w:rFonts w:ascii="Times New Roman" w:eastAsia="Times New Roman" w:hAnsi="Times New Roman" w:cs="Times New Roman"/>
                <w:sz w:val="20"/>
                <w:szCs w:val="20"/>
                <w:lang w:eastAsia="en-GB"/>
              </w:rPr>
            </w:pPr>
          </w:p>
        </w:tc>
        <w:tc>
          <w:tcPr>
            <w:tcW w:w="1275" w:type="dxa"/>
            <w:gridSpan w:val="2"/>
            <w:tcBorders>
              <w:top w:val="nil"/>
              <w:left w:val="nil"/>
              <w:bottom w:val="nil"/>
              <w:right w:val="nil"/>
            </w:tcBorders>
            <w:shd w:val="clear" w:color="auto" w:fill="auto"/>
            <w:noWrap/>
            <w:vAlign w:val="bottom"/>
            <w:hideMark/>
          </w:tcPr>
          <w:p w14:paraId="1AB15B3C" w14:textId="77777777" w:rsidR="007109DC" w:rsidRPr="007109DC" w:rsidRDefault="007109DC" w:rsidP="007109DC">
            <w:pPr>
              <w:spacing w:after="0" w:line="240" w:lineRule="auto"/>
              <w:jc w:val="right"/>
              <w:rPr>
                <w:rFonts w:ascii="Times New Roman" w:eastAsia="Times New Roman" w:hAnsi="Times New Roman" w:cs="Times New Roman"/>
                <w:sz w:val="20"/>
                <w:szCs w:val="20"/>
                <w:lang w:eastAsia="en-GB"/>
              </w:rPr>
            </w:pPr>
          </w:p>
        </w:tc>
      </w:tr>
      <w:tr w:rsidR="007109DC" w:rsidRPr="007109DC" w14:paraId="351F07F5" w14:textId="77777777" w:rsidTr="00D41B2D">
        <w:trPr>
          <w:gridAfter w:val="3"/>
          <w:wAfter w:w="398" w:type="dxa"/>
          <w:trHeight w:val="450"/>
        </w:trPr>
        <w:tc>
          <w:tcPr>
            <w:tcW w:w="10064" w:type="dxa"/>
            <w:gridSpan w:val="16"/>
            <w:vMerge w:val="restart"/>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740D1657" w14:textId="77777777" w:rsidR="007109DC" w:rsidRPr="007109DC" w:rsidRDefault="007109DC" w:rsidP="007109DC">
            <w:pPr>
              <w:spacing w:after="0" w:line="240" w:lineRule="auto"/>
              <w:rPr>
                <w:rFonts w:ascii="Arial" w:eastAsia="Times New Roman" w:hAnsi="Arial" w:cs="Arial"/>
                <w:sz w:val="18"/>
                <w:szCs w:val="18"/>
                <w:lang w:eastAsia="en-GB"/>
              </w:rPr>
            </w:pPr>
            <w:r w:rsidRPr="007109DC">
              <w:rPr>
                <w:rFonts w:ascii="Arial" w:eastAsia="Times New Roman" w:hAnsi="Arial" w:cs="Arial"/>
                <w:b/>
                <w:bCs/>
                <w:sz w:val="18"/>
                <w:szCs w:val="18"/>
                <w:lang w:eastAsia="en-GB"/>
              </w:rPr>
              <w:t>What does this show?</w:t>
            </w:r>
            <w:r w:rsidRPr="007109DC">
              <w:rPr>
                <w:rFonts w:ascii="Arial" w:eastAsia="Times New Roman" w:hAnsi="Arial" w:cs="Arial"/>
                <w:sz w:val="18"/>
                <w:szCs w:val="18"/>
                <w:lang w:eastAsia="en-GB"/>
              </w:rPr>
              <w:t xml:space="preserve"> This shows the value of any assets or liabilities that we hold for sale at the </w:t>
            </w:r>
            <w:proofErr w:type="spellStart"/>
            <w:r w:rsidRPr="007109DC">
              <w:rPr>
                <w:rFonts w:ascii="Arial" w:eastAsia="Times New Roman" w:hAnsi="Arial" w:cs="Arial"/>
                <w:sz w:val="18"/>
                <w:szCs w:val="18"/>
                <w:lang w:eastAsia="en-GB"/>
              </w:rPr>
              <w:t>year end</w:t>
            </w:r>
            <w:proofErr w:type="spellEnd"/>
            <w:r w:rsidRPr="007109DC">
              <w:rPr>
                <w:rFonts w:ascii="Arial" w:eastAsia="Times New Roman" w:hAnsi="Arial" w:cs="Arial"/>
                <w:sz w:val="18"/>
                <w:szCs w:val="18"/>
                <w:lang w:eastAsia="en-GB"/>
              </w:rPr>
              <w:t xml:space="preserve"> (these generally relate to properties or businesses that we plan to sell soon). When this is the case, our balance sheet shows those assets and liabilities separately as held for sale. </w:t>
            </w:r>
          </w:p>
        </w:tc>
      </w:tr>
      <w:tr w:rsidR="007109DC" w:rsidRPr="007109DC" w14:paraId="365E24F1" w14:textId="77777777" w:rsidTr="00D41B2D">
        <w:trPr>
          <w:gridAfter w:val="1"/>
          <w:wAfter w:w="176" w:type="dxa"/>
          <w:trHeight w:val="255"/>
        </w:trPr>
        <w:tc>
          <w:tcPr>
            <w:tcW w:w="10064" w:type="dxa"/>
            <w:gridSpan w:val="16"/>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028121B1" w14:textId="77777777" w:rsidR="007109DC" w:rsidRPr="007109DC" w:rsidRDefault="007109DC" w:rsidP="007109DC">
            <w:pPr>
              <w:spacing w:after="0" w:line="240" w:lineRule="auto"/>
              <w:rPr>
                <w:rFonts w:ascii="Arial" w:eastAsia="Times New Roman" w:hAnsi="Arial" w:cs="Arial"/>
                <w:sz w:val="18"/>
                <w:szCs w:val="18"/>
                <w:lang w:eastAsia="en-GB"/>
              </w:rPr>
            </w:pPr>
          </w:p>
        </w:tc>
        <w:tc>
          <w:tcPr>
            <w:tcW w:w="222" w:type="dxa"/>
            <w:gridSpan w:val="2"/>
            <w:tcBorders>
              <w:top w:val="nil"/>
              <w:left w:val="nil"/>
              <w:bottom w:val="nil"/>
              <w:right w:val="nil"/>
            </w:tcBorders>
            <w:shd w:val="clear" w:color="auto" w:fill="auto"/>
            <w:noWrap/>
            <w:vAlign w:val="bottom"/>
            <w:hideMark/>
          </w:tcPr>
          <w:p w14:paraId="2EF6350E" w14:textId="77777777" w:rsidR="007109DC" w:rsidRPr="007109DC" w:rsidRDefault="007109DC" w:rsidP="007109DC">
            <w:pPr>
              <w:spacing w:after="0" w:line="240" w:lineRule="auto"/>
              <w:rPr>
                <w:rFonts w:ascii="Arial" w:eastAsia="Times New Roman" w:hAnsi="Arial" w:cs="Arial"/>
                <w:sz w:val="18"/>
                <w:szCs w:val="18"/>
                <w:lang w:eastAsia="en-GB"/>
              </w:rPr>
            </w:pPr>
          </w:p>
        </w:tc>
      </w:tr>
      <w:tr w:rsidR="007109DC" w:rsidRPr="007109DC" w14:paraId="11BEBB1D" w14:textId="77777777" w:rsidTr="00D41B2D">
        <w:trPr>
          <w:gridAfter w:val="1"/>
          <w:wAfter w:w="176" w:type="dxa"/>
          <w:trHeight w:val="240"/>
        </w:trPr>
        <w:tc>
          <w:tcPr>
            <w:tcW w:w="10064" w:type="dxa"/>
            <w:gridSpan w:val="16"/>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54BC0DA3" w14:textId="77777777" w:rsidR="007109DC" w:rsidRPr="007109DC" w:rsidRDefault="007109DC" w:rsidP="007109DC">
            <w:pPr>
              <w:spacing w:after="0" w:line="240" w:lineRule="auto"/>
              <w:rPr>
                <w:rFonts w:ascii="Arial" w:eastAsia="Times New Roman" w:hAnsi="Arial" w:cs="Arial"/>
                <w:sz w:val="18"/>
                <w:szCs w:val="18"/>
                <w:lang w:eastAsia="en-GB"/>
              </w:rPr>
            </w:pPr>
          </w:p>
        </w:tc>
        <w:tc>
          <w:tcPr>
            <w:tcW w:w="222" w:type="dxa"/>
            <w:gridSpan w:val="2"/>
            <w:tcBorders>
              <w:top w:val="nil"/>
              <w:left w:val="nil"/>
              <w:bottom w:val="nil"/>
              <w:right w:val="nil"/>
            </w:tcBorders>
            <w:shd w:val="clear" w:color="auto" w:fill="auto"/>
            <w:noWrap/>
            <w:vAlign w:val="bottom"/>
            <w:hideMark/>
          </w:tcPr>
          <w:p w14:paraId="4D64091F"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85062A" w:rsidRPr="007109DC" w14:paraId="7A971AC6" w14:textId="77777777" w:rsidTr="00D41B2D">
        <w:trPr>
          <w:gridAfter w:val="1"/>
          <w:wAfter w:w="176" w:type="dxa"/>
          <w:trHeight w:val="240"/>
        </w:trPr>
        <w:tc>
          <w:tcPr>
            <w:tcW w:w="1800" w:type="dxa"/>
            <w:gridSpan w:val="2"/>
            <w:tcBorders>
              <w:top w:val="nil"/>
              <w:left w:val="nil"/>
              <w:bottom w:val="nil"/>
              <w:right w:val="nil"/>
            </w:tcBorders>
            <w:shd w:val="clear" w:color="000000" w:fill="FFFFFF"/>
            <w:vAlign w:val="center"/>
            <w:hideMark/>
          </w:tcPr>
          <w:p w14:paraId="5D1CFAA3" w14:textId="77777777" w:rsidR="007109DC" w:rsidRPr="007109DC" w:rsidRDefault="007109DC" w:rsidP="007109DC">
            <w:pPr>
              <w:spacing w:after="0" w:line="240" w:lineRule="auto"/>
              <w:jc w:val="both"/>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vAlign w:val="center"/>
            <w:hideMark/>
          </w:tcPr>
          <w:p w14:paraId="3BC81469" w14:textId="77777777" w:rsidR="007109DC" w:rsidRPr="007109DC" w:rsidRDefault="007109DC" w:rsidP="007109DC">
            <w:pPr>
              <w:spacing w:after="0" w:line="240" w:lineRule="auto"/>
              <w:jc w:val="both"/>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gridSpan w:val="2"/>
            <w:tcBorders>
              <w:top w:val="nil"/>
              <w:left w:val="nil"/>
              <w:bottom w:val="nil"/>
              <w:right w:val="nil"/>
            </w:tcBorders>
            <w:shd w:val="clear" w:color="000000" w:fill="FFFFFF"/>
            <w:vAlign w:val="center"/>
            <w:hideMark/>
          </w:tcPr>
          <w:p w14:paraId="05C3C7C8" w14:textId="77777777" w:rsidR="007109DC" w:rsidRPr="007109DC" w:rsidRDefault="007109DC" w:rsidP="007109DC">
            <w:pPr>
              <w:spacing w:after="0" w:line="240" w:lineRule="auto"/>
              <w:jc w:val="both"/>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vAlign w:val="center"/>
            <w:hideMark/>
          </w:tcPr>
          <w:p w14:paraId="42D3E9A5" w14:textId="77777777" w:rsidR="007109DC" w:rsidRPr="007109DC" w:rsidRDefault="007109DC" w:rsidP="007109DC">
            <w:pPr>
              <w:spacing w:after="0" w:line="240" w:lineRule="auto"/>
              <w:jc w:val="both"/>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gridSpan w:val="2"/>
            <w:tcBorders>
              <w:top w:val="nil"/>
              <w:left w:val="nil"/>
              <w:bottom w:val="nil"/>
              <w:right w:val="nil"/>
            </w:tcBorders>
            <w:shd w:val="clear" w:color="000000" w:fill="FFFFFF"/>
            <w:vAlign w:val="center"/>
            <w:hideMark/>
          </w:tcPr>
          <w:p w14:paraId="56B73C4D" w14:textId="77777777" w:rsidR="007109DC" w:rsidRPr="007109DC" w:rsidRDefault="007109DC" w:rsidP="007109DC">
            <w:pPr>
              <w:spacing w:after="0" w:line="240" w:lineRule="auto"/>
              <w:jc w:val="both"/>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1921" w:type="dxa"/>
            <w:gridSpan w:val="3"/>
            <w:tcBorders>
              <w:top w:val="nil"/>
              <w:left w:val="nil"/>
              <w:bottom w:val="nil"/>
              <w:right w:val="nil"/>
            </w:tcBorders>
            <w:shd w:val="clear" w:color="000000" w:fill="FFFFFF"/>
            <w:vAlign w:val="center"/>
            <w:hideMark/>
          </w:tcPr>
          <w:p w14:paraId="4E913C40" w14:textId="77777777" w:rsidR="007109DC" w:rsidRPr="007109DC" w:rsidRDefault="007109DC" w:rsidP="007109DC">
            <w:pPr>
              <w:spacing w:after="0" w:line="240" w:lineRule="auto"/>
              <w:jc w:val="both"/>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1033" w:type="dxa"/>
            <w:tcBorders>
              <w:top w:val="nil"/>
              <w:left w:val="nil"/>
              <w:bottom w:val="nil"/>
              <w:right w:val="nil"/>
            </w:tcBorders>
            <w:shd w:val="clear" w:color="auto" w:fill="auto"/>
            <w:vAlign w:val="center"/>
            <w:hideMark/>
          </w:tcPr>
          <w:p w14:paraId="34C13AC4" w14:textId="77777777" w:rsidR="007109DC" w:rsidRPr="007109DC" w:rsidRDefault="007109DC" w:rsidP="007109DC">
            <w:pPr>
              <w:spacing w:after="0" w:line="240" w:lineRule="auto"/>
              <w:jc w:val="both"/>
              <w:rPr>
                <w:rFonts w:ascii="Arial" w:eastAsia="Times New Roman" w:hAnsi="Arial" w:cs="Arial"/>
                <w:sz w:val="15"/>
                <w:szCs w:val="15"/>
                <w:lang w:eastAsia="en-GB"/>
              </w:rPr>
            </w:pPr>
          </w:p>
        </w:tc>
        <w:tc>
          <w:tcPr>
            <w:tcW w:w="1235" w:type="dxa"/>
            <w:gridSpan w:val="2"/>
            <w:tcBorders>
              <w:top w:val="nil"/>
              <w:left w:val="nil"/>
              <w:bottom w:val="nil"/>
              <w:right w:val="nil"/>
            </w:tcBorders>
            <w:shd w:val="clear" w:color="000000" w:fill="FFFFFF"/>
            <w:vAlign w:val="center"/>
            <w:hideMark/>
          </w:tcPr>
          <w:p w14:paraId="73F85109" w14:textId="77777777" w:rsidR="007109DC" w:rsidRPr="007109DC" w:rsidRDefault="007109DC" w:rsidP="007109DC">
            <w:pPr>
              <w:spacing w:after="0" w:line="240" w:lineRule="auto"/>
              <w:jc w:val="both"/>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1275" w:type="dxa"/>
            <w:gridSpan w:val="2"/>
            <w:tcBorders>
              <w:top w:val="nil"/>
              <w:left w:val="nil"/>
              <w:bottom w:val="nil"/>
              <w:right w:val="nil"/>
            </w:tcBorders>
            <w:shd w:val="clear" w:color="000000" w:fill="FFFFFF"/>
            <w:vAlign w:val="center"/>
            <w:hideMark/>
          </w:tcPr>
          <w:p w14:paraId="1849AC53" w14:textId="77777777" w:rsidR="007109DC" w:rsidRPr="007109DC" w:rsidRDefault="007109DC" w:rsidP="007109DC">
            <w:pPr>
              <w:spacing w:after="0" w:line="240" w:lineRule="auto"/>
              <w:jc w:val="both"/>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222" w:type="dxa"/>
            <w:gridSpan w:val="2"/>
            <w:vAlign w:val="center"/>
            <w:hideMark/>
          </w:tcPr>
          <w:p w14:paraId="5D64AEE9"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7109DC" w:rsidRPr="007109DC" w14:paraId="0082E74A" w14:textId="77777777" w:rsidTr="00D41B2D">
        <w:trPr>
          <w:gridAfter w:val="1"/>
          <w:wAfter w:w="176" w:type="dxa"/>
          <w:trHeight w:val="142"/>
        </w:trPr>
        <w:tc>
          <w:tcPr>
            <w:tcW w:w="10064" w:type="dxa"/>
            <w:gridSpan w:val="16"/>
            <w:tcBorders>
              <w:top w:val="nil"/>
              <w:left w:val="nil"/>
              <w:bottom w:val="nil"/>
              <w:right w:val="nil"/>
            </w:tcBorders>
            <w:shd w:val="clear" w:color="000000" w:fill="FFFFFF"/>
            <w:vAlign w:val="center"/>
            <w:hideMark/>
          </w:tcPr>
          <w:p w14:paraId="11EB20FB" w14:textId="77777777" w:rsidR="007109DC" w:rsidRPr="007109DC" w:rsidRDefault="007109DC" w:rsidP="007109DC">
            <w:pPr>
              <w:spacing w:after="0" w:line="240" w:lineRule="auto"/>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 </w:t>
            </w:r>
          </w:p>
        </w:tc>
        <w:tc>
          <w:tcPr>
            <w:tcW w:w="222" w:type="dxa"/>
            <w:gridSpan w:val="2"/>
            <w:vAlign w:val="center"/>
            <w:hideMark/>
          </w:tcPr>
          <w:p w14:paraId="045D0B30"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85062A" w:rsidRPr="007109DC" w14:paraId="775B6133" w14:textId="77777777" w:rsidTr="00D41B2D">
        <w:trPr>
          <w:gridAfter w:val="1"/>
          <w:wAfter w:w="176" w:type="dxa"/>
          <w:trHeight w:val="106"/>
        </w:trPr>
        <w:tc>
          <w:tcPr>
            <w:tcW w:w="1800" w:type="dxa"/>
            <w:gridSpan w:val="2"/>
            <w:tcBorders>
              <w:top w:val="single" w:sz="4" w:space="0" w:color="BFBFBF"/>
              <w:left w:val="single" w:sz="4" w:space="0" w:color="BFBFBF"/>
              <w:bottom w:val="nil"/>
              <w:right w:val="nil"/>
            </w:tcBorders>
            <w:shd w:val="clear" w:color="auto" w:fill="auto"/>
            <w:noWrap/>
            <w:vAlign w:val="bottom"/>
            <w:hideMark/>
          </w:tcPr>
          <w:p w14:paraId="38EFB3DC"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tcBorders>
              <w:top w:val="single" w:sz="4" w:space="0" w:color="BFBFBF"/>
              <w:left w:val="nil"/>
              <w:bottom w:val="nil"/>
              <w:right w:val="nil"/>
            </w:tcBorders>
            <w:shd w:val="clear" w:color="auto" w:fill="auto"/>
            <w:noWrap/>
            <w:vAlign w:val="bottom"/>
            <w:hideMark/>
          </w:tcPr>
          <w:p w14:paraId="5ED3DEAE" w14:textId="77777777" w:rsidR="007109DC" w:rsidRPr="007109DC" w:rsidRDefault="007109DC" w:rsidP="007109DC">
            <w:pPr>
              <w:spacing w:after="0" w:line="240" w:lineRule="auto"/>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gridSpan w:val="2"/>
            <w:tcBorders>
              <w:top w:val="single" w:sz="4" w:space="0" w:color="BFBFBF"/>
              <w:left w:val="nil"/>
              <w:bottom w:val="nil"/>
              <w:right w:val="nil"/>
            </w:tcBorders>
            <w:shd w:val="clear" w:color="auto" w:fill="auto"/>
            <w:noWrap/>
            <w:vAlign w:val="bottom"/>
            <w:hideMark/>
          </w:tcPr>
          <w:p w14:paraId="0112A3C3" w14:textId="77777777" w:rsidR="007109DC" w:rsidRPr="007109DC" w:rsidRDefault="007109DC" w:rsidP="007109DC">
            <w:pPr>
              <w:spacing w:after="0" w:line="240" w:lineRule="auto"/>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tcBorders>
              <w:top w:val="single" w:sz="4" w:space="0" w:color="BFBFBF"/>
              <w:left w:val="nil"/>
              <w:bottom w:val="nil"/>
              <w:right w:val="nil"/>
            </w:tcBorders>
            <w:shd w:val="clear" w:color="auto" w:fill="auto"/>
            <w:noWrap/>
            <w:vAlign w:val="bottom"/>
            <w:hideMark/>
          </w:tcPr>
          <w:p w14:paraId="43212E8E" w14:textId="77777777" w:rsidR="007109DC" w:rsidRPr="007109DC" w:rsidRDefault="007109DC" w:rsidP="007109DC">
            <w:pPr>
              <w:spacing w:after="0" w:line="240" w:lineRule="auto"/>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gridSpan w:val="2"/>
            <w:tcBorders>
              <w:top w:val="single" w:sz="4" w:space="0" w:color="BFBFBF"/>
              <w:left w:val="nil"/>
              <w:bottom w:val="nil"/>
              <w:right w:val="nil"/>
            </w:tcBorders>
            <w:shd w:val="clear" w:color="auto" w:fill="auto"/>
            <w:noWrap/>
            <w:vAlign w:val="bottom"/>
            <w:hideMark/>
          </w:tcPr>
          <w:p w14:paraId="6B03D8B3" w14:textId="77777777" w:rsidR="007109DC" w:rsidRPr="007109DC" w:rsidRDefault="007109DC" w:rsidP="007109DC">
            <w:pPr>
              <w:spacing w:after="0" w:line="240" w:lineRule="auto"/>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921" w:type="dxa"/>
            <w:gridSpan w:val="3"/>
            <w:tcBorders>
              <w:top w:val="single" w:sz="4" w:space="0" w:color="BFBFBF"/>
              <w:left w:val="nil"/>
              <w:bottom w:val="nil"/>
              <w:right w:val="nil"/>
            </w:tcBorders>
            <w:shd w:val="clear" w:color="auto" w:fill="auto"/>
            <w:noWrap/>
            <w:vAlign w:val="bottom"/>
            <w:hideMark/>
          </w:tcPr>
          <w:p w14:paraId="0D9D2B8A"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033" w:type="dxa"/>
            <w:tcBorders>
              <w:top w:val="single" w:sz="4" w:space="0" w:color="BFBFBF"/>
              <w:left w:val="nil"/>
              <w:bottom w:val="nil"/>
              <w:right w:val="nil"/>
            </w:tcBorders>
            <w:shd w:val="clear" w:color="auto" w:fill="auto"/>
            <w:vAlign w:val="bottom"/>
            <w:hideMark/>
          </w:tcPr>
          <w:p w14:paraId="619BFECF" w14:textId="77777777" w:rsidR="007109DC" w:rsidRPr="007109DC" w:rsidRDefault="007109DC" w:rsidP="007109DC">
            <w:pPr>
              <w:spacing w:after="0" w:line="240" w:lineRule="auto"/>
              <w:jc w:val="right"/>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2 July 2022</w:t>
            </w:r>
          </w:p>
        </w:tc>
        <w:tc>
          <w:tcPr>
            <w:tcW w:w="1235" w:type="dxa"/>
            <w:gridSpan w:val="2"/>
            <w:tcBorders>
              <w:top w:val="single" w:sz="4" w:space="0" w:color="BFBFBF"/>
              <w:left w:val="nil"/>
              <w:bottom w:val="nil"/>
              <w:right w:val="nil"/>
            </w:tcBorders>
            <w:shd w:val="clear" w:color="auto" w:fill="auto"/>
            <w:vAlign w:val="bottom"/>
            <w:hideMark/>
          </w:tcPr>
          <w:p w14:paraId="388B3573"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3 July 2021</w:t>
            </w:r>
          </w:p>
        </w:tc>
        <w:tc>
          <w:tcPr>
            <w:tcW w:w="1275" w:type="dxa"/>
            <w:gridSpan w:val="2"/>
            <w:tcBorders>
              <w:top w:val="single" w:sz="4" w:space="0" w:color="BFBFBF"/>
              <w:left w:val="nil"/>
              <w:bottom w:val="nil"/>
              <w:right w:val="single" w:sz="4" w:space="0" w:color="BFBFBF"/>
            </w:tcBorders>
            <w:shd w:val="clear" w:color="auto" w:fill="auto"/>
            <w:vAlign w:val="bottom"/>
            <w:hideMark/>
          </w:tcPr>
          <w:p w14:paraId="4F8E45FB"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1 January 2022</w:t>
            </w:r>
          </w:p>
        </w:tc>
        <w:tc>
          <w:tcPr>
            <w:tcW w:w="222" w:type="dxa"/>
            <w:gridSpan w:val="2"/>
            <w:vAlign w:val="center"/>
            <w:hideMark/>
          </w:tcPr>
          <w:p w14:paraId="201F99C8"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85062A" w:rsidRPr="007109DC" w14:paraId="5F87A418" w14:textId="77777777" w:rsidTr="00D41B2D">
        <w:trPr>
          <w:gridAfter w:val="1"/>
          <w:wAfter w:w="176" w:type="dxa"/>
          <w:trHeight w:val="77"/>
        </w:trPr>
        <w:tc>
          <w:tcPr>
            <w:tcW w:w="4600" w:type="dxa"/>
            <w:gridSpan w:val="8"/>
            <w:tcBorders>
              <w:top w:val="nil"/>
              <w:left w:val="single" w:sz="4" w:space="0" w:color="BFBFBF"/>
              <w:bottom w:val="nil"/>
              <w:right w:val="nil"/>
            </w:tcBorders>
            <w:shd w:val="clear" w:color="auto" w:fill="auto"/>
            <w:noWrap/>
            <w:vAlign w:val="bottom"/>
            <w:hideMark/>
          </w:tcPr>
          <w:p w14:paraId="07ACCFAD" w14:textId="77777777" w:rsidR="007109DC" w:rsidRPr="007109DC" w:rsidRDefault="007109DC" w:rsidP="007109DC">
            <w:pPr>
              <w:spacing w:after="0" w:line="240" w:lineRule="auto"/>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Assets and liabilities classified as held for sale</w:t>
            </w:r>
          </w:p>
        </w:tc>
        <w:tc>
          <w:tcPr>
            <w:tcW w:w="1921" w:type="dxa"/>
            <w:gridSpan w:val="3"/>
            <w:tcBorders>
              <w:top w:val="nil"/>
              <w:left w:val="nil"/>
              <w:bottom w:val="nil"/>
              <w:right w:val="nil"/>
            </w:tcBorders>
            <w:shd w:val="clear" w:color="auto" w:fill="auto"/>
            <w:noWrap/>
            <w:vAlign w:val="bottom"/>
            <w:hideMark/>
          </w:tcPr>
          <w:p w14:paraId="0BA7D3ED"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033" w:type="dxa"/>
            <w:tcBorders>
              <w:top w:val="nil"/>
              <w:left w:val="nil"/>
              <w:bottom w:val="nil"/>
              <w:right w:val="nil"/>
            </w:tcBorders>
            <w:shd w:val="clear" w:color="auto" w:fill="auto"/>
            <w:noWrap/>
            <w:vAlign w:val="bottom"/>
            <w:hideMark/>
          </w:tcPr>
          <w:p w14:paraId="4079E7CA" w14:textId="77777777" w:rsidR="007109DC" w:rsidRPr="007109DC" w:rsidRDefault="007109DC" w:rsidP="007109DC">
            <w:pPr>
              <w:spacing w:after="0" w:line="240" w:lineRule="auto"/>
              <w:jc w:val="right"/>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(unaudited)</w:t>
            </w:r>
          </w:p>
        </w:tc>
        <w:tc>
          <w:tcPr>
            <w:tcW w:w="1235" w:type="dxa"/>
            <w:gridSpan w:val="2"/>
            <w:tcBorders>
              <w:top w:val="nil"/>
              <w:left w:val="nil"/>
              <w:bottom w:val="nil"/>
              <w:right w:val="nil"/>
            </w:tcBorders>
            <w:shd w:val="clear" w:color="auto" w:fill="auto"/>
            <w:noWrap/>
            <w:vAlign w:val="bottom"/>
            <w:hideMark/>
          </w:tcPr>
          <w:p w14:paraId="1FBE0F2B"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(unaudited)</w:t>
            </w:r>
          </w:p>
        </w:tc>
        <w:tc>
          <w:tcPr>
            <w:tcW w:w="1275" w:type="dxa"/>
            <w:gridSpan w:val="2"/>
            <w:tcBorders>
              <w:top w:val="nil"/>
              <w:left w:val="nil"/>
              <w:bottom w:val="nil"/>
              <w:right w:val="single" w:sz="4" w:space="0" w:color="BFBFBF"/>
            </w:tcBorders>
            <w:shd w:val="clear" w:color="auto" w:fill="auto"/>
            <w:noWrap/>
            <w:vAlign w:val="bottom"/>
            <w:hideMark/>
          </w:tcPr>
          <w:p w14:paraId="5958B5D8"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(audited)</w:t>
            </w:r>
          </w:p>
        </w:tc>
        <w:tc>
          <w:tcPr>
            <w:tcW w:w="222" w:type="dxa"/>
            <w:gridSpan w:val="2"/>
            <w:vAlign w:val="center"/>
            <w:hideMark/>
          </w:tcPr>
          <w:p w14:paraId="3B44F56A"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85062A" w:rsidRPr="007109DC" w14:paraId="4386F04B" w14:textId="77777777" w:rsidTr="00D41B2D">
        <w:trPr>
          <w:gridAfter w:val="1"/>
          <w:wAfter w:w="176" w:type="dxa"/>
          <w:trHeight w:val="240"/>
        </w:trPr>
        <w:tc>
          <w:tcPr>
            <w:tcW w:w="1800" w:type="dxa"/>
            <w:gridSpan w:val="2"/>
            <w:tcBorders>
              <w:top w:val="nil"/>
              <w:left w:val="single" w:sz="4" w:space="0" w:color="BFBFBF"/>
              <w:bottom w:val="single" w:sz="4" w:space="0" w:color="BFBFBF"/>
              <w:right w:val="nil"/>
            </w:tcBorders>
            <w:shd w:val="clear" w:color="auto" w:fill="auto"/>
            <w:noWrap/>
            <w:vAlign w:val="bottom"/>
            <w:hideMark/>
          </w:tcPr>
          <w:p w14:paraId="71AF1C95" w14:textId="77777777" w:rsidR="007109DC" w:rsidRPr="007109DC" w:rsidRDefault="007109DC" w:rsidP="007109DC">
            <w:pPr>
              <w:spacing w:after="0" w:line="240" w:lineRule="auto"/>
              <w:rPr>
                <w:rFonts w:ascii="Arial" w:eastAsia="Times New Roman" w:hAnsi="Arial" w:cs="Arial"/>
                <w:b/>
                <w:bCs/>
                <w:sz w:val="20"/>
                <w:szCs w:val="20"/>
                <w:lang w:eastAsia="en-GB"/>
              </w:rPr>
            </w:pPr>
            <w:r w:rsidRPr="007109DC">
              <w:rPr>
                <w:rFonts w:ascii="Arial" w:eastAsia="Times New Roman" w:hAnsi="Arial" w:cs="Arial"/>
                <w:b/>
                <w:bCs/>
                <w:sz w:val="20"/>
                <w:szCs w:val="20"/>
                <w:lang w:eastAsia="en-GB"/>
              </w:rPr>
              <w:t> </w:t>
            </w:r>
          </w:p>
        </w:tc>
        <w:tc>
          <w:tcPr>
            <w:tcW w:w="700" w:type="dxa"/>
            <w:tcBorders>
              <w:top w:val="nil"/>
              <w:left w:val="nil"/>
              <w:bottom w:val="single" w:sz="4" w:space="0" w:color="BFBFBF"/>
              <w:right w:val="nil"/>
            </w:tcBorders>
            <w:shd w:val="clear" w:color="auto" w:fill="auto"/>
            <w:noWrap/>
            <w:vAlign w:val="bottom"/>
            <w:hideMark/>
          </w:tcPr>
          <w:p w14:paraId="65E88799" w14:textId="77777777" w:rsidR="007109DC" w:rsidRPr="007109DC" w:rsidRDefault="007109DC" w:rsidP="007109DC">
            <w:pPr>
              <w:spacing w:after="0" w:line="240" w:lineRule="auto"/>
              <w:rPr>
                <w:rFonts w:ascii="Arial" w:eastAsia="Times New Roman" w:hAnsi="Arial" w:cs="Arial"/>
                <w:b/>
                <w:bCs/>
                <w:sz w:val="20"/>
                <w:szCs w:val="20"/>
                <w:lang w:eastAsia="en-GB"/>
              </w:rPr>
            </w:pPr>
            <w:r w:rsidRPr="007109DC">
              <w:rPr>
                <w:rFonts w:ascii="Arial" w:eastAsia="Times New Roman" w:hAnsi="Arial" w:cs="Arial"/>
                <w:b/>
                <w:bCs/>
                <w:sz w:val="20"/>
                <w:szCs w:val="20"/>
                <w:lang w:eastAsia="en-GB"/>
              </w:rPr>
              <w:t> </w:t>
            </w:r>
          </w:p>
        </w:tc>
        <w:tc>
          <w:tcPr>
            <w:tcW w:w="700" w:type="dxa"/>
            <w:gridSpan w:val="2"/>
            <w:tcBorders>
              <w:top w:val="nil"/>
              <w:left w:val="nil"/>
              <w:bottom w:val="single" w:sz="4" w:space="0" w:color="BFBFBF"/>
              <w:right w:val="nil"/>
            </w:tcBorders>
            <w:shd w:val="clear" w:color="auto" w:fill="auto"/>
            <w:noWrap/>
            <w:vAlign w:val="bottom"/>
            <w:hideMark/>
          </w:tcPr>
          <w:p w14:paraId="24A6E202" w14:textId="77777777" w:rsidR="007109DC" w:rsidRPr="007109DC" w:rsidRDefault="007109DC" w:rsidP="007109DC">
            <w:pPr>
              <w:spacing w:after="0" w:line="240" w:lineRule="auto"/>
              <w:rPr>
                <w:rFonts w:ascii="Arial" w:eastAsia="Times New Roman" w:hAnsi="Arial" w:cs="Arial"/>
                <w:b/>
                <w:bCs/>
                <w:sz w:val="20"/>
                <w:szCs w:val="20"/>
                <w:lang w:eastAsia="en-GB"/>
              </w:rPr>
            </w:pPr>
            <w:r w:rsidRPr="007109DC">
              <w:rPr>
                <w:rFonts w:ascii="Arial" w:eastAsia="Times New Roman" w:hAnsi="Arial" w:cs="Arial"/>
                <w:b/>
                <w:bCs/>
                <w:sz w:val="20"/>
                <w:szCs w:val="20"/>
                <w:lang w:eastAsia="en-GB"/>
              </w:rPr>
              <w:t> </w:t>
            </w:r>
          </w:p>
        </w:tc>
        <w:tc>
          <w:tcPr>
            <w:tcW w:w="700" w:type="dxa"/>
            <w:tcBorders>
              <w:top w:val="nil"/>
              <w:left w:val="nil"/>
              <w:bottom w:val="single" w:sz="4" w:space="0" w:color="BFBFBF"/>
              <w:right w:val="nil"/>
            </w:tcBorders>
            <w:shd w:val="clear" w:color="auto" w:fill="auto"/>
            <w:noWrap/>
            <w:vAlign w:val="bottom"/>
            <w:hideMark/>
          </w:tcPr>
          <w:p w14:paraId="31393002" w14:textId="77777777" w:rsidR="007109DC" w:rsidRPr="007109DC" w:rsidRDefault="007109DC" w:rsidP="007109DC">
            <w:pPr>
              <w:spacing w:after="0" w:line="240" w:lineRule="auto"/>
              <w:rPr>
                <w:rFonts w:ascii="Arial" w:eastAsia="Times New Roman" w:hAnsi="Arial" w:cs="Arial"/>
                <w:b/>
                <w:bCs/>
                <w:sz w:val="20"/>
                <w:szCs w:val="20"/>
                <w:lang w:eastAsia="en-GB"/>
              </w:rPr>
            </w:pPr>
            <w:r w:rsidRPr="007109DC">
              <w:rPr>
                <w:rFonts w:ascii="Arial" w:eastAsia="Times New Roman" w:hAnsi="Arial" w:cs="Arial"/>
                <w:b/>
                <w:bCs/>
                <w:sz w:val="20"/>
                <w:szCs w:val="20"/>
                <w:lang w:eastAsia="en-GB"/>
              </w:rPr>
              <w:t> </w:t>
            </w:r>
          </w:p>
        </w:tc>
        <w:tc>
          <w:tcPr>
            <w:tcW w:w="700" w:type="dxa"/>
            <w:gridSpan w:val="2"/>
            <w:tcBorders>
              <w:top w:val="nil"/>
              <w:left w:val="nil"/>
              <w:bottom w:val="single" w:sz="4" w:space="0" w:color="BFBFBF"/>
              <w:right w:val="nil"/>
            </w:tcBorders>
            <w:shd w:val="clear" w:color="auto" w:fill="auto"/>
            <w:noWrap/>
            <w:vAlign w:val="bottom"/>
            <w:hideMark/>
          </w:tcPr>
          <w:p w14:paraId="79F388ED" w14:textId="77777777" w:rsidR="007109DC" w:rsidRPr="007109DC" w:rsidRDefault="007109DC" w:rsidP="007109DC">
            <w:pPr>
              <w:spacing w:after="0" w:line="240" w:lineRule="auto"/>
              <w:rPr>
                <w:rFonts w:ascii="Arial" w:eastAsia="Times New Roman" w:hAnsi="Arial" w:cs="Arial"/>
                <w:b/>
                <w:bCs/>
                <w:sz w:val="20"/>
                <w:szCs w:val="20"/>
                <w:lang w:eastAsia="en-GB"/>
              </w:rPr>
            </w:pPr>
            <w:r w:rsidRPr="007109DC">
              <w:rPr>
                <w:rFonts w:ascii="Arial" w:eastAsia="Times New Roman" w:hAnsi="Arial" w:cs="Arial"/>
                <w:b/>
                <w:bCs/>
                <w:sz w:val="20"/>
                <w:szCs w:val="20"/>
                <w:lang w:eastAsia="en-GB"/>
              </w:rPr>
              <w:t> </w:t>
            </w:r>
          </w:p>
        </w:tc>
        <w:tc>
          <w:tcPr>
            <w:tcW w:w="1921" w:type="dxa"/>
            <w:gridSpan w:val="3"/>
            <w:tcBorders>
              <w:top w:val="nil"/>
              <w:left w:val="nil"/>
              <w:bottom w:val="single" w:sz="4" w:space="0" w:color="BFBFBF"/>
              <w:right w:val="nil"/>
            </w:tcBorders>
            <w:shd w:val="clear" w:color="auto" w:fill="auto"/>
            <w:noWrap/>
            <w:vAlign w:val="bottom"/>
            <w:hideMark/>
          </w:tcPr>
          <w:p w14:paraId="0ED8E1E3" w14:textId="77777777" w:rsidR="007109DC" w:rsidRPr="007109DC" w:rsidRDefault="007109DC" w:rsidP="007109DC">
            <w:pPr>
              <w:spacing w:after="0" w:line="240" w:lineRule="auto"/>
              <w:rPr>
                <w:rFonts w:ascii="Arial" w:eastAsia="Times New Roman" w:hAnsi="Arial" w:cs="Arial"/>
                <w:b/>
                <w:bCs/>
                <w:sz w:val="20"/>
                <w:szCs w:val="20"/>
                <w:lang w:eastAsia="en-GB"/>
              </w:rPr>
            </w:pPr>
            <w:r w:rsidRPr="007109DC">
              <w:rPr>
                <w:rFonts w:ascii="Arial" w:eastAsia="Times New Roman" w:hAnsi="Arial" w:cs="Arial"/>
                <w:b/>
                <w:bCs/>
                <w:sz w:val="20"/>
                <w:szCs w:val="20"/>
                <w:lang w:eastAsia="en-GB"/>
              </w:rPr>
              <w:t> </w:t>
            </w:r>
          </w:p>
        </w:tc>
        <w:tc>
          <w:tcPr>
            <w:tcW w:w="1033" w:type="dxa"/>
            <w:tcBorders>
              <w:top w:val="nil"/>
              <w:left w:val="nil"/>
              <w:bottom w:val="single" w:sz="4" w:space="0" w:color="BFBFBF"/>
              <w:right w:val="nil"/>
            </w:tcBorders>
            <w:shd w:val="clear" w:color="auto" w:fill="auto"/>
            <w:noWrap/>
            <w:vAlign w:val="bottom"/>
            <w:hideMark/>
          </w:tcPr>
          <w:p w14:paraId="315E899F" w14:textId="77777777" w:rsidR="007109DC" w:rsidRPr="007109DC" w:rsidRDefault="007109DC" w:rsidP="007109DC">
            <w:pPr>
              <w:spacing w:after="0" w:line="240" w:lineRule="auto"/>
              <w:jc w:val="right"/>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£m</w:t>
            </w:r>
          </w:p>
        </w:tc>
        <w:tc>
          <w:tcPr>
            <w:tcW w:w="1235" w:type="dxa"/>
            <w:gridSpan w:val="2"/>
            <w:tcBorders>
              <w:top w:val="nil"/>
              <w:left w:val="nil"/>
              <w:bottom w:val="single" w:sz="4" w:space="0" w:color="BFBFBF"/>
              <w:right w:val="nil"/>
            </w:tcBorders>
            <w:shd w:val="clear" w:color="auto" w:fill="auto"/>
            <w:noWrap/>
            <w:vAlign w:val="bottom"/>
            <w:hideMark/>
          </w:tcPr>
          <w:p w14:paraId="12D26F88"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£m</w:t>
            </w:r>
          </w:p>
        </w:tc>
        <w:tc>
          <w:tcPr>
            <w:tcW w:w="1275" w:type="dxa"/>
            <w:gridSpan w:val="2"/>
            <w:tcBorders>
              <w:top w:val="nil"/>
              <w:left w:val="nil"/>
              <w:bottom w:val="single" w:sz="4" w:space="0" w:color="BFBFBF"/>
              <w:right w:val="single" w:sz="4" w:space="0" w:color="BFBFBF"/>
            </w:tcBorders>
            <w:shd w:val="clear" w:color="auto" w:fill="auto"/>
            <w:noWrap/>
            <w:vAlign w:val="bottom"/>
            <w:hideMark/>
          </w:tcPr>
          <w:p w14:paraId="2E0D74EC"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£m</w:t>
            </w:r>
          </w:p>
        </w:tc>
        <w:tc>
          <w:tcPr>
            <w:tcW w:w="222" w:type="dxa"/>
            <w:gridSpan w:val="2"/>
            <w:vAlign w:val="center"/>
            <w:hideMark/>
          </w:tcPr>
          <w:p w14:paraId="554B4445"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85062A" w:rsidRPr="007109DC" w14:paraId="25C88F22" w14:textId="77777777" w:rsidTr="00D41B2D">
        <w:trPr>
          <w:gridAfter w:val="1"/>
          <w:wAfter w:w="176" w:type="dxa"/>
          <w:trHeight w:val="278"/>
        </w:trPr>
        <w:tc>
          <w:tcPr>
            <w:tcW w:w="2500" w:type="dxa"/>
            <w:gridSpan w:val="3"/>
            <w:tcBorders>
              <w:top w:val="nil"/>
              <w:left w:val="nil"/>
              <w:bottom w:val="nil"/>
              <w:right w:val="nil"/>
            </w:tcBorders>
            <w:shd w:val="clear" w:color="000000" w:fill="FFFFFF"/>
            <w:noWrap/>
            <w:vAlign w:val="bottom"/>
            <w:hideMark/>
          </w:tcPr>
          <w:p w14:paraId="2ABD564C"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Property, </w:t>
            </w:r>
            <w:proofErr w:type="gramStart"/>
            <w:r w:rsidRPr="007109DC">
              <w:rPr>
                <w:rFonts w:ascii="Arial" w:eastAsia="Times New Roman" w:hAnsi="Arial" w:cs="Arial"/>
                <w:sz w:val="15"/>
                <w:szCs w:val="15"/>
                <w:lang w:eastAsia="en-GB"/>
              </w:rPr>
              <w:t>plant</w:t>
            </w:r>
            <w:proofErr w:type="gramEnd"/>
            <w:r w:rsidRPr="007109DC">
              <w:rPr>
                <w:rFonts w:ascii="Arial" w:eastAsia="Times New Roman" w:hAnsi="Arial" w:cs="Arial"/>
                <w:sz w:val="15"/>
                <w:szCs w:val="15"/>
                <w:lang w:eastAsia="en-GB"/>
              </w:rPr>
              <w:t xml:space="preserve"> and equipment</w:t>
            </w:r>
          </w:p>
        </w:tc>
        <w:tc>
          <w:tcPr>
            <w:tcW w:w="700" w:type="dxa"/>
            <w:gridSpan w:val="2"/>
            <w:tcBorders>
              <w:top w:val="nil"/>
              <w:left w:val="nil"/>
              <w:bottom w:val="nil"/>
              <w:right w:val="nil"/>
            </w:tcBorders>
            <w:shd w:val="clear" w:color="000000" w:fill="FFFFFF"/>
            <w:noWrap/>
            <w:vAlign w:val="bottom"/>
            <w:hideMark/>
          </w:tcPr>
          <w:p w14:paraId="3CA46E69"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noWrap/>
            <w:vAlign w:val="bottom"/>
            <w:hideMark/>
          </w:tcPr>
          <w:p w14:paraId="0B2C92F5"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gridSpan w:val="2"/>
            <w:tcBorders>
              <w:top w:val="nil"/>
              <w:left w:val="nil"/>
              <w:bottom w:val="nil"/>
              <w:right w:val="nil"/>
            </w:tcBorders>
            <w:shd w:val="clear" w:color="000000" w:fill="FFFFFF"/>
            <w:noWrap/>
            <w:vAlign w:val="bottom"/>
            <w:hideMark/>
          </w:tcPr>
          <w:p w14:paraId="480E6831"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921" w:type="dxa"/>
            <w:gridSpan w:val="3"/>
            <w:tcBorders>
              <w:top w:val="nil"/>
              <w:left w:val="nil"/>
              <w:bottom w:val="nil"/>
              <w:right w:val="nil"/>
            </w:tcBorders>
            <w:shd w:val="clear" w:color="000000" w:fill="FFFFFF"/>
            <w:noWrap/>
            <w:vAlign w:val="bottom"/>
            <w:hideMark/>
          </w:tcPr>
          <w:p w14:paraId="6BBFF990"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3ED5FA61" w14:textId="77777777" w:rsidR="007109DC" w:rsidRPr="007109DC" w:rsidRDefault="007109DC" w:rsidP="007109DC">
            <w:pPr>
              <w:spacing w:after="0" w:line="240" w:lineRule="auto"/>
              <w:jc w:val="right"/>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 xml:space="preserve">91 </w:t>
            </w:r>
          </w:p>
        </w:tc>
        <w:tc>
          <w:tcPr>
            <w:tcW w:w="1235" w:type="dxa"/>
            <w:gridSpan w:val="2"/>
            <w:tcBorders>
              <w:top w:val="nil"/>
              <w:left w:val="nil"/>
              <w:bottom w:val="nil"/>
              <w:right w:val="nil"/>
            </w:tcBorders>
            <w:shd w:val="clear" w:color="000000" w:fill="FFFFFF"/>
            <w:noWrap/>
            <w:vAlign w:val="bottom"/>
            <w:hideMark/>
          </w:tcPr>
          <w:p w14:paraId="31F338D3"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2 </w:t>
            </w:r>
          </w:p>
        </w:tc>
        <w:tc>
          <w:tcPr>
            <w:tcW w:w="1275" w:type="dxa"/>
            <w:gridSpan w:val="2"/>
            <w:tcBorders>
              <w:top w:val="nil"/>
              <w:left w:val="nil"/>
              <w:bottom w:val="nil"/>
              <w:right w:val="nil"/>
            </w:tcBorders>
            <w:shd w:val="clear" w:color="000000" w:fill="FFFFFF"/>
            <w:noWrap/>
            <w:vAlign w:val="center"/>
            <w:hideMark/>
          </w:tcPr>
          <w:p w14:paraId="5AD7CB78"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3 </w:t>
            </w:r>
          </w:p>
        </w:tc>
        <w:tc>
          <w:tcPr>
            <w:tcW w:w="222" w:type="dxa"/>
            <w:gridSpan w:val="2"/>
            <w:vAlign w:val="center"/>
            <w:hideMark/>
          </w:tcPr>
          <w:p w14:paraId="23A5AC1D"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85062A" w:rsidRPr="007109DC" w14:paraId="7A7910CC" w14:textId="77777777" w:rsidTr="00D41B2D">
        <w:trPr>
          <w:gridAfter w:val="1"/>
          <w:wAfter w:w="176" w:type="dxa"/>
          <w:trHeight w:val="278"/>
        </w:trPr>
        <w:tc>
          <w:tcPr>
            <w:tcW w:w="2500" w:type="dxa"/>
            <w:gridSpan w:val="3"/>
            <w:tcBorders>
              <w:top w:val="nil"/>
              <w:left w:val="nil"/>
              <w:bottom w:val="nil"/>
              <w:right w:val="nil"/>
            </w:tcBorders>
            <w:shd w:val="clear" w:color="000000" w:fill="FFFFFF"/>
            <w:noWrap/>
            <w:vAlign w:val="bottom"/>
            <w:hideMark/>
          </w:tcPr>
          <w:p w14:paraId="1A27C07A"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Right-of-use assets (leases)</w:t>
            </w:r>
          </w:p>
        </w:tc>
        <w:tc>
          <w:tcPr>
            <w:tcW w:w="700" w:type="dxa"/>
            <w:gridSpan w:val="2"/>
            <w:tcBorders>
              <w:top w:val="nil"/>
              <w:left w:val="nil"/>
              <w:bottom w:val="nil"/>
              <w:right w:val="nil"/>
            </w:tcBorders>
            <w:shd w:val="clear" w:color="000000" w:fill="FFFFFF"/>
            <w:noWrap/>
            <w:vAlign w:val="bottom"/>
            <w:hideMark/>
          </w:tcPr>
          <w:p w14:paraId="020FD9D9"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noWrap/>
            <w:vAlign w:val="bottom"/>
            <w:hideMark/>
          </w:tcPr>
          <w:p w14:paraId="3524FEEC"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gridSpan w:val="2"/>
            <w:tcBorders>
              <w:top w:val="nil"/>
              <w:left w:val="nil"/>
              <w:bottom w:val="nil"/>
              <w:right w:val="nil"/>
            </w:tcBorders>
            <w:shd w:val="clear" w:color="000000" w:fill="FFFFFF"/>
            <w:noWrap/>
            <w:vAlign w:val="bottom"/>
            <w:hideMark/>
          </w:tcPr>
          <w:p w14:paraId="67547A34"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921" w:type="dxa"/>
            <w:gridSpan w:val="3"/>
            <w:tcBorders>
              <w:top w:val="nil"/>
              <w:left w:val="nil"/>
              <w:bottom w:val="nil"/>
              <w:right w:val="nil"/>
            </w:tcBorders>
            <w:shd w:val="clear" w:color="000000" w:fill="FFFFFF"/>
            <w:noWrap/>
            <w:vAlign w:val="bottom"/>
            <w:hideMark/>
          </w:tcPr>
          <w:p w14:paraId="2EE0FEE6"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089F8783" w14:textId="77777777" w:rsidR="007109DC" w:rsidRPr="007109DC" w:rsidRDefault="007109DC" w:rsidP="007109DC">
            <w:pPr>
              <w:spacing w:after="0" w:line="240" w:lineRule="auto"/>
              <w:jc w:val="right"/>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 xml:space="preserve">130 </w:t>
            </w:r>
          </w:p>
        </w:tc>
        <w:tc>
          <w:tcPr>
            <w:tcW w:w="1235" w:type="dxa"/>
            <w:gridSpan w:val="2"/>
            <w:tcBorders>
              <w:top w:val="nil"/>
              <w:left w:val="nil"/>
              <w:bottom w:val="nil"/>
              <w:right w:val="nil"/>
            </w:tcBorders>
            <w:shd w:val="clear" w:color="000000" w:fill="FFFFFF"/>
            <w:noWrap/>
            <w:vAlign w:val="bottom"/>
            <w:hideMark/>
          </w:tcPr>
          <w:p w14:paraId="6B1E6AC7"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 </w:t>
            </w:r>
          </w:p>
        </w:tc>
        <w:tc>
          <w:tcPr>
            <w:tcW w:w="1275" w:type="dxa"/>
            <w:gridSpan w:val="2"/>
            <w:tcBorders>
              <w:top w:val="nil"/>
              <w:left w:val="nil"/>
              <w:bottom w:val="nil"/>
              <w:right w:val="nil"/>
            </w:tcBorders>
            <w:shd w:val="clear" w:color="000000" w:fill="FFFFFF"/>
            <w:noWrap/>
            <w:vAlign w:val="center"/>
            <w:hideMark/>
          </w:tcPr>
          <w:p w14:paraId="08F34B5C"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1 </w:t>
            </w:r>
          </w:p>
        </w:tc>
        <w:tc>
          <w:tcPr>
            <w:tcW w:w="222" w:type="dxa"/>
            <w:gridSpan w:val="2"/>
            <w:vAlign w:val="center"/>
            <w:hideMark/>
          </w:tcPr>
          <w:p w14:paraId="789EADA8"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85062A" w:rsidRPr="007109DC" w14:paraId="43C30950" w14:textId="77777777" w:rsidTr="00D41B2D">
        <w:trPr>
          <w:gridAfter w:val="1"/>
          <w:wAfter w:w="176" w:type="dxa"/>
          <w:trHeight w:val="278"/>
        </w:trPr>
        <w:tc>
          <w:tcPr>
            <w:tcW w:w="2500" w:type="dxa"/>
            <w:gridSpan w:val="3"/>
            <w:tcBorders>
              <w:top w:val="nil"/>
              <w:left w:val="nil"/>
              <w:bottom w:val="nil"/>
              <w:right w:val="nil"/>
            </w:tcBorders>
            <w:shd w:val="clear" w:color="000000" w:fill="FFFFFF"/>
            <w:noWrap/>
            <w:vAlign w:val="bottom"/>
            <w:hideMark/>
          </w:tcPr>
          <w:p w14:paraId="11864B3D"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Goodwill and intangible assets</w:t>
            </w:r>
          </w:p>
        </w:tc>
        <w:tc>
          <w:tcPr>
            <w:tcW w:w="700" w:type="dxa"/>
            <w:gridSpan w:val="2"/>
            <w:tcBorders>
              <w:top w:val="nil"/>
              <w:left w:val="nil"/>
              <w:bottom w:val="nil"/>
              <w:right w:val="nil"/>
            </w:tcBorders>
            <w:shd w:val="clear" w:color="000000" w:fill="FFFFFF"/>
            <w:noWrap/>
            <w:vAlign w:val="bottom"/>
            <w:hideMark/>
          </w:tcPr>
          <w:p w14:paraId="680110A4"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noWrap/>
            <w:vAlign w:val="bottom"/>
            <w:hideMark/>
          </w:tcPr>
          <w:p w14:paraId="0BE8473C"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gridSpan w:val="2"/>
            <w:tcBorders>
              <w:top w:val="nil"/>
              <w:left w:val="nil"/>
              <w:bottom w:val="nil"/>
              <w:right w:val="nil"/>
            </w:tcBorders>
            <w:shd w:val="clear" w:color="000000" w:fill="FFFFFF"/>
            <w:noWrap/>
            <w:vAlign w:val="bottom"/>
            <w:hideMark/>
          </w:tcPr>
          <w:p w14:paraId="69019299"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921" w:type="dxa"/>
            <w:gridSpan w:val="3"/>
            <w:tcBorders>
              <w:top w:val="nil"/>
              <w:left w:val="nil"/>
              <w:bottom w:val="nil"/>
              <w:right w:val="nil"/>
            </w:tcBorders>
            <w:shd w:val="clear" w:color="000000" w:fill="FFFFFF"/>
            <w:noWrap/>
            <w:vAlign w:val="bottom"/>
            <w:hideMark/>
          </w:tcPr>
          <w:p w14:paraId="7C61F48F"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54F01140" w14:textId="77777777" w:rsidR="007109DC" w:rsidRPr="007109DC" w:rsidRDefault="007109DC" w:rsidP="007109DC">
            <w:pPr>
              <w:spacing w:after="0" w:line="240" w:lineRule="auto"/>
              <w:jc w:val="right"/>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 xml:space="preserve">3 </w:t>
            </w:r>
          </w:p>
        </w:tc>
        <w:tc>
          <w:tcPr>
            <w:tcW w:w="1235" w:type="dxa"/>
            <w:gridSpan w:val="2"/>
            <w:tcBorders>
              <w:top w:val="nil"/>
              <w:left w:val="nil"/>
              <w:bottom w:val="nil"/>
              <w:right w:val="nil"/>
            </w:tcBorders>
            <w:shd w:val="clear" w:color="000000" w:fill="FFFFFF"/>
            <w:noWrap/>
            <w:vAlign w:val="bottom"/>
            <w:hideMark/>
          </w:tcPr>
          <w:p w14:paraId="18D2B578"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 </w:t>
            </w:r>
          </w:p>
        </w:tc>
        <w:tc>
          <w:tcPr>
            <w:tcW w:w="1275" w:type="dxa"/>
            <w:gridSpan w:val="2"/>
            <w:tcBorders>
              <w:top w:val="nil"/>
              <w:left w:val="nil"/>
              <w:bottom w:val="nil"/>
              <w:right w:val="nil"/>
            </w:tcBorders>
            <w:shd w:val="clear" w:color="000000" w:fill="FFFFFF"/>
            <w:noWrap/>
            <w:vAlign w:val="center"/>
            <w:hideMark/>
          </w:tcPr>
          <w:p w14:paraId="668881AD"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3 </w:t>
            </w:r>
          </w:p>
        </w:tc>
        <w:tc>
          <w:tcPr>
            <w:tcW w:w="222" w:type="dxa"/>
            <w:gridSpan w:val="2"/>
            <w:vAlign w:val="center"/>
            <w:hideMark/>
          </w:tcPr>
          <w:p w14:paraId="1DE3B5D2"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85062A" w:rsidRPr="007109DC" w14:paraId="01769D90" w14:textId="77777777" w:rsidTr="00D41B2D">
        <w:trPr>
          <w:gridAfter w:val="1"/>
          <w:wAfter w:w="176" w:type="dxa"/>
          <w:trHeight w:val="278"/>
        </w:trPr>
        <w:tc>
          <w:tcPr>
            <w:tcW w:w="1800" w:type="dxa"/>
            <w:gridSpan w:val="2"/>
            <w:tcBorders>
              <w:top w:val="nil"/>
              <w:left w:val="nil"/>
              <w:bottom w:val="nil"/>
              <w:right w:val="nil"/>
            </w:tcBorders>
            <w:shd w:val="clear" w:color="000000" w:fill="FFFFFF"/>
            <w:noWrap/>
            <w:vAlign w:val="bottom"/>
            <w:hideMark/>
          </w:tcPr>
          <w:p w14:paraId="2C491B9A"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Inventories</w:t>
            </w:r>
          </w:p>
        </w:tc>
        <w:tc>
          <w:tcPr>
            <w:tcW w:w="700" w:type="dxa"/>
            <w:tcBorders>
              <w:top w:val="nil"/>
              <w:left w:val="nil"/>
              <w:bottom w:val="nil"/>
              <w:right w:val="nil"/>
            </w:tcBorders>
            <w:shd w:val="clear" w:color="000000" w:fill="FFFFFF"/>
            <w:noWrap/>
            <w:vAlign w:val="bottom"/>
            <w:hideMark/>
          </w:tcPr>
          <w:p w14:paraId="0BB4BF1C"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gridSpan w:val="2"/>
            <w:tcBorders>
              <w:top w:val="nil"/>
              <w:left w:val="nil"/>
              <w:bottom w:val="nil"/>
              <w:right w:val="nil"/>
            </w:tcBorders>
            <w:shd w:val="clear" w:color="000000" w:fill="FFFFFF"/>
            <w:noWrap/>
            <w:vAlign w:val="bottom"/>
            <w:hideMark/>
          </w:tcPr>
          <w:p w14:paraId="301458AF"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noWrap/>
            <w:vAlign w:val="bottom"/>
            <w:hideMark/>
          </w:tcPr>
          <w:p w14:paraId="179AFE4E"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gridSpan w:val="2"/>
            <w:tcBorders>
              <w:top w:val="nil"/>
              <w:left w:val="nil"/>
              <w:bottom w:val="nil"/>
              <w:right w:val="nil"/>
            </w:tcBorders>
            <w:shd w:val="clear" w:color="000000" w:fill="FFFFFF"/>
            <w:noWrap/>
            <w:vAlign w:val="bottom"/>
            <w:hideMark/>
          </w:tcPr>
          <w:p w14:paraId="301AA9D0"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921" w:type="dxa"/>
            <w:gridSpan w:val="3"/>
            <w:tcBorders>
              <w:top w:val="nil"/>
              <w:left w:val="nil"/>
              <w:bottom w:val="nil"/>
              <w:right w:val="nil"/>
            </w:tcBorders>
            <w:shd w:val="clear" w:color="000000" w:fill="FFFFFF"/>
            <w:noWrap/>
            <w:vAlign w:val="bottom"/>
            <w:hideMark/>
          </w:tcPr>
          <w:p w14:paraId="09F1623D"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0C527131" w14:textId="77777777" w:rsidR="007109DC" w:rsidRPr="007109DC" w:rsidRDefault="007109DC" w:rsidP="007109DC">
            <w:pPr>
              <w:spacing w:after="0" w:line="240" w:lineRule="auto"/>
              <w:jc w:val="right"/>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 xml:space="preserve">21 </w:t>
            </w:r>
          </w:p>
        </w:tc>
        <w:tc>
          <w:tcPr>
            <w:tcW w:w="1235" w:type="dxa"/>
            <w:gridSpan w:val="2"/>
            <w:tcBorders>
              <w:top w:val="nil"/>
              <w:left w:val="nil"/>
              <w:bottom w:val="nil"/>
              <w:right w:val="nil"/>
            </w:tcBorders>
            <w:shd w:val="clear" w:color="000000" w:fill="FFFFFF"/>
            <w:noWrap/>
            <w:vAlign w:val="bottom"/>
            <w:hideMark/>
          </w:tcPr>
          <w:p w14:paraId="51CD0CA9"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 </w:t>
            </w:r>
          </w:p>
        </w:tc>
        <w:tc>
          <w:tcPr>
            <w:tcW w:w="1275" w:type="dxa"/>
            <w:gridSpan w:val="2"/>
            <w:tcBorders>
              <w:top w:val="nil"/>
              <w:left w:val="nil"/>
              <w:bottom w:val="nil"/>
              <w:right w:val="nil"/>
            </w:tcBorders>
            <w:shd w:val="clear" w:color="000000" w:fill="FFFFFF"/>
            <w:noWrap/>
            <w:vAlign w:val="center"/>
            <w:hideMark/>
          </w:tcPr>
          <w:p w14:paraId="426BA183"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 </w:t>
            </w:r>
          </w:p>
        </w:tc>
        <w:tc>
          <w:tcPr>
            <w:tcW w:w="222" w:type="dxa"/>
            <w:gridSpan w:val="2"/>
            <w:vAlign w:val="center"/>
            <w:hideMark/>
          </w:tcPr>
          <w:p w14:paraId="361FEA91"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85062A" w:rsidRPr="007109DC" w14:paraId="1A2CB7F9" w14:textId="77777777" w:rsidTr="00D41B2D">
        <w:trPr>
          <w:gridAfter w:val="1"/>
          <w:wAfter w:w="176" w:type="dxa"/>
          <w:trHeight w:val="278"/>
        </w:trPr>
        <w:tc>
          <w:tcPr>
            <w:tcW w:w="2500" w:type="dxa"/>
            <w:gridSpan w:val="3"/>
            <w:tcBorders>
              <w:top w:val="nil"/>
              <w:left w:val="nil"/>
              <w:bottom w:val="nil"/>
              <w:right w:val="nil"/>
            </w:tcBorders>
            <w:shd w:val="clear" w:color="000000" w:fill="FFFFFF"/>
            <w:noWrap/>
            <w:vAlign w:val="bottom"/>
            <w:hideMark/>
          </w:tcPr>
          <w:p w14:paraId="3E874B78"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Trade and other receivables</w:t>
            </w:r>
          </w:p>
        </w:tc>
        <w:tc>
          <w:tcPr>
            <w:tcW w:w="700" w:type="dxa"/>
            <w:gridSpan w:val="2"/>
            <w:tcBorders>
              <w:top w:val="nil"/>
              <w:left w:val="nil"/>
              <w:bottom w:val="nil"/>
              <w:right w:val="nil"/>
            </w:tcBorders>
            <w:shd w:val="clear" w:color="000000" w:fill="FFFFFF"/>
            <w:noWrap/>
            <w:vAlign w:val="bottom"/>
            <w:hideMark/>
          </w:tcPr>
          <w:p w14:paraId="6767103C"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noWrap/>
            <w:vAlign w:val="bottom"/>
            <w:hideMark/>
          </w:tcPr>
          <w:p w14:paraId="77E6CAB3"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gridSpan w:val="2"/>
            <w:tcBorders>
              <w:top w:val="nil"/>
              <w:left w:val="nil"/>
              <w:bottom w:val="nil"/>
              <w:right w:val="nil"/>
            </w:tcBorders>
            <w:shd w:val="clear" w:color="000000" w:fill="FFFFFF"/>
            <w:noWrap/>
            <w:vAlign w:val="bottom"/>
            <w:hideMark/>
          </w:tcPr>
          <w:p w14:paraId="6BFB2D5C"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921" w:type="dxa"/>
            <w:gridSpan w:val="3"/>
            <w:tcBorders>
              <w:top w:val="nil"/>
              <w:left w:val="nil"/>
              <w:bottom w:val="nil"/>
              <w:right w:val="nil"/>
            </w:tcBorders>
            <w:shd w:val="clear" w:color="000000" w:fill="FFFFFF"/>
            <w:noWrap/>
            <w:vAlign w:val="bottom"/>
            <w:hideMark/>
          </w:tcPr>
          <w:p w14:paraId="1E0817D6"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3787387F" w14:textId="77777777" w:rsidR="007109DC" w:rsidRPr="007109DC" w:rsidRDefault="007109DC" w:rsidP="007109DC">
            <w:pPr>
              <w:spacing w:after="0" w:line="240" w:lineRule="auto"/>
              <w:jc w:val="right"/>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 xml:space="preserve">29 </w:t>
            </w:r>
          </w:p>
        </w:tc>
        <w:tc>
          <w:tcPr>
            <w:tcW w:w="1235" w:type="dxa"/>
            <w:gridSpan w:val="2"/>
            <w:tcBorders>
              <w:top w:val="nil"/>
              <w:left w:val="nil"/>
              <w:bottom w:val="nil"/>
              <w:right w:val="nil"/>
            </w:tcBorders>
            <w:shd w:val="clear" w:color="000000" w:fill="FFFFFF"/>
            <w:noWrap/>
            <w:vAlign w:val="bottom"/>
            <w:hideMark/>
          </w:tcPr>
          <w:p w14:paraId="598F2C1D"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 </w:t>
            </w:r>
          </w:p>
        </w:tc>
        <w:tc>
          <w:tcPr>
            <w:tcW w:w="1275" w:type="dxa"/>
            <w:gridSpan w:val="2"/>
            <w:tcBorders>
              <w:top w:val="nil"/>
              <w:left w:val="nil"/>
              <w:bottom w:val="nil"/>
              <w:right w:val="nil"/>
            </w:tcBorders>
            <w:shd w:val="clear" w:color="000000" w:fill="FFFFFF"/>
            <w:noWrap/>
            <w:vAlign w:val="center"/>
            <w:hideMark/>
          </w:tcPr>
          <w:p w14:paraId="649C356A"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 </w:t>
            </w:r>
          </w:p>
        </w:tc>
        <w:tc>
          <w:tcPr>
            <w:tcW w:w="222" w:type="dxa"/>
            <w:gridSpan w:val="2"/>
            <w:vAlign w:val="center"/>
            <w:hideMark/>
          </w:tcPr>
          <w:p w14:paraId="57BA1E64"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85062A" w:rsidRPr="007109DC" w14:paraId="7C387409" w14:textId="77777777" w:rsidTr="00D41B2D">
        <w:trPr>
          <w:gridAfter w:val="1"/>
          <w:wAfter w:w="176" w:type="dxa"/>
          <w:trHeight w:val="278"/>
        </w:trPr>
        <w:tc>
          <w:tcPr>
            <w:tcW w:w="1800" w:type="dxa"/>
            <w:gridSpan w:val="2"/>
            <w:tcBorders>
              <w:top w:val="nil"/>
              <w:left w:val="nil"/>
              <w:bottom w:val="nil"/>
              <w:right w:val="nil"/>
            </w:tcBorders>
            <w:shd w:val="clear" w:color="000000" w:fill="FFFFFF"/>
            <w:noWrap/>
            <w:vAlign w:val="bottom"/>
            <w:hideMark/>
          </w:tcPr>
          <w:p w14:paraId="409A9689"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Deferred tax assets</w:t>
            </w:r>
          </w:p>
        </w:tc>
        <w:tc>
          <w:tcPr>
            <w:tcW w:w="700" w:type="dxa"/>
            <w:tcBorders>
              <w:top w:val="nil"/>
              <w:left w:val="nil"/>
              <w:bottom w:val="nil"/>
              <w:right w:val="nil"/>
            </w:tcBorders>
            <w:shd w:val="clear" w:color="000000" w:fill="FFFFFF"/>
            <w:noWrap/>
            <w:vAlign w:val="bottom"/>
            <w:hideMark/>
          </w:tcPr>
          <w:p w14:paraId="058DDFC3"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gridSpan w:val="2"/>
            <w:tcBorders>
              <w:top w:val="nil"/>
              <w:left w:val="nil"/>
              <w:bottom w:val="nil"/>
              <w:right w:val="nil"/>
            </w:tcBorders>
            <w:shd w:val="clear" w:color="000000" w:fill="FFFFFF"/>
            <w:noWrap/>
            <w:vAlign w:val="bottom"/>
            <w:hideMark/>
          </w:tcPr>
          <w:p w14:paraId="2ECDF516"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noWrap/>
            <w:vAlign w:val="bottom"/>
            <w:hideMark/>
          </w:tcPr>
          <w:p w14:paraId="2E401E24"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gridSpan w:val="2"/>
            <w:tcBorders>
              <w:top w:val="nil"/>
              <w:left w:val="nil"/>
              <w:bottom w:val="nil"/>
              <w:right w:val="nil"/>
            </w:tcBorders>
            <w:shd w:val="clear" w:color="000000" w:fill="FFFFFF"/>
            <w:noWrap/>
            <w:vAlign w:val="bottom"/>
            <w:hideMark/>
          </w:tcPr>
          <w:p w14:paraId="6CD11A0D"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921" w:type="dxa"/>
            <w:gridSpan w:val="3"/>
            <w:tcBorders>
              <w:top w:val="nil"/>
              <w:left w:val="nil"/>
              <w:bottom w:val="nil"/>
              <w:right w:val="nil"/>
            </w:tcBorders>
            <w:shd w:val="clear" w:color="000000" w:fill="FFFFFF"/>
            <w:noWrap/>
            <w:vAlign w:val="bottom"/>
            <w:hideMark/>
          </w:tcPr>
          <w:p w14:paraId="2CE14FCC"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5ABF0E50" w14:textId="77777777" w:rsidR="007109DC" w:rsidRPr="007109DC" w:rsidRDefault="007109DC" w:rsidP="007109DC">
            <w:pPr>
              <w:spacing w:after="0" w:line="240" w:lineRule="auto"/>
              <w:jc w:val="right"/>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 xml:space="preserve">2 </w:t>
            </w:r>
          </w:p>
        </w:tc>
        <w:tc>
          <w:tcPr>
            <w:tcW w:w="1235" w:type="dxa"/>
            <w:gridSpan w:val="2"/>
            <w:tcBorders>
              <w:top w:val="nil"/>
              <w:left w:val="nil"/>
              <w:bottom w:val="nil"/>
              <w:right w:val="nil"/>
            </w:tcBorders>
            <w:shd w:val="clear" w:color="000000" w:fill="FFFFFF"/>
            <w:noWrap/>
            <w:vAlign w:val="bottom"/>
            <w:hideMark/>
          </w:tcPr>
          <w:p w14:paraId="6E94FEA8"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 </w:t>
            </w:r>
          </w:p>
        </w:tc>
        <w:tc>
          <w:tcPr>
            <w:tcW w:w="1275" w:type="dxa"/>
            <w:gridSpan w:val="2"/>
            <w:tcBorders>
              <w:top w:val="nil"/>
              <w:left w:val="nil"/>
              <w:bottom w:val="nil"/>
              <w:right w:val="nil"/>
            </w:tcBorders>
            <w:shd w:val="clear" w:color="000000" w:fill="FFFFFF"/>
            <w:noWrap/>
            <w:vAlign w:val="center"/>
            <w:hideMark/>
          </w:tcPr>
          <w:p w14:paraId="64FA6CF0"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 </w:t>
            </w:r>
          </w:p>
        </w:tc>
        <w:tc>
          <w:tcPr>
            <w:tcW w:w="222" w:type="dxa"/>
            <w:gridSpan w:val="2"/>
            <w:vAlign w:val="center"/>
            <w:hideMark/>
          </w:tcPr>
          <w:p w14:paraId="76322167"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85062A" w:rsidRPr="007109DC" w14:paraId="460F8E7A" w14:textId="77777777" w:rsidTr="00D41B2D">
        <w:trPr>
          <w:gridAfter w:val="1"/>
          <w:wAfter w:w="176" w:type="dxa"/>
          <w:trHeight w:val="278"/>
        </w:trPr>
        <w:tc>
          <w:tcPr>
            <w:tcW w:w="1800" w:type="dxa"/>
            <w:gridSpan w:val="2"/>
            <w:tcBorders>
              <w:top w:val="single" w:sz="4" w:space="0" w:color="BFBFBF"/>
              <w:left w:val="nil"/>
              <w:bottom w:val="single" w:sz="4" w:space="0" w:color="BFBFBF"/>
              <w:right w:val="nil"/>
            </w:tcBorders>
            <w:shd w:val="clear" w:color="000000" w:fill="FFFFFF"/>
            <w:noWrap/>
            <w:vAlign w:val="bottom"/>
            <w:hideMark/>
          </w:tcPr>
          <w:p w14:paraId="1CC874C8" w14:textId="77777777" w:rsidR="007109DC" w:rsidRPr="007109DC" w:rsidRDefault="007109DC" w:rsidP="007109DC">
            <w:pPr>
              <w:spacing w:after="0" w:line="240" w:lineRule="auto"/>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Total assets</w:t>
            </w:r>
          </w:p>
        </w:tc>
        <w:tc>
          <w:tcPr>
            <w:tcW w:w="700" w:type="dxa"/>
            <w:tcBorders>
              <w:top w:val="single" w:sz="4" w:space="0" w:color="BFBFBF"/>
              <w:left w:val="nil"/>
              <w:bottom w:val="single" w:sz="4" w:space="0" w:color="BFBFBF"/>
              <w:right w:val="nil"/>
            </w:tcBorders>
            <w:shd w:val="clear" w:color="000000" w:fill="FFFFFF"/>
            <w:noWrap/>
            <w:vAlign w:val="bottom"/>
            <w:hideMark/>
          </w:tcPr>
          <w:p w14:paraId="5134EBB4" w14:textId="77777777" w:rsidR="007109DC" w:rsidRPr="007109DC" w:rsidRDefault="007109DC" w:rsidP="007109DC">
            <w:pPr>
              <w:spacing w:after="0" w:line="240" w:lineRule="auto"/>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gridSpan w:val="2"/>
            <w:tcBorders>
              <w:top w:val="single" w:sz="4" w:space="0" w:color="BFBFBF"/>
              <w:left w:val="nil"/>
              <w:bottom w:val="single" w:sz="4" w:space="0" w:color="BFBFBF"/>
              <w:right w:val="nil"/>
            </w:tcBorders>
            <w:shd w:val="clear" w:color="000000" w:fill="FFFFFF"/>
            <w:noWrap/>
            <w:vAlign w:val="bottom"/>
            <w:hideMark/>
          </w:tcPr>
          <w:p w14:paraId="76434A6E"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tcBorders>
              <w:top w:val="single" w:sz="4" w:space="0" w:color="BFBFBF"/>
              <w:left w:val="nil"/>
              <w:bottom w:val="single" w:sz="4" w:space="0" w:color="BFBFBF"/>
              <w:right w:val="nil"/>
            </w:tcBorders>
            <w:shd w:val="clear" w:color="000000" w:fill="FFFFFF"/>
            <w:noWrap/>
            <w:vAlign w:val="bottom"/>
            <w:hideMark/>
          </w:tcPr>
          <w:p w14:paraId="0E8B4956"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gridSpan w:val="2"/>
            <w:tcBorders>
              <w:top w:val="single" w:sz="4" w:space="0" w:color="BFBFBF"/>
              <w:left w:val="nil"/>
              <w:bottom w:val="single" w:sz="4" w:space="0" w:color="BFBFBF"/>
              <w:right w:val="nil"/>
            </w:tcBorders>
            <w:shd w:val="clear" w:color="000000" w:fill="FFFFFF"/>
            <w:noWrap/>
            <w:vAlign w:val="bottom"/>
            <w:hideMark/>
          </w:tcPr>
          <w:p w14:paraId="108926F6"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921" w:type="dxa"/>
            <w:gridSpan w:val="3"/>
            <w:tcBorders>
              <w:top w:val="single" w:sz="4" w:space="0" w:color="BFBFBF"/>
              <w:left w:val="nil"/>
              <w:bottom w:val="single" w:sz="4" w:space="0" w:color="BFBFBF"/>
              <w:right w:val="nil"/>
            </w:tcBorders>
            <w:shd w:val="clear" w:color="000000" w:fill="FFFFFF"/>
            <w:noWrap/>
            <w:vAlign w:val="bottom"/>
            <w:hideMark/>
          </w:tcPr>
          <w:p w14:paraId="78A8601D"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033" w:type="dxa"/>
            <w:tcBorders>
              <w:top w:val="single" w:sz="4" w:space="0" w:color="BFBFBF"/>
              <w:left w:val="nil"/>
              <w:bottom w:val="single" w:sz="4" w:space="0" w:color="BFBFBF"/>
              <w:right w:val="nil"/>
            </w:tcBorders>
            <w:shd w:val="clear" w:color="auto" w:fill="CCECFF"/>
            <w:noWrap/>
            <w:vAlign w:val="center"/>
            <w:hideMark/>
          </w:tcPr>
          <w:p w14:paraId="6E7C33F1" w14:textId="77777777" w:rsidR="007109DC" w:rsidRPr="007109DC" w:rsidRDefault="007109DC" w:rsidP="007109DC">
            <w:pPr>
              <w:spacing w:after="0" w:line="240" w:lineRule="auto"/>
              <w:jc w:val="right"/>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 xml:space="preserve">276 </w:t>
            </w:r>
          </w:p>
        </w:tc>
        <w:tc>
          <w:tcPr>
            <w:tcW w:w="1235" w:type="dxa"/>
            <w:gridSpan w:val="2"/>
            <w:tcBorders>
              <w:top w:val="single" w:sz="4" w:space="0" w:color="BFBFBF"/>
              <w:left w:val="nil"/>
              <w:bottom w:val="single" w:sz="4" w:space="0" w:color="BFBFBF"/>
              <w:right w:val="nil"/>
            </w:tcBorders>
            <w:shd w:val="clear" w:color="000000" w:fill="FFFFFF"/>
            <w:noWrap/>
            <w:vAlign w:val="center"/>
            <w:hideMark/>
          </w:tcPr>
          <w:p w14:paraId="2DE184AF"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2 </w:t>
            </w:r>
          </w:p>
        </w:tc>
        <w:tc>
          <w:tcPr>
            <w:tcW w:w="1275" w:type="dxa"/>
            <w:gridSpan w:val="2"/>
            <w:tcBorders>
              <w:top w:val="single" w:sz="4" w:space="0" w:color="BFBFBF"/>
              <w:left w:val="nil"/>
              <w:bottom w:val="single" w:sz="4" w:space="0" w:color="BFBFBF"/>
              <w:right w:val="nil"/>
            </w:tcBorders>
            <w:shd w:val="clear" w:color="000000" w:fill="FFFFFF"/>
            <w:noWrap/>
            <w:vAlign w:val="center"/>
            <w:hideMark/>
          </w:tcPr>
          <w:p w14:paraId="3FAC0936"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7 </w:t>
            </w:r>
          </w:p>
        </w:tc>
        <w:tc>
          <w:tcPr>
            <w:tcW w:w="222" w:type="dxa"/>
            <w:gridSpan w:val="2"/>
            <w:vAlign w:val="center"/>
            <w:hideMark/>
          </w:tcPr>
          <w:p w14:paraId="45EA3C13"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85062A" w:rsidRPr="007109DC" w14:paraId="50119370" w14:textId="77777777" w:rsidTr="00D41B2D">
        <w:trPr>
          <w:gridAfter w:val="1"/>
          <w:wAfter w:w="176" w:type="dxa"/>
          <w:trHeight w:val="278"/>
        </w:trPr>
        <w:tc>
          <w:tcPr>
            <w:tcW w:w="1800" w:type="dxa"/>
            <w:gridSpan w:val="2"/>
            <w:tcBorders>
              <w:top w:val="nil"/>
              <w:left w:val="nil"/>
              <w:bottom w:val="single" w:sz="4" w:space="0" w:color="BFBFBF"/>
              <w:right w:val="nil"/>
            </w:tcBorders>
            <w:shd w:val="clear" w:color="000000" w:fill="FFFFFF"/>
            <w:noWrap/>
            <w:vAlign w:val="bottom"/>
            <w:hideMark/>
          </w:tcPr>
          <w:p w14:paraId="5DD9B589" w14:textId="77777777" w:rsidR="007109DC" w:rsidRPr="007109DC" w:rsidRDefault="007109DC" w:rsidP="007109DC">
            <w:pPr>
              <w:spacing w:after="0" w:line="240" w:lineRule="auto"/>
              <w:rPr>
                <w:rFonts w:ascii="Arial" w:eastAsia="Times New Roman" w:hAnsi="Arial" w:cs="Arial"/>
                <w:b/>
                <w:bCs/>
                <w:sz w:val="20"/>
                <w:szCs w:val="20"/>
                <w:lang w:eastAsia="en-GB"/>
              </w:rPr>
            </w:pPr>
            <w:r w:rsidRPr="007109DC">
              <w:rPr>
                <w:rFonts w:ascii="Arial" w:eastAsia="Times New Roman" w:hAnsi="Arial" w:cs="Arial"/>
                <w:b/>
                <w:bCs/>
                <w:sz w:val="20"/>
                <w:szCs w:val="20"/>
                <w:lang w:eastAsia="en-GB"/>
              </w:rPr>
              <w:t> </w:t>
            </w:r>
          </w:p>
        </w:tc>
        <w:tc>
          <w:tcPr>
            <w:tcW w:w="700" w:type="dxa"/>
            <w:tcBorders>
              <w:top w:val="nil"/>
              <w:left w:val="nil"/>
              <w:bottom w:val="single" w:sz="4" w:space="0" w:color="BFBFBF"/>
              <w:right w:val="nil"/>
            </w:tcBorders>
            <w:shd w:val="clear" w:color="000000" w:fill="FFFFFF"/>
            <w:noWrap/>
            <w:vAlign w:val="bottom"/>
            <w:hideMark/>
          </w:tcPr>
          <w:p w14:paraId="04163319" w14:textId="77777777" w:rsidR="007109DC" w:rsidRPr="007109DC" w:rsidRDefault="007109DC" w:rsidP="007109DC">
            <w:pPr>
              <w:spacing w:after="0" w:line="240" w:lineRule="auto"/>
              <w:rPr>
                <w:rFonts w:ascii="Arial" w:eastAsia="Times New Roman" w:hAnsi="Arial" w:cs="Arial"/>
                <w:b/>
                <w:bCs/>
                <w:sz w:val="20"/>
                <w:szCs w:val="20"/>
                <w:lang w:eastAsia="en-GB"/>
              </w:rPr>
            </w:pPr>
            <w:r w:rsidRPr="007109DC">
              <w:rPr>
                <w:rFonts w:ascii="Arial" w:eastAsia="Times New Roman" w:hAnsi="Arial" w:cs="Arial"/>
                <w:b/>
                <w:bCs/>
                <w:sz w:val="20"/>
                <w:szCs w:val="20"/>
                <w:lang w:eastAsia="en-GB"/>
              </w:rPr>
              <w:t> </w:t>
            </w:r>
          </w:p>
        </w:tc>
        <w:tc>
          <w:tcPr>
            <w:tcW w:w="700" w:type="dxa"/>
            <w:gridSpan w:val="2"/>
            <w:tcBorders>
              <w:top w:val="nil"/>
              <w:left w:val="nil"/>
              <w:bottom w:val="single" w:sz="4" w:space="0" w:color="BFBFBF"/>
              <w:right w:val="nil"/>
            </w:tcBorders>
            <w:shd w:val="clear" w:color="000000" w:fill="FFFFFF"/>
            <w:noWrap/>
            <w:vAlign w:val="bottom"/>
            <w:hideMark/>
          </w:tcPr>
          <w:p w14:paraId="62B2EFE4" w14:textId="77777777" w:rsidR="007109DC" w:rsidRPr="007109DC" w:rsidRDefault="007109DC" w:rsidP="007109DC">
            <w:pPr>
              <w:spacing w:after="0" w:line="240" w:lineRule="auto"/>
              <w:rPr>
                <w:rFonts w:ascii="Arial" w:eastAsia="Times New Roman" w:hAnsi="Arial" w:cs="Arial"/>
                <w:b/>
                <w:bCs/>
                <w:sz w:val="20"/>
                <w:szCs w:val="20"/>
                <w:lang w:eastAsia="en-GB"/>
              </w:rPr>
            </w:pPr>
            <w:r w:rsidRPr="007109DC">
              <w:rPr>
                <w:rFonts w:ascii="Arial" w:eastAsia="Times New Roman" w:hAnsi="Arial" w:cs="Arial"/>
                <w:b/>
                <w:bCs/>
                <w:sz w:val="20"/>
                <w:szCs w:val="20"/>
                <w:lang w:eastAsia="en-GB"/>
              </w:rPr>
              <w:t> </w:t>
            </w:r>
          </w:p>
        </w:tc>
        <w:tc>
          <w:tcPr>
            <w:tcW w:w="700" w:type="dxa"/>
            <w:tcBorders>
              <w:top w:val="nil"/>
              <w:left w:val="nil"/>
              <w:bottom w:val="single" w:sz="4" w:space="0" w:color="BFBFBF"/>
              <w:right w:val="nil"/>
            </w:tcBorders>
            <w:shd w:val="clear" w:color="000000" w:fill="FFFFFF"/>
            <w:noWrap/>
            <w:vAlign w:val="bottom"/>
            <w:hideMark/>
          </w:tcPr>
          <w:p w14:paraId="05A9E54F" w14:textId="77777777" w:rsidR="007109DC" w:rsidRPr="007109DC" w:rsidRDefault="007109DC" w:rsidP="007109DC">
            <w:pPr>
              <w:spacing w:after="0" w:line="240" w:lineRule="auto"/>
              <w:rPr>
                <w:rFonts w:ascii="Arial" w:eastAsia="Times New Roman" w:hAnsi="Arial" w:cs="Arial"/>
                <w:b/>
                <w:bCs/>
                <w:sz w:val="20"/>
                <w:szCs w:val="20"/>
                <w:lang w:eastAsia="en-GB"/>
              </w:rPr>
            </w:pPr>
            <w:r w:rsidRPr="007109DC">
              <w:rPr>
                <w:rFonts w:ascii="Arial" w:eastAsia="Times New Roman" w:hAnsi="Arial" w:cs="Arial"/>
                <w:b/>
                <w:bCs/>
                <w:sz w:val="20"/>
                <w:szCs w:val="20"/>
                <w:lang w:eastAsia="en-GB"/>
              </w:rPr>
              <w:t> </w:t>
            </w:r>
          </w:p>
        </w:tc>
        <w:tc>
          <w:tcPr>
            <w:tcW w:w="700" w:type="dxa"/>
            <w:gridSpan w:val="2"/>
            <w:tcBorders>
              <w:top w:val="nil"/>
              <w:left w:val="nil"/>
              <w:bottom w:val="single" w:sz="4" w:space="0" w:color="BFBFBF"/>
              <w:right w:val="nil"/>
            </w:tcBorders>
            <w:shd w:val="clear" w:color="000000" w:fill="FFFFFF"/>
            <w:noWrap/>
            <w:vAlign w:val="bottom"/>
            <w:hideMark/>
          </w:tcPr>
          <w:p w14:paraId="61CEB541" w14:textId="77777777" w:rsidR="007109DC" w:rsidRPr="007109DC" w:rsidRDefault="007109DC" w:rsidP="007109DC">
            <w:pPr>
              <w:spacing w:after="0" w:line="240" w:lineRule="auto"/>
              <w:rPr>
                <w:rFonts w:ascii="Arial" w:eastAsia="Times New Roman" w:hAnsi="Arial" w:cs="Arial"/>
                <w:b/>
                <w:bCs/>
                <w:sz w:val="20"/>
                <w:szCs w:val="20"/>
                <w:lang w:eastAsia="en-GB"/>
              </w:rPr>
            </w:pPr>
            <w:r w:rsidRPr="007109DC">
              <w:rPr>
                <w:rFonts w:ascii="Arial" w:eastAsia="Times New Roman" w:hAnsi="Arial" w:cs="Arial"/>
                <w:b/>
                <w:bCs/>
                <w:sz w:val="20"/>
                <w:szCs w:val="20"/>
                <w:lang w:eastAsia="en-GB"/>
              </w:rPr>
              <w:t> </w:t>
            </w:r>
          </w:p>
        </w:tc>
        <w:tc>
          <w:tcPr>
            <w:tcW w:w="1921" w:type="dxa"/>
            <w:gridSpan w:val="3"/>
            <w:tcBorders>
              <w:top w:val="nil"/>
              <w:left w:val="nil"/>
              <w:bottom w:val="single" w:sz="4" w:space="0" w:color="BFBFBF"/>
              <w:right w:val="nil"/>
            </w:tcBorders>
            <w:shd w:val="clear" w:color="000000" w:fill="FFFFFF"/>
            <w:noWrap/>
            <w:vAlign w:val="bottom"/>
            <w:hideMark/>
          </w:tcPr>
          <w:p w14:paraId="520C693C" w14:textId="77777777" w:rsidR="007109DC" w:rsidRPr="007109DC" w:rsidRDefault="007109DC" w:rsidP="007109DC">
            <w:pPr>
              <w:spacing w:after="0" w:line="240" w:lineRule="auto"/>
              <w:rPr>
                <w:rFonts w:ascii="Arial" w:eastAsia="Times New Roman" w:hAnsi="Arial" w:cs="Arial"/>
                <w:b/>
                <w:bCs/>
                <w:sz w:val="20"/>
                <w:szCs w:val="20"/>
                <w:lang w:eastAsia="en-GB"/>
              </w:rPr>
            </w:pPr>
            <w:r w:rsidRPr="007109DC">
              <w:rPr>
                <w:rFonts w:ascii="Arial" w:eastAsia="Times New Roman" w:hAnsi="Arial" w:cs="Arial"/>
                <w:b/>
                <w:bCs/>
                <w:sz w:val="20"/>
                <w:szCs w:val="20"/>
                <w:lang w:eastAsia="en-GB"/>
              </w:rPr>
              <w:t> </w:t>
            </w:r>
          </w:p>
        </w:tc>
        <w:tc>
          <w:tcPr>
            <w:tcW w:w="1033" w:type="dxa"/>
            <w:tcBorders>
              <w:top w:val="nil"/>
              <w:left w:val="nil"/>
              <w:bottom w:val="single" w:sz="4" w:space="0" w:color="BFBFBF"/>
              <w:right w:val="nil"/>
            </w:tcBorders>
            <w:shd w:val="clear" w:color="000000" w:fill="FFFFFF"/>
            <w:noWrap/>
            <w:vAlign w:val="bottom"/>
            <w:hideMark/>
          </w:tcPr>
          <w:p w14:paraId="412E0ED8" w14:textId="77777777" w:rsidR="007109DC" w:rsidRPr="007109DC" w:rsidRDefault="007109DC" w:rsidP="007109DC">
            <w:pPr>
              <w:spacing w:after="0" w:line="240" w:lineRule="auto"/>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 </w:t>
            </w:r>
          </w:p>
        </w:tc>
        <w:tc>
          <w:tcPr>
            <w:tcW w:w="1235" w:type="dxa"/>
            <w:gridSpan w:val="2"/>
            <w:tcBorders>
              <w:top w:val="nil"/>
              <w:left w:val="nil"/>
              <w:bottom w:val="single" w:sz="4" w:space="0" w:color="BFBFBF"/>
              <w:right w:val="nil"/>
            </w:tcBorders>
            <w:shd w:val="clear" w:color="000000" w:fill="FFFFFF"/>
            <w:noWrap/>
            <w:vAlign w:val="bottom"/>
            <w:hideMark/>
          </w:tcPr>
          <w:p w14:paraId="1EFC4B76"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1275" w:type="dxa"/>
            <w:gridSpan w:val="2"/>
            <w:tcBorders>
              <w:top w:val="nil"/>
              <w:left w:val="nil"/>
              <w:bottom w:val="single" w:sz="4" w:space="0" w:color="BFBFBF"/>
              <w:right w:val="nil"/>
            </w:tcBorders>
            <w:shd w:val="clear" w:color="000000" w:fill="FFFFFF"/>
            <w:noWrap/>
            <w:vAlign w:val="bottom"/>
            <w:hideMark/>
          </w:tcPr>
          <w:p w14:paraId="4FE7C349" w14:textId="77777777" w:rsidR="007109DC" w:rsidRPr="007109DC" w:rsidRDefault="007109DC" w:rsidP="007109DC">
            <w:pPr>
              <w:spacing w:after="0" w:line="240" w:lineRule="auto"/>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 </w:t>
            </w:r>
          </w:p>
        </w:tc>
        <w:tc>
          <w:tcPr>
            <w:tcW w:w="222" w:type="dxa"/>
            <w:gridSpan w:val="2"/>
            <w:vAlign w:val="center"/>
            <w:hideMark/>
          </w:tcPr>
          <w:p w14:paraId="093BA40F"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85062A" w:rsidRPr="007109DC" w14:paraId="6C3F5C87" w14:textId="77777777" w:rsidTr="00D41B2D">
        <w:trPr>
          <w:gridAfter w:val="1"/>
          <w:wAfter w:w="176" w:type="dxa"/>
          <w:trHeight w:val="278"/>
        </w:trPr>
        <w:tc>
          <w:tcPr>
            <w:tcW w:w="1800" w:type="dxa"/>
            <w:gridSpan w:val="2"/>
            <w:tcBorders>
              <w:top w:val="nil"/>
              <w:left w:val="nil"/>
              <w:bottom w:val="nil"/>
              <w:right w:val="nil"/>
            </w:tcBorders>
            <w:shd w:val="clear" w:color="000000" w:fill="FFFFFF"/>
            <w:noWrap/>
            <w:vAlign w:val="bottom"/>
            <w:hideMark/>
          </w:tcPr>
          <w:p w14:paraId="4D520E2C"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Lease liabilities</w:t>
            </w:r>
          </w:p>
        </w:tc>
        <w:tc>
          <w:tcPr>
            <w:tcW w:w="700" w:type="dxa"/>
            <w:tcBorders>
              <w:top w:val="nil"/>
              <w:left w:val="nil"/>
              <w:bottom w:val="nil"/>
              <w:right w:val="nil"/>
            </w:tcBorders>
            <w:shd w:val="clear" w:color="000000" w:fill="FFFFFF"/>
            <w:noWrap/>
            <w:vAlign w:val="bottom"/>
            <w:hideMark/>
          </w:tcPr>
          <w:p w14:paraId="5FF689B2"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gridSpan w:val="2"/>
            <w:tcBorders>
              <w:top w:val="nil"/>
              <w:left w:val="nil"/>
              <w:bottom w:val="nil"/>
              <w:right w:val="nil"/>
            </w:tcBorders>
            <w:shd w:val="clear" w:color="000000" w:fill="FFFFFF"/>
            <w:noWrap/>
            <w:vAlign w:val="bottom"/>
            <w:hideMark/>
          </w:tcPr>
          <w:p w14:paraId="100D5818"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noWrap/>
            <w:vAlign w:val="bottom"/>
            <w:hideMark/>
          </w:tcPr>
          <w:p w14:paraId="6AF94FCE"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gridSpan w:val="2"/>
            <w:tcBorders>
              <w:top w:val="nil"/>
              <w:left w:val="nil"/>
              <w:bottom w:val="nil"/>
              <w:right w:val="nil"/>
            </w:tcBorders>
            <w:shd w:val="clear" w:color="000000" w:fill="FFFFFF"/>
            <w:noWrap/>
            <w:vAlign w:val="bottom"/>
            <w:hideMark/>
          </w:tcPr>
          <w:p w14:paraId="79778FCA"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921" w:type="dxa"/>
            <w:gridSpan w:val="3"/>
            <w:tcBorders>
              <w:top w:val="nil"/>
              <w:left w:val="nil"/>
              <w:bottom w:val="nil"/>
              <w:right w:val="nil"/>
            </w:tcBorders>
            <w:shd w:val="clear" w:color="000000" w:fill="FFFFFF"/>
            <w:noWrap/>
            <w:vAlign w:val="bottom"/>
            <w:hideMark/>
          </w:tcPr>
          <w:p w14:paraId="7AD41F42"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36C00FF4" w14:textId="77777777" w:rsidR="007109DC" w:rsidRPr="007109DC" w:rsidRDefault="007109DC" w:rsidP="007109DC">
            <w:pPr>
              <w:spacing w:after="0" w:line="240" w:lineRule="auto"/>
              <w:jc w:val="right"/>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(167)</w:t>
            </w:r>
          </w:p>
        </w:tc>
        <w:tc>
          <w:tcPr>
            <w:tcW w:w="1235" w:type="dxa"/>
            <w:gridSpan w:val="2"/>
            <w:tcBorders>
              <w:top w:val="nil"/>
              <w:left w:val="nil"/>
              <w:bottom w:val="nil"/>
              <w:right w:val="nil"/>
            </w:tcBorders>
            <w:shd w:val="clear" w:color="000000" w:fill="FFFFFF"/>
            <w:noWrap/>
            <w:vAlign w:val="bottom"/>
            <w:hideMark/>
          </w:tcPr>
          <w:p w14:paraId="0130C98E"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 </w:t>
            </w:r>
          </w:p>
        </w:tc>
        <w:tc>
          <w:tcPr>
            <w:tcW w:w="1275" w:type="dxa"/>
            <w:gridSpan w:val="2"/>
            <w:tcBorders>
              <w:top w:val="nil"/>
              <w:left w:val="nil"/>
              <w:bottom w:val="nil"/>
              <w:right w:val="nil"/>
            </w:tcBorders>
            <w:shd w:val="clear" w:color="000000" w:fill="FFFFFF"/>
            <w:noWrap/>
            <w:vAlign w:val="center"/>
            <w:hideMark/>
          </w:tcPr>
          <w:p w14:paraId="47B0EBC2"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(2)</w:t>
            </w:r>
          </w:p>
        </w:tc>
        <w:tc>
          <w:tcPr>
            <w:tcW w:w="222" w:type="dxa"/>
            <w:gridSpan w:val="2"/>
            <w:vAlign w:val="center"/>
            <w:hideMark/>
          </w:tcPr>
          <w:p w14:paraId="69513A88"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85062A" w:rsidRPr="007109DC" w14:paraId="2CF97F87" w14:textId="77777777" w:rsidTr="00D41B2D">
        <w:trPr>
          <w:gridAfter w:val="1"/>
          <w:wAfter w:w="176" w:type="dxa"/>
          <w:trHeight w:val="278"/>
        </w:trPr>
        <w:tc>
          <w:tcPr>
            <w:tcW w:w="2500" w:type="dxa"/>
            <w:gridSpan w:val="3"/>
            <w:tcBorders>
              <w:top w:val="nil"/>
              <w:left w:val="nil"/>
              <w:bottom w:val="nil"/>
              <w:right w:val="nil"/>
            </w:tcBorders>
            <w:shd w:val="clear" w:color="000000" w:fill="FFFFFF"/>
            <w:noWrap/>
            <w:vAlign w:val="bottom"/>
            <w:hideMark/>
          </w:tcPr>
          <w:p w14:paraId="55CDA12D"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Trade and other payables</w:t>
            </w:r>
          </w:p>
        </w:tc>
        <w:tc>
          <w:tcPr>
            <w:tcW w:w="700" w:type="dxa"/>
            <w:gridSpan w:val="2"/>
            <w:tcBorders>
              <w:top w:val="nil"/>
              <w:left w:val="nil"/>
              <w:bottom w:val="nil"/>
              <w:right w:val="nil"/>
            </w:tcBorders>
            <w:shd w:val="clear" w:color="000000" w:fill="FFFFFF"/>
            <w:noWrap/>
            <w:vAlign w:val="bottom"/>
            <w:hideMark/>
          </w:tcPr>
          <w:p w14:paraId="4CAD182F"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noWrap/>
            <w:vAlign w:val="bottom"/>
            <w:hideMark/>
          </w:tcPr>
          <w:p w14:paraId="27859EF0"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gridSpan w:val="2"/>
            <w:tcBorders>
              <w:top w:val="nil"/>
              <w:left w:val="nil"/>
              <w:bottom w:val="nil"/>
              <w:right w:val="nil"/>
            </w:tcBorders>
            <w:shd w:val="clear" w:color="000000" w:fill="FFFFFF"/>
            <w:noWrap/>
            <w:vAlign w:val="bottom"/>
            <w:hideMark/>
          </w:tcPr>
          <w:p w14:paraId="4C2F2B30"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921" w:type="dxa"/>
            <w:gridSpan w:val="3"/>
            <w:tcBorders>
              <w:top w:val="nil"/>
              <w:left w:val="nil"/>
              <w:bottom w:val="nil"/>
              <w:right w:val="nil"/>
            </w:tcBorders>
            <w:shd w:val="clear" w:color="000000" w:fill="FFFFFF"/>
            <w:noWrap/>
            <w:vAlign w:val="bottom"/>
            <w:hideMark/>
          </w:tcPr>
          <w:p w14:paraId="4898ADA6"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033" w:type="dxa"/>
            <w:tcBorders>
              <w:top w:val="nil"/>
              <w:left w:val="nil"/>
              <w:bottom w:val="nil"/>
              <w:right w:val="nil"/>
            </w:tcBorders>
            <w:shd w:val="clear" w:color="auto" w:fill="CCECFF"/>
            <w:noWrap/>
            <w:vAlign w:val="bottom"/>
            <w:hideMark/>
          </w:tcPr>
          <w:p w14:paraId="244A91A6" w14:textId="77777777" w:rsidR="007109DC" w:rsidRPr="007109DC" w:rsidRDefault="007109DC" w:rsidP="007109DC">
            <w:pPr>
              <w:spacing w:after="0" w:line="240" w:lineRule="auto"/>
              <w:jc w:val="right"/>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(101)</w:t>
            </w:r>
          </w:p>
        </w:tc>
        <w:tc>
          <w:tcPr>
            <w:tcW w:w="1235" w:type="dxa"/>
            <w:gridSpan w:val="2"/>
            <w:tcBorders>
              <w:top w:val="nil"/>
              <w:left w:val="nil"/>
              <w:bottom w:val="nil"/>
              <w:right w:val="nil"/>
            </w:tcBorders>
            <w:shd w:val="clear" w:color="000000" w:fill="FFFFFF"/>
            <w:noWrap/>
            <w:vAlign w:val="bottom"/>
            <w:hideMark/>
          </w:tcPr>
          <w:p w14:paraId="5BC246B3"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 </w:t>
            </w:r>
          </w:p>
        </w:tc>
        <w:tc>
          <w:tcPr>
            <w:tcW w:w="1275" w:type="dxa"/>
            <w:gridSpan w:val="2"/>
            <w:tcBorders>
              <w:top w:val="nil"/>
              <w:left w:val="nil"/>
              <w:bottom w:val="nil"/>
              <w:right w:val="nil"/>
            </w:tcBorders>
            <w:shd w:val="clear" w:color="000000" w:fill="FFFFFF"/>
            <w:noWrap/>
            <w:vAlign w:val="center"/>
            <w:hideMark/>
          </w:tcPr>
          <w:p w14:paraId="471F201C"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222" w:type="dxa"/>
            <w:gridSpan w:val="2"/>
            <w:vAlign w:val="center"/>
            <w:hideMark/>
          </w:tcPr>
          <w:p w14:paraId="101FBF45"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85062A" w:rsidRPr="007109DC" w14:paraId="208B6B63" w14:textId="77777777" w:rsidTr="00D41B2D">
        <w:trPr>
          <w:gridAfter w:val="1"/>
          <w:wAfter w:w="176" w:type="dxa"/>
          <w:trHeight w:val="278"/>
        </w:trPr>
        <w:tc>
          <w:tcPr>
            <w:tcW w:w="1800" w:type="dxa"/>
            <w:gridSpan w:val="2"/>
            <w:tcBorders>
              <w:top w:val="single" w:sz="4" w:space="0" w:color="BFBFBF"/>
              <w:left w:val="nil"/>
              <w:bottom w:val="single" w:sz="4" w:space="0" w:color="BFBFBF"/>
              <w:right w:val="nil"/>
            </w:tcBorders>
            <w:shd w:val="clear" w:color="000000" w:fill="FFFFFF"/>
            <w:noWrap/>
            <w:vAlign w:val="bottom"/>
            <w:hideMark/>
          </w:tcPr>
          <w:p w14:paraId="7A9E2020" w14:textId="77777777" w:rsidR="007109DC" w:rsidRPr="007109DC" w:rsidRDefault="007109DC" w:rsidP="007109DC">
            <w:pPr>
              <w:spacing w:after="0" w:line="240" w:lineRule="auto"/>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 xml:space="preserve">Total liabilities </w:t>
            </w:r>
          </w:p>
        </w:tc>
        <w:tc>
          <w:tcPr>
            <w:tcW w:w="700" w:type="dxa"/>
            <w:tcBorders>
              <w:top w:val="single" w:sz="4" w:space="0" w:color="BFBFBF"/>
              <w:left w:val="nil"/>
              <w:bottom w:val="single" w:sz="4" w:space="0" w:color="BFBFBF"/>
              <w:right w:val="nil"/>
            </w:tcBorders>
            <w:shd w:val="clear" w:color="000000" w:fill="FFFFFF"/>
            <w:noWrap/>
            <w:vAlign w:val="bottom"/>
            <w:hideMark/>
          </w:tcPr>
          <w:p w14:paraId="1F4373C6" w14:textId="77777777" w:rsidR="007109DC" w:rsidRPr="007109DC" w:rsidRDefault="007109DC" w:rsidP="007109DC">
            <w:pPr>
              <w:spacing w:after="0" w:line="240" w:lineRule="auto"/>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gridSpan w:val="2"/>
            <w:tcBorders>
              <w:top w:val="single" w:sz="4" w:space="0" w:color="BFBFBF"/>
              <w:left w:val="nil"/>
              <w:bottom w:val="single" w:sz="4" w:space="0" w:color="BFBFBF"/>
              <w:right w:val="nil"/>
            </w:tcBorders>
            <w:shd w:val="clear" w:color="000000" w:fill="FFFFFF"/>
            <w:noWrap/>
            <w:vAlign w:val="bottom"/>
            <w:hideMark/>
          </w:tcPr>
          <w:p w14:paraId="79BD280D"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tcBorders>
              <w:top w:val="single" w:sz="4" w:space="0" w:color="BFBFBF"/>
              <w:left w:val="nil"/>
              <w:bottom w:val="single" w:sz="4" w:space="0" w:color="BFBFBF"/>
              <w:right w:val="nil"/>
            </w:tcBorders>
            <w:shd w:val="clear" w:color="000000" w:fill="FFFFFF"/>
            <w:noWrap/>
            <w:vAlign w:val="bottom"/>
            <w:hideMark/>
          </w:tcPr>
          <w:p w14:paraId="68B6729B"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700" w:type="dxa"/>
            <w:gridSpan w:val="2"/>
            <w:tcBorders>
              <w:top w:val="single" w:sz="4" w:space="0" w:color="BFBFBF"/>
              <w:left w:val="nil"/>
              <w:bottom w:val="single" w:sz="4" w:space="0" w:color="BFBFBF"/>
              <w:right w:val="nil"/>
            </w:tcBorders>
            <w:shd w:val="clear" w:color="000000" w:fill="FFFFFF"/>
            <w:noWrap/>
            <w:vAlign w:val="bottom"/>
            <w:hideMark/>
          </w:tcPr>
          <w:p w14:paraId="3A579620"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921" w:type="dxa"/>
            <w:gridSpan w:val="3"/>
            <w:tcBorders>
              <w:top w:val="single" w:sz="4" w:space="0" w:color="BFBFBF"/>
              <w:left w:val="nil"/>
              <w:bottom w:val="single" w:sz="4" w:space="0" w:color="BFBFBF"/>
              <w:right w:val="nil"/>
            </w:tcBorders>
            <w:shd w:val="clear" w:color="000000" w:fill="FFFFFF"/>
            <w:noWrap/>
            <w:vAlign w:val="bottom"/>
            <w:hideMark/>
          </w:tcPr>
          <w:p w14:paraId="4D272017" w14:textId="77777777" w:rsidR="007109DC" w:rsidRPr="007109DC" w:rsidRDefault="007109DC" w:rsidP="007109DC">
            <w:pPr>
              <w:spacing w:after="0" w:line="240" w:lineRule="auto"/>
              <w:jc w:val="right"/>
              <w:rPr>
                <w:rFonts w:ascii="Arial" w:eastAsia="Times New Roman" w:hAnsi="Arial" w:cs="Arial"/>
                <w:sz w:val="14"/>
                <w:szCs w:val="14"/>
                <w:lang w:eastAsia="en-GB"/>
              </w:rPr>
            </w:pPr>
            <w:r w:rsidRPr="007109DC">
              <w:rPr>
                <w:rFonts w:ascii="Arial" w:eastAsia="Times New Roman" w:hAnsi="Arial" w:cs="Arial"/>
                <w:sz w:val="14"/>
                <w:szCs w:val="14"/>
                <w:lang w:eastAsia="en-GB"/>
              </w:rPr>
              <w:t> </w:t>
            </w:r>
          </w:p>
        </w:tc>
        <w:tc>
          <w:tcPr>
            <w:tcW w:w="1033" w:type="dxa"/>
            <w:tcBorders>
              <w:top w:val="single" w:sz="4" w:space="0" w:color="BFBFBF"/>
              <w:left w:val="nil"/>
              <w:bottom w:val="single" w:sz="4" w:space="0" w:color="BFBFBF"/>
              <w:right w:val="nil"/>
            </w:tcBorders>
            <w:shd w:val="clear" w:color="auto" w:fill="CCECFF"/>
            <w:noWrap/>
            <w:vAlign w:val="center"/>
            <w:hideMark/>
          </w:tcPr>
          <w:p w14:paraId="710703B8" w14:textId="77777777" w:rsidR="007109DC" w:rsidRPr="007109DC" w:rsidRDefault="007109DC" w:rsidP="007109DC">
            <w:pPr>
              <w:spacing w:after="0" w:line="240" w:lineRule="auto"/>
              <w:jc w:val="right"/>
              <w:rPr>
                <w:rFonts w:ascii="Arial" w:eastAsia="Times New Roman" w:hAnsi="Arial" w:cs="Arial"/>
                <w:b/>
                <w:bCs/>
                <w:sz w:val="15"/>
                <w:szCs w:val="15"/>
                <w:lang w:eastAsia="en-GB"/>
              </w:rPr>
            </w:pPr>
            <w:r w:rsidRPr="007109DC">
              <w:rPr>
                <w:rFonts w:ascii="Arial" w:eastAsia="Times New Roman" w:hAnsi="Arial" w:cs="Arial"/>
                <w:b/>
                <w:bCs/>
                <w:sz w:val="15"/>
                <w:szCs w:val="15"/>
                <w:lang w:eastAsia="en-GB"/>
              </w:rPr>
              <w:t>(268)</w:t>
            </w:r>
          </w:p>
        </w:tc>
        <w:tc>
          <w:tcPr>
            <w:tcW w:w="1235" w:type="dxa"/>
            <w:gridSpan w:val="2"/>
            <w:tcBorders>
              <w:top w:val="single" w:sz="4" w:space="0" w:color="BFBFBF"/>
              <w:left w:val="nil"/>
              <w:bottom w:val="single" w:sz="4" w:space="0" w:color="BFBFBF"/>
              <w:right w:val="nil"/>
            </w:tcBorders>
            <w:shd w:val="clear" w:color="000000" w:fill="FFFFFF"/>
            <w:noWrap/>
            <w:vAlign w:val="center"/>
            <w:hideMark/>
          </w:tcPr>
          <w:p w14:paraId="3526A33B"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 </w:t>
            </w:r>
          </w:p>
        </w:tc>
        <w:tc>
          <w:tcPr>
            <w:tcW w:w="1275" w:type="dxa"/>
            <w:gridSpan w:val="2"/>
            <w:tcBorders>
              <w:top w:val="single" w:sz="4" w:space="0" w:color="BFBFBF"/>
              <w:left w:val="nil"/>
              <w:bottom w:val="single" w:sz="4" w:space="0" w:color="BFBFBF"/>
              <w:right w:val="nil"/>
            </w:tcBorders>
            <w:shd w:val="clear" w:color="000000" w:fill="FFFFFF"/>
            <w:noWrap/>
            <w:vAlign w:val="center"/>
            <w:hideMark/>
          </w:tcPr>
          <w:p w14:paraId="2650CBCD" w14:textId="77777777" w:rsidR="007109DC" w:rsidRPr="007109DC" w:rsidRDefault="007109DC" w:rsidP="007109DC">
            <w:pPr>
              <w:spacing w:after="0" w:line="240" w:lineRule="auto"/>
              <w:jc w:val="right"/>
              <w:rPr>
                <w:rFonts w:ascii="Arial" w:eastAsia="Times New Roman" w:hAnsi="Arial" w:cs="Arial"/>
                <w:sz w:val="15"/>
                <w:szCs w:val="15"/>
                <w:lang w:eastAsia="en-GB"/>
              </w:rPr>
            </w:pPr>
            <w:r w:rsidRPr="007109DC">
              <w:rPr>
                <w:rFonts w:ascii="Arial" w:eastAsia="Times New Roman" w:hAnsi="Arial" w:cs="Arial"/>
                <w:sz w:val="15"/>
                <w:szCs w:val="15"/>
                <w:lang w:eastAsia="en-GB"/>
              </w:rPr>
              <w:t>(2)</w:t>
            </w:r>
          </w:p>
        </w:tc>
        <w:tc>
          <w:tcPr>
            <w:tcW w:w="222" w:type="dxa"/>
            <w:gridSpan w:val="2"/>
            <w:vAlign w:val="center"/>
            <w:hideMark/>
          </w:tcPr>
          <w:p w14:paraId="04A74840"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85062A" w:rsidRPr="007109DC" w14:paraId="2591B54C" w14:textId="77777777" w:rsidTr="00D41B2D">
        <w:trPr>
          <w:gridAfter w:val="1"/>
          <w:wAfter w:w="176" w:type="dxa"/>
          <w:trHeight w:val="255"/>
        </w:trPr>
        <w:tc>
          <w:tcPr>
            <w:tcW w:w="1800" w:type="dxa"/>
            <w:gridSpan w:val="2"/>
            <w:tcBorders>
              <w:top w:val="nil"/>
              <w:left w:val="nil"/>
              <w:bottom w:val="nil"/>
              <w:right w:val="nil"/>
            </w:tcBorders>
            <w:shd w:val="clear" w:color="000000" w:fill="FFFFFF"/>
            <w:vAlign w:val="center"/>
            <w:hideMark/>
          </w:tcPr>
          <w:p w14:paraId="1FA367EB"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vAlign w:val="center"/>
            <w:hideMark/>
          </w:tcPr>
          <w:p w14:paraId="5AD669A0"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gridSpan w:val="2"/>
            <w:tcBorders>
              <w:top w:val="nil"/>
              <w:left w:val="nil"/>
              <w:bottom w:val="nil"/>
              <w:right w:val="nil"/>
            </w:tcBorders>
            <w:shd w:val="clear" w:color="000000" w:fill="FFFFFF"/>
            <w:vAlign w:val="center"/>
            <w:hideMark/>
          </w:tcPr>
          <w:p w14:paraId="6E9F155C"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tcBorders>
              <w:top w:val="nil"/>
              <w:left w:val="nil"/>
              <w:bottom w:val="nil"/>
              <w:right w:val="nil"/>
            </w:tcBorders>
            <w:shd w:val="clear" w:color="000000" w:fill="FFFFFF"/>
            <w:vAlign w:val="center"/>
            <w:hideMark/>
          </w:tcPr>
          <w:p w14:paraId="68035C63"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700" w:type="dxa"/>
            <w:gridSpan w:val="2"/>
            <w:tcBorders>
              <w:top w:val="nil"/>
              <w:left w:val="nil"/>
              <w:bottom w:val="nil"/>
              <w:right w:val="nil"/>
            </w:tcBorders>
            <w:shd w:val="clear" w:color="000000" w:fill="FFFFFF"/>
            <w:vAlign w:val="center"/>
            <w:hideMark/>
          </w:tcPr>
          <w:p w14:paraId="63FC2671"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1921" w:type="dxa"/>
            <w:gridSpan w:val="3"/>
            <w:tcBorders>
              <w:top w:val="nil"/>
              <w:left w:val="nil"/>
              <w:bottom w:val="nil"/>
              <w:right w:val="nil"/>
            </w:tcBorders>
            <w:shd w:val="clear" w:color="000000" w:fill="FFFFFF"/>
            <w:vAlign w:val="center"/>
            <w:hideMark/>
          </w:tcPr>
          <w:p w14:paraId="5B5BAD24"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1033" w:type="dxa"/>
            <w:tcBorders>
              <w:top w:val="nil"/>
              <w:left w:val="nil"/>
              <w:bottom w:val="nil"/>
              <w:right w:val="nil"/>
            </w:tcBorders>
            <w:shd w:val="clear" w:color="000000" w:fill="FFFFFF"/>
            <w:vAlign w:val="center"/>
            <w:hideMark/>
          </w:tcPr>
          <w:p w14:paraId="670E3417"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1235" w:type="dxa"/>
            <w:gridSpan w:val="2"/>
            <w:tcBorders>
              <w:top w:val="nil"/>
              <w:left w:val="nil"/>
              <w:bottom w:val="nil"/>
              <w:right w:val="nil"/>
            </w:tcBorders>
            <w:shd w:val="clear" w:color="000000" w:fill="FFFFFF"/>
            <w:vAlign w:val="center"/>
            <w:hideMark/>
          </w:tcPr>
          <w:p w14:paraId="26F1336B"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1275" w:type="dxa"/>
            <w:gridSpan w:val="2"/>
            <w:tcBorders>
              <w:top w:val="nil"/>
              <w:left w:val="nil"/>
              <w:bottom w:val="nil"/>
              <w:right w:val="nil"/>
            </w:tcBorders>
            <w:shd w:val="clear" w:color="000000" w:fill="FFFFFF"/>
            <w:vAlign w:val="center"/>
            <w:hideMark/>
          </w:tcPr>
          <w:p w14:paraId="0E4E5A47"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 </w:t>
            </w:r>
          </w:p>
        </w:tc>
        <w:tc>
          <w:tcPr>
            <w:tcW w:w="222" w:type="dxa"/>
            <w:gridSpan w:val="2"/>
            <w:vAlign w:val="center"/>
            <w:hideMark/>
          </w:tcPr>
          <w:p w14:paraId="6EEA176D"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7109DC" w:rsidRPr="007109DC" w14:paraId="6D460DA9" w14:textId="77777777" w:rsidTr="00D41B2D">
        <w:trPr>
          <w:gridAfter w:val="1"/>
          <w:wAfter w:w="176" w:type="dxa"/>
          <w:trHeight w:val="1178"/>
        </w:trPr>
        <w:tc>
          <w:tcPr>
            <w:tcW w:w="10064" w:type="dxa"/>
            <w:gridSpan w:val="16"/>
            <w:tcBorders>
              <w:top w:val="nil"/>
              <w:left w:val="nil"/>
              <w:bottom w:val="nil"/>
              <w:right w:val="nil"/>
            </w:tcBorders>
            <w:shd w:val="clear" w:color="000000" w:fill="FFFFFF"/>
            <w:vAlign w:val="center"/>
            <w:hideMark/>
          </w:tcPr>
          <w:p w14:paraId="61E4F275" w14:textId="77777777" w:rsidR="007109DC" w:rsidRPr="007109DC" w:rsidRDefault="007109DC" w:rsidP="007109DC">
            <w:pPr>
              <w:spacing w:after="0" w:line="240" w:lineRule="auto"/>
              <w:rPr>
                <w:rFonts w:ascii="Arial" w:eastAsia="Times New Roman" w:hAnsi="Arial" w:cs="Arial"/>
                <w:sz w:val="15"/>
                <w:szCs w:val="15"/>
                <w:lang w:eastAsia="en-GB"/>
              </w:rPr>
            </w:pPr>
            <w:r w:rsidRPr="007109DC">
              <w:rPr>
                <w:rFonts w:ascii="Arial" w:eastAsia="Times New Roman" w:hAnsi="Arial" w:cs="Arial"/>
                <w:sz w:val="15"/>
                <w:szCs w:val="15"/>
                <w:lang w:eastAsia="en-GB"/>
              </w:rPr>
              <w:t xml:space="preserve">We have announced our intention to sell our 129 Petrol Forecourt sites, which form part of our Co-op Food business. As </w:t>
            </w:r>
            <w:proofErr w:type="gramStart"/>
            <w:r w:rsidRPr="007109DC">
              <w:rPr>
                <w:rFonts w:ascii="Arial" w:eastAsia="Times New Roman" w:hAnsi="Arial" w:cs="Arial"/>
                <w:sz w:val="15"/>
                <w:szCs w:val="15"/>
                <w:lang w:eastAsia="en-GB"/>
              </w:rPr>
              <w:t>at</w:t>
            </w:r>
            <w:proofErr w:type="gramEnd"/>
            <w:r w:rsidRPr="007109DC">
              <w:rPr>
                <w:rFonts w:ascii="Arial" w:eastAsia="Times New Roman" w:hAnsi="Arial" w:cs="Arial"/>
                <w:sz w:val="15"/>
                <w:szCs w:val="15"/>
                <w:lang w:eastAsia="en-GB"/>
              </w:rPr>
              <w:t xml:space="preserve"> 2 July 2022, the assets and liabilities associated with these sites have been classified as held for sale in our consolidated balance sheet as their disposal was highly probable at the half-year date. Assets have been measured at the lower of their carrying value and fair value (less costs to sell). The financial results associated with these locations continues to be shown within our Food operating segment (see Note 1) within Continuing operations as they do not meet the criteria to be classed within Discontinued operations. Our expectation is that the sale will complete in the last quarter of the year; see Note 14 for further details. </w:t>
            </w:r>
          </w:p>
        </w:tc>
        <w:tc>
          <w:tcPr>
            <w:tcW w:w="222" w:type="dxa"/>
            <w:gridSpan w:val="2"/>
            <w:vAlign w:val="center"/>
            <w:hideMark/>
          </w:tcPr>
          <w:p w14:paraId="27366825" w14:textId="77777777" w:rsidR="007109DC" w:rsidRPr="007109DC" w:rsidRDefault="007109DC" w:rsidP="007109DC">
            <w:pPr>
              <w:spacing w:after="0" w:line="240" w:lineRule="auto"/>
              <w:rPr>
                <w:rFonts w:ascii="Times New Roman" w:eastAsia="Times New Roman" w:hAnsi="Times New Roman" w:cs="Times New Roman"/>
                <w:sz w:val="20"/>
                <w:szCs w:val="20"/>
                <w:lang w:eastAsia="en-GB"/>
              </w:rPr>
            </w:pPr>
          </w:p>
        </w:tc>
      </w:tr>
      <w:tr w:rsidR="00415B22" w:rsidRPr="00415B22" w14:paraId="5136EEED" w14:textId="77777777" w:rsidTr="00D41B2D">
        <w:trPr>
          <w:gridAfter w:val="2"/>
          <w:wAfter w:w="222" w:type="dxa"/>
          <w:trHeight w:val="255"/>
        </w:trPr>
        <w:tc>
          <w:tcPr>
            <w:tcW w:w="10240" w:type="dxa"/>
            <w:gridSpan w:val="17"/>
            <w:tcBorders>
              <w:top w:val="nil"/>
              <w:left w:val="nil"/>
              <w:bottom w:val="nil"/>
              <w:right w:val="nil"/>
            </w:tcBorders>
            <w:shd w:val="clear" w:color="auto" w:fill="auto"/>
            <w:noWrap/>
            <w:vAlign w:val="bottom"/>
            <w:hideMark/>
          </w:tcPr>
          <w:p w14:paraId="77DB6B8B" w14:textId="77777777" w:rsidR="00D41B2D" w:rsidRDefault="00D41B2D" w:rsidP="00415B22">
            <w:pPr>
              <w:spacing w:after="0" w:line="240" w:lineRule="auto"/>
              <w:rPr>
                <w:rFonts w:ascii="Arial" w:eastAsia="Times New Roman" w:hAnsi="Arial" w:cs="Arial"/>
                <w:b/>
                <w:bCs/>
                <w:sz w:val="18"/>
                <w:szCs w:val="18"/>
                <w:lang w:eastAsia="en-GB"/>
              </w:rPr>
            </w:pPr>
          </w:p>
          <w:p w14:paraId="499AC2FB" w14:textId="38FDB37C" w:rsidR="00415B22" w:rsidRPr="00415B22" w:rsidRDefault="00415B22" w:rsidP="00415B22">
            <w:pPr>
              <w:spacing w:after="0" w:line="240" w:lineRule="auto"/>
              <w:rPr>
                <w:rFonts w:ascii="Arial" w:eastAsia="Times New Roman" w:hAnsi="Arial" w:cs="Arial"/>
                <w:b/>
                <w:bCs/>
                <w:sz w:val="18"/>
                <w:szCs w:val="18"/>
                <w:lang w:eastAsia="en-GB"/>
              </w:rPr>
            </w:pPr>
            <w:r w:rsidRPr="00415B22">
              <w:rPr>
                <w:rFonts w:ascii="Arial" w:eastAsia="Times New Roman" w:hAnsi="Arial" w:cs="Arial"/>
                <w:b/>
                <w:bCs/>
                <w:sz w:val="18"/>
                <w:szCs w:val="18"/>
                <w:lang w:eastAsia="en-GB"/>
              </w:rPr>
              <w:t>9     Interest-bearing loans and borrowings</w:t>
            </w:r>
          </w:p>
        </w:tc>
      </w:tr>
      <w:tr w:rsidR="00415B22" w:rsidRPr="00415B22" w14:paraId="43D70B19" w14:textId="77777777" w:rsidTr="00D41B2D">
        <w:trPr>
          <w:gridAfter w:val="2"/>
          <w:wAfter w:w="222" w:type="dxa"/>
          <w:trHeight w:val="255"/>
        </w:trPr>
        <w:tc>
          <w:tcPr>
            <w:tcW w:w="1600" w:type="dxa"/>
            <w:tcBorders>
              <w:top w:val="nil"/>
              <w:left w:val="nil"/>
              <w:bottom w:val="nil"/>
              <w:right w:val="nil"/>
            </w:tcBorders>
            <w:shd w:val="clear" w:color="auto" w:fill="auto"/>
            <w:noWrap/>
            <w:vAlign w:val="bottom"/>
            <w:hideMark/>
          </w:tcPr>
          <w:p w14:paraId="4378C879" w14:textId="77777777" w:rsidR="00415B22" w:rsidRPr="00415B22" w:rsidRDefault="00415B22" w:rsidP="00415B22">
            <w:pPr>
              <w:spacing w:after="0" w:line="240" w:lineRule="auto"/>
              <w:rPr>
                <w:rFonts w:ascii="Arial" w:eastAsia="Times New Roman" w:hAnsi="Arial" w:cs="Arial"/>
                <w:b/>
                <w:bCs/>
                <w:sz w:val="18"/>
                <w:szCs w:val="18"/>
                <w:lang w:eastAsia="en-GB"/>
              </w:rPr>
            </w:pPr>
          </w:p>
        </w:tc>
        <w:tc>
          <w:tcPr>
            <w:tcW w:w="1060" w:type="dxa"/>
            <w:gridSpan w:val="3"/>
            <w:tcBorders>
              <w:top w:val="nil"/>
              <w:left w:val="nil"/>
              <w:bottom w:val="nil"/>
              <w:right w:val="nil"/>
            </w:tcBorders>
            <w:shd w:val="clear" w:color="auto" w:fill="auto"/>
            <w:noWrap/>
            <w:vAlign w:val="bottom"/>
            <w:hideMark/>
          </w:tcPr>
          <w:p w14:paraId="0BAFA3A6"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735" w:type="dxa"/>
            <w:gridSpan w:val="3"/>
            <w:tcBorders>
              <w:top w:val="nil"/>
              <w:left w:val="nil"/>
              <w:bottom w:val="nil"/>
              <w:right w:val="nil"/>
            </w:tcBorders>
            <w:shd w:val="clear" w:color="auto" w:fill="auto"/>
            <w:noWrap/>
            <w:vAlign w:val="bottom"/>
            <w:hideMark/>
          </w:tcPr>
          <w:p w14:paraId="6C25DB0A"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625" w:type="dxa"/>
            <w:gridSpan w:val="2"/>
            <w:tcBorders>
              <w:top w:val="nil"/>
              <w:left w:val="nil"/>
              <w:bottom w:val="nil"/>
              <w:right w:val="nil"/>
            </w:tcBorders>
            <w:shd w:val="clear" w:color="auto" w:fill="auto"/>
            <w:noWrap/>
            <w:vAlign w:val="bottom"/>
            <w:hideMark/>
          </w:tcPr>
          <w:p w14:paraId="0350F045"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531E2E41"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300" w:type="dxa"/>
            <w:gridSpan w:val="3"/>
            <w:tcBorders>
              <w:top w:val="nil"/>
              <w:left w:val="nil"/>
              <w:bottom w:val="nil"/>
              <w:right w:val="nil"/>
            </w:tcBorders>
            <w:shd w:val="clear" w:color="auto" w:fill="auto"/>
            <w:noWrap/>
            <w:vAlign w:val="bottom"/>
            <w:hideMark/>
          </w:tcPr>
          <w:p w14:paraId="47E14D61"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296263F2"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280" w:type="dxa"/>
            <w:gridSpan w:val="2"/>
            <w:tcBorders>
              <w:top w:val="nil"/>
              <w:left w:val="nil"/>
              <w:bottom w:val="nil"/>
              <w:right w:val="nil"/>
            </w:tcBorders>
            <w:shd w:val="clear" w:color="auto" w:fill="auto"/>
            <w:noWrap/>
            <w:vAlign w:val="bottom"/>
            <w:hideMark/>
          </w:tcPr>
          <w:p w14:paraId="3EA10F5C"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2125DCC6" w14:textId="77777777" w:rsidTr="00D41B2D">
        <w:trPr>
          <w:gridAfter w:val="2"/>
          <w:wAfter w:w="222" w:type="dxa"/>
          <w:trHeight w:val="450"/>
        </w:trPr>
        <w:tc>
          <w:tcPr>
            <w:tcW w:w="10240" w:type="dxa"/>
            <w:gridSpan w:val="17"/>
            <w:vMerge w:val="restart"/>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2BD18D48" w14:textId="77777777" w:rsidR="00415B22" w:rsidRPr="00415B22" w:rsidRDefault="00415B22" w:rsidP="00415B22">
            <w:pPr>
              <w:spacing w:after="0" w:line="240" w:lineRule="auto"/>
              <w:rPr>
                <w:rFonts w:ascii="Arial" w:eastAsia="Times New Roman" w:hAnsi="Arial" w:cs="Arial"/>
                <w:sz w:val="18"/>
                <w:szCs w:val="18"/>
                <w:lang w:eastAsia="en-GB"/>
              </w:rPr>
            </w:pPr>
            <w:r w:rsidRPr="00415B22">
              <w:rPr>
                <w:rFonts w:ascii="Arial" w:eastAsia="Times New Roman" w:hAnsi="Arial" w:cs="Arial"/>
                <w:b/>
                <w:bCs/>
                <w:sz w:val="18"/>
                <w:szCs w:val="18"/>
                <w:lang w:eastAsia="en-GB"/>
              </w:rPr>
              <w:t>What does this show?</w:t>
            </w:r>
            <w:r w:rsidRPr="00415B22">
              <w:rPr>
                <w:rFonts w:ascii="Arial" w:eastAsia="Times New Roman" w:hAnsi="Arial" w:cs="Arial"/>
                <w:sz w:val="18"/>
                <w:szCs w:val="18"/>
                <w:lang w:eastAsia="en-GB"/>
              </w:rPr>
              <w:t xml:space="preserve"> This note gives information about our interest-bearing loans including their value, interest rate and repayment timings. Details are also given about other borrowings and funding arrangements such as corporate investor shares and our leases. All items are split between those that are due to be repaid within one year (current) and those which won't fall due until after more than one year (non-current). </w:t>
            </w:r>
          </w:p>
        </w:tc>
      </w:tr>
      <w:tr w:rsidR="00415B22" w:rsidRPr="00415B22" w14:paraId="20D9D3F9" w14:textId="77777777" w:rsidTr="00D41B2D">
        <w:trPr>
          <w:trHeight w:val="402"/>
        </w:trPr>
        <w:tc>
          <w:tcPr>
            <w:tcW w:w="10240" w:type="dxa"/>
            <w:gridSpan w:val="17"/>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449354B2" w14:textId="77777777" w:rsidR="00415B22" w:rsidRPr="00415B22" w:rsidRDefault="00415B22" w:rsidP="00415B22">
            <w:pPr>
              <w:spacing w:after="0" w:line="240" w:lineRule="auto"/>
              <w:rPr>
                <w:rFonts w:ascii="Arial" w:eastAsia="Times New Roman" w:hAnsi="Arial" w:cs="Arial"/>
                <w:sz w:val="18"/>
                <w:szCs w:val="18"/>
                <w:lang w:eastAsia="en-GB"/>
              </w:rPr>
            </w:pPr>
          </w:p>
        </w:tc>
        <w:tc>
          <w:tcPr>
            <w:tcW w:w="222" w:type="dxa"/>
            <w:gridSpan w:val="2"/>
            <w:tcBorders>
              <w:top w:val="nil"/>
              <w:left w:val="nil"/>
              <w:bottom w:val="nil"/>
              <w:right w:val="nil"/>
            </w:tcBorders>
            <w:shd w:val="clear" w:color="auto" w:fill="auto"/>
            <w:noWrap/>
            <w:vAlign w:val="bottom"/>
            <w:hideMark/>
          </w:tcPr>
          <w:p w14:paraId="6325166A" w14:textId="77777777" w:rsidR="00415B22" w:rsidRPr="00415B22" w:rsidRDefault="00415B22" w:rsidP="00415B22">
            <w:pPr>
              <w:spacing w:after="0" w:line="240" w:lineRule="auto"/>
              <w:rPr>
                <w:rFonts w:ascii="Arial" w:eastAsia="Times New Roman" w:hAnsi="Arial" w:cs="Arial"/>
                <w:sz w:val="18"/>
                <w:szCs w:val="18"/>
                <w:lang w:eastAsia="en-GB"/>
              </w:rPr>
            </w:pPr>
          </w:p>
        </w:tc>
      </w:tr>
      <w:tr w:rsidR="00415B22" w:rsidRPr="00415B22" w14:paraId="3F518CAF" w14:textId="77777777" w:rsidTr="00D41B2D">
        <w:trPr>
          <w:trHeight w:val="402"/>
        </w:trPr>
        <w:tc>
          <w:tcPr>
            <w:tcW w:w="10240" w:type="dxa"/>
            <w:gridSpan w:val="17"/>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5FA5CDC6" w14:textId="77777777" w:rsidR="00415B22" w:rsidRPr="00415B22" w:rsidRDefault="00415B22" w:rsidP="00415B22">
            <w:pPr>
              <w:spacing w:after="0" w:line="240" w:lineRule="auto"/>
              <w:rPr>
                <w:rFonts w:ascii="Arial" w:eastAsia="Times New Roman" w:hAnsi="Arial" w:cs="Arial"/>
                <w:sz w:val="18"/>
                <w:szCs w:val="18"/>
                <w:lang w:eastAsia="en-GB"/>
              </w:rPr>
            </w:pPr>
          </w:p>
        </w:tc>
        <w:tc>
          <w:tcPr>
            <w:tcW w:w="222" w:type="dxa"/>
            <w:gridSpan w:val="2"/>
            <w:tcBorders>
              <w:top w:val="nil"/>
              <w:left w:val="nil"/>
              <w:bottom w:val="nil"/>
              <w:right w:val="nil"/>
            </w:tcBorders>
            <w:shd w:val="clear" w:color="auto" w:fill="auto"/>
            <w:noWrap/>
            <w:vAlign w:val="bottom"/>
            <w:hideMark/>
          </w:tcPr>
          <w:p w14:paraId="76D4085B"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0B825DF6" w14:textId="77777777" w:rsidTr="00D41B2D">
        <w:trPr>
          <w:trHeight w:val="255"/>
        </w:trPr>
        <w:tc>
          <w:tcPr>
            <w:tcW w:w="1600" w:type="dxa"/>
            <w:tcBorders>
              <w:top w:val="nil"/>
              <w:left w:val="nil"/>
              <w:bottom w:val="nil"/>
              <w:right w:val="nil"/>
            </w:tcBorders>
            <w:shd w:val="clear" w:color="000000" w:fill="FFFFFF"/>
            <w:vAlign w:val="center"/>
            <w:hideMark/>
          </w:tcPr>
          <w:p w14:paraId="368EF8B5" w14:textId="77777777" w:rsidR="00415B22" w:rsidRPr="00415B22" w:rsidRDefault="00415B22" w:rsidP="00415B22">
            <w:pPr>
              <w:spacing w:after="0" w:line="240" w:lineRule="auto"/>
              <w:rPr>
                <w:rFonts w:ascii="Arial" w:eastAsia="Times New Roman" w:hAnsi="Arial" w:cs="Arial"/>
                <w:sz w:val="18"/>
                <w:szCs w:val="18"/>
                <w:lang w:eastAsia="en-GB"/>
              </w:rPr>
            </w:pPr>
            <w:r w:rsidRPr="00415B22">
              <w:rPr>
                <w:rFonts w:ascii="Arial" w:eastAsia="Times New Roman" w:hAnsi="Arial" w:cs="Arial"/>
                <w:sz w:val="18"/>
                <w:szCs w:val="18"/>
                <w:lang w:eastAsia="en-GB"/>
              </w:rPr>
              <w:t> </w:t>
            </w:r>
          </w:p>
        </w:tc>
        <w:tc>
          <w:tcPr>
            <w:tcW w:w="1060" w:type="dxa"/>
            <w:gridSpan w:val="3"/>
            <w:tcBorders>
              <w:top w:val="nil"/>
              <w:left w:val="nil"/>
              <w:bottom w:val="nil"/>
              <w:right w:val="nil"/>
            </w:tcBorders>
            <w:shd w:val="clear" w:color="000000" w:fill="FFFFFF"/>
            <w:vAlign w:val="center"/>
            <w:hideMark/>
          </w:tcPr>
          <w:p w14:paraId="25E7F725" w14:textId="77777777" w:rsidR="00415B22" w:rsidRPr="00415B22" w:rsidRDefault="00415B22" w:rsidP="00415B22">
            <w:pPr>
              <w:spacing w:after="0" w:line="240" w:lineRule="auto"/>
              <w:rPr>
                <w:rFonts w:ascii="Arial" w:eastAsia="Times New Roman" w:hAnsi="Arial" w:cs="Arial"/>
                <w:sz w:val="18"/>
                <w:szCs w:val="18"/>
                <w:lang w:eastAsia="en-GB"/>
              </w:rPr>
            </w:pPr>
            <w:r w:rsidRPr="00415B22">
              <w:rPr>
                <w:rFonts w:ascii="Arial" w:eastAsia="Times New Roman" w:hAnsi="Arial" w:cs="Arial"/>
                <w:sz w:val="18"/>
                <w:szCs w:val="18"/>
                <w:lang w:eastAsia="en-GB"/>
              </w:rPr>
              <w:t> </w:t>
            </w:r>
          </w:p>
        </w:tc>
        <w:tc>
          <w:tcPr>
            <w:tcW w:w="1735" w:type="dxa"/>
            <w:gridSpan w:val="3"/>
            <w:tcBorders>
              <w:top w:val="nil"/>
              <w:left w:val="nil"/>
              <w:bottom w:val="nil"/>
              <w:right w:val="nil"/>
            </w:tcBorders>
            <w:shd w:val="clear" w:color="000000" w:fill="FFFFFF"/>
            <w:vAlign w:val="center"/>
            <w:hideMark/>
          </w:tcPr>
          <w:p w14:paraId="4F01138B" w14:textId="77777777" w:rsidR="00415B22" w:rsidRPr="00415B22" w:rsidRDefault="00415B22" w:rsidP="00415B22">
            <w:pPr>
              <w:spacing w:after="0" w:line="240" w:lineRule="auto"/>
              <w:rPr>
                <w:rFonts w:ascii="Arial" w:eastAsia="Times New Roman" w:hAnsi="Arial" w:cs="Arial"/>
                <w:sz w:val="18"/>
                <w:szCs w:val="18"/>
                <w:lang w:eastAsia="en-GB"/>
              </w:rPr>
            </w:pPr>
            <w:r w:rsidRPr="00415B22">
              <w:rPr>
                <w:rFonts w:ascii="Arial" w:eastAsia="Times New Roman" w:hAnsi="Arial" w:cs="Arial"/>
                <w:sz w:val="18"/>
                <w:szCs w:val="18"/>
                <w:lang w:eastAsia="en-GB"/>
              </w:rPr>
              <w:t> </w:t>
            </w:r>
          </w:p>
        </w:tc>
        <w:tc>
          <w:tcPr>
            <w:tcW w:w="625" w:type="dxa"/>
            <w:gridSpan w:val="2"/>
            <w:tcBorders>
              <w:top w:val="nil"/>
              <w:left w:val="nil"/>
              <w:bottom w:val="nil"/>
              <w:right w:val="nil"/>
            </w:tcBorders>
            <w:shd w:val="clear" w:color="000000" w:fill="FFFFFF"/>
            <w:vAlign w:val="center"/>
            <w:hideMark/>
          </w:tcPr>
          <w:p w14:paraId="775791CF" w14:textId="77777777" w:rsidR="00415B22" w:rsidRPr="00415B22" w:rsidRDefault="00415B22" w:rsidP="00415B22">
            <w:pPr>
              <w:spacing w:after="0" w:line="240" w:lineRule="auto"/>
              <w:rPr>
                <w:rFonts w:ascii="Arial" w:eastAsia="Times New Roman" w:hAnsi="Arial" w:cs="Arial"/>
                <w:sz w:val="18"/>
                <w:szCs w:val="18"/>
                <w:lang w:eastAsia="en-GB"/>
              </w:rPr>
            </w:pPr>
            <w:r w:rsidRPr="00415B22">
              <w:rPr>
                <w:rFonts w:ascii="Arial" w:eastAsia="Times New Roman" w:hAnsi="Arial" w:cs="Arial"/>
                <w:sz w:val="18"/>
                <w:szCs w:val="18"/>
                <w:lang w:eastAsia="en-GB"/>
              </w:rPr>
              <w:t> </w:t>
            </w:r>
          </w:p>
        </w:tc>
        <w:tc>
          <w:tcPr>
            <w:tcW w:w="1340" w:type="dxa"/>
            <w:tcBorders>
              <w:top w:val="nil"/>
              <w:left w:val="nil"/>
              <w:bottom w:val="nil"/>
              <w:right w:val="nil"/>
            </w:tcBorders>
            <w:shd w:val="clear" w:color="000000" w:fill="FFFFFF"/>
            <w:vAlign w:val="center"/>
            <w:hideMark/>
          </w:tcPr>
          <w:p w14:paraId="7581BBFD" w14:textId="77777777" w:rsidR="00415B22" w:rsidRPr="00415B22" w:rsidRDefault="00415B22" w:rsidP="00415B22">
            <w:pPr>
              <w:spacing w:after="0" w:line="240" w:lineRule="auto"/>
              <w:rPr>
                <w:rFonts w:ascii="Arial" w:eastAsia="Times New Roman" w:hAnsi="Arial" w:cs="Arial"/>
                <w:sz w:val="18"/>
                <w:szCs w:val="18"/>
                <w:lang w:eastAsia="en-GB"/>
              </w:rPr>
            </w:pPr>
            <w:r w:rsidRPr="00415B22">
              <w:rPr>
                <w:rFonts w:ascii="Arial" w:eastAsia="Times New Roman" w:hAnsi="Arial" w:cs="Arial"/>
                <w:sz w:val="18"/>
                <w:szCs w:val="18"/>
                <w:lang w:eastAsia="en-GB"/>
              </w:rPr>
              <w:t> </w:t>
            </w:r>
          </w:p>
        </w:tc>
        <w:tc>
          <w:tcPr>
            <w:tcW w:w="1300" w:type="dxa"/>
            <w:gridSpan w:val="3"/>
            <w:tcBorders>
              <w:top w:val="nil"/>
              <w:left w:val="nil"/>
              <w:bottom w:val="nil"/>
              <w:right w:val="nil"/>
            </w:tcBorders>
            <w:shd w:val="clear" w:color="000000" w:fill="FFFFFF"/>
            <w:vAlign w:val="center"/>
            <w:hideMark/>
          </w:tcPr>
          <w:p w14:paraId="0D15DA9D" w14:textId="77777777" w:rsidR="00415B22" w:rsidRPr="00415B22" w:rsidRDefault="00415B22" w:rsidP="00415B22">
            <w:pPr>
              <w:spacing w:after="0" w:line="240" w:lineRule="auto"/>
              <w:rPr>
                <w:rFonts w:ascii="Arial" w:eastAsia="Times New Roman" w:hAnsi="Arial" w:cs="Arial"/>
                <w:sz w:val="18"/>
                <w:szCs w:val="18"/>
                <w:lang w:eastAsia="en-GB"/>
              </w:rPr>
            </w:pPr>
            <w:r w:rsidRPr="00415B22">
              <w:rPr>
                <w:rFonts w:ascii="Arial" w:eastAsia="Times New Roman" w:hAnsi="Arial" w:cs="Arial"/>
                <w:sz w:val="18"/>
                <w:szCs w:val="18"/>
                <w:lang w:eastAsia="en-GB"/>
              </w:rPr>
              <w:t> </w:t>
            </w:r>
          </w:p>
        </w:tc>
        <w:tc>
          <w:tcPr>
            <w:tcW w:w="1300" w:type="dxa"/>
            <w:gridSpan w:val="2"/>
            <w:tcBorders>
              <w:top w:val="nil"/>
              <w:left w:val="nil"/>
              <w:bottom w:val="nil"/>
              <w:right w:val="nil"/>
            </w:tcBorders>
            <w:shd w:val="clear" w:color="000000" w:fill="FFFFFF"/>
            <w:vAlign w:val="center"/>
            <w:hideMark/>
          </w:tcPr>
          <w:p w14:paraId="1A707CB3" w14:textId="77777777" w:rsidR="00415B22" w:rsidRPr="00415B22" w:rsidRDefault="00415B22" w:rsidP="00415B22">
            <w:pPr>
              <w:spacing w:after="0" w:line="240" w:lineRule="auto"/>
              <w:rPr>
                <w:rFonts w:ascii="Arial" w:eastAsia="Times New Roman" w:hAnsi="Arial" w:cs="Arial"/>
                <w:sz w:val="18"/>
                <w:szCs w:val="18"/>
                <w:lang w:eastAsia="en-GB"/>
              </w:rPr>
            </w:pPr>
            <w:r w:rsidRPr="00415B22">
              <w:rPr>
                <w:rFonts w:ascii="Arial" w:eastAsia="Times New Roman" w:hAnsi="Arial" w:cs="Arial"/>
                <w:sz w:val="18"/>
                <w:szCs w:val="18"/>
                <w:lang w:eastAsia="en-GB"/>
              </w:rPr>
              <w:t> </w:t>
            </w:r>
          </w:p>
        </w:tc>
        <w:tc>
          <w:tcPr>
            <w:tcW w:w="1280" w:type="dxa"/>
            <w:gridSpan w:val="2"/>
            <w:tcBorders>
              <w:top w:val="nil"/>
              <w:left w:val="nil"/>
              <w:bottom w:val="nil"/>
              <w:right w:val="nil"/>
            </w:tcBorders>
            <w:shd w:val="clear" w:color="000000" w:fill="FFFFFF"/>
            <w:vAlign w:val="center"/>
            <w:hideMark/>
          </w:tcPr>
          <w:p w14:paraId="686C9353" w14:textId="77777777" w:rsidR="00415B22" w:rsidRPr="00415B22" w:rsidRDefault="00415B22" w:rsidP="00415B22">
            <w:pPr>
              <w:spacing w:after="0" w:line="240" w:lineRule="auto"/>
              <w:rPr>
                <w:rFonts w:ascii="Arial" w:eastAsia="Times New Roman" w:hAnsi="Arial" w:cs="Arial"/>
                <w:sz w:val="18"/>
                <w:szCs w:val="18"/>
                <w:lang w:eastAsia="en-GB"/>
              </w:rPr>
            </w:pPr>
            <w:r w:rsidRPr="00415B22">
              <w:rPr>
                <w:rFonts w:ascii="Arial" w:eastAsia="Times New Roman" w:hAnsi="Arial" w:cs="Arial"/>
                <w:sz w:val="18"/>
                <w:szCs w:val="18"/>
                <w:lang w:eastAsia="en-GB"/>
              </w:rPr>
              <w:t> </w:t>
            </w:r>
          </w:p>
        </w:tc>
        <w:tc>
          <w:tcPr>
            <w:tcW w:w="222" w:type="dxa"/>
            <w:gridSpan w:val="2"/>
            <w:vAlign w:val="center"/>
            <w:hideMark/>
          </w:tcPr>
          <w:p w14:paraId="285CCF1D"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36893267" w14:textId="77777777" w:rsidTr="00D41B2D">
        <w:trPr>
          <w:trHeight w:val="255"/>
        </w:trPr>
        <w:tc>
          <w:tcPr>
            <w:tcW w:w="10240" w:type="dxa"/>
            <w:gridSpan w:val="17"/>
            <w:tcBorders>
              <w:top w:val="nil"/>
              <w:left w:val="nil"/>
              <w:bottom w:val="nil"/>
              <w:right w:val="nil"/>
            </w:tcBorders>
            <w:shd w:val="clear" w:color="auto" w:fill="auto"/>
            <w:vAlign w:val="center"/>
            <w:hideMark/>
          </w:tcPr>
          <w:p w14:paraId="235B525A"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See Note 12 for a breakdown of the IFRS 13 level hierarchies (which reflect different valuation techniques) in relation to these borrowings.</w:t>
            </w:r>
          </w:p>
        </w:tc>
        <w:tc>
          <w:tcPr>
            <w:tcW w:w="222" w:type="dxa"/>
            <w:gridSpan w:val="2"/>
            <w:vAlign w:val="center"/>
            <w:hideMark/>
          </w:tcPr>
          <w:p w14:paraId="01731214"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56DDC25B" w14:textId="77777777" w:rsidTr="00D41B2D">
        <w:trPr>
          <w:trHeight w:val="255"/>
        </w:trPr>
        <w:tc>
          <w:tcPr>
            <w:tcW w:w="1600" w:type="dxa"/>
            <w:tcBorders>
              <w:top w:val="nil"/>
              <w:left w:val="nil"/>
              <w:bottom w:val="nil"/>
              <w:right w:val="nil"/>
            </w:tcBorders>
            <w:shd w:val="clear" w:color="auto" w:fill="auto"/>
            <w:vAlign w:val="center"/>
            <w:hideMark/>
          </w:tcPr>
          <w:p w14:paraId="485F688B" w14:textId="77777777" w:rsidR="00415B22" w:rsidRPr="00415B22" w:rsidRDefault="00415B22" w:rsidP="00415B22">
            <w:pPr>
              <w:spacing w:after="0" w:line="240" w:lineRule="auto"/>
              <w:rPr>
                <w:rFonts w:ascii="Arial" w:eastAsia="Times New Roman" w:hAnsi="Arial" w:cs="Arial"/>
                <w:sz w:val="15"/>
                <w:szCs w:val="15"/>
                <w:lang w:eastAsia="en-GB"/>
              </w:rPr>
            </w:pPr>
          </w:p>
        </w:tc>
        <w:tc>
          <w:tcPr>
            <w:tcW w:w="1060" w:type="dxa"/>
            <w:gridSpan w:val="3"/>
            <w:tcBorders>
              <w:top w:val="nil"/>
              <w:left w:val="nil"/>
              <w:bottom w:val="nil"/>
              <w:right w:val="nil"/>
            </w:tcBorders>
            <w:shd w:val="clear" w:color="auto" w:fill="auto"/>
            <w:vAlign w:val="center"/>
            <w:hideMark/>
          </w:tcPr>
          <w:p w14:paraId="0F3A7A9C"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735" w:type="dxa"/>
            <w:gridSpan w:val="3"/>
            <w:tcBorders>
              <w:top w:val="nil"/>
              <w:left w:val="nil"/>
              <w:bottom w:val="nil"/>
              <w:right w:val="nil"/>
            </w:tcBorders>
            <w:shd w:val="clear" w:color="auto" w:fill="auto"/>
            <w:vAlign w:val="center"/>
            <w:hideMark/>
          </w:tcPr>
          <w:p w14:paraId="517E6B8B"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625" w:type="dxa"/>
            <w:gridSpan w:val="2"/>
            <w:tcBorders>
              <w:top w:val="nil"/>
              <w:left w:val="nil"/>
              <w:bottom w:val="nil"/>
              <w:right w:val="nil"/>
            </w:tcBorders>
            <w:shd w:val="clear" w:color="auto" w:fill="auto"/>
            <w:vAlign w:val="center"/>
            <w:hideMark/>
          </w:tcPr>
          <w:p w14:paraId="79F08829"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vAlign w:val="center"/>
            <w:hideMark/>
          </w:tcPr>
          <w:p w14:paraId="1BA496D7"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300" w:type="dxa"/>
            <w:gridSpan w:val="3"/>
            <w:tcBorders>
              <w:top w:val="nil"/>
              <w:left w:val="nil"/>
              <w:bottom w:val="nil"/>
              <w:right w:val="nil"/>
            </w:tcBorders>
            <w:shd w:val="clear" w:color="auto" w:fill="auto"/>
            <w:vAlign w:val="center"/>
            <w:hideMark/>
          </w:tcPr>
          <w:p w14:paraId="143B7905"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vAlign w:val="center"/>
            <w:hideMark/>
          </w:tcPr>
          <w:p w14:paraId="489E7029"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280" w:type="dxa"/>
            <w:gridSpan w:val="2"/>
            <w:tcBorders>
              <w:top w:val="nil"/>
              <w:left w:val="nil"/>
              <w:bottom w:val="nil"/>
              <w:right w:val="nil"/>
            </w:tcBorders>
            <w:shd w:val="clear" w:color="auto" w:fill="auto"/>
            <w:vAlign w:val="center"/>
            <w:hideMark/>
          </w:tcPr>
          <w:p w14:paraId="0141A958"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222" w:type="dxa"/>
            <w:gridSpan w:val="2"/>
            <w:vAlign w:val="center"/>
            <w:hideMark/>
          </w:tcPr>
          <w:p w14:paraId="4F0A3D48"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377C424B" w14:textId="77777777" w:rsidTr="00D41B2D">
        <w:trPr>
          <w:trHeight w:val="74"/>
        </w:trPr>
        <w:tc>
          <w:tcPr>
            <w:tcW w:w="1600" w:type="dxa"/>
            <w:tcBorders>
              <w:top w:val="nil"/>
              <w:left w:val="nil"/>
              <w:bottom w:val="nil"/>
              <w:right w:val="nil"/>
            </w:tcBorders>
            <w:shd w:val="clear" w:color="auto" w:fill="auto"/>
            <w:noWrap/>
            <w:vAlign w:val="bottom"/>
            <w:hideMark/>
          </w:tcPr>
          <w:p w14:paraId="14760224"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060" w:type="dxa"/>
            <w:gridSpan w:val="3"/>
            <w:tcBorders>
              <w:top w:val="nil"/>
              <w:left w:val="nil"/>
              <w:bottom w:val="nil"/>
              <w:right w:val="nil"/>
            </w:tcBorders>
            <w:shd w:val="clear" w:color="auto" w:fill="auto"/>
            <w:noWrap/>
            <w:vAlign w:val="bottom"/>
            <w:hideMark/>
          </w:tcPr>
          <w:p w14:paraId="0E3CD3D5"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735" w:type="dxa"/>
            <w:gridSpan w:val="3"/>
            <w:tcBorders>
              <w:top w:val="nil"/>
              <w:left w:val="nil"/>
              <w:bottom w:val="nil"/>
              <w:right w:val="nil"/>
            </w:tcBorders>
            <w:shd w:val="clear" w:color="auto" w:fill="auto"/>
            <w:noWrap/>
            <w:vAlign w:val="bottom"/>
            <w:hideMark/>
          </w:tcPr>
          <w:p w14:paraId="4E97410F"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625" w:type="dxa"/>
            <w:gridSpan w:val="2"/>
            <w:tcBorders>
              <w:top w:val="nil"/>
              <w:left w:val="nil"/>
              <w:bottom w:val="nil"/>
              <w:right w:val="nil"/>
            </w:tcBorders>
            <w:shd w:val="clear" w:color="auto" w:fill="auto"/>
            <w:noWrap/>
            <w:vAlign w:val="bottom"/>
            <w:hideMark/>
          </w:tcPr>
          <w:p w14:paraId="1BA7BC83"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0CF79BD3"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300" w:type="dxa"/>
            <w:gridSpan w:val="3"/>
            <w:tcBorders>
              <w:top w:val="nil"/>
              <w:left w:val="nil"/>
              <w:bottom w:val="nil"/>
              <w:right w:val="nil"/>
            </w:tcBorders>
            <w:shd w:val="clear" w:color="auto" w:fill="auto"/>
            <w:noWrap/>
            <w:vAlign w:val="bottom"/>
            <w:hideMark/>
          </w:tcPr>
          <w:p w14:paraId="1221A3E7"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2F999BE0"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280" w:type="dxa"/>
            <w:gridSpan w:val="2"/>
            <w:tcBorders>
              <w:top w:val="nil"/>
              <w:left w:val="nil"/>
              <w:bottom w:val="nil"/>
              <w:right w:val="nil"/>
            </w:tcBorders>
            <w:shd w:val="clear" w:color="auto" w:fill="auto"/>
            <w:noWrap/>
            <w:vAlign w:val="bottom"/>
            <w:hideMark/>
          </w:tcPr>
          <w:p w14:paraId="32FDBABD"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222" w:type="dxa"/>
            <w:gridSpan w:val="2"/>
            <w:vAlign w:val="center"/>
            <w:hideMark/>
          </w:tcPr>
          <w:p w14:paraId="4AF1C0BF"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D92813" w:rsidRPr="00415B22" w14:paraId="009DE35F" w14:textId="77777777" w:rsidTr="00D41B2D">
        <w:trPr>
          <w:trHeight w:val="64"/>
        </w:trPr>
        <w:tc>
          <w:tcPr>
            <w:tcW w:w="1600" w:type="dxa"/>
            <w:tcBorders>
              <w:top w:val="single" w:sz="4" w:space="0" w:color="BFBFBF"/>
              <w:left w:val="single" w:sz="4" w:space="0" w:color="BFBFBF"/>
              <w:bottom w:val="nil"/>
              <w:right w:val="nil"/>
            </w:tcBorders>
            <w:shd w:val="clear" w:color="auto" w:fill="auto"/>
            <w:noWrap/>
            <w:vAlign w:val="bottom"/>
            <w:hideMark/>
          </w:tcPr>
          <w:p w14:paraId="35080818" w14:textId="77777777" w:rsidR="00415B22" w:rsidRPr="00415B22" w:rsidRDefault="00415B22" w:rsidP="00415B22">
            <w:pPr>
              <w:spacing w:after="0" w:line="240" w:lineRule="auto"/>
              <w:rPr>
                <w:rFonts w:ascii="Arial" w:eastAsia="Times New Roman" w:hAnsi="Arial" w:cs="Arial"/>
                <w:b/>
                <w:bCs/>
                <w:sz w:val="14"/>
                <w:szCs w:val="14"/>
                <w:lang w:eastAsia="en-GB"/>
              </w:rPr>
            </w:pPr>
            <w:r w:rsidRPr="00415B22">
              <w:rPr>
                <w:rFonts w:ascii="Arial" w:eastAsia="Times New Roman" w:hAnsi="Arial" w:cs="Arial"/>
                <w:b/>
                <w:bCs/>
                <w:sz w:val="14"/>
                <w:szCs w:val="14"/>
                <w:lang w:eastAsia="en-GB"/>
              </w:rPr>
              <w:lastRenderedPageBreak/>
              <w:t> </w:t>
            </w:r>
          </w:p>
        </w:tc>
        <w:tc>
          <w:tcPr>
            <w:tcW w:w="1060" w:type="dxa"/>
            <w:gridSpan w:val="3"/>
            <w:tcBorders>
              <w:top w:val="single" w:sz="4" w:space="0" w:color="BFBFBF"/>
              <w:left w:val="nil"/>
              <w:bottom w:val="nil"/>
              <w:right w:val="nil"/>
            </w:tcBorders>
            <w:shd w:val="clear" w:color="auto" w:fill="auto"/>
            <w:noWrap/>
            <w:vAlign w:val="bottom"/>
            <w:hideMark/>
          </w:tcPr>
          <w:p w14:paraId="102B5A30" w14:textId="77777777" w:rsidR="00415B22" w:rsidRPr="00415B22" w:rsidRDefault="00415B22" w:rsidP="00415B22">
            <w:pPr>
              <w:spacing w:after="0" w:line="240" w:lineRule="auto"/>
              <w:rPr>
                <w:rFonts w:ascii="Arial" w:eastAsia="Times New Roman" w:hAnsi="Arial" w:cs="Arial"/>
                <w:b/>
                <w:bCs/>
                <w:sz w:val="14"/>
                <w:szCs w:val="14"/>
                <w:lang w:eastAsia="en-GB"/>
              </w:rPr>
            </w:pPr>
            <w:r w:rsidRPr="00415B22">
              <w:rPr>
                <w:rFonts w:ascii="Arial" w:eastAsia="Times New Roman" w:hAnsi="Arial" w:cs="Arial"/>
                <w:b/>
                <w:bCs/>
                <w:sz w:val="14"/>
                <w:szCs w:val="14"/>
                <w:lang w:eastAsia="en-GB"/>
              </w:rPr>
              <w:t> </w:t>
            </w:r>
          </w:p>
        </w:tc>
        <w:tc>
          <w:tcPr>
            <w:tcW w:w="1735" w:type="dxa"/>
            <w:gridSpan w:val="3"/>
            <w:tcBorders>
              <w:top w:val="single" w:sz="4" w:space="0" w:color="BFBFBF"/>
              <w:left w:val="nil"/>
              <w:bottom w:val="nil"/>
              <w:right w:val="nil"/>
            </w:tcBorders>
            <w:shd w:val="clear" w:color="auto" w:fill="auto"/>
            <w:noWrap/>
            <w:vAlign w:val="bottom"/>
            <w:hideMark/>
          </w:tcPr>
          <w:p w14:paraId="6A2F9244" w14:textId="77777777" w:rsidR="00415B22" w:rsidRPr="00415B22" w:rsidRDefault="00415B22" w:rsidP="00415B22">
            <w:pPr>
              <w:spacing w:after="0" w:line="240" w:lineRule="auto"/>
              <w:rPr>
                <w:rFonts w:ascii="Arial" w:eastAsia="Times New Roman" w:hAnsi="Arial" w:cs="Arial"/>
                <w:b/>
                <w:bCs/>
                <w:sz w:val="14"/>
                <w:szCs w:val="14"/>
                <w:lang w:eastAsia="en-GB"/>
              </w:rPr>
            </w:pPr>
            <w:r w:rsidRPr="00415B22">
              <w:rPr>
                <w:rFonts w:ascii="Arial" w:eastAsia="Times New Roman" w:hAnsi="Arial" w:cs="Arial"/>
                <w:b/>
                <w:bCs/>
                <w:sz w:val="14"/>
                <w:szCs w:val="14"/>
                <w:lang w:eastAsia="en-GB"/>
              </w:rPr>
              <w:t> </w:t>
            </w:r>
          </w:p>
        </w:tc>
        <w:tc>
          <w:tcPr>
            <w:tcW w:w="625" w:type="dxa"/>
            <w:gridSpan w:val="2"/>
            <w:tcBorders>
              <w:top w:val="single" w:sz="4" w:space="0" w:color="BFBFBF"/>
              <w:left w:val="nil"/>
              <w:bottom w:val="nil"/>
              <w:right w:val="nil"/>
            </w:tcBorders>
            <w:shd w:val="clear" w:color="auto" w:fill="auto"/>
            <w:noWrap/>
            <w:vAlign w:val="bottom"/>
            <w:hideMark/>
          </w:tcPr>
          <w:p w14:paraId="3E0B28B3" w14:textId="77777777" w:rsidR="00415B22" w:rsidRPr="00415B22" w:rsidRDefault="00415B22" w:rsidP="00415B22">
            <w:pPr>
              <w:spacing w:after="0" w:line="240" w:lineRule="auto"/>
              <w:rPr>
                <w:rFonts w:ascii="Arial" w:eastAsia="Times New Roman" w:hAnsi="Arial" w:cs="Arial"/>
                <w:b/>
                <w:bCs/>
                <w:sz w:val="14"/>
                <w:szCs w:val="14"/>
                <w:lang w:eastAsia="en-GB"/>
              </w:rPr>
            </w:pPr>
            <w:r w:rsidRPr="00415B22">
              <w:rPr>
                <w:rFonts w:ascii="Arial" w:eastAsia="Times New Roman" w:hAnsi="Arial" w:cs="Arial"/>
                <w:b/>
                <w:bCs/>
                <w:sz w:val="14"/>
                <w:szCs w:val="14"/>
                <w:lang w:eastAsia="en-GB"/>
              </w:rPr>
              <w:t> </w:t>
            </w:r>
          </w:p>
        </w:tc>
        <w:tc>
          <w:tcPr>
            <w:tcW w:w="1340" w:type="dxa"/>
            <w:tcBorders>
              <w:top w:val="single" w:sz="4" w:space="0" w:color="BFBFBF"/>
              <w:left w:val="nil"/>
              <w:bottom w:val="nil"/>
              <w:right w:val="nil"/>
            </w:tcBorders>
            <w:shd w:val="clear" w:color="auto" w:fill="auto"/>
            <w:noWrap/>
            <w:vAlign w:val="bottom"/>
            <w:hideMark/>
          </w:tcPr>
          <w:p w14:paraId="4D252761" w14:textId="77777777" w:rsidR="00415B22" w:rsidRPr="00415B22" w:rsidRDefault="00415B22" w:rsidP="00415B22">
            <w:pPr>
              <w:spacing w:after="0" w:line="240" w:lineRule="auto"/>
              <w:rPr>
                <w:rFonts w:ascii="Arial" w:eastAsia="Times New Roman" w:hAnsi="Arial" w:cs="Arial"/>
                <w:sz w:val="20"/>
                <w:szCs w:val="20"/>
                <w:lang w:eastAsia="en-GB"/>
              </w:rPr>
            </w:pPr>
            <w:r w:rsidRPr="00415B22">
              <w:rPr>
                <w:rFonts w:ascii="Arial" w:eastAsia="Times New Roman" w:hAnsi="Arial" w:cs="Arial"/>
                <w:sz w:val="20"/>
                <w:szCs w:val="20"/>
                <w:lang w:eastAsia="en-GB"/>
              </w:rPr>
              <w:t> </w:t>
            </w:r>
          </w:p>
        </w:tc>
        <w:tc>
          <w:tcPr>
            <w:tcW w:w="1300" w:type="dxa"/>
            <w:gridSpan w:val="3"/>
            <w:tcBorders>
              <w:top w:val="single" w:sz="4" w:space="0" w:color="BFBFBF"/>
              <w:left w:val="nil"/>
              <w:bottom w:val="nil"/>
              <w:right w:val="nil"/>
            </w:tcBorders>
            <w:shd w:val="clear" w:color="auto" w:fill="auto"/>
            <w:vAlign w:val="center"/>
            <w:hideMark/>
          </w:tcPr>
          <w:p w14:paraId="2564919A"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2 July 2022</w:t>
            </w:r>
          </w:p>
        </w:tc>
        <w:tc>
          <w:tcPr>
            <w:tcW w:w="1300" w:type="dxa"/>
            <w:gridSpan w:val="2"/>
            <w:tcBorders>
              <w:top w:val="single" w:sz="4" w:space="0" w:color="BFBFBF"/>
              <w:left w:val="nil"/>
              <w:bottom w:val="nil"/>
              <w:right w:val="nil"/>
            </w:tcBorders>
            <w:shd w:val="clear" w:color="auto" w:fill="auto"/>
            <w:vAlign w:val="center"/>
            <w:hideMark/>
          </w:tcPr>
          <w:p w14:paraId="1E3280DD"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3 July 2021</w:t>
            </w:r>
          </w:p>
        </w:tc>
        <w:tc>
          <w:tcPr>
            <w:tcW w:w="1280" w:type="dxa"/>
            <w:gridSpan w:val="2"/>
            <w:tcBorders>
              <w:top w:val="single" w:sz="4" w:space="0" w:color="BFBFBF"/>
              <w:left w:val="nil"/>
              <w:bottom w:val="nil"/>
              <w:right w:val="single" w:sz="4" w:space="0" w:color="BFBFBF"/>
            </w:tcBorders>
            <w:shd w:val="clear" w:color="auto" w:fill="auto"/>
            <w:vAlign w:val="center"/>
            <w:hideMark/>
          </w:tcPr>
          <w:p w14:paraId="12864F71"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1 January 2022</w:t>
            </w:r>
          </w:p>
        </w:tc>
        <w:tc>
          <w:tcPr>
            <w:tcW w:w="222" w:type="dxa"/>
            <w:gridSpan w:val="2"/>
            <w:vAlign w:val="center"/>
            <w:hideMark/>
          </w:tcPr>
          <w:p w14:paraId="45A25B85"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D92813" w:rsidRPr="00415B22" w14:paraId="22A5E393" w14:textId="77777777" w:rsidTr="00D41B2D">
        <w:trPr>
          <w:trHeight w:val="89"/>
        </w:trPr>
        <w:tc>
          <w:tcPr>
            <w:tcW w:w="2660" w:type="dxa"/>
            <w:gridSpan w:val="4"/>
            <w:tcBorders>
              <w:top w:val="nil"/>
              <w:left w:val="single" w:sz="4" w:space="0" w:color="BFBFBF"/>
              <w:bottom w:val="nil"/>
              <w:right w:val="nil"/>
            </w:tcBorders>
            <w:shd w:val="clear" w:color="auto" w:fill="auto"/>
            <w:noWrap/>
            <w:vAlign w:val="bottom"/>
            <w:hideMark/>
          </w:tcPr>
          <w:p w14:paraId="4428761F" w14:textId="77777777" w:rsidR="00415B22" w:rsidRPr="00415B22" w:rsidRDefault="00415B22" w:rsidP="00415B22">
            <w:pPr>
              <w:spacing w:after="0" w:line="240" w:lineRule="auto"/>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Non-current liabilities:</w:t>
            </w:r>
          </w:p>
        </w:tc>
        <w:tc>
          <w:tcPr>
            <w:tcW w:w="1735" w:type="dxa"/>
            <w:gridSpan w:val="3"/>
            <w:tcBorders>
              <w:top w:val="nil"/>
              <w:left w:val="nil"/>
              <w:bottom w:val="nil"/>
              <w:right w:val="nil"/>
            </w:tcBorders>
            <w:shd w:val="clear" w:color="auto" w:fill="auto"/>
            <w:noWrap/>
            <w:vAlign w:val="bottom"/>
            <w:hideMark/>
          </w:tcPr>
          <w:p w14:paraId="5F486F75"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625" w:type="dxa"/>
            <w:gridSpan w:val="2"/>
            <w:tcBorders>
              <w:top w:val="nil"/>
              <w:left w:val="nil"/>
              <w:bottom w:val="nil"/>
              <w:right w:val="nil"/>
            </w:tcBorders>
            <w:shd w:val="clear" w:color="auto" w:fill="auto"/>
            <w:noWrap/>
            <w:vAlign w:val="bottom"/>
            <w:hideMark/>
          </w:tcPr>
          <w:p w14:paraId="78E8CBE5"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40" w:type="dxa"/>
            <w:tcBorders>
              <w:top w:val="nil"/>
              <w:left w:val="nil"/>
              <w:bottom w:val="nil"/>
              <w:right w:val="nil"/>
            </w:tcBorders>
            <w:shd w:val="clear" w:color="auto" w:fill="auto"/>
            <w:noWrap/>
            <w:vAlign w:val="bottom"/>
            <w:hideMark/>
          </w:tcPr>
          <w:p w14:paraId="15E2FBB7"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00" w:type="dxa"/>
            <w:gridSpan w:val="3"/>
            <w:tcBorders>
              <w:top w:val="nil"/>
              <w:left w:val="nil"/>
              <w:bottom w:val="nil"/>
              <w:right w:val="nil"/>
            </w:tcBorders>
            <w:shd w:val="clear" w:color="auto" w:fill="auto"/>
            <w:noWrap/>
            <w:vAlign w:val="bottom"/>
            <w:hideMark/>
          </w:tcPr>
          <w:p w14:paraId="3FDF6822"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(unaudited)</w:t>
            </w:r>
          </w:p>
        </w:tc>
        <w:tc>
          <w:tcPr>
            <w:tcW w:w="1300" w:type="dxa"/>
            <w:gridSpan w:val="2"/>
            <w:tcBorders>
              <w:top w:val="nil"/>
              <w:left w:val="nil"/>
              <w:bottom w:val="nil"/>
              <w:right w:val="nil"/>
            </w:tcBorders>
            <w:shd w:val="clear" w:color="auto" w:fill="auto"/>
            <w:noWrap/>
            <w:vAlign w:val="bottom"/>
            <w:hideMark/>
          </w:tcPr>
          <w:p w14:paraId="78AAB338"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(unaudited)</w:t>
            </w:r>
          </w:p>
        </w:tc>
        <w:tc>
          <w:tcPr>
            <w:tcW w:w="1280" w:type="dxa"/>
            <w:gridSpan w:val="2"/>
            <w:tcBorders>
              <w:top w:val="nil"/>
              <w:left w:val="nil"/>
              <w:bottom w:val="nil"/>
              <w:right w:val="single" w:sz="4" w:space="0" w:color="BFBFBF"/>
            </w:tcBorders>
            <w:shd w:val="clear" w:color="auto" w:fill="auto"/>
            <w:noWrap/>
            <w:vAlign w:val="bottom"/>
            <w:hideMark/>
          </w:tcPr>
          <w:p w14:paraId="47AA6780"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(audited)</w:t>
            </w:r>
          </w:p>
        </w:tc>
        <w:tc>
          <w:tcPr>
            <w:tcW w:w="222" w:type="dxa"/>
            <w:gridSpan w:val="2"/>
            <w:vAlign w:val="center"/>
            <w:hideMark/>
          </w:tcPr>
          <w:p w14:paraId="6F517296"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D92813" w:rsidRPr="00415B22" w14:paraId="4670D6C1" w14:textId="77777777" w:rsidTr="00D41B2D">
        <w:trPr>
          <w:trHeight w:val="263"/>
        </w:trPr>
        <w:tc>
          <w:tcPr>
            <w:tcW w:w="1600" w:type="dxa"/>
            <w:tcBorders>
              <w:top w:val="nil"/>
              <w:left w:val="single" w:sz="4" w:space="0" w:color="BFBFBF"/>
              <w:bottom w:val="single" w:sz="4" w:space="0" w:color="BFBFBF"/>
              <w:right w:val="nil"/>
            </w:tcBorders>
            <w:shd w:val="clear" w:color="auto" w:fill="auto"/>
            <w:noWrap/>
            <w:vAlign w:val="bottom"/>
            <w:hideMark/>
          </w:tcPr>
          <w:p w14:paraId="51183446" w14:textId="77777777" w:rsidR="00415B22" w:rsidRPr="00415B22" w:rsidRDefault="00415B22" w:rsidP="00415B22">
            <w:pPr>
              <w:spacing w:after="0" w:line="240" w:lineRule="auto"/>
              <w:jc w:val="right"/>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060" w:type="dxa"/>
            <w:gridSpan w:val="3"/>
            <w:tcBorders>
              <w:top w:val="nil"/>
              <w:left w:val="nil"/>
              <w:bottom w:val="single" w:sz="4" w:space="0" w:color="BFBFBF"/>
              <w:right w:val="nil"/>
            </w:tcBorders>
            <w:shd w:val="clear" w:color="auto" w:fill="auto"/>
            <w:noWrap/>
            <w:vAlign w:val="bottom"/>
            <w:hideMark/>
          </w:tcPr>
          <w:p w14:paraId="289A5246"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735" w:type="dxa"/>
            <w:gridSpan w:val="3"/>
            <w:tcBorders>
              <w:top w:val="nil"/>
              <w:left w:val="nil"/>
              <w:bottom w:val="single" w:sz="4" w:space="0" w:color="BFBFBF"/>
              <w:right w:val="nil"/>
            </w:tcBorders>
            <w:shd w:val="clear" w:color="auto" w:fill="auto"/>
            <w:noWrap/>
            <w:vAlign w:val="bottom"/>
            <w:hideMark/>
          </w:tcPr>
          <w:p w14:paraId="43531009"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625" w:type="dxa"/>
            <w:gridSpan w:val="2"/>
            <w:tcBorders>
              <w:top w:val="nil"/>
              <w:left w:val="nil"/>
              <w:bottom w:val="single" w:sz="4" w:space="0" w:color="BFBFBF"/>
              <w:right w:val="nil"/>
            </w:tcBorders>
            <w:shd w:val="clear" w:color="auto" w:fill="auto"/>
            <w:noWrap/>
            <w:vAlign w:val="bottom"/>
            <w:hideMark/>
          </w:tcPr>
          <w:p w14:paraId="649B037B"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40" w:type="dxa"/>
            <w:tcBorders>
              <w:top w:val="nil"/>
              <w:left w:val="nil"/>
              <w:bottom w:val="single" w:sz="4" w:space="0" w:color="BFBFBF"/>
              <w:right w:val="nil"/>
            </w:tcBorders>
            <w:shd w:val="clear" w:color="auto" w:fill="auto"/>
            <w:noWrap/>
            <w:vAlign w:val="bottom"/>
            <w:hideMark/>
          </w:tcPr>
          <w:p w14:paraId="29E17A33"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00" w:type="dxa"/>
            <w:gridSpan w:val="3"/>
            <w:tcBorders>
              <w:top w:val="nil"/>
              <w:left w:val="nil"/>
              <w:bottom w:val="single" w:sz="4" w:space="0" w:color="BFBFBF"/>
              <w:right w:val="nil"/>
            </w:tcBorders>
            <w:shd w:val="clear" w:color="auto" w:fill="auto"/>
            <w:noWrap/>
            <w:vAlign w:val="bottom"/>
            <w:hideMark/>
          </w:tcPr>
          <w:p w14:paraId="4A19BB50"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£m</w:t>
            </w:r>
          </w:p>
        </w:tc>
        <w:tc>
          <w:tcPr>
            <w:tcW w:w="1300" w:type="dxa"/>
            <w:gridSpan w:val="2"/>
            <w:tcBorders>
              <w:top w:val="nil"/>
              <w:left w:val="nil"/>
              <w:bottom w:val="single" w:sz="4" w:space="0" w:color="BFBFBF"/>
              <w:right w:val="nil"/>
            </w:tcBorders>
            <w:shd w:val="clear" w:color="auto" w:fill="auto"/>
            <w:noWrap/>
            <w:vAlign w:val="bottom"/>
            <w:hideMark/>
          </w:tcPr>
          <w:p w14:paraId="5833BC29"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£m</w:t>
            </w:r>
          </w:p>
        </w:tc>
        <w:tc>
          <w:tcPr>
            <w:tcW w:w="1280" w:type="dxa"/>
            <w:gridSpan w:val="2"/>
            <w:tcBorders>
              <w:top w:val="nil"/>
              <w:left w:val="nil"/>
              <w:bottom w:val="single" w:sz="4" w:space="0" w:color="BFBFBF"/>
              <w:right w:val="single" w:sz="4" w:space="0" w:color="BFBFBF"/>
            </w:tcBorders>
            <w:shd w:val="clear" w:color="auto" w:fill="auto"/>
            <w:noWrap/>
            <w:vAlign w:val="bottom"/>
            <w:hideMark/>
          </w:tcPr>
          <w:p w14:paraId="53C65167"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£m</w:t>
            </w:r>
          </w:p>
        </w:tc>
        <w:tc>
          <w:tcPr>
            <w:tcW w:w="222" w:type="dxa"/>
            <w:gridSpan w:val="2"/>
            <w:vAlign w:val="center"/>
            <w:hideMark/>
          </w:tcPr>
          <w:p w14:paraId="7A2DB475"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607BE24D" w14:textId="77777777" w:rsidTr="00D41B2D">
        <w:trPr>
          <w:trHeight w:val="278"/>
        </w:trPr>
        <w:tc>
          <w:tcPr>
            <w:tcW w:w="4395" w:type="dxa"/>
            <w:gridSpan w:val="7"/>
            <w:tcBorders>
              <w:top w:val="nil"/>
              <w:left w:val="nil"/>
              <w:bottom w:val="nil"/>
              <w:right w:val="nil"/>
            </w:tcBorders>
            <w:shd w:val="clear" w:color="000000" w:fill="FFFFFF"/>
            <w:noWrap/>
            <w:vAlign w:val="bottom"/>
            <w:hideMark/>
          </w:tcPr>
          <w:p w14:paraId="71EB7377"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£105m 7.5% Eurobond Notes due 2026 (fair value) </w:t>
            </w:r>
          </w:p>
        </w:tc>
        <w:tc>
          <w:tcPr>
            <w:tcW w:w="625" w:type="dxa"/>
            <w:gridSpan w:val="2"/>
            <w:tcBorders>
              <w:top w:val="nil"/>
              <w:left w:val="nil"/>
              <w:bottom w:val="nil"/>
              <w:right w:val="nil"/>
            </w:tcBorders>
            <w:shd w:val="clear" w:color="000000" w:fill="FFFFFF"/>
            <w:noWrap/>
            <w:vAlign w:val="bottom"/>
            <w:hideMark/>
          </w:tcPr>
          <w:p w14:paraId="70B995C3"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40" w:type="dxa"/>
            <w:tcBorders>
              <w:top w:val="nil"/>
              <w:left w:val="nil"/>
              <w:bottom w:val="nil"/>
              <w:right w:val="nil"/>
            </w:tcBorders>
            <w:shd w:val="clear" w:color="000000" w:fill="FFFFFF"/>
            <w:noWrap/>
            <w:vAlign w:val="bottom"/>
            <w:hideMark/>
          </w:tcPr>
          <w:p w14:paraId="1AB34BA9"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00" w:type="dxa"/>
            <w:gridSpan w:val="3"/>
            <w:tcBorders>
              <w:top w:val="nil"/>
              <w:left w:val="nil"/>
              <w:bottom w:val="nil"/>
              <w:right w:val="nil"/>
            </w:tcBorders>
            <w:shd w:val="clear" w:color="auto" w:fill="CCECFF"/>
            <w:noWrap/>
            <w:vAlign w:val="bottom"/>
            <w:hideMark/>
          </w:tcPr>
          <w:p w14:paraId="6B6A4292"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94 </w:t>
            </w:r>
          </w:p>
        </w:tc>
        <w:tc>
          <w:tcPr>
            <w:tcW w:w="1300" w:type="dxa"/>
            <w:gridSpan w:val="2"/>
            <w:tcBorders>
              <w:top w:val="nil"/>
              <w:left w:val="nil"/>
              <w:bottom w:val="nil"/>
              <w:right w:val="nil"/>
            </w:tcBorders>
            <w:shd w:val="clear" w:color="000000" w:fill="FFFFFF"/>
            <w:noWrap/>
            <w:vAlign w:val="bottom"/>
            <w:hideMark/>
          </w:tcPr>
          <w:p w14:paraId="6688D35F"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128 </w:t>
            </w:r>
          </w:p>
        </w:tc>
        <w:tc>
          <w:tcPr>
            <w:tcW w:w="1280" w:type="dxa"/>
            <w:gridSpan w:val="2"/>
            <w:tcBorders>
              <w:top w:val="nil"/>
              <w:left w:val="nil"/>
              <w:bottom w:val="nil"/>
              <w:right w:val="nil"/>
            </w:tcBorders>
            <w:shd w:val="clear" w:color="000000" w:fill="FFFFFF"/>
            <w:noWrap/>
            <w:vAlign w:val="bottom"/>
            <w:hideMark/>
          </w:tcPr>
          <w:p w14:paraId="2A21D8ED"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123 </w:t>
            </w:r>
          </w:p>
        </w:tc>
        <w:tc>
          <w:tcPr>
            <w:tcW w:w="222" w:type="dxa"/>
            <w:gridSpan w:val="2"/>
            <w:vAlign w:val="center"/>
            <w:hideMark/>
          </w:tcPr>
          <w:p w14:paraId="6F8BC7C6"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13860203" w14:textId="77777777" w:rsidTr="00D41B2D">
        <w:trPr>
          <w:trHeight w:val="278"/>
        </w:trPr>
        <w:tc>
          <w:tcPr>
            <w:tcW w:w="4395" w:type="dxa"/>
            <w:gridSpan w:val="7"/>
            <w:tcBorders>
              <w:top w:val="nil"/>
              <w:left w:val="nil"/>
              <w:bottom w:val="nil"/>
              <w:right w:val="nil"/>
            </w:tcBorders>
            <w:shd w:val="clear" w:color="000000" w:fill="FFFFFF"/>
            <w:noWrap/>
            <w:vAlign w:val="bottom"/>
            <w:hideMark/>
          </w:tcPr>
          <w:p w14:paraId="0BA5890E"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£245m 7.5% Eurobond Notes due 2026 (amortised cost) </w:t>
            </w:r>
          </w:p>
        </w:tc>
        <w:tc>
          <w:tcPr>
            <w:tcW w:w="625" w:type="dxa"/>
            <w:gridSpan w:val="2"/>
            <w:tcBorders>
              <w:top w:val="nil"/>
              <w:left w:val="nil"/>
              <w:bottom w:val="nil"/>
              <w:right w:val="nil"/>
            </w:tcBorders>
            <w:shd w:val="clear" w:color="000000" w:fill="FFFFFF"/>
            <w:noWrap/>
            <w:vAlign w:val="bottom"/>
            <w:hideMark/>
          </w:tcPr>
          <w:p w14:paraId="688792D5"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40" w:type="dxa"/>
            <w:tcBorders>
              <w:top w:val="nil"/>
              <w:left w:val="nil"/>
              <w:bottom w:val="nil"/>
              <w:right w:val="nil"/>
            </w:tcBorders>
            <w:shd w:val="clear" w:color="000000" w:fill="FFFFFF"/>
            <w:noWrap/>
            <w:vAlign w:val="bottom"/>
            <w:hideMark/>
          </w:tcPr>
          <w:p w14:paraId="3418F0C9"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00" w:type="dxa"/>
            <w:gridSpan w:val="3"/>
            <w:tcBorders>
              <w:top w:val="nil"/>
              <w:left w:val="nil"/>
              <w:bottom w:val="nil"/>
              <w:right w:val="nil"/>
            </w:tcBorders>
            <w:shd w:val="clear" w:color="auto" w:fill="CCECFF"/>
            <w:noWrap/>
            <w:vAlign w:val="bottom"/>
            <w:hideMark/>
          </w:tcPr>
          <w:p w14:paraId="3BDA2F14"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256 </w:t>
            </w:r>
          </w:p>
        </w:tc>
        <w:tc>
          <w:tcPr>
            <w:tcW w:w="1300" w:type="dxa"/>
            <w:gridSpan w:val="2"/>
            <w:tcBorders>
              <w:top w:val="nil"/>
              <w:left w:val="nil"/>
              <w:bottom w:val="nil"/>
              <w:right w:val="nil"/>
            </w:tcBorders>
            <w:shd w:val="clear" w:color="000000" w:fill="FFFFFF"/>
            <w:noWrap/>
            <w:vAlign w:val="bottom"/>
            <w:hideMark/>
          </w:tcPr>
          <w:p w14:paraId="3C4CE6DC"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258 </w:t>
            </w:r>
          </w:p>
        </w:tc>
        <w:tc>
          <w:tcPr>
            <w:tcW w:w="1280" w:type="dxa"/>
            <w:gridSpan w:val="2"/>
            <w:tcBorders>
              <w:top w:val="nil"/>
              <w:left w:val="nil"/>
              <w:bottom w:val="nil"/>
              <w:right w:val="nil"/>
            </w:tcBorders>
            <w:shd w:val="clear" w:color="000000" w:fill="FFFFFF"/>
            <w:noWrap/>
            <w:vAlign w:val="bottom"/>
            <w:hideMark/>
          </w:tcPr>
          <w:p w14:paraId="6D416288"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258 </w:t>
            </w:r>
          </w:p>
        </w:tc>
        <w:tc>
          <w:tcPr>
            <w:tcW w:w="222" w:type="dxa"/>
            <w:gridSpan w:val="2"/>
            <w:vAlign w:val="center"/>
            <w:hideMark/>
          </w:tcPr>
          <w:p w14:paraId="006DE8BB"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15AC37A8" w14:textId="77777777" w:rsidTr="00D41B2D">
        <w:trPr>
          <w:trHeight w:val="278"/>
        </w:trPr>
        <w:tc>
          <w:tcPr>
            <w:tcW w:w="5020" w:type="dxa"/>
            <w:gridSpan w:val="9"/>
            <w:tcBorders>
              <w:top w:val="nil"/>
              <w:left w:val="nil"/>
              <w:bottom w:val="nil"/>
              <w:right w:val="nil"/>
            </w:tcBorders>
            <w:shd w:val="clear" w:color="000000" w:fill="FFFFFF"/>
            <w:noWrap/>
            <w:vAlign w:val="bottom"/>
            <w:hideMark/>
          </w:tcPr>
          <w:p w14:paraId="1707E9C9"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£300m 5.125% Sustainability Bond due 2024 (amortised cost)</w:t>
            </w:r>
          </w:p>
        </w:tc>
        <w:tc>
          <w:tcPr>
            <w:tcW w:w="1340" w:type="dxa"/>
            <w:tcBorders>
              <w:top w:val="nil"/>
              <w:left w:val="nil"/>
              <w:bottom w:val="nil"/>
              <w:right w:val="nil"/>
            </w:tcBorders>
            <w:shd w:val="clear" w:color="000000" w:fill="FFFFFF"/>
            <w:noWrap/>
            <w:vAlign w:val="bottom"/>
            <w:hideMark/>
          </w:tcPr>
          <w:p w14:paraId="25A087F2"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00" w:type="dxa"/>
            <w:gridSpan w:val="3"/>
            <w:tcBorders>
              <w:top w:val="nil"/>
              <w:left w:val="nil"/>
              <w:bottom w:val="nil"/>
              <w:right w:val="nil"/>
            </w:tcBorders>
            <w:shd w:val="clear" w:color="auto" w:fill="CCECFF"/>
            <w:noWrap/>
            <w:vAlign w:val="bottom"/>
            <w:hideMark/>
          </w:tcPr>
          <w:p w14:paraId="1A8C086D"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299 </w:t>
            </w:r>
          </w:p>
        </w:tc>
        <w:tc>
          <w:tcPr>
            <w:tcW w:w="1300" w:type="dxa"/>
            <w:gridSpan w:val="2"/>
            <w:tcBorders>
              <w:top w:val="nil"/>
              <w:left w:val="nil"/>
              <w:bottom w:val="nil"/>
              <w:right w:val="nil"/>
            </w:tcBorders>
            <w:shd w:val="clear" w:color="000000" w:fill="FFFFFF"/>
            <w:noWrap/>
            <w:vAlign w:val="bottom"/>
            <w:hideMark/>
          </w:tcPr>
          <w:p w14:paraId="092BED98"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299 </w:t>
            </w:r>
          </w:p>
        </w:tc>
        <w:tc>
          <w:tcPr>
            <w:tcW w:w="1280" w:type="dxa"/>
            <w:gridSpan w:val="2"/>
            <w:tcBorders>
              <w:top w:val="nil"/>
              <w:left w:val="nil"/>
              <w:bottom w:val="nil"/>
              <w:right w:val="nil"/>
            </w:tcBorders>
            <w:shd w:val="clear" w:color="000000" w:fill="FFFFFF"/>
            <w:noWrap/>
            <w:vAlign w:val="bottom"/>
            <w:hideMark/>
          </w:tcPr>
          <w:p w14:paraId="75468D96"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299 </w:t>
            </w:r>
          </w:p>
        </w:tc>
        <w:tc>
          <w:tcPr>
            <w:tcW w:w="222" w:type="dxa"/>
            <w:gridSpan w:val="2"/>
            <w:vAlign w:val="center"/>
            <w:hideMark/>
          </w:tcPr>
          <w:p w14:paraId="2EB29FE1"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0E2A578B" w14:textId="77777777" w:rsidTr="00D41B2D">
        <w:trPr>
          <w:trHeight w:val="278"/>
        </w:trPr>
        <w:tc>
          <w:tcPr>
            <w:tcW w:w="4395" w:type="dxa"/>
            <w:gridSpan w:val="7"/>
            <w:tcBorders>
              <w:top w:val="nil"/>
              <w:left w:val="nil"/>
              <w:bottom w:val="nil"/>
              <w:right w:val="nil"/>
            </w:tcBorders>
            <w:shd w:val="clear" w:color="000000" w:fill="FFFFFF"/>
            <w:noWrap/>
            <w:vAlign w:val="bottom"/>
            <w:hideMark/>
          </w:tcPr>
          <w:p w14:paraId="0ADFF55C"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£109m 11% final repayment subordinated Notes due 2025</w:t>
            </w:r>
          </w:p>
        </w:tc>
        <w:tc>
          <w:tcPr>
            <w:tcW w:w="625" w:type="dxa"/>
            <w:gridSpan w:val="2"/>
            <w:tcBorders>
              <w:top w:val="nil"/>
              <w:left w:val="nil"/>
              <w:bottom w:val="nil"/>
              <w:right w:val="nil"/>
            </w:tcBorders>
            <w:shd w:val="clear" w:color="000000" w:fill="FFFFFF"/>
            <w:noWrap/>
            <w:vAlign w:val="bottom"/>
            <w:hideMark/>
          </w:tcPr>
          <w:p w14:paraId="4CD48F48"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40" w:type="dxa"/>
            <w:tcBorders>
              <w:top w:val="nil"/>
              <w:left w:val="nil"/>
              <w:bottom w:val="nil"/>
              <w:right w:val="nil"/>
            </w:tcBorders>
            <w:shd w:val="clear" w:color="000000" w:fill="FFFFFF"/>
            <w:noWrap/>
            <w:vAlign w:val="bottom"/>
            <w:hideMark/>
          </w:tcPr>
          <w:p w14:paraId="1189943A"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00" w:type="dxa"/>
            <w:gridSpan w:val="3"/>
            <w:tcBorders>
              <w:top w:val="nil"/>
              <w:left w:val="nil"/>
              <w:bottom w:val="nil"/>
              <w:right w:val="nil"/>
            </w:tcBorders>
            <w:shd w:val="clear" w:color="auto" w:fill="CCECFF"/>
            <w:noWrap/>
            <w:vAlign w:val="bottom"/>
            <w:hideMark/>
          </w:tcPr>
          <w:p w14:paraId="66082B17"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109 </w:t>
            </w:r>
          </w:p>
        </w:tc>
        <w:tc>
          <w:tcPr>
            <w:tcW w:w="1300" w:type="dxa"/>
            <w:gridSpan w:val="2"/>
            <w:tcBorders>
              <w:top w:val="nil"/>
              <w:left w:val="nil"/>
              <w:bottom w:val="nil"/>
              <w:right w:val="nil"/>
            </w:tcBorders>
            <w:shd w:val="clear" w:color="000000" w:fill="FFFFFF"/>
            <w:noWrap/>
            <w:vAlign w:val="bottom"/>
            <w:hideMark/>
          </w:tcPr>
          <w:p w14:paraId="626A1022"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109 </w:t>
            </w:r>
          </w:p>
        </w:tc>
        <w:tc>
          <w:tcPr>
            <w:tcW w:w="1280" w:type="dxa"/>
            <w:gridSpan w:val="2"/>
            <w:tcBorders>
              <w:top w:val="nil"/>
              <w:left w:val="nil"/>
              <w:bottom w:val="nil"/>
              <w:right w:val="nil"/>
            </w:tcBorders>
            <w:shd w:val="clear" w:color="000000" w:fill="FFFFFF"/>
            <w:noWrap/>
            <w:vAlign w:val="bottom"/>
            <w:hideMark/>
          </w:tcPr>
          <w:p w14:paraId="19F9CF15"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109 </w:t>
            </w:r>
          </w:p>
        </w:tc>
        <w:tc>
          <w:tcPr>
            <w:tcW w:w="222" w:type="dxa"/>
            <w:gridSpan w:val="2"/>
            <w:vAlign w:val="center"/>
            <w:hideMark/>
          </w:tcPr>
          <w:p w14:paraId="1F8A0D3B"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25E7A073" w14:textId="77777777" w:rsidTr="00D41B2D">
        <w:trPr>
          <w:trHeight w:val="278"/>
        </w:trPr>
        <w:tc>
          <w:tcPr>
            <w:tcW w:w="5020" w:type="dxa"/>
            <w:gridSpan w:val="9"/>
            <w:tcBorders>
              <w:top w:val="nil"/>
              <w:left w:val="nil"/>
              <w:bottom w:val="nil"/>
              <w:right w:val="nil"/>
            </w:tcBorders>
            <w:shd w:val="clear" w:color="000000" w:fill="FFFFFF"/>
            <w:noWrap/>
            <w:vAlign w:val="bottom"/>
            <w:hideMark/>
          </w:tcPr>
          <w:p w14:paraId="096D3170"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£20m 11% Instalment repayment Notes (final payment 2025)</w:t>
            </w:r>
          </w:p>
        </w:tc>
        <w:tc>
          <w:tcPr>
            <w:tcW w:w="1340" w:type="dxa"/>
            <w:tcBorders>
              <w:top w:val="nil"/>
              <w:left w:val="nil"/>
              <w:bottom w:val="nil"/>
              <w:right w:val="nil"/>
            </w:tcBorders>
            <w:shd w:val="clear" w:color="000000" w:fill="FFFFFF"/>
            <w:noWrap/>
            <w:vAlign w:val="bottom"/>
            <w:hideMark/>
          </w:tcPr>
          <w:p w14:paraId="3D0E432B"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00" w:type="dxa"/>
            <w:gridSpan w:val="3"/>
            <w:tcBorders>
              <w:top w:val="nil"/>
              <w:left w:val="nil"/>
              <w:bottom w:val="nil"/>
              <w:right w:val="nil"/>
            </w:tcBorders>
            <w:shd w:val="clear" w:color="auto" w:fill="CCECFF"/>
            <w:noWrap/>
            <w:vAlign w:val="bottom"/>
            <w:hideMark/>
          </w:tcPr>
          <w:p w14:paraId="6733AC46"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7 </w:t>
            </w:r>
          </w:p>
        </w:tc>
        <w:tc>
          <w:tcPr>
            <w:tcW w:w="1300" w:type="dxa"/>
            <w:gridSpan w:val="2"/>
            <w:tcBorders>
              <w:top w:val="nil"/>
              <w:left w:val="nil"/>
              <w:bottom w:val="nil"/>
              <w:right w:val="nil"/>
            </w:tcBorders>
            <w:shd w:val="clear" w:color="000000" w:fill="FFFFFF"/>
            <w:noWrap/>
            <w:vAlign w:val="bottom"/>
            <w:hideMark/>
          </w:tcPr>
          <w:p w14:paraId="4464E999"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9 </w:t>
            </w:r>
          </w:p>
        </w:tc>
        <w:tc>
          <w:tcPr>
            <w:tcW w:w="1280" w:type="dxa"/>
            <w:gridSpan w:val="2"/>
            <w:tcBorders>
              <w:top w:val="nil"/>
              <w:left w:val="nil"/>
              <w:bottom w:val="nil"/>
              <w:right w:val="nil"/>
            </w:tcBorders>
            <w:shd w:val="clear" w:color="000000" w:fill="FFFFFF"/>
            <w:noWrap/>
            <w:vAlign w:val="bottom"/>
            <w:hideMark/>
          </w:tcPr>
          <w:p w14:paraId="6E626932"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7 </w:t>
            </w:r>
          </w:p>
        </w:tc>
        <w:tc>
          <w:tcPr>
            <w:tcW w:w="222" w:type="dxa"/>
            <w:gridSpan w:val="2"/>
            <w:vAlign w:val="center"/>
            <w:hideMark/>
          </w:tcPr>
          <w:p w14:paraId="506AA277"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26CC198A" w14:textId="77777777" w:rsidTr="00D41B2D">
        <w:trPr>
          <w:trHeight w:val="278"/>
        </w:trPr>
        <w:tc>
          <w:tcPr>
            <w:tcW w:w="4395" w:type="dxa"/>
            <w:gridSpan w:val="7"/>
            <w:tcBorders>
              <w:top w:val="single" w:sz="4" w:space="0" w:color="BFBFBF"/>
              <w:left w:val="nil"/>
              <w:bottom w:val="single" w:sz="4" w:space="0" w:color="BFBFBF"/>
              <w:right w:val="nil"/>
            </w:tcBorders>
            <w:shd w:val="clear" w:color="000000" w:fill="FFFFFF"/>
            <w:noWrap/>
            <w:vAlign w:val="bottom"/>
            <w:hideMark/>
          </w:tcPr>
          <w:p w14:paraId="420320DD" w14:textId="77777777" w:rsidR="00415B22" w:rsidRPr="00415B22" w:rsidRDefault="00415B22" w:rsidP="00415B22">
            <w:pPr>
              <w:spacing w:after="0" w:line="240" w:lineRule="auto"/>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Total (excluding lease liabilities)</w:t>
            </w:r>
          </w:p>
        </w:tc>
        <w:tc>
          <w:tcPr>
            <w:tcW w:w="625" w:type="dxa"/>
            <w:gridSpan w:val="2"/>
            <w:tcBorders>
              <w:top w:val="single" w:sz="4" w:space="0" w:color="BFBFBF"/>
              <w:left w:val="nil"/>
              <w:bottom w:val="single" w:sz="4" w:space="0" w:color="BFBFBF"/>
              <w:right w:val="nil"/>
            </w:tcBorders>
            <w:shd w:val="clear" w:color="000000" w:fill="FFFFFF"/>
            <w:noWrap/>
            <w:vAlign w:val="bottom"/>
            <w:hideMark/>
          </w:tcPr>
          <w:p w14:paraId="0D1083E6"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40" w:type="dxa"/>
            <w:tcBorders>
              <w:top w:val="single" w:sz="4" w:space="0" w:color="BFBFBF"/>
              <w:left w:val="nil"/>
              <w:bottom w:val="single" w:sz="4" w:space="0" w:color="BFBFBF"/>
              <w:right w:val="nil"/>
            </w:tcBorders>
            <w:shd w:val="clear" w:color="000000" w:fill="FFFFFF"/>
            <w:noWrap/>
            <w:vAlign w:val="bottom"/>
            <w:hideMark/>
          </w:tcPr>
          <w:p w14:paraId="4DA0B837"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00" w:type="dxa"/>
            <w:gridSpan w:val="3"/>
            <w:tcBorders>
              <w:top w:val="single" w:sz="4" w:space="0" w:color="BFBFBF"/>
              <w:left w:val="nil"/>
              <w:bottom w:val="single" w:sz="4" w:space="0" w:color="BFBFBF"/>
              <w:right w:val="nil"/>
            </w:tcBorders>
            <w:shd w:val="clear" w:color="auto" w:fill="CCECFF"/>
            <w:noWrap/>
            <w:vAlign w:val="bottom"/>
            <w:hideMark/>
          </w:tcPr>
          <w:p w14:paraId="29C7EF85"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765 </w:t>
            </w:r>
          </w:p>
        </w:tc>
        <w:tc>
          <w:tcPr>
            <w:tcW w:w="1300" w:type="dxa"/>
            <w:gridSpan w:val="2"/>
            <w:tcBorders>
              <w:top w:val="single" w:sz="4" w:space="0" w:color="BFBFBF"/>
              <w:left w:val="nil"/>
              <w:bottom w:val="single" w:sz="4" w:space="0" w:color="BFBFBF"/>
              <w:right w:val="nil"/>
            </w:tcBorders>
            <w:shd w:val="clear" w:color="000000" w:fill="FFFFFF"/>
            <w:noWrap/>
            <w:vAlign w:val="bottom"/>
            <w:hideMark/>
          </w:tcPr>
          <w:p w14:paraId="763C9D7A"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803 </w:t>
            </w:r>
          </w:p>
        </w:tc>
        <w:tc>
          <w:tcPr>
            <w:tcW w:w="1280" w:type="dxa"/>
            <w:gridSpan w:val="2"/>
            <w:tcBorders>
              <w:top w:val="single" w:sz="4" w:space="0" w:color="BFBFBF"/>
              <w:left w:val="nil"/>
              <w:bottom w:val="single" w:sz="4" w:space="0" w:color="BFBFBF"/>
              <w:right w:val="nil"/>
            </w:tcBorders>
            <w:shd w:val="clear" w:color="000000" w:fill="FFFFFF"/>
            <w:noWrap/>
            <w:vAlign w:val="bottom"/>
            <w:hideMark/>
          </w:tcPr>
          <w:p w14:paraId="0E723B33"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796 </w:t>
            </w:r>
          </w:p>
        </w:tc>
        <w:tc>
          <w:tcPr>
            <w:tcW w:w="222" w:type="dxa"/>
            <w:gridSpan w:val="2"/>
            <w:vAlign w:val="center"/>
            <w:hideMark/>
          </w:tcPr>
          <w:p w14:paraId="4F55B9F7"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D92813" w:rsidRPr="00415B22" w14:paraId="79132B0F" w14:textId="77777777" w:rsidTr="00D41B2D">
        <w:trPr>
          <w:trHeight w:val="278"/>
        </w:trPr>
        <w:tc>
          <w:tcPr>
            <w:tcW w:w="1600" w:type="dxa"/>
            <w:tcBorders>
              <w:top w:val="nil"/>
              <w:left w:val="nil"/>
              <w:bottom w:val="nil"/>
              <w:right w:val="nil"/>
            </w:tcBorders>
            <w:shd w:val="clear" w:color="000000" w:fill="FFFFFF"/>
            <w:noWrap/>
            <w:vAlign w:val="bottom"/>
            <w:hideMark/>
          </w:tcPr>
          <w:p w14:paraId="7EFC90AE"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Lease liabilities*</w:t>
            </w:r>
          </w:p>
        </w:tc>
        <w:tc>
          <w:tcPr>
            <w:tcW w:w="1060" w:type="dxa"/>
            <w:gridSpan w:val="3"/>
            <w:tcBorders>
              <w:top w:val="nil"/>
              <w:left w:val="nil"/>
              <w:bottom w:val="nil"/>
              <w:right w:val="nil"/>
            </w:tcBorders>
            <w:shd w:val="clear" w:color="000000" w:fill="FFFFFF"/>
            <w:noWrap/>
            <w:vAlign w:val="bottom"/>
            <w:hideMark/>
          </w:tcPr>
          <w:p w14:paraId="3A476357" w14:textId="77777777" w:rsidR="00415B22" w:rsidRPr="00415B22" w:rsidRDefault="00415B22" w:rsidP="00415B22">
            <w:pPr>
              <w:spacing w:after="0" w:line="240" w:lineRule="auto"/>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w:t>
            </w:r>
          </w:p>
        </w:tc>
        <w:tc>
          <w:tcPr>
            <w:tcW w:w="1735" w:type="dxa"/>
            <w:gridSpan w:val="3"/>
            <w:tcBorders>
              <w:top w:val="nil"/>
              <w:left w:val="nil"/>
              <w:bottom w:val="nil"/>
              <w:right w:val="nil"/>
            </w:tcBorders>
            <w:shd w:val="clear" w:color="000000" w:fill="FFFFFF"/>
            <w:noWrap/>
            <w:vAlign w:val="bottom"/>
            <w:hideMark/>
          </w:tcPr>
          <w:p w14:paraId="5FBACB75" w14:textId="77777777" w:rsidR="00415B22" w:rsidRPr="00415B22" w:rsidRDefault="00415B22" w:rsidP="00415B22">
            <w:pPr>
              <w:spacing w:after="0" w:line="240" w:lineRule="auto"/>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w:t>
            </w:r>
          </w:p>
        </w:tc>
        <w:tc>
          <w:tcPr>
            <w:tcW w:w="625" w:type="dxa"/>
            <w:gridSpan w:val="2"/>
            <w:tcBorders>
              <w:top w:val="nil"/>
              <w:left w:val="nil"/>
              <w:bottom w:val="nil"/>
              <w:right w:val="nil"/>
            </w:tcBorders>
            <w:shd w:val="clear" w:color="000000" w:fill="FFFFFF"/>
            <w:noWrap/>
            <w:vAlign w:val="bottom"/>
            <w:hideMark/>
          </w:tcPr>
          <w:p w14:paraId="1C1C32F4"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40" w:type="dxa"/>
            <w:tcBorders>
              <w:top w:val="nil"/>
              <w:left w:val="nil"/>
              <w:bottom w:val="nil"/>
              <w:right w:val="nil"/>
            </w:tcBorders>
            <w:shd w:val="clear" w:color="000000" w:fill="FFFFFF"/>
            <w:noWrap/>
            <w:vAlign w:val="bottom"/>
            <w:hideMark/>
          </w:tcPr>
          <w:p w14:paraId="00DB8041"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00" w:type="dxa"/>
            <w:gridSpan w:val="3"/>
            <w:tcBorders>
              <w:top w:val="nil"/>
              <w:left w:val="nil"/>
              <w:bottom w:val="nil"/>
              <w:right w:val="nil"/>
            </w:tcBorders>
            <w:shd w:val="clear" w:color="auto" w:fill="CCECFF"/>
            <w:noWrap/>
            <w:vAlign w:val="bottom"/>
            <w:hideMark/>
          </w:tcPr>
          <w:p w14:paraId="7FD3E745"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1,158 </w:t>
            </w:r>
          </w:p>
        </w:tc>
        <w:tc>
          <w:tcPr>
            <w:tcW w:w="1300" w:type="dxa"/>
            <w:gridSpan w:val="2"/>
            <w:tcBorders>
              <w:top w:val="nil"/>
              <w:left w:val="nil"/>
              <w:bottom w:val="nil"/>
              <w:right w:val="nil"/>
            </w:tcBorders>
            <w:shd w:val="clear" w:color="000000" w:fill="FFFFFF"/>
            <w:noWrap/>
            <w:vAlign w:val="bottom"/>
            <w:hideMark/>
          </w:tcPr>
          <w:p w14:paraId="7F5C41F7"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1,265 </w:t>
            </w:r>
          </w:p>
        </w:tc>
        <w:tc>
          <w:tcPr>
            <w:tcW w:w="1280" w:type="dxa"/>
            <w:gridSpan w:val="2"/>
            <w:tcBorders>
              <w:top w:val="nil"/>
              <w:left w:val="nil"/>
              <w:bottom w:val="nil"/>
              <w:right w:val="nil"/>
            </w:tcBorders>
            <w:shd w:val="clear" w:color="000000" w:fill="FFFFFF"/>
            <w:noWrap/>
            <w:vAlign w:val="bottom"/>
            <w:hideMark/>
          </w:tcPr>
          <w:p w14:paraId="115BAEDF"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1,306 </w:t>
            </w:r>
          </w:p>
        </w:tc>
        <w:tc>
          <w:tcPr>
            <w:tcW w:w="222" w:type="dxa"/>
            <w:gridSpan w:val="2"/>
            <w:vAlign w:val="center"/>
            <w:hideMark/>
          </w:tcPr>
          <w:p w14:paraId="05506A85"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4A981BF8" w14:textId="77777777" w:rsidTr="00D41B2D">
        <w:trPr>
          <w:trHeight w:val="278"/>
        </w:trPr>
        <w:tc>
          <w:tcPr>
            <w:tcW w:w="5020" w:type="dxa"/>
            <w:gridSpan w:val="9"/>
            <w:tcBorders>
              <w:top w:val="single" w:sz="4" w:space="0" w:color="BFBFBF"/>
              <w:left w:val="nil"/>
              <w:bottom w:val="single" w:sz="4" w:space="0" w:color="BFBFBF"/>
              <w:right w:val="nil"/>
            </w:tcBorders>
            <w:shd w:val="clear" w:color="000000" w:fill="FFFFFF"/>
            <w:noWrap/>
            <w:vAlign w:val="bottom"/>
            <w:hideMark/>
          </w:tcPr>
          <w:p w14:paraId="6F67C7DF" w14:textId="77777777" w:rsidR="00415B22" w:rsidRPr="00415B22" w:rsidRDefault="00415B22" w:rsidP="00415B22">
            <w:pPr>
              <w:spacing w:after="0" w:line="240" w:lineRule="auto"/>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Total Group non-current interest-bearing loans and borrowings</w:t>
            </w:r>
          </w:p>
        </w:tc>
        <w:tc>
          <w:tcPr>
            <w:tcW w:w="1340" w:type="dxa"/>
            <w:tcBorders>
              <w:top w:val="single" w:sz="4" w:space="0" w:color="BFBFBF"/>
              <w:left w:val="nil"/>
              <w:bottom w:val="single" w:sz="4" w:space="0" w:color="BFBFBF"/>
              <w:right w:val="nil"/>
            </w:tcBorders>
            <w:shd w:val="clear" w:color="auto" w:fill="auto"/>
            <w:noWrap/>
            <w:vAlign w:val="bottom"/>
            <w:hideMark/>
          </w:tcPr>
          <w:p w14:paraId="7B6BA5BA" w14:textId="77777777" w:rsidR="00415B22" w:rsidRPr="00415B22" w:rsidRDefault="00415B22" w:rsidP="00415B22">
            <w:pPr>
              <w:spacing w:after="0" w:line="240" w:lineRule="auto"/>
              <w:rPr>
                <w:rFonts w:ascii="Arial" w:eastAsia="Times New Roman" w:hAnsi="Arial" w:cs="Arial"/>
                <w:sz w:val="20"/>
                <w:szCs w:val="20"/>
                <w:lang w:eastAsia="en-GB"/>
              </w:rPr>
            </w:pPr>
            <w:r w:rsidRPr="00415B22">
              <w:rPr>
                <w:rFonts w:ascii="Arial" w:eastAsia="Times New Roman" w:hAnsi="Arial" w:cs="Arial"/>
                <w:sz w:val="20"/>
                <w:szCs w:val="20"/>
                <w:lang w:eastAsia="en-GB"/>
              </w:rPr>
              <w:t> </w:t>
            </w:r>
          </w:p>
        </w:tc>
        <w:tc>
          <w:tcPr>
            <w:tcW w:w="1300" w:type="dxa"/>
            <w:gridSpan w:val="3"/>
            <w:tcBorders>
              <w:top w:val="single" w:sz="4" w:space="0" w:color="BFBFBF"/>
              <w:left w:val="nil"/>
              <w:bottom w:val="single" w:sz="4" w:space="0" w:color="BFBFBF"/>
              <w:right w:val="nil"/>
            </w:tcBorders>
            <w:shd w:val="clear" w:color="auto" w:fill="CCECFF"/>
            <w:noWrap/>
            <w:vAlign w:val="bottom"/>
            <w:hideMark/>
          </w:tcPr>
          <w:p w14:paraId="6BC1CA2D"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1,923 </w:t>
            </w:r>
          </w:p>
        </w:tc>
        <w:tc>
          <w:tcPr>
            <w:tcW w:w="1300" w:type="dxa"/>
            <w:gridSpan w:val="2"/>
            <w:tcBorders>
              <w:top w:val="single" w:sz="4" w:space="0" w:color="BFBFBF"/>
              <w:left w:val="nil"/>
              <w:bottom w:val="single" w:sz="4" w:space="0" w:color="BFBFBF"/>
              <w:right w:val="nil"/>
            </w:tcBorders>
            <w:shd w:val="clear" w:color="000000" w:fill="FFFFFF"/>
            <w:noWrap/>
            <w:vAlign w:val="bottom"/>
            <w:hideMark/>
          </w:tcPr>
          <w:p w14:paraId="04761910"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2,068 </w:t>
            </w:r>
          </w:p>
        </w:tc>
        <w:tc>
          <w:tcPr>
            <w:tcW w:w="1280" w:type="dxa"/>
            <w:gridSpan w:val="2"/>
            <w:tcBorders>
              <w:top w:val="single" w:sz="4" w:space="0" w:color="BFBFBF"/>
              <w:left w:val="nil"/>
              <w:bottom w:val="single" w:sz="4" w:space="0" w:color="BFBFBF"/>
              <w:right w:val="nil"/>
            </w:tcBorders>
            <w:shd w:val="clear" w:color="000000" w:fill="FFFFFF"/>
            <w:noWrap/>
            <w:vAlign w:val="bottom"/>
            <w:hideMark/>
          </w:tcPr>
          <w:p w14:paraId="41AC1FE7"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2,102 </w:t>
            </w:r>
          </w:p>
        </w:tc>
        <w:tc>
          <w:tcPr>
            <w:tcW w:w="222" w:type="dxa"/>
            <w:gridSpan w:val="2"/>
            <w:vAlign w:val="center"/>
            <w:hideMark/>
          </w:tcPr>
          <w:p w14:paraId="0350B764"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7E4FF769" w14:textId="77777777" w:rsidTr="00D41B2D">
        <w:trPr>
          <w:trHeight w:val="255"/>
        </w:trPr>
        <w:tc>
          <w:tcPr>
            <w:tcW w:w="1600" w:type="dxa"/>
            <w:tcBorders>
              <w:top w:val="nil"/>
              <w:left w:val="nil"/>
              <w:bottom w:val="nil"/>
              <w:right w:val="nil"/>
            </w:tcBorders>
            <w:shd w:val="clear" w:color="000000" w:fill="FFFFFF"/>
            <w:hideMark/>
          </w:tcPr>
          <w:p w14:paraId="4875CC1E" w14:textId="77777777" w:rsidR="00415B22" w:rsidRPr="00415B22" w:rsidRDefault="00415B22" w:rsidP="00415B22">
            <w:pPr>
              <w:spacing w:after="0" w:line="240" w:lineRule="auto"/>
              <w:jc w:val="both"/>
              <w:rPr>
                <w:rFonts w:ascii="Arial" w:eastAsia="Times New Roman" w:hAnsi="Arial" w:cs="Arial"/>
                <w:sz w:val="15"/>
                <w:szCs w:val="15"/>
                <w:lang w:eastAsia="en-GB"/>
              </w:rPr>
            </w:pPr>
            <w:r w:rsidRPr="00415B22">
              <w:rPr>
                <w:rFonts w:ascii="Arial" w:eastAsia="Times New Roman" w:hAnsi="Arial" w:cs="Arial"/>
                <w:sz w:val="15"/>
                <w:szCs w:val="15"/>
                <w:lang w:eastAsia="en-GB"/>
              </w:rPr>
              <w:t> </w:t>
            </w:r>
          </w:p>
        </w:tc>
        <w:tc>
          <w:tcPr>
            <w:tcW w:w="1060" w:type="dxa"/>
            <w:gridSpan w:val="3"/>
            <w:tcBorders>
              <w:top w:val="nil"/>
              <w:left w:val="nil"/>
              <w:bottom w:val="nil"/>
              <w:right w:val="nil"/>
            </w:tcBorders>
            <w:shd w:val="clear" w:color="000000" w:fill="FFFFFF"/>
            <w:hideMark/>
          </w:tcPr>
          <w:p w14:paraId="6A246F44" w14:textId="77777777" w:rsidR="00415B22" w:rsidRPr="00415B22" w:rsidRDefault="00415B22" w:rsidP="00415B22">
            <w:pPr>
              <w:spacing w:after="0" w:line="240" w:lineRule="auto"/>
              <w:jc w:val="both"/>
              <w:rPr>
                <w:rFonts w:ascii="Arial" w:eastAsia="Times New Roman" w:hAnsi="Arial" w:cs="Arial"/>
                <w:sz w:val="15"/>
                <w:szCs w:val="15"/>
                <w:lang w:eastAsia="en-GB"/>
              </w:rPr>
            </w:pPr>
            <w:r w:rsidRPr="00415B22">
              <w:rPr>
                <w:rFonts w:ascii="Arial" w:eastAsia="Times New Roman" w:hAnsi="Arial" w:cs="Arial"/>
                <w:sz w:val="15"/>
                <w:szCs w:val="15"/>
                <w:lang w:eastAsia="en-GB"/>
              </w:rPr>
              <w:t> </w:t>
            </w:r>
          </w:p>
        </w:tc>
        <w:tc>
          <w:tcPr>
            <w:tcW w:w="1735" w:type="dxa"/>
            <w:gridSpan w:val="3"/>
            <w:tcBorders>
              <w:top w:val="nil"/>
              <w:left w:val="nil"/>
              <w:bottom w:val="nil"/>
              <w:right w:val="nil"/>
            </w:tcBorders>
            <w:shd w:val="clear" w:color="000000" w:fill="FFFFFF"/>
            <w:hideMark/>
          </w:tcPr>
          <w:p w14:paraId="12CD71C7" w14:textId="77777777" w:rsidR="00415B22" w:rsidRPr="00415B22" w:rsidRDefault="00415B22" w:rsidP="00415B22">
            <w:pPr>
              <w:spacing w:after="0" w:line="240" w:lineRule="auto"/>
              <w:jc w:val="both"/>
              <w:rPr>
                <w:rFonts w:ascii="Arial" w:eastAsia="Times New Roman" w:hAnsi="Arial" w:cs="Arial"/>
                <w:sz w:val="15"/>
                <w:szCs w:val="15"/>
                <w:lang w:eastAsia="en-GB"/>
              </w:rPr>
            </w:pPr>
            <w:r w:rsidRPr="00415B22">
              <w:rPr>
                <w:rFonts w:ascii="Arial" w:eastAsia="Times New Roman" w:hAnsi="Arial" w:cs="Arial"/>
                <w:sz w:val="15"/>
                <w:szCs w:val="15"/>
                <w:lang w:eastAsia="en-GB"/>
              </w:rPr>
              <w:t> </w:t>
            </w:r>
          </w:p>
        </w:tc>
        <w:tc>
          <w:tcPr>
            <w:tcW w:w="625" w:type="dxa"/>
            <w:gridSpan w:val="2"/>
            <w:tcBorders>
              <w:top w:val="nil"/>
              <w:left w:val="nil"/>
              <w:bottom w:val="nil"/>
              <w:right w:val="nil"/>
            </w:tcBorders>
            <w:shd w:val="clear" w:color="000000" w:fill="FFFFFF"/>
            <w:hideMark/>
          </w:tcPr>
          <w:p w14:paraId="6E928C3F" w14:textId="77777777" w:rsidR="00415B22" w:rsidRPr="00415B22" w:rsidRDefault="00415B22" w:rsidP="00415B22">
            <w:pPr>
              <w:spacing w:after="0" w:line="240" w:lineRule="auto"/>
              <w:jc w:val="both"/>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w:t>
            </w:r>
          </w:p>
        </w:tc>
        <w:tc>
          <w:tcPr>
            <w:tcW w:w="1340" w:type="dxa"/>
            <w:tcBorders>
              <w:top w:val="nil"/>
              <w:left w:val="nil"/>
              <w:bottom w:val="nil"/>
              <w:right w:val="nil"/>
            </w:tcBorders>
            <w:shd w:val="clear" w:color="000000" w:fill="FFFFFF"/>
            <w:hideMark/>
          </w:tcPr>
          <w:p w14:paraId="071B4C7E" w14:textId="77777777" w:rsidR="00415B22" w:rsidRPr="00415B22" w:rsidRDefault="00415B22" w:rsidP="00415B22">
            <w:pPr>
              <w:spacing w:after="0" w:line="240" w:lineRule="auto"/>
              <w:jc w:val="both"/>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w:t>
            </w:r>
          </w:p>
        </w:tc>
        <w:tc>
          <w:tcPr>
            <w:tcW w:w="1300" w:type="dxa"/>
            <w:gridSpan w:val="3"/>
            <w:tcBorders>
              <w:top w:val="nil"/>
              <w:left w:val="nil"/>
              <w:bottom w:val="nil"/>
              <w:right w:val="nil"/>
            </w:tcBorders>
            <w:shd w:val="clear" w:color="000000" w:fill="FFFFFF"/>
            <w:hideMark/>
          </w:tcPr>
          <w:p w14:paraId="3D523E23" w14:textId="77777777" w:rsidR="00415B22" w:rsidRPr="00415B22" w:rsidRDefault="00415B22" w:rsidP="00415B22">
            <w:pPr>
              <w:spacing w:after="0" w:line="240" w:lineRule="auto"/>
              <w:jc w:val="both"/>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w:t>
            </w:r>
          </w:p>
        </w:tc>
        <w:tc>
          <w:tcPr>
            <w:tcW w:w="1300" w:type="dxa"/>
            <w:gridSpan w:val="2"/>
            <w:tcBorders>
              <w:top w:val="nil"/>
              <w:left w:val="nil"/>
              <w:bottom w:val="nil"/>
              <w:right w:val="nil"/>
            </w:tcBorders>
            <w:shd w:val="clear" w:color="000000" w:fill="FFFFFF"/>
            <w:hideMark/>
          </w:tcPr>
          <w:p w14:paraId="17269FAE" w14:textId="77777777" w:rsidR="00415B22" w:rsidRPr="00415B22" w:rsidRDefault="00415B22" w:rsidP="00415B22">
            <w:pPr>
              <w:spacing w:after="0" w:line="240" w:lineRule="auto"/>
              <w:jc w:val="both"/>
              <w:rPr>
                <w:rFonts w:ascii="Arial" w:eastAsia="Times New Roman" w:hAnsi="Arial" w:cs="Arial"/>
                <w:sz w:val="15"/>
                <w:szCs w:val="15"/>
                <w:lang w:eastAsia="en-GB"/>
              </w:rPr>
            </w:pPr>
            <w:r w:rsidRPr="00415B22">
              <w:rPr>
                <w:rFonts w:ascii="Arial" w:eastAsia="Times New Roman" w:hAnsi="Arial" w:cs="Arial"/>
                <w:sz w:val="15"/>
                <w:szCs w:val="15"/>
                <w:lang w:eastAsia="en-GB"/>
              </w:rPr>
              <w:t> </w:t>
            </w:r>
          </w:p>
        </w:tc>
        <w:tc>
          <w:tcPr>
            <w:tcW w:w="1280" w:type="dxa"/>
            <w:gridSpan w:val="2"/>
            <w:tcBorders>
              <w:top w:val="nil"/>
              <w:left w:val="nil"/>
              <w:bottom w:val="nil"/>
              <w:right w:val="nil"/>
            </w:tcBorders>
            <w:shd w:val="clear" w:color="000000" w:fill="FFFFFF"/>
            <w:hideMark/>
          </w:tcPr>
          <w:p w14:paraId="3FC89D51" w14:textId="77777777" w:rsidR="00415B22" w:rsidRPr="00415B22" w:rsidRDefault="00415B22" w:rsidP="00415B22">
            <w:pPr>
              <w:spacing w:after="0" w:line="240" w:lineRule="auto"/>
              <w:jc w:val="both"/>
              <w:rPr>
                <w:rFonts w:ascii="Arial" w:eastAsia="Times New Roman" w:hAnsi="Arial" w:cs="Arial"/>
                <w:sz w:val="15"/>
                <w:szCs w:val="15"/>
                <w:lang w:eastAsia="en-GB"/>
              </w:rPr>
            </w:pPr>
            <w:r w:rsidRPr="00415B22">
              <w:rPr>
                <w:rFonts w:ascii="Arial" w:eastAsia="Times New Roman" w:hAnsi="Arial" w:cs="Arial"/>
                <w:sz w:val="15"/>
                <w:szCs w:val="15"/>
                <w:lang w:eastAsia="en-GB"/>
              </w:rPr>
              <w:t> </w:t>
            </w:r>
          </w:p>
        </w:tc>
        <w:tc>
          <w:tcPr>
            <w:tcW w:w="222" w:type="dxa"/>
            <w:gridSpan w:val="2"/>
            <w:vAlign w:val="center"/>
            <w:hideMark/>
          </w:tcPr>
          <w:p w14:paraId="0E4814BB"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0D6EE62D" w14:textId="77777777" w:rsidTr="00D41B2D">
        <w:trPr>
          <w:trHeight w:val="74"/>
        </w:trPr>
        <w:tc>
          <w:tcPr>
            <w:tcW w:w="10240" w:type="dxa"/>
            <w:gridSpan w:val="17"/>
            <w:tcBorders>
              <w:top w:val="nil"/>
              <w:left w:val="nil"/>
              <w:bottom w:val="nil"/>
              <w:right w:val="nil"/>
            </w:tcBorders>
            <w:shd w:val="clear" w:color="000000" w:fill="FFFFFF"/>
            <w:noWrap/>
            <w:vAlign w:val="center"/>
            <w:hideMark/>
          </w:tcPr>
          <w:p w14:paraId="5CD38129"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 </w:t>
            </w:r>
          </w:p>
        </w:tc>
        <w:tc>
          <w:tcPr>
            <w:tcW w:w="222" w:type="dxa"/>
            <w:gridSpan w:val="2"/>
            <w:vAlign w:val="center"/>
            <w:hideMark/>
          </w:tcPr>
          <w:p w14:paraId="390EF236"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6F9214C7" w14:textId="77777777" w:rsidTr="00D41B2D">
        <w:trPr>
          <w:trHeight w:val="255"/>
        </w:trPr>
        <w:tc>
          <w:tcPr>
            <w:tcW w:w="1600" w:type="dxa"/>
            <w:tcBorders>
              <w:top w:val="nil"/>
              <w:left w:val="nil"/>
              <w:bottom w:val="single" w:sz="4" w:space="0" w:color="BFBFBF"/>
              <w:right w:val="nil"/>
            </w:tcBorders>
            <w:shd w:val="clear" w:color="000000" w:fill="FFFFFF"/>
            <w:noWrap/>
            <w:vAlign w:val="bottom"/>
            <w:hideMark/>
          </w:tcPr>
          <w:p w14:paraId="7280F6AE" w14:textId="77777777" w:rsidR="00415B22" w:rsidRPr="00415B22" w:rsidRDefault="00415B22" w:rsidP="00415B22">
            <w:pPr>
              <w:spacing w:after="0" w:line="240" w:lineRule="auto"/>
              <w:rPr>
                <w:rFonts w:ascii="Arial" w:eastAsia="Times New Roman" w:hAnsi="Arial" w:cs="Arial"/>
                <w:sz w:val="20"/>
                <w:szCs w:val="20"/>
                <w:lang w:eastAsia="en-GB"/>
              </w:rPr>
            </w:pPr>
            <w:r w:rsidRPr="00415B22">
              <w:rPr>
                <w:rFonts w:ascii="Arial" w:eastAsia="Times New Roman" w:hAnsi="Arial" w:cs="Arial"/>
                <w:sz w:val="20"/>
                <w:szCs w:val="20"/>
                <w:lang w:eastAsia="en-GB"/>
              </w:rPr>
              <w:t> </w:t>
            </w:r>
          </w:p>
        </w:tc>
        <w:tc>
          <w:tcPr>
            <w:tcW w:w="1060" w:type="dxa"/>
            <w:gridSpan w:val="3"/>
            <w:tcBorders>
              <w:top w:val="nil"/>
              <w:left w:val="nil"/>
              <w:bottom w:val="single" w:sz="4" w:space="0" w:color="BFBFBF"/>
              <w:right w:val="nil"/>
            </w:tcBorders>
            <w:shd w:val="clear" w:color="000000" w:fill="FFFFFF"/>
            <w:noWrap/>
            <w:vAlign w:val="bottom"/>
            <w:hideMark/>
          </w:tcPr>
          <w:p w14:paraId="5884631A" w14:textId="77777777" w:rsidR="00415B22" w:rsidRPr="00415B22" w:rsidRDefault="00415B22" w:rsidP="00415B22">
            <w:pPr>
              <w:spacing w:after="0" w:line="240" w:lineRule="auto"/>
              <w:rPr>
                <w:rFonts w:ascii="Arial" w:eastAsia="Times New Roman" w:hAnsi="Arial" w:cs="Arial"/>
                <w:sz w:val="20"/>
                <w:szCs w:val="20"/>
                <w:lang w:eastAsia="en-GB"/>
              </w:rPr>
            </w:pPr>
            <w:r w:rsidRPr="00415B22">
              <w:rPr>
                <w:rFonts w:ascii="Arial" w:eastAsia="Times New Roman" w:hAnsi="Arial" w:cs="Arial"/>
                <w:sz w:val="20"/>
                <w:szCs w:val="20"/>
                <w:lang w:eastAsia="en-GB"/>
              </w:rPr>
              <w:t> </w:t>
            </w:r>
          </w:p>
        </w:tc>
        <w:tc>
          <w:tcPr>
            <w:tcW w:w="1735" w:type="dxa"/>
            <w:gridSpan w:val="3"/>
            <w:tcBorders>
              <w:top w:val="nil"/>
              <w:left w:val="nil"/>
              <w:bottom w:val="single" w:sz="4" w:space="0" w:color="BFBFBF"/>
              <w:right w:val="nil"/>
            </w:tcBorders>
            <w:shd w:val="clear" w:color="000000" w:fill="FFFFFF"/>
            <w:noWrap/>
            <w:vAlign w:val="bottom"/>
            <w:hideMark/>
          </w:tcPr>
          <w:p w14:paraId="69DAB9E1" w14:textId="77777777" w:rsidR="00415B22" w:rsidRPr="00415B22" w:rsidRDefault="00415B22" w:rsidP="00415B22">
            <w:pPr>
              <w:spacing w:after="0" w:line="240" w:lineRule="auto"/>
              <w:jc w:val="right"/>
              <w:rPr>
                <w:rFonts w:ascii="Arial" w:eastAsia="Times New Roman" w:hAnsi="Arial" w:cs="Arial"/>
                <w:sz w:val="20"/>
                <w:szCs w:val="20"/>
                <w:lang w:eastAsia="en-GB"/>
              </w:rPr>
            </w:pPr>
            <w:r w:rsidRPr="00415B22">
              <w:rPr>
                <w:rFonts w:ascii="Arial" w:eastAsia="Times New Roman" w:hAnsi="Arial" w:cs="Arial"/>
                <w:sz w:val="20"/>
                <w:szCs w:val="20"/>
                <w:lang w:eastAsia="en-GB"/>
              </w:rPr>
              <w:t> </w:t>
            </w:r>
          </w:p>
        </w:tc>
        <w:tc>
          <w:tcPr>
            <w:tcW w:w="625" w:type="dxa"/>
            <w:gridSpan w:val="2"/>
            <w:tcBorders>
              <w:top w:val="nil"/>
              <w:left w:val="nil"/>
              <w:bottom w:val="single" w:sz="4" w:space="0" w:color="BFBFBF"/>
              <w:right w:val="nil"/>
            </w:tcBorders>
            <w:shd w:val="clear" w:color="000000" w:fill="FFFFFF"/>
            <w:noWrap/>
            <w:vAlign w:val="bottom"/>
            <w:hideMark/>
          </w:tcPr>
          <w:p w14:paraId="0719D9FD" w14:textId="77777777" w:rsidR="00415B22" w:rsidRPr="00415B22" w:rsidRDefault="00415B22" w:rsidP="00415B22">
            <w:pPr>
              <w:spacing w:after="0" w:line="240" w:lineRule="auto"/>
              <w:jc w:val="right"/>
              <w:rPr>
                <w:rFonts w:ascii="Arial" w:eastAsia="Times New Roman" w:hAnsi="Arial" w:cs="Arial"/>
                <w:sz w:val="20"/>
                <w:szCs w:val="20"/>
                <w:lang w:eastAsia="en-GB"/>
              </w:rPr>
            </w:pPr>
            <w:r w:rsidRPr="00415B22">
              <w:rPr>
                <w:rFonts w:ascii="Arial" w:eastAsia="Times New Roman" w:hAnsi="Arial" w:cs="Arial"/>
                <w:sz w:val="20"/>
                <w:szCs w:val="20"/>
                <w:lang w:eastAsia="en-GB"/>
              </w:rPr>
              <w:t> </w:t>
            </w:r>
          </w:p>
        </w:tc>
        <w:tc>
          <w:tcPr>
            <w:tcW w:w="1340" w:type="dxa"/>
            <w:tcBorders>
              <w:top w:val="nil"/>
              <w:left w:val="nil"/>
              <w:bottom w:val="single" w:sz="4" w:space="0" w:color="BFBFBF"/>
              <w:right w:val="nil"/>
            </w:tcBorders>
            <w:shd w:val="clear" w:color="000000" w:fill="FFFFFF"/>
            <w:noWrap/>
            <w:vAlign w:val="bottom"/>
            <w:hideMark/>
          </w:tcPr>
          <w:p w14:paraId="05CC6BF2" w14:textId="77777777" w:rsidR="00415B22" w:rsidRPr="00415B22" w:rsidRDefault="00415B22" w:rsidP="00415B22">
            <w:pPr>
              <w:spacing w:after="0" w:line="240" w:lineRule="auto"/>
              <w:jc w:val="right"/>
              <w:rPr>
                <w:rFonts w:ascii="Arial" w:eastAsia="Times New Roman" w:hAnsi="Arial" w:cs="Arial"/>
                <w:sz w:val="20"/>
                <w:szCs w:val="20"/>
                <w:lang w:eastAsia="en-GB"/>
              </w:rPr>
            </w:pPr>
            <w:r w:rsidRPr="00415B22">
              <w:rPr>
                <w:rFonts w:ascii="Arial" w:eastAsia="Times New Roman" w:hAnsi="Arial" w:cs="Arial"/>
                <w:sz w:val="20"/>
                <w:szCs w:val="20"/>
                <w:lang w:eastAsia="en-GB"/>
              </w:rPr>
              <w:t> </w:t>
            </w:r>
          </w:p>
        </w:tc>
        <w:tc>
          <w:tcPr>
            <w:tcW w:w="1300" w:type="dxa"/>
            <w:gridSpan w:val="3"/>
            <w:tcBorders>
              <w:top w:val="nil"/>
              <w:left w:val="nil"/>
              <w:bottom w:val="single" w:sz="4" w:space="0" w:color="BFBFBF"/>
              <w:right w:val="nil"/>
            </w:tcBorders>
            <w:shd w:val="clear" w:color="000000" w:fill="FFFFFF"/>
            <w:noWrap/>
            <w:vAlign w:val="bottom"/>
            <w:hideMark/>
          </w:tcPr>
          <w:p w14:paraId="0E55DCC3" w14:textId="77777777" w:rsidR="00415B22" w:rsidRPr="00415B22" w:rsidRDefault="00415B22" w:rsidP="00415B22">
            <w:pPr>
              <w:spacing w:after="0" w:line="240" w:lineRule="auto"/>
              <w:jc w:val="right"/>
              <w:rPr>
                <w:rFonts w:ascii="Arial" w:eastAsia="Times New Roman" w:hAnsi="Arial" w:cs="Arial"/>
                <w:sz w:val="20"/>
                <w:szCs w:val="20"/>
                <w:lang w:eastAsia="en-GB"/>
              </w:rPr>
            </w:pPr>
            <w:r w:rsidRPr="00415B22">
              <w:rPr>
                <w:rFonts w:ascii="Arial" w:eastAsia="Times New Roman" w:hAnsi="Arial" w:cs="Arial"/>
                <w:sz w:val="20"/>
                <w:szCs w:val="20"/>
                <w:lang w:eastAsia="en-GB"/>
              </w:rPr>
              <w:t> </w:t>
            </w:r>
          </w:p>
        </w:tc>
        <w:tc>
          <w:tcPr>
            <w:tcW w:w="1300" w:type="dxa"/>
            <w:gridSpan w:val="2"/>
            <w:tcBorders>
              <w:top w:val="nil"/>
              <w:left w:val="nil"/>
              <w:bottom w:val="single" w:sz="4" w:space="0" w:color="BFBFBF"/>
              <w:right w:val="nil"/>
            </w:tcBorders>
            <w:shd w:val="clear" w:color="000000" w:fill="FFFFFF"/>
            <w:noWrap/>
            <w:vAlign w:val="bottom"/>
            <w:hideMark/>
          </w:tcPr>
          <w:p w14:paraId="0F02E103" w14:textId="77777777" w:rsidR="00415B22" w:rsidRPr="00415B22" w:rsidRDefault="00415B22" w:rsidP="00415B22">
            <w:pPr>
              <w:spacing w:after="0" w:line="240" w:lineRule="auto"/>
              <w:jc w:val="right"/>
              <w:rPr>
                <w:rFonts w:ascii="Arial" w:eastAsia="Times New Roman" w:hAnsi="Arial" w:cs="Arial"/>
                <w:sz w:val="20"/>
                <w:szCs w:val="20"/>
                <w:lang w:eastAsia="en-GB"/>
              </w:rPr>
            </w:pPr>
            <w:r w:rsidRPr="00415B22">
              <w:rPr>
                <w:rFonts w:ascii="Arial" w:eastAsia="Times New Roman" w:hAnsi="Arial" w:cs="Arial"/>
                <w:sz w:val="20"/>
                <w:szCs w:val="20"/>
                <w:lang w:eastAsia="en-GB"/>
              </w:rPr>
              <w:t> </w:t>
            </w:r>
          </w:p>
        </w:tc>
        <w:tc>
          <w:tcPr>
            <w:tcW w:w="1280" w:type="dxa"/>
            <w:gridSpan w:val="2"/>
            <w:tcBorders>
              <w:top w:val="nil"/>
              <w:left w:val="nil"/>
              <w:bottom w:val="single" w:sz="4" w:space="0" w:color="BFBFBF"/>
              <w:right w:val="nil"/>
            </w:tcBorders>
            <w:shd w:val="clear" w:color="000000" w:fill="FFFFFF"/>
            <w:noWrap/>
            <w:vAlign w:val="bottom"/>
            <w:hideMark/>
          </w:tcPr>
          <w:p w14:paraId="7C7EDE18" w14:textId="77777777" w:rsidR="00415B22" w:rsidRPr="00415B22" w:rsidRDefault="00415B22" w:rsidP="00415B22">
            <w:pPr>
              <w:spacing w:after="0" w:line="240" w:lineRule="auto"/>
              <w:rPr>
                <w:rFonts w:ascii="Arial" w:eastAsia="Times New Roman" w:hAnsi="Arial" w:cs="Arial"/>
                <w:sz w:val="20"/>
                <w:szCs w:val="20"/>
                <w:lang w:eastAsia="en-GB"/>
              </w:rPr>
            </w:pPr>
            <w:r w:rsidRPr="00415B22">
              <w:rPr>
                <w:rFonts w:ascii="Arial" w:eastAsia="Times New Roman" w:hAnsi="Arial" w:cs="Arial"/>
                <w:sz w:val="20"/>
                <w:szCs w:val="20"/>
                <w:lang w:eastAsia="en-GB"/>
              </w:rPr>
              <w:t> </w:t>
            </w:r>
          </w:p>
        </w:tc>
        <w:tc>
          <w:tcPr>
            <w:tcW w:w="222" w:type="dxa"/>
            <w:gridSpan w:val="2"/>
            <w:vAlign w:val="center"/>
            <w:hideMark/>
          </w:tcPr>
          <w:p w14:paraId="2A1B2CCA"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D92813" w:rsidRPr="00415B22" w14:paraId="698C7D77" w14:textId="77777777" w:rsidTr="00D41B2D">
        <w:trPr>
          <w:trHeight w:val="65"/>
        </w:trPr>
        <w:tc>
          <w:tcPr>
            <w:tcW w:w="1600" w:type="dxa"/>
            <w:tcBorders>
              <w:top w:val="nil"/>
              <w:left w:val="single" w:sz="4" w:space="0" w:color="BFBFBF"/>
              <w:bottom w:val="nil"/>
              <w:right w:val="nil"/>
            </w:tcBorders>
            <w:shd w:val="clear" w:color="auto" w:fill="auto"/>
            <w:noWrap/>
            <w:vAlign w:val="bottom"/>
            <w:hideMark/>
          </w:tcPr>
          <w:p w14:paraId="5233F680" w14:textId="77777777" w:rsidR="00415B22" w:rsidRPr="00415B22" w:rsidRDefault="00415B22" w:rsidP="00415B22">
            <w:pPr>
              <w:spacing w:after="0" w:line="240" w:lineRule="auto"/>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w:t>
            </w:r>
          </w:p>
        </w:tc>
        <w:tc>
          <w:tcPr>
            <w:tcW w:w="1060" w:type="dxa"/>
            <w:gridSpan w:val="3"/>
            <w:tcBorders>
              <w:top w:val="nil"/>
              <w:left w:val="nil"/>
              <w:bottom w:val="nil"/>
              <w:right w:val="nil"/>
            </w:tcBorders>
            <w:shd w:val="clear" w:color="auto" w:fill="auto"/>
            <w:noWrap/>
            <w:vAlign w:val="bottom"/>
            <w:hideMark/>
          </w:tcPr>
          <w:p w14:paraId="2E846F08" w14:textId="77777777" w:rsidR="00415B22" w:rsidRPr="00415B22" w:rsidRDefault="00415B22" w:rsidP="00415B22">
            <w:pPr>
              <w:spacing w:after="0" w:line="240" w:lineRule="auto"/>
              <w:rPr>
                <w:rFonts w:ascii="Arial" w:eastAsia="Times New Roman" w:hAnsi="Arial" w:cs="Arial"/>
                <w:b/>
                <w:bCs/>
                <w:sz w:val="14"/>
                <w:szCs w:val="14"/>
                <w:lang w:eastAsia="en-GB"/>
              </w:rPr>
            </w:pPr>
            <w:r w:rsidRPr="00415B22">
              <w:rPr>
                <w:rFonts w:ascii="Arial" w:eastAsia="Times New Roman" w:hAnsi="Arial" w:cs="Arial"/>
                <w:b/>
                <w:bCs/>
                <w:sz w:val="14"/>
                <w:szCs w:val="14"/>
                <w:lang w:eastAsia="en-GB"/>
              </w:rPr>
              <w:t> </w:t>
            </w:r>
          </w:p>
        </w:tc>
        <w:tc>
          <w:tcPr>
            <w:tcW w:w="1735" w:type="dxa"/>
            <w:gridSpan w:val="3"/>
            <w:tcBorders>
              <w:top w:val="nil"/>
              <w:left w:val="nil"/>
              <w:bottom w:val="nil"/>
              <w:right w:val="nil"/>
            </w:tcBorders>
            <w:shd w:val="clear" w:color="auto" w:fill="auto"/>
            <w:noWrap/>
            <w:vAlign w:val="bottom"/>
            <w:hideMark/>
          </w:tcPr>
          <w:p w14:paraId="29A45A47" w14:textId="77777777" w:rsidR="00415B22" w:rsidRPr="00415B22" w:rsidRDefault="00415B22" w:rsidP="00415B22">
            <w:pPr>
              <w:spacing w:after="0" w:line="240" w:lineRule="auto"/>
              <w:rPr>
                <w:rFonts w:ascii="Arial" w:eastAsia="Times New Roman" w:hAnsi="Arial" w:cs="Arial"/>
                <w:b/>
                <w:bCs/>
                <w:sz w:val="14"/>
                <w:szCs w:val="14"/>
                <w:lang w:eastAsia="en-GB"/>
              </w:rPr>
            </w:pPr>
            <w:r w:rsidRPr="00415B22">
              <w:rPr>
                <w:rFonts w:ascii="Arial" w:eastAsia="Times New Roman" w:hAnsi="Arial" w:cs="Arial"/>
                <w:b/>
                <w:bCs/>
                <w:sz w:val="14"/>
                <w:szCs w:val="14"/>
                <w:lang w:eastAsia="en-GB"/>
              </w:rPr>
              <w:t> </w:t>
            </w:r>
          </w:p>
        </w:tc>
        <w:tc>
          <w:tcPr>
            <w:tcW w:w="625" w:type="dxa"/>
            <w:gridSpan w:val="2"/>
            <w:tcBorders>
              <w:top w:val="nil"/>
              <w:left w:val="nil"/>
              <w:bottom w:val="nil"/>
              <w:right w:val="nil"/>
            </w:tcBorders>
            <w:shd w:val="clear" w:color="auto" w:fill="auto"/>
            <w:noWrap/>
            <w:vAlign w:val="bottom"/>
            <w:hideMark/>
          </w:tcPr>
          <w:p w14:paraId="21281D80" w14:textId="77777777" w:rsidR="00415B22" w:rsidRPr="00415B22" w:rsidRDefault="00415B22" w:rsidP="00415B22">
            <w:pPr>
              <w:spacing w:after="0" w:line="240" w:lineRule="auto"/>
              <w:rPr>
                <w:rFonts w:ascii="Arial" w:eastAsia="Times New Roman" w:hAnsi="Arial" w:cs="Arial"/>
                <w:b/>
                <w:bCs/>
                <w:sz w:val="14"/>
                <w:szCs w:val="14"/>
                <w:lang w:eastAsia="en-GB"/>
              </w:rPr>
            </w:pPr>
            <w:r w:rsidRPr="00415B22">
              <w:rPr>
                <w:rFonts w:ascii="Arial" w:eastAsia="Times New Roman" w:hAnsi="Arial" w:cs="Arial"/>
                <w:b/>
                <w:bCs/>
                <w:sz w:val="14"/>
                <w:szCs w:val="14"/>
                <w:lang w:eastAsia="en-GB"/>
              </w:rPr>
              <w:t> </w:t>
            </w:r>
          </w:p>
        </w:tc>
        <w:tc>
          <w:tcPr>
            <w:tcW w:w="1340" w:type="dxa"/>
            <w:tcBorders>
              <w:top w:val="nil"/>
              <w:left w:val="nil"/>
              <w:bottom w:val="nil"/>
              <w:right w:val="nil"/>
            </w:tcBorders>
            <w:shd w:val="clear" w:color="auto" w:fill="auto"/>
            <w:noWrap/>
            <w:vAlign w:val="bottom"/>
            <w:hideMark/>
          </w:tcPr>
          <w:p w14:paraId="1B008AD3" w14:textId="77777777" w:rsidR="00415B22" w:rsidRPr="00415B22" w:rsidRDefault="00415B22" w:rsidP="00415B22">
            <w:pPr>
              <w:spacing w:after="0" w:line="240" w:lineRule="auto"/>
              <w:rPr>
                <w:rFonts w:ascii="Arial" w:eastAsia="Times New Roman" w:hAnsi="Arial" w:cs="Arial"/>
                <w:b/>
                <w:bCs/>
                <w:sz w:val="14"/>
                <w:szCs w:val="14"/>
                <w:lang w:eastAsia="en-GB"/>
              </w:rPr>
            </w:pPr>
            <w:r w:rsidRPr="00415B22">
              <w:rPr>
                <w:rFonts w:ascii="Arial" w:eastAsia="Times New Roman" w:hAnsi="Arial" w:cs="Arial"/>
                <w:b/>
                <w:bCs/>
                <w:sz w:val="14"/>
                <w:szCs w:val="14"/>
                <w:lang w:eastAsia="en-GB"/>
              </w:rPr>
              <w:t> </w:t>
            </w:r>
          </w:p>
        </w:tc>
        <w:tc>
          <w:tcPr>
            <w:tcW w:w="1300" w:type="dxa"/>
            <w:gridSpan w:val="3"/>
            <w:tcBorders>
              <w:top w:val="nil"/>
              <w:left w:val="nil"/>
              <w:bottom w:val="nil"/>
              <w:right w:val="nil"/>
            </w:tcBorders>
            <w:shd w:val="clear" w:color="auto" w:fill="auto"/>
            <w:vAlign w:val="center"/>
            <w:hideMark/>
          </w:tcPr>
          <w:p w14:paraId="7EDA7386"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2 July 2022</w:t>
            </w:r>
          </w:p>
        </w:tc>
        <w:tc>
          <w:tcPr>
            <w:tcW w:w="1300" w:type="dxa"/>
            <w:gridSpan w:val="2"/>
            <w:tcBorders>
              <w:top w:val="nil"/>
              <w:left w:val="nil"/>
              <w:bottom w:val="nil"/>
              <w:right w:val="nil"/>
            </w:tcBorders>
            <w:shd w:val="clear" w:color="auto" w:fill="auto"/>
            <w:vAlign w:val="center"/>
            <w:hideMark/>
          </w:tcPr>
          <w:p w14:paraId="1D8EE8B2"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3 July 2021</w:t>
            </w:r>
          </w:p>
        </w:tc>
        <w:tc>
          <w:tcPr>
            <w:tcW w:w="1280" w:type="dxa"/>
            <w:gridSpan w:val="2"/>
            <w:tcBorders>
              <w:top w:val="nil"/>
              <w:left w:val="nil"/>
              <w:bottom w:val="nil"/>
              <w:right w:val="single" w:sz="4" w:space="0" w:color="BFBFBF"/>
            </w:tcBorders>
            <w:shd w:val="clear" w:color="auto" w:fill="auto"/>
            <w:vAlign w:val="center"/>
            <w:hideMark/>
          </w:tcPr>
          <w:p w14:paraId="0E81C8D0"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1 January 2022</w:t>
            </w:r>
          </w:p>
        </w:tc>
        <w:tc>
          <w:tcPr>
            <w:tcW w:w="222" w:type="dxa"/>
            <w:gridSpan w:val="2"/>
            <w:vAlign w:val="center"/>
            <w:hideMark/>
          </w:tcPr>
          <w:p w14:paraId="2401865E"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D92813" w:rsidRPr="00415B22" w14:paraId="557259F1" w14:textId="77777777" w:rsidTr="00D41B2D">
        <w:trPr>
          <w:trHeight w:val="74"/>
        </w:trPr>
        <w:tc>
          <w:tcPr>
            <w:tcW w:w="1600" w:type="dxa"/>
            <w:tcBorders>
              <w:top w:val="nil"/>
              <w:left w:val="single" w:sz="4" w:space="0" w:color="BFBFBF"/>
              <w:bottom w:val="nil"/>
              <w:right w:val="nil"/>
            </w:tcBorders>
            <w:shd w:val="clear" w:color="auto" w:fill="auto"/>
            <w:noWrap/>
            <w:vAlign w:val="bottom"/>
            <w:hideMark/>
          </w:tcPr>
          <w:p w14:paraId="4DB63CB5" w14:textId="77777777" w:rsidR="00415B22" w:rsidRPr="00415B22" w:rsidRDefault="00415B22" w:rsidP="00415B22">
            <w:pPr>
              <w:spacing w:after="0" w:line="240" w:lineRule="auto"/>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Current liabilities:</w:t>
            </w:r>
          </w:p>
        </w:tc>
        <w:tc>
          <w:tcPr>
            <w:tcW w:w="1060" w:type="dxa"/>
            <w:gridSpan w:val="3"/>
            <w:tcBorders>
              <w:top w:val="nil"/>
              <w:left w:val="nil"/>
              <w:bottom w:val="nil"/>
              <w:right w:val="nil"/>
            </w:tcBorders>
            <w:shd w:val="clear" w:color="auto" w:fill="auto"/>
            <w:noWrap/>
            <w:vAlign w:val="bottom"/>
            <w:hideMark/>
          </w:tcPr>
          <w:p w14:paraId="6343DCF8"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735" w:type="dxa"/>
            <w:gridSpan w:val="3"/>
            <w:tcBorders>
              <w:top w:val="nil"/>
              <w:left w:val="nil"/>
              <w:bottom w:val="nil"/>
              <w:right w:val="nil"/>
            </w:tcBorders>
            <w:shd w:val="clear" w:color="auto" w:fill="auto"/>
            <w:noWrap/>
            <w:vAlign w:val="bottom"/>
            <w:hideMark/>
          </w:tcPr>
          <w:p w14:paraId="3D81018B"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625" w:type="dxa"/>
            <w:gridSpan w:val="2"/>
            <w:tcBorders>
              <w:top w:val="nil"/>
              <w:left w:val="nil"/>
              <w:bottom w:val="nil"/>
              <w:right w:val="nil"/>
            </w:tcBorders>
            <w:shd w:val="clear" w:color="auto" w:fill="auto"/>
            <w:noWrap/>
            <w:vAlign w:val="bottom"/>
            <w:hideMark/>
          </w:tcPr>
          <w:p w14:paraId="1924F71B"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40" w:type="dxa"/>
            <w:tcBorders>
              <w:top w:val="nil"/>
              <w:left w:val="nil"/>
              <w:bottom w:val="nil"/>
              <w:right w:val="nil"/>
            </w:tcBorders>
            <w:shd w:val="clear" w:color="auto" w:fill="auto"/>
            <w:noWrap/>
            <w:vAlign w:val="bottom"/>
            <w:hideMark/>
          </w:tcPr>
          <w:p w14:paraId="3A2896D5"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00" w:type="dxa"/>
            <w:gridSpan w:val="3"/>
            <w:tcBorders>
              <w:top w:val="nil"/>
              <w:left w:val="nil"/>
              <w:bottom w:val="nil"/>
              <w:right w:val="nil"/>
            </w:tcBorders>
            <w:shd w:val="clear" w:color="auto" w:fill="auto"/>
            <w:noWrap/>
            <w:vAlign w:val="bottom"/>
            <w:hideMark/>
          </w:tcPr>
          <w:p w14:paraId="422F42EB"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(unaudited)</w:t>
            </w:r>
          </w:p>
        </w:tc>
        <w:tc>
          <w:tcPr>
            <w:tcW w:w="1300" w:type="dxa"/>
            <w:gridSpan w:val="2"/>
            <w:tcBorders>
              <w:top w:val="nil"/>
              <w:left w:val="nil"/>
              <w:bottom w:val="nil"/>
              <w:right w:val="nil"/>
            </w:tcBorders>
            <w:shd w:val="clear" w:color="auto" w:fill="auto"/>
            <w:noWrap/>
            <w:vAlign w:val="bottom"/>
            <w:hideMark/>
          </w:tcPr>
          <w:p w14:paraId="2A270D89"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(unaudited)</w:t>
            </w:r>
          </w:p>
        </w:tc>
        <w:tc>
          <w:tcPr>
            <w:tcW w:w="1280" w:type="dxa"/>
            <w:gridSpan w:val="2"/>
            <w:tcBorders>
              <w:top w:val="nil"/>
              <w:left w:val="nil"/>
              <w:bottom w:val="nil"/>
              <w:right w:val="single" w:sz="4" w:space="0" w:color="BFBFBF"/>
            </w:tcBorders>
            <w:shd w:val="clear" w:color="auto" w:fill="auto"/>
            <w:noWrap/>
            <w:vAlign w:val="bottom"/>
            <w:hideMark/>
          </w:tcPr>
          <w:p w14:paraId="373F0448"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(audited)</w:t>
            </w:r>
          </w:p>
        </w:tc>
        <w:tc>
          <w:tcPr>
            <w:tcW w:w="222" w:type="dxa"/>
            <w:gridSpan w:val="2"/>
            <w:vAlign w:val="center"/>
            <w:hideMark/>
          </w:tcPr>
          <w:p w14:paraId="07940AE3"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D92813" w:rsidRPr="00415B22" w14:paraId="2201F1B0" w14:textId="77777777" w:rsidTr="00D41B2D">
        <w:trPr>
          <w:trHeight w:val="263"/>
        </w:trPr>
        <w:tc>
          <w:tcPr>
            <w:tcW w:w="1600" w:type="dxa"/>
            <w:tcBorders>
              <w:top w:val="nil"/>
              <w:left w:val="single" w:sz="4" w:space="0" w:color="BFBFBF"/>
              <w:bottom w:val="single" w:sz="4" w:space="0" w:color="BFBFBF"/>
              <w:right w:val="nil"/>
            </w:tcBorders>
            <w:shd w:val="clear" w:color="auto" w:fill="auto"/>
            <w:noWrap/>
            <w:vAlign w:val="bottom"/>
            <w:hideMark/>
          </w:tcPr>
          <w:p w14:paraId="1EF1443A"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w:t>
            </w:r>
          </w:p>
        </w:tc>
        <w:tc>
          <w:tcPr>
            <w:tcW w:w="1060" w:type="dxa"/>
            <w:gridSpan w:val="3"/>
            <w:tcBorders>
              <w:top w:val="nil"/>
              <w:left w:val="nil"/>
              <w:bottom w:val="single" w:sz="4" w:space="0" w:color="BFBFBF"/>
              <w:right w:val="nil"/>
            </w:tcBorders>
            <w:shd w:val="clear" w:color="auto" w:fill="auto"/>
            <w:noWrap/>
            <w:vAlign w:val="bottom"/>
            <w:hideMark/>
          </w:tcPr>
          <w:p w14:paraId="28D31819"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735" w:type="dxa"/>
            <w:gridSpan w:val="3"/>
            <w:tcBorders>
              <w:top w:val="nil"/>
              <w:left w:val="nil"/>
              <w:bottom w:val="single" w:sz="4" w:space="0" w:color="BFBFBF"/>
              <w:right w:val="nil"/>
            </w:tcBorders>
            <w:shd w:val="clear" w:color="auto" w:fill="auto"/>
            <w:noWrap/>
            <w:vAlign w:val="bottom"/>
            <w:hideMark/>
          </w:tcPr>
          <w:p w14:paraId="4550454F"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625" w:type="dxa"/>
            <w:gridSpan w:val="2"/>
            <w:tcBorders>
              <w:top w:val="nil"/>
              <w:left w:val="nil"/>
              <w:bottom w:val="single" w:sz="4" w:space="0" w:color="BFBFBF"/>
              <w:right w:val="nil"/>
            </w:tcBorders>
            <w:shd w:val="clear" w:color="auto" w:fill="auto"/>
            <w:noWrap/>
            <w:vAlign w:val="bottom"/>
            <w:hideMark/>
          </w:tcPr>
          <w:p w14:paraId="337FB374"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40" w:type="dxa"/>
            <w:tcBorders>
              <w:top w:val="nil"/>
              <w:left w:val="nil"/>
              <w:bottom w:val="single" w:sz="4" w:space="0" w:color="BFBFBF"/>
              <w:right w:val="nil"/>
            </w:tcBorders>
            <w:shd w:val="clear" w:color="auto" w:fill="auto"/>
            <w:noWrap/>
            <w:vAlign w:val="bottom"/>
            <w:hideMark/>
          </w:tcPr>
          <w:p w14:paraId="4514351E"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00" w:type="dxa"/>
            <w:gridSpan w:val="3"/>
            <w:tcBorders>
              <w:top w:val="nil"/>
              <w:left w:val="nil"/>
              <w:bottom w:val="single" w:sz="4" w:space="0" w:color="BFBFBF"/>
              <w:right w:val="nil"/>
            </w:tcBorders>
            <w:shd w:val="clear" w:color="auto" w:fill="auto"/>
            <w:noWrap/>
            <w:vAlign w:val="bottom"/>
            <w:hideMark/>
          </w:tcPr>
          <w:p w14:paraId="3346A0C8"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£m</w:t>
            </w:r>
          </w:p>
        </w:tc>
        <w:tc>
          <w:tcPr>
            <w:tcW w:w="1300" w:type="dxa"/>
            <w:gridSpan w:val="2"/>
            <w:tcBorders>
              <w:top w:val="nil"/>
              <w:left w:val="nil"/>
              <w:bottom w:val="single" w:sz="4" w:space="0" w:color="BFBFBF"/>
              <w:right w:val="nil"/>
            </w:tcBorders>
            <w:shd w:val="clear" w:color="auto" w:fill="auto"/>
            <w:noWrap/>
            <w:vAlign w:val="bottom"/>
            <w:hideMark/>
          </w:tcPr>
          <w:p w14:paraId="3792ED2D"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£m</w:t>
            </w:r>
          </w:p>
        </w:tc>
        <w:tc>
          <w:tcPr>
            <w:tcW w:w="1280" w:type="dxa"/>
            <w:gridSpan w:val="2"/>
            <w:tcBorders>
              <w:top w:val="nil"/>
              <w:left w:val="nil"/>
              <w:bottom w:val="single" w:sz="4" w:space="0" w:color="BFBFBF"/>
              <w:right w:val="single" w:sz="4" w:space="0" w:color="BFBFBF"/>
            </w:tcBorders>
            <w:shd w:val="clear" w:color="auto" w:fill="auto"/>
            <w:noWrap/>
            <w:vAlign w:val="bottom"/>
            <w:hideMark/>
          </w:tcPr>
          <w:p w14:paraId="1AA1ACFE"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£m</w:t>
            </w:r>
          </w:p>
        </w:tc>
        <w:tc>
          <w:tcPr>
            <w:tcW w:w="222" w:type="dxa"/>
            <w:gridSpan w:val="2"/>
            <w:vAlign w:val="center"/>
            <w:hideMark/>
          </w:tcPr>
          <w:p w14:paraId="4776575A"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30996EEF" w14:textId="77777777" w:rsidTr="00D41B2D">
        <w:trPr>
          <w:trHeight w:val="278"/>
        </w:trPr>
        <w:tc>
          <w:tcPr>
            <w:tcW w:w="6360" w:type="dxa"/>
            <w:gridSpan w:val="10"/>
            <w:tcBorders>
              <w:top w:val="nil"/>
              <w:left w:val="nil"/>
              <w:bottom w:val="nil"/>
              <w:right w:val="nil"/>
            </w:tcBorders>
            <w:shd w:val="clear" w:color="000000" w:fill="FFFFFF"/>
            <w:noWrap/>
            <w:vAlign w:val="bottom"/>
            <w:hideMark/>
          </w:tcPr>
          <w:p w14:paraId="3FA1A62F"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£245m 7.5% Eurobond Notes due 2026 (amortised cost) - interest accrued </w:t>
            </w:r>
          </w:p>
        </w:tc>
        <w:tc>
          <w:tcPr>
            <w:tcW w:w="1300" w:type="dxa"/>
            <w:gridSpan w:val="3"/>
            <w:tcBorders>
              <w:top w:val="nil"/>
              <w:left w:val="nil"/>
              <w:bottom w:val="nil"/>
              <w:right w:val="nil"/>
            </w:tcBorders>
            <w:shd w:val="clear" w:color="auto" w:fill="CCECFF"/>
            <w:noWrap/>
            <w:vAlign w:val="bottom"/>
            <w:hideMark/>
          </w:tcPr>
          <w:p w14:paraId="37712A39"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19 </w:t>
            </w:r>
          </w:p>
        </w:tc>
        <w:tc>
          <w:tcPr>
            <w:tcW w:w="1300" w:type="dxa"/>
            <w:gridSpan w:val="2"/>
            <w:tcBorders>
              <w:top w:val="nil"/>
              <w:left w:val="nil"/>
              <w:bottom w:val="nil"/>
              <w:right w:val="nil"/>
            </w:tcBorders>
            <w:shd w:val="clear" w:color="000000" w:fill="FFFFFF"/>
            <w:noWrap/>
            <w:vAlign w:val="bottom"/>
            <w:hideMark/>
          </w:tcPr>
          <w:p w14:paraId="0B6D9BAF"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19 </w:t>
            </w:r>
          </w:p>
        </w:tc>
        <w:tc>
          <w:tcPr>
            <w:tcW w:w="1280" w:type="dxa"/>
            <w:gridSpan w:val="2"/>
            <w:tcBorders>
              <w:top w:val="nil"/>
              <w:left w:val="nil"/>
              <w:bottom w:val="nil"/>
              <w:right w:val="nil"/>
            </w:tcBorders>
            <w:shd w:val="clear" w:color="000000" w:fill="FFFFFF"/>
            <w:noWrap/>
            <w:vAlign w:val="bottom"/>
            <w:hideMark/>
          </w:tcPr>
          <w:p w14:paraId="06FA4D4A"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9 </w:t>
            </w:r>
          </w:p>
        </w:tc>
        <w:tc>
          <w:tcPr>
            <w:tcW w:w="222" w:type="dxa"/>
            <w:gridSpan w:val="2"/>
            <w:vAlign w:val="center"/>
            <w:hideMark/>
          </w:tcPr>
          <w:p w14:paraId="4B73B2A6"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4B10F61A" w14:textId="77777777" w:rsidTr="00D41B2D">
        <w:trPr>
          <w:trHeight w:val="278"/>
        </w:trPr>
        <w:tc>
          <w:tcPr>
            <w:tcW w:w="6360" w:type="dxa"/>
            <w:gridSpan w:val="10"/>
            <w:tcBorders>
              <w:top w:val="nil"/>
              <w:left w:val="nil"/>
              <w:bottom w:val="nil"/>
              <w:right w:val="nil"/>
            </w:tcBorders>
            <w:shd w:val="clear" w:color="000000" w:fill="FFFFFF"/>
            <w:noWrap/>
            <w:vAlign w:val="bottom"/>
            <w:hideMark/>
          </w:tcPr>
          <w:p w14:paraId="09419E7E"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£300m 5.125% Sustainability Bond due 2024 (amortised cost) - interest accrued</w:t>
            </w:r>
          </w:p>
        </w:tc>
        <w:tc>
          <w:tcPr>
            <w:tcW w:w="1300" w:type="dxa"/>
            <w:gridSpan w:val="3"/>
            <w:tcBorders>
              <w:top w:val="nil"/>
              <w:left w:val="nil"/>
              <w:bottom w:val="nil"/>
              <w:right w:val="nil"/>
            </w:tcBorders>
            <w:shd w:val="clear" w:color="auto" w:fill="CCECFF"/>
            <w:noWrap/>
            <w:vAlign w:val="bottom"/>
            <w:hideMark/>
          </w:tcPr>
          <w:p w14:paraId="356A0F2E"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2 </w:t>
            </w:r>
          </w:p>
        </w:tc>
        <w:tc>
          <w:tcPr>
            <w:tcW w:w="1300" w:type="dxa"/>
            <w:gridSpan w:val="2"/>
            <w:tcBorders>
              <w:top w:val="nil"/>
              <w:left w:val="nil"/>
              <w:bottom w:val="nil"/>
              <w:right w:val="nil"/>
            </w:tcBorders>
            <w:shd w:val="clear" w:color="000000" w:fill="FFFFFF"/>
            <w:noWrap/>
            <w:vAlign w:val="bottom"/>
            <w:hideMark/>
          </w:tcPr>
          <w:p w14:paraId="40D53585"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2 </w:t>
            </w:r>
          </w:p>
        </w:tc>
        <w:tc>
          <w:tcPr>
            <w:tcW w:w="1280" w:type="dxa"/>
            <w:gridSpan w:val="2"/>
            <w:tcBorders>
              <w:top w:val="nil"/>
              <w:left w:val="nil"/>
              <w:bottom w:val="nil"/>
              <w:right w:val="nil"/>
            </w:tcBorders>
            <w:shd w:val="clear" w:color="000000" w:fill="FFFFFF"/>
            <w:noWrap/>
            <w:vAlign w:val="bottom"/>
            <w:hideMark/>
          </w:tcPr>
          <w:p w14:paraId="4E73190A"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2 </w:t>
            </w:r>
          </w:p>
        </w:tc>
        <w:tc>
          <w:tcPr>
            <w:tcW w:w="222" w:type="dxa"/>
            <w:gridSpan w:val="2"/>
            <w:vAlign w:val="center"/>
            <w:hideMark/>
          </w:tcPr>
          <w:p w14:paraId="309479CA"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2D0F827A" w14:textId="77777777" w:rsidTr="00D41B2D">
        <w:trPr>
          <w:trHeight w:val="278"/>
        </w:trPr>
        <w:tc>
          <w:tcPr>
            <w:tcW w:w="5020" w:type="dxa"/>
            <w:gridSpan w:val="9"/>
            <w:tcBorders>
              <w:top w:val="nil"/>
              <w:left w:val="nil"/>
              <w:bottom w:val="nil"/>
              <w:right w:val="nil"/>
            </w:tcBorders>
            <w:shd w:val="clear" w:color="000000" w:fill="FFFFFF"/>
            <w:noWrap/>
            <w:vAlign w:val="bottom"/>
            <w:hideMark/>
          </w:tcPr>
          <w:p w14:paraId="64BE145E"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£20m 11% Instalment repayment Notes (final payment 2025)</w:t>
            </w:r>
          </w:p>
        </w:tc>
        <w:tc>
          <w:tcPr>
            <w:tcW w:w="1340" w:type="dxa"/>
            <w:tcBorders>
              <w:top w:val="nil"/>
              <w:left w:val="nil"/>
              <w:bottom w:val="nil"/>
              <w:right w:val="nil"/>
            </w:tcBorders>
            <w:shd w:val="clear" w:color="000000" w:fill="FFFFFF"/>
            <w:noWrap/>
            <w:vAlign w:val="bottom"/>
            <w:hideMark/>
          </w:tcPr>
          <w:p w14:paraId="6B203A94"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00" w:type="dxa"/>
            <w:gridSpan w:val="3"/>
            <w:tcBorders>
              <w:top w:val="nil"/>
              <w:left w:val="nil"/>
              <w:bottom w:val="nil"/>
              <w:right w:val="nil"/>
            </w:tcBorders>
            <w:shd w:val="clear" w:color="auto" w:fill="CCECFF"/>
            <w:noWrap/>
            <w:vAlign w:val="bottom"/>
            <w:hideMark/>
          </w:tcPr>
          <w:p w14:paraId="4E743733"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3 </w:t>
            </w:r>
          </w:p>
        </w:tc>
        <w:tc>
          <w:tcPr>
            <w:tcW w:w="1300" w:type="dxa"/>
            <w:gridSpan w:val="2"/>
            <w:tcBorders>
              <w:top w:val="nil"/>
              <w:left w:val="nil"/>
              <w:bottom w:val="nil"/>
              <w:right w:val="nil"/>
            </w:tcBorders>
            <w:shd w:val="clear" w:color="000000" w:fill="FFFFFF"/>
            <w:noWrap/>
            <w:vAlign w:val="bottom"/>
            <w:hideMark/>
          </w:tcPr>
          <w:p w14:paraId="5B768E0C"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3 </w:t>
            </w:r>
          </w:p>
        </w:tc>
        <w:tc>
          <w:tcPr>
            <w:tcW w:w="1280" w:type="dxa"/>
            <w:gridSpan w:val="2"/>
            <w:tcBorders>
              <w:top w:val="nil"/>
              <w:left w:val="nil"/>
              <w:bottom w:val="nil"/>
              <w:right w:val="nil"/>
            </w:tcBorders>
            <w:shd w:val="clear" w:color="000000" w:fill="FFFFFF"/>
            <w:noWrap/>
            <w:vAlign w:val="bottom"/>
            <w:hideMark/>
          </w:tcPr>
          <w:p w14:paraId="6E343920"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2 </w:t>
            </w:r>
          </w:p>
        </w:tc>
        <w:tc>
          <w:tcPr>
            <w:tcW w:w="222" w:type="dxa"/>
            <w:gridSpan w:val="2"/>
            <w:vAlign w:val="center"/>
            <w:hideMark/>
          </w:tcPr>
          <w:p w14:paraId="64806780"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7E9E9AF0" w14:textId="77777777" w:rsidTr="00D41B2D">
        <w:trPr>
          <w:trHeight w:val="278"/>
        </w:trPr>
        <w:tc>
          <w:tcPr>
            <w:tcW w:w="6360" w:type="dxa"/>
            <w:gridSpan w:val="10"/>
            <w:tcBorders>
              <w:top w:val="nil"/>
              <w:left w:val="nil"/>
              <w:bottom w:val="nil"/>
              <w:right w:val="nil"/>
            </w:tcBorders>
            <w:shd w:val="clear" w:color="000000" w:fill="FFFFFF"/>
            <w:noWrap/>
            <w:vAlign w:val="bottom"/>
            <w:hideMark/>
          </w:tcPr>
          <w:p w14:paraId="470D4827" w14:textId="06B1CF7D"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£109m 11% final repayment subordinated Notes due 2025 - interest accrued</w:t>
            </w:r>
          </w:p>
        </w:tc>
        <w:tc>
          <w:tcPr>
            <w:tcW w:w="1300" w:type="dxa"/>
            <w:gridSpan w:val="3"/>
            <w:tcBorders>
              <w:top w:val="nil"/>
              <w:left w:val="nil"/>
              <w:bottom w:val="nil"/>
              <w:right w:val="nil"/>
            </w:tcBorders>
            <w:shd w:val="clear" w:color="auto" w:fill="CCECFF"/>
            <w:noWrap/>
            <w:vAlign w:val="bottom"/>
            <w:hideMark/>
          </w:tcPr>
          <w:p w14:paraId="6395E518"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7 </w:t>
            </w:r>
          </w:p>
        </w:tc>
        <w:tc>
          <w:tcPr>
            <w:tcW w:w="1300" w:type="dxa"/>
            <w:gridSpan w:val="2"/>
            <w:tcBorders>
              <w:top w:val="nil"/>
              <w:left w:val="nil"/>
              <w:bottom w:val="nil"/>
              <w:right w:val="nil"/>
            </w:tcBorders>
            <w:shd w:val="clear" w:color="000000" w:fill="FFFFFF"/>
            <w:noWrap/>
            <w:vAlign w:val="bottom"/>
            <w:hideMark/>
          </w:tcPr>
          <w:p w14:paraId="0882BD43"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6 </w:t>
            </w:r>
          </w:p>
        </w:tc>
        <w:tc>
          <w:tcPr>
            <w:tcW w:w="1280" w:type="dxa"/>
            <w:gridSpan w:val="2"/>
            <w:tcBorders>
              <w:top w:val="nil"/>
              <w:left w:val="nil"/>
              <w:bottom w:val="nil"/>
              <w:right w:val="nil"/>
            </w:tcBorders>
            <w:shd w:val="clear" w:color="000000" w:fill="FFFFFF"/>
            <w:noWrap/>
            <w:vAlign w:val="bottom"/>
            <w:hideMark/>
          </w:tcPr>
          <w:p w14:paraId="1AA36A44"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 </w:t>
            </w:r>
          </w:p>
        </w:tc>
        <w:tc>
          <w:tcPr>
            <w:tcW w:w="222" w:type="dxa"/>
            <w:gridSpan w:val="2"/>
            <w:vAlign w:val="center"/>
            <w:hideMark/>
          </w:tcPr>
          <w:p w14:paraId="0A306BA7"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4A4F123E" w14:textId="77777777" w:rsidTr="00D41B2D">
        <w:trPr>
          <w:trHeight w:val="278"/>
        </w:trPr>
        <w:tc>
          <w:tcPr>
            <w:tcW w:w="4395" w:type="dxa"/>
            <w:gridSpan w:val="7"/>
            <w:tcBorders>
              <w:top w:val="nil"/>
              <w:left w:val="nil"/>
              <w:bottom w:val="nil"/>
              <w:right w:val="nil"/>
            </w:tcBorders>
            <w:shd w:val="clear" w:color="000000" w:fill="FFFFFF"/>
            <w:noWrap/>
            <w:vAlign w:val="bottom"/>
            <w:hideMark/>
          </w:tcPr>
          <w:p w14:paraId="25AAEF03"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£400m Sustainable revolving credit facility (RCF)</w:t>
            </w:r>
          </w:p>
        </w:tc>
        <w:tc>
          <w:tcPr>
            <w:tcW w:w="625" w:type="dxa"/>
            <w:gridSpan w:val="2"/>
            <w:tcBorders>
              <w:top w:val="nil"/>
              <w:left w:val="nil"/>
              <w:bottom w:val="nil"/>
              <w:right w:val="nil"/>
            </w:tcBorders>
            <w:shd w:val="clear" w:color="000000" w:fill="FFFFFF"/>
            <w:noWrap/>
            <w:vAlign w:val="bottom"/>
            <w:hideMark/>
          </w:tcPr>
          <w:p w14:paraId="29A00974"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40" w:type="dxa"/>
            <w:tcBorders>
              <w:top w:val="nil"/>
              <w:left w:val="nil"/>
              <w:bottom w:val="nil"/>
              <w:right w:val="nil"/>
            </w:tcBorders>
            <w:shd w:val="clear" w:color="000000" w:fill="FFFFFF"/>
            <w:noWrap/>
            <w:vAlign w:val="bottom"/>
            <w:hideMark/>
          </w:tcPr>
          <w:p w14:paraId="7B9765ED"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00" w:type="dxa"/>
            <w:gridSpan w:val="3"/>
            <w:tcBorders>
              <w:top w:val="nil"/>
              <w:left w:val="nil"/>
              <w:bottom w:val="nil"/>
              <w:right w:val="nil"/>
            </w:tcBorders>
            <w:shd w:val="clear" w:color="auto" w:fill="CCECFF"/>
            <w:noWrap/>
            <w:vAlign w:val="bottom"/>
            <w:hideMark/>
          </w:tcPr>
          <w:p w14:paraId="7A2E3D8A"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40 </w:t>
            </w:r>
          </w:p>
        </w:tc>
        <w:tc>
          <w:tcPr>
            <w:tcW w:w="1300" w:type="dxa"/>
            <w:gridSpan w:val="2"/>
            <w:tcBorders>
              <w:top w:val="nil"/>
              <w:left w:val="nil"/>
              <w:bottom w:val="nil"/>
              <w:right w:val="nil"/>
            </w:tcBorders>
            <w:shd w:val="clear" w:color="000000" w:fill="FFFFFF"/>
            <w:noWrap/>
            <w:vAlign w:val="bottom"/>
            <w:hideMark/>
          </w:tcPr>
          <w:p w14:paraId="5AFBCE7E"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 </w:t>
            </w:r>
          </w:p>
        </w:tc>
        <w:tc>
          <w:tcPr>
            <w:tcW w:w="1280" w:type="dxa"/>
            <w:gridSpan w:val="2"/>
            <w:tcBorders>
              <w:top w:val="nil"/>
              <w:left w:val="nil"/>
              <w:bottom w:val="nil"/>
              <w:right w:val="nil"/>
            </w:tcBorders>
            <w:shd w:val="clear" w:color="000000" w:fill="FFFFFF"/>
            <w:noWrap/>
            <w:vAlign w:val="bottom"/>
            <w:hideMark/>
          </w:tcPr>
          <w:p w14:paraId="092D9F41"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163 </w:t>
            </w:r>
          </w:p>
        </w:tc>
        <w:tc>
          <w:tcPr>
            <w:tcW w:w="222" w:type="dxa"/>
            <w:gridSpan w:val="2"/>
            <w:vAlign w:val="center"/>
            <w:hideMark/>
          </w:tcPr>
          <w:p w14:paraId="36432E2C"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1CBB6FAE" w14:textId="77777777" w:rsidTr="00D41B2D">
        <w:trPr>
          <w:trHeight w:val="278"/>
        </w:trPr>
        <w:tc>
          <w:tcPr>
            <w:tcW w:w="2660" w:type="dxa"/>
            <w:gridSpan w:val="4"/>
            <w:tcBorders>
              <w:top w:val="nil"/>
              <w:left w:val="nil"/>
              <w:bottom w:val="single" w:sz="4" w:space="0" w:color="BFBFBF"/>
              <w:right w:val="nil"/>
            </w:tcBorders>
            <w:shd w:val="clear" w:color="000000" w:fill="FFFFFF"/>
            <w:noWrap/>
            <w:vAlign w:val="bottom"/>
            <w:hideMark/>
          </w:tcPr>
          <w:p w14:paraId="567BC092"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Corporate investor shares</w:t>
            </w:r>
          </w:p>
        </w:tc>
        <w:tc>
          <w:tcPr>
            <w:tcW w:w="1735" w:type="dxa"/>
            <w:gridSpan w:val="3"/>
            <w:tcBorders>
              <w:top w:val="nil"/>
              <w:left w:val="nil"/>
              <w:bottom w:val="single" w:sz="4" w:space="0" w:color="BFBFBF"/>
              <w:right w:val="nil"/>
            </w:tcBorders>
            <w:shd w:val="clear" w:color="000000" w:fill="FFFFFF"/>
            <w:noWrap/>
            <w:vAlign w:val="bottom"/>
            <w:hideMark/>
          </w:tcPr>
          <w:p w14:paraId="64977807" w14:textId="77777777" w:rsidR="00415B22" w:rsidRPr="00415B22" w:rsidRDefault="00415B22" w:rsidP="00415B22">
            <w:pPr>
              <w:spacing w:after="0" w:line="240" w:lineRule="auto"/>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w:t>
            </w:r>
          </w:p>
        </w:tc>
        <w:tc>
          <w:tcPr>
            <w:tcW w:w="625" w:type="dxa"/>
            <w:gridSpan w:val="2"/>
            <w:tcBorders>
              <w:top w:val="nil"/>
              <w:left w:val="nil"/>
              <w:bottom w:val="single" w:sz="4" w:space="0" w:color="BFBFBF"/>
              <w:right w:val="nil"/>
            </w:tcBorders>
            <w:shd w:val="clear" w:color="000000" w:fill="FFFFFF"/>
            <w:noWrap/>
            <w:vAlign w:val="bottom"/>
            <w:hideMark/>
          </w:tcPr>
          <w:p w14:paraId="21E4A054"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40" w:type="dxa"/>
            <w:tcBorders>
              <w:top w:val="nil"/>
              <w:left w:val="nil"/>
              <w:bottom w:val="single" w:sz="4" w:space="0" w:color="BFBFBF"/>
              <w:right w:val="nil"/>
            </w:tcBorders>
            <w:shd w:val="clear" w:color="000000" w:fill="FFFFFF"/>
            <w:noWrap/>
            <w:vAlign w:val="bottom"/>
            <w:hideMark/>
          </w:tcPr>
          <w:p w14:paraId="5AE76CB0"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00" w:type="dxa"/>
            <w:gridSpan w:val="3"/>
            <w:tcBorders>
              <w:top w:val="nil"/>
              <w:left w:val="nil"/>
              <w:bottom w:val="single" w:sz="4" w:space="0" w:color="BFBFBF"/>
              <w:right w:val="nil"/>
            </w:tcBorders>
            <w:shd w:val="clear" w:color="auto" w:fill="CCECFF"/>
            <w:noWrap/>
            <w:vAlign w:val="bottom"/>
            <w:hideMark/>
          </w:tcPr>
          <w:p w14:paraId="7B418249"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3 </w:t>
            </w:r>
          </w:p>
        </w:tc>
        <w:tc>
          <w:tcPr>
            <w:tcW w:w="1300" w:type="dxa"/>
            <w:gridSpan w:val="2"/>
            <w:tcBorders>
              <w:top w:val="nil"/>
              <w:left w:val="nil"/>
              <w:bottom w:val="single" w:sz="4" w:space="0" w:color="BFBFBF"/>
              <w:right w:val="nil"/>
            </w:tcBorders>
            <w:shd w:val="clear" w:color="000000" w:fill="FFFFFF"/>
            <w:noWrap/>
            <w:vAlign w:val="bottom"/>
            <w:hideMark/>
          </w:tcPr>
          <w:p w14:paraId="1B302F5F"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9 </w:t>
            </w:r>
          </w:p>
        </w:tc>
        <w:tc>
          <w:tcPr>
            <w:tcW w:w="1280" w:type="dxa"/>
            <w:gridSpan w:val="2"/>
            <w:tcBorders>
              <w:top w:val="nil"/>
              <w:left w:val="nil"/>
              <w:bottom w:val="single" w:sz="4" w:space="0" w:color="BFBFBF"/>
              <w:right w:val="nil"/>
            </w:tcBorders>
            <w:shd w:val="clear" w:color="000000" w:fill="FFFFFF"/>
            <w:noWrap/>
            <w:vAlign w:val="bottom"/>
            <w:hideMark/>
          </w:tcPr>
          <w:p w14:paraId="229604F0"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4 </w:t>
            </w:r>
          </w:p>
        </w:tc>
        <w:tc>
          <w:tcPr>
            <w:tcW w:w="222" w:type="dxa"/>
            <w:gridSpan w:val="2"/>
            <w:vAlign w:val="center"/>
            <w:hideMark/>
          </w:tcPr>
          <w:p w14:paraId="70483238"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5F203A0E" w14:textId="77777777" w:rsidTr="00D41B2D">
        <w:trPr>
          <w:trHeight w:val="278"/>
        </w:trPr>
        <w:tc>
          <w:tcPr>
            <w:tcW w:w="4395" w:type="dxa"/>
            <w:gridSpan w:val="7"/>
            <w:tcBorders>
              <w:top w:val="nil"/>
              <w:left w:val="nil"/>
              <w:bottom w:val="single" w:sz="4" w:space="0" w:color="BFBFBF"/>
              <w:right w:val="nil"/>
            </w:tcBorders>
            <w:shd w:val="clear" w:color="000000" w:fill="FFFFFF"/>
            <w:noWrap/>
            <w:vAlign w:val="bottom"/>
            <w:hideMark/>
          </w:tcPr>
          <w:p w14:paraId="5DB817E3" w14:textId="77777777" w:rsidR="00415B22" w:rsidRPr="00415B22" w:rsidRDefault="00415B22" w:rsidP="00415B22">
            <w:pPr>
              <w:spacing w:after="0" w:line="240" w:lineRule="auto"/>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Total (excluding lease liabilities)</w:t>
            </w:r>
          </w:p>
        </w:tc>
        <w:tc>
          <w:tcPr>
            <w:tcW w:w="625" w:type="dxa"/>
            <w:gridSpan w:val="2"/>
            <w:tcBorders>
              <w:top w:val="nil"/>
              <w:left w:val="nil"/>
              <w:bottom w:val="single" w:sz="4" w:space="0" w:color="BFBFBF"/>
              <w:right w:val="nil"/>
            </w:tcBorders>
            <w:shd w:val="clear" w:color="000000" w:fill="FFFFFF"/>
            <w:noWrap/>
            <w:vAlign w:val="bottom"/>
            <w:hideMark/>
          </w:tcPr>
          <w:p w14:paraId="7A7949B6"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40" w:type="dxa"/>
            <w:tcBorders>
              <w:top w:val="nil"/>
              <w:left w:val="nil"/>
              <w:bottom w:val="single" w:sz="4" w:space="0" w:color="BFBFBF"/>
              <w:right w:val="nil"/>
            </w:tcBorders>
            <w:shd w:val="clear" w:color="000000" w:fill="FFFFFF"/>
            <w:noWrap/>
            <w:vAlign w:val="bottom"/>
            <w:hideMark/>
          </w:tcPr>
          <w:p w14:paraId="1A0DBAB0"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00" w:type="dxa"/>
            <w:gridSpan w:val="3"/>
            <w:tcBorders>
              <w:top w:val="nil"/>
              <w:left w:val="nil"/>
              <w:bottom w:val="single" w:sz="4" w:space="0" w:color="BFBFBF"/>
              <w:right w:val="nil"/>
            </w:tcBorders>
            <w:shd w:val="clear" w:color="auto" w:fill="CCECFF"/>
            <w:noWrap/>
            <w:vAlign w:val="bottom"/>
            <w:hideMark/>
          </w:tcPr>
          <w:p w14:paraId="1BBFB740"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74 </w:t>
            </w:r>
          </w:p>
        </w:tc>
        <w:tc>
          <w:tcPr>
            <w:tcW w:w="1300" w:type="dxa"/>
            <w:gridSpan w:val="2"/>
            <w:tcBorders>
              <w:top w:val="nil"/>
              <w:left w:val="nil"/>
              <w:bottom w:val="single" w:sz="4" w:space="0" w:color="BFBFBF"/>
              <w:right w:val="nil"/>
            </w:tcBorders>
            <w:shd w:val="clear" w:color="000000" w:fill="FFFFFF"/>
            <w:noWrap/>
            <w:vAlign w:val="bottom"/>
            <w:hideMark/>
          </w:tcPr>
          <w:p w14:paraId="24E5C667"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39 </w:t>
            </w:r>
          </w:p>
        </w:tc>
        <w:tc>
          <w:tcPr>
            <w:tcW w:w="1280" w:type="dxa"/>
            <w:gridSpan w:val="2"/>
            <w:tcBorders>
              <w:top w:val="nil"/>
              <w:left w:val="nil"/>
              <w:bottom w:val="single" w:sz="4" w:space="0" w:color="BFBFBF"/>
              <w:right w:val="nil"/>
            </w:tcBorders>
            <w:shd w:val="clear" w:color="000000" w:fill="FFFFFF"/>
            <w:noWrap/>
            <w:vAlign w:val="bottom"/>
            <w:hideMark/>
          </w:tcPr>
          <w:p w14:paraId="1DF92115"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180 </w:t>
            </w:r>
          </w:p>
        </w:tc>
        <w:tc>
          <w:tcPr>
            <w:tcW w:w="222" w:type="dxa"/>
            <w:gridSpan w:val="2"/>
            <w:vAlign w:val="center"/>
            <w:hideMark/>
          </w:tcPr>
          <w:p w14:paraId="7976D6ED"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D92813" w:rsidRPr="00415B22" w14:paraId="2F65E160" w14:textId="77777777" w:rsidTr="00D41B2D">
        <w:trPr>
          <w:trHeight w:val="278"/>
        </w:trPr>
        <w:tc>
          <w:tcPr>
            <w:tcW w:w="1600" w:type="dxa"/>
            <w:tcBorders>
              <w:top w:val="nil"/>
              <w:left w:val="nil"/>
              <w:bottom w:val="nil"/>
              <w:right w:val="nil"/>
            </w:tcBorders>
            <w:shd w:val="clear" w:color="000000" w:fill="FFFFFF"/>
            <w:noWrap/>
            <w:vAlign w:val="bottom"/>
            <w:hideMark/>
          </w:tcPr>
          <w:p w14:paraId="726023F1"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Lease liabilities*</w:t>
            </w:r>
          </w:p>
        </w:tc>
        <w:tc>
          <w:tcPr>
            <w:tcW w:w="1060" w:type="dxa"/>
            <w:gridSpan w:val="3"/>
            <w:tcBorders>
              <w:top w:val="nil"/>
              <w:left w:val="nil"/>
              <w:bottom w:val="nil"/>
              <w:right w:val="nil"/>
            </w:tcBorders>
            <w:shd w:val="clear" w:color="000000" w:fill="FFFFFF"/>
            <w:noWrap/>
            <w:vAlign w:val="bottom"/>
            <w:hideMark/>
          </w:tcPr>
          <w:p w14:paraId="6D4FD43A"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 </w:t>
            </w:r>
          </w:p>
        </w:tc>
        <w:tc>
          <w:tcPr>
            <w:tcW w:w="1735" w:type="dxa"/>
            <w:gridSpan w:val="3"/>
            <w:tcBorders>
              <w:top w:val="nil"/>
              <w:left w:val="nil"/>
              <w:bottom w:val="nil"/>
              <w:right w:val="nil"/>
            </w:tcBorders>
            <w:shd w:val="clear" w:color="000000" w:fill="FFFFFF"/>
            <w:noWrap/>
            <w:vAlign w:val="bottom"/>
            <w:hideMark/>
          </w:tcPr>
          <w:p w14:paraId="2A8DA2B1"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 </w:t>
            </w:r>
          </w:p>
        </w:tc>
        <w:tc>
          <w:tcPr>
            <w:tcW w:w="625" w:type="dxa"/>
            <w:gridSpan w:val="2"/>
            <w:tcBorders>
              <w:top w:val="nil"/>
              <w:left w:val="nil"/>
              <w:bottom w:val="nil"/>
              <w:right w:val="nil"/>
            </w:tcBorders>
            <w:shd w:val="clear" w:color="000000" w:fill="FFFFFF"/>
            <w:noWrap/>
            <w:vAlign w:val="bottom"/>
            <w:hideMark/>
          </w:tcPr>
          <w:p w14:paraId="16A73041"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40" w:type="dxa"/>
            <w:tcBorders>
              <w:top w:val="nil"/>
              <w:left w:val="nil"/>
              <w:bottom w:val="nil"/>
              <w:right w:val="nil"/>
            </w:tcBorders>
            <w:shd w:val="clear" w:color="000000" w:fill="FFFFFF"/>
            <w:noWrap/>
            <w:vAlign w:val="bottom"/>
            <w:hideMark/>
          </w:tcPr>
          <w:p w14:paraId="26F2D9D3" w14:textId="77777777" w:rsidR="00415B22" w:rsidRPr="00415B22" w:rsidRDefault="00415B22" w:rsidP="00415B22">
            <w:pPr>
              <w:spacing w:after="0" w:line="240" w:lineRule="auto"/>
              <w:rPr>
                <w:rFonts w:ascii="Arial" w:eastAsia="Times New Roman" w:hAnsi="Arial" w:cs="Arial"/>
                <w:sz w:val="14"/>
                <w:szCs w:val="14"/>
                <w:lang w:eastAsia="en-GB"/>
              </w:rPr>
            </w:pPr>
            <w:r w:rsidRPr="00415B22">
              <w:rPr>
                <w:rFonts w:ascii="Arial" w:eastAsia="Times New Roman" w:hAnsi="Arial" w:cs="Arial"/>
                <w:sz w:val="14"/>
                <w:szCs w:val="14"/>
                <w:lang w:eastAsia="en-GB"/>
              </w:rPr>
              <w:t> </w:t>
            </w:r>
          </w:p>
        </w:tc>
        <w:tc>
          <w:tcPr>
            <w:tcW w:w="1300" w:type="dxa"/>
            <w:gridSpan w:val="3"/>
            <w:tcBorders>
              <w:top w:val="nil"/>
              <w:left w:val="nil"/>
              <w:bottom w:val="nil"/>
              <w:right w:val="nil"/>
            </w:tcBorders>
            <w:shd w:val="clear" w:color="auto" w:fill="CCECFF"/>
            <w:noWrap/>
            <w:vAlign w:val="bottom"/>
            <w:hideMark/>
          </w:tcPr>
          <w:p w14:paraId="4D9B2D92"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180 </w:t>
            </w:r>
          </w:p>
        </w:tc>
        <w:tc>
          <w:tcPr>
            <w:tcW w:w="1300" w:type="dxa"/>
            <w:gridSpan w:val="2"/>
            <w:tcBorders>
              <w:top w:val="nil"/>
              <w:left w:val="nil"/>
              <w:bottom w:val="nil"/>
              <w:right w:val="nil"/>
            </w:tcBorders>
            <w:shd w:val="clear" w:color="000000" w:fill="FFFFFF"/>
            <w:noWrap/>
            <w:vAlign w:val="bottom"/>
            <w:hideMark/>
          </w:tcPr>
          <w:p w14:paraId="5530238A"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197 </w:t>
            </w:r>
          </w:p>
        </w:tc>
        <w:tc>
          <w:tcPr>
            <w:tcW w:w="1280" w:type="dxa"/>
            <w:gridSpan w:val="2"/>
            <w:tcBorders>
              <w:top w:val="nil"/>
              <w:left w:val="nil"/>
              <w:bottom w:val="nil"/>
              <w:right w:val="nil"/>
            </w:tcBorders>
            <w:shd w:val="clear" w:color="000000" w:fill="FFFFFF"/>
            <w:noWrap/>
            <w:vAlign w:val="bottom"/>
            <w:hideMark/>
          </w:tcPr>
          <w:p w14:paraId="32D03562"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210 </w:t>
            </w:r>
          </w:p>
        </w:tc>
        <w:tc>
          <w:tcPr>
            <w:tcW w:w="222" w:type="dxa"/>
            <w:gridSpan w:val="2"/>
            <w:vAlign w:val="center"/>
            <w:hideMark/>
          </w:tcPr>
          <w:p w14:paraId="789CB8AE"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10D54F6F" w14:textId="77777777" w:rsidTr="00D41B2D">
        <w:trPr>
          <w:trHeight w:val="278"/>
        </w:trPr>
        <w:tc>
          <w:tcPr>
            <w:tcW w:w="5020" w:type="dxa"/>
            <w:gridSpan w:val="9"/>
            <w:tcBorders>
              <w:top w:val="single" w:sz="4" w:space="0" w:color="BFBFBF"/>
              <w:left w:val="nil"/>
              <w:bottom w:val="single" w:sz="4" w:space="0" w:color="BFBFBF"/>
              <w:right w:val="nil"/>
            </w:tcBorders>
            <w:shd w:val="clear" w:color="000000" w:fill="FFFFFF"/>
            <w:noWrap/>
            <w:vAlign w:val="bottom"/>
            <w:hideMark/>
          </w:tcPr>
          <w:p w14:paraId="7283E495" w14:textId="77777777" w:rsidR="00415B22" w:rsidRPr="00415B22" w:rsidRDefault="00415B22" w:rsidP="00415B22">
            <w:pPr>
              <w:spacing w:after="0" w:line="240" w:lineRule="auto"/>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Total Group current interest-bearing loans and borrowings</w:t>
            </w:r>
          </w:p>
        </w:tc>
        <w:tc>
          <w:tcPr>
            <w:tcW w:w="1340" w:type="dxa"/>
            <w:tcBorders>
              <w:top w:val="single" w:sz="4" w:space="0" w:color="BFBFBF"/>
              <w:left w:val="nil"/>
              <w:bottom w:val="single" w:sz="4" w:space="0" w:color="BFBFBF"/>
              <w:right w:val="nil"/>
            </w:tcBorders>
            <w:shd w:val="clear" w:color="auto" w:fill="auto"/>
            <w:noWrap/>
            <w:vAlign w:val="bottom"/>
            <w:hideMark/>
          </w:tcPr>
          <w:p w14:paraId="48E5179F" w14:textId="77777777" w:rsidR="00415B22" w:rsidRPr="00415B22" w:rsidRDefault="00415B22" w:rsidP="00415B22">
            <w:pPr>
              <w:spacing w:after="0" w:line="240" w:lineRule="auto"/>
              <w:rPr>
                <w:rFonts w:ascii="Arial" w:eastAsia="Times New Roman" w:hAnsi="Arial" w:cs="Arial"/>
                <w:sz w:val="20"/>
                <w:szCs w:val="20"/>
                <w:lang w:eastAsia="en-GB"/>
              </w:rPr>
            </w:pPr>
            <w:r w:rsidRPr="00415B22">
              <w:rPr>
                <w:rFonts w:ascii="Arial" w:eastAsia="Times New Roman" w:hAnsi="Arial" w:cs="Arial"/>
                <w:sz w:val="20"/>
                <w:szCs w:val="20"/>
                <w:lang w:eastAsia="en-GB"/>
              </w:rPr>
              <w:t> </w:t>
            </w:r>
          </w:p>
        </w:tc>
        <w:tc>
          <w:tcPr>
            <w:tcW w:w="1300" w:type="dxa"/>
            <w:gridSpan w:val="3"/>
            <w:tcBorders>
              <w:top w:val="single" w:sz="4" w:space="0" w:color="BFBFBF"/>
              <w:left w:val="nil"/>
              <w:bottom w:val="single" w:sz="4" w:space="0" w:color="BFBFBF"/>
              <w:right w:val="nil"/>
            </w:tcBorders>
            <w:shd w:val="clear" w:color="auto" w:fill="CCECFF"/>
            <w:noWrap/>
            <w:vAlign w:val="bottom"/>
            <w:hideMark/>
          </w:tcPr>
          <w:p w14:paraId="17C81365" w14:textId="77777777" w:rsidR="00415B22" w:rsidRPr="00415B22" w:rsidRDefault="00415B22" w:rsidP="00415B22">
            <w:pPr>
              <w:spacing w:after="0" w:line="240" w:lineRule="auto"/>
              <w:jc w:val="right"/>
              <w:rPr>
                <w:rFonts w:ascii="Arial" w:eastAsia="Times New Roman" w:hAnsi="Arial" w:cs="Arial"/>
                <w:b/>
                <w:bCs/>
                <w:sz w:val="15"/>
                <w:szCs w:val="15"/>
                <w:lang w:eastAsia="en-GB"/>
              </w:rPr>
            </w:pPr>
            <w:r w:rsidRPr="00415B22">
              <w:rPr>
                <w:rFonts w:ascii="Arial" w:eastAsia="Times New Roman" w:hAnsi="Arial" w:cs="Arial"/>
                <w:b/>
                <w:bCs/>
                <w:sz w:val="15"/>
                <w:szCs w:val="15"/>
                <w:lang w:eastAsia="en-GB"/>
              </w:rPr>
              <w:t xml:space="preserve">254 </w:t>
            </w:r>
          </w:p>
        </w:tc>
        <w:tc>
          <w:tcPr>
            <w:tcW w:w="1300" w:type="dxa"/>
            <w:gridSpan w:val="2"/>
            <w:tcBorders>
              <w:top w:val="single" w:sz="4" w:space="0" w:color="BFBFBF"/>
              <w:left w:val="nil"/>
              <w:bottom w:val="single" w:sz="4" w:space="0" w:color="BFBFBF"/>
              <w:right w:val="nil"/>
            </w:tcBorders>
            <w:shd w:val="clear" w:color="000000" w:fill="FFFFFF"/>
            <w:noWrap/>
            <w:vAlign w:val="bottom"/>
            <w:hideMark/>
          </w:tcPr>
          <w:p w14:paraId="719CBAFE"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236 </w:t>
            </w:r>
          </w:p>
        </w:tc>
        <w:tc>
          <w:tcPr>
            <w:tcW w:w="1280" w:type="dxa"/>
            <w:gridSpan w:val="2"/>
            <w:tcBorders>
              <w:top w:val="single" w:sz="4" w:space="0" w:color="BFBFBF"/>
              <w:left w:val="nil"/>
              <w:bottom w:val="single" w:sz="4" w:space="0" w:color="BFBFBF"/>
              <w:right w:val="nil"/>
            </w:tcBorders>
            <w:shd w:val="clear" w:color="000000" w:fill="FFFFFF"/>
            <w:noWrap/>
            <w:vAlign w:val="bottom"/>
            <w:hideMark/>
          </w:tcPr>
          <w:p w14:paraId="24BE900C" w14:textId="77777777" w:rsidR="00415B22" w:rsidRPr="00415B22" w:rsidRDefault="00415B22" w:rsidP="00415B22">
            <w:pPr>
              <w:spacing w:after="0" w:line="240" w:lineRule="auto"/>
              <w:jc w:val="right"/>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390 </w:t>
            </w:r>
          </w:p>
        </w:tc>
        <w:tc>
          <w:tcPr>
            <w:tcW w:w="222" w:type="dxa"/>
            <w:gridSpan w:val="2"/>
            <w:vAlign w:val="center"/>
            <w:hideMark/>
          </w:tcPr>
          <w:p w14:paraId="3DA8D3E2"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187D7A39" w14:textId="77777777" w:rsidTr="00D41B2D">
        <w:trPr>
          <w:trHeight w:val="255"/>
        </w:trPr>
        <w:tc>
          <w:tcPr>
            <w:tcW w:w="1600" w:type="dxa"/>
            <w:tcBorders>
              <w:top w:val="nil"/>
              <w:left w:val="nil"/>
              <w:bottom w:val="nil"/>
              <w:right w:val="nil"/>
            </w:tcBorders>
            <w:shd w:val="clear" w:color="auto" w:fill="auto"/>
            <w:noWrap/>
            <w:vAlign w:val="bottom"/>
            <w:hideMark/>
          </w:tcPr>
          <w:p w14:paraId="62550FFE" w14:textId="77777777" w:rsidR="00415B22" w:rsidRPr="00415B22" w:rsidRDefault="00415B22" w:rsidP="00415B22">
            <w:pPr>
              <w:spacing w:after="0" w:line="240" w:lineRule="auto"/>
              <w:jc w:val="right"/>
              <w:rPr>
                <w:rFonts w:ascii="Arial" w:eastAsia="Times New Roman" w:hAnsi="Arial" w:cs="Arial"/>
                <w:sz w:val="15"/>
                <w:szCs w:val="15"/>
                <w:lang w:eastAsia="en-GB"/>
              </w:rPr>
            </w:pPr>
          </w:p>
        </w:tc>
        <w:tc>
          <w:tcPr>
            <w:tcW w:w="1060" w:type="dxa"/>
            <w:gridSpan w:val="3"/>
            <w:tcBorders>
              <w:top w:val="nil"/>
              <w:left w:val="nil"/>
              <w:bottom w:val="nil"/>
              <w:right w:val="nil"/>
            </w:tcBorders>
            <w:shd w:val="clear" w:color="auto" w:fill="auto"/>
            <w:noWrap/>
            <w:vAlign w:val="bottom"/>
            <w:hideMark/>
          </w:tcPr>
          <w:p w14:paraId="745365BA"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1735" w:type="dxa"/>
            <w:gridSpan w:val="3"/>
            <w:tcBorders>
              <w:top w:val="nil"/>
              <w:left w:val="nil"/>
              <w:bottom w:val="nil"/>
              <w:right w:val="nil"/>
            </w:tcBorders>
            <w:shd w:val="clear" w:color="auto" w:fill="auto"/>
            <w:noWrap/>
            <w:vAlign w:val="bottom"/>
            <w:hideMark/>
          </w:tcPr>
          <w:p w14:paraId="3E728456"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c>
          <w:tcPr>
            <w:tcW w:w="625" w:type="dxa"/>
            <w:gridSpan w:val="2"/>
            <w:tcBorders>
              <w:top w:val="nil"/>
              <w:left w:val="nil"/>
              <w:bottom w:val="nil"/>
              <w:right w:val="nil"/>
            </w:tcBorders>
            <w:shd w:val="clear" w:color="auto" w:fill="auto"/>
            <w:noWrap/>
            <w:vAlign w:val="bottom"/>
            <w:hideMark/>
          </w:tcPr>
          <w:p w14:paraId="4A4BA325" w14:textId="77777777" w:rsidR="00415B22" w:rsidRPr="00415B22" w:rsidRDefault="00415B22" w:rsidP="00415B22">
            <w:pPr>
              <w:spacing w:after="0" w:line="240" w:lineRule="auto"/>
              <w:jc w:val="right"/>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52BE9C5B" w14:textId="77777777" w:rsidR="00415B22" w:rsidRPr="00415B22" w:rsidRDefault="00415B22" w:rsidP="00415B22">
            <w:pPr>
              <w:spacing w:after="0" w:line="240" w:lineRule="auto"/>
              <w:jc w:val="right"/>
              <w:rPr>
                <w:rFonts w:ascii="Times New Roman" w:eastAsia="Times New Roman" w:hAnsi="Times New Roman" w:cs="Times New Roman"/>
                <w:sz w:val="20"/>
                <w:szCs w:val="20"/>
                <w:lang w:eastAsia="en-GB"/>
              </w:rPr>
            </w:pPr>
          </w:p>
        </w:tc>
        <w:tc>
          <w:tcPr>
            <w:tcW w:w="1300" w:type="dxa"/>
            <w:gridSpan w:val="3"/>
            <w:tcBorders>
              <w:top w:val="nil"/>
              <w:left w:val="nil"/>
              <w:bottom w:val="nil"/>
              <w:right w:val="nil"/>
            </w:tcBorders>
            <w:shd w:val="clear" w:color="auto" w:fill="auto"/>
            <w:noWrap/>
            <w:vAlign w:val="bottom"/>
            <w:hideMark/>
          </w:tcPr>
          <w:p w14:paraId="758127B2" w14:textId="77777777" w:rsidR="00415B22" w:rsidRPr="00415B22" w:rsidRDefault="00415B22" w:rsidP="00415B22">
            <w:pPr>
              <w:spacing w:after="0" w:line="240" w:lineRule="auto"/>
              <w:jc w:val="right"/>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76DCD34B" w14:textId="77777777" w:rsidR="00415B22" w:rsidRPr="00415B22" w:rsidRDefault="00415B22" w:rsidP="00415B22">
            <w:pPr>
              <w:spacing w:after="0" w:line="240" w:lineRule="auto"/>
              <w:jc w:val="right"/>
              <w:rPr>
                <w:rFonts w:ascii="Times New Roman" w:eastAsia="Times New Roman" w:hAnsi="Times New Roman" w:cs="Times New Roman"/>
                <w:sz w:val="20"/>
                <w:szCs w:val="20"/>
                <w:lang w:eastAsia="en-GB"/>
              </w:rPr>
            </w:pPr>
          </w:p>
        </w:tc>
        <w:tc>
          <w:tcPr>
            <w:tcW w:w="1280" w:type="dxa"/>
            <w:gridSpan w:val="2"/>
            <w:tcBorders>
              <w:top w:val="nil"/>
              <w:left w:val="nil"/>
              <w:bottom w:val="nil"/>
              <w:right w:val="nil"/>
            </w:tcBorders>
            <w:shd w:val="clear" w:color="auto" w:fill="auto"/>
            <w:noWrap/>
            <w:vAlign w:val="bottom"/>
            <w:hideMark/>
          </w:tcPr>
          <w:p w14:paraId="10A2D95D" w14:textId="77777777" w:rsidR="00415B22" w:rsidRPr="00415B22" w:rsidRDefault="00415B22" w:rsidP="00415B22">
            <w:pPr>
              <w:spacing w:after="0" w:line="240" w:lineRule="auto"/>
              <w:jc w:val="right"/>
              <w:rPr>
                <w:rFonts w:ascii="Times New Roman" w:eastAsia="Times New Roman" w:hAnsi="Times New Roman" w:cs="Times New Roman"/>
                <w:sz w:val="20"/>
                <w:szCs w:val="20"/>
                <w:lang w:eastAsia="en-GB"/>
              </w:rPr>
            </w:pPr>
          </w:p>
        </w:tc>
        <w:tc>
          <w:tcPr>
            <w:tcW w:w="222" w:type="dxa"/>
            <w:gridSpan w:val="2"/>
            <w:vAlign w:val="center"/>
            <w:hideMark/>
          </w:tcPr>
          <w:p w14:paraId="527974AA"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r w:rsidR="00415B22" w:rsidRPr="00415B22" w14:paraId="089A10B0" w14:textId="77777777" w:rsidTr="00D41B2D">
        <w:trPr>
          <w:trHeight w:val="390"/>
        </w:trPr>
        <w:tc>
          <w:tcPr>
            <w:tcW w:w="10240" w:type="dxa"/>
            <w:gridSpan w:val="17"/>
            <w:tcBorders>
              <w:top w:val="nil"/>
              <w:left w:val="nil"/>
              <w:bottom w:val="nil"/>
              <w:right w:val="nil"/>
            </w:tcBorders>
            <w:shd w:val="clear" w:color="auto" w:fill="auto"/>
            <w:vAlign w:val="bottom"/>
            <w:hideMark/>
          </w:tcPr>
          <w:p w14:paraId="20C695BB" w14:textId="77777777" w:rsidR="00415B22" w:rsidRPr="00415B22" w:rsidRDefault="00415B22" w:rsidP="00415B22">
            <w:pPr>
              <w:spacing w:after="0" w:line="240" w:lineRule="auto"/>
              <w:rPr>
                <w:rFonts w:ascii="Arial" w:eastAsia="Times New Roman" w:hAnsi="Arial" w:cs="Arial"/>
                <w:sz w:val="15"/>
                <w:szCs w:val="15"/>
                <w:lang w:eastAsia="en-GB"/>
              </w:rPr>
            </w:pPr>
            <w:r w:rsidRPr="00415B22">
              <w:rPr>
                <w:rFonts w:ascii="Arial" w:eastAsia="Times New Roman" w:hAnsi="Arial" w:cs="Arial"/>
                <w:sz w:val="15"/>
                <w:szCs w:val="15"/>
                <w:lang w:eastAsia="en-GB"/>
              </w:rPr>
              <w:t xml:space="preserve">*As </w:t>
            </w:r>
            <w:proofErr w:type="gramStart"/>
            <w:r w:rsidRPr="00415B22">
              <w:rPr>
                <w:rFonts w:ascii="Arial" w:eastAsia="Times New Roman" w:hAnsi="Arial" w:cs="Arial"/>
                <w:sz w:val="15"/>
                <w:szCs w:val="15"/>
                <w:lang w:eastAsia="en-GB"/>
              </w:rPr>
              <w:t>at</w:t>
            </w:r>
            <w:proofErr w:type="gramEnd"/>
            <w:r w:rsidRPr="00415B22">
              <w:rPr>
                <w:rFonts w:ascii="Arial" w:eastAsia="Times New Roman" w:hAnsi="Arial" w:cs="Arial"/>
                <w:sz w:val="15"/>
                <w:szCs w:val="15"/>
                <w:lang w:eastAsia="en-GB"/>
              </w:rPr>
              <w:t xml:space="preserve"> 2 July 2022 a total of £167m of lease liabilities have been reclassified to liabilities held for sale; split £22m (current) and £145m (non-current). See Note 8 for further details). </w:t>
            </w:r>
          </w:p>
        </w:tc>
        <w:tc>
          <w:tcPr>
            <w:tcW w:w="222" w:type="dxa"/>
            <w:gridSpan w:val="2"/>
            <w:vAlign w:val="center"/>
            <w:hideMark/>
          </w:tcPr>
          <w:p w14:paraId="7D6AE32C" w14:textId="77777777" w:rsidR="00415B22" w:rsidRPr="00415B22" w:rsidRDefault="00415B22" w:rsidP="00415B22">
            <w:pPr>
              <w:spacing w:after="0" w:line="240" w:lineRule="auto"/>
              <w:rPr>
                <w:rFonts w:ascii="Times New Roman" w:eastAsia="Times New Roman" w:hAnsi="Times New Roman" w:cs="Times New Roman"/>
                <w:sz w:val="20"/>
                <w:szCs w:val="20"/>
                <w:lang w:eastAsia="en-GB"/>
              </w:rPr>
            </w:pPr>
          </w:p>
        </w:tc>
      </w:tr>
    </w:tbl>
    <w:p w14:paraId="5CD757A4" w14:textId="60FF0604" w:rsidR="00415B22" w:rsidRDefault="00415B22" w:rsidP="00BB64F8">
      <w:pPr>
        <w:rPr>
          <w:b/>
          <w:bCs/>
        </w:rPr>
      </w:pPr>
    </w:p>
    <w:tbl>
      <w:tblPr>
        <w:tblW w:w="10451" w:type="dxa"/>
        <w:tblLook w:val="04A0" w:firstRow="1" w:lastRow="0" w:firstColumn="1" w:lastColumn="0" w:noHBand="0" w:noVBand="1"/>
      </w:tblPr>
      <w:tblGrid>
        <w:gridCol w:w="1600"/>
        <w:gridCol w:w="1060"/>
        <w:gridCol w:w="1100"/>
        <w:gridCol w:w="1240"/>
        <w:gridCol w:w="280"/>
        <w:gridCol w:w="272"/>
        <w:gridCol w:w="272"/>
        <w:gridCol w:w="272"/>
        <w:gridCol w:w="144"/>
        <w:gridCol w:w="1240"/>
        <w:gridCol w:w="177"/>
        <w:gridCol w:w="1063"/>
        <w:gridCol w:w="211"/>
        <w:gridCol w:w="1029"/>
        <w:gridCol w:w="266"/>
        <w:gridCol w:w="225"/>
      </w:tblGrid>
      <w:tr w:rsidR="00D61C9D" w:rsidRPr="00D61C9D" w14:paraId="5B706F8C" w14:textId="77777777" w:rsidTr="00D41B2D">
        <w:trPr>
          <w:gridAfter w:val="2"/>
          <w:wAfter w:w="491" w:type="dxa"/>
          <w:trHeight w:val="255"/>
        </w:trPr>
        <w:tc>
          <w:tcPr>
            <w:tcW w:w="3760" w:type="dxa"/>
            <w:gridSpan w:val="3"/>
            <w:tcBorders>
              <w:top w:val="nil"/>
              <w:left w:val="nil"/>
              <w:bottom w:val="nil"/>
              <w:right w:val="nil"/>
            </w:tcBorders>
            <w:shd w:val="clear" w:color="auto" w:fill="auto"/>
            <w:noWrap/>
            <w:vAlign w:val="bottom"/>
            <w:hideMark/>
          </w:tcPr>
          <w:p w14:paraId="7E9E605A" w14:textId="77777777" w:rsidR="00D61C9D" w:rsidRPr="00D61C9D" w:rsidRDefault="00D61C9D" w:rsidP="00D61C9D">
            <w:pPr>
              <w:spacing w:after="0" w:line="240" w:lineRule="auto"/>
              <w:rPr>
                <w:rFonts w:ascii="Arial" w:eastAsia="Times New Roman" w:hAnsi="Arial" w:cs="Arial"/>
                <w:b/>
                <w:bCs/>
                <w:sz w:val="18"/>
                <w:szCs w:val="18"/>
                <w:lang w:eastAsia="en-GB"/>
              </w:rPr>
            </w:pPr>
            <w:r w:rsidRPr="00D61C9D">
              <w:rPr>
                <w:rFonts w:ascii="Arial" w:eastAsia="Times New Roman" w:hAnsi="Arial" w:cs="Arial"/>
                <w:b/>
                <w:bCs/>
                <w:sz w:val="18"/>
                <w:szCs w:val="18"/>
                <w:lang w:eastAsia="en-GB"/>
              </w:rPr>
              <w:t>Reconciliation of movement in net debt</w:t>
            </w:r>
          </w:p>
        </w:tc>
        <w:tc>
          <w:tcPr>
            <w:tcW w:w="1240" w:type="dxa"/>
            <w:tcBorders>
              <w:top w:val="nil"/>
              <w:left w:val="nil"/>
              <w:bottom w:val="nil"/>
              <w:right w:val="nil"/>
            </w:tcBorders>
            <w:shd w:val="clear" w:color="auto" w:fill="auto"/>
            <w:noWrap/>
            <w:vAlign w:val="bottom"/>
            <w:hideMark/>
          </w:tcPr>
          <w:p w14:paraId="1CE35B1A" w14:textId="77777777" w:rsidR="00D61C9D" w:rsidRPr="00D61C9D" w:rsidRDefault="00D61C9D" w:rsidP="00D61C9D">
            <w:pPr>
              <w:spacing w:after="0" w:line="240" w:lineRule="auto"/>
              <w:rPr>
                <w:rFonts w:ascii="Arial" w:eastAsia="Times New Roman" w:hAnsi="Arial" w:cs="Arial"/>
                <w:b/>
                <w:bCs/>
                <w:sz w:val="18"/>
                <w:szCs w:val="18"/>
                <w:lang w:eastAsia="en-GB"/>
              </w:rPr>
            </w:pPr>
          </w:p>
        </w:tc>
        <w:tc>
          <w:tcPr>
            <w:tcW w:w="1240" w:type="dxa"/>
            <w:gridSpan w:val="5"/>
            <w:tcBorders>
              <w:top w:val="nil"/>
              <w:left w:val="nil"/>
              <w:bottom w:val="nil"/>
              <w:right w:val="nil"/>
            </w:tcBorders>
            <w:shd w:val="clear" w:color="auto" w:fill="auto"/>
            <w:noWrap/>
            <w:vAlign w:val="bottom"/>
            <w:hideMark/>
          </w:tcPr>
          <w:p w14:paraId="592AB867" w14:textId="77777777" w:rsidR="00D61C9D" w:rsidRPr="00D61C9D" w:rsidRDefault="00D61C9D" w:rsidP="00D61C9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56F13DF4" w14:textId="77777777" w:rsidR="00D61C9D" w:rsidRPr="00D61C9D" w:rsidRDefault="00D61C9D" w:rsidP="00D61C9D">
            <w:pPr>
              <w:spacing w:after="0" w:line="240" w:lineRule="auto"/>
              <w:rPr>
                <w:rFonts w:ascii="Times New Roman" w:eastAsia="Times New Roman" w:hAnsi="Times New Roman" w:cs="Times New Roman"/>
                <w:sz w:val="20"/>
                <w:szCs w:val="20"/>
                <w:lang w:eastAsia="en-GB"/>
              </w:rPr>
            </w:pPr>
          </w:p>
        </w:tc>
        <w:tc>
          <w:tcPr>
            <w:tcW w:w="1240" w:type="dxa"/>
            <w:gridSpan w:val="2"/>
            <w:tcBorders>
              <w:top w:val="nil"/>
              <w:left w:val="nil"/>
              <w:bottom w:val="nil"/>
              <w:right w:val="nil"/>
            </w:tcBorders>
            <w:shd w:val="clear" w:color="auto" w:fill="auto"/>
            <w:noWrap/>
            <w:vAlign w:val="bottom"/>
            <w:hideMark/>
          </w:tcPr>
          <w:p w14:paraId="7FE2A11D" w14:textId="77777777" w:rsidR="00D61C9D" w:rsidRPr="00D61C9D" w:rsidRDefault="00D61C9D" w:rsidP="00D61C9D">
            <w:pPr>
              <w:spacing w:after="0" w:line="240" w:lineRule="auto"/>
              <w:rPr>
                <w:rFonts w:ascii="Times New Roman" w:eastAsia="Times New Roman" w:hAnsi="Times New Roman" w:cs="Times New Roman"/>
                <w:sz w:val="20"/>
                <w:szCs w:val="20"/>
                <w:lang w:eastAsia="en-GB"/>
              </w:rPr>
            </w:pPr>
          </w:p>
        </w:tc>
        <w:tc>
          <w:tcPr>
            <w:tcW w:w="1240" w:type="dxa"/>
            <w:gridSpan w:val="2"/>
            <w:tcBorders>
              <w:top w:val="nil"/>
              <w:left w:val="nil"/>
              <w:bottom w:val="nil"/>
              <w:right w:val="nil"/>
            </w:tcBorders>
            <w:shd w:val="clear" w:color="auto" w:fill="auto"/>
            <w:noWrap/>
            <w:vAlign w:val="bottom"/>
            <w:hideMark/>
          </w:tcPr>
          <w:p w14:paraId="344BCFD2" w14:textId="77777777" w:rsidR="00D61C9D" w:rsidRPr="00D61C9D" w:rsidRDefault="00D61C9D" w:rsidP="00D61C9D">
            <w:pPr>
              <w:spacing w:after="0" w:line="240" w:lineRule="auto"/>
              <w:rPr>
                <w:rFonts w:ascii="Times New Roman" w:eastAsia="Times New Roman" w:hAnsi="Times New Roman" w:cs="Times New Roman"/>
                <w:sz w:val="20"/>
                <w:szCs w:val="20"/>
                <w:lang w:eastAsia="en-GB"/>
              </w:rPr>
            </w:pPr>
          </w:p>
        </w:tc>
      </w:tr>
      <w:tr w:rsidR="00D61C9D" w:rsidRPr="00D61C9D" w14:paraId="1CDE5047" w14:textId="77777777" w:rsidTr="00D41B2D">
        <w:trPr>
          <w:gridAfter w:val="2"/>
          <w:wAfter w:w="491" w:type="dxa"/>
          <w:trHeight w:val="300"/>
        </w:trPr>
        <w:tc>
          <w:tcPr>
            <w:tcW w:w="9960" w:type="dxa"/>
            <w:gridSpan w:val="14"/>
            <w:tcBorders>
              <w:top w:val="nil"/>
              <w:left w:val="nil"/>
              <w:bottom w:val="nil"/>
              <w:right w:val="nil"/>
            </w:tcBorders>
            <w:shd w:val="clear" w:color="auto" w:fill="auto"/>
            <w:vAlign w:val="bottom"/>
            <w:hideMark/>
          </w:tcPr>
          <w:p w14:paraId="037439E9"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Net debt is a measure that shows the amount we owe to banks and other external financial institutions less our cash and short-term deposits. </w:t>
            </w:r>
          </w:p>
        </w:tc>
      </w:tr>
      <w:tr w:rsidR="00D61C9D" w:rsidRPr="00D61C9D" w14:paraId="344262A3" w14:textId="77777777" w:rsidTr="00D41B2D">
        <w:trPr>
          <w:gridAfter w:val="2"/>
          <w:wAfter w:w="491" w:type="dxa"/>
          <w:trHeight w:val="74"/>
        </w:trPr>
        <w:tc>
          <w:tcPr>
            <w:tcW w:w="1600" w:type="dxa"/>
            <w:tcBorders>
              <w:top w:val="nil"/>
              <w:left w:val="nil"/>
              <w:bottom w:val="single" w:sz="4" w:space="0" w:color="BFBFBF"/>
              <w:right w:val="nil"/>
            </w:tcBorders>
            <w:shd w:val="clear" w:color="auto" w:fill="auto"/>
            <w:noWrap/>
            <w:vAlign w:val="bottom"/>
            <w:hideMark/>
          </w:tcPr>
          <w:p w14:paraId="17BA62DA" w14:textId="77777777" w:rsidR="00D61C9D" w:rsidRPr="00D61C9D" w:rsidRDefault="00D61C9D" w:rsidP="00D61C9D">
            <w:pPr>
              <w:spacing w:after="0" w:line="240" w:lineRule="auto"/>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 </w:t>
            </w:r>
          </w:p>
        </w:tc>
        <w:tc>
          <w:tcPr>
            <w:tcW w:w="1060" w:type="dxa"/>
            <w:tcBorders>
              <w:top w:val="nil"/>
              <w:left w:val="nil"/>
              <w:bottom w:val="single" w:sz="4" w:space="0" w:color="BFBFBF"/>
              <w:right w:val="nil"/>
            </w:tcBorders>
            <w:shd w:val="clear" w:color="auto" w:fill="auto"/>
            <w:noWrap/>
            <w:vAlign w:val="bottom"/>
            <w:hideMark/>
          </w:tcPr>
          <w:p w14:paraId="646EFB5E" w14:textId="42168457" w:rsidR="00D61C9D" w:rsidRPr="00D61C9D" w:rsidRDefault="00D61C9D" w:rsidP="00D61C9D">
            <w:pPr>
              <w:spacing w:after="0" w:line="240" w:lineRule="auto"/>
              <w:rPr>
                <w:rFonts w:ascii="Arial" w:eastAsia="Times New Roman" w:hAnsi="Arial" w:cs="Arial"/>
                <w:b/>
                <w:bCs/>
                <w:sz w:val="28"/>
                <w:szCs w:val="28"/>
                <w:lang w:eastAsia="en-GB"/>
              </w:rPr>
            </w:pPr>
          </w:p>
        </w:tc>
        <w:tc>
          <w:tcPr>
            <w:tcW w:w="1100" w:type="dxa"/>
            <w:tcBorders>
              <w:top w:val="nil"/>
              <w:left w:val="nil"/>
              <w:bottom w:val="single" w:sz="4" w:space="0" w:color="BFBFBF"/>
              <w:right w:val="nil"/>
            </w:tcBorders>
            <w:shd w:val="clear" w:color="auto" w:fill="auto"/>
            <w:noWrap/>
            <w:vAlign w:val="bottom"/>
            <w:hideMark/>
          </w:tcPr>
          <w:p w14:paraId="10AE2B81" w14:textId="77777777" w:rsidR="00D61C9D" w:rsidRPr="00D61C9D" w:rsidRDefault="00D61C9D" w:rsidP="00D61C9D">
            <w:pPr>
              <w:spacing w:after="0" w:line="240" w:lineRule="auto"/>
              <w:rPr>
                <w:rFonts w:ascii="Arial" w:eastAsia="Times New Roman" w:hAnsi="Arial" w:cs="Arial"/>
                <w:b/>
                <w:bCs/>
                <w:sz w:val="28"/>
                <w:szCs w:val="28"/>
                <w:lang w:eastAsia="en-GB"/>
              </w:rPr>
            </w:pPr>
            <w:r w:rsidRPr="00D61C9D">
              <w:rPr>
                <w:rFonts w:ascii="Arial" w:eastAsia="Times New Roman" w:hAnsi="Arial" w:cs="Arial"/>
                <w:b/>
                <w:bCs/>
                <w:sz w:val="28"/>
                <w:szCs w:val="28"/>
                <w:lang w:eastAsia="en-GB"/>
              </w:rPr>
              <w:t> </w:t>
            </w:r>
          </w:p>
        </w:tc>
        <w:tc>
          <w:tcPr>
            <w:tcW w:w="1240" w:type="dxa"/>
            <w:tcBorders>
              <w:top w:val="nil"/>
              <w:left w:val="nil"/>
              <w:bottom w:val="single" w:sz="4" w:space="0" w:color="BFBFBF"/>
              <w:right w:val="nil"/>
            </w:tcBorders>
            <w:shd w:val="clear" w:color="auto" w:fill="auto"/>
            <w:noWrap/>
            <w:vAlign w:val="bottom"/>
            <w:hideMark/>
          </w:tcPr>
          <w:p w14:paraId="04C7ABFD" w14:textId="77777777" w:rsidR="00D61C9D" w:rsidRPr="00D61C9D" w:rsidRDefault="00D61C9D" w:rsidP="00D61C9D">
            <w:pPr>
              <w:spacing w:after="0" w:line="240" w:lineRule="auto"/>
              <w:rPr>
                <w:rFonts w:ascii="Arial" w:eastAsia="Times New Roman" w:hAnsi="Arial" w:cs="Arial"/>
                <w:b/>
                <w:bCs/>
                <w:sz w:val="28"/>
                <w:szCs w:val="28"/>
                <w:lang w:eastAsia="en-GB"/>
              </w:rPr>
            </w:pPr>
            <w:r w:rsidRPr="00D61C9D">
              <w:rPr>
                <w:rFonts w:ascii="Arial" w:eastAsia="Times New Roman" w:hAnsi="Arial" w:cs="Arial"/>
                <w:b/>
                <w:bCs/>
                <w:sz w:val="28"/>
                <w:szCs w:val="28"/>
                <w:lang w:eastAsia="en-GB"/>
              </w:rPr>
              <w:t> </w:t>
            </w:r>
          </w:p>
        </w:tc>
        <w:tc>
          <w:tcPr>
            <w:tcW w:w="1240" w:type="dxa"/>
            <w:gridSpan w:val="5"/>
            <w:tcBorders>
              <w:top w:val="nil"/>
              <w:left w:val="nil"/>
              <w:bottom w:val="single" w:sz="4" w:space="0" w:color="BFBFBF"/>
              <w:right w:val="nil"/>
            </w:tcBorders>
            <w:shd w:val="clear" w:color="auto" w:fill="auto"/>
            <w:noWrap/>
            <w:vAlign w:val="bottom"/>
            <w:hideMark/>
          </w:tcPr>
          <w:p w14:paraId="7B1DBE41" w14:textId="77777777" w:rsidR="00D61C9D" w:rsidRPr="00D61C9D" w:rsidRDefault="00D61C9D" w:rsidP="00D61C9D">
            <w:pPr>
              <w:spacing w:after="0" w:line="240" w:lineRule="auto"/>
              <w:rPr>
                <w:rFonts w:ascii="Arial" w:eastAsia="Times New Roman" w:hAnsi="Arial" w:cs="Arial"/>
                <w:b/>
                <w:bCs/>
                <w:sz w:val="28"/>
                <w:szCs w:val="28"/>
                <w:lang w:eastAsia="en-GB"/>
              </w:rPr>
            </w:pPr>
            <w:r w:rsidRPr="00D61C9D">
              <w:rPr>
                <w:rFonts w:ascii="Arial" w:eastAsia="Times New Roman" w:hAnsi="Arial" w:cs="Arial"/>
                <w:b/>
                <w:bCs/>
                <w:sz w:val="28"/>
                <w:szCs w:val="28"/>
                <w:lang w:eastAsia="en-GB"/>
              </w:rPr>
              <w:t> </w:t>
            </w:r>
          </w:p>
        </w:tc>
        <w:tc>
          <w:tcPr>
            <w:tcW w:w="1240" w:type="dxa"/>
            <w:tcBorders>
              <w:top w:val="nil"/>
              <w:left w:val="nil"/>
              <w:bottom w:val="single" w:sz="4" w:space="0" w:color="BFBFBF"/>
              <w:right w:val="nil"/>
            </w:tcBorders>
            <w:shd w:val="clear" w:color="auto" w:fill="auto"/>
            <w:noWrap/>
            <w:vAlign w:val="bottom"/>
            <w:hideMark/>
          </w:tcPr>
          <w:p w14:paraId="3F18D067" w14:textId="77777777" w:rsidR="00D61C9D" w:rsidRPr="00D61C9D" w:rsidRDefault="00D61C9D" w:rsidP="00D61C9D">
            <w:pPr>
              <w:spacing w:after="0" w:line="240" w:lineRule="auto"/>
              <w:rPr>
                <w:rFonts w:ascii="Arial" w:eastAsia="Times New Roman" w:hAnsi="Arial" w:cs="Arial"/>
                <w:b/>
                <w:bCs/>
                <w:sz w:val="28"/>
                <w:szCs w:val="28"/>
                <w:lang w:eastAsia="en-GB"/>
              </w:rPr>
            </w:pPr>
            <w:r w:rsidRPr="00D61C9D">
              <w:rPr>
                <w:rFonts w:ascii="Arial" w:eastAsia="Times New Roman" w:hAnsi="Arial" w:cs="Arial"/>
                <w:b/>
                <w:bCs/>
                <w:sz w:val="28"/>
                <w:szCs w:val="28"/>
                <w:lang w:eastAsia="en-GB"/>
              </w:rPr>
              <w:t> </w:t>
            </w:r>
          </w:p>
        </w:tc>
        <w:tc>
          <w:tcPr>
            <w:tcW w:w="1240" w:type="dxa"/>
            <w:gridSpan w:val="2"/>
            <w:tcBorders>
              <w:top w:val="nil"/>
              <w:left w:val="nil"/>
              <w:bottom w:val="single" w:sz="4" w:space="0" w:color="BFBFBF"/>
              <w:right w:val="nil"/>
            </w:tcBorders>
            <w:shd w:val="clear" w:color="auto" w:fill="auto"/>
            <w:noWrap/>
            <w:vAlign w:val="bottom"/>
            <w:hideMark/>
          </w:tcPr>
          <w:p w14:paraId="35FFE4F2" w14:textId="77777777" w:rsidR="00D61C9D" w:rsidRPr="00D61C9D" w:rsidRDefault="00D61C9D" w:rsidP="00D61C9D">
            <w:pPr>
              <w:spacing w:after="0" w:line="240" w:lineRule="auto"/>
              <w:rPr>
                <w:rFonts w:ascii="Arial" w:eastAsia="Times New Roman" w:hAnsi="Arial" w:cs="Arial"/>
                <w:b/>
                <w:bCs/>
                <w:sz w:val="28"/>
                <w:szCs w:val="28"/>
                <w:lang w:eastAsia="en-GB"/>
              </w:rPr>
            </w:pPr>
            <w:r w:rsidRPr="00D61C9D">
              <w:rPr>
                <w:rFonts w:ascii="Arial" w:eastAsia="Times New Roman" w:hAnsi="Arial" w:cs="Arial"/>
                <w:b/>
                <w:bCs/>
                <w:sz w:val="28"/>
                <w:szCs w:val="28"/>
                <w:lang w:eastAsia="en-GB"/>
              </w:rPr>
              <w:t> </w:t>
            </w:r>
          </w:p>
        </w:tc>
        <w:tc>
          <w:tcPr>
            <w:tcW w:w="1240" w:type="dxa"/>
            <w:gridSpan w:val="2"/>
            <w:tcBorders>
              <w:top w:val="nil"/>
              <w:left w:val="nil"/>
              <w:bottom w:val="single" w:sz="4" w:space="0" w:color="BFBFBF"/>
              <w:right w:val="nil"/>
            </w:tcBorders>
            <w:shd w:val="clear" w:color="auto" w:fill="auto"/>
            <w:noWrap/>
            <w:vAlign w:val="bottom"/>
            <w:hideMark/>
          </w:tcPr>
          <w:p w14:paraId="34FEF679" w14:textId="77777777" w:rsidR="00D61C9D" w:rsidRPr="00D61C9D" w:rsidRDefault="00D61C9D" w:rsidP="00D61C9D">
            <w:pPr>
              <w:spacing w:after="0" w:line="240" w:lineRule="auto"/>
              <w:jc w:val="right"/>
              <w:rPr>
                <w:rFonts w:ascii="Arial" w:eastAsia="Times New Roman" w:hAnsi="Arial" w:cs="Arial"/>
                <w:sz w:val="20"/>
                <w:szCs w:val="20"/>
                <w:lang w:eastAsia="en-GB"/>
              </w:rPr>
            </w:pPr>
            <w:r w:rsidRPr="00D61C9D">
              <w:rPr>
                <w:rFonts w:ascii="Arial" w:eastAsia="Times New Roman" w:hAnsi="Arial" w:cs="Arial"/>
                <w:sz w:val="20"/>
                <w:szCs w:val="20"/>
                <w:lang w:eastAsia="en-GB"/>
              </w:rPr>
              <w:t> </w:t>
            </w:r>
          </w:p>
        </w:tc>
      </w:tr>
      <w:tr w:rsidR="00C51D4F" w:rsidRPr="00D61C9D" w14:paraId="251C6F99" w14:textId="77777777" w:rsidTr="00D41B2D">
        <w:trPr>
          <w:gridAfter w:val="2"/>
          <w:wAfter w:w="491" w:type="dxa"/>
          <w:trHeight w:val="300"/>
        </w:trPr>
        <w:tc>
          <w:tcPr>
            <w:tcW w:w="3760" w:type="dxa"/>
            <w:gridSpan w:val="3"/>
            <w:vMerge w:val="restart"/>
            <w:tcBorders>
              <w:top w:val="single" w:sz="4" w:space="0" w:color="BFBFBF"/>
              <w:left w:val="single" w:sz="4" w:space="0" w:color="BFBFBF"/>
              <w:bottom w:val="single" w:sz="4" w:space="0" w:color="BFBFBF"/>
              <w:right w:val="nil"/>
            </w:tcBorders>
            <w:shd w:val="clear" w:color="auto" w:fill="auto"/>
            <w:noWrap/>
            <w:vAlign w:val="center"/>
            <w:hideMark/>
          </w:tcPr>
          <w:p w14:paraId="71CEE985" w14:textId="77777777" w:rsidR="00C51D4F" w:rsidRPr="00D61C9D" w:rsidRDefault="00C51D4F" w:rsidP="00C51D4F">
            <w:pPr>
              <w:spacing w:after="0" w:line="240" w:lineRule="auto"/>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For the 26 weeks ended 2 July 2022 (unaudited)</w:t>
            </w:r>
          </w:p>
        </w:tc>
        <w:tc>
          <w:tcPr>
            <w:tcW w:w="1240" w:type="dxa"/>
            <w:tcBorders>
              <w:top w:val="nil"/>
              <w:left w:val="nil"/>
              <w:bottom w:val="nil"/>
              <w:right w:val="nil"/>
            </w:tcBorders>
            <w:shd w:val="clear" w:color="auto" w:fill="auto"/>
            <w:vAlign w:val="bottom"/>
            <w:hideMark/>
          </w:tcPr>
          <w:p w14:paraId="29E17925" w14:textId="77777777" w:rsidR="00C51D4F" w:rsidRPr="00D61C9D" w:rsidRDefault="00C51D4F" w:rsidP="00C51D4F">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 </w:t>
            </w:r>
          </w:p>
        </w:tc>
        <w:tc>
          <w:tcPr>
            <w:tcW w:w="2480" w:type="dxa"/>
            <w:gridSpan w:val="6"/>
            <w:tcBorders>
              <w:top w:val="single" w:sz="4" w:space="0" w:color="BFBFBF"/>
              <w:left w:val="nil"/>
              <w:bottom w:val="nil"/>
              <w:right w:val="nil"/>
            </w:tcBorders>
            <w:shd w:val="clear" w:color="auto" w:fill="auto"/>
            <w:vAlign w:val="center"/>
            <w:hideMark/>
          </w:tcPr>
          <w:p w14:paraId="49F15496" w14:textId="77777777" w:rsidR="00C51D4F" w:rsidRPr="00D61C9D" w:rsidRDefault="00C51D4F" w:rsidP="00C51D4F">
            <w:pPr>
              <w:spacing w:after="0" w:line="240" w:lineRule="auto"/>
              <w:jc w:val="center"/>
              <w:rPr>
                <w:rFonts w:ascii="Arial" w:eastAsia="Times New Roman" w:hAnsi="Arial" w:cs="Arial"/>
                <w:b/>
                <w:bCs/>
                <w:sz w:val="14"/>
                <w:szCs w:val="14"/>
                <w:u w:val="single"/>
                <w:lang w:eastAsia="en-GB"/>
              </w:rPr>
            </w:pPr>
            <w:r w:rsidRPr="00D61C9D">
              <w:rPr>
                <w:rFonts w:ascii="Arial" w:eastAsia="Times New Roman" w:hAnsi="Arial" w:cs="Arial"/>
                <w:b/>
                <w:bCs/>
                <w:sz w:val="14"/>
                <w:szCs w:val="14"/>
                <w:lang w:eastAsia="en-GB"/>
              </w:rPr>
              <w:t xml:space="preserve">              </w:t>
            </w:r>
            <w:r w:rsidRPr="00D61C9D">
              <w:rPr>
                <w:rFonts w:ascii="Arial" w:eastAsia="Times New Roman" w:hAnsi="Arial" w:cs="Arial"/>
                <w:b/>
                <w:bCs/>
                <w:sz w:val="14"/>
                <w:szCs w:val="14"/>
                <w:u w:val="single"/>
                <w:lang w:eastAsia="en-GB"/>
              </w:rPr>
              <w:t xml:space="preserve"> Non-cash movements</w:t>
            </w:r>
          </w:p>
        </w:tc>
        <w:tc>
          <w:tcPr>
            <w:tcW w:w="1240" w:type="dxa"/>
            <w:gridSpan w:val="2"/>
            <w:tcBorders>
              <w:top w:val="nil"/>
              <w:left w:val="nil"/>
              <w:bottom w:val="nil"/>
              <w:right w:val="nil"/>
            </w:tcBorders>
            <w:shd w:val="clear" w:color="auto" w:fill="auto"/>
            <w:vAlign w:val="center"/>
            <w:hideMark/>
          </w:tcPr>
          <w:p w14:paraId="4A46D7A8" w14:textId="2AE2B12B" w:rsidR="00C51D4F" w:rsidRPr="00D61C9D" w:rsidRDefault="00C51D4F" w:rsidP="00C51D4F">
            <w:pPr>
              <w:spacing w:after="0" w:line="240" w:lineRule="auto"/>
              <w:jc w:val="right"/>
              <w:rPr>
                <w:rFonts w:ascii="Arial" w:eastAsia="Times New Roman" w:hAnsi="Arial" w:cs="Arial"/>
                <w:b/>
                <w:bCs/>
                <w:sz w:val="14"/>
                <w:szCs w:val="14"/>
                <w:u w:val="single"/>
                <w:lang w:eastAsia="en-GB"/>
              </w:rPr>
            </w:pPr>
            <w:r w:rsidRPr="00D61C9D">
              <w:rPr>
                <w:rFonts w:ascii="Arial" w:eastAsia="Times New Roman" w:hAnsi="Arial" w:cs="Arial"/>
                <w:b/>
                <w:bCs/>
                <w:sz w:val="14"/>
                <w:szCs w:val="14"/>
                <w:u w:val="single"/>
                <w:lang w:eastAsia="en-GB"/>
              </w:rPr>
              <w:t>Cash flow</w:t>
            </w:r>
          </w:p>
        </w:tc>
        <w:tc>
          <w:tcPr>
            <w:tcW w:w="1240" w:type="dxa"/>
            <w:gridSpan w:val="2"/>
            <w:tcBorders>
              <w:top w:val="nil"/>
              <w:left w:val="nil"/>
              <w:bottom w:val="nil"/>
              <w:right w:val="single" w:sz="4" w:space="0" w:color="BFBFBF"/>
            </w:tcBorders>
            <w:shd w:val="clear" w:color="auto" w:fill="auto"/>
            <w:vAlign w:val="bottom"/>
            <w:hideMark/>
          </w:tcPr>
          <w:p w14:paraId="1ACC27B8" w14:textId="77777777" w:rsidR="00C51D4F" w:rsidRPr="00D61C9D" w:rsidRDefault="00C51D4F" w:rsidP="00C51D4F">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 </w:t>
            </w:r>
          </w:p>
        </w:tc>
      </w:tr>
      <w:tr w:rsidR="00D61C9D" w:rsidRPr="00D61C9D" w14:paraId="38D53E0D" w14:textId="77777777" w:rsidTr="00D41B2D">
        <w:trPr>
          <w:gridAfter w:val="2"/>
          <w:wAfter w:w="491" w:type="dxa"/>
          <w:trHeight w:val="255"/>
        </w:trPr>
        <w:tc>
          <w:tcPr>
            <w:tcW w:w="3760" w:type="dxa"/>
            <w:gridSpan w:val="3"/>
            <w:vMerge/>
            <w:tcBorders>
              <w:top w:val="single" w:sz="4" w:space="0" w:color="BFBFBF"/>
              <w:left w:val="single" w:sz="4" w:space="0" w:color="BFBFBF"/>
              <w:bottom w:val="single" w:sz="4" w:space="0" w:color="BFBFBF"/>
              <w:right w:val="nil"/>
            </w:tcBorders>
            <w:shd w:val="clear" w:color="auto" w:fill="auto"/>
            <w:vAlign w:val="center"/>
            <w:hideMark/>
          </w:tcPr>
          <w:p w14:paraId="4EF20B6F" w14:textId="77777777" w:rsidR="00D61C9D" w:rsidRPr="00D61C9D" w:rsidRDefault="00D61C9D" w:rsidP="00D61C9D">
            <w:pPr>
              <w:spacing w:after="0" w:line="240" w:lineRule="auto"/>
              <w:rPr>
                <w:rFonts w:ascii="Arial" w:eastAsia="Times New Roman" w:hAnsi="Arial" w:cs="Arial"/>
                <w:b/>
                <w:bCs/>
                <w:sz w:val="14"/>
                <w:szCs w:val="14"/>
                <w:lang w:eastAsia="en-GB"/>
              </w:rPr>
            </w:pPr>
          </w:p>
        </w:tc>
        <w:tc>
          <w:tcPr>
            <w:tcW w:w="1240" w:type="dxa"/>
            <w:tcBorders>
              <w:top w:val="nil"/>
              <w:left w:val="nil"/>
              <w:bottom w:val="nil"/>
              <w:right w:val="nil"/>
            </w:tcBorders>
            <w:shd w:val="clear" w:color="auto" w:fill="auto"/>
            <w:vAlign w:val="bottom"/>
            <w:hideMark/>
          </w:tcPr>
          <w:p w14:paraId="36AD8CC6"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Start of period</w:t>
            </w:r>
          </w:p>
        </w:tc>
        <w:tc>
          <w:tcPr>
            <w:tcW w:w="1240" w:type="dxa"/>
            <w:gridSpan w:val="5"/>
            <w:tcBorders>
              <w:top w:val="nil"/>
              <w:left w:val="nil"/>
              <w:bottom w:val="nil"/>
              <w:right w:val="nil"/>
            </w:tcBorders>
            <w:shd w:val="clear" w:color="auto" w:fill="auto"/>
            <w:vAlign w:val="bottom"/>
            <w:hideMark/>
          </w:tcPr>
          <w:p w14:paraId="3AFE4D8A"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New leases</w:t>
            </w:r>
          </w:p>
        </w:tc>
        <w:tc>
          <w:tcPr>
            <w:tcW w:w="1240" w:type="dxa"/>
            <w:tcBorders>
              <w:top w:val="nil"/>
              <w:left w:val="nil"/>
              <w:bottom w:val="nil"/>
              <w:right w:val="nil"/>
            </w:tcBorders>
            <w:shd w:val="clear" w:color="auto" w:fill="auto"/>
            <w:vAlign w:val="bottom"/>
            <w:hideMark/>
          </w:tcPr>
          <w:p w14:paraId="48F17728"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Other</w:t>
            </w:r>
          </w:p>
        </w:tc>
        <w:tc>
          <w:tcPr>
            <w:tcW w:w="1240" w:type="dxa"/>
            <w:gridSpan w:val="2"/>
            <w:tcBorders>
              <w:top w:val="nil"/>
              <w:left w:val="nil"/>
              <w:bottom w:val="nil"/>
              <w:right w:val="nil"/>
            </w:tcBorders>
            <w:shd w:val="clear" w:color="auto" w:fill="auto"/>
            <w:vAlign w:val="bottom"/>
            <w:hideMark/>
          </w:tcPr>
          <w:p w14:paraId="72751311"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 </w:t>
            </w:r>
          </w:p>
        </w:tc>
        <w:tc>
          <w:tcPr>
            <w:tcW w:w="1240" w:type="dxa"/>
            <w:gridSpan w:val="2"/>
            <w:tcBorders>
              <w:top w:val="nil"/>
              <w:left w:val="nil"/>
              <w:bottom w:val="nil"/>
              <w:right w:val="single" w:sz="4" w:space="0" w:color="BFBFBF"/>
            </w:tcBorders>
            <w:shd w:val="clear" w:color="auto" w:fill="auto"/>
            <w:vAlign w:val="bottom"/>
            <w:hideMark/>
          </w:tcPr>
          <w:p w14:paraId="106975B4"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End of period</w:t>
            </w:r>
          </w:p>
        </w:tc>
      </w:tr>
      <w:tr w:rsidR="00D61C9D" w:rsidRPr="00D61C9D" w14:paraId="0D14C3E7" w14:textId="77777777" w:rsidTr="00D41B2D">
        <w:trPr>
          <w:gridAfter w:val="2"/>
          <w:wAfter w:w="491" w:type="dxa"/>
          <w:trHeight w:val="255"/>
        </w:trPr>
        <w:tc>
          <w:tcPr>
            <w:tcW w:w="3760" w:type="dxa"/>
            <w:gridSpan w:val="3"/>
            <w:vMerge/>
            <w:tcBorders>
              <w:top w:val="single" w:sz="4" w:space="0" w:color="BFBFBF"/>
              <w:left w:val="single" w:sz="4" w:space="0" w:color="BFBFBF"/>
              <w:bottom w:val="single" w:sz="4" w:space="0" w:color="BFBFBF"/>
              <w:right w:val="nil"/>
            </w:tcBorders>
            <w:shd w:val="clear" w:color="auto" w:fill="auto"/>
            <w:vAlign w:val="center"/>
            <w:hideMark/>
          </w:tcPr>
          <w:p w14:paraId="67BA5362" w14:textId="77777777" w:rsidR="00D61C9D" w:rsidRPr="00D61C9D" w:rsidRDefault="00D61C9D" w:rsidP="00D61C9D">
            <w:pPr>
              <w:spacing w:after="0" w:line="240" w:lineRule="auto"/>
              <w:rPr>
                <w:rFonts w:ascii="Arial" w:eastAsia="Times New Roman" w:hAnsi="Arial" w:cs="Arial"/>
                <w:b/>
                <w:bCs/>
                <w:sz w:val="14"/>
                <w:szCs w:val="14"/>
                <w:lang w:eastAsia="en-GB"/>
              </w:rPr>
            </w:pPr>
          </w:p>
        </w:tc>
        <w:tc>
          <w:tcPr>
            <w:tcW w:w="1240" w:type="dxa"/>
            <w:tcBorders>
              <w:top w:val="nil"/>
              <w:left w:val="nil"/>
              <w:bottom w:val="single" w:sz="4" w:space="0" w:color="BFBFBF"/>
              <w:right w:val="nil"/>
            </w:tcBorders>
            <w:shd w:val="clear" w:color="auto" w:fill="auto"/>
            <w:noWrap/>
            <w:vAlign w:val="bottom"/>
            <w:hideMark/>
          </w:tcPr>
          <w:p w14:paraId="721DCE8F"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£m</w:t>
            </w:r>
          </w:p>
        </w:tc>
        <w:tc>
          <w:tcPr>
            <w:tcW w:w="1240" w:type="dxa"/>
            <w:gridSpan w:val="5"/>
            <w:tcBorders>
              <w:top w:val="nil"/>
              <w:left w:val="nil"/>
              <w:bottom w:val="single" w:sz="4" w:space="0" w:color="BFBFBF"/>
              <w:right w:val="nil"/>
            </w:tcBorders>
            <w:shd w:val="clear" w:color="auto" w:fill="auto"/>
            <w:noWrap/>
            <w:vAlign w:val="bottom"/>
            <w:hideMark/>
          </w:tcPr>
          <w:p w14:paraId="7C8A3CBB"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£m</w:t>
            </w:r>
          </w:p>
        </w:tc>
        <w:tc>
          <w:tcPr>
            <w:tcW w:w="1240" w:type="dxa"/>
            <w:tcBorders>
              <w:top w:val="nil"/>
              <w:left w:val="nil"/>
              <w:bottom w:val="single" w:sz="4" w:space="0" w:color="BFBFBF"/>
              <w:right w:val="nil"/>
            </w:tcBorders>
            <w:shd w:val="clear" w:color="auto" w:fill="auto"/>
            <w:noWrap/>
            <w:vAlign w:val="bottom"/>
            <w:hideMark/>
          </w:tcPr>
          <w:p w14:paraId="5E48CAA4"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£m</w:t>
            </w:r>
          </w:p>
        </w:tc>
        <w:tc>
          <w:tcPr>
            <w:tcW w:w="1240" w:type="dxa"/>
            <w:gridSpan w:val="2"/>
            <w:tcBorders>
              <w:top w:val="nil"/>
              <w:left w:val="nil"/>
              <w:bottom w:val="single" w:sz="4" w:space="0" w:color="BFBFBF"/>
              <w:right w:val="nil"/>
            </w:tcBorders>
            <w:shd w:val="clear" w:color="auto" w:fill="auto"/>
            <w:noWrap/>
            <w:vAlign w:val="bottom"/>
            <w:hideMark/>
          </w:tcPr>
          <w:p w14:paraId="2992E765"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£m</w:t>
            </w:r>
          </w:p>
        </w:tc>
        <w:tc>
          <w:tcPr>
            <w:tcW w:w="1240" w:type="dxa"/>
            <w:gridSpan w:val="2"/>
            <w:tcBorders>
              <w:top w:val="nil"/>
              <w:left w:val="nil"/>
              <w:bottom w:val="single" w:sz="4" w:space="0" w:color="BFBFBF"/>
              <w:right w:val="single" w:sz="4" w:space="0" w:color="BFBFBF"/>
            </w:tcBorders>
            <w:shd w:val="clear" w:color="auto" w:fill="auto"/>
            <w:noWrap/>
            <w:vAlign w:val="bottom"/>
            <w:hideMark/>
          </w:tcPr>
          <w:p w14:paraId="03C3E42A"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£m</w:t>
            </w:r>
          </w:p>
        </w:tc>
      </w:tr>
      <w:tr w:rsidR="00D61C9D" w:rsidRPr="00D61C9D" w14:paraId="4C2E936C" w14:textId="77777777" w:rsidTr="00D41B2D">
        <w:trPr>
          <w:gridAfter w:val="2"/>
          <w:wAfter w:w="491" w:type="dxa"/>
          <w:trHeight w:val="255"/>
        </w:trPr>
        <w:tc>
          <w:tcPr>
            <w:tcW w:w="3760" w:type="dxa"/>
            <w:gridSpan w:val="3"/>
            <w:tcBorders>
              <w:top w:val="nil"/>
              <w:left w:val="nil"/>
              <w:bottom w:val="nil"/>
              <w:right w:val="nil"/>
            </w:tcBorders>
            <w:shd w:val="clear" w:color="000000" w:fill="FFFFFF"/>
            <w:noWrap/>
            <w:vAlign w:val="bottom"/>
            <w:hideMark/>
          </w:tcPr>
          <w:p w14:paraId="70AC2193"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Interest-bearing loans and borrowings:</w:t>
            </w:r>
          </w:p>
        </w:tc>
        <w:tc>
          <w:tcPr>
            <w:tcW w:w="1240" w:type="dxa"/>
            <w:tcBorders>
              <w:top w:val="nil"/>
              <w:left w:val="nil"/>
              <w:bottom w:val="nil"/>
              <w:right w:val="nil"/>
            </w:tcBorders>
            <w:shd w:val="clear" w:color="auto" w:fill="CCECFF"/>
            <w:noWrap/>
            <w:vAlign w:val="bottom"/>
            <w:hideMark/>
          </w:tcPr>
          <w:p w14:paraId="1690E822"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gridSpan w:val="5"/>
            <w:tcBorders>
              <w:top w:val="nil"/>
              <w:left w:val="nil"/>
              <w:bottom w:val="nil"/>
              <w:right w:val="nil"/>
            </w:tcBorders>
            <w:shd w:val="clear" w:color="auto" w:fill="CCECFF"/>
            <w:noWrap/>
            <w:vAlign w:val="bottom"/>
            <w:hideMark/>
          </w:tcPr>
          <w:p w14:paraId="50263133"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auto" w:fill="CCECFF"/>
            <w:noWrap/>
            <w:vAlign w:val="bottom"/>
            <w:hideMark/>
          </w:tcPr>
          <w:p w14:paraId="643A4AFD"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gridSpan w:val="2"/>
            <w:tcBorders>
              <w:top w:val="nil"/>
              <w:left w:val="nil"/>
              <w:bottom w:val="nil"/>
              <w:right w:val="nil"/>
            </w:tcBorders>
            <w:shd w:val="clear" w:color="auto" w:fill="CCECFF"/>
            <w:noWrap/>
            <w:vAlign w:val="bottom"/>
            <w:hideMark/>
          </w:tcPr>
          <w:p w14:paraId="2B5BC778"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gridSpan w:val="2"/>
            <w:tcBorders>
              <w:top w:val="nil"/>
              <w:left w:val="nil"/>
              <w:bottom w:val="nil"/>
              <w:right w:val="nil"/>
            </w:tcBorders>
            <w:shd w:val="clear" w:color="auto" w:fill="CCECFF"/>
            <w:noWrap/>
            <w:vAlign w:val="bottom"/>
            <w:hideMark/>
          </w:tcPr>
          <w:p w14:paraId="7B000E39" w14:textId="77777777" w:rsidR="00D61C9D" w:rsidRPr="00D61C9D" w:rsidRDefault="00D61C9D" w:rsidP="00D61C9D">
            <w:pPr>
              <w:spacing w:after="0" w:line="240" w:lineRule="auto"/>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 </w:t>
            </w:r>
          </w:p>
        </w:tc>
      </w:tr>
      <w:tr w:rsidR="00D61C9D" w:rsidRPr="00D61C9D" w14:paraId="00E1A848" w14:textId="77777777" w:rsidTr="00D41B2D">
        <w:trPr>
          <w:gridAfter w:val="2"/>
          <w:wAfter w:w="491" w:type="dxa"/>
          <w:trHeight w:val="255"/>
        </w:trPr>
        <w:tc>
          <w:tcPr>
            <w:tcW w:w="2660" w:type="dxa"/>
            <w:gridSpan w:val="2"/>
            <w:tcBorders>
              <w:top w:val="nil"/>
              <w:left w:val="nil"/>
              <w:bottom w:val="nil"/>
              <w:right w:val="nil"/>
            </w:tcBorders>
            <w:shd w:val="clear" w:color="000000" w:fill="FFFFFF"/>
            <w:vAlign w:val="center"/>
            <w:hideMark/>
          </w:tcPr>
          <w:p w14:paraId="31DA73AC"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 current </w:t>
            </w:r>
          </w:p>
        </w:tc>
        <w:tc>
          <w:tcPr>
            <w:tcW w:w="1100" w:type="dxa"/>
            <w:tcBorders>
              <w:top w:val="nil"/>
              <w:left w:val="nil"/>
              <w:bottom w:val="nil"/>
              <w:right w:val="nil"/>
            </w:tcBorders>
            <w:shd w:val="clear" w:color="000000" w:fill="FFFFFF"/>
            <w:noWrap/>
            <w:vAlign w:val="center"/>
            <w:hideMark/>
          </w:tcPr>
          <w:p w14:paraId="2494545E"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auto" w:fill="CCECFF"/>
            <w:noWrap/>
            <w:vAlign w:val="bottom"/>
            <w:hideMark/>
          </w:tcPr>
          <w:p w14:paraId="69756D8B"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(180)</w:t>
            </w:r>
          </w:p>
        </w:tc>
        <w:tc>
          <w:tcPr>
            <w:tcW w:w="1240" w:type="dxa"/>
            <w:gridSpan w:val="5"/>
            <w:tcBorders>
              <w:top w:val="nil"/>
              <w:left w:val="nil"/>
              <w:bottom w:val="nil"/>
              <w:right w:val="nil"/>
            </w:tcBorders>
            <w:shd w:val="clear" w:color="auto" w:fill="CCECFF"/>
            <w:noWrap/>
            <w:vAlign w:val="bottom"/>
            <w:hideMark/>
          </w:tcPr>
          <w:p w14:paraId="58F84DB4"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 </w:t>
            </w:r>
          </w:p>
        </w:tc>
        <w:tc>
          <w:tcPr>
            <w:tcW w:w="1240" w:type="dxa"/>
            <w:tcBorders>
              <w:top w:val="nil"/>
              <w:left w:val="nil"/>
              <w:bottom w:val="nil"/>
              <w:right w:val="nil"/>
            </w:tcBorders>
            <w:shd w:val="clear" w:color="auto" w:fill="CCECFF"/>
            <w:noWrap/>
            <w:vAlign w:val="bottom"/>
            <w:hideMark/>
          </w:tcPr>
          <w:p w14:paraId="48C9D4EC"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(18)</w:t>
            </w:r>
          </w:p>
        </w:tc>
        <w:tc>
          <w:tcPr>
            <w:tcW w:w="1240" w:type="dxa"/>
            <w:gridSpan w:val="2"/>
            <w:tcBorders>
              <w:top w:val="nil"/>
              <w:left w:val="nil"/>
              <w:bottom w:val="nil"/>
              <w:right w:val="nil"/>
            </w:tcBorders>
            <w:shd w:val="clear" w:color="auto" w:fill="CCECFF"/>
            <w:noWrap/>
            <w:vAlign w:val="bottom"/>
            <w:hideMark/>
          </w:tcPr>
          <w:p w14:paraId="01FA361C"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124 </w:t>
            </w:r>
          </w:p>
        </w:tc>
        <w:tc>
          <w:tcPr>
            <w:tcW w:w="1240" w:type="dxa"/>
            <w:gridSpan w:val="2"/>
            <w:tcBorders>
              <w:top w:val="nil"/>
              <w:left w:val="nil"/>
              <w:bottom w:val="nil"/>
              <w:right w:val="nil"/>
            </w:tcBorders>
            <w:shd w:val="clear" w:color="auto" w:fill="CCECFF"/>
            <w:noWrap/>
            <w:vAlign w:val="bottom"/>
            <w:hideMark/>
          </w:tcPr>
          <w:p w14:paraId="76FA7183"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(74)</w:t>
            </w:r>
          </w:p>
        </w:tc>
      </w:tr>
      <w:tr w:rsidR="00D61C9D" w:rsidRPr="00D61C9D" w14:paraId="55D62DAA" w14:textId="77777777" w:rsidTr="00D41B2D">
        <w:trPr>
          <w:gridAfter w:val="2"/>
          <w:wAfter w:w="491" w:type="dxa"/>
          <w:trHeight w:val="255"/>
        </w:trPr>
        <w:tc>
          <w:tcPr>
            <w:tcW w:w="2660" w:type="dxa"/>
            <w:gridSpan w:val="2"/>
            <w:tcBorders>
              <w:top w:val="nil"/>
              <w:left w:val="nil"/>
              <w:bottom w:val="nil"/>
              <w:right w:val="nil"/>
            </w:tcBorders>
            <w:shd w:val="clear" w:color="000000" w:fill="FFFFFF"/>
            <w:vAlign w:val="center"/>
            <w:hideMark/>
          </w:tcPr>
          <w:p w14:paraId="6C0175BF"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 non-current</w:t>
            </w:r>
          </w:p>
        </w:tc>
        <w:tc>
          <w:tcPr>
            <w:tcW w:w="1100" w:type="dxa"/>
            <w:tcBorders>
              <w:top w:val="nil"/>
              <w:left w:val="nil"/>
              <w:bottom w:val="nil"/>
              <w:right w:val="nil"/>
            </w:tcBorders>
            <w:shd w:val="clear" w:color="000000" w:fill="FFFFFF"/>
            <w:noWrap/>
            <w:vAlign w:val="center"/>
            <w:hideMark/>
          </w:tcPr>
          <w:p w14:paraId="0F0F04F2"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auto" w:fill="CCECFF"/>
            <w:noWrap/>
            <w:vAlign w:val="bottom"/>
            <w:hideMark/>
          </w:tcPr>
          <w:p w14:paraId="4E3D6DC9"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(796)</w:t>
            </w:r>
          </w:p>
        </w:tc>
        <w:tc>
          <w:tcPr>
            <w:tcW w:w="1240" w:type="dxa"/>
            <w:gridSpan w:val="5"/>
            <w:tcBorders>
              <w:top w:val="nil"/>
              <w:left w:val="nil"/>
              <w:bottom w:val="nil"/>
              <w:right w:val="nil"/>
            </w:tcBorders>
            <w:shd w:val="clear" w:color="auto" w:fill="CCECFF"/>
            <w:noWrap/>
            <w:vAlign w:val="bottom"/>
            <w:hideMark/>
          </w:tcPr>
          <w:p w14:paraId="25A9A8DD"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 </w:t>
            </w:r>
          </w:p>
        </w:tc>
        <w:tc>
          <w:tcPr>
            <w:tcW w:w="1240" w:type="dxa"/>
            <w:tcBorders>
              <w:top w:val="nil"/>
              <w:left w:val="nil"/>
              <w:bottom w:val="nil"/>
              <w:right w:val="nil"/>
            </w:tcBorders>
            <w:shd w:val="clear" w:color="auto" w:fill="CCECFF"/>
            <w:noWrap/>
            <w:vAlign w:val="bottom"/>
            <w:hideMark/>
          </w:tcPr>
          <w:p w14:paraId="78BFEEE3"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31 </w:t>
            </w:r>
          </w:p>
        </w:tc>
        <w:tc>
          <w:tcPr>
            <w:tcW w:w="1240" w:type="dxa"/>
            <w:gridSpan w:val="2"/>
            <w:tcBorders>
              <w:top w:val="nil"/>
              <w:left w:val="nil"/>
              <w:bottom w:val="nil"/>
              <w:right w:val="nil"/>
            </w:tcBorders>
            <w:shd w:val="clear" w:color="auto" w:fill="CCECFF"/>
            <w:noWrap/>
            <w:vAlign w:val="bottom"/>
            <w:hideMark/>
          </w:tcPr>
          <w:p w14:paraId="763C7B0A"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 </w:t>
            </w:r>
          </w:p>
        </w:tc>
        <w:tc>
          <w:tcPr>
            <w:tcW w:w="1240" w:type="dxa"/>
            <w:gridSpan w:val="2"/>
            <w:tcBorders>
              <w:top w:val="nil"/>
              <w:left w:val="nil"/>
              <w:bottom w:val="nil"/>
              <w:right w:val="nil"/>
            </w:tcBorders>
            <w:shd w:val="clear" w:color="auto" w:fill="CCECFF"/>
            <w:noWrap/>
            <w:vAlign w:val="bottom"/>
            <w:hideMark/>
          </w:tcPr>
          <w:p w14:paraId="09492326"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(765)</w:t>
            </w:r>
          </w:p>
        </w:tc>
      </w:tr>
      <w:tr w:rsidR="00D61C9D" w:rsidRPr="00D61C9D" w14:paraId="335F097F" w14:textId="77777777" w:rsidTr="00D41B2D">
        <w:trPr>
          <w:gridAfter w:val="2"/>
          <w:wAfter w:w="491" w:type="dxa"/>
          <w:trHeight w:val="255"/>
        </w:trPr>
        <w:tc>
          <w:tcPr>
            <w:tcW w:w="1600" w:type="dxa"/>
            <w:tcBorders>
              <w:top w:val="nil"/>
              <w:left w:val="nil"/>
              <w:bottom w:val="nil"/>
              <w:right w:val="nil"/>
            </w:tcBorders>
            <w:shd w:val="clear" w:color="000000" w:fill="FFFFFF"/>
            <w:vAlign w:val="center"/>
            <w:hideMark/>
          </w:tcPr>
          <w:p w14:paraId="14A2A9D4"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Lease liabilities</w:t>
            </w:r>
          </w:p>
        </w:tc>
        <w:tc>
          <w:tcPr>
            <w:tcW w:w="1060" w:type="dxa"/>
            <w:tcBorders>
              <w:top w:val="nil"/>
              <w:left w:val="nil"/>
              <w:bottom w:val="nil"/>
              <w:right w:val="nil"/>
            </w:tcBorders>
            <w:shd w:val="clear" w:color="000000" w:fill="FFFFFF"/>
            <w:vAlign w:val="center"/>
            <w:hideMark/>
          </w:tcPr>
          <w:p w14:paraId="3F59E00A"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100" w:type="dxa"/>
            <w:tcBorders>
              <w:top w:val="nil"/>
              <w:left w:val="nil"/>
              <w:bottom w:val="nil"/>
              <w:right w:val="nil"/>
            </w:tcBorders>
            <w:shd w:val="clear" w:color="000000" w:fill="FFFFFF"/>
            <w:noWrap/>
            <w:vAlign w:val="center"/>
            <w:hideMark/>
          </w:tcPr>
          <w:p w14:paraId="75F4B80C"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auto" w:fill="CCECFF"/>
            <w:noWrap/>
            <w:vAlign w:val="bottom"/>
            <w:hideMark/>
          </w:tcPr>
          <w:p w14:paraId="48458B16"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gridSpan w:val="5"/>
            <w:tcBorders>
              <w:top w:val="nil"/>
              <w:left w:val="nil"/>
              <w:bottom w:val="nil"/>
              <w:right w:val="nil"/>
            </w:tcBorders>
            <w:shd w:val="clear" w:color="auto" w:fill="CCECFF"/>
            <w:noWrap/>
            <w:vAlign w:val="center"/>
            <w:hideMark/>
          </w:tcPr>
          <w:p w14:paraId="2EF5A608"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auto" w:fill="CCECFF"/>
            <w:noWrap/>
            <w:vAlign w:val="center"/>
            <w:hideMark/>
          </w:tcPr>
          <w:p w14:paraId="20EF4EFC"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gridSpan w:val="2"/>
            <w:tcBorders>
              <w:top w:val="nil"/>
              <w:left w:val="nil"/>
              <w:bottom w:val="nil"/>
              <w:right w:val="nil"/>
            </w:tcBorders>
            <w:shd w:val="clear" w:color="auto" w:fill="CCECFF"/>
            <w:noWrap/>
            <w:vAlign w:val="center"/>
            <w:hideMark/>
          </w:tcPr>
          <w:p w14:paraId="17B5D75E"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gridSpan w:val="2"/>
            <w:tcBorders>
              <w:top w:val="nil"/>
              <w:left w:val="nil"/>
              <w:bottom w:val="nil"/>
              <w:right w:val="nil"/>
            </w:tcBorders>
            <w:shd w:val="clear" w:color="auto" w:fill="CCECFF"/>
            <w:noWrap/>
            <w:vAlign w:val="bottom"/>
            <w:hideMark/>
          </w:tcPr>
          <w:p w14:paraId="3613DF01" w14:textId="77777777" w:rsidR="00D61C9D" w:rsidRPr="00D61C9D" w:rsidRDefault="00D61C9D" w:rsidP="00D61C9D">
            <w:pPr>
              <w:spacing w:after="0" w:line="240" w:lineRule="auto"/>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r>
      <w:tr w:rsidR="00D61C9D" w:rsidRPr="00D61C9D" w14:paraId="4F0F0F25" w14:textId="77777777" w:rsidTr="00D41B2D">
        <w:trPr>
          <w:gridAfter w:val="2"/>
          <w:wAfter w:w="491" w:type="dxa"/>
          <w:trHeight w:val="255"/>
        </w:trPr>
        <w:tc>
          <w:tcPr>
            <w:tcW w:w="2660" w:type="dxa"/>
            <w:gridSpan w:val="2"/>
            <w:tcBorders>
              <w:top w:val="nil"/>
              <w:left w:val="nil"/>
              <w:bottom w:val="nil"/>
              <w:right w:val="nil"/>
            </w:tcBorders>
            <w:shd w:val="clear" w:color="000000" w:fill="FFFFFF"/>
            <w:vAlign w:val="center"/>
            <w:hideMark/>
          </w:tcPr>
          <w:p w14:paraId="5FFC28B3"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 current </w:t>
            </w:r>
          </w:p>
        </w:tc>
        <w:tc>
          <w:tcPr>
            <w:tcW w:w="1100" w:type="dxa"/>
            <w:tcBorders>
              <w:top w:val="nil"/>
              <w:left w:val="nil"/>
              <w:bottom w:val="nil"/>
              <w:right w:val="nil"/>
            </w:tcBorders>
            <w:shd w:val="clear" w:color="000000" w:fill="FFFFFF"/>
            <w:noWrap/>
            <w:vAlign w:val="center"/>
            <w:hideMark/>
          </w:tcPr>
          <w:p w14:paraId="67B23384"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auto" w:fill="CCECFF"/>
            <w:noWrap/>
            <w:vAlign w:val="bottom"/>
            <w:hideMark/>
          </w:tcPr>
          <w:p w14:paraId="3A6F3CA6"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(210)</w:t>
            </w:r>
          </w:p>
        </w:tc>
        <w:tc>
          <w:tcPr>
            <w:tcW w:w="1240" w:type="dxa"/>
            <w:gridSpan w:val="5"/>
            <w:tcBorders>
              <w:top w:val="nil"/>
              <w:left w:val="nil"/>
              <w:bottom w:val="nil"/>
              <w:right w:val="nil"/>
            </w:tcBorders>
            <w:shd w:val="clear" w:color="auto" w:fill="CCECFF"/>
            <w:noWrap/>
            <w:vAlign w:val="bottom"/>
            <w:hideMark/>
          </w:tcPr>
          <w:p w14:paraId="58768325"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(10)</w:t>
            </w:r>
          </w:p>
        </w:tc>
        <w:tc>
          <w:tcPr>
            <w:tcW w:w="1240" w:type="dxa"/>
            <w:tcBorders>
              <w:top w:val="nil"/>
              <w:left w:val="nil"/>
              <w:bottom w:val="nil"/>
              <w:right w:val="nil"/>
            </w:tcBorders>
            <w:shd w:val="clear" w:color="auto" w:fill="CCECFF"/>
            <w:noWrap/>
            <w:vAlign w:val="bottom"/>
            <w:hideMark/>
          </w:tcPr>
          <w:p w14:paraId="55921049"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(65)</w:t>
            </w:r>
          </w:p>
        </w:tc>
        <w:tc>
          <w:tcPr>
            <w:tcW w:w="1240" w:type="dxa"/>
            <w:gridSpan w:val="2"/>
            <w:tcBorders>
              <w:top w:val="nil"/>
              <w:left w:val="nil"/>
              <w:bottom w:val="nil"/>
              <w:right w:val="nil"/>
            </w:tcBorders>
            <w:shd w:val="clear" w:color="auto" w:fill="CCECFF"/>
            <w:noWrap/>
            <w:vAlign w:val="bottom"/>
            <w:hideMark/>
          </w:tcPr>
          <w:p w14:paraId="5F87A54C"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105 </w:t>
            </w:r>
          </w:p>
        </w:tc>
        <w:tc>
          <w:tcPr>
            <w:tcW w:w="1240" w:type="dxa"/>
            <w:gridSpan w:val="2"/>
            <w:tcBorders>
              <w:top w:val="nil"/>
              <w:left w:val="nil"/>
              <w:bottom w:val="nil"/>
              <w:right w:val="nil"/>
            </w:tcBorders>
            <w:shd w:val="clear" w:color="auto" w:fill="CCECFF"/>
            <w:noWrap/>
            <w:vAlign w:val="bottom"/>
            <w:hideMark/>
          </w:tcPr>
          <w:p w14:paraId="71DD3A36"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(180)</w:t>
            </w:r>
          </w:p>
        </w:tc>
      </w:tr>
      <w:tr w:rsidR="00D61C9D" w:rsidRPr="00D61C9D" w14:paraId="53BF5E64" w14:textId="77777777" w:rsidTr="00D41B2D">
        <w:trPr>
          <w:gridAfter w:val="2"/>
          <w:wAfter w:w="491" w:type="dxa"/>
          <w:trHeight w:val="255"/>
        </w:trPr>
        <w:tc>
          <w:tcPr>
            <w:tcW w:w="2660" w:type="dxa"/>
            <w:gridSpan w:val="2"/>
            <w:tcBorders>
              <w:top w:val="nil"/>
              <w:left w:val="nil"/>
              <w:bottom w:val="nil"/>
              <w:right w:val="nil"/>
            </w:tcBorders>
            <w:shd w:val="clear" w:color="000000" w:fill="FFFFFF"/>
            <w:vAlign w:val="center"/>
            <w:hideMark/>
          </w:tcPr>
          <w:p w14:paraId="0FC4DD14"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 non-current</w:t>
            </w:r>
          </w:p>
        </w:tc>
        <w:tc>
          <w:tcPr>
            <w:tcW w:w="1100" w:type="dxa"/>
            <w:tcBorders>
              <w:top w:val="nil"/>
              <w:left w:val="nil"/>
              <w:bottom w:val="single" w:sz="4" w:space="0" w:color="BFBFBF"/>
              <w:right w:val="nil"/>
            </w:tcBorders>
            <w:shd w:val="clear" w:color="000000" w:fill="FFFFFF"/>
            <w:noWrap/>
            <w:vAlign w:val="center"/>
            <w:hideMark/>
          </w:tcPr>
          <w:p w14:paraId="0E620B8E"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single" w:sz="4" w:space="0" w:color="BFBFBF"/>
              <w:right w:val="nil"/>
            </w:tcBorders>
            <w:shd w:val="clear" w:color="auto" w:fill="CCECFF"/>
            <w:noWrap/>
            <w:vAlign w:val="bottom"/>
            <w:hideMark/>
          </w:tcPr>
          <w:p w14:paraId="6261FE68"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(1,306)</w:t>
            </w:r>
          </w:p>
        </w:tc>
        <w:tc>
          <w:tcPr>
            <w:tcW w:w="1240" w:type="dxa"/>
            <w:gridSpan w:val="5"/>
            <w:tcBorders>
              <w:top w:val="nil"/>
              <w:left w:val="nil"/>
              <w:bottom w:val="nil"/>
              <w:right w:val="nil"/>
            </w:tcBorders>
            <w:shd w:val="clear" w:color="auto" w:fill="CCECFF"/>
            <w:noWrap/>
            <w:vAlign w:val="bottom"/>
            <w:hideMark/>
          </w:tcPr>
          <w:p w14:paraId="6469C1FB"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(67)</w:t>
            </w:r>
          </w:p>
        </w:tc>
        <w:tc>
          <w:tcPr>
            <w:tcW w:w="1240" w:type="dxa"/>
            <w:tcBorders>
              <w:top w:val="nil"/>
              <w:left w:val="nil"/>
              <w:bottom w:val="nil"/>
              <w:right w:val="nil"/>
            </w:tcBorders>
            <w:shd w:val="clear" w:color="auto" w:fill="CCECFF"/>
            <w:noWrap/>
            <w:vAlign w:val="bottom"/>
            <w:hideMark/>
          </w:tcPr>
          <w:p w14:paraId="4843B118"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215 </w:t>
            </w:r>
          </w:p>
        </w:tc>
        <w:tc>
          <w:tcPr>
            <w:tcW w:w="1240" w:type="dxa"/>
            <w:gridSpan w:val="2"/>
            <w:tcBorders>
              <w:top w:val="nil"/>
              <w:left w:val="nil"/>
              <w:bottom w:val="nil"/>
              <w:right w:val="nil"/>
            </w:tcBorders>
            <w:shd w:val="clear" w:color="auto" w:fill="CCECFF"/>
            <w:noWrap/>
            <w:vAlign w:val="bottom"/>
            <w:hideMark/>
          </w:tcPr>
          <w:p w14:paraId="67EDC9AC"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 </w:t>
            </w:r>
          </w:p>
        </w:tc>
        <w:tc>
          <w:tcPr>
            <w:tcW w:w="1240" w:type="dxa"/>
            <w:gridSpan w:val="2"/>
            <w:tcBorders>
              <w:top w:val="nil"/>
              <w:left w:val="nil"/>
              <w:bottom w:val="nil"/>
              <w:right w:val="nil"/>
            </w:tcBorders>
            <w:shd w:val="clear" w:color="auto" w:fill="CCECFF"/>
            <w:noWrap/>
            <w:vAlign w:val="bottom"/>
            <w:hideMark/>
          </w:tcPr>
          <w:p w14:paraId="285EB12A"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(1,158)</w:t>
            </w:r>
          </w:p>
        </w:tc>
      </w:tr>
      <w:tr w:rsidR="00D61C9D" w:rsidRPr="00D61C9D" w14:paraId="68855228" w14:textId="77777777" w:rsidTr="00D41B2D">
        <w:trPr>
          <w:gridAfter w:val="2"/>
          <w:wAfter w:w="491" w:type="dxa"/>
          <w:trHeight w:val="255"/>
        </w:trPr>
        <w:tc>
          <w:tcPr>
            <w:tcW w:w="1600" w:type="dxa"/>
            <w:tcBorders>
              <w:top w:val="single" w:sz="4" w:space="0" w:color="BFBFBF"/>
              <w:left w:val="nil"/>
              <w:bottom w:val="single" w:sz="4" w:space="0" w:color="BFBFBF"/>
              <w:right w:val="nil"/>
            </w:tcBorders>
            <w:shd w:val="clear" w:color="000000" w:fill="FFFFFF"/>
            <w:vAlign w:val="center"/>
            <w:hideMark/>
          </w:tcPr>
          <w:p w14:paraId="6F94FCC4" w14:textId="77777777" w:rsidR="00D61C9D" w:rsidRPr="00D61C9D" w:rsidRDefault="00D61C9D" w:rsidP="00D61C9D">
            <w:pPr>
              <w:spacing w:after="0" w:line="240" w:lineRule="auto"/>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Total Debt</w:t>
            </w:r>
          </w:p>
        </w:tc>
        <w:tc>
          <w:tcPr>
            <w:tcW w:w="1060" w:type="dxa"/>
            <w:tcBorders>
              <w:top w:val="single" w:sz="4" w:space="0" w:color="BFBFBF"/>
              <w:left w:val="nil"/>
              <w:bottom w:val="single" w:sz="4" w:space="0" w:color="BFBFBF"/>
              <w:right w:val="nil"/>
            </w:tcBorders>
            <w:shd w:val="clear" w:color="000000" w:fill="FFFFFF"/>
            <w:vAlign w:val="center"/>
            <w:hideMark/>
          </w:tcPr>
          <w:p w14:paraId="41B1CE42"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100" w:type="dxa"/>
            <w:tcBorders>
              <w:top w:val="nil"/>
              <w:left w:val="nil"/>
              <w:bottom w:val="single" w:sz="4" w:space="0" w:color="BFBFBF"/>
              <w:right w:val="nil"/>
            </w:tcBorders>
            <w:shd w:val="clear" w:color="000000" w:fill="FFFFFF"/>
            <w:noWrap/>
            <w:vAlign w:val="center"/>
            <w:hideMark/>
          </w:tcPr>
          <w:p w14:paraId="5D4298E9"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single" w:sz="4" w:space="0" w:color="BFBFBF"/>
              <w:right w:val="nil"/>
            </w:tcBorders>
            <w:shd w:val="clear" w:color="auto" w:fill="CCECFF"/>
            <w:noWrap/>
            <w:vAlign w:val="center"/>
            <w:hideMark/>
          </w:tcPr>
          <w:p w14:paraId="5EF101CD"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(2,492)</w:t>
            </w:r>
          </w:p>
        </w:tc>
        <w:tc>
          <w:tcPr>
            <w:tcW w:w="1240" w:type="dxa"/>
            <w:gridSpan w:val="5"/>
            <w:tcBorders>
              <w:top w:val="single" w:sz="4" w:space="0" w:color="BFBFBF"/>
              <w:left w:val="nil"/>
              <w:bottom w:val="single" w:sz="4" w:space="0" w:color="BFBFBF"/>
              <w:right w:val="nil"/>
            </w:tcBorders>
            <w:shd w:val="clear" w:color="auto" w:fill="CCECFF"/>
            <w:noWrap/>
            <w:vAlign w:val="center"/>
            <w:hideMark/>
          </w:tcPr>
          <w:p w14:paraId="5EDF0989"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(77)</w:t>
            </w:r>
          </w:p>
        </w:tc>
        <w:tc>
          <w:tcPr>
            <w:tcW w:w="1240" w:type="dxa"/>
            <w:tcBorders>
              <w:top w:val="single" w:sz="4" w:space="0" w:color="BFBFBF"/>
              <w:left w:val="nil"/>
              <w:bottom w:val="single" w:sz="4" w:space="0" w:color="BFBFBF"/>
              <w:right w:val="nil"/>
            </w:tcBorders>
            <w:shd w:val="clear" w:color="auto" w:fill="CCECFF"/>
            <w:noWrap/>
            <w:vAlign w:val="center"/>
            <w:hideMark/>
          </w:tcPr>
          <w:p w14:paraId="2D7DB479"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163 </w:t>
            </w:r>
          </w:p>
        </w:tc>
        <w:tc>
          <w:tcPr>
            <w:tcW w:w="1240" w:type="dxa"/>
            <w:gridSpan w:val="2"/>
            <w:tcBorders>
              <w:top w:val="single" w:sz="4" w:space="0" w:color="BFBFBF"/>
              <w:left w:val="nil"/>
              <w:bottom w:val="single" w:sz="4" w:space="0" w:color="BFBFBF"/>
              <w:right w:val="nil"/>
            </w:tcBorders>
            <w:shd w:val="clear" w:color="auto" w:fill="CCECFF"/>
            <w:noWrap/>
            <w:vAlign w:val="center"/>
            <w:hideMark/>
          </w:tcPr>
          <w:p w14:paraId="4A81486B"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229 </w:t>
            </w:r>
          </w:p>
        </w:tc>
        <w:tc>
          <w:tcPr>
            <w:tcW w:w="1240" w:type="dxa"/>
            <w:gridSpan w:val="2"/>
            <w:tcBorders>
              <w:top w:val="single" w:sz="4" w:space="0" w:color="BFBFBF"/>
              <w:left w:val="nil"/>
              <w:bottom w:val="single" w:sz="4" w:space="0" w:color="BFBFBF"/>
              <w:right w:val="nil"/>
            </w:tcBorders>
            <w:shd w:val="clear" w:color="auto" w:fill="CCECFF"/>
            <w:noWrap/>
            <w:vAlign w:val="center"/>
            <w:hideMark/>
          </w:tcPr>
          <w:p w14:paraId="5CC40F21"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(2,177)</w:t>
            </w:r>
          </w:p>
        </w:tc>
      </w:tr>
      <w:tr w:rsidR="00D61C9D" w:rsidRPr="00D61C9D" w14:paraId="35724E34" w14:textId="77777777" w:rsidTr="00D41B2D">
        <w:trPr>
          <w:gridAfter w:val="2"/>
          <w:wAfter w:w="491" w:type="dxa"/>
          <w:trHeight w:val="255"/>
        </w:trPr>
        <w:tc>
          <w:tcPr>
            <w:tcW w:w="2660" w:type="dxa"/>
            <w:gridSpan w:val="2"/>
            <w:tcBorders>
              <w:top w:val="nil"/>
              <w:left w:val="nil"/>
              <w:bottom w:val="nil"/>
              <w:right w:val="nil"/>
            </w:tcBorders>
            <w:shd w:val="clear" w:color="000000" w:fill="FFFFFF"/>
            <w:vAlign w:val="center"/>
            <w:hideMark/>
          </w:tcPr>
          <w:p w14:paraId="5DADBB52"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Group cash:</w:t>
            </w:r>
          </w:p>
        </w:tc>
        <w:tc>
          <w:tcPr>
            <w:tcW w:w="1100" w:type="dxa"/>
            <w:tcBorders>
              <w:top w:val="nil"/>
              <w:left w:val="nil"/>
              <w:bottom w:val="nil"/>
              <w:right w:val="nil"/>
            </w:tcBorders>
            <w:shd w:val="clear" w:color="000000" w:fill="FFFFFF"/>
            <w:noWrap/>
            <w:vAlign w:val="center"/>
            <w:hideMark/>
          </w:tcPr>
          <w:p w14:paraId="6CF81D1E"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auto" w:fill="CCECFF"/>
            <w:noWrap/>
            <w:vAlign w:val="center"/>
            <w:hideMark/>
          </w:tcPr>
          <w:p w14:paraId="0581EA0F"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gridSpan w:val="5"/>
            <w:tcBorders>
              <w:top w:val="nil"/>
              <w:left w:val="nil"/>
              <w:bottom w:val="nil"/>
              <w:right w:val="nil"/>
            </w:tcBorders>
            <w:shd w:val="clear" w:color="auto" w:fill="CCECFF"/>
            <w:noWrap/>
            <w:vAlign w:val="center"/>
            <w:hideMark/>
          </w:tcPr>
          <w:p w14:paraId="63FCF320"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auto" w:fill="CCECFF"/>
            <w:noWrap/>
            <w:vAlign w:val="center"/>
            <w:hideMark/>
          </w:tcPr>
          <w:p w14:paraId="7A07FCDF"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gridSpan w:val="2"/>
            <w:tcBorders>
              <w:top w:val="nil"/>
              <w:left w:val="nil"/>
              <w:bottom w:val="nil"/>
              <w:right w:val="nil"/>
            </w:tcBorders>
            <w:shd w:val="clear" w:color="auto" w:fill="CCECFF"/>
            <w:noWrap/>
            <w:vAlign w:val="center"/>
            <w:hideMark/>
          </w:tcPr>
          <w:p w14:paraId="1F7CE695"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gridSpan w:val="2"/>
            <w:tcBorders>
              <w:top w:val="nil"/>
              <w:left w:val="nil"/>
              <w:bottom w:val="nil"/>
              <w:right w:val="nil"/>
            </w:tcBorders>
            <w:shd w:val="clear" w:color="auto" w:fill="CCECFF"/>
            <w:noWrap/>
            <w:vAlign w:val="center"/>
            <w:hideMark/>
          </w:tcPr>
          <w:p w14:paraId="15A6A771"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r>
      <w:tr w:rsidR="00D61C9D" w:rsidRPr="00D61C9D" w14:paraId="35570865" w14:textId="77777777" w:rsidTr="00D41B2D">
        <w:trPr>
          <w:gridAfter w:val="2"/>
          <w:wAfter w:w="491" w:type="dxa"/>
          <w:trHeight w:val="255"/>
        </w:trPr>
        <w:tc>
          <w:tcPr>
            <w:tcW w:w="2660" w:type="dxa"/>
            <w:gridSpan w:val="2"/>
            <w:tcBorders>
              <w:top w:val="nil"/>
              <w:left w:val="nil"/>
              <w:bottom w:val="nil"/>
              <w:right w:val="nil"/>
            </w:tcBorders>
            <w:shd w:val="clear" w:color="000000" w:fill="FFFFFF"/>
            <w:vAlign w:val="center"/>
            <w:hideMark/>
          </w:tcPr>
          <w:p w14:paraId="7D2EE48C"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 cash &amp; overdrafts</w:t>
            </w:r>
          </w:p>
        </w:tc>
        <w:tc>
          <w:tcPr>
            <w:tcW w:w="1100" w:type="dxa"/>
            <w:tcBorders>
              <w:top w:val="nil"/>
              <w:left w:val="nil"/>
              <w:bottom w:val="nil"/>
              <w:right w:val="nil"/>
            </w:tcBorders>
            <w:shd w:val="clear" w:color="000000" w:fill="FFFFFF"/>
            <w:noWrap/>
            <w:vAlign w:val="center"/>
            <w:hideMark/>
          </w:tcPr>
          <w:p w14:paraId="0B02CFE4"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auto" w:fill="CCECFF"/>
            <w:noWrap/>
            <w:vAlign w:val="center"/>
            <w:hideMark/>
          </w:tcPr>
          <w:p w14:paraId="05EE0937"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56 </w:t>
            </w:r>
          </w:p>
        </w:tc>
        <w:tc>
          <w:tcPr>
            <w:tcW w:w="1240" w:type="dxa"/>
            <w:gridSpan w:val="5"/>
            <w:tcBorders>
              <w:top w:val="nil"/>
              <w:left w:val="nil"/>
              <w:bottom w:val="nil"/>
              <w:right w:val="nil"/>
            </w:tcBorders>
            <w:shd w:val="clear" w:color="auto" w:fill="CCECFF"/>
            <w:noWrap/>
            <w:vAlign w:val="center"/>
            <w:hideMark/>
          </w:tcPr>
          <w:p w14:paraId="17E43CFA"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 </w:t>
            </w:r>
          </w:p>
        </w:tc>
        <w:tc>
          <w:tcPr>
            <w:tcW w:w="1240" w:type="dxa"/>
            <w:tcBorders>
              <w:top w:val="nil"/>
              <w:left w:val="nil"/>
              <w:bottom w:val="nil"/>
              <w:right w:val="nil"/>
            </w:tcBorders>
            <w:shd w:val="clear" w:color="auto" w:fill="CCECFF"/>
            <w:noWrap/>
            <w:vAlign w:val="center"/>
            <w:hideMark/>
          </w:tcPr>
          <w:p w14:paraId="2A040CED"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 </w:t>
            </w:r>
          </w:p>
        </w:tc>
        <w:tc>
          <w:tcPr>
            <w:tcW w:w="1240" w:type="dxa"/>
            <w:gridSpan w:val="2"/>
            <w:tcBorders>
              <w:top w:val="nil"/>
              <w:left w:val="nil"/>
              <w:bottom w:val="nil"/>
              <w:right w:val="nil"/>
            </w:tcBorders>
            <w:shd w:val="clear" w:color="auto" w:fill="CCECFF"/>
            <w:noWrap/>
            <w:vAlign w:val="center"/>
            <w:hideMark/>
          </w:tcPr>
          <w:p w14:paraId="7870AC39"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52 </w:t>
            </w:r>
          </w:p>
        </w:tc>
        <w:tc>
          <w:tcPr>
            <w:tcW w:w="1240" w:type="dxa"/>
            <w:gridSpan w:val="2"/>
            <w:tcBorders>
              <w:top w:val="nil"/>
              <w:left w:val="nil"/>
              <w:bottom w:val="nil"/>
              <w:right w:val="nil"/>
            </w:tcBorders>
            <w:shd w:val="clear" w:color="auto" w:fill="CCECFF"/>
            <w:noWrap/>
            <w:vAlign w:val="center"/>
            <w:hideMark/>
          </w:tcPr>
          <w:p w14:paraId="158BF587"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108 </w:t>
            </w:r>
          </w:p>
        </w:tc>
      </w:tr>
      <w:tr w:rsidR="00D61C9D" w:rsidRPr="00D61C9D" w14:paraId="644C6E87" w14:textId="77777777" w:rsidTr="00D41B2D">
        <w:trPr>
          <w:gridAfter w:val="2"/>
          <w:wAfter w:w="491" w:type="dxa"/>
          <w:trHeight w:val="255"/>
        </w:trPr>
        <w:tc>
          <w:tcPr>
            <w:tcW w:w="1600" w:type="dxa"/>
            <w:tcBorders>
              <w:top w:val="single" w:sz="4" w:space="0" w:color="BFBFBF"/>
              <w:left w:val="nil"/>
              <w:bottom w:val="single" w:sz="4" w:space="0" w:color="BFBFBF"/>
              <w:right w:val="nil"/>
            </w:tcBorders>
            <w:shd w:val="clear" w:color="000000" w:fill="FFFFFF"/>
            <w:vAlign w:val="center"/>
            <w:hideMark/>
          </w:tcPr>
          <w:p w14:paraId="66E9E80D" w14:textId="77777777" w:rsidR="00D61C9D" w:rsidRPr="00D61C9D" w:rsidRDefault="00D61C9D" w:rsidP="00D61C9D">
            <w:pPr>
              <w:spacing w:after="0" w:line="240" w:lineRule="auto"/>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Group Net Debt</w:t>
            </w:r>
          </w:p>
        </w:tc>
        <w:tc>
          <w:tcPr>
            <w:tcW w:w="1060" w:type="dxa"/>
            <w:tcBorders>
              <w:top w:val="single" w:sz="4" w:space="0" w:color="BFBFBF"/>
              <w:left w:val="nil"/>
              <w:bottom w:val="single" w:sz="4" w:space="0" w:color="BFBFBF"/>
              <w:right w:val="nil"/>
            </w:tcBorders>
            <w:shd w:val="clear" w:color="000000" w:fill="FFFFFF"/>
            <w:vAlign w:val="center"/>
            <w:hideMark/>
          </w:tcPr>
          <w:p w14:paraId="36782100"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100" w:type="dxa"/>
            <w:tcBorders>
              <w:top w:val="single" w:sz="4" w:space="0" w:color="BFBFBF"/>
              <w:left w:val="nil"/>
              <w:bottom w:val="single" w:sz="4" w:space="0" w:color="BFBFBF"/>
              <w:right w:val="nil"/>
            </w:tcBorders>
            <w:shd w:val="clear" w:color="000000" w:fill="FFFFFF"/>
            <w:noWrap/>
            <w:vAlign w:val="center"/>
            <w:hideMark/>
          </w:tcPr>
          <w:p w14:paraId="3996D484"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single" w:sz="4" w:space="0" w:color="BFBFBF"/>
              <w:left w:val="nil"/>
              <w:bottom w:val="single" w:sz="4" w:space="0" w:color="BFBFBF"/>
              <w:right w:val="nil"/>
            </w:tcBorders>
            <w:shd w:val="clear" w:color="auto" w:fill="CCECFF"/>
            <w:noWrap/>
            <w:vAlign w:val="center"/>
            <w:hideMark/>
          </w:tcPr>
          <w:p w14:paraId="6A63ABC9"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(2,436)</w:t>
            </w:r>
          </w:p>
        </w:tc>
        <w:tc>
          <w:tcPr>
            <w:tcW w:w="1240" w:type="dxa"/>
            <w:gridSpan w:val="5"/>
            <w:tcBorders>
              <w:top w:val="single" w:sz="4" w:space="0" w:color="BFBFBF"/>
              <w:left w:val="nil"/>
              <w:bottom w:val="single" w:sz="4" w:space="0" w:color="BFBFBF"/>
              <w:right w:val="nil"/>
            </w:tcBorders>
            <w:shd w:val="clear" w:color="auto" w:fill="CCECFF"/>
            <w:noWrap/>
            <w:vAlign w:val="center"/>
            <w:hideMark/>
          </w:tcPr>
          <w:p w14:paraId="0CC22413"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(77)</w:t>
            </w:r>
          </w:p>
        </w:tc>
        <w:tc>
          <w:tcPr>
            <w:tcW w:w="1240" w:type="dxa"/>
            <w:tcBorders>
              <w:top w:val="single" w:sz="4" w:space="0" w:color="BFBFBF"/>
              <w:left w:val="nil"/>
              <w:bottom w:val="single" w:sz="4" w:space="0" w:color="BFBFBF"/>
              <w:right w:val="nil"/>
            </w:tcBorders>
            <w:shd w:val="clear" w:color="auto" w:fill="CCECFF"/>
            <w:noWrap/>
            <w:vAlign w:val="center"/>
            <w:hideMark/>
          </w:tcPr>
          <w:p w14:paraId="0EEEAF84"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163 </w:t>
            </w:r>
          </w:p>
        </w:tc>
        <w:tc>
          <w:tcPr>
            <w:tcW w:w="1240" w:type="dxa"/>
            <w:gridSpan w:val="2"/>
            <w:tcBorders>
              <w:top w:val="single" w:sz="4" w:space="0" w:color="BFBFBF"/>
              <w:left w:val="nil"/>
              <w:bottom w:val="single" w:sz="4" w:space="0" w:color="BFBFBF"/>
              <w:right w:val="nil"/>
            </w:tcBorders>
            <w:shd w:val="clear" w:color="auto" w:fill="CCECFF"/>
            <w:noWrap/>
            <w:vAlign w:val="center"/>
            <w:hideMark/>
          </w:tcPr>
          <w:p w14:paraId="75D020C9"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xml:space="preserve">281 </w:t>
            </w:r>
          </w:p>
        </w:tc>
        <w:tc>
          <w:tcPr>
            <w:tcW w:w="1240" w:type="dxa"/>
            <w:gridSpan w:val="2"/>
            <w:tcBorders>
              <w:top w:val="single" w:sz="4" w:space="0" w:color="BFBFBF"/>
              <w:left w:val="nil"/>
              <w:bottom w:val="single" w:sz="4" w:space="0" w:color="BFBFBF"/>
              <w:right w:val="nil"/>
            </w:tcBorders>
            <w:shd w:val="clear" w:color="auto" w:fill="CCECFF"/>
            <w:noWrap/>
            <w:vAlign w:val="center"/>
            <w:hideMark/>
          </w:tcPr>
          <w:p w14:paraId="4C86A3F3"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(2,069)</w:t>
            </w:r>
          </w:p>
        </w:tc>
      </w:tr>
      <w:tr w:rsidR="00D61C9D" w:rsidRPr="00D61C9D" w14:paraId="571C1274" w14:textId="77777777" w:rsidTr="00D41B2D">
        <w:trPr>
          <w:gridAfter w:val="2"/>
          <w:wAfter w:w="491" w:type="dxa"/>
          <w:trHeight w:val="240"/>
        </w:trPr>
        <w:tc>
          <w:tcPr>
            <w:tcW w:w="1600" w:type="dxa"/>
            <w:tcBorders>
              <w:top w:val="nil"/>
              <w:left w:val="nil"/>
              <w:bottom w:val="nil"/>
              <w:right w:val="nil"/>
            </w:tcBorders>
            <w:shd w:val="clear" w:color="000000" w:fill="FFFFFF"/>
            <w:noWrap/>
            <w:vAlign w:val="bottom"/>
            <w:hideMark/>
          </w:tcPr>
          <w:p w14:paraId="6339154C" w14:textId="77777777" w:rsidR="00D61C9D" w:rsidRPr="00D61C9D" w:rsidRDefault="00D61C9D" w:rsidP="00D61C9D">
            <w:pPr>
              <w:spacing w:after="0" w:line="240" w:lineRule="auto"/>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 </w:t>
            </w:r>
          </w:p>
        </w:tc>
        <w:tc>
          <w:tcPr>
            <w:tcW w:w="1060" w:type="dxa"/>
            <w:tcBorders>
              <w:top w:val="nil"/>
              <w:left w:val="nil"/>
              <w:bottom w:val="nil"/>
              <w:right w:val="nil"/>
            </w:tcBorders>
            <w:shd w:val="clear" w:color="000000" w:fill="FFFFFF"/>
            <w:noWrap/>
            <w:vAlign w:val="bottom"/>
            <w:hideMark/>
          </w:tcPr>
          <w:p w14:paraId="1FF2DFCD" w14:textId="77777777" w:rsidR="00D61C9D" w:rsidRPr="00D61C9D" w:rsidRDefault="00D61C9D" w:rsidP="00D61C9D">
            <w:pPr>
              <w:spacing w:after="0" w:line="240" w:lineRule="auto"/>
              <w:rPr>
                <w:rFonts w:ascii="Arial" w:eastAsia="Times New Roman" w:hAnsi="Arial" w:cs="Arial"/>
                <w:b/>
                <w:bCs/>
                <w:sz w:val="28"/>
                <w:szCs w:val="28"/>
                <w:lang w:eastAsia="en-GB"/>
              </w:rPr>
            </w:pPr>
            <w:r w:rsidRPr="00D61C9D">
              <w:rPr>
                <w:rFonts w:ascii="Arial" w:eastAsia="Times New Roman" w:hAnsi="Arial" w:cs="Arial"/>
                <w:b/>
                <w:bCs/>
                <w:sz w:val="28"/>
                <w:szCs w:val="28"/>
                <w:lang w:eastAsia="en-GB"/>
              </w:rPr>
              <w:t> </w:t>
            </w:r>
          </w:p>
        </w:tc>
        <w:tc>
          <w:tcPr>
            <w:tcW w:w="1100" w:type="dxa"/>
            <w:tcBorders>
              <w:top w:val="nil"/>
              <w:left w:val="nil"/>
              <w:bottom w:val="nil"/>
              <w:right w:val="nil"/>
            </w:tcBorders>
            <w:shd w:val="clear" w:color="auto" w:fill="auto"/>
            <w:noWrap/>
            <w:vAlign w:val="bottom"/>
            <w:hideMark/>
          </w:tcPr>
          <w:p w14:paraId="4380711F" w14:textId="77777777" w:rsidR="00D61C9D" w:rsidRPr="00D61C9D" w:rsidRDefault="00D61C9D" w:rsidP="00D61C9D">
            <w:pPr>
              <w:spacing w:after="0" w:line="240" w:lineRule="auto"/>
              <w:rPr>
                <w:rFonts w:ascii="Arial" w:eastAsia="Times New Roman" w:hAnsi="Arial" w:cs="Arial"/>
                <w:b/>
                <w:bCs/>
                <w:sz w:val="28"/>
                <w:szCs w:val="28"/>
                <w:lang w:eastAsia="en-GB"/>
              </w:rPr>
            </w:pPr>
          </w:p>
        </w:tc>
        <w:tc>
          <w:tcPr>
            <w:tcW w:w="1240" w:type="dxa"/>
            <w:tcBorders>
              <w:top w:val="nil"/>
              <w:left w:val="nil"/>
              <w:bottom w:val="nil"/>
              <w:right w:val="nil"/>
            </w:tcBorders>
            <w:shd w:val="clear" w:color="000000" w:fill="FFFFFF"/>
            <w:noWrap/>
            <w:vAlign w:val="bottom"/>
            <w:hideMark/>
          </w:tcPr>
          <w:p w14:paraId="31808E33" w14:textId="77777777" w:rsidR="00D61C9D" w:rsidRPr="00D61C9D" w:rsidRDefault="00D61C9D" w:rsidP="00D61C9D">
            <w:pPr>
              <w:spacing w:after="0" w:line="240" w:lineRule="auto"/>
              <w:rPr>
                <w:rFonts w:ascii="Arial" w:eastAsia="Times New Roman" w:hAnsi="Arial" w:cs="Arial"/>
                <w:b/>
                <w:bCs/>
                <w:sz w:val="28"/>
                <w:szCs w:val="28"/>
                <w:lang w:eastAsia="en-GB"/>
              </w:rPr>
            </w:pPr>
            <w:r w:rsidRPr="00D61C9D">
              <w:rPr>
                <w:rFonts w:ascii="Arial" w:eastAsia="Times New Roman" w:hAnsi="Arial" w:cs="Arial"/>
                <w:b/>
                <w:bCs/>
                <w:sz w:val="28"/>
                <w:szCs w:val="28"/>
                <w:lang w:eastAsia="en-GB"/>
              </w:rPr>
              <w:t> </w:t>
            </w:r>
          </w:p>
        </w:tc>
        <w:tc>
          <w:tcPr>
            <w:tcW w:w="1240" w:type="dxa"/>
            <w:gridSpan w:val="5"/>
            <w:tcBorders>
              <w:top w:val="nil"/>
              <w:left w:val="nil"/>
              <w:bottom w:val="nil"/>
              <w:right w:val="nil"/>
            </w:tcBorders>
            <w:shd w:val="clear" w:color="000000" w:fill="FFFFFF"/>
            <w:noWrap/>
            <w:vAlign w:val="bottom"/>
            <w:hideMark/>
          </w:tcPr>
          <w:p w14:paraId="2BDC0F7F" w14:textId="77777777" w:rsidR="00D61C9D" w:rsidRPr="00D61C9D" w:rsidRDefault="00D61C9D" w:rsidP="00D61C9D">
            <w:pPr>
              <w:spacing w:after="0" w:line="240" w:lineRule="auto"/>
              <w:rPr>
                <w:rFonts w:ascii="Arial" w:eastAsia="Times New Roman" w:hAnsi="Arial" w:cs="Arial"/>
                <w:b/>
                <w:bCs/>
                <w:sz w:val="28"/>
                <w:szCs w:val="28"/>
                <w:lang w:eastAsia="en-GB"/>
              </w:rPr>
            </w:pPr>
            <w:r w:rsidRPr="00D61C9D">
              <w:rPr>
                <w:rFonts w:ascii="Arial" w:eastAsia="Times New Roman" w:hAnsi="Arial" w:cs="Arial"/>
                <w:b/>
                <w:bCs/>
                <w:sz w:val="28"/>
                <w:szCs w:val="28"/>
                <w:lang w:eastAsia="en-GB"/>
              </w:rPr>
              <w:t> </w:t>
            </w:r>
          </w:p>
        </w:tc>
        <w:tc>
          <w:tcPr>
            <w:tcW w:w="1240" w:type="dxa"/>
            <w:tcBorders>
              <w:top w:val="nil"/>
              <w:left w:val="nil"/>
              <w:bottom w:val="nil"/>
              <w:right w:val="nil"/>
            </w:tcBorders>
            <w:shd w:val="clear" w:color="000000" w:fill="FFFFFF"/>
            <w:noWrap/>
            <w:vAlign w:val="bottom"/>
            <w:hideMark/>
          </w:tcPr>
          <w:p w14:paraId="344B543A" w14:textId="77777777" w:rsidR="00D61C9D" w:rsidRPr="00D61C9D" w:rsidRDefault="00D61C9D" w:rsidP="00D61C9D">
            <w:pPr>
              <w:spacing w:after="0" w:line="240" w:lineRule="auto"/>
              <w:rPr>
                <w:rFonts w:ascii="Arial" w:eastAsia="Times New Roman" w:hAnsi="Arial" w:cs="Arial"/>
                <w:b/>
                <w:bCs/>
                <w:sz w:val="28"/>
                <w:szCs w:val="28"/>
                <w:lang w:eastAsia="en-GB"/>
              </w:rPr>
            </w:pPr>
            <w:r w:rsidRPr="00D61C9D">
              <w:rPr>
                <w:rFonts w:ascii="Arial" w:eastAsia="Times New Roman" w:hAnsi="Arial" w:cs="Arial"/>
                <w:b/>
                <w:bCs/>
                <w:sz w:val="28"/>
                <w:szCs w:val="28"/>
                <w:lang w:eastAsia="en-GB"/>
              </w:rPr>
              <w:t> </w:t>
            </w:r>
          </w:p>
        </w:tc>
        <w:tc>
          <w:tcPr>
            <w:tcW w:w="1240" w:type="dxa"/>
            <w:gridSpan w:val="2"/>
            <w:tcBorders>
              <w:top w:val="nil"/>
              <w:left w:val="nil"/>
              <w:bottom w:val="nil"/>
              <w:right w:val="nil"/>
            </w:tcBorders>
            <w:shd w:val="clear" w:color="000000" w:fill="FFFFFF"/>
            <w:noWrap/>
            <w:vAlign w:val="bottom"/>
            <w:hideMark/>
          </w:tcPr>
          <w:p w14:paraId="48EB0DC9" w14:textId="77777777" w:rsidR="00D61C9D" w:rsidRPr="00D61C9D" w:rsidRDefault="00D61C9D" w:rsidP="00D61C9D">
            <w:pPr>
              <w:spacing w:after="0" w:line="240" w:lineRule="auto"/>
              <w:rPr>
                <w:rFonts w:ascii="Arial" w:eastAsia="Times New Roman" w:hAnsi="Arial" w:cs="Arial"/>
                <w:b/>
                <w:bCs/>
                <w:sz w:val="28"/>
                <w:szCs w:val="28"/>
                <w:lang w:eastAsia="en-GB"/>
              </w:rPr>
            </w:pPr>
            <w:r w:rsidRPr="00D61C9D">
              <w:rPr>
                <w:rFonts w:ascii="Arial" w:eastAsia="Times New Roman" w:hAnsi="Arial" w:cs="Arial"/>
                <w:b/>
                <w:bCs/>
                <w:sz w:val="28"/>
                <w:szCs w:val="28"/>
                <w:lang w:eastAsia="en-GB"/>
              </w:rPr>
              <w:t> </w:t>
            </w:r>
          </w:p>
        </w:tc>
        <w:tc>
          <w:tcPr>
            <w:tcW w:w="1240" w:type="dxa"/>
            <w:gridSpan w:val="2"/>
            <w:tcBorders>
              <w:top w:val="nil"/>
              <w:left w:val="nil"/>
              <w:bottom w:val="nil"/>
              <w:right w:val="nil"/>
            </w:tcBorders>
            <w:shd w:val="clear" w:color="000000" w:fill="FFFFFF"/>
            <w:noWrap/>
            <w:vAlign w:val="bottom"/>
            <w:hideMark/>
          </w:tcPr>
          <w:p w14:paraId="7C7CB441" w14:textId="77777777" w:rsidR="00D61C9D" w:rsidRPr="00D61C9D" w:rsidRDefault="00D61C9D" w:rsidP="00D61C9D">
            <w:pPr>
              <w:spacing w:after="0" w:line="240" w:lineRule="auto"/>
              <w:jc w:val="right"/>
              <w:rPr>
                <w:rFonts w:ascii="Arial" w:eastAsia="Times New Roman" w:hAnsi="Arial" w:cs="Arial"/>
                <w:sz w:val="20"/>
                <w:szCs w:val="20"/>
                <w:lang w:eastAsia="en-GB"/>
              </w:rPr>
            </w:pPr>
            <w:r w:rsidRPr="00D61C9D">
              <w:rPr>
                <w:rFonts w:ascii="Arial" w:eastAsia="Times New Roman" w:hAnsi="Arial" w:cs="Arial"/>
                <w:sz w:val="20"/>
                <w:szCs w:val="20"/>
                <w:lang w:eastAsia="en-GB"/>
              </w:rPr>
              <w:t> </w:t>
            </w:r>
          </w:p>
        </w:tc>
      </w:tr>
      <w:tr w:rsidR="00D61C9D" w:rsidRPr="00D61C9D" w14:paraId="01745B22" w14:textId="77777777" w:rsidTr="00D41B2D">
        <w:trPr>
          <w:gridAfter w:val="2"/>
          <w:wAfter w:w="491" w:type="dxa"/>
          <w:trHeight w:val="201"/>
        </w:trPr>
        <w:tc>
          <w:tcPr>
            <w:tcW w:w="9960" w:type="dxa"/>
            <w:gridSpan w:val="14"/>
            <w:tcBorders>
              <w:top w:val="nil"/>
              <w:left w:val="nil"/>
              <w:bottom w:val="nil"/>
              <w:right w:val="nil"/>
            </w:tcBorders>
            <w:shd w:val="clear" w:color="000000" w:fill="FFFFFF"/>
            <w:vAlign w:val="bottom"/>
            <w:hideMark/>
          </w:tcPr>
          <w:p w14:paraId="6AFCDB42"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Other non-cash movements on lease liabilities includes the transfer of £167m of lease liabilities to liabilities held for sale; split £22m (current) and £145m (non-current). See Note 8 for further details. </w:t>
            </w:r>
          </w:p>
        </w:tc>
      </w:tr>
      <w:tr w:rsidR="00D61C9D" w:rsidRPr="00D61C9D" w14:paraId="583F670A" w14:textId="77777777" w:rsidTr="00D41B2D">
        <w:trPr>
          <w:gridAfter w:val="2"/>
          <w:wAfter w:w="491" w:type="dxa"/>
          <w:trHeight w:val="450"/>
        </w:trPr>
        <w:tc>
          <w:tcPr>
            <w:tcW w:w="1600" w:type="dxa"/>
            <w:tcBorders>
              <w:top w:val="nil"/>
              <w:left w:val="nil"/>
              <w:bottom w:val="single" w:sz="4" w:space="0" w:color="BFBFBF"/>
              <w:right w:val="nil"/>
            </w:tcBorders>
            <w:shd w:val="clear" w:color="000000" w:fill="FFFFFF"/>
            <w:noWrap/>
            <w:vAlign w:val="bottom"/>
            <w:hideMark/>
          </w:tcPr>
          <w:p w14:paraId="67D8C70B" w14:textId="77777777" w:rsidR="00D61C9D" w:rsidRPr="00D61C9D" w:rsidRDefault="00D61C9D" w:rsidP="00D61C9D">
            <w:pPr>
              <w:spacing w:after="0" w:line="240" w:lineRule="auto"/>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060" w:type="dxa"/>
            <w:tcBorders>
              <w:top w:val="nil"/>
              <w:left w:val="nil"/>
              <w:bottom w:val="single" w:sz="4" w:space="0" w:color="BFBFBF"/>
              <w:right w:val="nil"/>
            </w:tcBorders>
            <w:shd w:val="clear" w:color="000000" w:fill="FFFFFF"/>
            <w:noWrap/>
            <w:vAlign w:val="bottom"/>
            <w:hideMark/>
          </w:tcPr>
          <w:p w14:paraId="0258EAD6" w14:textId="77777777" w:rsidR="00D61C9D" w:rsidRPr="00D61C9D" w:rsidRDefault="00D61C9D" w:rsidP="00D61C9D">
            <w:pPr>
              <w:spacing w:after="0" w:line="240" w:lineRule="auto"/>
              <w:rPr>
                <w:rFonts w:ascii="Arial" w:eastAsia="Times New Roman" w:hAnsi="Arial" w:cs="Arial"/>
                <w:b/>
                <w:bCs/>
                <w:sz w:val="28"/>
                <w:szCs w:val="28"/>
                <w:lang w:eastAsia="en-GB"/>
              </w:rPr>
            </w:pPr>
            <w:r w:rsidRPr="00D61C9D">
              <w:rPr>
                <w:rFonts w:ascii="Arial" w:eastAsia="Times New Roman" w:hAnsi="Arial" w:cs="Arial"/>
                <w:b/>
                <w:bCs/>
                <w:sz w:val="28"/>
                <w:szCs w:val="28"/>
                <w:lang w:eastAsia="en-GB"/>
              </w:rPr>
              <w:t> </w:t>
            </w:r>
          </w:p>
        </w:tc>
        <w:tc>
          <w:tcPr>
            <w:tcW w:w="1100" w:type="dxa"/>
            <w:tcBorders>
              <w:top w:val="nil"/>
              <w:left w:val="nil"/>
              <w:bottom w:val="single" w:sz="4" w:space="0" w:color="BFBFBF"/>
              <w:right w:val="nil"/>
            </w:tcBorders>
            <w:shd w:val="clear" w:color="000000" w:fill="FFFFFF"/>
            <w:noWrap/>
            <w:vAlign w:val="bottom"/>
            <w:hideMark/>
          </w:tcPr>
          <w:p w14:paraId="2835B9A8" w14:textId="77777777" w:rsidR="00D61C9D" w:rsidRPr="00D61C9D" w:rsidRDefault="00D61C9D" w:rsidP="00D61C9D">
            <w:pPr>
              <w:spacing w:after="0" w:line="240" w:lineRule="auto"/>
              <w:rPr>
                <w:rFonts w:ascii="Arial" w:eastAsia="Times New Roman" w:hAnsi="Arial" w:cs="Arial"/>
                <w:b/>
                <w:bCs/>
                <w:sz w:val="28"/>
                <w:szCs w:val="28"/>
                <w:lang w:eastAsia="en-GB"/>
              </w:rPr>
            </w:pPr>
            <w:r w:rsidRPr="00D61C9D">
              <w:rPr>
                <w:rFonts w:ascii="Arial" w:eastAsia="Times New Roman" w:hAnsi="Arial" w:cs="Arial"/>
                <w:b/>
                <w:bCs/>
                <w:sz w:val="28"/>
                <w:szCs w:val="28"/>
                <w:lang w:eastAsia="en-GB"/>
              </w:rPr>
              <w:t> </w:t>
            </w:r>
          </w:p>
        </w:tc>
        <w:tc>
          <w:tcPr>
            <w:tcW w:w="1240" w:type="dxa"/>
            <w:tcBorders>
              <w:top w:val="nil"/>
              <w:left w:val="nil"/>
              <w:bottom w:val="single" w:sz="4" w:space="0" w:color="BFBFBF"/>
              <w:right w:val="nil"/>
            </w:tcBorders>
            <w:shd w:val="clear" w:color="000000" w:fill="FFFFFF"/>
            <w:noWrap/>
            <w:vAlign w:val="bottom"/>
            <w:hideMark/>
          </w:tcPr>
          <w:p w14:paraId="3020386D" w14:textId="77777777" w:rsidR="00D61C9D" w:rsidRPr="00D61C9D" w:rsidRDefault="00D61C9D" w:rsidP="00D61C9D">
            <w:pPr>
              <w:spacing w:after="0" w:line="240" w:lineRule="auto"/>
              <w:rPr>
                <w:rFonts w:ascii="Arial" w:eastAsia="Times New Roman" w:hAnsi="Arial" w:cs="Arial"/>
                <w:b/>
                <w:bCs/>
                <w:sz w:val="28"/>
                <w:szCs w:val="28"/>
                <w:lang w:eastAsia="en-GB"/>
              </w:rPr>
            </w:pPr>
            <w:r w:rsidRPr="00D61C9D">
              <w:rPr>
                <w:rFonts w:ascii="Arial" w:eastAsia="Times New Roman" w:hAnsi="Arial" w:cs="Arial"/>
                <w:b/>
                <w:bCs/>
                <w:sz w:val="28"/>
                <w:szCs w:val="28"/>
                <w:lang w:eastAsia="en-GB"/>
              </w:rPr>
              <w:t> </w:t>
            </w:r>
          </w:p>
        </w:tc>
        <w:tc>
          <w:tcPr>
            <w:tcW w:w="1240" w:type="dxa"/>
            <w:gridSpan w:val="5"/>
            <w:tcBorders>
              <w:top w:val="nil"/>
              <w:left w:val="nil"/>
              <w:bottom w:val="single" w:sz="4" w:space="0" w:color="BFBFBF"/>
              <w:right w:val="nil"/>
            </w:tcBorders>
            <w:shd w:val="clear" w:color="000000" w:fill="FFFFFF"/>
            <w:noWrap/>
            <w:vAlign w:val="bottom"/>
            <w:hideMark/>
          </w:tcPr>
          <w:p w14:paraId="5F2188A2" w14:textId="77777777" w:rsidR="00D61C9D" w:rsidRPr="00D61C9D" w:rsidRDefault="00D61C9D" w:rsidP="00D61C9D">
            <w:pPr>
              <w:spacing w:after="0" w:line="240" w:lineRule="auto"/>
              <w:rPr>
                <w:rFonts w:ascii="Arial" w:eastAsia="Times New Roman" w:hAnsi="Arial" w:cs="Arial"/>
                <w:b/>
                <w:bCs/>
                <w:sz w:val="28"/>
                <w:szCs w:val="28"/>
                <w:lang w:eastAsia="en-GB"/>
              </w:rPr>
            </w:pPr>
            <w:r w:rsidRPr="00D61C9D">
              <w:rPr>
                <w:rFonts w:ascii="Arial" w:eastAsia="Times New Roman" w:hAnsi="Arial" w:cs="Arial"/>
                <w:b/>
                <w:bCs/>
                <w:sz w:val="28"/>
                <w:szCs w:val="28"/>
                <w:lang w:eastAsia="en-GB"/>
              </w:rPr>
              <w:t> </w:t>
            </w:r>
          </w:p>
        </w:tc>
        <w:tc>
          <w:tcPr>
            <w:tcW w:w="1240" w:type="dxa"/>
            <w:tcBorders>
              <w:top w:val="nil"/>
              <w:left w:val="nil"/>
              <w:bottom w:val="single" w:sz="4" w:space="0" w:color="BFBFBF"/>
              <w:right w:val="nil"/>
            </w:tcBorders>
            <w:shd w:val="clear" w:color="000000" w:fill="FFFFFF"/>
            <w:noWrap/>
            <w:vAlign w:val="bottom"/>
            <w:hideMark/>
          </w:tcPr>
          <w:p w14:paraId="2483A34B" w14:textId="77777777" w:rsidR="00D61C9D" w:rsidRPr="00D61C9D" w:rsidRDefault="00D61C9D" w:rsidP="00D61C9D">
            <w:pPr>
              <w:spacing w:after="0" w:line="240" w:lineRule="auto"/>
              <w:rPr>
                <w:rFonts w:ascii="Arial" w:eastAsia="Times New Roman" w:hAnsi="Arial" w:cs="Arial"/>
                <w:b/>
                <w:bCs/>
                <w:sz w:val="28"/>
                <w:szCs w:val="28"/>
                <w:lang w:eastAsia="en-GB"/>
              </w:rPr>
            </w:pPr>
            <w:r w:rsidRPr="00D61C9D">
              <w:rPr>
                <w:rFonts w:ascii="Arial" w:eastAsia="Times New Roman" w:hAnsi="Arial" w:cs="Arial"/>
                <w:b/>
                <w:bCs/>
                <w:sz w:val="28"/>
                <w:szCs w:val="28"/>
                <w:lang w:eastAsia="en-GB"/>
              </w:rPr>
              <w:t> </w:t>
            </w:r>
          </w:p>
        </w:tc>
        <w:tc>
          <w:tcPr>
            <w:tcW w:w="1240" w:type="dxa"/>
            <w:gridSpan w:val="2"/>
            <w:tcBorders>
              <w:top w:val="nil"/>
              <w:left w:val="nil"/>
              <w:bottom w:val="single" w:sz="4" w:space="0" w:color="BFBFBF"/>
              <w:right w:val="nil"/>
            </w:tcBorders>
            <w:shd w:val="clear" w:color="000000" w:fill="FFFFFF"/>
            <w:noWrap/>
            <w:vAlign w:val="bottom"/>
            <w:hideMark/>
          </w:tcPr>
          <w:p w14:paraId="691C320F" w14:textId="77777777" w:rsidR="00D61C9D" w:rsidRPr="00D61C9D" w:rsidRDefault="00D61C9D" w:rsidP="00D61C9D">
            <w:pPr>
              <w:spacing w:after="0" w:line="240" w:lineRule="auto"/>
              <w:rPr>
                <w:rFonts w:ascii="Arial" w:eastAsia="Times New Roman" w:hAnsi="Arial" w:cs="Arial"/>
                <w:b/>
                <w:bCs/>
                <w:sz w:val="28"/>
                <w:szCs w:val="28"/>
                <w:lang w:eastAsia="en-GB"/>
              </w:rPr>
            </w:pPr>
            <w:r w:rsidRPr="00D61C9D">
              <w:rPr>
                <w:rFonts w:ascii="Arial" w:eastAsia="Times New Roman" w:hAnsi="Arial" w:cs="Arial"/>
                <w:b/>
                <w:bCs/>
                <w:sz w:val="28"/>
                <w:szCs w:val="28"/>
                <w:lang w:eastAsia="en-GB"/>
              </w:rPr>
              <w:t> </w:t>
            </w:r>
          </w:p>
        </w:tc>
        <w:tc>
          <w:tcPr>
            <w:tcW w:w="1240" w:type="dxa"/>
            <w:gridSpan w:val="2"/>
            <w:tcBorders>
              <w:top w:val="nil"/>
              <w:left w:val="nil"/>
              <w:bottom w:val="single" w:sz="4" w:space="0" w:color="BFBFBF"/>
              <w:right w:val="nil"/>
            </w:tcBorders>
            <w:shd w:val="clear" w:color="000000" w:fill="FFFFFF"/>
            <w:noWrap/>
            <w:vAlign w:val="bottom"/>
            <w:hideMark/>
          </w:tcPr>
          <w:p w14:paraId="79B96407" w14:textId="77777777" w:rsidR="00D61C9D" w:rsidRPr="00D61C9D" w:rsidRDefault="00D61C9D" w:rsidP="00D61C9D">
            <w:pPr>
              <w:spacing w:after="0" w:line="240" w:lineRule="auto"/>
              <w:jc w:val="right"/>
              <w:rPr>
                <w:rFonts w:ascii="Arial" w:eastAsia="Times New Roman" w:hAnsi="Arial" w:cs="Arial"/>
                <w:sz w:val="20"/>
                <w:szCs w:val="20"/>
                <w:lang w:eastAsia="en-GB"/>
              </w:rPr>
            </w:pPr>
            <w:r w:rsidRPr="00D61C9D">
              <w:rPr>
                <w:rFonts w:ascii="Arial" w:eastAsia="Times New Roman" w:hAnsi="Arial" w:cs="Arial"/>
                <w:sz w:val="20"/>
                <w:szCs w:val="20"/>
                <w:lang w:eastAsia="en-GB"/>
              </w:rPr>
              <w:t> </w:t>
            </w:r>
          </w:p>
        </w:tc>
      </w:tr>
      <w:tr w:rsidR="00D61C9D" w:rsidRPr="00D61C9D" w14:paraId="6E817313" w14:textId="77777777" w:rsidTr="00D41B2D">
        <w:trPr>
          <w:gridAfter w:val="2"/>
          <w:wAfter w:w="491" w:type="dxa"/>
          <w:trHeight w:val="300"/>
        </w:trPr>
        <w:tc>
          <w:tcPr>
            <w:tcW w:w="3760" w:type="dxa"/>
            <w:gridSpan w:val="3"/>
            <w:vMerge w:val="restart"/>
            <w:tcBorders>
              <w:top w:val="single" w:sz="4" w:space="0" w:color="BFBFBF"/>
              <w:left w:val="single" w:sz="4" w:space="0" w:color="BFBFBF"/>
              <w:bottom w:val="single" w:sz="4" w:space="0" w:color="BFBFBF"/>
              <w:right w:val="nil"/>
            </w:tcBorders>
            <w:shd w:val="clear" w:color="auto" w:fill="auto"/>
            <w:noWrap/>
            <w:vAlign w:val="center"/>
            <w:hideMark/>
          </w:tcPr>
          <w:p w14:paraId="1360C646" w14:textId="77777777" w:rsidR="00D61C9D" w:rsidRPr="00D61C9D" w:rsidRDefault="00D61C9D" w:rsidP="00D61C9D">
            <w:pPr>
              <w:spacing w:after="0" w:line="240" w:lineRule="auto"/>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For the 26 weeks ended 3 July 2021 (unaudited)</w:t>
            </w:r>
          </w:p>
        </w:tc>
        <w:tc>
          <w:tcPr>
            <w:tcW w:w="1240" w:type="dxa"/>
            <w:tcBorders>
              <w:top w:val="nil"/>
              <w:left w:val="nil"/>
              <w:bottom w:val="nil"/>
              <w:right w:val="nil"/>
            </w:tcBorders>
            <w:shd w:val="clear" w:color="auto" w:fill="auto"/>
            <w:vAlign w:val="center"/>
            <w:hideMark/>
          </w:tcPr>
          <w:p w14:paraId="02A32487"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 </w:t>
            </w:r>
          </w:p>
        </w:tc>
        <w:tc>
          <w:tcPr>
            <w:tcW w:w="2480" w:type="dxa"/>
            <w:gridSpan w:val="6"/>
            <w:tcBorders>
              <w:top w:val="single" w:sz="4" w:space="0" w:color="BFBFBF"/>
              <w:left w:val="nil"/>
              <w:bottom w:val="nil"/>
              <w:right w:val="nil"/>
            </w:tcBorders>
            <w:shd w:val="clear" w:color="auto" w:fill="auto"/>
            <w:vAlign w:val="center"/>
            <w:hideMark/>
          </w:tcPr>
          <w:p w14:paraId="47BD1241" w14:textId="77777777" w:rsidR="00D61C9D" w:rsidRPr="00D61C9D" w:rsidRDefault="00D61C9D" w:rsidP="00D61C9D">
            <w:pPr>
              <w:spacing w:after="0" w:line="240" w:lineRule="auto"/>
              <w:jc w:val="center"/>
              <w:rPr>
                <w:rFonts w:ascii="Arial" w:eastAsia="Times New Roman" w:hAnsi="Arial" w:cs="Arial"/>
                <w:b/>
                <w:bCs/>
                <w:sz w:val="14"/>
                <w:szCs w:val="14"/>
                <w:u w:val="single"/>
                <w:lang w:eastAsia="en-GB"/>
              </w:rPr>
            </w:pPr>
            <w:r w:rsidRPr="00D61C9D">
              <w:rPr>
                <w:rFonts w:ascii="Arial" w:eastAsia="Times New Roman" w:hAnsi="Arial" w:cs="Arial"/>
                <w:b/>
                <w:bCs/>
                <w:sz w:val="14"/>
                <w:szCs w:val="14"/>
                <w:lang w:eastAsia="en-GB"/>
              </w:rPr>
              <w:t xml:space="preserve">              </w:t>
            </w:r>
            <w:r w:rsidRPr="00D61C9D">
              <w:rPr>
                <w:rFonts w:ascii="Arial" w:eastAsia="Times New Roman" w:hAnsi="Arial" w:cs="Arial"/>
                <w:b/>
                <w:bCs/>
                <w:sz w:val="14"/>
                <w:szCs w:val="14"/>
                <w:u w:val="single"/>
                <w:lang w:eastAsia="en-GB"/>
              </w:rPr>
              <w:t xml:space="preserve"> Non-cash movements</w:t>
            </w:r>
          </w:p>
        </w:tc>
        <w:tc>
          <w:tcPr>
            <w:tcW w:w="1240" w:type="dxa"/>
            <w:gridSpan w:val="2"/>
            <w:tcBorders>
              <w:top w:val="nil"/>
              <w:left w:val="nil"/>
              <w:bottom w:val="nil"/>
              <w:right w:val="nil"/>
            </w:tcBorders>
            <w:shd w:val="clear" w:color="auto" w:fill="auto"/>
            <w:vAlign w:val="center"/>
            <w:hideMark/>
          </w:tcPr>
          <w:p w14:paraId="3B721ED5" w14:textId="77777777" w:rsidR="00D61C9D" w:rsidRPr="00D61C9D" w:rsidRDefault="00D61C9D" w:rsidP="00D61C9D">
            <w:pPr>
              <w:spacing w:after="0" w:line="240" w:lineRule="auto"/>
              <w:jc w:val="right"/>
              <w:rPr>
                <w:rFonts w:ascii="Arial" w:eastAsia="Times New Roman" w:hAnsi="Arial" w:cs="Arial"/>
                <w:b/>
                <w:bCs/>
                <w:sz w:val="14"/>
                <w:szCs w:val="14"/>
                <w:u w:val="single"/>
                <w:lang w:eastAsia="en-GB"/>
              </w:rPr>
            </w:pPr>
            <w:r w:rsidRPr="00D61C9D">
              <w:rPr>
                <w:rFonts w:ascii="Arial" w:eastAsia="Times New Roman" w:hAnsi="Arial" w:cs="Arial"/>
                <w:b/>
                <w:bCs/>
                <w:sz w:val="14"/>
                <w:szCs w:val="14"/>
                <w:u w:val="single"/>
                <w:lang w:eastAsia="en-GB"/>
              </w:rPr>
              <w:t>Cash flow</w:t>
            </w:r>
          </w:p>
        </w:tc>
        <w:tc>
          <w:tcPr>
            <w:tcW w:w="1240" w:type="dxa"/>
            <w:gridSpan w:val="2"/>
            <w:tcBorders>
              <w:top w:val="nil"/>
              <w:left w:val="nil"/>
              <w:bottom w:val="nil"/>
              <w:right w:val="single" w:sz="4" w:space="0" w:color="BFBFBF"/>
            </w:tcBorders>
            <w:shd w:val="clear" w:color="auto" w:fill="auto"/>
            <w:vAlign w:val="center"/>
            <w:hideMark/>
          </w:tcPr>
          <w:p w14:paraId="2415AC58"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 </w:t>
            </w:r>
          </w:p>
        </w:tc>
      </w:tr>
      <w:tr w:rsidR="00D61C9D" w:rsidRPr="00D61C9D" w14:paraId="0739D4C4" w14:textId="77777777" w:rsidTr="00D41B2D">
        <w:trPr>
          <w:gridAfter w:val="2"/>
          <w:wAfter w:w="491" w:type="dxa"/>
          <w:trHeight w:val="255"/>
        </w:trPr>
        <w:tc>
          <w:tcPr>
            <w:tcW w:w="3760" w:type="dxa"/>
            <w:gridSpan w:val="3"/>
            <w:vMerge/>
            <w:tcBorders>
              <w:top w:val="single" w:sz="4" w:space="0" w:color="BFBFBF"/>
              <w:left w:val="single" w:sz="4" w:space="0" w:color="BFBFBF"/>
              <w:bottom w:val="single" w:sz="4" w:space="0" w:color="BFBFBF"/>
              <w:right w:val="nil"/>
            </w:tcBorders>
            <w:shd w:val="clear" w:color="auto" w:fill="auto"/>
            <w:vAlign w:val="center"/>
            <w:hideMark/>
          </w:tcPr>
          <w:p w14:paraId="77288833" w14:textId="77777777" w:rsidR="00D61C9D" w:rsidRPr="00D61C9D" w:rsidRDefault="00D61C9D" w:rsidP="00D61C9D">
            <w:pPr>
              <w:spacing w:after="0" w:line="240" w:lineRule="auto"/>
              <w:rPr>
                <w:rFonts w:ascii="Arial" w:eastAsia="Times New Roman" w:hAnsi="Arial" w:cs="Arial"/>
                <w:b/>
                <w:bCs/>
                <w:sz w:val="14"/>
                <w:szCs w:val="14"/>
                <w:lang w:eastAsia="en-GB"/>
              </w:rPr>
            </w:pPr>
          </w:p>
        </w:tc>
        <w:tc>
          <w:tcPr>
            <w:tcW w:w="1240" w:type="dxa"/>
            <w:tcBorders>
              <w:top w:val="nil"/>
              <w:left w:val="nil"/>
              <w:bottom w:val="nil"/>
              <w:right w:val="nil"/>
            </w:tcBorders>
            <w:shd w:val="clear" w:color="auto" w:fill="auto"/>
            <w:vAlign w:val="bottom"/>
            <w:hideMark/>
          </w:tcPr>
          <w:p w14:paraId="68FE06BC"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Start of period</w:t>
            </w:r>
          </w:p>
        </w:tc>
        <w:tc>
          <w:tcPr>
            <w:tcW w:w="1240" w:type="dxa"/>
            <w:gridSpan w:val="5"/>
            <w:tcBorders>
              <w:top w:val="nil"/>
              <w:left w:val="nil"/>
              <w:bottom w:val="nil"/>
              <w:right w:val="nil"/>
            </w:tcBorders>
            <w:shd w:val="clear" w:color="auto" w:fill="auto"/>
            <w:vAlign w:val="bottom"/>
            <w:hideMark/>
          </w:tcPr>
          <w:p w14:paraId="74553E06"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New leases</w:t>
            </w:r>
          </w:p>
        </w:tc>
        <w:tc>
          <w:tcPr>
            <w:tcW w:w="1240" w:type="dxa"/>
            <w:tcBorders>
              <w:top w:val="nil"/>
              <w:left w:val="nil"/>
              <w:bottom w:val="nil"/>
              <w:right w:val="nil"/>
            </w:tcBorders>
            <w:shd w:val="clear" w:color="auto" w:fill="auto"/>
            <w:vAlign w:val="bottom"/>
            <w:hideMark/>
          </w:tcPr>
          <w:p w14:paraId="05396352"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Other</w:t>
            </w:r>
          </w:p>
        </w:tc>
        <w:tc>
          <w:tcPr>
            <w:tcW w:w="1240" w:type="dxa"/>
            <w:gridSpan w:val="2"/>
            <w:tcBorders>
              <w:top w:val="nil"/>
              <w:left w:val="nil"/>
              <w:bottom w:val="nil"/>
              <w:right w:val="nil"/>
            </w:tcBorders>
            <w:shd w:val="clear" w:color="auto" w:fill="auto"/>
            <w:vAlign w:val="bottom"/>
            <w:hideMark/>
          </w:tcPr>
          <w:p w14:paraId="05A3ED13"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 </w:t>
            </w:r>
          </w:p>
        </w:tc>
        <w:tc>
          <w:tcPr>
            <w:tcW w:w="1240" w:type="dxa"/>
            <w:gridSpan w:val="2"/>
            <w:tcBorders>
              <w:top w:val="nil"/>
              <w:left w:val="nil"/>
              <w:bottom w:val="nil"/>
              <w:right w:val="single" w:sz="4" w:space="0" w:color="BFBFBF"/>
            </w:tcBorders>
            <w:shd w:val="clear" w:color="auto" w:fill="auto"/>
            <w:vAlign w:val="bottom"/>
            <w:hideMark/>
          </w:tcPr>
          <w:p w14:paraId="7CCAB2C9"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End of period</w:t>
            </w:r>
          </w:p>
        </w:tc>
      </w:tr>
      <w:tr w:rsidR="00D61C9D" w:rsidRPr="00D61C9D" w14:paraId="26C90C65" w14:textId="77777777" w:rsidTr="00D41B2D">
        <w:trPr>
          <w:gridAfter w:val="2"/>
          <w:wAfter w:w="491" w:type="dxa"/>
          <w:trHeight w:val="255"/>
        </w:trPr>
        <w:tc>
          <w:tcPr>
            <w:tcW w:w="3760" w:type="dxa"/>
            <w:gridSpan w:val="3"/>
            <w:vMerge/>
            <w:tcBorders>
              <w:top w:val="single" w:sz="4" w:space="0" w:color="BFBFBF"/>
              <w:left w:val="single" w:sz="4" w:space="0" w:color="BFBFBF"/>
              <w:bottom w:val="single" w:sz="4" w:space="0" w:color="BFBFBF"/>
              <w:right w:val="nil"/>
            </w:tcBorders>
            <w:shd w:val="clear" w:color="auto" w:fill="auto"/>
            <w:vAlign w:val="center"/>
            <w:hideMark/>
          </w:tcPr>
          <w:p w14:paraId="50A40D89" w14:textId="77777777" w:rsidR="00D61C9D" w:rsidRPr="00D61C9D" w:rsidRDefault="00D61C9D" w:rsidP="00D61C9D">
            <w:pPr>
              <w:spacing w:after="0" w:line="240" w:lineRule="auto"/>
              <w:rPr>
                <w:rFonts w:ascii="Arial" w:eastAsia="Times New Roman" w:hAnsi="Arial" w:cs="Arial"/>
                <w:b/>
                <w:bCs/>
                <w:sz w:val="14"/>
                <w:szCs w:val="14"/>
                <w:lang w:eastAsia="en-GB"/>
              </w:rPr>
            </w:pPr>
          </w:p>
        </w:tc>
        <w:tc>
          <w:tcPr>
            <w:tcW w:w="1240" w:type="dxa"/>
            <w:tcBorders>
              <w:top w:val="nil"/>
              <w:left w:val="nil"/>
              <w:bottom w:val="single" w:sz="4" w:space="0" w:color="BFBFBF"/>
              <w:right w:val="nil"/>
            </w:tcBorders>
            <w:shd w:val="clear" w:color="auto" w:fill="auto"/>
            <w:noWrap/>
            <w:vAlign w:val="bottom"/>
            <w:hideMark/>
          </w:tcPr>
          <w:p w14:paraId="40A832A9"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£m</w:t>
            </w:r>
          </w:p>
        </w:tc>
        <w:tc>
          <w:tcPr>
            <w:tcW w:w="1240" w:type="dxa"/>
            <w:gridSpan w:val="5"/>
            <w:tcBorders>
              <w:top w:val="nil"/>
              <w:left w:val="nil"/>
              <w:bottom w:val="single" w:sz="4" w:space="0" w:color="BFBFBF"/>
              <w:right w:val="nil"/>
            </w:tcBorders>
            <w:shd w:val="clear" w:color="auto" w:fill="auto"/>
            <w:noWrap/>
            <w:vAlign w:val="bottom"/>
            <w:hideMark/>
          </w:tcPr>
          <w:p w14:paraId="0FAC5AD5"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£m</w:t>
            </w:r>
          </w:p>
        </w:tc>
        <w:tc>
          <w:tcPr>
            <w:tcW w:w="1240" w:type="dxa"/>
            <w:tcBorders>
              <w:top w:val="nil"/>
              <w:left w:val="nil"/>
              <w:bottom w:val="single" w:sz="4" w:space="0" w:color="BFBFBF"/>
              <w:right w:val="nil"/>
            </w:tcBorders>
            <w:shd w:val="clear" w:color="auto" w:fill="auto"/>
            <w:noWrap/>
            <w:vAlign w:val="bottom"/>
            <w:hideMark/>
          </w:tcPr>
          <w:p w14:paraId="62256442"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£m</w:t>
            </w:r>
          </w:p>
        </w:tc>
        <w:tc>
          <w:tcPr>
            <w:tcW w:w="1240" w:type="dxa"/>
            <w:gridSpan w:val="2"/>
            <w:tcBorders>
              <w:top w:val="nil"/>
              <w:left w:val="nil"/>
              <w:bottom w:val="single" w:sz="4" w:space="0" w:color="BFBFBF"/>
              <w:right w:val="nil"/>
            </w:tcBorders>
            <w:shd w:val="clear" w:color="auto" w:fill="auto"/>
            <w:noWrap/>
            <w:vAlign w:val="bottom"/>
            <w:hideMark/>
          </w:tcPr>
          <w:p w14:paraId="4F8431BC"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£m</w:t>
            </w:r>
          </w:p>
        </w:tc>
        <w:tc>
          <w:tcPr>
            <w:tcW w:w="1240" w:type="dxa"/>
            <w:gridSpan w:val="2"/>
            <w:tcBorders>
              <w:top w:val="nil"/>
              <w:left w:val="nil"/>
              <w:bottom w:val="single" w:sz="4" w:space="0" w:color="BFBFBF"/>
              <w:right w:val="single" w:sz="4" w:space="0" w:color="BFBFBF"/>
            </w:tcBorders>
            <w:shd w:val="clear" w:color="auto" w:fill="auto"/>
            <w:noWrap/>
            <w:vAlign w:val="bottom"/>
            <w:hideMark/>
          </w:tcPr>
          <w:p w14:paraId="1D74D982"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£m</w:t>
            </w:r>
          </w:p>
        </w:tc>
      </w:tr>
      <w:tr w:rsidR="00D61C9D" w:rsidRPr="00D61C9D" w14:paraId="41AC6254" w14:textId="77777777" w:rsidTr="00D41B2D">
        <w:trPr>
          <w:gridAfter w:val="2"/>
          <w:wAfter w:w="491" w:type="dxa"/>
          <w:trHeight w:val="255"/>
        </w:trPr>
        <w:tc>
          <w:tcPr>
            <w:tcW w:w="3760" w:type="dxa"/>
            <w:gridSpan w:val="3"/>
            <w:tcBorders>
              <w:top w:val="nil"/>
              <w:left w:val="nil"/>
              <w:bottom w:val="nil"/>
              <w:right w:val="nil"/>
            </w:tcBorders>
            <w:shd w:val="clear" w:color="000000" w:fill="FFFFFF"/>
            <w:noWrap/>
            <w:vAlign w:val="bottom"/>
            <w:hideMark/>
          </w:tcPr>
          <w:p w14:paraId="09ED5310"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Interest-bearing loans and borrowings:</w:t>
            </w:r>
          </w:p>
        </w:tc>
        <w:tc>
          <w:tcPr>
            <w:tcW w:w="1240" w:type="dxa"/>
            <w:tcBorders>
              <w:top w:val="nil"/>
              <w:left w:val="nil"/>
              <w:bottom w:val="nil"/>
              <w:right w:val="nil"/>
            </w:tcBorders>
            <w:shd w:val="clear" w:color="000000" w:fill="FFFFFF"/>
            <w:noWrap/>
            <w:vAlign w:val="bottom"/>
            <w:hideMark/>
          </w:tcPr>
          <w:p w14:paraId="70985484" w14:textId="77777777" w:rsidR="00D61C9D" w:rsidRPr="00D61C9D" w:rsidRDefault="00D61C9D" w:rsidP="00D61C9D">
            <w:pPr>
              <w:spacing w:after="0" w:line="240" w:lineRule="auto"/>
              <w:jc w:val="right"/>
              <w:rPr>
                <w:rFonts w:ascii="Arial" w:eastAsia="Times New Roman" w:hAnsi="Arial" w:cs="Arial"/>
                <w:color w:val="DAEEF3"/>
                <w:sz w:val="15"/>
                <w:szCs w:val="15"/>
                <w:lang w:eastAsia="en-GB"/>
              </w:rPr>
            </w:pPr>
            <w:r w:rsidRPr="00D61C9D">
              <w:rPr>
                <w:rFonts w:ascii="Arial" w:eastAsia="Times New Roman" w:hAnsi="Arial" w:cs="Arial"/>
                <w:color w:val="DAEEF3"/>
                <w:sz w:val="15"/>
                <w:szCs w:val="15"/>
                <w:lang w:eastAsia="en-GB"/>
              </w:rPr>
              <w:t> </w:t>
            </w:r>
          </w:p>
        </w:tc>
        <w:tc>
          <w:tcPr>
            <w:tcW w:w="1240" w:type="dxa"/>
            <w:gridSpan w:val="5"/>
            <w:tcBorders>
              <w:top w:val="nil"/>
              <w:left w:val="nil"/>
              <w:bottom w:val="nil"/>
              <w:right w:val="nil"/>
            </w:tcBorders>
            <w:shd w:val="clear" w:color="000000" w:fill="FFFFFF"/>
            <w:noWrap/>
            <w:vAlign w:val="bottom"/>
            <w:hideMark/>
          </w:tcPr>
          <w:p w14:paraId="1EEF45A4" w14:textId="77777777" w:rsidR="00D61C9D" w:rsidRPr="00D61C9D" w:rsidRDefault="00D61C9D" w:rsidP="00D61C9D">
            <w:pPr>
              <w:spacing w:after="0" w:line="240" w:lineRule="auto"/>
              <w:jc w:val="right"/>
              <w:rPr>
                <w:rFonts w:ascii="Arial" w:eastAsia="Times New Roman" w:hAnsi="Arial" w:cs="Arial"/>
                <w:color w:val="DAEEF3"/>
                <w:sz w:val="15"/>
                <w:szCs w:val="15"/>
                <w:lang w:eastAsia="en-GB"/>
              </w:rPr>
            </w:pPr>
            <w:r w:rsidRPr="00D61C9D">
              <w:rPr>
                <w:rFonts w:ascii="Arial" w:eastAsia="Times New Roman" w:hAnsi="Arial" w:cs="Arial"/>
                <w:color w:val="DAEEF3"/>
                <w:sz w:val="15"/>
                <w:szCs w:val="15"/>
                <w:lang w:eastAsia="en-GB"/>
              </w:rPr>
              <w:t> </w:t>
            </w:r>
          </w:p>
        </w:tc>
        <w:tc>
          <w:tcPr>
            <w:tcW w:w="1240" w:type="dxa"/>
            <w:tcBorders>
              <w:top w:val="nil"/>
              <w:left w:val="nil"/>
              <w:bottom w:val="nil"/>
              <w:right w:val="nil"/>
            </w:tcBorders>
            <w:shd w:val="clear" w:color="000000" w:fill="FFFFFF"/>
            <w:noWrap/>
            <w:vAlign w:val="bottom"/>
            <w:hideMark/>
          </w:tcPr>
          <w:p w14:paraId="5C4F5774" w14:textId="77777777" w:rsidR="00D61C9D" w:rsidRPr="00D61C9D" w:rsidRDefault="00D61C9D" w:rsidP="00D61C9D">
            <w:pPr>
              <w:spacing w:after="0" w:line="240" w:lineRule="auto"/>
              <w:jc w:val="right"/>
              <w:rPr>
                <w:rFonts w:ascii="Arial" w:eastAsia="Times New Roman" w:hAnsi="Arial" w:cs="Arial"/>
                <w:color w:val="DAEEF3"/>
                <w:sz w:val="15"/>
                <w:szCs w:val="15"/>
                <w:lang w:eastAsia="en-GB"/>
              </w:rPr>
            </w:pPr>
            <w:r w:rsidRPr="00D61C9D">
              <w:rPr>
                <w:rFonts w:ascii="Arial" w:eastAsia="Times New Roman" w:hAnsi="Arial" w:cs="Arial"/>
                <w:color w:val="DAEEF3"/>
                <w:sz w:val="15"/>
                <w:szCs w:val="15"/>
                <w:lang w:eastAsia="en-GB"/>
              </w:rPr>
              <w:t> </w:t>
            </w:r>
          </w:p>
        </w:tc>
        <w:tc>
          <w:tcPr>
            <w:tcW w:w="1240" w:type="dxa"/>
            <w:gridSpan w:val="2"/>
            <w:tcBorders>
              <w:top w:val="nil"/>
              <w:left w:val="nil"/>
              <w:bottom w:val="nil"/>
              <w:right w:val="nil"/>
            </w:tcBorders>
            <w:shd w:val="clear" w:color="000000" w:fill="FFFFFF"/>
            <w:noWrap/>
            <w:vAlign w:val="bottom"/>
            <w:hideMark/>
          </w:tcPr>
          <w:p w14:paraId="6ADAE3CA" w14:textId="77777777" w:rsidR="00D61C9D" w:rsidRPr="00D61C9D" w:rsidRDefault="00D61C9D" w:rsidP="00D61C9D">
            <w:pPr>
              <w:spacing w:after="0" w:line="240" w:lineRule="auto"/>
              <w:jc w:val="right"/>
              <w:rPr>
                <w:rFonts w:ascii="Arial" w:eastAsia="Times New Roman" w:hAnsi="Arial" w:cs="Arial"/>
                <w:color w:val="DAEEF3"/>
                <w:sz w:val="15"/>
                <w:szCs w:val="15"/>
                <w:lang w:eastAsia="en-GB"/>
              </w:rPr>
            </w:pPr>
            <w:r w:rsidRPr="00D61C9D">
              <w:rPr>
                <w:rFonts w:ascii="Arial" w:eastAsia="Times New Roman" w:hAnsi="Arial" w:cs="Arial"/>
                <w:color w:val="DAEEF3"/>
                <w:sz w:val="15"/>
                <w:szCs w:val="15"/>
                <w:lang w:eastAsia="en-GB"/>
              </w:rPr>
              <w:t> </w:t>
            </w:r>
          </w:p>
        </w:tc>
        <w:tc>
          <w:tcPr>
            <w:tcW w:w="1240" w:type="dxa"/>
            <w:gridSpan w:val="2"/>
            <w:tcBorders>
              <w:top w:val="nil"/>
              <w:left w:val="nil"/>
              <w:bottom w:val="nil"/>
              <w:right w:val="nil"/>
            </w:tcBorders>
            <w:shd w:val="clear" w:color="000000" w:fill="FFFFFF"/>
            <w:noWrap/>
            <w:vAlign w:val="bottom"/>
            <w:hideMark/>
          </w:tcPr>
          <w:p w14:paraId="6A61B6BD" w14:textId="77777777" w:rsidR="00D61C9D" w:rsidRPr="00D61C9D" w:rsidRDefault="00D61C9D" w:rsidP="00D61C9D">
            <w:pPr>
              <w:spacing w:after="0" w:line="240" w:lineRule="auto"/>
              <w:rPr>
                <w:rFonts w:ascii="Arial" w:eastAsia="Times New Roman" w:hAnsi="Arial" w:cs="Arial"/>
                <w:sz w:val="14"/>
                <w:szCs w:val="14"/>
                <w:lang w:eastAsia="en-GB"/>
              </w:rPr>
            </w:pPr>
            <w:r w:rsidRPr="00D61C9D">
              <w:rPr>
                <w:rFonts w:ascii="Arial" w:eastAsia="Times New Roman" w:hAnsi="Arial" w:cs="Arial"/>
                <w:sz w:val="14"/>
                <w:szCs w:val="14"/>
                <w:lang w:eastAsia="en-GB"/>
              </w:rPr>
              <w:t> </w:t>
            </w:r>
          </w:p>
        </w:tc>
      </w:tr>
      <w:tr w:rsidR="00D61C9D" w:rsidRPr="00D61C9D" w14:paraId="442712A2" w14:textId="77777777" w:rsidTr="00D41B2D">
        <w:trPr>
          <w:gridAfter w:val="2"/>
          <w:wAfter w:w="491" w:type="dxa"/>
          <w:trHeight w:val="255"/>
        </w:trPr>
        <w:tc>
          <w:tcPr>
            <w:tcW w:w="2660" w:type="dxa"/>
            <w:gridSpan w:val="2"/>
            <w:tcBorders>
              <w:top w:val="nil"/>
              <w:left w:val="nil"/>
              <w:bottom w:val="nil"/>
              <w:right w:val="nil"/>
            </w:tcBorders>
            <w:shd w:val="clear" w:color="000000" w:fill="FFFFFF"/>
            <w:vAlign w:val="center"/>
            <w:hideMark/>
          </w:tcPr>
          <w:p w14:paraId="0D44F90D"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 current</w:t>
            </w:r>
          </w:p>
        </w:tc>
        <w:tc>
          <w:tcPr>
            <w:tcW w:w="1100" w:type="dxa"/>
            <w:tcBorders>
              <w:top w:val="nil"/>
              <w:left w:val="nil"/>
              <w:bottom w:val="nil"/>
              <w:right w:val="nil"/>
            </w:tcBorders>
            <w:shd w:val="clear" w:color="000000" w:fill="FFFFFF"/>
            <w:noWrap/>
            <w:vAlign w:val="center"/>
            <w:hideMark/>
          </w:tcPr>
          <w:p w14:paraId="2A13149B"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000000" w:fill="FFFFFF"/>
            <w:noWrap/>
            <w:vAlign w:val="center"/>
            <w:hideMark/>
          </w:tcPr>
          <w:p w14:paraId="390A5095"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(16)</w:t>
            </w:r>
          </w:p>
        </w:tc>
        <w:tc>
          <w:tcPr>
            <w:tcW w:w="1240" w:type="dxa"/>
            <w:gridSpan w:val="5"/>
            <w:tcBorders>
              <w:top w:val="nil"/>
              <w:left w:val="nil"/>
              <w:bottom w:val="nil"/>
              <w:right w:val="nil"/>
            </w:tcBorders>
            <w:shd w:val="clear" w:color="000000" w:fill="FFFFFF"/>
            <w:noWrap/>
            <w:vAlign w:val="center"/>
            <w:hideMark/>
          </w:tcPr>
          <w:p w14:paraId="5BC22889"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w:t>
            </w:r>
          </w:p>
        </w:tc>
        <w:tc>
          <w:tcPr>
            <w:tcW w:w="1240" w:type="dxa"/>
            <w:tcBorders>
              <w:top w:val="nil"/>
              <w:left w:val="nil"/>
              <w:bottom w:val="nil"/>
              <w:right w:val="nil"/>
            </w:tcBorders>
            <w:shd w:val="clear" w:color="000000" w:fill="FFFFFF"/>
            <w:noWrap/>
            <w:vAlign w:val="center"/>
            <w:hideMark/>
          </w:tcPr>
          <w:p w14:paraId="429A09C1"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(25)</w:t>
            </w:r>
          </w:p>
        </w:tc>
        <w:tc>
          <w:tcPr>
            <w:tcW w:w="1240" w:type="dxa"/>
            <w:gridSpan w:val="2"/>
            <w:tcBorders>
              <w:top w:val="nil"/>
              <w:left w:val="nil"/>
              <w:bottom w:val="nil"/>
              <w:right w:val="nil"/>
            </w:tcBorders>
            <w:shd w:val="clear" w:color="000000" w:fill="FFFFFF"/>
            <w:noWrap/>
            <w:vAlign w:val="center"/>
            <w:hideMark/>
          </w:tcPr>
          <w:p w14:paraId="2A74FFDD"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2 </w:t>
            </w:r>
          </w:p>
        </w:tc>
        <w:tc>
          <w:tcPr>
            <w:tcW w:w="1240" w:type="dxa"/>
            <w:gridSpan w:val="2"/>
            <w:tcBorders>
              <w:top w:val="nil"/>
              <w:left w:val="nil"/>
              <w:bottom w:val="nil"/>
              <w:right w:val="nil"/>
            </w:tcBorders>
            <w:shd w:val="clear" w:color="000000" w:fill="FFFFFF"/>
            <w:noWrap/>
            <w:vAlign w:val="bottom"/>
            <w:hideMark/>
          </w:tcPr>
          <w:p w14:paraId="65889773"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(39)</w:t>
            </w:r>
          </w:p>
        </w:tc>
      </w:tr>
      <w:tr w:rsidR="00D61C9D" w:rsidRPr="00D61C9D" w14:paraId="233AF002" w14:textId="77777777" w:rsidTr="00D41B2D">
        <w:trPr>
          <w:gridAfter w:val="2"/>
          <w:wAfter w:w="491" w:type="dxa"/>
          <w:trHeight w:val="255"/>
        </w:trPr>
        <w:tc>
          <w:tcPr>
            <w:tcW w:w="2660" w:type="dxa"/>
            <w:gridSpan w:val="2"/>
            <w:tcBorders>
              <w:top w:val="nil"/>
              <w:left w:val="nil"/>
              <w:bottom w:val="nil"/>
              <w:right w:val="nil"/>
            </w:tcBorders>
            <w:shd w:val="clear" w:color="000000" w:fill="FFFFFF"/>
            <w:vAlign w:val="center"/>
            <w:hideMark/>
          </w:tcPr>
          <w:p w14:paraId="2A02B45C"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lastRenderedPageBreak/>
              <w:t xml:space="preserve"> - non-current</w:t>
            </w:r>
          </w:p>
        </w:tc>
        <w:tc>
          <w:tcPr>
            <w:tcW w:w="1100" w:type="dxa"/>
            <w:tcBorders>
              <w:top w:val="nil"/>
              <w:left w:val="nil"/>
              <w:bottom w:val="nil"/>
              <w:right w:val="nil"/>
            </w:tcBorders>
            <w:shd w:val="clear" w:color="000000" w:fill="FFFFFF"/>
            <w:noWrap/>
            <w:vAlign w:val="center"/>
            <w:hideMark/>
          </w:tcPr>
          <w:p w14:paraId="44CDE94A"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000000" w:fill="FFFFFF"/>
            <w:noWrap/>
            <w:vAlign w:val="center"/>
            <w:hideMark/>
          </w:tcPr>
          <w:p w14:paraId="2A7B9ABE"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(803)</w:t>
            </w:r>
          </w:p>
        </w:tc>
        <w:tc>
          <w:tcPr>
            <w:tcW w:w="1240" w:type="dxa"/>
            <w:gridSpan w:val="5"/>
            <w:tcBorders>
              <w:top w:val="nil"/>
              <w:left w:val="nil"/>
              <w:bottom w:val="nil"/>
              <w:right w:val="nil"/>
            </w:tcBorders>
            <w:shd w:val="clear" w:color="000000" w:fill="FFFFFF"/>
            <w:noWrap/>
            <w:vAlign w:val="center"/>
            <w:hideMark/>
          </w:tcPr>
          <w:p w14:paraId="62EC4336"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w:t>
            </w:r>
          </w:p>
        </w:tc>
        <w:tc>
          <w:tcPr>
            <w:tcW w:w="1240" w:type="dxa"/>
            <w:tcBorders>
              <w:top w:val="nil"/>
              <w:left w:val="nil"/>
              <w:bottom w:val="nil"/>
              <w:right w:val="nil"/>
            </w:tcBorders>
            <w:shd w:val="clear" w:color="000000" w:fill="FFFFFF"/>
            <w:noWrap/>
            <w:vAlign w:val="center"/>
            <w:hideMark/>
          </w:tcPr>
          <w:p w14:paraId="1CDB66CE"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w:t>
            </w:r>
          </w:p>
        </w:tc>
        <w:tc>
          <w:tcPr>
            <w:tcW w:w="1240" w:type="dxa"/>
            <w:gridSpan w:val="2"/>
            <w:tcBorders>
              <w:top w:val="nil"/>
              <w:left w:val="nil"/>
              <w:bottom w:val="nil"/>
              <w:right w:val="nil"/>
            </w:tcBorders>
            <w:shd w:val="clear" w:color="000000" w:fill="FFFFFF"/>
            <w:noWrap/>
            <w:vAlign w:val="center"/>
            <w:hideMark/>
          </w:tcPr>
          <w:p w14:paraId="2803ADCD"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w:t>
            </w:r>
          </w:p>
        </w:tc>
        <w:tc>
          <w:tcPr>
            <w:tcW w:w="1240" w:type="dxa"/>
            <w:gridSpan w:val="2"/>
            <w:tcBorders>
              <w:top w:val="nil"/>
              <w:left w:val="nil"/>
              <w:bottom w:val="nil"/>
              <w:right w:val="nil"/>
            </w:tcBorders>
            <w:shd w:val="clear" w:color="000000" w:fill="FFFFFF"/>
            <w:noWrap/>
            <w:vAlign w:val="bottom"/>
            <w:hideMark/>
          </w:tcPr>
          <w:p w14:paraId="302F5775"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(803)</w:t>
            </w:r>
          </w:p>
        </w:tc>
      </w:tr>
      <w:tr w:rsidR="00D61C9D" w:rsidRPr="00D61C9D" w14:paraId="649285E9" w14:textId="77777777" w:rsidTr="00D41B2D">
        <w:trPr>
          <w:gridAfter w:val="2"/>
          <w:wAfter w:w="491" w:type="dxa"/>
          <w:trHeight w:val="255"/>
        </w:trPr>
        <w:tc>
          <w:tcPr>
            <w:tcW w:w="1600" w:type="dxa"/>
            <w:tcBorders>
              <w:top w:val="nil"/>
              <w:left w:val="nil"/>
              <w:bottom w:val="nil"/>
              <w:right w:val="nil"/>
            </w:tcBorders>
            <w:shd w:val="clear" w:color="000000" w:fill="FFFFFF"/>
            <w:vAlign w:val="center"/>
            <w:hideMark/>
          </w:tcPr>
          <w:p w14:paraId="271641AA"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Lease liabilities</w:t>
            </w:r>
          </w:p>
        </w:tc>
        <w:tc>
          <w:tcPr>
            <w:tcW w:w="1060" w:type="dxa"/>
            <w:tcBorders>
              <w:top w:val="nil"/>
              <w:left w:val="nil"/>
              <w:bottom w:val="nil"/>
              <w:right w:val="nil"/>
            </w:tcBorders>
            <w:shd w:val="clear" w:color="000000" w:fill="FFFFFF"/>
            <w:vAlign w:val="center"/>
            <w:hideMark/>
          </w:tcPr>
          <w:p w14:paraId="1BE1CE6F"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100" w:type="dxa"/>
            <w:tcBorders>
              <w:top w:val="nil"/>
              <w:left w:val="nil"/>
              <w:bottom w:val="nil"/>
              <w:right w:val="nil"/>
            </w:tcBorders>
            <w:shd w:val="clear" w:color="000000" w:fill="FFFFFF"/>
            <w:noWrap/>
            <w:vAlign w:val="center"/>
            <w:hideMark/>
          </w:tcPr>
          <w:p w14:paraId="40B92A3A"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000000" w:fill="FFFFFF"/>
            <w:noWrap/>
            <w:vAlign w:val="center"/>
            <w:hideMark/>
          </w:tcPr>
          <w:p w14:paraId="1A95CBDD"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240" w:type="dxa"/>
            <w:gridSpan w:val="5"/>
            <w:tcBorders>
              <w:top w:val="nil"/>
              <w:left w:val="nil"/>
              <w:bottom w:val="nil"/>
              <w:right w:val="nil"/>
            </w:tcBorders>
            <w:shd w:val="clear" w:color="000000" w:fill="FFFFFF"/>
            <w:noWrap/>
            <w:vAlign w:val="center"/>
            <w:hideMark/>
          </w:tcPr>
          <w:p w14:paraId="7FBA9A20"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240" w:type="dxa"/>
            <w:tcBorders>
              <w:top w:val="nil"/>
              <w:left w:val="nil"/>
              <w:bottom w:val="nil"/>
              <w:right w:val="nil"/>
            </w:tcBorders>
            <w:shd w:val="clear" w:color="000000" w:fill="FFFFFF"/>
            <w:noWrap/>
            <w:vAlign w:val="center"/>
            <w:hideMark/>
          </w:tcPr>
          <w:p w14:paraId="34B7AA59"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240" w:type="dxa"/>
            <w:gridSpan w:val="2"/>
            <w:tcBorders>
              <w:top w:val="nil"/>
              <w:left w:val="nil"/>
              <w:bottom w:val="nil"/>
              <w:right w:val="nil"/>
            </w:tcBorders>
            <w:shd w:val="clear" w:color="000000" w:fill="FFFFFF"/>
            <w:noWrap/>
            <w:vAlign w:val="center"/>
            <w:hideMark/>
          </w:tcPr>
          <w:p w14:paraId="050EE164"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240" w:type="dxa"/>
            <w:gridSpan w:val="2"/>
            <w:tcBorders>
              <w:top w:val="nil"/>
              <w:left w:val="nil"/>
              <w:bottom w:val="nil"/>
              <w:right w:val="nil"/>
            </w:tcBorders>
            <w:shd w:val="clear" w:color="000000" w:fill="FFFFFF"/>
            <w:noWrap/>
            <w:vAlign w:val="bottom"/>
            <w:hideMark/>
          </w:tcPr>
          <w:p w14:paraId="26E970A1"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r>
      <w:tr w:rsidR="00D61C9D" w:rsidRPr="00D61C9D" w14:paraId="0FAAEA58" w14:textId="77777777" w:rsidTr="00D41B2D">
        <w:trPr>
          <w:gridAfter w:val="2"/>
          <w:wAfter w:w="491" w:type="dxa"/>
          <w:trHeight w:val="255"/>
        </w:trPr>
        <w:tc>
          <w:tcPr>
            <w:tcW w:w="2660" w:type="dxa"/>
            <w:gridSpan w:val="2"/>
            <w:tcBorders>
              <w:top w:val="nil"/>
              <w:left w:val="nil"/>
              <w:bottom w:val="nil"/>
              <w:right w:val="nil"/>
            </w:tcBorders>
            <w:shd w:val="clear" w:color="000000" w:fill="FFFFFF"/>
            <w:vAlign w:val="center"/>
            <w:hideMark/>
          </w:tcPr>
          <w:p w14:paraId="6428290A"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 current </w:t>
            </w:r>
          </w:p>
        </w:tc>
        <w:tc>
          <w:tcPr>
            <w:tcW w:w="1100" w:type="dxa"/>
            <w:tcBorders>
              <w:top w:val="nil"/>
              <w:left w:val="nil"/>
              <w:bottom w:val="nil"/>
              <w:right w:val="nil"/>
            </w:tcBorders>
            <w:shd w:val="clear" w:color="000000" w:fill="FFFFFF"/>
            <w:noWrap/>
            <w:vAlign w:val="center"/>
            <w:hideMark/>
          </w:tcPr>
          <w:p w14:paraId="73BB45F6"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000000" w:fill="FFFFFF"/>
            <w:noWrap/>
            <w:vAlign w:val="center"/>
            <w:hideMark/>
          </w:tcPr>
          <w:p w14:paraId="7277ECB2"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(191)</w:t>
            </w:r>
          </w:p>
        </w:tc>
        <w:tc>
          <w:tcPr>
            <w:tcW w:w="1240" w:type="dxa"/>
            <w:gridSpan w:val="5"/>
            <w:tcBorders>
              <w:top w:val="nil"/>
              <w:left w:val="nil"/>
              <w:bottom w:val="nil"/>
              <w:right w:val="nil"/>
            </w:tcBorders>
            <w:shd w:val="clear" w:color="000000" w:fill="FFFFFF"/>
            <w:noWrap/>
            <w:vAlign w:val="center"/>
            <w:hideMark/>
          </w:tcPr>
          <w:p w14:paraId="7DC04C17"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(15)</w:t>
            </w:r>
          </w:p>
        </w:tc>
        <w:tc>
          <w:tcPr>
            <w:tcW w:w="1240" w:type="dxa"/>
            <w:tcBorders>
              <w:top w:val="nil"/>
              <w:left w:val="nil"/>
              <w:bottom w:val="nil"/>
              <w:right w:val="nil"/>
            </w:tcBorders>
            <w:shd w:val="clear" w:color="000000" w:fill="FFFFFF"/>
            <w:noWrap/>
            <w:vAlign w:val="center"/>
            <w:hideMark/>
          </w:tcPr>
          <w:p w14:paraId="5534100E"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(95)</w:t>
            </w:r>
          </w:p>
        </w:tc>
        <w:tc>
          <w:tcPr>
            <w:tcW w:w="1240" w:type="dxa"/>
            <w:gridSpan w:val="2"/>
            <w:tcBorders>
              <w:top w:val="nil"/>
              <w:left w:val="nil"/>
              <w:bottom w:val="nil"/>
              <w:right w:val="nil"/>
            </w:tcBorders>
            <w:shd w:val="clear" w:color="000000" w:fill="FFFFFF"/>
            <w:noWrap/>
            <w:vAlign w:val="center"/>
            <w:hideMark/>
          </w:tcPr>
          <w:p w14:paraId="4958D31C"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104 </w:t>
            </w:r>
          </w:p>
        </w:tc>
        <w:tc>
          <w:tcPr>
            <w:tcW w:w="1240" w:type="dxa"/>
            <w:gridSpan w:val="2"/>
            <w:tcBorders>
              <w:top w:val="nil"/>
              <w:left w:val="nil"/>
              <w:bottom w:val="nil"/>
              <w:right w:val="nil"/>
            </w:tcBorders>
            <w:shd w:val="clear" w:color="000000" w:fill="FFFFFF"/>
            <w:noWrap/>
            <w:vAlign w:val="bottom"/>
            <w:hideMark/>
          </w:tcPr>
          <w:p w14:paraId="6FA7B3D5"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(197)</w:t>
            </w:r>
          </w:p>
        </w:tc>
      </w:tr>
      <w:tr w:rsidR="00D61C9D" w:rsidRPr="00D61C9D" w14:paraId="27736530" w14:textId="77777777" w:rsidTr="00D41B2D">
        <w:trPr>
          <w:gridAfter w:val="2"/>
          <w:wAfter w:w="491" w:type="dxa"/>
          <w:trHeight w:val="255"/>
        </w:trPr>
        <w:tc>
          <w:tcPr>
            <w:tcW w:w="2660" w:type="dxa"/>
            <w:gridSpan w:val="2"/>
            <w:tcBorders>
              <w:top w:val="nil"/>
              <w:left w:val="nil"/>
              <w:bottom w:val="single" w:sz="4" w:space="0" w:color="BFBFBF"/>
              <w:right w:val="nil"/>
            </w:tcBorders>
            <w:shd w:val="clear" w:color="000000" w:fill="FFFFFF"/>
            <w:vAlign w:val="center"/>
            <w:hideMark/>
          </w:tcPr>
          <w:p w14:paraId="2AECDE1A"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 non-current</w:t>
            </w:r>
          </w:p>
        </w:tc>
        <w:tc>
          <w:tcPr>
            <w:tcW w:w="1100" w:type="dxa"/>
            <w:tcBorders>
              <w:top w:val="nil"/>
              <w:left w:val="nil"/>
              <w:bottom w:val="single" w:sz="4" w:space="0" w:color="BFBFBF"/>
              <w:right w:val="nil"/>
            </w:tcBorders>
            <w:shd w:val="clear" w:color="000000" w:fill="FFFFFF"/>
            <w:noWrap/>
            <w:vAlign w:val="center"/>
            <w:hideMark/>
          </w:tcPr>
          <w:p w14:paraId="5C1164C2"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single" w:sz="4" w:space="0" w:color="BFBFBF"/>
              <w:right w:val="nil"/>
            </w:tcBorders>
            <w:shd w:val="clear" w:color="000000" w:fill="FFFFFF"/>
            <w:noWrap/>
            <w:vAlign w:val="center"/>
            <w:hideMark/>
          </w:tcPr>
          <w:p w14:paraId="22535419"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(1,234)</w:t>
            </w:r>
          </w:p>
        </w:tc>
        <w:tc>
          <w:tcPr>
            <w:tcW w:w="1240" w:type="dxa"/>
            <w:gridSpan w:val="5"/>
            <w:tcBorders>
              <w:top w:val="nil"/>
              <w:left w:val="nil"/>
              <w:bottom w:val="single" w:sz="4" w:space="0" w:color="BFBFBF"/>
              <w:right w:val="nil"/>
            </w:tcBorders>
            <w:shd w:val="clear" w:color="000000" w:fill="FFFFFF"/>
            <w:noWrap/>
            <w:vAlign w:val="center"/>
            <w:hideMark/>
          </w:tcPr>
          <w:p w14:paraId="71CE12F4"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(97)</w:t>
            </w:r>
          </w:p>
        </w:tc>
        <w:tc>
          <w:tcPr>
            <w:tcW w:w="1240" w:type="dxa"/>
            <w:tcBorders>
              <w:top w:val="nil"/>
              <w:left w:val="nil"/>
              <w:bottom w:val="single" w:sz="4" w:space="0" w:color="BFBFBF"/>
              <w:right w:val="nil"/>
            </w:tcBorders>
            <w:shd w:val="clear" w:color="000000" w:fill="FFFFFF"/>
            <w:noWrap/>
            <w:vAlign w:val="center"/>
            <w:hideMark/>
          </w:tcPr>
          <w:p w14:paraId="09BA0C9C"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66 </w:t>
            </w:r>
          </w:p>
        </w:tc>
        <w:tc>
          <w:tcPr>
            <w:tcW w:w="1240" w:type="dxa"/>
            <w:gridSpan w:val="2"/>
            <w:tcBorders>
              <w:top w:val="nil"/>
              <w:left w:val="nil"/>
              <w:bottom w:val="single" w:sz="4" w:space="0" w:color="BFBFBF"/>
              <w:right w:val="nil"/>
            </w:tcBorders>
            <w:shd w:val="clear" w:color="000000" w:fill="FFFFFF"/>
            <w:noWrap/>
            <w:vAlign w:val="center"/>
            <w:hideMark/>
          </w:tcPr>
          <w:p w14:paraId="41827ACA"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w:t>
            </w:r>
          </w:p>
        </w:tc>
        <w:tc>
          <w:tcPr>
            <w:tcW w:w="1240" w:type="dxa"/>
            <w:gridSpan w:val="2"/>
            <w:tcBorders>
              <w:top w:val="nil"/>
              <w:left w:val="nil"/>
              <w:bottom w:val="single" w:sz="4" w:space="0" w:color="BFBFBF"/>
              <w:right w:val="nil"/>
            </w:tcBorders>
            <w:shd w:val="clear" w:color="000000" w:fill="FFFFFF"/>
            <w:noWrap/>
            <w:vAlign w:val="bottom"/>
            <w:hideMark/>
          </w:tcPr>
          <w:p w14:paraId="45AD611D"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(1,265)</w:t>
            </w:r>
          </w:p>
        </w:tc>
      </w:tr>
      <w:tr w:rsidR="00D61C9D" w:rsidRPr="00D61C9D" w14:paraId="1FF815E6" w14:textId="77777777" w:rsidTr="00D41B2D">
        <w:trPr>
          <w:gridAfter w:val="2"/>
          <w:wAfter w:w="491" w:type="dxa"/>
          <w:trHeight w:val="255"/>
        </w:trPr>
        <w:tc>
          <w:tcPr>
            <w:tcW w:w="1600" w:type="dxa"/>
            <w:tcBorders>
              <w:top w:val="nil"/>
              <w:left w:val="nil"/>
              <w:bottom w:val="single" w:sz="4" w:space="0" w:color="BFBFBF"/>
              <w:right w:val="nil"/>
            </w:tcBorders>
            <w:shd w:val="clear" w:color="000000" w:fill="FFFFFF"/>
            <w:vAlign w:val="center"/>
            <w:hideMark/>
          </w:tcPr>
          <w:p w14:paraId="10FD9923" w14:textId="77777777" w:rsidR="00D61C9D" w:rsidRPr="00D61C9D" w:rsidRDefault="00D61C9D" w:rsidP="00D61C9D">
            <w:pPr>
              <w:spacing w:after="0" w:line="240" w:lineRule="auto"/>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Total Debt</w:t>
            </w:r>
          </w:p>
        </w:tc>
        <w:tc>
          <w:tcPr>
            <w:tcW w:w="1060" w:type="dxa"/>
            <w:tcBorders>
              <w:top w:val="nil"/>
              <w:left w:val="nil"/>
              <w:bottom w:val="single" w:sz="4" w:space="0" w:color="BFBFBF"/>
              <w:right w:val="nil"/>
            </w:tcBorders>
            <w:shd w:val="clear" w:color="000000" w:fill="FFFFFF"/>
            <w:vAlign w:val="center"/>
            <w:hideMark/>
          </w:tcPr>
          <w:p w14:paraId="6BE89E1E"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100" w:type="dxa"/>
            <w:tcBorders>
              <w:top w:val="nil"/>
              <w:left w:val="nil"/>
              <w:bottom w:val="single" w:sz="4" w:space="0" w:color="BFBFBF"/>
              <w:right w:val="nil"/>
            </w:tcBorders>
            <w:shd w:val="clear" w:color="000000" w:fill="FFFFFF"/>
            <w:noWrap/>
            <w:vAlign w:val="center"/>
            <w:hideMark/>
          </w:tcPr>
          <w:p w14:paraId="5606CCE6"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single" w:sz="4" w:space="0" w:color="BFBFBF"/>
              <w:right w:val="nil"/>
            </w:tcBorders>
            <w:shd w:val="clear" w:color="000000" w:fill="FFFFFF"/>
            <w:noWrap/>
            <w:vAlign w:val="center"/>
            <w:hideMark/>
          </w:tcPr>
          <w:p w14:paraId="5DEF71E3"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(2,244)</w:t>
            </w:r>
          </w:p>
        </w:tc>
        <w:tc>
          <w:tcPr>
            <w:tcW w:w="1240" w:type="dxa"/>
            <w:gridSpan w:val="5"/>
            <w:tcBorders>
              <w:top w:val="nil"/>
              <w:left w:val="nil"/>
              <w:bottom w:val="single" w:sz="4" w:space="0" w:color="BFBFBF"/>
              <w:right w:val="nil"/>
            </w:tcBorders>
            <w:shd w:val="clear" w:color="000000" w:fill="FFFFFF"/>
            <w:noWrap/>
            <w:vAlign w:val="center"/>
            <w:hideMark/>
          </w:tcPr>
          <w:p w14:paraId="45F1059B"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(112)</w:t>
            </w:r>
          </w:p>
        </w:tc>
        <w:tc>
          <w:tcPr>
            <w:tcW w:w="1240" w:type="dxa"/>
            <w:tcBorders>
              <w:top w:val="nil"/>
              <w:left w:val="nil"/>
              <w:bottom w:val="single" w:sz="4" w:space="0" w:color="BFBFBF"/>
              <w:right w:val="nil"/>
            </w:tcBorders>
            <w:shd w:val="clear" w:color="000000" w:fill="FFFFFF"/>
            <w:noWrap/>
            <w:vAlign w:val="center"/>
            <w:hideMark/>
          </w:tcPr>
          <w:p w14:paraId="4A70D39D"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(54)</w:t>
            </w:r>
          </w:p>
        </w:tc>
        <w:tc>
          <w:tcPr>
            <w:tcW w:w="1240" w:type="dxa"/>
            <w:gridSpan w:val="2"/>
            <w:tcBorders>
              <w:top w:val="nil"/>
              <w:left w:val="nil"/>
              <w:bottom w:val="single" w:sz="4" w:space="0" w:color="BFBFBF"/>
              <w:right w:val="nil"/>
            </w:tcBorders>
            <w:shd w:val="clear" w:color="000000" w:fill="FFFFFF"/>
            <w:noWrap/>
            <w:vAlign w:val="center"/>
            <w:hideMark/>
          </w:tcPr>
          <w:p w14:paraId="657312BD"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106 </w:t>
            </w:r>
          </w:p>
        </w:tc>
        <w:tc>
          <w:tcPr>
            <w:tcW w:w="1240" w:type="dxa"/>
            <w:gridSpan w:val="2"/>
            <w:tcBorders>
              <w:top w:val="nil"/>
              <w:left w:val="nil"/>
              <w:bottom w:val="single" w:sz="4" w:space="0" w:color="BFBFBF"/>
              <w:right w:val="nil"/>
            </w:tcBorders>
            <w:shd w:val="clear" w:color="000000" w:fill="FFFFFF"/>
            <w:noWrap/>
            <w:vAlign w:val="center"/>
            <w:hideMark/>
          </w:tcPr>
          <w:p w14:paraId="0AA2BB4C"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(2,304)</w:t>
            </w:r>
          </w:p>
        </w:tc>
      </w:tr>
      <w:tr w:rsidR="00D61C9D" w:rsidRPr="00D61C9D" w14:paraId="30FEEFD3" w14:textId="77777777" w:rsidTr="00D41B2D">
        <w:trPr>
          <w:gridAfter w:val="2"/>
          <w:wAfter w:w="491" w:type="dxa"/>
          <w:trHeight w:val="255"/>
        </w:trPr>
        <w:tc>
          <w:tcPr>
            <w:tcW w:w="2660" w:type="dxa"/>
            <w:gridSpan w:val="2"/>
            <w:tcBorders>
              <w:top w:val="nil"/>
              <w:left w:val="nil"/>
              <w:bottom w:val="nil"/>
              <w:right w:val="nil"/>
            </w:tcBorders>
            <w:shd w:val="clear" w:color="000000" w:fill="FFFFFF"/>
            <w:vAlign w:val="center"/>
            <w:hideMark/>
          </w:tcPr>
          <w:p w14:paraId="0B6CD061"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Group cash:</w:t>
            </w:r>
          </w:p>
        </w:tc>
        <w:tc>
          <w:tcPr>
            <w:tcW w:w="1100" w:type="dxa"/>
            <w:tcBorders>
              <w:top w:val="nil"/>
              <w:left w:val="nil"/>
              <w:bottom w:val="nil"/>
              <w:right w:val="nil"/>
            </w:tcBorders>
            <w:shd w:val="clear" w:color="000000" w:fill="FFFFFF"/>
            <w:noWrap/>
            <w:vAlign w:val="center"/>
            <w:hideMark/>
          </w:tcPr>
          <w:p w14:paraId="6882D913"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000000" w:fill="FFFFFF"/>
            <w:noWrap/>
            <w:vAlign w:val="center"/>
            <w:hideMark/>
          </w:tcPr>
          <w:p w14:paraId="7ECEA4CF"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240" w:type="dxa"/>
            <w:gridSpan w:val="5"/>
            <w:tcBorders>
              <w:top w:val="nil"/>
              <w:left w:val="nil"/>
              <w:bottom w:val="nil"/>
              <w:right w:val="nil"/>
            </w:tcBorders>
            <w:shd w:val="clear" w:color="000000" w:fill="FFFFFF"/>
            <w:noWrap/>
            <w:vAlign w:val="center"/>
            <w:hideMark/>
          </w:tcPr>
          <w:p w14:paraId="5895A384"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240" w:type="dxa"/>
            <w:tcBorders>
              <w:top w:val="nil"/>
              <w:left w:val="nil"/>
              <w:bottom w:val="nil"/>
              <w:right w:val="nil"/>
            </w:tcBorders>
            <w:shd w:val="clear" w:color="000000" w:fill="FFFFFF"/>
            <w:noWrap/>
            <w:vAlign w:val="center"/>
            <w:hideMark/>
          </w:tcPr>
          <w:p w14:paraId="7FAEE4C7"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240" w:type="dxa"/>
            <w:gridSpan w:val="2"/>
            <w:tcBorders>
              <w:top w:val="nil"/>
              <w:left w:val="nil"/>
              <w:bottom w:val="nil"/>
              <w:right w:val="nil"/>
            </w:tcBorders>
            <w:shd w:val="clear" w:color="000000" w:fill="FFFFFF"/>
            <w:noWrap/>
            <w:vAlign w:val="center"/>
            <w:hideMark/>
          </w:tcPr>
          <w:p w14:paraId="738BA0B9"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240" w:type="dxa"/>
            <w:gridSpan w:val="2"/>
            <w:tcBorders>
              <w:top w:val="nil"/>
              <w:left w:val="nil"/>
              <w:bottom w:val="nil"/>
              <w:right w:val="nil"/>
            </w:tcBorders>
            <w:shd w:val="clear" w:color="000000" w:fill="FFFFFF"/>
            <w:noWrap/>
            <w:vAlign w:val="center"/>
            <w:hideMark/>
          </w:tcPr>
          <w:p w14:paraId="4EA1D1EA"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r>
      <w:tr w:rsidR="00D61C9D" w:rsidRPr="00D61C9D" w14:paraId="09FFDB35" w14:textId="77777777" w:rsidTr="00D41B2D">
        <w:trPr>
          <w:gridAfter w:val="2"/>
          <w:wAfter w:w="491" w:type="dxa"/>
          <w:trHeight w:val="255"/>
        </w:trPr>
        <w:tc>
          <w:tcPr>
            <w:tcW w:w="2660" w:type="dxa"/>
            <w:gridSpan w:val="2"/>
            <w:tcBorders>
              <w:top w:val="nil"/>
              <w:left w:val="nil"/>
              <w:bottom w:val="nil"/>
              <w:right w:val="nil"/>
            </w:tcBorders>
            <w:shd w:val="clear" w:color="000000" w:fill="FFFFFF"/>
            <w:vAlign w:val="center"/>
            <w:hideMark/>
          </w:tcPr>
          <w:p w14:paraId="3F43481F"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 cash and overdrafts</w:t>
            </w:r>
          </w:p>
        </w:tc>
        <w:tc>
          <w:tcPr>
            <w:tcW w:w="1100" w:type="dxa"/>
            <w:tcBorders>
              <w:top w:val="nil"/>
              <w:left w:val="nil"/>
              <w:bottom w:val="nil"/>
              <w:right w:val="nil"/>
            </w:tcBorders>
            <w:shd w:val="clear" w:color="000000" w:fill="FFFFFF"/>
            <w:noWrap/>
            <w:vAlign w:val="center"/>
            <w:hideMark/>
          </w:tcPr>
          <w:p w14:paraId="13329845"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000000" w:fill="FFFFFF"/>
            <w:noWrap/>
            <w:vAlign w:val="center"/>
            <w:hideMark/>
          </w:tcPr>
          <w:p w14:paraId="17083BBA"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269 </w:t>
            </w:r>
          </w:p>
        </w:tc>
        <w:tc>
          <w:tcPr>
            <w:tcW w:w="1240" w:type="dxa"/>
            <w:gridSpan w:val="5"/>
            <w:tcBorders>
              <w:top w:val="nil"/>
              <w:left w:val="nil"/>
              <w:bottom w:val="nil"/>
              <w:right w:val="nil"/>
            </w:tcBorders>
            <w:shd w:val="clear" w:color="000000" w:fill="FFFFFF"/>
            <w:noWrap/>
            <w:vAlign w:val="center"/>
            <w:hideMark/>
          </w:tcPr>
          <w:p w14:paraId="31E80BF0"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w:t>
            </w:r>
          </w:p>
        </w:tc>
        <w:tc>
          <w:tcPr>
            <w:tcW w:w="1240" w:type="dxa"/>
            <w:tcBorders>
              <w:top w:val="nil"/>
              <w:left w:val="nil"/>
              <w:bottom w:val="nil"/>
              <w:right w:val="nil"/>
            </w:tcBorders>
            <w:shd w:val="clear" w:color="000000" w:fill="FFFFFF"/>
            <w:noWrap/>
            <w:vAlign w:val="center"/>
            <w:hideMark/>
          </w:tcPr>
          <w:p w14:paraId="2E1EC6F6"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w:t>
            </w:r>
          </w:p>
        </w:tc>
        <w:tc>
          <w:tcPr>
            <w:tcW w:w="1240" w:type="dxa"/>
            <w:gridSpan w:val="2"/>
            <w:tcBorders>
              <w:top w:val="nil"/>
              <w:left w:val="nil"/>
              <w:bottom w:val="nil"/>
              <w:right w:val="nil"/>
            </w:tcBorders>
            <w:shd w:val="clear" w:color="000000" w:fill="FFFFFF"/>
            <w:noWrap/>
            <w:vAlign w:val="center"/>
            <w:hideMark/>
          </w:tcPr>
          <w:p w14:paraId="6DC39DDC"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(139)</w:t>
            </w:r>
          </w:p>
        </w:tc>
        <w:tc>
          <w:tcPr>
            <w:tcW w:w="1240" w:type="dxa"/>
            <w:gridSpan w:val="2"/>
            <w:tcBorders>
              <w:top w:val="nil"/>
              <w:left w:val="nil"/>
              <w:bottom w:val="nil"/>
              <w:right w:val="nil"/>
            </w:tcBorders>
            <w:shd w:val="clear" w:color="000000" w:fill="FFFFFF"/>
            <w:noWrap/>
            <w:vAlign w:val="center"/>
            <w:hideMark/>
          </w:tcPr>
          <w:p w14:paraId="048C009B"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130 </w:t>
            </w:r>
          </w:p>
        </w:tc>
      </w:tr>
      <w:tr w:rsidR="00D61C9D" w:rsidRPr="00D61C9D" w14:paraId="17B9B1EC" w14:textId="77777777" w:rsidTr="00D41B2D">
        <w:trPr>
          <w:gridAfter w:val="2"/>
          <w:wAfter w:w="491" w:type="dxa"/>
          <w:trHeight w:val="255"/>
        </w:trPr>
        <w:tc>
          <w:tcPr>
            <w:tcW w:w="1600" w:type="dxa"/>
            <w:tcBorders>
              <w:top w:val="single" w:sz="4" w:space="0" w:color="BFBFBF"/>
              <w:left w:val="nil"/>
              <w:bottom w:val="single" w:sz="4" w:space="0" w:color="BFBFBF"/>
              <w:right w:val="nil"/>
            </w:tcBorders>
            <w:shd w:val="clear" w:color="000000" w:fill="FFFFFF"/>
            <w:vAlign w:val="center"/>
            <w:hideMark/>
          </w:tcPr>
          <w:p w14:paraId="378929C4" w14:textId="77777777" w:rsidR="00D61C9D" w:rsidRPr="00D61C9D" w:rsidRDefault="00D61C9D" w:rsidP="00D61C9D">
            <w:pPr>
              <w:spacing w:after="0" w:line="240" w:lineRule="auto"/>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Group Net Debt</w:t>
            </w:r>
          </w:p>
        </w:tc>
        <w:tc>
          <w:tcPr>
            <w:tcW w:w="1060" w:type="dxa"/>
            <w:tcBorders>
              <w:top w:val="single" w:sz="4" w:space="0" w:color="BFBFBF"/>
              <w:left w:val="nil"/>
              <w:bottom w:val="single" w:sz="4" w:space="0" w:color="BFBFBF"/>
              <w:right w:val="nil"/>
            </w:tcBorders>
            <w:shd w:val="clear" w:color="000000" w:fill="FFFFFF"/>
            <w:vAlign w:val="center"/>
            <w:hideMark/>
          </w:tcPr>
          <w:p w14:paraId="24140FCF"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100" w:type="dxa"/>
            <w:tcBorders>
              <w:top w:val="single" w:sz="4" w:space="0" w:color="BFBFBF"/>
              <w:left w:val="nil"/>
              <w:bottom w:val="single" w:sz="4" w:space="0" w:color="BFBFBF"/>
              <w:right w:val="nil"/>
            </w:tcBorders>
            <w:shd w:val="clear" w:color="000000" w:fill="FFFFFF"/>
            <w:noWrap/>
            <w:vAlign w:val="center"/>
            <w:hideMark/>
          </w:tcPr>
          <w:p w14:paraId="30AF363E"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single" w:sz="4" w:space="0" w:color="BFBFBF"/>
              <w:left w:val="nil"/>
              <w:bottom w:val="single" w:sz="4" w:space="0" w:color="BFBFBF"/>
              <w:right w:val="nil"/>
            </w:tcBorders>
            <w:shd w:val="clear" w:color="000000" w:fill="FFFFFF"/>
            <w:noWrap/>
            <w:vAlign w:val="center"/>
            <w:hideMark/>
          </w:tcPr>
          <w:p w14:paraId="4CC0AB49"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(1,975)</w:t>
            </w:r>
          </w:p>
        </w:tc>
        <w:tc>
          <w:tcPr>
            <w:tcW w:w="1240" w:type="dxa"/>
            <w:gridSpan w:val="5"/>
            <w:tcBorders>
              <w:top w:val="single" w:sz="4" w:space="0" w:color="BFBFBF"/>
              <w:left w:val="nil"/>
              <w:bottom w:val="single" w:sz="4" w:space="0" w:color="BFBFBF"/>
              <w:right w:val="nil"/>
            </w:tcBorders>
            <w:shd w:val="clear" w:color="000000" w:fill="FFFFFF"/>
            <w:noWrap/>
            <w:vAlign w:val="center"/>
            <w:hideMark/>
          </w:tcPr>
          <w:p w14:paraId="1677E34B"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(112)</w:t>
            </w:r>
          </w:p>
        </w:tc>
        <w:tc>
          <w:tcPr>
            <w:tcW w:w="1240" w:type="dxa"/>
            <w:tcBorders>
              <w:top w:val="single" w:sz="4" w:space="0" w:color="BFBFBF"/>
              <w:left w:val="nil"/>
              <w:bottom w:val="single" w:sz="4" w:space="0" w:color="BFBFBF"/>
              <w:right w:val="nil"/>
            </w:tcBorders>
            <w:shd w:val="clear" w:color="000000" w:fill="FFFFFF"/>
            <w:noWrap/>
            <w:vAlign w:val="center"/>
            <w:hideMark/>
          </w:tcPr>
          <w:p w14:paraId="10576A93"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(54)</w:t>
            </w:r>
          </w:p>
        </w:tc>
        <w:tc>
          <w:tcPr>
            <w:tcW w:w="1240" w:type="dxa"/>
            <w:gridSpan w:val="2"/>
            <w:tcBorders>
              <w:top w:val="single" w:sz="4" w:space="0" w:color="BFBFBF"/>
              <w:left w:val="nil"/>
              <w:bottom w:val="single" w:sz="4" w:space="0" w:color="BFBFBF"/>
              <w:right w:val="nil"/>
            </w:tcBorders>
            <w:shd w:val="clear" w:color="000000" w:fill="FFFFFF"/>
            <w:noWrap/>
            <w:vAlign w:val="center"/>
            <w:hideMark/>
          </w:tcPr>
          <w:p w14:paraId="04A030F8"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(33)</w:t>
            </w:r>
          </w:p>
        </w:tc>
        <w:tc>
          <w:tcPr>
            <w:tcW w:w="1240" w:type="dxa"/>
            <w:gridSpan w:val="2"/>
            <w:tcBorders>
              <w:top w:val="single" w:sz="4" w:space="0" w:color="BFBFBF"/>
              <w:left w:val="nil"/>
              <w:bottom w:val="single" w:sz="4" w:space="0" w:color="BFBFBF"/>
              <w:right w:val="nil"/>
            </w:tcBorders>
            <w:shd w:val="clear" w:color="000000" w:fill="FFFFFF"/>
            <w:noWrap/>
            <w:vAlign w:val="center"/>
            <w:hideMark/>
          </w:tcPr>
          <w:p w14:paraId="108349FA"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(2,174)</w:t>
            </w:r>
          </w:p>
        </w:tc>
      </w:tr>
      <w:tr w:rsidR="00D61C9D" w:rsidRPr="00D61C9D" w14:paraId="582F016C" w14:textId="77777777" w:rsidTr="00D41B2D">
        <w:trPr>
          <w:gridAfter w:val="2"/>
          <w:wAfter w:w="491" w:type="dxa"/>
          <w:trHeight w:val="255"/>
        </w:trPr>
        <w:tc>
          <w:tcPr>
            <w:tcW w:w="1600" w:type="dxa"/>
            <w:tcBorders>
              <w:top w:val="nil"/>
              <w:left w:val="nil"/>
              <w:bottom w:val="nil"/>
              <w:right w:val="nil"/>
            </w:tcBorders>
            <w:shd w:val="clear" w:color="auto" w:fill="auto"/>
            <w:noWrap/>
            <w:vAlign w:val="bottom"/>
            <w:hideMark/>
          </w:tcPr>
          <w:p w14:paraId="49EB63C1" w14:textId="77777777" w:rsidR="00D61C9D" w:rsidRPr="00D61C9D" w:rsidRDefault="00D61C9D" w:rsidP="00D61C9D">
            <w:pPr>
              <w:spacing w:after="0" w:line="240" w:lineRule="auto"/>
              <w:jc w:val="right"/>
              <w:rPr>
                <w:rFonts w:ascii="Arial" w:eastAsia="Times New Roman" w:hAnsi="Arial" w:cs="Arial"/>
                <w:sz w:val="15"/>
                <w:szCs w:val="15"/>
                <w:lang w:eastAsia="en-GB"/>
              </w:rPr>
            </w:pPr>
          </w:p>
        </w:tc>
        <w:tc>
          <w:tcPr>
            <w:tcW w:w="1060" w:type="dxa"/>
            <w:tcBorders>
              <w:top w:val="nil"/>
              <w:left w:val="nil"/>
              <w:bottom w:val="nil"/>
              <w:right w:val="nil"/>
            </w:tcBorders>
            <w:shd w:val="clear" w:color="auto" w:fill="auto"/>
            <w:noWrap/>
            <w:vAlign w:val="bottom"/>
            <w:hideMark/>
          </w:tcPr>
          <w:p w14:paraId="665EC5B8" w14:textId="77777777" w:rsidR="00D61C9D" w:rsidRPr="00D61C9D" w:rsidRDefault="00D61C9D" w:rsidP="00D61C9D">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5CD3FF2E" w14:textId="77777777" w:rsidR="00D61C9D" w:rsidRPr="00D61C9D" w:rsidRDefault="00D61C9D" w:rsidP="00D61C9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4BF171A9" w14:textId="77777777" w:rsidR="00D61C9D" w:rsidRPr="00D61C9D" w:rsidRDefault="00D61C9D" w:rsidP="00D61C9D">
            <w:pPr>
              <w:spacing w:after="0" w:line="240" w:lineRule="auto"/>
              <w:jc w:val="right"/>
              <w:rPr>
                <w:rFonts w:ascii="Times New Roman" w:eastAsia="Times New Roman" w:hAnsi="Times New Roman" w:cs="Times New Roman"/>
                <w:sz w:val="20"/>
                <w:szCs w:val="20"/>
                <w:lang w:eastAsia="en-GB"/>
              </w:rPr>
            </w:pPr>
          </w:p>
        </w:tc>
        <w:tc>
          <w:tcPr>
            <w:tcW w:w="1240" w:type="dxa"/>
            <w:gridSpan w:val="5"/>
            <w:tcBorders>
              <w:top w:val="nil"/>
              <w:left w:val="nil"/>
              <w:bottom w:val="nil"/>
              <w:right w:val="nil"/>
            </w:tcBorders>
            <w:shd w:val="clear" w:color="auto" w:fill="auto"/>
            <w:noWrap/>
            <w:vAlign w:val="bottom"/>
            <w:hideMark/>
          </w:tcPr>
          <w:p w14:paraId="08A23418" w14:textId="77777777" w:rsidR="00D61C9D" w:rsidRPr="00D61C9D" w:rsidRDefault="00D61C9D" w:rsidP="00D61C9D">
            <w:pPr>
              <w:spacing w:after="0" w:line="240" w:lineRule="auto"/>
              <w:jc w:val="right"/>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51B52C13" w14:textId="77777777" w:rsidR="00D61C9D" w:rsidRPr="00D61C9D" w:rsidRDefault="00D61C9D" w:rsidP="00D61C9D">
            <w:pPr>
              <w:spacing w:after="0" w:line="240" w:lineRule="auto"/>
              <w:jc w:val="right"/>
              <w:rPr>
                <w:rFonts w:ascii="Times New Roman" w:eastAsia="Times New Roman" w:hAnsi="Times New Roman" w:cs="Times New Roman"/>
                <w:sz w:val="20"/>
                <w:szCs w:val="20"/>
                <w:lang w:eastAsia="en-GB"/>
              </w:rPr>
            </w:pPr>
          </w:p>
        </w:tc>
        <w:tc>
          <w:tcPr>
            <w:tcW w:w="1240" w:type="dxa"/>
            <w:gridSpan w:val="2"/>
            <w:tcBorders>
              <w:top w:val="nil"/>
              <w:left w:val="nil"/>
              <w:bottom w:val="nil"/>
              <w:right w:val="nil"/>
            </w:tcBorders>
            <w:shd w:val="clear" w:color="auto" w:fill="auto"/>
            <w:noWrap/>
            <w:vAlign w:val="bottom"/>
            <w:hideMark/>
          </w:tcPr>
          <w:p w14:paraId="2E68A6F3" w14:textId="77777777" w:rsidR="00D61C9D" w:rsidRPr="00D61C9D" w:rsidRDefault="00D61C9D" w:rsidP="00D61C9D">
            <w:pPr>
              <w:spacing w:after="0" w:line="240" w:lineRule="auto"/>
              <w:jc w:val="right"/>
              <w:rPr>
                <w:rFonts w:ascii="Times New Roman" w:eastAsia="Times New Roman" w:hAnsi="Times New Roman" w:cs="Times New Roman"/>
                <w:sz w:val="20"/>
                <w:szCs w:val="20"/>
                <w:lang w:eastAsia="en-GB"/>
              </w:rPr>
            </w:pPr>
          </w:p>
        </w:tc>
        <w:tc>
          <w:tcPr>
            <w:tcW w:w="1240" w:type="dxa"/>
            <w:gridSpan w:val="2"/>
            <w:tcBorders>
              <w:top w:val="nil"/>
              <w:left w:val="nil"/>
              <w:bottom w:val="nil"/>
              <w:right w:val="nil"/>
            </w:tcBorders>
            <w:shd w:val="clear" w:color="auto" w:fill="auto"/>
            <w:noWrap/>
            <w:vAlign w:val="bottom"/>
            <w:hideMark/>
          </w:tcPr>
          <w:p w14:paraId="7FD98E24" w14:textId="77777777" w:rsidR="00D61C9D" w:rsidRPr="00D61C9D" w:rsidRDefault="00D61C9D" w:rsidP="00D61C9D">
            <w:pPr>
              <w:spacing w:after="0" w:line="240" w:lineRule="auto"/>
              <w:jc w:val="right"/>
              <w:rPr>
                <w:rFonts w:ascii="Times New Roman" w:eastAsia="Times New Roman" w:hAnsi="Times New Roman" w:cs="Times New Roman"/>
                <w:sz w:val="20"/>
                <w:szCs w:val="20"/>
                <w:lang w:eastAsia="en-GB"/>
              </w:rPr>
            </w:pPr>
          </w:p>
        </w:tc>
      </w:tr>
      <w:tr w:rsidR="00D61C9D" w:rsidRPr="00D61C9D" w14:paraId="501D0EED" w14:textId="77777777" w:rsidTr="00D41B2D">
        <w:trPr>
          <w:gridAfter w:val="2"/>
          <w:wAfter w:w="491" w:type="dxa"/>
          <w:trHeight w:val="469"/>
        </w:trPr>
        <w:tc>
          <w:tcPr>
            <w:tcW w:w="1600" w:type="dxa"/>
            <w:tcBorders>
              <w:top w:val="nil"/>
              <w:left w:val="nil"/>
              <w:bottom w:val="nil"/>
              <w:right w:val="nil"/>
            </w:tcBorders>
            <w:shd w:val="clear" w:color="auto" w:fill="auto"/>
            <w:noWrap/>
            <w:vAlign w:val="bottom"/>
            <w:hideMark/>
          </w:tcPr>
          <w:p w14:paraId="1E56804D" w14:textId="77777777" w:rsidR="00D61C9D" w:rsidRPr="00D61C9D" w:rsidRDefault="00D61C9D" w:rsidP="00D61C9D">
            <w:pPr>
              <w:spacing w:after="0" w:line="240" w:lineRule="auto"/>
              <w:jc w:val="right"/>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7784CB4F" w14:textId="77777777" w:rsidR="00D61C9D" w:rsidRPr="00D61C9D" w:rsidRDefault="00D61C9D" w:rsidP="00D61C9D">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3C787E86" w14:textId="77777777" w:rsidR="00D61C9D" w:rsidRPr="00D61C9D" w:rsidRDefault="00D61C9D" w:rsidP="00D61C9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59AB903" w14:textId="77777777" w:rsidR="00D61C9D" w:rsidRPr="00D61C9D" w:rsidRDefault="00D61C9D" w:rsidP="00D61C9D">
            <w:pPr>
              <w:spacing w:after="0" w:line="240" w:lineRule="auto"/>
              <w:jc w:val="right"/>
              <w:rPr>
                <w:rFonts w:ascii="Times New Roman" w:eastAsia="Times New Roman" w:hAnsi="Times New Roman" w:cs="Times New Roman"/>
                <w:sz w:val="20"/>
                <w:szCs w:val="20"/>
                <w:lang w:eastAsia="en-GB"/>
              </w:rPr>
            </w:pPr>
          </w:p>
        </w:tc>
        <w:tc>
          <w:tcPr>
            <w:tcW w:w="1240" w:type="dxa"/>
            <w:gridSpan w:val="5"/>
            <w:tcBorders>
              <w:top w:val="nil"/>
              <w:left w:val="nil"/>
              <w:bottom w:val="nil"/>
              <w:right w:val="nil"/>
            </w:tcBorders>
            <w:shd w:val="clear" w:color="auto" w:fill="auto"/>
            <w:noWrap/>
            <w:vAlign w:val="bottom"/>
            <w:hideMark/>
          </w:tcPr>
          <w:p w14:paraId="4BB89C3A" w14:textId="77777777" w:rsidR="00D61C9D" w:rsidRPr="00D61C9D" w:rsidRDefault="00D61C9D" w:rsidP="00D61C9D">
            <w:pPr>
              <w:spacing w:after="0" w:line="240" w:lineRule="auto"/>
              <w:jc w:val="right"/>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044E4BE5" w14:textId="77777777" w:rsidR="00D61C9D" w:rsidRPr="00D61C9D" w:rsidRDefault="00D61C9D" w:rsidP="00D61C9D">
            <w:pPr>
              <w:spacing w:after="0" w:line="240" w:lineRule="auto"/>
              <w:jc w:val="right"/>
              <w:rPr>
                <w:rFonts w:ascii="Times New Roman" w:eastAsia="Times New Roman" w:hAnsi="Times New Roman" w:cs="Times New Roman"/>
                <w:sz w:val="20"/>
                <w:szCs w:val="20"/>
                <w:lang w:eastAsia="en-GB"/>
              </w:rPr>
            </w:pPr>
          </w:p>
        </w:tc>
        <w:tc>
          <w:tcPr>
            <w:tcW w:w="1240" w:type="dxa"/>
            <w:gridSpan w:val="2"/>
            <w:tcBorders>
              <w:top w:val="nil"/>
              <w:left w:val="nil"/>
              <w:bottom w:val="nil"/>
              <w:right w:val="nil"/>
            </w:tcBorders>
            <w:shd w:val="clear" w:color="auto" w:fill="auto"/>
            <w:noWrap/>
            <w:vAlign w:val="bottom"/>
            <w:hideMark/>
          </w:tcPr>
          <w:p w14:paraId="4AC2361B" w14:textId="77777777" w:rsidR="00D61C9D" w:rsidRPr="00D61C9D" w:rsidRDefault="00D61C9D" w:rsidP="00D61C9D">
            <w:pPr>
              <w:spacing w:after="0" w:line="240" w:lineRule="auto"/>
              <w:jc w:val="right"/>
              <w:rPr>
                <w:rFonts w:ascii="Times New Roman" w:eastAsia="Times New Roman" w:hAnsi="Times New Roman" w:cs="Times New Roman"/>
                <w:sz w:val="20"/>
                <w:szCs w:val="20"/>
                <w:lang w:eastAsia="en-GB"/>
              </w:rPr>
            </w:pPr>
          </w:p>
        </w:tc>
        <w:tc>
          <w:tcPr>
            <w:tcW w:w="1240" w:type="dxa"/>
            <w:gridSpan w:val="2"/>
            <w:tcBorders>
              <w:top w:val="nil"/>
              <w:left w:val="nil"/>
              <w:bottom w:val="nil"/>
              <w:right w:val="nil"/>
            </w:tcBorders>
            <w:shd w:val="clear" w:color="auto" w:fill="auto"/>
            <w:noWrap/>
            <w:vAlign w:val="bottom"/>
            <w:hideMark/>
          </w:tcPr>
          <w:p w14:paraId="17A28034" w14:textId="77777777" w:rsidR="00D61C9D" w:rsidRPr="00D61C9D" w:rsidRDefault="00D61C9D" w:rsidP="00D61C9D">
            <w:pPr>
              <w:spacing w:after="0" w:line="240" w:lineRule="auto"/>
              <w:jc w:val="right"/>
              <w:rPr>
                <w:rFonts w:ascii="Times New Roman" w:eastAsia="Times New Roman" w:hAnsi="Times New Roman" w:cs="Times New Roman"/>
                <w:sz w:val="20"/>
                <w:szCs w:val="20"/>
                <w:lang w:eastAsia="en-GB"/>
              </w:rPr>
            </w:pPr>
          </w:p>
        </w:tc>
      </w:tr>
      <w:tr w:rsidR="00D61C9D" w:rsidRPr="00D61C9D" w14:paraId="4B5D6B52" w14:textId="77777777" w:rsidTr="00D41B2D">
        <w:trPr>
          <w:gridAfter w:val="2"/>
          <w:wAfter w:w="491" w:type="dxa"/>
          <w:trHeight w:val="248"/>
        </w:trPr>
        <w:tc>
          <w:tcPr>
            <w:tcW w:w="3760" w:type="dxa"/>
            <w:gridSpan w:val="3"/>
            <w:vMerge w:val="restart"/>
            <w:tcBorders>
              <w:top w:val="single" w:sz="4" w:space="0" w:color="BFBFBF"/>
              <w:left w:val="single" w:sz="4" w:space="0" w:color="BFBFBF"/>
              <w:bottom w:val="single" w:sz="4" w:space="0" w:color="BFBFBF"/>
              <w:right w:val="nil"/>
            </w:tcBorders>
            <w:shd w:val="clear" w:color="auto" w:fill="auto"/>
            <w:noWrap/>
            <w:vAlign w:val="center"/>
            <w:hideMark/>
          </w:tcPr>
          <w:p w14:paraId="05D2713E" w14:textId="77777777" w:rsidR="00D61C9D" w:rsidRPr="00D61C9D" w:rsidRDefault="00D61C9D" w:rsidP="00D61C9D">
            <w:pPr>
              <w:spacing w:after="0" w:line="240" w:lineRule="auto"/>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For the 52 weeks ended 1 January 2022 (audited)</w:t>
            </w:r>
          </w:p>
        </w:tc>
        <w:tc>
          <w:tcPr>
            <w:tcW w:w="1240" w:type="dxa"/>
            <w:tcBorders>
              <w:top w:val="single" w:sz="4" w:space="0" w:color="BFBFBF"/>
              <w:left w:val="nil"/>
              <w:bottom w:val="nil"/>
              <w:right w:val="nil"/>
            </w:tcBorders>
            <w:shd w:val="clear" w:color="auto" w:fill="auto"/>
            <w:vAlign w:val="center"/>
            <w:hideMark/>
          </w:tcPr>
          <w:p w14:paraId="754F1483"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 </w:t>
            </w:r>
          </w:p>
        </w:tc>
        <w:tc>
          <w:tcPr>
            <w:tcW w:w="2480" w:type="dxa"/>
            <w:gridSpan w:val="6"/>
            <w:tcBorders>
              <w:top w:val="single" w:sz="4" w:space="0" w:color="BFBFBF"/>
              <w:left w:val="nil"/>
              <w:bottom w:val="nil"/>
              <w:right w:val="nil"/>
            </w:tcBorders>
            <w:shd w:val="clear" w:color="auto" w:fill="auto"/>
            <w:vAlign w:val="center"/>
            <w:hideMark/>
          </w:tcPr>
          <w:p w14:paraId="75D2E03F" w14:textId="77777777" w:rsidR="00D61C9D" w:rsidRPr="00D61C9D" w:rsidRDefault="00D61C9D" w:rsidP="00D61C9D">
            <w:pPr>
              <w:spacing w:after="0" w:line="240" w:lineRule="auto"/>
              <w:jc w:val="center"/>
              <w:rPr>
                <w:rFonts w:ascii="Arial" w:eastAsia="Times New Roman" w:hAnsi="Arial" w:cs="Arial"/>
                <w:b/>
                <w:bCs/>
                <w:sz w:val="14"/>
                <w:szCs w:val="14"/>
                <w:u w:val="single"/>
                <w:lang w:eastAsia="en-GB"/>
              </w:rPr>
            </w:pPr>
            <w:r w:rsidRPr="00D61C9D">
              <w:rPr>
                <w:rFonts w:ascii="Arial" w:eastAsia="Times New Roman" w:hAnsi="Arial" w:cs="Arial"/>
                <w:b/>
                <w:bCs/>
                <w:sz w:val="14"/>
                <w:szCs w:val="14"/>
                <w:lang w:eastAsia="en-GB"/>
              </w:rPr>
              <w:t xml:space="preserve">              </w:t>
            </w:r>
            <w:r w:rsidRPr="00D61C9D">
              <w:rPr>
                <w:rFonts w:ascii="Arial" w:eastAsia="Times New Roman" w:hAnsi="Arial" w:cs="Arial"/>
                <w:b/>
                <w:bCs/>
                <w:sz w:val="14"/>
                <w:szCs w:val="14"/>
                <w:u w:val="single"/>
                <w:lang w:eastAsia="en-GB"/>
              </w:rPr>
              <w:t xml:space="preserve"> Non-cash movements</w:t>
            </w:r>
          </w:p>
        </w:tc>
        <w:tc>
          <w:tcPr>
            <w:tcW w:w="1240" w:type="dxa"/>
            <w:gridSpan w:val="2"/>
            <w:tcBorders>
              <w:top w:val="single" w:sz="4" w:space="0" w:color="BFBFBF"/>
              <w:left w:val="nil"/>
              <w:bottom w:val="nil"/>
              <w:right w:val="nil"/>
            </w:tcBorders>
            <w:shd w:val="clear" w:color="auto" w:fill="auto"/>
            <w:vAlign w:val="center"/>
            <w:hideMark/>
          </w:tcPr>
          <w:p w14:paraId="35F1B810" w14:textId="77777777" w:rsidR="00D61C9D" w:rsidRPr="00D61C9D" w:rsidRDefault="00D61C9D" w:rsidP="00D61C9D">
            <w:pPr>
              <w:spacing w:after="0" w:line="240" w:lineRule="auto"/>
              <w:jc w:val="right"/>
              <w:rPr>
                <w:rFonts w:ascii="Arial" w:eastAsia="Times New Roman" w:hAnsi="Arial" w:cs="Arial"/>
                <w:b/>
                <w:bCs/>
                <w:sz w:val="14"/>
                <w:szCs w:val="14"/>
                <w:u w:val="single"/>
                <w:lang w:eastAsia="en-GB"/>
              </w:rPr>
            </w:pPr>
            <w:r w:rsidRPr="00D61C9D">
              <w:rPr>
                <w:rFonts w:ascii="Arial" w:eastAsia="Times New Roman" w:hAnsi="Arial" w:cs="Arial"/>
                <w:b/>
                <w:bCs/>
                <w:sz w:val="14"/>
                <w:szCs w:val="14"/>
                <w:u w:val="single"/>
                <w:lang w:eastAsia="en-GB"/>
              </w:rPr>
              <w:t>Cash flow</w:t>
            </w:r>
          </w:p>
        </w:tc>
        <w:tc>
          <w:tcPr>
            <w:tcW w:w="1240" w:type="dxa"/>
            <w:gridSpan w:val="2"/>
            <w:tcBorders>
              <w:top w:val="single" w:sz="4" w:space="0" w:color="BFBFBF"/>
              <w:left w:val="nil"/>
              <w:bottom w:val="nil"/>
              <w:right w:val="single" w:sz="4" w:space="0" w:color="BFBFBF"/>
            </w:tcBorders>
            <w:shd w:val="clear" w:color="auto" w:fill="auto"/>
            <w:vAlign w:val="center"/>
            <w:hideMark/>
          </w:tcPr>
          <w:p w14:paraId="152F1C4D"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 </w:t>
            </w:r>
          </w:p>
        </w:tc>
      </w:tr>
      <w:tr w:rsidR="00D61C9D" w:rsidRPr="00D61C9D" w14:paraId="552C33EB" w14:textId="77777777" w:rsidTr="00D41B2D">
        <w:trPr>
          <w:gridAfter w:val="2"/>
          <w:wAfter w:w="491" w:type="dxa"/>
          <w:trHeight w:val="255"/>
        </w:trPr>
        <w:tc>
          <w:tcPr>
            <w:tcW w:w="3760" w:type="dxa"/>
            <w:gridSpan w:val="3"/>
            <w:vMerge/>
            <w:tcBorders>
              <w:top w:val="single" w:sz="4" w:space="0" w:color="BFBFBF"/>
              <w:left w:val="single" w:sz="4" w:space="0" w:color="BFBFBF"/>
              <w:bottom w:val="single" w:sz="4" w:space="0" w:color="BFBFBF"/>
              <w:right w:val="nil"/>
            </w:tcBorders>
            <w:shd w:val="clear" w:color="auto" w:fill="auto"/>
            <w:vAlign w:val="center"/>
            <w:hideMark/>
          </w:tcPr>
          <w:p w14:paraId="59EB0F37" w14:textId="77777777" w:rsidR="00D61C9D" w:rsidRPr="00D61C9D" w:rsidRDefault="00D61C9D" w:rsidP="00D61C9D">
            <w:pPr>
              <w:spacing w:after="0" w:line="240" w:lineRule="auto"/>
              <w:rPr>
                <w:rFonts w:ascii="Arial" w:eastAsia="Times New Roman" w:hAnsi="Arial" w:cs="Arial"/>
                <w:b/>
                <w:bCs/>
                <w:sz w:val="14"/>
                <w:szCs w:val="14"/>
                <w:lang w:eastAsia="en-GB"/>
              </w:rPr>
            </w:pPr>
          </w:p>
        </w:tc>
        <w:tc>
          <w:tcPr>
            <w:tcW w:w="1240" w:type="dxa"/>
            <w:tcBorders>
              <w:top w:val="nil"/>
              <w:left w:val="nil"/>
              <w:bottom w:val="nil"/>
              <w:right w:val="nil"/>
            </w:tcBorders>
            <w:shd w:val="clear" w:color="auto" w:fill="auto"/>
            <w:vAlign w:val="bottom"/>
            <w:hideMark/>
          </w:tcPr>
          <w:p w14:paraId="29B3966F"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Start of period</w:t>
            </w:r>
          </w:p>
        </w:tc>
        <w:tc>
          <w:tcPr>
            <w:tcW w:w="1240" w:type="dxa"/>
            <w:gridSpan w:val="5"/>
            <w:tcBorders>
              <w:top w:val="nil"/>
              <w:left w:val="nil"/>
              <w:bottom w:val="nil"/>
              <w:right w:val="nil"/>
            </w:tcBorders>
            <w:shd w:val="clear" w:color="auto" w:fill="auto"/>
            <w:vAlign w:val="bottom"/>
            <w:hideMark/>
          </w:tcPr>
          <w:p w14:paraId="699EF7EA"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New leases</w:t>
            </w:r>
          </w:p>
        </w:tc>
        <w:tc>
          <w:tcPr>
            <w:tcW w:w="1240" w:type="dxa"/>
            <w:tcBorders>
              <w:top w:val="nil"/>
              <w:left w:val="nil"/>
              <w:bottom w:val="nil"/>
              <w:right w:val="nil"/>
            </w:tcBorders>
            <w:shd w:val="clear" w:color="auto" w:fill="auto"/>
            <w:vAlign w:val="bottom"/>
            <w:hideMark/>
          </w:tcPr>
          <w:p w14:paraId="1299B2D0"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Other</w:t>
            </w:r>
          </w:p>
        </w:tc>
        <w:tc>
          <w:tcPr>
            <w:tcW w:w="1240" w:type="dxa"/>
            <w:gridSpan w:val="2"/>
            <w:tcBorders>
              <w:top w:val="nil"/>
              <w:left w:val="nil"/>
              <w:bottom w:val="nil"/>
              <w:right w:val="nil"/>
            </w:tcBorders>
            <w:shd w:val="clear" w:color="auto" w:fill="auto"/>
            <w:vAlign w:val="bottom"/>
            <w:hideMark/>
          </w:tcPr>
          <w:p w14:paraId="2D6D9122"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 </w:t>
            </w:r>
          </w:p>
        </w:tc>
        <w:tc>
          <w:tcPr>
            <w:tcW w:w="1240" w:type="dxa"/>
            <w:gridSpan w:val="2"/>
            <w:tcBorders>
              <w:top w:val="nil"/>
              <w:left w:val="nil"/>
              <w:bottom w:val="nil"/>
              <w:right w:val="single" w:sz="4" w:space="0" w:color="BFBFBF"/>
            </w:tcBorders>
            <w:shd w:val="clear" w:color="auto" w:fill="auto"/>
            <w:vAlign w:val="bottom"/>
            <w:hideMark/>
          </w:tcPr>
          <w:p w14:paraId="5F658856"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End of period</w:t>
            </w:r>
          </w:p>
        </w:tc>
      </w:tr>
      <w:tr w:rsidR="00D61C9D" w:rsidRPr="00D61C9D" w14:paraId="6BA071E7" w14:textId="77777777" w:rsidTr="00D41B2D">
        <w:trPr>
          <w:gridAfter w:val="2"/>
          <w:wAfter w:w="491" w:type="dxa"/>
          <w:trHeight w:val="255"/>
        </w:trPr>
        <w:tc>
          <w:tcPr>
            <w:tcW w:w="3760" w:type="dxa"/>
            <w:gridSpan w:val="3"/>
            <w:vMerge/>
            <w:tcBorders>
              <w:top w:val="single" w:sz="4" w:space="0" w:color="BFBFBF"/>
              <w:left w:val="single" w:sz="4" w:space="0" w:color="BFBFBF"/>
              <w:bottom w:val="single" w:sz="4" w:space="0" w:color="BFBFBF"/>
              <w:right w:val="nil"/>
            </w:tcBorders>
            <w:shd w:val="clear" w:color="auto" w:fill="auto"/>
            <w:vAlign w:val="center"/>
            <w:hideMark/>
          </w:tcPr>
          <w:p w14:paraId="1BD08EB2" w14:textId="77777777" w:rsidR="00D61C9D" w:rsidRPr="00D61C9D" w:rsidRDefault="00D61C9D" w:rsidP="00D61C9D">
            <w:pPr>
              <w:spacing w:after="0" w:line="240" w:lineRule="auto"/>
              <w:rPr>
                <w:rFonts w:ascii="Arial" w:eastAsia="Times New Roman" w:hAnsi="Arial" w:cs="Arial"/>
                <w:b/>
                <w:bCs/>
                <w:sz w:val="14"/>
                <w:szCs w:val="14"/>
                <w:lang w:eastAsia="en-GB"/>
              </w:rPr>
            </w:pPr>
          </w:p>
        </w:tc>
        <w:tc>
          <w:tcPr>
            <w:tcW w:w="1240" w:type="dxa"/>
            <w:tcBorders>
              <w:top w:val="nil"/>
              <w:left w:val="nil"/>
              <w:bottom w:val="single" w:sz="4" w:space="0" w:color="BFBFBF"/>
              <w:right w:val="nil"/>
            </w:tcBorders>
            <w:shd w:val="clear" w:color="auto" w:fill="auto"/>
            <w:noWrap/>
            <w:vAlign w:val="bottom"/>
            <w:hideMark/>
          </w:tcPr>
          <w:p w14:paraId="2AFF11B7"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£m</w:t>
            </w:r>
          </w:p>
        </w:tc>
        <w:tc>
          <w:tcPr>
            <w:tcW w:w="1240" w:type="dxa"/>
            <w:gridSpan w:val="5"/>
            <w:tcBorders>
              <w:top w:val="nil"/>
              <w:left w:val="nil"/>
              <w:bottom w:val="single" w:sz="4" w:space="0" w:color="BFBFBF"/>
              <w:right w:val="nil"/>
            </w:tcBorders>
            <w:shd w:val="clear" w:color="auto" w:fill="auto"/>
            <w:noWrap/>
            <w:vAlign w:val="bottom"/>
            <w:hideMark/>
          </w:tcPr>
          <w:p w14:paraId="16576529"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£m</w:t>
            </w:r>
          </w:p>
        </w:tc>
        <w:tc>
          <w:tcPr>
            <w:tcW w:w="1240" w:type="dxa"/>
            <w:tcBorders>
              <w:top w:val="nil"/>
              <w:left w:val="nil"/>
              <w:bottom w:val="single" w:sz="4" w:space="0" w:color="BFBFBF"/>
              <w:right w:val="nil"/>
            </w:tcBorders>
            <w:shd w:val="clear" w:color="auto" w:fill="auto"/>
            <w:noWrap/>
            <w:vAlign w:val="bottom"/>
            <w:hideMark/>
          </w:tcPr>
          <w:p w14:paraId="31D09AE8"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£m</w:t>
            </w:r>
          </w:p>
        </w:tc>
        <w:tc>
          <w:tcPr>
            <w:tcW w:w="1240" w:type="dxa"/>
            <w:gridSpan w:val="2"/>
            <w:tcBorders>
              <w:top w:val="nil"/>
              <w:left w:val="nil"/>
              <w:bottom w:val="single" w:sz="4" w:space="0" w:color="BFBFBF"/>
              <w:right w:val="nil"/>
            </w:tcBorders>
            <w:shd w:val="clear" w:color="auto" w:fill="auto"/>
            <w:noWrap/>
            <w:vAlign w:val="bottom"/>
            <w:hideMark/>
          </w:tcPr>
          <w:p w14:paraId="2AD374EC"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£m</w:t>
            </w:r>
          </w:p>
        </w:tc>
        <w:tc>
          <w:tcPr>
            <w:tcW w:w="1240" w:type="dxa"/>
            <w:gridSpan w:val="2"/>
            <w:tcBorders>
              <w:top w:val="nil"/>
              <w:left w:val="nil"/>
              <w:bottom w:val="single" w:sz="4" w:space="0" w:color="BFBFBF"/>
              <w:right w:val="single" w:sz="4" w:space="0" w:color="BFBFBF"/>
            </w:tcBorders>
            <w:shd w:val="clear" w:color="auto" w:fill="auto"/>
            <w:noWrap/>
            <w:vAlign w:val="bottom"/>
            <w:hideMark/>
          </w:tcPr>
          <w:p w14:paraId="0D3955E2" w14:textId="77777777" w:rsidR="00D61C9D" w:rsidRPr="00D61C9D" w:rsidRDefault="00D61C9D" w:rsidP="00D61C9D">
            <w:pPr>
              <w:spacing w:after="0" w:line="240" w:lineRule="auto"/>
              <w:jc w:val="right"/>
              <w:rPr>
                <w:rFonts w:ascii="Arial" w:eastAsia="Times New Roman" w:hAnsi="Arial" w:cs="Arial"/>
                <w:b/>
                <w:bCs/>
                <w:sz w:val="14"/>
                <w:szCs w:val="14"/>
                <w:lang w:eastAsia="en-GB"/>
              </w:rPr>
            </w:pPr>
            <w:r w:rsidRPr="00D61C9D">
              <w:rPr>
                <w:rFonts w:ascii="Arial" w:eastAsia="Times New Roman" w:hAnsi="Arial" w:cs="Arial"/>
                <w:b/>
                <w:bCs/>
                <w:sz w:val="14"/>
                <w:szCs w:val="14"/>
                <w:lang w:eastAsia="en-GB"/>
              </w:rPr>
              <w:t>£m</w:t>
            </w:r>
          </w:p>
        </w:tc>
      </w:tr>
      <w:tr w:rsidR="00D61C9D" w:rsidRPr="00D61C9D" w14:paraId="544E6E25" w14:textId="77777777" w:rsidTr="00D41B2D">
        <w:trPr>
          <w:gridAfter w:val="2"/>
          <w:wAfter w:w="491" w:type="dxa"/>
          <w:trHeight w:val="255"/>
        </w:trPr>
        <w:tc>
          <w:tcPr>
            <w:tcW w:w="3760" w:type="dxa"/>
            <w:gridSpan w:val="3"/>
            <w:tcBorders>
              <w:top w:val="nil"/>
              <w:left w:val="nil"/>
              <w:bottom w:val="nil"/>
              <w:right w:val="nil"/>
            </w:tcBorders>
            <w:shd w:val="clear" w:color="000000" w:fill="FFFFFF"/>
            <w:noWrap/>
            <w:vAlign w:val="bottom"/>
            <w:hideMark/>
          </w:tcPr>
          <w:p w14:paraId="053E8A9B"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Interest-bearing loans and borrowings:</w:t>
            </w:r>
          </w:p>
        </w:tc>
        <w:tc>
          <w:tcPr>
            <w:tcW w:w="1240" w:type="dxa"/>
            <w:tcBorders>
              <w:top w:val="nil"/>
              <w:left w:val="nil"/>
              <w:bottom w:val="nil"/>
              <w:right w:val="nil"/>
            </w:tcBorders>
            <w:shd w:val="clear" w:color="000000" w:fill="FFFFFF"/>
            <w:noWrap/>
            <w:vAlign w:val="bottom"/>
            <w:hideMark/>
          </w:tcPr>
          <w:p w14:paraId="4B580E23" w14:textId="77777777" w:rsidR="00D61C9D" w:rsidRPr="00D61C9D" w:rsidRDefault="00D61C9D" w:rsidP="00D61C9D">
            <w:pPr>
              <w:spacing w:after="0" w:line="240" w:lineRule="auto"/>
              <w:jc w:val="right"/>
              <w:rPr>
                <w:rFonts w:ascii="Arial" w:eastAsia="Times New Roman" w:hAnsi="Arial" w:cs="Arial"/>
                <w:color w:val="DAEEF3"/>
                <w:sz w:val="15"/>
                <w:szCs w:val="15"/>
                <w:lang w:eastAsia="en-GB"/>
              </w:rPr>
            </w:pPr>
            <w:r w:rsidRPr="00D61C9D">
              <w:rPr>
                <w:rFonts w:ascii="Arial" w:eastAsia="Times New Roman" w:hAnsi="Arial" w:cs="Arial"/>
                <w:color w:val="DAEEF3"/>
                <w:sz w:val="15"/>
                <w:szCs w:val="15"/>
                <w:lang w:eastAsia="en-GB"/>
              </w:rPr>
              <w:t> </w:t>
            </w:r>
          </w:p>
        </w:tc>
        <w:tc>
          <w:tcPr>
            <w:tcW w:w="1240" w:type="dxa"/>
            <w:gridSpan w:val="5"/>
            <w:tcBorders>
              <w:top w:val="nil"/>
              <w:left w:val="nil"/>
              <w:bottom w:val="nil"/>
              <w:right w:val="nil"/>
            </w:tcBorders>
            <w:shd w:val="clear" w:color="000000" w:fill="FFFFFF"/>
            <w:noWrap/>
            <w:vAlign w:val="bottom"/>
            <w:hideMark/>
          </w:tcPr>
          <w:p w14:paraId="0C23268A" w14:textId="77777777" w:rsidR="00D61C9D" w:rsidRPr="00D61C9D" w:rsidRDefault="00D61C9D" w:rsidP="00D61C9D">
            <w:pPr>
              <w:spacing w:after="0" w:line="240" w:lineRule="auto"/>
              <w:jc w:val="right"/>
              <w:rPr>
                <w:rFonts w:ascii="Arial" w:eastAsia="Times New Roman" w:hAnsi="Arial" w:cs="Arial"/>
                <w:color w:val="DAEEF3"/>
                <w:sz w:val="15"/>
                <w:szCs w:val="15"/>
                <w:lang w:eastAsia="en-GB"/>
              </w:rPr>
            </w:pPr>
            <w:r w:rsidRPr="00D61C9D">
              <w:rPr>
                <w:rFonts w:ascii="Arial" w:eastAsia="Times New Roman" w:hAnsi="Arial" w:cs="Arial"/>
                <w:color w:val="DAEEF3"/>
                <w:sz w:val="15"/>
                <w:szCs w:val="15"/>
                <w:lang w:eastAsia="en-GB"/>
              </w:rPr>
              <w:t> </w:t>
            </w:r>
          </w:p>
        </w:tc>
        <w:tc>
          <w:tcPr>
            <w:tcW w:w="1240" w:type="dxa"/>
            <w:tcBorders>
              <w:top w:val="nil"/>
              <w:left w:val="nil"/>
              <w:bottom w:val="nil"/>
              <w:right w:val="nil"/>
            </w:tcBorders>
            <w:shd w:val="clear" w:color="000000" w:fill="FFFFFF"/>
            <w:noWrap/>
            <w:vAlign w:val="bottom"/>
            <w:hideMark/>
          </w:tcPr>
          <w:p w14:paraId="3B8A3D19" w14:textId="77777777" w:rsidR="00D61C9D" w:rsidRPr="00D61C9D" w:rsidRDefault="00D61C9D" w:rsidP="00D61C9D">
            <w:pPr>
              <w:spacing w:after="0" w:line="240" w:lineRule="auto"/>
              <w:jc w:val="right"/>
              <w:rPr>
                <w:rFonts w:ascii="Arial" w:eastAsia="Times New Roman" w:hAnsi="Arial" w:cs="Arial"/>
                <w:color w:val="DAEEF3"/>
                <w:sz w:val="15"/>
                <w:szCs w:val="15"/>
                <w:lang w:eastAsia="en-GB"/>
              </w:rPr>
            </w:pPr>
            <w:r w:rsidRPr="00D61C9D">
              <w:rPr>
                <w:rFonts w:ascii="Arial" w:eastAsia="Times New Roman" w:hAnsi="Arial" w:cs="Arial"/>
                <w:color w:val="DAEEF3"/>
                <w:sz w:val="15"/>
                <w:szCs w:val="15"/>
                <w:lang w:eastAsia="en-GB"/>
              </w:rPr>
              <w:t> </w:t>
            </w:r>
          </w:p>
        </w:tc>
        <w:tc>
          <w:tcPr>
            <w:tcW w:w="1240" w:type="dxa"/>
            <w:gridSpan w:val="2"/>
            <w:tcBorders>
              <w:top w:val="nil"/>
              <w:left w:val="nil"/>
              <w:bottom w:val="nil"/>
              <w:right w:val="nil"/>
            </w:tcBorders>
            <w:shd w:val="clear" w:color="000000" w:fill="FFFFFF"/>
            <w:noWrap/>
            <w:vAlign w:val="bottom"/>
            <w:hideMark/>
          </w:tcPr>
          <w:p w14:paraId="4156AE11" w14:textId="77777777" w:rsidR="00D61C9D" w:rsidRPr="00D61C9D" w:rsidRDefault="00D61C9D" w:rsidP="00D61C9D">
            <w:pPr>
              <w:spacing w:after="0" w:line="240" w:lineRule="auto"/>
              <w:jc w:val="right"/>
              <w:rPr>
                <w:rFonts w:ascii="Arial" w:eastAsia="Times New Roman" w:hAnsi="Arial" w:cs="Arial"/>
                <w:color w:val="DAEEF3"/>
                <w:sz w:val="15"/>
                <w:szCs w:val="15"/>
                <w:lang w:eastAsia="en-GB"/>
              </w:rPr>
            </w:pPr>
            <w:r w:rsidRPr="00D61C9D">
              <w:rPr>
                <w:rFonts w:ascii="Arial" w:eastAsia="Times New Roman" w:hAnsi="Arial" w:cs="Arial"/>
                <w:color w:val="DAEEF3"/>
                <w:sz w:val="15"/>
                <w:szCs w:val="15"/>
                <w:lang w:eastAsia="en-GB"/>
              </w:rPr>
              <w:t> </w:t>
            </w:r>
          </w:p>
        </w:tc>
        <w:tc>
          <w:tcPr>
            <w:tcW w:w="1240" w:type="dxa"/>
            <w:gridSpan w:val="2"/>
            <w:tcBorders>
              <w:top w:val="nil"/>
              <w:left w:val="nil"/>
              <w:bottom w:val="nil"/>
              <w:right w:val="nil"/>
            </w:tcBorders>
            <w:shd w:val="clear" w:color="000000" w:fill="FFFFFF"/>
            <w:noWrap/>
            <w:vAlign w:val="bottom"/>
            <w:hideMark/>
          </w:tcPr>
          <w:p w14:paraId="35608EAE" w14:textId="77777777" w:rsidR="00D61C9D" w:rsidRPr="00D61C9D" w:rsidRDefault="00D61C9D" w:rsidP="00D61C9D">
            <w:pPr>
              <w:spacing w:after="0" w:line="240" w:lineRule="auto"/>
              <w:rPr>
                <w:rFonts w:ascii="Arial" w:eastAsia="Times New Roman" w:hAnsi="Arial" w:cs="Arial"/>
                <w:sz w:val="14"/>
                <w:szCs w:val="14"/>
                <w:lang w:eastAsia="en-GB"/>
              </w:rPr>
            </w:pPr>
            <w:r w:rsidRPr="00D61C9D">
              <w:rPr>
                <w:rFonts w:ascii="Arial" w:eastAsia="Times New Roman" w:hAnsi="Arial" w:cs="Arial"/>
                <w:sz w:val="14"/>
                <w:szCs w:val="14"/>
                <w:lang w:eastAsia="en-GB"/>
              </w:rPr>
              <w:t> </w:t>
            </w:r>
          </w:p>
        </w:tc>
      </w:tr>
      <w:tr w:rsidR="00D61C9D" w:rsidRPr="00D61C9D" w14:paraId="358B1FE6" w14:textId="77777777" w:rsidTr="00D41B2D">
        <w:trPr>
          <w:gridAfter w:val="2"/>
          <w:wAfter w:w="491" w:type="dxa"/>
          <w:trHeight w:val="255"/>
        </w:trPr>
        <w:tc>
          <w:tcPr>
            <w:tcW w:w="2660" w:type="dxa"/>
            <w:gridSpan w:val="2"/>
            <w:tcBorders>
              <w:top w:val="nil"/>
              <w:left w:val="nil"/>
              <w:bottom w:val="nil"/>
              <w:right w:val="nil"/>
            </w:tcBorders>
            <w:shd w:val="clear" w:color="000000" w:fill="FFFFFF"/>
            <w:vAlign w:val="center"/>
            <w:hideMark/>
          </w:tcPr>
          <w:p w14:paraId="5FE45F7A"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 current</w:t>
            </w:r>
          </w:p>
        </w:tc>
        <w:tc>
          <w:tcPr>
            <w:tcW w:w="1100" w:type="dxa"/>
            <w:tcBorders>
              <w:top w:val="nil"/>
              <w:left w:val="nil"/>
              <w:bottom w:val="nil"/>
              <w:right w:val="nil"/>
            </w:tcBorders>
            <w:shd w:val="clear" w:color="000000" w:fill="FFFFFF"/>
            <w:noWrap/>
            <w:vAlign w:val="center"/>
            <w:hideMark/>
          </w:tcPr>
          <w:p w14:paraId="572FA396"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000000" w:fill="FFFFFF"/>
            <w:noWrap/>
            <w:vAlign w:val="center"/>
            <w:hideMark/>
          </w:tcPr>
          <w:p w14:paraId="59A38A48"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(16)</w:t>
            </w:r>
          </w:p>
        </w:tc>
        <w:tc>
          <w:tcPr>
            <w:tcW w:w="1240" w:type="dxa"/>
            <w:gridSpan w:val="5"/>
            <w:tcBorders>
              <w:top w:val="nil"/>
              <w:left w:val="nil"/>
              <w:bottom w:val="nil"/>
              <w:right w:val="nil"/>
            </w:tcBorders>
            <w:shd w:val="clear" w:color="000000" w:fill="FFFFFF"/>
            <w:noWrap/>
            <w:vAlign w:val="center"/>
            <w:hideMark/>
          </w:tcPr>
          <w:p w14:paraId="71FCCF5C"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w:t>
            </w:r>
          </w:p>
        </w:tc>
        <w:tc>
          <w:tcPr>
            <w:tcW w:w="1240" w:type="dxa"/>
            <w:tcBorders>
              <w:top w:val="nil"/>
              <w:left w:val="nil"/>
              <w:bottom w:val="nil"/>
              <w:right w:val="nil"/>
            </w:tcBorders>
            <w:shd w:val="clear" w:color="000000" w:fill="FFFFFF"/>
            <w:noWrap/>
            <w:vAlign w:val="center"/>
            <w:hideMark/>
          </w:tcPr>
          <w:p w14:paraId="0AABE925"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w:t>
            </w:r>
          </w:p>
        </w:tc>
        <w:tc>
          <w:tcPr>
            <w:tcW w:w="1240" w:type="dxa"/>
            <w:gridSpan w:val="2"/>
            <w:tcBorders>
              <w:top w:val="nil"/>
              <w:left w:val="nil"/>
              <w:bottom w:val="nil"/>
              <w:right w:val="nil"/>
            </w:tcBorders>
            <w:shd w:val="clear" w:color="000000" w:fill="FFFFFF"/>
            <w:noWrap/>
            <w:vAlign w:val="center"/>
            <w:hideMark/>
          </w:tcPr>
          <w:p w14:paraId="001BF980"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(164)</w:t>
            </w:r>
          </w:p>
        </w:tc>
        <w:tc>
          <w:tcPr>
            <w:tcW w:w="1240" w:type="dxa"/>
            <w:gridSpan w:val="2"/>
            <w:tcBorders>
              <w:top w:val="nil"/>
              <w:left w:val="nil"/>
              <w:bottom w:val="nil"/>
              <w:right w:val="nil"/>
            </w:tcBorders>
            <w:shd w:val="clear" w:color="000000" w:fill="FFFFFF"/>
            <w:noWrap/>
            <w:vAlign w:val="bottom"/>
            <w:hideMark/>
          </w:tcPr>
          <w:p w14:paraId="4C3F5ACC"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(180)</w:t>
            </w:r>
          </w:p>
        </w:tc>
      </w:tr>
      <w:tr w:rsidR="00D61C9D" w:rsidRPr="00D61C9D" w14:paraId="177C8A2D" w14:textId="77777777" w:rsidTr="00D41B2D">
        <w:trPr>
          <w:gridAfter w:val="2"/>
          <w:wAfter w:w="491" w:type="dxa"/>
          <w:trHeight w:val="255"/>
        </w:trPr>
        <w:tc>
          <w:tcPr>
            <w:tcW w:w="2660" w:type="dxa"/>
            <w:gridSpan w:val="2"/>
            <w:tcBorders>
              <w:top w:val="nil"/>
              <w:left w:val="nil"/>
              <w:bottom w:val="nil"/>
              <w:right w:val="nil"/>
            </w:tcBorders>
            <w:shd w:val="clear" w:color="000000" w:fill="FFFFFF"/>
            <w:vAlign w:val="center"/>
            <w:hideMark/>
          </w:tcPr>
          <w:p w14:paraId="35538FF9"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 non-current</w:t>
            </w:r>
          </w:p>
        </w:tc>
        <w:tc>
          <w:tcPr>
            <w:tcW w:w="1100" w:type="dxa"/>
            <w:tcBorders>
              <w:top w:val="nil"/>
              <w:left w:val="nil"/>
              <w:bottom w:val="nil"/>
              <w:right w:val="nil"/>
            </w:tcBorders>
            <w:shd w:val="clear" w:color="000000" w:fill="FFFFFF"/>
            <w:noWrap/>
            <w:vAlign w:val="center"/>
            <w:hideMark/>
          </w:tcPr>
          <w:p w14:paraId="61C71FFE"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000000" w:fill="FFFFFF"/>
            <w:noWrap/>
            <w:vAlign w:val="center"/>
            <w:hideMark/>
          </w:tcPr>
          <w:p w14:paraId="2F2339A0"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(803)</w:t>
            </w:r>
          </w:p>
        </w:tc>
        <w:tc>
          <w:tcPr>
            <w:tcW w:w="1240" w:type="dxa"/>
            <w:gridSpan w:val="5"/>
            <w:tcBorders>
              <w:top w:val="nil"/>
              <w:left w:val="nil"/>
              <w:bottom w:val="nil"/>
              <w:right w:val="nil"/>
            </w:tcBorders>
            <w:shd w:val="clear" w:color="000000" w:fill="FFFFFF"/>
            <w:noWrap/>
            <w:vAlign w:val="center"/>
            <w:hideMark/>
          </w:tcPr>
          <w:p w14:paraId="75668D9B"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w:t>
            </w:r>
          </w:p>
        </w:tc>
        <w:tc>
          <w:tcPr>
            <w:tcW w:w="1240" w:type="dxa"/>
            <w:tcBorders>
              <w:top w:val="nil"/>
              <w:left w:val="nil"/>
              <w:bottom w:val="nil"/>
              <w:right w:val="nil"/>
            </w:tcBorders>
            <w:shd w:val="clear" w:color="000000" w:fill="FFFFFF"/>
            <w:noWrap/>
            <w:vAlign w:val="center"/>
            <w:hideMark/>
          </w:tcPr>
          <w:p w14:paraId="7A537562"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5 </w:t>
            </w:r>
          </w:p>
        </w:tc>
        <w:tc>
          <w:tcPr>
            <w:tcW w:w="1240" w:type="dxa"/>
            <w:gridSpan w:val="2"/>
            <w:tcBorders>
              <w:top w:val="nil"/>
              <w:left w:val="nil"/>
              <w:bottom w:val="nil"/>
              <w:right w:val="nil"/>
            </w:tcBorders>
            <w:shd w:val="clear" w:color="000000" w:fill="FFFFFF"/>
            <w:noWrap/>
            <w:vAlign w:val="center"/>
            <w:hideMark/>
          </w:tcPr>
          <w:p w14:paraId="6ECB1707"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2 </w:t>
            </w:r>
          </w:p>
        </w:tc>
        <w:tc>
          <w:tcPr>
            <w:tcW w:w="1240" w:type="dxa"/>
            <w:gridSpan w:val="2"/>
            <w:tcBorders>
              <w:top w:val="nil"/>
              <w:left w:val="nil"/>
              <w:bottom w:val="nil"/>
              <w:right w:val="nil"/>
            </w:tcBorders>
            <w:shd w:val="clear" w:color="000000" w:fill="FFFFFF"/>
            <w:noWrap/>
            <w:vAlign w:val="bottom"/>
            <w:hideMark/>
          </w:tcPr>
          <w:p w14:paraId="003F4D13"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(796)</w:t>
            </w:r>
          </w:p>
        </w:tc>
      </w:tr>
      <w:tr w:rsidR="00D61C9D" w:rsidRPr="00D61C9D" w14:paraId="60BE2182" w14:textId="77777777" w:rsidTr="00D41B2D">
        <w:trPr>
          <w:gridAfter w:val="2"/>
          <w:wAfter w:w="491" w:type="dxa"/>
          <w:trHeight w:val="255"/>
        </w:trPr>
        <w:tc>
          <w:tcPr>
            <w:tcW w:w="1600" w:type="dxa"/>
            <w:tcBorders>
              <w:top w:val="nil"/>
              <w:left w:val="nil"/>
              <w:bottom w:val="nil"/>
              <w:right w:val="nil"/>
            </w:tcBorders>
            <w:shd w:val="clear" w:color="000000" w:fill="FFFFFF"/>
            <w:vAlign w:val="center"/>
            <w:hideMark/>
          </w:tcPr>
          <w:p w14:paraId="1FCDA3A3"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Lease liabilities</w:t>
            </w:r>
          </w:p>
        </w:tc>
        <w:tc>
          <w:tcPr>
            <w:tcW w:w="1060" w:type="dxa"/>
            <w:tcBorders>
              <w:top w:val="nil"/>
              <w:left w:val="nil"/>
              <w:bottom w:val="nil"/>
              <w:right w:val="nil"/>
            </w:tcBorders>
            <w:shd w:val="clear" w:color="000000" w:fill="FFFFFF"/>
            <w:vAlign w:val="center"/>
            <w:hideMark/>
          </w:tcPr>
          <w:p w14:paraId="2F0B6A68"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100" w:type="dxa"/>
            <w:tcBorders>
              <w:top w:val="nil"/>
              <w:left w:val="nil"/>
              <w:bottom w:val="nil"/>
              <w:right w:val="nil"/>
            </w:tcBorders>
            <w:shd w:val="clear" w:color="000000" w:fill="FFFFFF"/>
            <w:noWrap/>
            <w:vAlign w:val="center"/>
            <w:hideMark/>
          </w:tcPr>
          <w:p w14:paraId="63FDDAB1"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000000" w:fill="FFFFFF"/>
            <w:noWrap/>
            <w:vAlign w:val="center"/>
            <w:hideMark/>
          </w:tcPr>
          <w:p w14:paraId="1CBB9A02"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240" w:type="dxa"/>
            <w:gridSpan w:val="5"/>
            <w:tcBorders>
              <w:top w:val="nil"/>
              <w:left w:val="nil"/>
              <w:bottom w:val="nil"/>
              <w:right w:val="nil"/>
            </w:tcBorders>
            <w:shd w:val="clear" w:color="000000" w:fill="FFFFFF"/>
            <w:noWrap/>
            <w:vAlign w:val="center"/>
            <w:hideMark/>
          </w:tcPr>
          <w:p w14:paraId="6410132B"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240" w:type="dxa"/>
            <w:tcBorders>
              <w:top w:val="nil"/>
              <w:left w:val="nil"/>
              <w:bottom w:val="nil"/>
              <w:right w:val="nil"/>
            </w:tcBorders>
            <w:shd w:val="clear" w:color="000000" w:fill="FFFFFF"/>
            <w:noWrap/>
            <w:vAlign w:val="center"/>
            <w:hideMark/>
          </w:tcPr>
          <w:p w14:paraId="57BC4DA8"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240" w:type="dxa"/>
            <w:gridSpan w:val="2"/>
            <w:tcBorders>
              <w:top w:val="nil"/>
              <w:left w:val="nil"/>
              <w:bottom w:val="nil"/>
              <w:right w:val="nil"/>
            </w:tcBorders>
            <w:shd w:val="clear" w:color="000000" w:fill="FFFFFF"/>
            <w:noWrap/>
            <w:vAlign w:val="center"/>
            <w:hideMark/>
          </w:tcPr>
          <w:p w14:paraId="6DFC1B97"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240" w:type="dxa"/>
            <w:gridSpan w:val="2"/>
            <w:tcBorders>
              <w:top w:val="nil"/>
              <w:left w:val="nil"/>
              <w:bottom w:val="nil"/>
              <w:right w:val="nil"/>
            </w:tcBorders>
            <w:shd w:val="clear" w:color="000000" w:fill="FFFFFF"/>
            <w:noWrap/>
            <w:vAlign w:val="bottom"/>
            <w:hideMark/>
          </w:tcPr>
          <w:p w14:paraId="7BBB6FD4"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r>
      <w:tr w:rsidR="00D61C9D" w:rsidRPr="00D61C9D" w14:paraId="065AC150" w14:textId="77777777" w:rsidTr="00D41B2D">
        <w:trPr>
          <w:gridAfter w:val="2"/>
          <w:wAfter w:w="491" w:type="dxa"/>
          <w:trHeight w:val="255"/>
        </w:trPr>
        <w:tc>
          <w:tcPr>
            <w:tcW w:w="2660" w:type="dxa"/>
            <w:gridSpan w:val="2"/>
            <w:tcBorders>
              <w:top w:val="nil"/>
              <w:left w:val="nil"/>
              <w:bottom w:val="nil"/>
              <w:right w:val="nil"/>
            </w:tcBorders>
            <w:shd w:val="clear" w:color="000000" w:fill="FFFFFF"/>
            <w:vAlign w:val="center"/>
            <w:hideMark/>
          </w:tcPr>
          <w:p w14:paraId="79185E0D"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 current </w:t>
            </w:r>
          </w:p>
        </w:tc>
        <w:tc>
          <w:tcPr>
            <w:tcW w:w="1100" w:type="dxa"/>
            <w:tcBorders>
              <w:top w:val="nil"/>
              <w:left w:val="nil"/>
              <w:bottom w:val="nil"/>
              <w:right w:val="nil"/>
            </w:tcBorders>
            <w:shd w:val="clear" w:color="000000" w:fill="FFFFFF"/>
            <w:noWrap/>
            <w:vAlign w:val="center"/>
            <w:hideMark/>
          </w:tcPr>
          <w:p w14:paraId="36DD1328"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000000" w:fill="FFFFFF"/>
            <w:noWrap/>
            <w:vAlign w:val="center"/>
            <w:hideMark/>
          </w:tcPr>
          <w:p w14:paraId="5A34B7E0"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(191)</w:t>
            </w:r>
          </w:p>
        </w:tc>
        <w:tc>
          <w:tcPr>
            <w:tcW w:w="1240" w:type="dxa"/>
            <w:gridSpan w:val="5"/>
            <w:tcBorders>
              <w:top w:val="nil"/>
              <w:left w:val="nil"/>
              <w:bottom w:val="nil"/>
              <w:right w:val="nil"/>
            </w:tcBorders>
            <w:shd w:val="clear" w:color="000000" w:fill="FFFFFF"/>
            <w:noWrap/>
            <w:vAlign w:val="center"/>
            <w:hideMark/>
          </w:tcPr>
          <w:p w14:paraId="337EFE1E"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(34)</w:t>
            </w:r>
          </w:p>
        </w:tc>
        <w:tc>
          <w:tcPr>
            <w:tcW w:w="1240" w:type="dxa"/>
            <w:tcBorders>
              <w:top w:val="nil"/>
              <w:left w:val="nil"/>
              <w:bottom w:val="nil"/>
              <w:right w:val="nil"/>
            </w:tcBorders>
            <w:shd w:val="clear" w:color="000000" w:fill="FFFFFF"/>
            <w:noWrap/>
            <w:vAlign w:val="center"/>
            <w:hideMark/>
          </w:tcPr>
          <w:p w14:paraId="29E79466"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(198)</w:t>
            </w:r>
          </w:p>
        </w:tc>
        <w:tc>
          <w:tcPr>
            <w:tcW w:w="1240" w:type="dxa"/>
            <w:gridSpan w:val="2"/>
            <w:tcBorders>
              <w:top w:val="nil"/>
              <w:left w:val="nil"/>
              <w:bottom w:val="nil"/>
              <w:right w:val="nil"/>
            </w:tcBorders>
            <w:shd w:val="clear" w:color="000000" w:fill="FFFFFF"/>
            <w:noWrap/>
            <w:vAlign w:val="center"/>
            <w:hideMark/>
          </w:tcPr>
          <w:p w14:paraId="3434DC2E"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213 </w:t>
            </w:r>
          </w:p>
        </w:tc>
        <w:tc>
          <w:tcPr>
            <w:tcW w:w="1240" w:type="dxa"/>
            <w:gridSpan w:val="2"/>
            <w:tcBorders>
              <w:top w:val="nil"/>
              <w:left w:val="nil"/>
              <w:bottom w:val="nil"/>
              <w:right w:val="nil"/>
            </w:tcBorders>
            <w:shd w:val="clear" w:color="000000" w:fill="FFFFFF"/>
            <w:noWrap/>
            <w:vAlign w:val="bottom"/>
            <w:hideMark/>
          </w:tcPr>
          <w:p w14:paraId="6AEFA35B"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(210)</w:t>
            </w:r>
          </w:p>
        </w:tc>
      </w:tr>
      <w:tr w:rsidR="00D61C9D" w:rsidRPr="00D61C9D" w14:paraId="6730699E" w14:textId="77777777" w:rsidTr="00D41B2D">
        <w:trPr>
          <w:gridAfter w:val="2"/>
          <w:wAfter w:w="491" w:type="dxa"/>
          <w:trHeight w:val="255"/>
        </w:trPr>
        <w:tc>
          <w:tcPr>
            <w:tcW w:w="2660" w:type="dxa"/>
            <w:gridSpan w:val="2"/>
            <w:tcBorders>
              <w:top w:val="nil"/>
              <w:left w:val="nil"/>
              <w:bottom w:val="single" w:sz="4" w:space="0" w:color="BFBFBF"/>
              <w:right w:val="nil"/>
            </w:tcBorders>
            <w:shd w:val="clear" w:color="000000" w:fill="FFFFFF"/>
            <w:vAlign w:val="center"/>
            <w:hideMark/>
          </w:tcPr>
          <w:p w14:paraId="62B6D93A"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 non-current</w:t>
            </w:r>
          </w:p>
        </w:tc>
        <w:tc>
          <w:tcPr>
            <w:tcW w:w="1100" w:type="dxa"/>
            <w:tcBorders>
              <w:top w:val="nil"/>
              <w:left w:val="nil"/>
              <w:bottom w:val="single" w:sz="4" w:space="0" w:color="BFBFBF"/>
              <w:right w:val="nil"/>
            </w:tcBorders>
            <w:shd w:val="clear" w:color="000000" w:fill="FFFFFF"/>
            <w:noWrap/>
            <w:vAlign w:val="center"/>
            <w:hideMark/>
          </w:tcPr>
          <w:p w14:paraId="1BB864A2"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single" w:sz="4" w:space="0" w:color="BFBFBF"/>
              <w:right w:val="nil"/>
            </w:tcBorders>
            <w:shd w:val="clear" w:color="000000" w:fill="FFFFFF"/>
            <w:noWrap/>
            <w:vAlign w:val="center"/>
            <w:hideMark/>
          </w:tcPr>
          <w:p w14:paraId="0BF9572C"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(1,234)</w:t>
            </w:r>
          </w:p>
        </w:tc>
        <w:tc>
          <w:tcPr>
            <w:tcW w:w="1240" w:type="dxa"/>
            <w:gridSpan w:val="5"/>
            <w:tcBorders>
              <w:top w:val="nil"/>
              <w:left w:val="nil"/>
              <w:bottom w:val="single" w:sz="4" w:space="0" w:color="BFBFBF"/>
              <w:right w:val="nil"/>
            </w:tcBorders>
            <w:shd w:val="clear" w:color="000000" w:fill="FFFFFF"/>
            <w:noWrap/>
            <w:vAlign w:val="center"/>
            <w:hideMark/>
          </w:tcPr>
          <w:p w14:paraId="7791EEED"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(210)</w:t>
            </w:r>
          </w:p>
        </w:tc>
        <w:tc>
          <w:tcPr>
            <w:tcW w:w="1240" w:type="dxa"/>
            <w:tcBorders>
              <w:top w:val="nil"/>
              <w:left w:val="nil"/>
              <w:bottom w:val="single" w:sz="4" w:space="0" w:color="BFBFBF"/>
              <w:right w:val="nil"/>
            </w:tcBorders>
            <w:shd w:val="clear" w:color="000000" w:fill="FFFFFF"/>
            <w:noWrap/>
            <w:vAlign w:val="center"/>
            <w:hideMark/>
          </w:tcPr>
          <w:p w14:paraId="3487DFED"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138 </w:t>
            </w:r>
          </w:p>
        </w:tc>
        <w:tc>
          <w:tcPr>
            <w:tcW w:w="1240" w:type="dxa"/>
            <w:gridSpan w:val="2"/>
            <w:tcBorders>
              <w:top w:val="nil"/>
              <w:left w:val="nil"/>
              <w:bottom w:val="single" w:sz="4" w:space="0" w:color="BFBFBF"/>
              <w:right w:val="nil"/>
            </w:tcBorders>
            <w:shd w:val="clear" w:color="000000" w:fill="FFFFFF"/>
            <w:noWrap/>
            <w:vAlign w:val="center"/>
            <w:hideMark/>
          </w:tcPr>
          <w:p w14:paraId="5BA65B3E"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w:t>
            </w:r>
          </w:p>
        </w:tc>
        <w:tc>
          <w:tcPr>
            <w:tcW w:w="1240" w:type="dxa"/>
            <w:gridSpan w:val="2"/>
            <w:tcBorders>
              <w:top w:val="nil"/>
              <w:left w:val="nil"/>
              <w:bottom w:val="single" w:sz="4" w:space="0" w:color="BFBFBF"/>
              <w:right w:val="nil"/>
            </w:tcBorders>
            <w:shd w:val="clear" w:color="000000" w:fill="FFFFFF"/>
            <w:noWrap/>
            <w:vAlign w:val="center"/>
            <w:hideMark/>
          </w:tcPr>
          <w:p w14:paraId="180732B1"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(1,306)</w:t>
            </w:r>
          </w:p>
        </w:tc>
      </w:tr>
      <w:tr w:rsidR="00D61C9D" w:rsidRPr="00D61C9D" w14:paraId="19A7A815" w14:textId="77777777" w:rsidTr="00D41B2D">
        <w:trPr>
          <w:gridAfter w:val="2"/>
          <w:wAfter w:w="491" w:type="dxa"/>
          <w:trHeight w:val="255"/>
        </w:trPr>
        <w:tc>
          <w:tcPr>
            <w:tcW w:w="1600" w:type="dxa"/>
            <w:tcBorders>
              <w:top w:val="nil"/>
              <w:left w:val="nil"/>
              <w:bottom w:val="single" w:sz="4" w:space="0" w:color="BFBFBF"/>
              <w:right w:val="nil"/>
            </w:tcBorders>
            <w:shd w:val="clear" w:color="000000" w:fill="FFFFFF"/>
            <w:vAlign w:val="center"/>
            <w:hideMark/>
          </w:tcPr>
          <w:p w14:paraId="4750D0E1" w14:textId="77777777" w:rsidR="00D61C9D" w:rsidRPr="00D61C9D" w:rsidRDefault="00D61C9D" w:rsidP="00D61C9D">
            <w:pPr>
              <w:spacing w:after="0" w:line="240" w:lineRule="auto"/>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Total Debt</w:t>
            </w:r>
          </w:p>
        </w:tc>
        <w:tc>
          <w:tcPr>
            <w:tcW w:w="1060" w:type="dxa"/>
            <w:tcBorders>
              <w:top w:val="nil"/>
              <w:left w:val="nil"/>
              <w:bottom w:val="single" w:sz="4" w:space="0" w:color="BFBFBF"/>
              <w:right w:val="nil"/>
            </w:tcBorders>
            <w:shd w:val="clear" w:color="000000" w:fill="FFFFFF"/>
            <w:vAlign w:val="center"/>
            <w:hideMark/>
          </w:tcPr>
          <w:p w14:paraId="026A1299"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100" w:type="dxa"/>
            <w:tcBorders>
              <w:top w:val="nil"/>
              <w:left w:val="nil"/>
              <w:bottom w:val="single" w:sz="4" w:space="0" w:color="BFBFBF"/>
              <w:right w:val="nil"/>
            </w:tcBorders>
            <w:shd w:val="clear" w:color="000000" w:fill="FFFFFF"/>
            <w:noWrap/>
            <w:vAlign w:val="center"/>
            <w:hideMark/>
          </w:tcPr>
          <w:p w14:paraId="3A58164E"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single" w:sz="4" w:space="0" w:color="BFBFBF"/>
              <w:right w:val="nil"/>
            </w:tcBorders>
            <w:shd w:val="clear" w:color="000000" w:fill="FFFFFF"/>
            <w:noWrap/>
            <w:vAlign w:val="center"/>
            <w:hideMark/>
          </w:tcPr>
          <w:p w14:paraId="605C73F2"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(2,244)</w:t>
            </w:r>
          </w:p>
        </w:tc>
        <w:tc>
          <w:tcPr>
            <w:tcW w:w="1240" w:type="dxa"/>
            <w:gridSpan w:val="5"/>
            <w:tcBorders>
              <w:top w:val="nil"/>
              <w:left w:val="nil"/>
              <w:bottom w:val="single" w:sz="4" w:space="0" w:color="BFBFBF"/>
              <w:right w:val="nil"/>
            </w:tcBorders>
            <w:shd w:val="clear" w:color="000000" w:fill="FFFFFF"/>
            <w:noWrap/>
            <w:vAlign w:val="center"/>
            <w:hideMark/>
          </w:tcPr>
          <w:p w14:paraId="55D8F1F1"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(244)</w:t>
            </w:r>
          </w:p>
        </w:tc>
        <w:tc>
          <w:tcPr>
            <w:tcW w:w="1240" w:type="dxa"/>
            <w:tcBorders>
              <w:top w:val="nil"/>
              <w:left w:val="nil"/>
              <w:bottom w:val="single" w:sz="4" w:space="0" w:color="BFBFBF"/>
              <w:right w:val="nil"/>
            </w:tcBorders>
            <w:shd w:val="clear" w:color="000000" w:fill="FFFFFF"/>
            <w:noWrap/>
            <w:vAlign w:val="center"/>
            <w:hideMark/>
          </w:tcPr>
          <w:p w14:paraId="7EC67B05"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(55)</w:t>
            </w:r>
          </w:p>
        </w:tc>
        <w:tc>
          <w:tcPr>
            <w:tcW w:w="1240" w:type="dxa"/>
            <w:gridSpan w:val="2"/>
            <w:tcBorders>
              <w:top w:val="nil"/>
              <w:left w:val="nil"/>
              <w:bottom w:val="single" w:sz="4" w:space="0" w:color="BFBFBF"/>
              <w:right w:val="nil"/>
            </w:tcBorders>
            <w:shd w:val="clear" w:color="000000" w:fill="FFFFFF"/>
            <w:noWrap/>
            <w:vAlign w:val="center"/>
            <w:hideMark/>
          </w:tcPr>
          <w:p w14:paraId="1F6A722B"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51 </w:t>
            </w:r>
          </w:p>
        </w:tc>
        <w:tc>
          <w:tcPr>
            <w:tcW w:w="1240" w:type="dxa"/>
            <w:gridSpan w:val="2"/>
            <w:tcBorders>
              <w:top w:val="nil"/>
              <w:left w:val="nil"/>
              <w:bottom w:val="single" w:sz="4" w:space="0" w:color="BFBFBF"/>
              <w:right w:val="nil"/>
            </w:tcBorders>
            <w:shd w:val="clear" w:color="000000" w:fill="FFFFFF"/>
            <w:noWrap/>
            <w:vAlign w:val="center"/>
            <w:hideMark/>
          </w:tcPr>
          <w:p w14:paraId="51AA9F21"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(2,492)</w:t>
            </w:r>
          </w:p>
        </w:tc>
      </w:tr>
      <w:tr w:rsidR="00D61C9D" w:rsidRPr="00D61C9D" w14:paraId="56ECF9B2" w14:textId="77777777" w:rsidTr="00D41B2D">
        <w:trPr>
          <w:gridAfter w:val="2"/>
          <w:wAfter w:w="491" w:type="dxa"/>
          <w:trHeight w:val="255"/>
        </w:trPr>
        <w:tc>
          <w:tcPr>
            <w:tcW w:w="2660" w:type="dxa"/>
            <w:gridSpan w:val="2"/>
            <w:tcBorders>
              <w:top w:val="nil"/>
              <w:left w:val="nil"/>
              <w:bottom w:val="nil"/>
              <w:right w:val="nil"/>
            </w:tcBorders>
            <w:shd w:val="clear" w:color="000000" w:fill="FFFFFF"/>
            <w:vAlign w:val="center"/>
            <w:hideMark/>
          </w:tcPr>
          <w:p w14:paraId="4FE7E11B"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Group cash:</w:t>
            </w:r>
          </w:p>
        </w:tc>
        <w:tc>
          <w:tcPr>
            <w:tcW w:w="1100" w:type="dxa"/>
            <w:tcBorders>
              <w:top w:val="nil"/>
              <w:left w:val="nil"/>
              <w:bottom w:val="nil"/>
              <w:right w:val="nil"/>
            </w:tcBorders>
            <w:shd w:val="clear" w:color="000000" w:fill="FFFFFF"/>
            <w:noWrap/>
            <w:vAlign w:val="center"/>
            <w:hideMark/>
          </w:tcPr>
          <w:p w14:paraId="0DB39A7C"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000000" w:fill="FFFFFF"/>
            <w:noWrap/>
            <w:vAlign w:val="center"/>
            <w:hideMark/>
          </w:tcPr>
          <w:p w14:paraId="3E3A3A13"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240" w:type="dxa"/>
            <w:gridSpan w:val="5"/>
            <w:tcBorders>
              <w:top w:val="nil"/>
              <w:left w:val="nil"/>
              <w:bottom w:val="nil"/>
              <w:right w:val="nil"/>
            </w:tcBorders>
            <w:shd w:val="clear" w:color="000000" w:fill="FFFFFF"/>
            <w:noWrap/>
            <w:vAlign w:val="center"/>
            <w:hideMark/>
          </w:tcPr>
          <w:p w14:paraId="5AD2B920"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240" w:type="dxa"/>
            <w:tcBorders>
              <w:top w:val="nil"/>
              <w:left w:val="nil"/>
              <w:bottom w:val="nil"/>
              <w:right w:val="nil"/>
            </w:tcBorders>
            <w:shd w:val="clear" w:color="000000" w:fill="FFFFFF"/>
            <w:noWrap/>
            <w:vAlign w:val="center"/>
            <w:hideMark/>
          </w:tcPr>
          <w:p w14:paraId="6114F2BD"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240" w:type="dxa"/>
            <w:gridSpan w:val="2"/>
            <w:tcBorders>
              <w:top w:val="nil"/>
              <w:left w:val="nil"/>
              <w:bottom w:val="nil"/>
              <w:right w:val="nil"/>
            </w:tcBorders>
            <w:shd w:val="clear" w:color="000000" w:fill="FFFFFF"/>
            <w:noWrap/>
            <w:vAlign w:val="center"/>
            <w:hideMark/>
          </w:tcPr>
          <w:p w14:paraId="7BB12EFF"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240" w:type="dxa"/>
            <w:gridSpan w:val="2"/>
            <w:tcBorders>
              <w:top w:val="nil"/>
              <w:left w:val="nil"/>
              <w:bottom w:val="nil"/>
              <w:right w:val="nil"/>
            </w:tcBorders>
            <w:shd w:val="clear" w:color="000000" w:fill="FFFFFF"/>
            <w:noWrap/>
            <w:vAlign w:val="center"/>
            <w:hideMark/>
          </w:tcPr>
          <w:p w14:paraId="5764F3E2"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r>
      <w:tr w:rsidR="00D61C9D" w:rsidRPr="00D61C9D" w14:paraId="37949C25" w14:textId="77777777" w:rsidTr="00D41B2D">
        <w:trPr>
          <w:gridAfter w:val="2"/>
          <w:wAfter w:w="491" w:type="dxa"/>
          <w:trHeight w:val="255"/>
        </w:trPr>
        <w:tc>
          <w:tcPr>
            <w:tcW w:w="2660" w:type="dxa"/>
            <w:gridSpan w:val="2"/>
            <w:tcBorders>
              <w:top w:val="nil"/>
              <w:left w:val="nil"/>
              <w:bottom w:val="nil"/>
              <w:right w:val="nil"/>
            </w:tcBorders>
            <w:shd w:val="clear" w:color="000000" w:fill="FFFFFF"/>
            <w:vAlign w:val="center"/>
            <w:hideMark/>
          </w:tcPr>
          <w:p w14:paraId="5C33FE46"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 cash and overdrafts</w:t>
            </w:r>
          </w:p>
        </w:tc>
        <w:tc>
          <w:tcPr>
            <w:tcW w:w="1100" w:type="dxa"/>
            <w:tcBorders>
              <w:top w:val="nil"/>
              <w:left w:val="nil"/>
              <w:bottom w:val="nil"/>
              <w:right w:val="nil"/>
            </w:tcBorders>
            <w:shd w:val="clear" w:color="000000" w:fill="FFFFFF"/>
            <w:noWrap/>
            <w:vAlign w:val="center"/>
            <w:hideMark/>
          </w:tcPr>
          <w:p w14:paraId="51AEB0C0"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nil"/>
              <w:left w:val="nil"/>
              <w:bottom w:val="nil"/>
              <w:right w:val="nil"/>
            </w:tcBorders>
            <w:shd w:val="clear" w:color="000000" w:fill="FFFFFF"/>
            <w:noWrap/>
            <w:vAlign w:val="center"/>
            <w:hideMark/>
          </w:tcPr>
          <w:p w14:paraId="35BF901D"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269 </w:t>
            </w:r>
          </w:p>
        </w:tc>
        <w:tc>
          <w:tcPr>
            <w:tcW w:w="1240" w:type="dxa"/>
            <w:gridSpan w:val="5"/>
            <w:tcBorders>
              <w:top w:val="nil"/>
              <w:left w:val="nil"/>
              <w:bottom w:val="nil"/>
              <w:right w:val="nil"/>
            </w:tcBorders>
            <w:shd w:val="clear" w:color="000000" w:fill="FFFFFF"/>
            <w:noWrap/>
            <w:vAlign w:val="center"/>
            <w:hideMark/>
          </w:tcPr>
          <w:p w14:paraId="110884A0"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w:t>
            </w:r>
          </w:p>
        </w:tc>
        <w:tc>
          <w:tcPr>
            <w:tcW w:w="1240" w:type="dxa"/>
            <w:tcBorders>
              <w:top w:val="nil"/>
              <w:left w:val="nil"/>
              <w:bottom w:val="nil"/>
              <w:right w:val="nil"/>
            </w:tcBorders>
            <w:shd w:val="clear" w:color="000000" w:fill="FFFFFF"/>
            <w:noWrap/>
            <w:vAlign w:val="center"/>
            <w:hideMark/>
          </w:tcPr>
          <w:p w14:paraId="0ED4AAAC"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 </w:t>
            </w:r>
          </w:p>
        </w:tc>
        <w:tc>
          <w:tcPr>
            <w:tcW w:w="1240" w:type="dxa"/>
            <w:gridSpan w:val="2"/>
            <w:tcBorders>
              <w:top w:val="nil"/>
              <w:left w:val="nil"/>
              <w:bottom w:val="nil"/>
              <w:right w:val="nil"/>
            </w:tcBorders>
            <w:shd w:val="clear" w:color="000000" w:fill="FFFFFF"/>
            <w:noWrap/>
            <w:vAlign w:val="center"/>
            <w:hideMark/>
          </w:tcPr>
          <w:p w14:paraId="0FA432F9"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(213)</w:t>
            </w:r>
          </w:p>
        </w:tc>
        <w:tc>
          <w:tcPr>
            <w:tcW w:w="1240" w:type="dxa"/>
            <w:gridSpan w:val="2"/>
            <w:tcBorders>
              <w:top w:val="nil"/>
              <w:left w:val="nil"/>
              <w:bottom w:val="nil"/>
              <w:right w:val="nil"/>
            </w:tcBorders>
            <w:shd w:val="clear" w:color="000000" w:fill="FFFFFF"/>
            <w:noWrap/>
            <w:vAlign w:val="center"/>
            <w:hideMark/>
          </w:tcPr>
          <w:p w14:paraId="29442D8F"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 xml:space="preserve">56 </w:t>
            </w:r>
          </w:p>
        </w:tc>
      </w:tr>
      <w:tr w:rsidR="00D61C9D" w:rsidRPr="00D61C9D" w14:paraId="5F8DBA21" w14:textId="77777777" w:rsidTr="00D41B2D">
        <w:trPr>
          <w:gridAfter w:val="2"/>
          <w:wAfter w:w="491" w:type="dxa"/>
          <w:trHeight w:val="255"/>
        </w:trPr>
        <w:tc>
          <w:tcPr>
            <w:tcW w:w="1600" w:type="dxa"/>
            <w:tcBorders>
              <w:top w:val="single" w:sz="4" w:space="0" w:color="BFBFBF"/>
              <w:left w:val="nil"/>
              <w:bottom w:val="single" w:sz="4" w:space="0" w:color="BFBFBF"/>
              <w:right w:val="nil"/>
            </w:tcBorders>
            <w:shd w:val="clear" w:color="000000" w:fill="FFFFFF"/>
            <w:vAlign w:val="center"/>
            <w:hideMark/>
          </w:tcPr>
          <w:p w14:paraId="5B36FF12" w14:textId="77777777" w:rsidR="00D61C9D" w:rsidRPr="00D61C9D" w:rsidRDefault="00D61C9D" w:rsidP="00D61C9D">
            <w:pPr>
              <w:spacing w:after="0" w:line="240" w:lineRule="auto"/>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Group Net Debt</w:t>
            </w:r>
          </w:p>
        </w:tc>
        <w:tc>
          <w:tcPr>
            <w:tcW w:w="1060" w:type="dxa"/>
            <w:tcBorders>
              <w:top w:val="single" w:sz="4" w:space="0" w:color="BFBFBF"/>
              <w:left w:val="nil"/>
              <w:bottom w:val="single" w:sz="4" w:space="0" w:color="BFBFBF"/>
              <w:right w:val="nil"/>
            </w:tcBorders>
            <w:shd w:val="clear" w:color="000000" w:fill="FFFFFF"/>
            <w:vAlign w:val="center"/>
            <w:hideMark/>
          </w:tcPr>
          <w:p w14:paraId="67E44841" w14:textId="77777777" w:rsidR="00D61C9D" w:rsidRPr="00D61C9D" w:rsidRDefault="00D61C9D" w:rsidP="00D61C9D">
            <w:pPr>
              <w:spacing w:after="0" w:line="240" w:lineRule="auto"/>
              <w:rPr>
                <w:rFonts w:ascii="Arial" w:eastAsia="Times New Roman" w:hAnsi="Arial" w:cs="Arial"/>
                <w:sz w:val="15"/>
                <w:szCs w:val="15"/>
                <w:lang w:eastAsia="en-GB"/>
              </w:rPr>
            </w:pPr>
            <w:r w:rsidRPr="00D61C9D">
              <w:rPr>
                <w:rFonts w:ascii="Arial" w:eastAsia="Times New Roman" w:hAnsi="Arial" w:cs="Arial"/>
                <w:sz w:val="15"/>
                <w:szCs w:val="15"/>
                <w:lang w:eastAsia="en-GB"/>
              </w:rPr>
              <w:t> </w:t>
            </w:r>
          </w:p>
        </w:tc>
        <w:tc>
          <w:tcPr>
            <w:tcW w:w="1100" w:type="dxa"/>
            <w:tcBorders>
              <w:top w:val="single" w:sz="4" w:space="0" w:color="BFBFBF"/>
              <w:left w:val="nil"/>
              <w:bottom w:val="single" w:sz="4" w:space="0" w:color="BFBFBF"/>
              <w:right w:val="nil"/>
            </w:tcBorders>
            <w:shd w:val="clear" w:color="000000" w:fill="FFFFFF"/>
            <w:noWrap/>
            <w:vAlign w:val="center"/>
            <w:hideMark/>
          </w:tcPr>
          <w:p w14:paraId="3BB4C2F9" w14:textId="77777777" w:rsidR="00D61C9D" w:rsidRPr="00D61C9D" w:rsidRDefault="00D61C9D" w:rsidP="00D61C9D">
            <w:pPr>
              <w:spacing w:after="0" w:line="240" w:lineRule="auto"/>
              <w:jc w:val="right"/>
              <w:rPr>
                <w:rFonts w:ascii="Arial" w:eastAsia="Times New Roman" w:hAnsi="Arial" w:cs="Arial"/>
                <w:b/>
                <w:bCs/>
                <w:sz w:val="15"/>
                <w:szCs w:val="15"/>
                <w:lang w:eastAsia="en-GB"/>
              </w:rPr>
            </w:pPr>
            <w:r w:rsidRPr="00D61C9D">
              <w:rPr>
                <w:rFonts w:ascii="Arial" w:eastAsia="Times New Roman" w:hAnsi="Arial" w:cs="Arial"/>
                <w:b/>
                <w:bCs/>
                <w:sz w:val="15"/>
                <w:szCs w:val="15"/>
                <w:lang w:eastAsia="en-GB"/>
              </w:rPr>
              <w:t> </w:t>
            </w:r>
          </w:p>
        </w:tc>
        <w:tc>
          <w:tcPr>
            <w:tcW w:w="1240" w:type="dxa"/>
            <w:tcBorders>
              <w:top w:val="single" w:sz="4" w:space="0" w:color="BFBFBF"/>
              <w:left w:val="nil"/>
              <w:bottom w:val="single" w:sz="4" w:space="0" w:color="BFBFBF"/>
              <w:right w:val="nil"/>
            </w:tcBorders>
            <w:shd w:val="clear" w:color="000000" w:fill="FFFFFF"/>
            <w:noWrap/>
            <w:vAlign w:val="center"/>
            <w:hideMark/>
          </w:tcPr>
          <w:p w14:paraId="20A8B0BD"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(1,975)</w:t>
            </w:r>
          </w:p>
        </w:tc>
        <w:tc>
          <w:tcPr>
            <w:tcW w:w="1240" w:type="dxa"/>
            <w:gridSpan w:val="5"/>
            <w:tcBorders>
              <w:top w:val="single" w:sz="4" w:space="0" w:color="BFBFBF"/>
              <w:left w:val="nil"/>
              <w:bottom w:val="single" w:sz="4" w:space="0" w:color="BFBFBF"/>
              <w:right w:val="nil"/>
            </w:tcBorders>
            <w:shd w:val="clear" w:color="000000" w:fill="FFFFFF"/>
            <w:noWrap/>
            <w:vAlign w:val="center"/>
            <w:hideMark/>
          </w:tcPr>
          <w:p w14:paraId="0290F3D1"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(244)</w:t>
            </w:r>
          </w:p>
        </w:tc>
        <w:tc>
          <w:tcPr>
            <w:tcW w:w="1240" w:type="dxa"/>
            <w:tcBorders>
              <w:top w:val="single" w:sz="4" w:space="0" w:color="BFBFBF"/>
              <w:left w:val="nil"/>
              <w:bottom w:val="single" w:sz="4" w:space="0" w:color="BFBFBF"/>
              <w:right w:val="nil"/>
            </w:tcBorders>
            <w:shd w:val="clear" w:color="000000" w:fill="FFFFFF"/>
            <w:noWrap/>
            <w:vAlign w:val="center"/>
            <w:hideMark/>
          </w:tcPr>
          <w:p w14:paraId="0DE65266"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(55)</w:t>
            </w:r>
          </w:p>
        </w:tc>
        <w:tc>
          <w:tcPr>
            <w:tcW w:w="1240" w:type="dxa"/>
            <w:gridSpan w:val="2"/>
            <w:tcBorders>
              <w:top w:val="single" w:sz="4" w:space="0" w:color="BFBFBF"/>
              <w:left w:val="nil"/>
              <w:bottom w:val="single" w:sz="4" w:space="0" w:color="BFBFBF"/>
              <w:right w:val="nil"/>
            </w:tcBorders>
            <w:shd w:val="clear" w:color="000000" w:fill="FFFFFF"/>
            <w:noWrap/>
            <w:vAlign w:val="center"/>
            <w:hideMark/>
          </w:tcPr>
          <w:p w14:paraId="57F3D2BF"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(162)</w:t>
            </w:r>
          </w:p>
        </w:tc>
        <w:tc>
          <w:tcPr>
            <w:tcW w:w="1240" w:type="dxa"/>
            <w:gridSpan w:val="2"/>
            <w:tcBorders>
              <w:top w:val="single" w:sz="4" w:space="0" w:color="BFBFBF"/>
              <w:left w:val="nil"/>
              <w:bottom w:val="single" w:sz="4" w:space="0" w:color="BFBFBF"/>
              <w:right w:val="nil"/>
            </w:tcBorders>
            <w:shd w:val="clear" w:color="000000" w:fill="FFFFFF"/>
            <w:noWrap/>
            <w:vAlign w:val="center"/>
            <w:hideMark/>
          </w:tcPr>
          <w:p w14:paraId="3FE8C300" w14:textId="77777777" w:rsidR="00D61C9D" w:rsidRPr="00D61C9D" w:rsidRDefault="00D61C9D" w:rsidP="00D61C9D">
            <w:pPr>
              <w:spacing w:after="0" w:line="240" w:lineRule="auto"/>
              <w:jc w:val="right"/>
              <w:rPr>
                <w:rFonts w:ascii="Arial" w:eastAsia="Times New Roman" w:hAnsi="Arial" w:cs="Arial"/>
                <w:sz w:val="15"/>
                <w:szCs w:val="15"/>
                <w:lang w:eastAsia="en-GB"/>
              </w:rPr>
            </w:pPr>
            <w:r w:rsidRPr="00D61C9D">
              <w:rPr>
                <w:rFonts w:ascii="Arial" w:eastAsia="Times New Roman" w:hAnsi="Arial" w:cs="Arial"/>
                <w:sz w:val="15"/>
                <w:szCs w:val="15"/>
                <w:lang w:eastAsia="en-GB"/>
              </w:rPr>
              <w:t>(2,436)</w:t>
            </w:r>
          </w:p>
        </w:tc>
      </w:tr>
      <w:tr w:rsidR="009940F0" w:rsidRPr="00785E7A" w14:paraId="23FB2D93" w14:textId="77777777" w:rsidTr="00D41B2D">
        <w:trPr>
          <w:gridAfter w:val="1"/>
          <w:wAfter w:w="225" w:type="dxa"/>
          <w:trHeight w:val="420"/>
        </w:trPr>
        <w:tc>
          <w:tcPr>
            <w:tcW w:w="7657" w:type="dxa"/>
            <w:gridSpan w:val="11"/>
            <w:tcBorders>
              <w:top w:val="nil"/>
              <w:left w:val="nil"/>
              <w:bottom w:val="nil"/>
              <w:right w:val="nil"/>
            </w:tcBorders>
            <w:shd w:val="clear" w:color="000000" w:fill="FFFFFF"/>
            <w:noWrap/>
            <w:vAlign w:val="bottom"/>
            <w:hideMark/>
          </w:tcPr>
          <w:p w14:paraId="4AC03DF1" w14:textId="77777777" w:rsidR="00785E7A" w:rsidRPr="00785E7A" w:rsidRDefault="00785E7A" w:rsidP="00785E7A">
            <w:pPr>
              <w:spacing w:after="0" w:line="240" w:lineRule="auto"/>
              <w:rPr>
                <w:rFonts w:ascii="Arial" w:eastAsia="Times New Roman" w:hAnsi="Arial" w:cs="Arial"/>
                <w:b/>
                <w:bCs/>
                <w:sz w:val="18"/>
                <w:szCs w:val="18"/>
                <w:lang w:eastAsia="en-GB"/>
              </w:rPr>
            </w:pPr>
            <w:r w:rsidRPr="00785E7A">
              <w:rPr>
                <w:rFonts w:ascii="Arial" w:eastAsia="Times New Roman" w:hAnsi="Arial" w:cs="Arial"/>
                <w:b/>
                <w:bCs/>
                <w:sz w:val="18"/>
                <w:szCs w:val="18"/>
                <w:lang w:eastAsia="en-GB"/>
              </w:rPr>
              <w:t>10   Reconciliation of operating profit to net cash flow from operating activities</w:t>
            </w:r>
          </w:p>
        </w:tc>
        <w:tc>
          <w:tcPr>
            <w:tcW w:w="1274" w:type="dxa"/>
            <w:gridSpan w:val="2"/>
            <w:tcBorders>
              <w:top w:val="nil"/>
              <w:left w:val="nil"/>
              <w:bottom w:val="nil"/>
              <w:right w:val="nil"/>
            </w:tcBorders>
            <w:shd w:val="clear" w:color="000000" w:fill="FFFFFF"/>
            <w:noWrap/>
            <w:vAlign w:val="bottom"/>
            <w:hideMark/>
          </w:tcPr>
          <w:p w14:paraId="4C153632" w14:textId="77777777" w:rsidR="00785E7A" w:rsidRPr="00785E7A" w:rsidRDefault="00785E7A" w:rsidP="00785E7A">
            <w:pPr>
              <w:spacing w:after="0" w:line="240" w:lineRule="auto"/>
              <w:rPr>
                <w:rFonts w:ascii="Arial" w:eastAsia="Times New Roman" w:hAnsi="Arial" w:cs="Arial"/>
                <w:b/>
                <w:bCs/>
                <w:sz w:val="18"/>
                <w:szCs w:val="18"/>
                <w:lang w:eastAsia="en-GB"/>
              </w:rPr>
            </w:pPr>
            <w:r w:rsidRPr="00785E7A">
              <w:rPr>
                <w:rFonts w:ascii="Arial" w:eastAsia="Times New Roman" w:hAnsi="Arial" w:cs="Arial"/>
                <w:b/>
                <w:bCs/>
                <w:sz w:val="18"/>
                <w:szCs w:val="18"/>
                <w:lang w:eastAsia="en-GB"/>
              </w:rPr>
              <w:t> </w:t>
            </w:r>
          </w:p>
        </w:tc>
        <w:tc>
          <w:tcPr>
            <w:tcW w:w="1295" w:type="dxa"/>
            <w:gridSpan w:val="2"/>
            <w:tcBorders>
              <w:top w:val="nil"/>
              <w:left w:val="nil"/>
              <w:bottom w:val="nil"/>
              <w:right w:val="nil"/>
            </w:tcBorders>
            <w:shd w:val="clear" w:color="000000" w:fill="FFFFFF"/>
            <w:noWrap/>
            <w:vAlign w:val="bottom"/>
            <w:hideMark/>
          </w:tcPr>
          <w:p w14:paraId="64CCE85D" w14:textId="77777777" w:rsidR="00785E7A" w:rsidRPr="00785E7A" w:rsidRDefault="00785E7A" w:rsidP="00785E7A">
            <w:pPr>
              <w:spacing w:after="0" w:line="240" w:lineRule="auto"/>
              <w:rPr>
                <w:rFonts w:ascii="Arial" w:eastAsia="Times New Roman" w:hAnsi="Arial" w:cs="Arial"/>
                <w:sz w:val="18"/>
                <w:szCs w:val="18"/>
                <w:lang w:eastAsia="en-GB"/>
              </w:rPr>
            </w:pPr>
            <w:r w:rsidRPr="00785E7A">
              <w:rPr>
                <w:rFonts w:ascii="Arial" w:eastAsia="Times New Roman" w:hAnsi="Arial" w:cs="Arial"/>
                <w:sz w:val="18"/>
                <w:szCs w:val="18"/>
                <w:lang w:eastAsia="en-GB"/>
              </w:rPr>
              <w:t> </w:t>
            </w:r>
          </w:p>
        </w:tc>
      </w:tr>
      <w:tr w:rsidR="009940F0" w:rsidRPr="00785E7A" w14:paraId="76974974" w14:textId="77777777" w:rsidTr="00D41B2D">
        <w:trPr>
          <w:gridAfter w:val="1"/>
          <w:wAfter w:w="225" w:type="dxa"/>
          <w:trHeight w:val="162"/>
        </w:trPr>
        <w:tc>
          <w:tcPr>
            <w:tcW w:w="5280" w:type="dxa"/>
            <w:gridSpan w:val="5"/>
            <w:tcBorders>
              <w:top w:val="nil"/>
              <w:left w:val="nil"/>
              <w:bottom w:val="nil"/>
              <w:right w:val="nil"/>
            </w:tcBorders>
            <w:shd w:val="clear" w:color="000000" w:fill="FFFFFF"/>
            <w:noWrap/>
            <w:vAlign w:val="bottom"/>
            <w:hideMark/>
          </w:tcPr>
          <w:p w14:paraId="7610288E" w14:textId="77777777" w:rsidR="00785E7A" w:rsidRPr="00785E7A" w:rsidRDefault="00785E7A" w:rsidP="00785E7A">
            <w:pPr>
              <w:spacing w:after="0" w:line="240" w:lineRule="auto"/>
              <w:rPr>
                <w:rFonts w:ascii="Arial" w:eastAsia="Times New Roman" w:hAnsi="Arial" w:cs="Arial"/>
                <w:b/>
                <w:bCs/>
                <w:sz w:val="18"/>
                <w:szCs w:val="18"/>
                <w:lang w:eastAsia="en-GB"/>
              </w:rPr>
            </w:pPr>
            <w:r w:rsidRPr="00785E7A">
              <w:rPr>
                <w:rFonts w:ascii="Arial" w:eastAsia="Times New Roman" w:hAnsi="Arial" w:cs="Arial"/>
                <w:b/>
                <w:bCs/>
                <w:sz w:val="18"/>
                <w:szCs w:val="18"/>
                <w:lang w:eastAsia="en-GB"/>
              </w:rPr>
              <w:t> </w:t>
            </w:r>
          </w:p>
        </w:tc>
        <w:tc>
          <w:tcPr>
            <w:tcW w:w="272" w:type="dxa"/>
            <w:tcBorders>
              <w:top w:val="nil"/>
              <w:left w:val="nil"/>
              <w:bottom w:val="nil"/>
              <w:right w:val="nil"/>
            </w:tcBorders>
            <w:shd w:val="clear" w:color="000000" w:fill="FFFFFF"/>
            <w:noWrap/>
            <w:vAlign w:val="bottom"/>
            <w:hideMark/>
          </w:tcPr>
          <w:p w14:paraId="64F0CCB7" w14:textId="77777777" w:rsidR="00785E7A" w:rsidRPr="00785E7A" w:rsidRDefault="00785E7A" w:rsidP="00785E7A">
            <w:pPr>
              <w:spacing w:after="0" w:line="240" w:lineRule="auto"/>
              <w:rPr>
                <w:rFonts w:ascii="Arial" w:eastAsia="Times New Roman" w:hAnsi="Arial" w:cs="Arial"/>
                <w:b/>
                <w:bCs/>
                <w:sz w:val="18"/>
                <w:szCs w:val="18"/>
                <w:lang w:eastAsia="en-GB"/>
              </w:rPr>
            </w:pPr>
            <w:r w:rsidRPr="00785E7A">
              <w:rPr>
                <w:rFonts w:ascii="Arial" w:eastAsia="Times New Roman" w:hAnsi="Arial" w:cs="Arial"/>
                <w:b/>
                <w:bCs/>
                <w:sz w:val="18"/>
                <w:szCs w:val="18"/>
                <w:lang w:eastAsia="en-GB"/>
              </w:rPr>
              <w:t> </w:t>
            </w:r>
          </w:p>
        </w:tc>
        <w:tc>
          <w:tcPr>
            <w:tcW w:w="272" w:type="dxa"/>
            <w:tcBorders>
              <w:top w:val="nil"/>
              <w:left w:val="nil"/>
              <w:bottom w:val="nil"/>
              <w:right w:val="nil"/>
            </w:tcBorders>
            <w:shd w:val="clear" w:color="000000" w:fill="FFFFFF"/>
            <w:noWrap/>
            <w:vAlign w:val="bottom"/>
            <w:hideMark/>
          </w:tcPr>
          <w:p w14:paraId="04EA6F83" w14:textId="77777777" w:rsidR="00785E7A" w:rsidRPr="00785E7A" w:rsidRDefault="00785E7A" w:rsidP="00785E7A">
            <w:pPr>
              <w:spacing w:after="0" w:line="240" w:lineRule="auto"/>
              <w:rPr>
                <w:rFonts w:ascii="Arial" w:eastAsia="Times New Roman" w:hAnsi="Arial" w:cs="Arial"/>
                <w:b/>
                <w:bCs/>
                <w:sz w:val="18"/>
                <w:szCs w:val="18"/>
                <w:lang w:eastAsia="en-GB"/>
              </w:rPr>
            </w:pPr>
            <w:r w:rsidRPr="00785E7A">
              <w:rPr>
                <w:rFonts w:ascii="Arial" w:eastAsia="Times New Roman" w:hAnsi="Arial" w:cs="Arial"/>
                <w:b/>
                <w:bCs/>
                <w:sz w:val="18"/>
                <w:szCs w:val="18"/>
                <w:lang w:eastAsia="en-GB"/>
              </w:rPr>
              <w:t> </w:t>
            </w:r>
          </w:p>
        </w:tc>
        <w:tc>
          <w:tcPr>
            <w:tcW w:w="272" w:type="dxa"/>
            <w:tcBorders>
              <w:top w:val="nil"/>
              <w:left w:val="nil"/>
              <w:bottom w:val="nil"/>
              <w:right w:val="nil"/>
            </w:tcBorders>
            <w:shd w:val="clear" w:color="000000" w:fill="FFFFFF"/>
            <w:noWrap/>
            <w:vAlign w:val="bottom"/>
            <w:hideMark/>
          </w:tcPr>
          <w:p w14:paraId="30C49EB3" w14:textId="77777777" w:rsidR="00785E7A" w:rsidRPr="00785E7A" w:rsidRDefault="00785E7A" w:rsidP="00785E7A">
            <w:pPr>
              <w:spacing w:after="0" w:line="240" w:lineRule="auto"/>
              <w:rPr>
                <w:rFonts w:ascii="Arial" w:eastAsia="Times New Roman" w:hAnsi="Arial" w:cs="Arial"/>
                <w:b/>
                <w:bCs/>
                <w:sz w:val="18"/>
                <w:szCs w:val="18"/>
                <w:lang w:eastAsia="en-GB"/>
              </w:rPr>
            </w:pPr>
            <w:r w:rsidRPr="00785E7A">
              <w:rPr>
                <w:rFonts w:ascii="Arial" w:eastAsia="Times New Roman" w:hAnsi="Arial" w:cs="Arial"/>
                <w:b/>
                <w:bCs/>
                <w:sz w:val="18"/>
                <w:szCs w:val="18"/>
                <w:lang w:eastAsia="en-GB"/>
              </w:rPr>
              <w:t> </w:t>
            </w:r>
          </w:p>
        </w:tc>
        <w:tc>
          <w:tcPr>
            <w:tcW w:w="1561" w:type="dxa"/>
            <w:gridSpan w:val="3"/>
            <w:tcBorders>
              <w:top w:val="nil"/>
              <w:left w:val="nil"/>
              <w:bottom w:val="nil"/>
              <w:right w:val="nil"/>
            </w:tcBorders>
            <w:shd w:val="clear" w:color="000000" w:fill="FFFFFF"/>
            <w:noWrap/>
            <w:vAlign w:val="bottom"/>
            <w:hideMark/>
          </w:tcPr>
          <w:p w14:paraId="02091604" w14:textId="77777777" w:rsidR="00785E7A" w:rsidRPr="00785E7A" w:rsidRDefault="00785E7A" w:rsidP="00785E7A">
            <w:pPr>
              <w:spacing w:after="0" w:line="240" w:lineRule="auto"/>
              <w:rPr>
                <w:rFonts w:ascii="Arial" w:eastAsia="Times New Roman" w:hAnsi="Arial" w:cs="Arial"/>
                <w:b/>
                <w:bCs/>
                <w:sz w:val="18"/>
                <w:szCs w:val="18"/>
                <w:lang w:eastAsia="en-GB"/>
              </w:rPr>
            </w:pPr>
            <w:r w:rsidRPr="00785E7A">
              <w:rPr>
                <w:rFonts w:ascii="Arial" w:eastAsia="Times New Roman" w:hAnsi="Arial" w:cs="Arial"/>
                <w:b/>
                <w:bCs/>
                <w:sz w:val="18"/>
                <w:szCs w:val="18"/>
                <w:lang w:eastAsia="en-GB"/>
              </w:rPr>
              <w:t> </w:t>
            </w:r>
          </w:p>
        </w:tc>
        <w:tc>
          <w:tcPr>
            <w:tcW w:w="1274" w:type="dxa"/>
            <w:gridSpan w:val="2"/>
            <w:tcBorders>
              <w:top w:val="nil"/>
              <w:left w:val="nil"/>
              <w:bottom w:val="nil"/>
              <w:right w:val="nil"/>
            </w:tcBorders>
            <w:shd w:val="clear" w:color="000000" w:fill="FFFFFF"/>
            <w:noWrap/>
            <w:vAlign w:val="bottom"/>
            <w:hideMark/>
          </w:tcPr>
          <w:p w14:paraId="319E5AE4" w14:textId="77777777" w:rsidR="00785E7A" w:rsidRPr="00785E7A" w:rsidRDefault="00785E7A" w:rsidP="00785E7A">
            <w:pPr>
              <w:spacing w:after="0" w:line="240" w:lineRule="auto"/>
              <w:rPr>
                <w:rFonts w:ascii="Arial" w:eastAsia="Times New Roman" w:hAnsi="Arial" w:cs="Arial"/>
                <w:b/>
                <w:bCs/>
                <w:sz w:val="18"/>
                <w:szCs w:val="18"/>
                <w:lang w:eastAsia="en-GB"/>
              </w:rPr>
            </w:pPr>
            <w:r w:rsidRPr="00785E7A">
              <w:rPr>
                <w:rFonts w:ascii="Arial" w:eastAsia="Times New Roman" w:hAnsi="Arial" w:cs="Arial"/>
                <w:b/>
                <w:bCs/>
                <w:sz w:val="18"/>
                <w:szCs w:val="18"/>
                <w:lang w:eastAsia="en-GB"/>
              </w:rPr>
              <w:t> </w:t>
            </w:r>
          </w:p>
        </w:tc>
        <w:tc>
          <w:tcPr>
            <w:tcW w:w="1295" w:type="dxa"/>
            <w:gridSpan w:val="2"/>
            <w:tcBorders>
              <w:top w:val="nil"/>
              <w:left w:val="nil"/>
              <w:bottom w:val="nil"/>
              <w:right w:val="nil"/>
            </w:tcBorders>
            <w:shd w:val="clear" w:color="000000" w:fill="FFFFFF"/>
            <w:noWrap/>
            <w:vAlign w:val="bottom"/>
            <w:hideMark/>
          </w:tcPr>
          <w:p w14:paraId="2311A297" w14:textId="77777777" w:rsidR="00785E7A" w:rsidRPr="00785E7A" w:rsidRDefault="00785E7A" w:rsidP="00785E7A">
            <w:pPr>
              <w:spacing w:after="0" w:line="240" w:lineRule="auto"/>
              <w:rPr>
                <w:rFonts w:ascii="Arial" w:eastAsia="Times New Roman" w:hAnsi="Arial" w:cs="Arial"/>
                <w:sz w:val="18"/>
                <w:szCs w:val="18"/>
                <w:lang w:eastAsia="en-GB"/>
              </w:rPr>
            </w:pPr>
            <w:r w:rsidRPr="00785E7A">
              <w:rPr>
                <w:rFonts w:ascii="Arial" w:eastAsia="Times New Roman" w:hAnsi="Arial" w:cs="Arial"/>
                <w:sz w:val="18"/>
                <w:szCs w:val="18"/>
                <w:lang w:eastAsia="en-GB"/>
              </w:rPr>
              <w:t> </w:t>
            </w:r>
          </w:p>
        </w:tc>
      </w:tr>
      <w:tr w:rsidR="00785E7A" w:rsidRPr="00785E7A" w14:paraId="39B96B08" w14:textId="77777777" w:rsidTr="00D41B2D">
        <w:trPr>
          <w:gridAfter w:val="1"/>
          <w:wAfter w:w="225" w:type="dxa"/>
          <w:trHeight w:val="450"/>
        </w:trPr>
        <w:tc>
          <w:tcPr>
            <w:tcW w:w="10226" w:type="dxa"/>
            <w:gridSpan w:val="15"/>
            <w:vMerge w:val="restart"/>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24E9D5BD" w14:textId="77777777" w:rsidR="00785E7A" w:rsidRPr="00785E7A" w:rsidRDefault="00785E7A" w:rsidP="00785E7A">
            <w:pPr>
              <w:spacing w:after="0" w:line="240" w:lineRule="auto"/>
              <w:rPr>
                <w:rFonts w:ascii="Arial" w:eastAsia="Times New Roman" w:hAnsi="Arial" w:cs="Arial"/>
                <w:sz w:val="18"/>
                <w:szCs w:val="18"/>
                <w:lang w:eastAsia="en-GB"/>
              </w:rPr>
            </w:pPr>
            <w:r w:rsidRPr="00785E7A">
              <w:rPr>
                <w:rFonts w:ascii="Arial" w:eastAsia="Times New Roman" w:hAnsi="Arial" w:cs="Arial"/>
                <w:b/>
                <w:bCs/>
                <w:sz w:val="18"/>
                <w:szCs w:val="18"/>
                <w:lang w:eastAsia="en-GB"/>
              </w:rPr>
              <w:t>What does this show?</w:t>
            </w:r>
            <w:r w:rsidRPr="00785E7A">
              <w:rPr>
                <w:rFonts w:ascii="Arial" w:eastAsia="Times New Roman" w:hAnsi="Arial" w:cs="Arial"/>
                <w:sz w:val="18"/>
                <w:szCs w:val="18"/>
                <w:lang w:eastAsia="en-GB"/>
              </w:rPr>
              <w:t xml:space="preserve"> This note shows how our operating profit figure, as reported in the income statement, is reconciled to the net cash from operating activities as shown as the starting position in the cash flow statement. Non-cash items are added back to or deducted from the operating profit figure to show how much cash is generated from our operating activities.</w:t>
            </w:r>
          </w:p>
        </w:tc>
      </w:tr>
      <w:tr w:rsidR="00785E7A" w:rsidRPr="00785E7A" w14:paraId="20B8E1D4" w14:textId="77777777" w:rsidTr="00D41B2D">
        <w:trPr>
          <w:trHeight w:val="282"/>
        </w:trPr>
        <w:tc>
          <w:tcPr>
            <w:tcW w:w="10226" w:type="dxa"/>
            <w:gridSpan w:val="15"/>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194BF4AA" w14:textId="77777777" w:rsidR="00785E7A" w:rsidRPr="00785E7A" w:rsidRDefault="00785E7A" w:rsidP="00785E7A">
            <w:pPr>
              <w:spacing w:after="0" w:line="240" w:lineRule="auto"/>
              <w:rPr>
                <w:rFonts w:ascii="Arial" w:eastAsia="Times New Roman" w:hAnsi="Arial" w:cs="Arial"/>
                <w:sz w:val="18"/>
                <w:szCs w:val="18"/>
                <w:lang w:eastAsia="en-GB"/>
              </w:rPr>
            </w:pPr>
          </w:p>
        </w:tc>
        <w:tc>
          <w:tcPr>
            <w:tcW w:w="225" w:type="dxa"/>
            <w:tcBorders>
              <w:top w:val="nil"/>
              <w:left w:val="nil"/>
              <w:bottom w:val="nil"/>
              <w:right w:val="nil"/>
            </w:tcBorders>
            <w:shd w:val="clear" w:color="auto" w:fill="auto"/>
            <w:noWrap/>
            <w:vAlign w:val="bottom"/>
            <w:hideMark/>
          </w:tcPr>
          <w:p w14:paraId="11F5E0AC" w14:textId="77777777" w:rsidR="00785E7A" w:rsidRPr="00785E7A" w:rsidRDefault="00785E7A" w:rsidP="00785E7A">
            <w:pPr>
              <w:spacing w:after="0" w:line="240" w:lineRule="auto"/>
              <w:rPr>
                <w:rFonts w:ascii="Arial" w:eastAsia="Times New Roman" w:hAnsi="Arial" w:cs="Arial"/>
                <w:sz w:val="18"/>
                <w:szCs w:val="18"/>
                <w:lang w:eastAsia="en-GB"/>
              </w:rPr>
            </w:pPr>
          </w:p>
        </w:tc>
      </w:tr>
      <w:tr w:rsidR="00785E7A" w:rsidRPr="00785E7A" w14:paraId="6C2092D8" w14:textId="77777777" w:rsidTr="00D41B2D">
        <w:trPr>
          <w:trHeight w:val="282"/>
        </w:trPr>
        <w:tc>
          <w:tcPr>
            <w:tcW w:w="10226" w:type="dxa"/>
            <w:gridSpan w:val="15"/>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6FBC5675" w14:textId="77777777" w:rsidR="00785E7A" w:rsidRPr="00785E7A" w:rsidRDefault="00785E7A" w:rsidP="00785E7A">
            <w:pPr>
              <w:spacing w:after="0" w:line="240" w:lineRule="auto"/>
              <w:rPr>
                <w:rFonts w:ascii="Arial" w:eastAsia="Times New Roman" w:hAnsi="Arial" w:cs="Arial"/>
                <w:sz w:val="18"/>
                <w:szCs w:val="18"/>
                <w:lang w:eastAsia="en-GB"/>
              </w:rPr>
            </w:pPr>
          </w:p>
        </w:tc>
        <w:tc>
          <w:tcPr>
            <w:tcW w:w="225" w:type="dxa"/>
            <w:tcBorders>
              <w:top w:val="nil"/>
              <w:left w:val="nil"/>
              <w:bottom w:val="nil"/>
              <w:right w:val="nil"/>
            </w:tcBorders>
            <w:shd w:val="clear" w:color="auto" w:fill="auto"/>
            <w:noWrap/>
            <w:vAlign w:val="bottom"/>
            <w:hideMark/>
          </w:tcPr>
          <w:p w14:paraId="274DBB8B"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9940F0" w:rsidRPr="00785E7A" w14:paraId="3A93BEF5" w14:textId="77777777" w:rsidTr="00D41B2D">
        <w:trPr>
          <w:trHeight w:val="252"/>
        </w:trPr>
        <w:tc>
          <w:tcPr>
            <w:tcW w:w="5280" w:type="dxa"/>
            <w:gridSpan w:val="5"/>
            <w:tcBorders>
              <w:top w:val="nil"/>
              <w:left w:val="nil"/>
              <w:bottom w:val="nil"/>
              <w:right w:val="nil"/>
            </w:tcBorders>
            <w:shd w:val="clear" w:color="000000" w:fill="FFFFFF"/>
            <w:noWrap/>
            <w:vAlign w:val="bottom"/>
            <w:hideMark/>
          </w:tcPr>
          <w:p w14:paraId="38AE5005" w14:textId="77777777" w:rsidR="00785E7A" w:rsidRPr="00785E7A" w:rsidRDefault="00785E7A" w:rsidP="00785E7A">
            <w:pPr>
              <w:spacing w:after="0" w:line="240" w:lineRule="auto"/>
              <w:rPr>
                <w:rFonts w:ascii="Arial" w:eastAsia="Times New Roman" w:hAnsi="Arial" w:cs="Arial"/>
                <w:sz w:val="14"/>
                <w:szCs w:val="14"/>
                <w:lang w:eastAsia="en-GB"/>
              </w:rPr>
            </w:pPr>
            <w:r w:rsidRPr="00785E7A">
              <w:rPr>
                <w:rFonts w:ascii="Arial" w:eastAsia="Times New Roman" w:hAnsi="Arial" w:cs="Arial"/>
                <w:sz w:val="14"/>
                <w:szCs w:val="14"/>
                <w:lang w:eastAsia="en-GB"/>
              </w:rPr>
              <w:t> </w:t>
            </w:r>
          </w:p>
        </w:tc>
        <w:tc>
          <w:tcPr>
            <w:tcW w:w="272" w:type="dxa"/>
            <w:tcBorders>
              <w:top w:val="nil"/>
              <w:left w:val="nil"/>
              <w:bottom w:val="nil"/>
              <w:right w:val="nil"/>
            </w:tcBorders>
            <w:shd w:val="clear" w:color="000000" w:fill="FFFFFF"/>
            <w:noWrap/>
            <w:vAlign w:val="bottom"/>
            <w:hideMark/>
          </w:tcPr>
          <w:p w14:paraId="1240AADB" w14:textId="77777777" w:rsidR="00785E7A" w:rsidRPr="00785E7A" w:rsidRDefault="00785E7A" w:rsidP="00785E7A">
            <w:pPr>
              <w:spacing w:after="0" w:line="240" w:lineRule="auto"/>
              <w:rPr>
                <w:rFonts w:ascii="Arial" w:eastAsia="Times New Roman" w:hAnsi="Arial" w:cs="Arial"/>
                <w:sz w:val="14"/>
                <w:szCs w:val="14"/>
                <w:lang w:eastAsia="en-GB"/>
              </w:rPr>
            </w:pPr>
            <w:r w:rsidRPr="00785E7A">
              <w:rPr>
                <w:rFonts w:ascii="Arial" w:eastAsia="Times New Roman" w:hAnsi="Arial" w:cs="Arial"/>
                <w:sz w:val="14"/>
                <w:szCs w:val="14"/>
                <w:lang w:eastAsia="en-GB"/>
              </w:rPr>
              <w:t> </w:t>
            </w:r>
          </w:p>
        </w:tc>
        <w:tc>
          <w:tcPr>
            <w:tcW w:w="272" w:type="dxa"/>
            <w:tcBorders>
              <w:top w:val="nil"/>
              <w:left w:val="nil"/>
              <w:bottom w:val="nil"/>
              <w:right w:val="nil"/>
            </w:tcBorders>
            <w:shd w:val="clear" w:color="000000" w:fill="FFFFFF"/>
            <w:noWrap/>
            <w:vAlign w:val="bottom"/>
            <w:hideMark/>
          </w:tcPr>
          <w:p w14:paraId="55E761A2" w14:textId="77777777" w:rsidR="00785E7A" w:rsidRPr="00785E7A" w:rsidRDefault="00785E7A" w:rsidP="00785E7A">
            <w:pPr>
              <w:spacing w:after="0" w:line="240" w:lineRule="auto"/>
              <w:rPr>
                <w:rFonts w:ascii="Arial" w:eastAsia="Times New Roman" w:hAnsi="Arial" w:cs="Arial"/>
                <w:sz w:val="14"/>
                <w:szCs w:val="14"/>
                <w:lang w:eastAsia="en-GB"/>
              </w:rPr>
            </w:pPr>
            <w:r w:rsidRPr="00785E7A">
              <w:rPr>
                <w:rFonts w:ascii="Arial" w:eastAsia="Times New Roman" w:hAnsi="Arial" w:cs="Arial"/>
                <w:sz w:val="14"/>
                <w:szCs w:val="14"/>
                <w:lang w:eastAsia="en-GB"/>
              </w:rPr>
              <w:t> </w:t>
            </w:r>
          </w:p>
        </w:tc>
        <w:tc>
          <w:tcPr>
            <w:tcW w:w="272" w:type="dxa"/>
            <w:tcBorders>
              <w:top w:val="nil"/>
              <w:left w:val="nil"/>
              <w:bottom w:val="nil"/>
              <w:right w:val="nil"/>
            </w:tcBorders>
            <w:shd w:val="clear" w:color="000000" w:fill="FFFFFF"/>
            <w:noWrap/>
            <w:vAlign w:val="bottom"/>
            <w:hideMark/>
          </w:tcPr>
          <w:p w14:paraId="28996808" w14:textId="77777777" w:rsidR="00785E7A" w:rsidRPr="00785E7A" w:rsidRDefault="00785E7A" w:rsidP="00785E7A">
            <w:pPr>
              <w:spacing w:after="0" w:line="240" w:lineRule="auto"/>
              <w:rPr>
                <w:rFonts w:ascii="Arial" w:eastAsia="Times New Roman" w:hAnsi="Arial" w:cs="Arial"/>
                <w:sz w:val="14"/>
                <w:szCs w:val="14"/>
                <w:lang w:eastAsia="en-GB"/>
              </w:rPr>
            </w:pPr>
            <w:r w:rsidRPr="00785E7A">
              <w:rPr>
                <w:rFonts w:ascii="Arial" w:eastAsia="Times New Roman" w:hAnsi="Arial" w:cs="Arial"/>
                <w:sz w:val="14"/>
                <w:szCs w:val="14"/>
                <w:lang w:eastAsia="en-GB"/>
              </w:rPr>
              <w:t> </w:t>
            </w:r>
          </w:p>
        </w:tc>
        <w:tc>
          <w:tcPr>
            <w:tcW w:w="1561" w:type="dxa"/>
            <w:gridSpan w:val="3"/>
            <w:tcBorders>
              <w:top w:val="nil"/>
              <w:left w:val="nil"/>
              <w:bottom w:val="nil"/>
              <w:right w:val="nil"/>
            </w:tcBorders>
            <w:shd w:val="clear" w:color="000000" w:fill="FFFFFF"/>
            <w:noWrap/>
            <w:vAlign w:val="bottom"/>
            <w:hideMark/>
          </w:tcPr>
          <w:p w14:paraId="2038CF21" w14:textId="77777777" w:rsidR="00785E7A" w:rsidRPr="00785E7A" w:rsidRDefault="00785E7A" w:rsidP="00785E7A">
            <w:pPr>
              <w:spacing w:after="0" w:line="240" w:lineRule="auto"/>
              <w:rPr>
                <w:rFonts w:ascii="Arial" w:eastAsia="Times New Roman" w:hAnsi="Arial" w:cs="Arial"/>
                <w:sz w:val="14"/>
                <w:szCs w:val="14"/>
                <w:lang w:eastAsia="en-GB"/>
              </w:rPr>
            </w:pPr>
            <w:r w:rsidRPr="00785E7A">
              <w:rPr>
                <w:rFonts w:ascii="Arial" w:eastAsia="Times New Roman" w:hAnsi="Arial" w:cs="Arial"/>
                <w:sz w:val="14"/>
                <w:szCs w:val="14"/>
                <w:lang w:eastAsia="en-GB"/>
              </w:rPr>
              <w:t> </w:t>
            </w:r>
          </w:p>
        </w:tc>
        <w:tc>
          <w:tcPr>
            <w:tcW w:w="1274" w:type="dxa"/>
            <w:gridSpan w:val="2"/>
            <w:tcBorders>
              <w:top w:val="nil"/>
              <w:left w:val="nil"/>
              <w:bottom w:val="nil"/>
              <w:right w:val="nil"/>
            </w:tcBorders>
            <w:shd w:val="clear" w:color="000000" w:fill="FFFFFF"/>
            <w:noWrap/>
            <w:vAlign w:val="bottom"/>
            <w:hideMark/>
          </w:tcPr>
          <w:p w14:paraId="3E6EDEC2" w14:textId="77777777" w:rsidR="00785E7A" w:rsidRPr="00785E7A" w:rsidRDefault="00785E7A" w:rsidP="00785E7A">
            <w:pPr>
              <w:spacing w:after="0" w:line="240" w:lineRule="auto"/>
              <w:rPr>
                <w:rFonts w:ascii="Arial" w:eastAsia="Times New Roman" w:hAnsi="Arial" w:cs="Arial"/>
                <w:sz w:val="14"/>
                <w:szCs w:val="14"/>
                <w:lang w:eastAsia="en-GB"/>
              </w:rPr>
            </w:pPr>
            <w:r w:rsidRPr="00785E7A">
              <w:rPr>
                <w:rFonts w:ascii="Arial" w:eastAsia="Times New Roman" w:hAnsi="Arial" w:cs="Arial"/>
                <w:sz w:val="14"/>
                <w:szCs w:val="14"/>
                <w:lang w:eastAsia="en-GB"/>
              </w:rPr>
              <w:t> </w:t>
            </w:r>
          </w:p>
        </w:tc>
        <w:tc>
          <w:tcPr>
            <w:tcW w:w="1295" w:type="dxa"/>
            <w:gridSpan w:val="2"/>
            <w:tcBorders>
              <w:top w:val="nil"/>
              <w:left w:val="nil"/>
              <w:bottom w:val="nil"/>
              <w:right w:val="nil"/>
            </w:tcBorders>
            <w:shd w:val="clear" w:color="000000" w:fill="FFFFFF"/>
            <w:noWrap/>
            <w:vAlign w:val="bottom"/>
            <w:hideMark/>
          </w:tcPr>
          <w:p w14:paraId="3E64940A" w14:textId="77777777" w:rsidR="00785E7A" w:rsidRPr="00785E7A" w:rsidRDefault="00785E7A" w:rsidP="00785E7A">
            <w:pPr>
              <w:spacing w:after="0" w:line="240" w:lineRule="auto"/>
              <w:rPr>
                <w:rFonts w:ascii="Arial" w:eastAsia="Times New Roman" w:hAnsi="Arial" w:cs="Arial"/>
                <w:sz w:val="14"/>
                <w:szCs w:val="14"/>
                <w:lang w:eastAsia="en-GB"/>
              </w:rPr>
            </w:pPr>
            <w:r w:rsidRPr="00785E7A">
              <w:rPr>
                <w:rFonts w:ascii="Arial" w:eastAsia="Times New Roman" w:hAnsi="Arial" w:cs="Arial"/>
                <w:sz w:val="14"/>
                <w:szCs w:val="14"/>
                <w:lang w:eastAsia="en-GB"/>
              </w:rPr>
              <w:t> </w:t>
            </w:r>
          </w:p>
        </w:tc>
        <w:tc>
          <w:tcPr>
            <w:tcW w:w="225" w:type="dxa"/>
            <w:vAlign w:val="center"/>
            <w:hideMark/>
          </w:tcPr>
          <w:p w14:paraId="33901C20"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785E7A" w:rsidRPr="00785E7A" w14:paraId="0F13DC8A" w14:textId="77777777" w:rsidTr="00D41B2D">
        <w:trPr>
          <w:trHeight w:val="74"/>
        </w:trPr>
        <w:tc>
          <w:tcPr>
            <w:tcW w:w="5280" w:type="dxa"/>
            <w:gridSpan w:val="5"/>
            <w:tcBorders>
              <w:top w:val="single" w:sz="4" w:space="0" w:color="BFBFBF"/>
              <w:left w:val="single" w:sz="4" w:space="0" w:color="BFBFBF"/>
              <w:bottom w:val="nil"/>
              <w:right w:val="nil"/>
            </w:tcBorders>
            <w:shd w:val="clear" w:color="auto" w:fill="auto"/>
            <w:noWrap/>
            <w:vAlign w:val="bottom"/>
            <w:hideMark/>
          </w:tcPr>
          <w:p w14:paraId="511193D8" w14:textId="77777777" w:rsidR="00785E7A" w:rsidRPr="00785E7A" w:rsidRDefault="00785E7A" w:rsidP="00785E7A">
            <w:pPr>
              <w:spacing w:after="0" w:line="240" w:lineRule="auto"/>
              <w:rPr>
                <w:rFonts w:ascii="Arial" w:eastAsia="Times New Roman" w:hAnsi="Arial" w:cs="Arial"/>
                <w:sz w:val="14"/>
                <w:szCs w:val="14"/>
                <w:lang w:eastAsia="en-GB"/>
              </w:rPr>
            </w:pPr>
            <w:r w:rsidRPr="00785E7A">
              <w:rPr>
                <w:rFonts w:ascii="Arial" w:eastAsia="Times New Roman" w:hAnsi="Arial" w:cs="Arial"/>
                <w:sz w:val="14"/>
                <w:szCs w:val="14"/>
                <w:lang w:eastAsia="en-GB"/>
              </w:rPr>
              <w:t> </w:t>
            </w:r>
          </w:p>
        </w:tc>
        <w:tc>
          <w:tcPr>
            <w:tcW w:w="272" w:type="dxa"/>
            <w:tcBorders>
              <w:top w:val="single" w:sz="4" w:space="0" w:color="BFBFBF"/>
              <w:left w:val="nil"/>
              <w:bottom w:val="nil"/>
              <w:right w:val="nil"/>
            </w:tcBorders>
            <w:shd w:val="clear" w:color="auto" w:fill="auto"/>
            <w:noWrap/>
            <w:vAlign w:val="bottom"/>
            <w:hideMark/>
          </w:tcPr>
          <w:p w14:paraId="2A61B351" w14:textId="77777777" w:rsidR="00785E7A" w:rsidRPr="00785E7A" w:rsidRDefault="00785E7A" w:rsidP="00785E7A">
            <w:pPr>
              <w:spacing w:after="0" w:line="240" w:lineRule="auto"/>
              <w:rPr>
                <w:rFonts w:ascii="Arial" w:eastAsia="Times New Roman" w:hAnsi="Arial" w:cs="Arial"/>
                <w:sz w:val="14"/>
                <w:szCs w:val="14"/>
                <w:lang w:eastAsia="en-GB"/>
              </w:rPr>
            </w:pPr>
            <w:r w:rsidRPr="00785E7A">
              <w:rPr>
                <w:rFonts w:ascii="Arial" w:eastAsia="Times New Roman" w:hAnsi="Arial" w:cs="Arial"/>
                <w:sz w:val="14"/>
                <w:szCs w:val="14"/>
                <w:lang w:eastAsia="en-GB"/>
              </w:rPr>
              <w:t> </w:t>
            </w:r>
          </w:p>
        </w:tc>
        <w:tc>
          <w:tcPr>
            <w:tcW w:w="272" w:type="dxa"/>
            <w:tcBorders>
              <w:top w:val="single" w:sz="4" w:space="0" w:color="BFBFBF"/>
              <w:left w:val="nil"/>
              <w:bottom w:val="nil"/>
              <w:right w:val="nil"/>
            </w:tcBorders>
            <w:shd w:val="clear" w:color="auto" w:fill="auto"/>
            <w:noWrap/>
            <w:vAlign w:val="bottom"/>
            <w:hideMark/>
          </w:tcPr>
          <w:p w14:paraId="0128E8D8"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272" w:type="dxa"/>
            <w:tcBorders>
              <w:top w:val="single" w:sz="4" w:space="0" w:color="BFBFBF"/>
              <w:left w:val="nil"/>
              <w:bottom w:val="nil"/>
              <w:right w:val="nil"/>
            </w:tcBorders>
            <w:shd w:val="clear" w:color="auto" w:fill="auto"/>
            <w:noWrap/>
            <w:vAlign w:val="bottom"/>
            <w:hideMark/>
          </w:tcPr>
          <w:p w14:paraId="197965B6"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1561" w:type="dxa"/>
            <w:gridSpan w:val="3"/>
            <w:tcBorders>
              <w:top w:val="single" w:sz="4" w:space="0" w:color="BFBFBF"/>
              <w:left w:val="nil"/>
              <w:bottom w:val="nil"/>
              <w:right w:val="nil"/>
            </w:tcBorders>
            <w:shd w:val="clear" w:color="auto" w:fill="auto"/>
            <w:hideMark/>
          </w:tcPr>
          <w:p w14:paraId="23DE8484" w14:textId="77777777" w:rsidR="009940F0" w:rsidRDefault="00785E7A" w:rsidP="004B758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 xml:space="preserve">26 weeks </w:t>
            </w:r>
          </w:p>
          <w:p w14:paraId="613FB648" w14:textId="6CAC2A45" w:rsidR="00785E7A" w:rsidRPr="00785E7A" w:rsidRDefault="00785E7A" w:rsidP="004B758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 xml:space="preserve">ended </w:t>
            </w:r>
          </w:p>
        </w:tc>
        <w:tc>
          <w:tcPr>
            <w:tcW w:w="1274" w:type="dxa"/>
            <w:gridSpan w:val="2"/>
            <w:tcBorders>
              <w:top w:val="single" w:sz="4" w:space="0" w:color="BFBFBF"/>
              <w:left w:val="nil"/>
              <w:bottom w:val="nil"/>
              <w:right w:val="nil"/>
            </w:tcBorders>
            <w:shd w:val="clear" w:color="auto" w:fill="auto"/>
            <w:hideMark/>
          </w:tcPr>
          <w:p w14:paraId="6440D237" w14:textId="77777777" w:rsidR="00785E7A" w:rsidRPr="00785E7A" w:rsidRDefault="00785E7A" w:rsidP="004B758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26 weeks ended      </w:t>
            </w:r>
          </w:p>
        </w:tc>
        <w:tc>
          <w:tcPr>
            <w:tcW w:w="1295" w:type="dxa"/>
            <w:gridSpan w:val="2"/>
            <w:tcBorders>
              <w:top w:val="single" w:sz="4" w:space="0" w:color="BFBFBF"/>
              <w:left w:val="nil"/>
              <w:bottom w:val="nil"/>
              <w:right w:val="single" w:sz="4" w:space="0" w:color="BFBFBF"/>
            </w:tcBorders>
            <w:shd w:val="clear" w:color="auto" w:fill="auto"/>
            <w:hideMark/>
          </w:tcPr>
          <w:p w14:paraId="7EA59365" w14:textId="77777777" w:rsidR="009940F0" w:rsidRDefault="00785E7A" w:rsidP="004B758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52 weeks </w:t>
            </w:r>
          </w:p>
          <w:p w14:paraId="25CD7946" w14:textId="2B232740" w:rsidR="00785E7A" w:rsidRPr="00785E7A" w:rsidRDefault="00785E7A" w:rsidP="004B758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ended      </w:t>
            </w:r>
          </w:p>
        </w:tc>
        <w:tc>
          <w:tcPr>
            <w:tcW w:w="225" w:type="dxa"/>
            <w:vAlign w:val="center"/>
            <w:hideMark/>
          </w:tcPr>
          <w:p w14:paraId="56B23E7B"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785E7A" w:rsidRPr="00785E7A" w14:paraId="193A1903" w14:textId="77777777" w:rsidTr="00D41B2D">
        <w:trPr>
          <w:trHeight w:val="74"/>
        </w:trPr>
        <w:tc>
          <w:tcPr>
            <w:tcW w:w="5280" w:type="dxa"/>
            <w:gridSpan w:val="5"/>
            <w:tcBorders>
              <w:top w:val="nil"/>
              <w:left w:val="single" w:sz="4" w:space="0" w:color="BFBFBF"/>
              <w:bottom w:val="nil"/>
              <w:right w:val="nil"/>
            </w:tcBorders>
            <w:shd w:val="clear" w:color="auto" w:fill="auto"/>
            <w:noWrap/>
            <w:vAlign w:val="bottom"/>
            <w:hideMark/>
          </w:tcPr>
          <w:p w14:paraId="0800442C" w14:textId="77777777" w:rsidR="00785E7A" w:rsidRPr="00785E7A" w:rsidRDefault="00785E7A" w:rsidP="00785E7A">
            <w:pPr>
              <w:spacing w:after="0" w:line="240" w:lineRule="auto"/>
              <w:rPr>
                <w:rFonts w:ascii="Arial" w:eastAsia="Times New Roman" w:hAnsi="Arial" w:cs="Arial"/>
                <w:sz w:val="14"/>
                <w:szCs w:val="14"/>
                <w:lang w:eastAsia="en-GB"/>
              </w:rPr>
            </w:pPr>
            <w:r w:rsidRPr="00785E7A">
              <w:rPr>
                <w:rFonts w:ascii="Arial" w:eastAsia="Times New Roman" w:hAnsi="Arial" w:cs="Arial"/>
                <w:sz w:val="14"/>
                <w:szCs w:val="14"/>
                <w:lang w:eastAsia="en-GB"/>
              </w:rPr>
              <w:t> </w:t>
            </w:r>
          </w:p>
        </w:tc>
        <w:tc>
          <w:tcPr>
            <w:tcW w:w="272" w:type="dxa"/>
            <w:tcBorders>
              <w:top w:val="nil"/>
              <w:left w:val="nil"/>
              <w:bottom w:val="nil"/>
              <w:right w:val="nil"/>
            </w:tcBorders>
            <w:shd w:val="clear" w:color="auto" w:fill="auto"/>
            <w:noWrap/>
            <w:vAlign w:val="bottom"/>
            <w:hideMark/>
          </w:tcPr>
          <w:p w14:paraId="0D43FBA4" w14:textId="77777777" w:rsidR="00785E7A" w:rsidRPr="00785E7A" w:rsidRDefault="00785E7A" w:rsidP="00785E7A">
            <w:pPr>
              <w:spacing w:after="0" w:line="240" w:lineRule="auto"/>
              <w:rPr>
                <w:rFonts w:ascii="Arial" w:eastAsia="Times New Roman" w:hAnsi="Arial" w:cs="Arial"/>
                <w:sz w:val="14"/>
                <w:szCs w:val="14"/>
                <w:lang w:eastAsia="en-GB"/>
              </w:rPr>
            </w:pPr>
            <w:r w:rsidRPr="00785E7A">
              <w:rPr>
                <w:rFonts w:ascii="Arial" w:eastAsia="Times New Roman" w:hAnsi="Arial" w:cs="Arial"/>
                <w:sz w:val="14"/>
                <w:szCs w:val="14"/>
                <w:lang w:eastAsia="en-GB"/>
              </w:rPr>
              <w:t> </w:t>
            </w:r>
          </w:p>
        </w:tc>
        <w:tc>
          <w:tcPr>
            <w:tcW w:w="272" w:type="dxa"/>
            <w:tcBorders>
              <w:top w:val="nil"/>
              <w:left w:val="nil"/>
              <w:bottom w:val="nil"/>
              <w:right w:val="nil"/>
            </w:tcBorders>
            <w:shd w:val="clear" w:color="auto" w:fill="auto"/>
            <w:noWrap/>
            <w:vAlign w:val="bottom"/>
            <w:hideMark/>
          </w:tcPr>
          <w:p w14:paraId="04198A23"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272" w:type="dxa"/>
            <w:tcBorders>
              <w:top w:val="nil"/>
              <w:left w:val="nil"/>
              <w:bottom w:val="nil"/>
              <w:right w:val="nil"/>
            </w:tcBorders>
            <w:shd w:val="clear" w:color="auto" w:fill="auto"/>
            <w:noWrap/>
            <w:vAlign w:val="bottom"/>
            <w:hideMark/>
          </w:tcPr>
          <w:p w14:paraId="62D52619"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1561" w:type="dxa"/>
            <w:gridSpan w:val="3"/>
            <w:tcBorders>
              <w:top w:val="nil"/>
              <w:left w:val="nil"/>
              <w:bottom w:val="nil"/>
              <w:right w:val="nil"/>
            </w:tcBorders>
            <w:shd w:val="clear" w:color="auto" w:fill="auto"/>
            <w:vAlign w:val="center"/>
            <w:hideMark/>
          </w:tcPr>
          <w:p w14:paraId="26236E91"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2 July 2022</w:t>
            </w:r>
          </w:p>
        </w:tc>
        <w:tc>
          <w:tcPr>
            <w:tcW w:w="1274" w:type="dxa"/>
            <w:gridSpan w:val="2"/>
            <w:tcBorders>
              <w:top w:val="nil"/>
              <w:left w:val="nil"/>
              <w:bottom w:val="nil"/>
              <w:right w:val="nil"/>
            </w:tcBorders>
            <w:shd w:val="clear" w:color="auto" w:fill="auto"/>
            <w:vAlign w:val="center"/>
            <w:hideMark/>
          </w:tcPr>
          <w:p w14:paraId="38557037"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3 July 2021</w:t>
            </w:r>
          </w:p>
        </w:tc>
        <w:tc>
          <w:tcPr>
            <w:tcW w:w="1295" w:type="dxa"/>
            <w:gridSpan w:val="2"/>
            <w:tcBorders>
              <w:top w:val="nil"/>
              <w:left w:val="nil"/>
              <w:bottom w:val="nil"/>
              <w:right w:val="single" w:sz="4" w:space="0" w:color="BFBFBF"/>
            </w:tcBorders>
            <w:shd w:val="clear" w:color="auto" w:fill="auto"/>
            <w:vAlign w:val="center"/>
            <w:hideMark/>
          </w:tcPr>
          <w:p w14:paraId="40BEC905"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1 January 2022</w:t>
            </w:r>
          </w:p>
        </w:tc>
        <w:tc>
          <w:tcPr>
            <w:tcW w:w="225" w:type="dxa"/>
            <w:vAlign w:val="center"/>
            <w:hideMark/>
          </w:tcPr>
          <w:p w14:paraId="723292E4"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785E7A" w:rsidRPr="00785E7A" w14:paraId="12DB4C83" w14:textId="77777777" w:rsidTr="00D41B2D">
        <w:trPr>
          <w:trHeight w:val="74"/>
        </w:trPr>
        <w:tc>
          <w:tcPr>
            <w:tcW w:w="5280" w:type="dxa"/>
            <w:gridSpan w:val="5"/>
            <w:tcBorders>
              <w:top w:val="nil"/>
              <w:left w:val="single" w:sz="4" w:space="0" w:color="BFBFBF"/>
              <w:bottom w:val="nil"/>
              <w:right w:val="nil"/>
            </w:tcBorders>
            <w:shd w:val="clear" w:color="auto" w:fill="auto"/>
            <w:noWrap/>
            <w:vAlign w:val="bottom"/>
            <w:hideMark/>
          </w:tcPr>
          <w:p w14:paraId="64DE3605" w14:textId="77777777" w:rsidR="00785E7A" w:rsidRPr="00785E7A" w:rsidRDefault="00785E7A" w:rsidP="00785E7A">
            <w:pPr>
              <w:spacing w:after="0" w:line="240" w:lineRule="auto"/>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 </w:t>
            </w:r>
          </w:p>
        </w:tc>
        <w:tc>
          <w:tcPr>
            <w:tcW w:w="272" w:type="dxa"/>
            <w:tcBorders>
              <w:top w:val="nil"/>
              <w:left w:val="nil"/>
              <w:bottom w:val="nil"/>
              <w:right w:val="nil"/>
            </w:tcBorders>
            <w:shd w:val="clear" w:color="auto" w:fill="auto"/>
            <w:noWrap/>
            <w:vAlign w:val="bottom"/>
            <w:hideMark/>
          </w:tcPr>
          <w:p w14:paraId="3BCB44EB"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272" w:type="dxa"/>
            <w:tcBorders>
              <w:top w:val="nil"/>
              <w:left w:val="nil"/>
              <w:bottom w:val="nil"/>
              <w:right w:val="nil"/>
            </w:tcBorders>
            <w:shd w:val="clear" w:color="auto" w:fill="auto"/>
            <w:noWrap/>
            <w:vAlign w:val="bottom"/>
            <w:hideMark/>
          </w:tcPr>
          <w:p w14:paraId="001FC2D1"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272" w:type="dxa"/>
            <w:tcBorders>
              <w:top w:val="nil"/>
              <w:left w:val="nil"/>
              <w:bottom w:val="nil"/>
              <w:right w:val="nil"/>
            </w:tcBorders>
            <w:shd w:val="clear" w:color="auto" w:fill="auto"/>
            <w:noWrap/>
            <w:vAlign w:val="bottom"/>
            <w:hideMark/>
          </w:tcPr>
          <w:p w14:paraId="5D817E6D"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1561" w:type="dxa"/>
            <w:gridSpan w:val="3"/>
            <w:tcBorders>
              <w:top w:val="nil"/>
              <w:left w:val="nil"/>
              <w:bottom w:val="nil"/>
              <w:right w:val="nil"/>
            </w:tcBorders>
            <w:shd w:val="clear" w:color="auto" w:fill="auto"/>
            <w:vAlign w:val="center"/>
            <w:hideMark/>
          </w:tcPr>
          <w:p w14:paraId="4BDC05C6"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(unaudited)</w:t>
            </w:r>
          </w:p>
        </w:tc>
        <w:tc>
          <w:tcPr>
            <w:tcW w:w="1274" w:type="dxa"/>
            <w:gridSpan w:val="2"/>
            <w:tcBorders>
              <w:top w:val="nil"/>
              <w:left w:val="nil"/>
              <w:bottom w:val="nil"/>
              <w:right w:val="nil"/>
            </w:tcBorders>
            <w:shd w:val="clear" w:color="auto" w:fill="auto"/>
            <w:vAlign w:val="center"/>
            <w:hideMark/>
          </w:tcPr>
          <w:p w14:paraId="52D64D8D"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(unaudited)</w:t>
            </w:r>
          </w:p>
        </w:tc>
        <w:tc>
          <w:tcPr>
            <w:tcW w:w="1295" w:type="dxa"/>
            <w:gridSpan w:val="2"/>
            <w:tcBorders>
              <w:top w:val="nil"/>
              <w:left w:val="nil"/>
              <w:bottom w:val="nil"/>
              <w:right w:val="single" w:sz="4" w:space="0" w:color="BFBFBF"/>
            </w:tcBorders>
            <w:shd w:val="clear" w:color="auto" w:fill="auto"/>
            <w:vAlign w:val="center"/>
            <w:hideMark/>
          </w:tcPr>
          <w:p w14:paraId="026A0526"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(audited)</w:t>
            </w:r>
          </w:p>
        </w:tc>
        <w:tc>
          <w:tcPr>
            <w:tcW w:w="225" w:type="dxa"/>
            <w:vAlign w:val="center"/>
            <w:hideMark/>
          </w:tcPr>
          <w:p w14:paraId="38543E00"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785E7A" w:rsidRPr="00785E7A" w14:paraId="69268635" w14:textId="77777777" w:rsidTr="00D41B2D">
        <w:trPr>
          <w:trHeight w:val="240"/>
        </w:trPr>
        <w:tc>
          <w:tcPr>
            <w:tcW w:w="5280" w:type="dxa"/>
            <w:gridSpan w:val="5"/>
            <w:tcBorders>
              <w:top w:val="nil"/>
              <w:left w:val="single" w:sz="4" w:space="0" w:color="BFBFBF"/>
              <w:bottom w:val="single" w:sz="4" w:space="0" w:color="BFBFBF"/>
              <w:right w:val="nil"/>
            </w:tcBorders>
            <w:shd w:val="clear" w:color="auto" w:fill="auto"/>
            <w:noWrap/>
            <w:vAlign w:val="bottom"/>
            <w:hideMark/>
          </w:tcPr>
          <w:p w14:paraId="02130527" w14:textId="77777777" w:rsidR="00785E7A" w:rsidRPr="00785E7A" w:rsidRDefault="00785E7A" w:rsidP="00785E7A">
            <w:pPr>
              <w:spacing w:after="0" w:line="240" w:lineRule="auto"/>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 </w:t>
            </w:r>
          </w:p>
        </w:tc>
        <w:tc>
          <w:tcPr>
            <w:tcW w:w="272" w:type="dxa"/>
            <w:tcBorders>
              <w:top w:val="nil"/>
              <w:left w:val="nil"/>
              <w:bottom w:val="single" w:sz="4" w:space="0" w:color="BFBFBF"/>
              <w:right w:val="nil"/>
            </w:tcBorders>
            <w:shd w:val="clear" w:color="auto" w:fill="auto"/>
            <w:noWrap/>
            <w:vAlign w:val="bottom"/>
            <w:hideMark/>
          </w:tcPr>
          <w:p w14:paraId="2EB94831"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272" w:type="dxa"/>
            <w:tcBorders>
              <w:top w:val="nil"/>
              <w:left w:val="nil"/>
              <w:bottom w:val="single" w:sz="4" w:space="0" w:color="BFBFBF"/>
              <w:right w:val="nil"/>
            </w:tcBorders>
            <w:shd w:val="clear" w:color="auto" w:fill="auto"/>
            <w:noWrap/>
            <w:vAlign w:val="bottom"/>
            <w:hideMark/>
          </w:tcPr>
          <w:p w14:paraId="15133AED"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272" w:type="dxa"/>
            <w:tcBorders>
              <w:top w:val="nil"/>
              <w:left w:val="nil"/>
              <w:bottom w:val="single" w:sz="4" w:space="0" w:color="BFBFBF"/>
              <w:right w:val="nil"/>
            </w:tcBorders>
            <w:shd w:val="clear" w:color="auto" w:fill="auto"/>
            <w:noWrap/>
            <w:vAlign w:val="bottom"/>
            <w:hideMark/>
          </w:tcPr>
          <w:p w14:paraId="1DC84647"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1561" w:type="dxa"/>
            <w:gridSpan w:val="3"/>
            <w:tcBorders>
              <w:top w:val="nil"/>
              <w:left w:val="nil"/>
              <w:bottom w:val="single" w:sz="4" w:space="0" w:color="BFBFBF"/>
              <w:right w:val="nil"/>
            </w:tcBorders>
            <w:shd w:val="clear" w:color="auto" w:fill="auto"/>
            <w:hideMark/>
          </w:tcPr>
          <w:p w14:paraId="273CE3C4"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£m</w:t>
            </w:r>
          </w:p>
        </w:tc>
        <w:tc>
          <w:tcPr>
            <w:tcW w:w="1274" w:type="dxa"/>
            <w:gridSpan w:val="2"/>
            <w:tcBorders>
              <w:top w:val="nil"/>
              <w:left w:val="nil"/>
              <w:bottom w:val="single" w:sz="4" w:space="0" w:color="BFBFBF"/>
              <w:right w:val="nil"/>
            </w:tcBorders>
            <w:shd w:val="clear" w:color="auto" w:fill="auto"/>
            <w:hideMark/>
          </w:tcPr>
          <w:p w14:paraId="65FAA51A"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£m</w:t>
            </w:r>
          </w:p>
        </w:tc>
        <w:tc>
          <w:tcPr>
            <w:tcW w:w="1295" w:type="dxa"/>
            <w:gridSpan w:val="2"/>
            <w:tcBorders>
              <w:top w:val="nil"/>
              <w:left w:val="nil"/>
              <w:bottom w:val="single" w:sz="4" w:space="0" w:color="BFBFBF"/>
              <w:right w:val="single" w:sz="4" w:space="0" w:color="BFBFBF"/>
            </w:tcBorders>
            <w:shd w:val="clear" w:color="auto" w:fill="auto"/>
            <w:hideMark/>
          </w:tcPr>
          <w:p w14:paraId="5B9CBA8C"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£m</w:t>
            </w:r>
          </w:p>
        </w:tc>
        <w:tc>
          <w:tcPr>
            <w:tcW w:w="225" w:type="dxa"/>
            <w:vAlign w:val="center"/>
            <w:hideMark/>
          </w:tcPr>
          <w:p w14:paraId="26AD807A"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9940F0" w:rsidRPr="00785E7A" w14:paraId="2DCF2D74" w14:textId="77777777" w:rsidTr="00D41B2D">
        <w:trPr>
          <w:trHeight w:val="278"/>
        </w:trPr>
        <w:tc>
          <w:tcPr>
            <w:tcW w:w="5824" w:type="dxa"/>
            <w:gridSpan w:val="7"/>
            <w:tcBorders>
              <w:top w:val="single" w:sz="4" w:space="0" w:color="BFBFBF"/>
              <w:left w:val="nil"/>
              <w:bottom w:val="single" w:sz="4" w:space="0" w:color="BFBFBF"/>
              <w:right w:val="nil"/>
            </w:tcBorders>
            <w:shd w:val="clear" w:color="000000" w:fill="FFFFFF"/>
            <w:noWrap/>
            <w:vAlign w:val="center"/>
            <w:hideMark/>
          </w:tcPr>
          <w:p w14:paraId="05F7A0CF" w14:textId="77777777" w:rsidR="00785E7A" w:rsidRPr="00785E7A" w:rsidRDefault="00785E7A" w:rsidP="00785E7A">
            <w:pPr>
              <w:spacing w:after="0" w:line="240" w:lineRule="auto"/>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Operating (loss) / profit from continuing operations (Note 1)</w:t>
            </w:r>
          </w:p>
        </w:tc>
        <w:tc>
          <w:tcPr>
            <w:tcW w:w="272" w:type="dxa"/>
            <w:tcBorders>
              <w:top w:val="nil"/>
              <w:left w:val="nil"/>
              <w:bottom w:val="single" w:sz="4" w:space="0" w:color="BFBFBF"/>
              <w:right w:val="nil"/>
            </w:tcBorders>
            <w:shd w:val="clear" w:color="000000" w:fill="FFFFFF"/>
            <w:noWrap/>
            <w:vAlign w:val="center"/>
            <w:hideMark/>
          </w:tcPr>
          <w:p w14:paraId="07E0DADA"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1561" w:type="dxa"/>
            <w:gridSpan w:val="3"/>
            <w:tcBorders>
              <w:top w:val="nil"/>
              <w:left w:val="nil"/>
              <w:bottom w:val="single" w:sz="4" w:space="0" w:color="BFBFBF"/>
              <w:right w:val="nil"/>
            </w:tcBorders>
            <w:shd w:val="clear" w:color="auto" w:fill="CCECFF"/>
            <w:noWrap/>
            <w:vAlign w:val="center"/>
            <w:hideMark/>
          </w:tcPr>
          <w:p w14:paraId="583892C5"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(20)</w:t>
            </w:r>
          </w:p>
        </w:tc>
        <w:tc>
          <w:tcPr>
            <w:tcW w:w="1274" w:type="dxa"/>
            <w:gridSpan w:val="2"/>
            <w:tcBorders>
              <w:top w:val="nil"/>
              <w:left w:val="nil"/>
              <w:bottom w:val="single" w:sz="4" w:space="0" w:color="BFBFBF"/>
              <w:right w:val="nil"/>
            </w:tcBorders>
            <w:shd w:val="clear" w:color="000000" w:fill="FFFFFF"/>
            <w:noWrap/>
            <w:vAlign w:val="center"/>
            <w:hideMark/>
          </w:tcPr>
          <w:p w14:paraId="0D63648A"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8 </w:t>
            </w:r>
          </w:p>
        </w:tc>
        <w:tc>
          <w:tcPr>
            <w:tcW w:w="1295" w:type="dxa"/>
            <w:gridSpan w:val="2"/>
            <w:tcBorders>
              <w:top w:val="nil"/>
              <w:left w:val="nil"/>
              <w:bottom w:val="single" w:sz="4" w:space="0" w:color="BFBFBF"/>
              <w:right w:val="nil"/>
            </w:tcBorders>
            <w:shd w:val="clear" w:color="000000" w:fill="FFFFFF"/>
            <w:noWrap/>
            <w:vAlign w:val="center"/>
            <w:hideMark/>
          </w:tcPr>
          <w:p w14:paraId="3914B4DC"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64 </w:t>
            </w:r>
          </w:p>
        </w:tc>
        <w:tc>
          <w:tcPr>
            <w:tcW w:w="225" w:type="dxa"/>
            <w:vAlign w:val="center"/>
            <w:hideMark/>
          </w:tcPr>
          <w:p w14:paraId="6A6B34A2"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9940F0" w:rsidRPr="00785E7A" w14:paraId="5F4B016F" w14:textId="77777777" w:rsidTr="00D41B2D">
        <w:trPr>
          <w:trHeight w:val="270"/>
        </w:trPr>
        <w:tc>
          <w:tcPr>
            <w:tcW w:w="5552" w:type="dxa"/>
            <w:gridSpan w:val="6"/>
            <w:tcBorders>
              <w:top w:val="nil"/>
              <w:left w:val="nil"/>
              <w:bottom w:val="nil"/>
              <w:right w:val="nil"/>
            </w:tcBorders>
            <w:shd w:val="clear" w:color="000000" w:fill="FFFFFF"/>
            <w:noWrap/>
            <w:vAlign w:val="bottom"/>
            <w:hideMark/>
          </w:tcPr>
          <w:p w14:paraId="000F85A0" w14:textId="77777777" w:rsidR="00785E7A" w:rsidRPr="00785E7A" w:rsidRDefault="00785E7A" w:rsidP="00785E7A">
            <w:pPr>
              <w:spacing w:after="0" w:line="240" w:lineRule="auto"/>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Depreciation and amortisation charges </w:t>
            </w:r>
          </w:p>
        </w:tc>
        <w:tc>
          <w:tcPr>
            <w:tcW w:w="272" w:type="dxa"/>
            <w:tcBorders>
              <w:top w:val="nil"/>
              <w:left w:val="nil"/>
              <w:bottom w:val="nil"/>
              <w:right w:val="nil"/>
            </w:tcBorders>
            <w:shd w:val="clear" w:color="000000" w:fill="FFFFFF"/>
            <w:noWrap/>
            <w:vAlign w:val="bottom"/>
            <w:hideMark/>
          </w:tcPr>
          <w:p w14:paraId="6E85ED5D"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272" w:type="dxa"/>
            <w:tcBorders>
              <w:top w:val="nil"/>
              <w:left w:val="nil"/>
              <w:bottom w:val="nil"/>
              <w:right w:val="nil"/>
            </w:tcBorders>
            <w:shd w:val="clear" w:color="000000" w:fill="FFFFFF"/>
            <w:noWrap/>
            <w:vAlign w:val="bottom"/>
            <w:hideMark/>
          </w:tcPr>
          <w:p w14:paraId="22F0095E"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1561" w:type="dxa"/>
            <w:gridSpan w:val="3"/>
            <w:tcBorders>
              <w:top w:val="nil"/>
              <w:left w:val="nil"/>
              <w:bottom w:val="nil"/>
              <w:right w:val="nil"/>
            </w:tcBorders>
            <w:shd w:val="clear" w:color="auto" w:fill="CCECFF"/>
            <w:noWrap/>
            <w:vAlign w:val="bottom"/>
            <w:hideMark/>
          </w:tcPr>
          <w:p w14:paraId="6DA410B8"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 xml:space="preserve">200 </w:t>
            </w:r>
          </w:p>
        </w:tc>
        <w:tc>
          <w:tcPr>
            <w:tcW w:w="1274" w:type="dxa"/>
            <w:gridSpan w:val="2"/>
            <w:tcBorders>
              <w:top w:val="nil"/>
              <w:left w:val="nil"/>
              <w:bottom w:val="nil"/>
              <w:right w:val="nil"/>
            </w:tcBorders>
            <w:shd w:val="clear" w:color="000000" w:fill="FFFFFF"/>
            <w:noWrap/>
            <w:vAlign w:val="bottom"/>
            <w:hideMark/>
          </w:tcPr>
          <w:p w14:paraId="4A225E2D"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197 </w:t>
            </w:r>
          </w:p>
        </w:tc>
        <w:tc>
          <w:tcPr>
            <w:tcW w:w="1295" w:type="dxa"/>
            <w:gridSpan w:val="2"/>
            <w:tcBorders>
              <w:top w:val="nil"/>
              <w:left w:val="nil"/>
              <w:bottom w:val="nil"/>
              <w:right w:val="nil"/>
            </w:tcBorders>
            <w:shd w:val="clear" w:color="000000" w:fill="FFFFFF"/>
            <w:noWrap/>
            <w:vAlign w:val="bottom"/>
            <w:hideMark/>
          </w:tcPr>
          <w:p w14:paraId="2383BD97"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405 </w:t>
            </w:r>
          </w:p>
        </w:tc>
        <w:tc>
          <w:tcPr>
            <w:tcW w:w="225" w:type="dxa"/>
            <w:vAlign w:val="center"/>
            <w:hideMark/>
          </w:tcPr>
          <w:p w14:paraId="100D0A26"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9940F0" w:rsidRPr="00785E7A" w14:paraId="7E191479" w14:textId="77777777" w:rsidTr="00D41B2D">
        <w:trPr>
          <w:trHeight w:val="270"/>
        </w:trPr>
        <w:tc>
          <w:tcPr>
            <w:tcW w:w="5552" w:type="dxa"/>
            <w:gridSpan w:val="6"/>
            <w:tcBorders>
              <w:top w:val="nil"/>
              <w:left w:val="nil"/>
              <w:bottom w:val="nil"/>
              <w:right w:val="nil"/>
            </w:tcBorders>
            <w:shd w:val="clear" w:color="000000" w:fill="FFFFFF"/>
            <w:noWrap/>
            <w:vAlign w:val="bottom"/>
            <w:hideMark/>
          </w:tcPr>
          <w:p w14:paraId="5B82F0EA" w14:textId="77777777" w:rsidR="00785E7A" w:rsidRPr="00785E7A" w:rsidRDefault="00785E7A" w:rsidP="00785E7A">
            <w:pPr>
              <w:spacing w:after="0" w:line="240" w:lineRule="auto"/>
              <w:rPr>
                <w:rFonts w:ascii="Arial" w:eastAsia="Times New Roman" w:hAnsi="Arial" w:cs="Arial"/>
                <w:sz w:val="15"/>
                <w:szCs w:val="15"/>
                <w:lang w:eastAsia="en-GB"/>
              </w:rPr>
            </w:pPr>
            <w:r w:rsidRPr="00785E7A">
              <w:rPr>
                <w:rFonts w:ascii="Arial" w:eastAsia="Times New Roman" w:hAnsi="Arial" w:cs="Arial"/>
                <w:sz w:val="15"/>
                <w:szCs w:val="15"/>
                <w:lang w:eastAsia="en-GB"/>
              </w:rPr>
              <w:t>Non-current asset impairments</w:t>
            </w:r>
          </w:p>
        </w:tc>
        <w:tc>
          <w:tcPr>
            <w:tcW w:w="272" w:type="dxa"/>
            <w:tcBorders>
              <w:top w:val="nil"/>
              <w:left w:val="nil"/>
              <w:bottom w:val="nil"/>
              <w:right w:val="nil"/>
            </w:tcBorders>
            <w:shd w:val="clear" w:color="000000" w:fill="FFFFFF"/>
            <w:noWrap/>
            <w:vAlign w:val="bottom"/>
            <w:hideMark/>
          </w:tcPr>
          <w:p w14:paraId="496128EF"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272" w:type="dxa"/>
            <w:tcBorders>
              <w:top w:val="nil"/>
              <w:left w:val="nil"/>
              <w:bottom w:val="nil"/>
              <w:right w:val="nil"/>
            </w:tcBorders>
            <w:shd w:val="clear" w:color="000000" w:fill="FFFFFF"/>
            <w:noWrap/>
            <w:vAlign w:val="bottom"/>
            <w:hideMark/>
          </w:tcPr>
          <w:p w14:paraId="2F6C3031"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1561" w:type="dxa"/>
            <w:gridSpan w:val="3"/>
            <w:tcBorders>
              <w:top w:val="nil"/>
              <w:left w:val="nil"/>
              <w:bottom w:val="nil"/>
              <w:right w:val="nil"/>
            </w:tcBorders>
            <w:shd w:val="clear" w:color="auto" w:fill="CCECFF"/>
            <w:noWrap/>
            <w:vAlign w:val="bottom"/>
            <w:hideMark/>
          </w:tcPr>
          <w:p w14:paraId="648199B2"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 xml:space="preserve">56 </w:t>
            </w:r>
          </w:p>
        </w:tc>
        <w:tc>
          <w:tcPr>
            <w:tcW w:w="1274" w:type="dxa"/>
            <w:gridSpan w:val="2"/>
            <w:tcBorders>
              <w:top w:val="nil"/>
              <w:left w:val="nil"/>
              <w:bottom w:val="nil"/>
              <w:right w:val="nil"/>
            </w:tcBorders>
            <w:shd w:val="clear" w:color="000000" w:fill="FFFFFF"/>
            <w:noWrap/>
            <w:vAlign w:val="bottom"/>
            <w:hideMark/>
          </w:tcPr>
          <w:p w14:paraId="5AF22FF5"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14 </w:t>
            </w:r>
          </w:p>
        </w:tc>
        <w:tc>
          <w:tcPr>
            <w:tcW w:w="1295" w:type="dxa"/>
            <w:gridSpan w:val="2"/>
            <w:tcBorders>
              <w:top w:val="nil"/>
              <w:left w:val="nil"/>
              <w:bottom w:val="nil"/>
              <w:right w:val="nil"/>
            </w:tcBorders>
            <w:shd w:val="clear" w:color="000000" w:fill="FFFFFF"/>
            <w:noWrap/>
            <w:vAlign w:val="bottom"/>
            <w:hideMark/>
          </w:tcPr>
          <w:p w14:paraId="1826B23B"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30 </w:t>
            </w:r>
          </w:p>
        </w:tc>
        <w:tc>
          <w:tcPr>
            <w:tcW w:w="225" w:type="dxa"/>
            <w:vAlign w:val="center"/>
            <w:hideMark/>
          </w:tcPr>
          <w:p w14:paraId="1F904E50"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9940F0" w:rsidRPr="00785E7A" w14:paraId="1C5A6874" w14:textId="77777777" w:rsidTr="00D41B2D">
        <w:trPr>
          <w:trHeight w:val="270"/>
        </w:trPr>
        <w:tc>
          <w:tcPr>
            <w:tcW w:w="6096" w:type="dxa"/>
            <w:gridSpan w:val="8"/>
            <w:tcBorders>
              <w:top w:val="nil"/>
              <w:left w:val="nil"/>
              <w:bottom w:val="nil"/>
              <w:right w:val="nil"/>
            </w:tcBorders>
            <w:shd w:val="clear" w:color="000000" w:fill="FFFFFF"/>
            <w:noWrap/>
            <w:vAlign w:val="bottom"/>
            <w:hideMark/>
          </w:tcPr>
          <w:p w14:paraId="233355C1" w14:textId="77777777" w:rsidR="00785E7A" w:rsidRPr="00785E7A" w:rsidRDefault="00785E7A" w:rsidP="00785E7A">
            <w:pPr>
              <w:spacing w:after="0" w:line="240" w:lineRule="auto"/>
              <w:rPr>
                <w:rFonts w:ascii="Arial" w:eastAsia="Times New Roman" w:hAnsi="Arial" w:cs="Arial"/>
                <w:sz w:val="15"/>
                <w:szCs w:val="15"/>
                <w:lang w:eastAsia="en-GB"/>
              </w:rPr>
            </w:pPr>
            <w:r w:rsidRPr="00785E7A">
              <w:rPr>
                <w:rFonts w:ascii="Arial" w:eastAsia="Times New Roman" w:hAnsi="Arial" w:cs="Arial"/>
                <w:sz w:val="15"/>
                <w:szCs w:val="15"/>
                <w:lang w:eastAsia="en-GB"/>
              </w:rPr>
              <w:t>Gain / (loss) on closure or disposal of businesses and non-current assets</w:t>
            </w:r>
          </w:p>
        </w:tc>
        <w:tc>
          <w:tcPr>
            <w:tcW w:w="1561" w:type="dxa"/>
            <w:gridSpan w:val="3"/>
            <w:tcBorders>
              <w:top w:val="nil"/>
              <w:left w:val="nil"/>
              <w:bottom w:val="nil"/>
              <w:right w:val="nil"/>
            </w:tcBorders>
            <w:shd w:val="clear" w:color="auto" w:fill="CCECFF"/>
            <w:noWrap/>
            <w:vAlign w:val="bottom"/>
            <w:hideMark/>
          </w:tcPr>
          <w:p w14:paraId="036D80E5"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(24)</w:t>
            </w:r>
          </w:p>
        </w:tc>
        <w:tc>
          <w:tcPr>
            <w:tcW w:w="1274" w:type="dxa"/>
            <w:gridSpan w:val="2"/>
            <w:tcBorders>
              <w:top w:val="nil"/>
              <w:left w:val="nil"/>
              <w:bottom w:val="nil"/>
              <w:right w:val="nil"/>
            </w:tcBorders>
            <w:shd w:val="clear" w:color="000000" w:fill="FFFFFF"/>
            <w:noWrap/>
            <w:vAlign w:val="bottom"/>
            <w:hideMark/>
          </w:tcPr>
          <w:p w14:paraId="1AF67203"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12 </w:t>
            </w:r>
          </w:p>
        </w:tc>
        <w:tc>
          <w:tcPr>
            <w:tcW w:w="1295" w:type="dxa"/>
            <w:gridSpan w:val="2"/>
            <w:tcBorders>
              <w:top w:val="nil"/>
              <w:left w:val="nil"/>
              <w:bottom w:val="nil"/>
              <w:right w:val="nil"/>
            </w:tcBorders>
            <w:shd w:val="clear" w:color="000000" w:fill="FFFFFF"/>
            <w:noWrap/>
            <w:vAlign w:val="bottom"/>
            <w:hideMark/>
          </w:tcPr>
          <w:p w14:paraId="7B80A5FE"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(2)</w:t>
            </w:r>
          </w:p>
        </w:tc>
        <w:tc>
          <w:tcPr>
            <w:tcW w:w="225" w:type="dxa"/>
            <w:vAlign w:val="center"/>
            <w:hideMark/>
          </w:tcPr>
          <w:p w14:paraId="116CF75D"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9940F0" w:rsidRPr="00785E7A" w14:paraId="4D447372" w14:textId="77777777" w:rsidTr="00D41B2D">
        <w:trPr>
          <w:trHeight w:val="270"/>
        </w:trPr>
        <w:tc>
          <w:tcPr>
            <w:tcW w:w="5824" w:type="dxa"/>
            <w:gridSpan w:val="7"/>
            <w:tcBorders>
              <w:top w:val="nil"/>
              <w:left w:val="nil"/>
              <w:bottom w:val="nil"/>
              <w:right w:val="nil"/>
            </w:tcBorders>
            <w:shd w:val="clear" w:color="000000" w:fill="FFFFFF"/>
            <w:noWrap/>
            <w:vAlign w:val="bottom"/>
            <w:hideMark/>
          </w:tcPr>
          <w:p w14:paraId="5365F06C" w14:textId="77777777" w:rsidR="00785E7A" w:rsidRPr="00785E7A" w:rsidRDefault="00785E7A" w:rsidP="00785E7A">
            <w:pPr>
              <w:spacing w:after="0" w:line="240" w:lineRule="auto"/>
              <w:rPr>
                <w:rFonts w:ascii="Arial" w:eastAsia="Times New Roman" w:hAnsi="Arial" w:cs="Arial"/>
                <w:sz w:val="15"/>
                <w:szCs w:val="15"/>
                <w:lang w:eastAsia="en-GB"/>
              </w:rPr>
            </w:pPr>
            <w:r w:rsidRPr="00785E7A">
              <w:rPr>
                <w:rFonts w:ascii="Arial" w:eastAsia="Times New Roman" w:hAnsi="Arial" w:cs="Arial"/>
                <w:sz w:val="15"/>
                <w:szCs w:val="15"/>
                <w:lang w:eastAsia="en-GB"/>
              </w:rPr>
              <w:t>Decrease / (increase) in fair value of investment properties</w:t>
            </w:r>
          </w:p>
        </w:tc>
        <w:tc>
          <w:tcPr>
            <w:tcW w:w="272" w:type="dxa"/>
            <w:tcBorders>
              <w:top w:val="nil"/>
              <w:left w:val="nil"/>
              <w:bottom w:val="nil"/>
              <w:right w:val="nil"/>
            </w:tcBorders>
            <w:shd w:val="clear" w:color="000000" w:fill="FFFFFF"/>
            <w:noWrap/>
            <w:vAlign w:val="bottom"/>
            <w:hideMark/>
          </w:tcPr>
          <w:p w14:paraId="08C5479D"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1561" w:type="dxa"/>
            <w:gridSpan w:val="3"/>
            <w:tcBorders>
              <w:top w:val="nil"/>
              <w:left w:val="nil"/>
              <w:bottom w:val="nil"/>
              <w:right w:val="nil"/>
            </w:tcBorders>
            <w:shd w:val="clear" w:color="auto" w:fill="CCECFF"/>
            <w:noWrap/>
            <w:vAlign w:val="bottom"/>
            <w:hideMark/>
          </w:tcPr>
          <w:p w14:paraId="1359067D"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 xml:space="preserve">3 </w:t>
            </w:r>
          </w:p>
        </w:tc>
        <w:tc>
          <w:tcPr>
            <w:tcW w:w="1274" w:type="dxa"/>
            <w:gridSpan w:val="2"/>
            <w:tcBorders>
              <w:top w:val="nil"/>
              <w:left w:val="nil"/>
              <w:bottom w:val="nil"/>
              <w:right w:val="nil"/>
            </w:tcBorders>
            <w:shd w:val="clear" w:color="000000" w:fill="FFFFFF"/>
            <w:noWrap/>
            <w:vAlign w:val="bottom"/>
            <w:hideMark/>
          </w:tcPr>
          <w:p w14:paraId="595AA294"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 </w:t>
            </w:r>
          </w:p>
        </w:tc>
        <w:tc>
          <w:tcPr>
            <w:tcW w:w="1295" w:type="dxa"/>
            <w:gridSpan w:val="2"/>
            <w:tcBorders>
              <w:top w:val="nil"/>
              <w:left w:val="nil"/>
              <w:bottom w:val="nil"/>
              <w:right w:val="nil"/>
            </w:tcBorders>
            <w:shd w:val="clear" w:color="000000" w:fill="FFFFFF"/>
            <w:noWrap/>
            <w:vAlign w:val="bottom"/>
            <w:hideMark/>
          </w:tcPr>
          <w:p w14:paraId="051BF850"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(9)</w:t>
            </w:r>
          </w:p>
        </w:tc>
        <w:tc>
          <w:tcPr>
            <w:tcW w:w="225" w:type="dxa"/>
            <w:vAlign w:val="center"/>
            <w:hideMark/>
          </w:tcPr>
          <w:p w14:paraId="1D11C1CC"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9940F0" w:rsidRPr="00785E7A" w14:paraId="13074D46" w14:textId="77777777" w:rsidTr="00D41B2D">
        <w:trPr>
          <w:trHeight w:val="270"/>
        </w:trPr>
        <w:tc>
          <w:tcPr>
            <w:tcW w:w="5552" w:type="dxa"/>
            <w:gridSpan w:val="6"/>
            <w:tcBorders>
              <w:top w:val="nil"/>
              <w:left w:val="nil"/>
              <w:bottom w:val="nil"/>
              <w:right w:val="nil"/>
            </w:tcBorders>
            <w:shd w:val="clear" w:color="000000" w:fill="FFFFFF"/>
            <w:noWrap/>
            <w:vAlign w:val="bottom"/>
            <w:hideMark/>
          </w:tcPr>
          <w:p w14:paraId="560DA911" w14:textId="77777777" w:rsidR="00785E7A" w:rsidRPr="00785E7A" w:rsidRDefault="00785E7A" w:rsidP="00785E7A">
            <w:pPr>
              <w:spacing w:after="0" w:line="240" w:lineRule="auto"/>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Retirement benefit obligations </w:t>
            </w:r>
          </w:p>
        </w:tc>
        <w:tc>
          <w:tcPr>
            <w:tcW w:w="272" w:type="dxa"/>
            <w:tcBorders>
              <w:top w:val="nil"/>
              <w:left w:val="nil"/>
              <w:bottom w:val="nil"/>
              <w:right w:val="nil"/>
            </w:tcBorders>
            <w:shd w:val="clear" w:color="000000" w:fill="FFFFFF"/>
            <w:noWrap/>
            <w:vAlign w:val="bottom"/>
            <w:hideMark/>
          </w:tcPr>
          <w:p w14:paraId="651BC40B"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272" w:type="dxa"/>
            <w:tcBorders>
              <w:top w:val="nil"/>
              <w:left w:val="nil"/>
              <w:bottom w:val="nil"/>
              <w:right w:val="nil"/>
            </w:tcBorders>
            <w:shd w:val="clear" w:color="000000" w:fill="FFFFFF"/>
            <w:noWrap/>
            <w:vAlign w:val="bottom"/>
            <w:hideMark/>
          </w:tcPr>
          <w:p w14:paraId="753CD626"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1561" w:type="dxa"/>
            <w:gridSpan w:val="3"/>
            <w:tcBorders>
              <w:top w:val="nil"/>
              <w:left w:val="nil"/>
              <w:bottom w:val="nil"/>
              <w:right w:val="nil"/>
            </w:tcBorders>
            <w:shd w:val="clear" w:color="auto" w:fill="CCECFF"/>
            <w:noWrap/>
            <w:vAlign w:val="bottom"/>
            <w:hideMark/>
          </w:tcPr>
          <w:p w14:paraId="39F06F2F"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(6)</w:t>
            </w:r>
          </w:p>
        </w:tc>
        <w:tc>
          <w:tcPr>
            <w:tcW w:w="1274" w:type="dxa"/>
            <w:gridSpan w:val="2"/>
            <w:tcBorders>
              <w:top w:val="nil"/>
              <w:left w:val="nil"/>
              <w:bottom w:val="nil"/>
              <w:right w:val="nil"/>
            </w:tcBorders>
            <w:shd w:val="clear" w:color="000000" w:fill="FFFFFF"/>
            <w:noWrap/>
            <w:vAlign w:val="bottom"/>
            <w:hideMark/>
          </w:tcPr>
          <w:p w14:paraId="57E62FD2"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(14)</w:t>
            </w:r>
          </w:p>
        </w:tc>
        <w:tc>
          <w:tcPr>
            <w:tcW w:w="1295" w:type="dxa"/>
            <w:gridSpan w:val="2"/>
            <w:tcBorders>
              <w:top w:val="nil"/>
              <w:left w:val="nil"/>
              <w:bottom w:val="nil"/>
              <w:right w:val="nil"/>
            </w:tcBorders>
            <w:shd w:val="clear" w:color="000000" w:fill="FFFFFF"/>
            <w:noWrap/>
            <w:vAlign w:val="bottom"/>
            <w:hideMark/>
          </w:tcPr>
          <w:p w14:paraId="34C56BA6"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(24)</w:t>
            </w:r>
          </w:p>
        </w:tc>
        <w:tc>
          <w:tcPr>
            <w:tcW w:w="225" w:type="dxa"/>
            <w:vAlign w:val="center"/>
            <w:hideMark/>
          </w:tcPr>
          <w:p w14:paraId="14BF8969"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9940F0" w:rsidRPr="00785E7A" w14:paraId="55A917A5" w14:textId="77777777" w:rsidTr="00D41B2D">
        <w:trPr>
          <w:trHeight w:val="270"/>
        </w:trPr>
        <w:tc>
          <w:tcPr>
            <w:tcW w:w="5552" w:type="dxa"/>
            <w:gridSpan w:val="6"/>
            <w:tcBorders>
              <w:top w:val="nil"/>
              <w:left w:val="nil"/>
              <w:bottom w:val="nil"/>
              <w:right w:val="nil"/>
            </w:tcBorders>
            <w:shd w:val="clear" w:color="000000" w:fill="FFFFFF"/>
            <w:noWrap/>
            <w:vAlign w:val="bottom"/>
            <w:hideMark/>
          </w:tcPr>
          <w:p w14:paraId="1A2C3EE3" w14:textId="77777777" w:rsidR="00785E7A" w:rsidRPr="00785E7A" w:rsidRDefault="00785E7A" w:rsidP="00785E7A">
            <w:pPr>
              <w:spacing w:after="0" w:line="240" w:lineRule="auto"/>
              <w:rPr>
                <w:rFonts w:ascii="Arial" w:eastAsia="Times New Roman" w:hAnsi="Arial" w:cs="Arial"/>
                <w:sz w:val="15"/>
                <w:szCs w:val="15"/>
                <w:lang w:eastAsia="en-GB"/>
              </w:rPr>
            </w:pPr>
            <w:r w:rsidRPr="00785E7A">
              <w:rPr>
                <w:rFonts w:ascii="Arial" w:eastAsia="Times New Roman" w:hAnsi="Arial" w:cs="Arial"/>
                <w:sz w:val="15"/>
                <w:szCs w:val="15"/>
                <w:lang w:eastAsia="en-GB"/>
              </w:rPr>
              <w:t>Decrease / (increase) in inventories</w:t>
            </w:r>
          </w:p>
        </w:tc>
        <w:tc>
          <w:tcPr>
            <w:tcW w:w="272" w:type="dxa"/>
            <w:tcBorders>
              <w:top w:val="nil"/>
              <w:left w:val="nil"/>
              <w:bottom w:val="nil"/>
              <w:right w:val="nil"/>
            </w:tcBorders>
            <w:shd w:val="clear" w:color="000000" w:fill="FFFFFF"/>
            <w:noWrap/>
            <w:vAlign w:val="bottom"/>
            <w:hideMark/>
          </w:tcPr>
          <w:p w14:paraId="2E7556BE"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272" w:type="dxa"/>
            <w:tcBorders>
              <w:top w:val="nil"/>
              <w:left w:val="nil"/>
              <w:bottom w:val="nil"/>
              <w:right w:val="nil"/>
            </w:tcBorders>
            <w:shd w:val="clear" w:color="000000" w:fill="FFFFFF"/>
            <w:noWrap/>
            <w:vAlign w:val="bottom"/>
            <w:hideMark/>
          </w:tcPr>
          <w:p w14:paraId="668D8D6A"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1561" w:type="dxa"/>
            <w:gridSpan w:val="3"/>
            <w:tcBorders>
              <w:top w:val="nil"/>
              <w:left w:val="nil"/>
              <w:bottom w:val="nil"/>
              <w:right w:val="nil"/>
            </w:tcBorders>
            <w:shd w:val="clear" w:color="auto" w:fill="CCECFF"/>
            <w:noWrap/>
            <w:vAlign w:val="bottom"/>
            <w:hideMark/>
          </w:tcPr>
          <w:p w14:paraId="5F7705E8"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 xml:space="preserve">20 </w:t>
            </w:r>
          </w:p>
        </w:tc>
        <w:tc>
          <w:tcPr>
            <w:tcW w:w="1274" w:type="dxa"/>
            <w:gridSpan w:val="2"/>
            <w:tcBorders>
              <w:top w:val="nil"/>
              <w:left w:val="nil"/>
              <w:bottom w:val="nil"/>
              <w:right w:val="nil"/>
            </w:tcBorders>
            <w:shd w:val="clear" w:color="000000" w:fill="FFFFFF"/>
            <w:noWrap/>
            <w:vAlign w:val="bottom"/>
            <w:hideMark/>
          </w:tcPr>
          <w:p w14:paraId="742A6C6C"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6 </w:t>
            </w:r>
          </w:p>
        </w:tc>
        <w:tc>
          <w:tcPr>
            <w:tcW w:w="1295" w:type="dxa"/>
            <w:gridSpan w:val="2"/>
            <w:tcBorders>
              <w:top w:val="nil"/>
              <w:left w:val="nil"/>
              <w:bottom w:val="nil"/>
              <w:right w:val="nil"/>
            </w:tcBorders>
            <w:shd w:val="clear" w:color="000000" w:fill="FFFFFF"/>
            <w:noWrap/>
            <w:vAlign w:val="bottom"/>
            <w:hideMark/>
          </w:tcPr>
          <w:p w14:paraId="1A8E4E98"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(28)</w:t>
            </w:r>
          </w:p>
        </w:tc>
        <w:tc>
          <w:tcPr>
            <w:tcW w:w="225" w:type="dxa"/>
            <w:vAlign w:val="center"/>
            <w:hideMark/>
          </w:tcPr>
          <w:p w14:paraId="6069CB4C"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9940F0" w:rsidRPr="00785E7A" w14:paraId="2279E1A9" w14:textId="77777777" w:rsidTr="00D41B2D">
        <w:trPr>
          <w:trHeight w:val="270"/>
        </w:trPr>
        <w:tc>
          <w:tcPr>
            <w:tcW w:w="5552" w:type="dxa"/>
            <w:gridSpan w:val="6"/>
            <w:tcBorders>
              <w:top w:val="nil"/>
              <w:left w:val="nil"/>
              <w:bottom w:val="nil"/>
              <w:right w:val="nil"/>
            </w:tcBorders>
            <w:shd w:val="clear" w:color="000000" w:fill="FFFFFF"/>
            <w:noWrap/>
            <w:vAlign w:val="bottom"/>
            <w:hideMark/>
          </w:tcPr>
          <w:p w14:paraId="52FD0A81" w14:textId="77777777" w:rsidR="00785E7A" w:rsidRPr="00785E7A" w:rsidRDefault="00785E7A" w:rsidP="00785E7A">
            <w:pPr>
              <w:spacing w:after="0" w:line="240" w:lineRule="auto"/>
              <w:rPr>
                <w:rFonts w:ascii="Arial" w:eastAsia="Times New Roman" w:hAnsi="Arial" w:cs="Arial"/>
                <w:sz w:val="15"/>
                <w:szCs w:val="15"/>
                <w:lang w:eastAsia="en-GB"/>
              </w:rPr>
            </w:pPr>
            <w:r w:rsidRPr="00785E7A">
              <w:rPr>
                <w:rFonts w:ascii="Arial" w:eastAsia="Times New Roman" w:hAnsi="Arial" w:cs="Arial"/>
                <w:sz w:val="15"/>
                <w:szCs w:val="15"/>
                <w:lang w:eastAsia="en-GB"/>
              </w:rPr>
              <w:t>Increase in receivables</w:t>
            </w:r>
          </w:p>
        </w:tc>
        <w:tc>
          <w:tcPr>
            <w:tcW w:w="272" w:type="dxa"/>
            <w:tcBorders>
              <w:top w:val="nil"/>
              <w:left w:val="nil"/>
              <w:bottom w:val="nil"/>
              <w:right w:val="nil"/>
            </w:tcBorders>
            <w:shd w:val="clear" w:color="000000" w:fill="FFFFFF"/>
            <w:noWrap/>
            <w:vAlign w:val="bottom"/>
            <w:hideMark/>
          </w:tcPr>
          <w:p w14:paraId="5088D07A"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272" w:type="dxa"/>
            <w:tcBorders>
              <w:top w:val="nil"/>
              <w:left w:val="nil"/>
              <w:bottom w:val="nil"/>
              <w:right w:val="nil"/>
            </w:tcBorders>
            <w:shd w:val="clear" w:color="000000" w:fill="FFFFFF"/>
            <w:noWrap/>
            <w:vAlign w:val="bottom"/>
            <w:hideMark/>
          </w:tcPr>
          <w:p w14:paraId="2BB2BB74"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1561" w:type="dxa"/>
            <w:gridSpan w:val="3"/>
            <w:tcBorders>
              <w:top w:val="nil"/>
              <w:left w:val="nil"/>
              <w:bottom w:val="nil"/>
              <w:right w:val="nil"/>
            </w:tcBorders>
            <w:shd w:val="clear" w:color="auto" w:fill="CCECFF"/>
            <w:noWrap/>
            <w:vAlign w:val="bottom"/>
            <w:hideMark/>
          </w:tcPr>
          <w:p w14:paraId="02CE1089"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(1)</w:t>
            </w:r>
          </w:p>
        </w:tc>
        <w:tc>
          <w:tcPr>
            <w:tcW w:w="1274" w:type="dxa"/>
            <w:gridSpan w:val="2"/>
            <w:tcBorders>
              <w:top w:val="nil"/>
              <w:left w:val="nil"/>
              <w:bottom w:val="nil"/>
              <w:right w:val="nil"/>
            </w:tcBorders>
            <w:shd w:val="clear" w:color="000000" w:fill="FFFFFF"/>
            <w:noWrap/>
            <w:vAlign w:val="bottom"/>
            <w:hideMark/>
          </w:tcPr>
          <w:p w14:paraId="365CFE82"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(46)</w:t>
            </w:r>
          </w:p>
        </w:tc>
        <w:tc>
          <w:tcPr>
            <w:tcW w:w="1295" w:type="dxa"/>
            <w:gridSpan w:val="2"/>
            <w:tcBorders>
              <w:top w:val="nil"/>
              <w:left w:val="nil"/>
              <w:bottom w:val="nil"/>
              <w:right w:val="nil"/>
            </w:tcBorders>
            <w:shd w:val="clear" w:color="000000" w:fill="FFFFFF"/>
            <w:noWrap/>
            <w:vAlign w:val="bottom"/>
            <w:hideMark/>
          </w:tcPr>
          <w:p w14:paraId="289C978C"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(17)</w:t>
            </w:r>
          </w:p>
        </w:tc>
        <w:tc>
          <w:tcPr>
            <w:tcW w:w="225" w:type="dxa"/>
            <w:vAlign w:val="center"/>
            <w:hideMark/>
          </w:tcPr>
          <w:p w14:paraId="1A6EA9EE"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9940F0" w:rsidRPr="00785E7A" w14:paraId="60302D90" w14:textId="77777777" w:rsidTr="00D41B2D">
        <w:trPr>
          <w:trHeight w:val="270"/>
        </w:trPr>
        <w:tc>
          <w:tcPr>
            <w:tcW w:w="5824" w:type="dxa"/>
            <w:gridSpan w:val="7"/>
            <w:tcBorders>
              <w:top w:val="nil"/>
              <w:left w:val="nil"/>
              <w:bottom w:val="nil"/>
              <w:right w:val="nil"/>
            </w:tcBorders>
            <w:shd w:val="clear" w:color="000000" w:fill="FFFFFF"/>
            <w:noWrap/>
            <w:vAlign w:val="bottom"/>
            <w:hideMark/>
          </w:tcPr>
          <w:p w14:paraId="38D2CDD6" w14:textId="77777777" w:rsidR="00785E7A" w:rsidRPr="00785E7A" w:rsidRDefault="00785E7A" w:rsidP="00785E7A">
            <w:pPr>
              <w:spacing w:after="0" w:line="240" w:lineRule="auto"/>
              <w:rPr>
                <w:rFonts w:ascii="Arial" w:eastAsia="Times New Roman" w:hAnsi="Arial" w:cs="Arial"/>
                <w:sz w:val="15"/>
                <w:szCs w:val="15"/>
                <w:lang w:eastAsia="en-GB"/>
              </w:rPr>
            </w:pPr>
            <w:r w:rsidRPr="00785E7A">
              <w:rPr>
                <w:rFonts w:ascii="Arial" w:eastAsia="Times New Roman" w:hAnsi="Arial" w:cs="Arial"/>
                <w:sz w:val="15"/>
                <w:szCs w:val="15"/>
                <w:lang w:eastAsia="en-GB"/>
              </w:rPr>
              <w:t>Decrease / (increase) in contract assets (funeral plans)</w:t>
            </w:r>
          </w:p>
        </w:tc>
        <w:tc>
          <w:tcPr>
            <w:tcW w:w="272" w:type="dxa"/>
            <w:tcBorders>
              <w:top w:val="nil"/>
              <w:left w:val="nil"/>
              <w:bottom w:val="nil"/>
              <w:right w:val="nil"/>
            </w:tcBorders>
            <w:shd w:val="clear" w:color="000000" w:fill="FFFFFF"/>
            <w:noWrap/>
            <w:vAlign w:val="bottom"/>
            <w:hideMark/>
          </w:tcPr>
          <w:p w14:paraId="0A2F627D"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1561" w:type="dxa"/>
            <w:gridSpan w:val="3"/>
            <w:tcBorders>
              <w:top w:val="nil"/>
              <w:left w:val="nil"/>
              <w:bottom w:val="nil"/>
              <w:right w:val="nil"/>
            </w:tcBorders>
            <w:shd w:val="clear" w:color="auto" w:fill="CCECFF"/>
            <w:noWrap/>
            <w:vAlign w:val="bottom"/>
            <w:hideMark/>
          </w:tcPr>
          <w:p w14:paraId="56E1FD6C"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 xml:space="preserve">1 </w:t>
            </w:r>
          </w:p>
        </w:tc>
        <w:tc>
          <w:tcPr>
            <w:tcW w:w="1274" w:type="dxa"/>
            <w:gridSpan w:val="2"/>
            <w:tcBorders>
              <w:top w:val="nil"/>
              <w:left w:val="nil"/>
              <w:bottom w:val="nil"/>
              <w:right w:val="nil"/>
            </w:tcBorders>
            <w:shd w:val="clear" w:color="000000" w:fill="FFFFFF"/>
            <w:noWrap/>
            <w:vAlign w:val="bottom"/>
            <w:hideMark/>
          </w:tcPr>
          <w:p w14:paraId="36C3F1ED"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(2)</w:t>
            </w:r>
          </w:p>
        </w:tc>
        <w:tc>
          <w:tcPr>
            <w:tcW w:w="1295" w:type="dxa"/>
            <w:gridSpan w:val="2"/>
            <w:tcBorders>
              <w:top w:val="nil"/>
              <w:left w:val="nil"/>
              <w:bottom w:val="nil"/>
              <w:right w:val="nil"/>
            </w:tcBorders>
            <w:shd w:val="clear" w:color="000000" w:fill="FFFFFF"/>
            <w:noWrap/>
            <w:vAlign w:val="bottom"/>
            <w:hideMark/>
          </w:tcPr>
          <w:p w14:paraId="1624D4D6"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18 </w:t>
            </w:r>
          </w:p>
        </w:tc>
        <w:tc>
          <w:tcPr>
            <w:tcW w:w="225" w:type="dxa"/>
            <w:vAlign w:val="center"/>
            <w:hideMark/>
          </w:tcPr>
          <w:p w14:paraId="1E05D103"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9940F0" w:rsidRPr="00785E7A" w14:paraId="53AAEB9E" w14:textId="77777777" w:rsidTr="00D41B2D">
        <w:trPr>
          <w:trHeight w:val="270"/>
        </w:trPr>
        <w:tc>
          <w:tcPr>
            <w:tcW w:w="5824" w:type="dxa"/>
            <w:gridSpan w:val="7"/>
            <w:tcBorders>
              <w:top w:val="nil"/>
              <w:left w:val="nil"/>
              <w:bottom w:val="nil"/>
              <w:right w:val="nil"/>
            </w:tcBorders>
            <w:shd w:val="clear" w:color="000000" w:fill="FFFFFF"/>
            <w:noWrap/>
            <w:vAlign w:val="bottom"/>
            <w:hideMark/>
          </w:tcPr>
          <w:p w14:paraId="3350E679" w14:textId="77777777" w:rsidR="00785E7A" w:rsidRPr="00785E7A" w:rsidRDefault="00785E7A" w:rsidP="00785E7A">
            <w:pPr>
              <w:spacing w:after="0" w:line="240" w:lineRule="auto"/>
              <w:rPr>
                <w:rFonts w:ascii="Arial" w:eastAsia="Times New Roman" w:hAnsi="Arial" w:cs="Arial"/>
                <w:sz w:val="15"/>
                <w:szCs w:val="15"/>
                <w:lang w:eastAsia="en-GB"/>
              </w:rPr>
            </w:pPr>
            <w:r w:rsidRPr="00785E7A">
              <w:rPr>
                <w:rFonts w:ascii="Arial" w:eastAsia="Times New Roman" w:hAnsi="Arial" w:cs="Arial"/>
                <w:sz w:val="15"/>
                <w:szCs w:val="15"/>
                <w:lang w:eastAsia="en-GB"/>
              </w:rPr>
              <w:t>(Decrease) / increase in contract liabilities (funeral plans)</w:t>
            </w:r>
          </w:p>
        </w:tc>
        <w:tc>
          <w:tcPr>
            <w:tcW w:w="272" w:type="dxa"/>
            <w:tcBorders>
              <w:top w:val="nil"/>
              <w:left w:val="nil"/>
              <w:bottom w:val="nil"/>
              <w:right w:val="nil"/>
            </w:tcBorders>
            <w:shd w:val="clear" w:color="000000" w:fill="FFFFFF"/>
            <w:noWrap/>
            <w:vAlign w:val="bottom"/>
            <w:hideMark/>
          </w:tcPr>
          <w:p w14:paraId="41A67EC8"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1561" w:type="dxa"/>
            <w:gridSpan w:val="3"/>
            <w:tcBorders>
              <w:top w:val="nil"/>
              <w:left w:val="nil"/>
              <w:bottom w:val="nil"/>
              <w:right w:val="nil"/>
            </w:tcBorders>
            <w:shd w:val="clear" w:color="auto" w:fill="CCECFF"/>
            <w:noWrap/>
            <w:vAlign w:val="bottom"/>
            <w:hideMark/>
          </w:tcPr>
          <w:p w14:paraId="2B5A9BCB"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(47)</w:t>
            </w:r>
          </w:p>
        </w:tc>
        <w:tc>
          <w:tcPr>
            <w:tcW w:w="1274" w:type="dxa"/>
            <w:gridSpan w:val="2"/>
            <w:tcBorders>
              <w:top w:val="nil"/>
              <w:left w:val="nil"/>
              <w:bottom w:val="nil"/>
              <w:right w:val="nil"/>
            </w:tcBorders>
            <w:shd w:val="clear" w:color="000000" w:fill="FFFFFF"/>
            <w:noWrap/>
            <w:vAlign w:val="bottom"/>
            <w:hideMark/>
          </w:tcPr>
          <w:p w14:paraId="4E178C1E"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24 </w:t>
            </w:r>
          </w:p>
        </w:tc>
        <w:tc>
          <w:tcPr>
            <w:tcW w:w="1295" w:type="dxa"/>
            <w:gridSpan w:val="2"/>
            <w:tcBorders>
              <w:top w:val="nil"/>
              <w:left w:val="nil"/>
              <w:bottom w:val="nil"/>
              <w:right w:val="nil"/>
            </w:tcBorders>
            <w:shd w:val="clear" w:color="000000" w:fill="FFFFFF"/>
            <w:noWrap/>
            <w:vAlign w:val="bottom"/>
            <w:hideMark/>
          </w:tcPr>
          <w:p w14:paraId="78673EC6"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(19)</w:t>
            </w:r>
          </w:p>
        </w:tc>
        <w:tc>
          <w:tcPr>
            <w:tcW w:w="225" w:type="dxa"/>
            <w:vAlign w:val="center"/>
            <w:hideMark/>
          </w:tcPr>
          <w:p w14:paraId="2BE03701"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9940F0" w:rsidRPr="00785E7A" w14:paraId="3320F671" w14:textId="77777777" w:rsidTr="00D41B2D">
        <w:trPr>
          <w:trHeight w:val="270"/>
        </w:trPr>
        <w:tc>
          <w:tcPr>
            <w:tcW w:w="5280" w:type="dxa"/>
            <w:gridSpan w:val="5"/>
            <w:tcBorders>
              <w:top w:val="nil"/>
              <w:left w:val="nil"/>
              <w:bottom w:val="nil"/>
              <w:right w:val="nil"/>
            </w:tcBorders>
            <w:shd w:val="clear" w:color="000000" w:fill="FFFFFF"/>
            <w:noWrap/>
            <w:vAlign w:val="bottom"/>
            <w:hideMark/>
          </w:tcPr>
          <w:p w14:paraId="5F1DE676" w14:textId="77777777" w:rsidR="00785E7A" w:rsidRPr="00785E7A" w:rsidRDefault="00785E7A" w:rsidP="00785E7A">
            <w:pPr>
              <w:spacing w:after="0" w:line="240" w:lineRule="auto"/>
              <w:rPr>
                <w:rFonts w:ascii="Arial" w:eastAsia="Times New Roman" w:hAnsi="Arial" w:cs="Arial"/>
                <w:sz w:val="15"/>
                <w:szCs w:val="15"/>
                <w:lang w:eastAsia="en-GB"/>
              </w:rPr>
            </w:pPr>
            <w:r w:rsidRPr="00785E7A">
              <w:rPr>
                <w:rFonts w:ascii="Arial" w:eastAsia="Times New Roman" w:hAnsi="Arial" w:cs="Arial"/>
                <w:sz w:val="15"/>
                <w:szCs w:val="15"/>
                <w:lang w:eastAsia="en-GB"/>
              </w:rPr>
              <w:t>Increase / (decrease) in payables and provisions</w:t>
            </w:r>
          </w:p>
        </w:tc>
        <w:tc>
          <w:tcPr>
            <w:tcW w:w="272" w:type="dxa"/>
            <w:tcBorders>
              <w:top w:val="nil"/>
              <w:left w:val="nil"/>
              <w:bottom w:val="single" w:sz="4" w:space="0" w:color="BFBFBF"/>
              <w:right w:val="nil"/>
            </w:tcBorders>
            <w:shd w:val="clear" w:color="000000" w:fill="FFFFFF"/>
            <w:noWrap/>
            <w:vAlign w:val="bottom"/>
            <w:hideMark/>
          </w:tcPr>
          <w:p w14:paraId="191F2372" w14:textId="77777777" w:rsidR="00785E7A" w:rsidRPr="00785E7A" w:rsidRDefault="00785E7A" w:rsidP="00785E7A">
            <w:pPr>
              <w:spacing w:after="0" w:line="240" w:lineRule="auto"/>
              <w:rPr>
                <w:rFonts w:ascii="Arial" w:eastAsia="Times New Roman" w:hAnsi="Arial" w:cs="Arial"/>
                <w:sz w:val="15"/>
                <w:szCs w:val="15"/>
                <w:lang w:eastAsia="en-GB"/>
              </w:rPr>
            </w:pPr>
            <w:r w:rsidRPr="00785E7A">
              <w:rPr>
                <w:rFonts w:ascii="Arial" w:eastAsia="Times New Roman" w:hAnsi="Arial" w:cs="Arial"/>
                <w:sz w:val="15"/>
                <w:szCs w:val="15"/>
                <w:lang w:eastAsia="en-GB"/>
              </w:rPr>
              <w:t> </w:t>
            </w:r>
          </w:p>
        </w:tc>
        <w:tc>
          <w:tcPr>
            <w:tcW w:w="272" w:type="dxa"/>
            <w:tcBorders>
              <w:top w:val="nil"/>
              <w:left w:val="nil"/>
              <w:bottom w:val="single" w:sz="4" w:space="0" w:color="BFBFBF"/>
              <w:right w:val="nil"/>
            </w:tcBorders>
            <w:shd w:val="clear" w:color="000000" w:fill="FFFFFF"/>
            <w:noWrap/>
            <w:vAlign w:val="bottom"/>
            <w:hideMark/>
          </w:tcPr>
          <w:p w14:paraId="5A9F9970"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272" w:type="dxa"/>
            <w:tcBorders>
              <w:top w:val="nil"/>
              <w:left w:val="nil"/>
              <w:bottom w:val="single" w:sz="4" w:space="0" w:color="BFBFBF"/>
              <w:right w:val="nil"/>
            </w:tcBorders>
            <w:shd w:val="clear" w:color="000000" w:fill="FFFFFF"/>
            <w:noWrap/>
            <w:vAlign w:val="bottom"/>
            <w:hideMark/>
          </w:tcPr>
          <w:p w14:paraId="37CE5367"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1561" w:type="dxa"/>
            <w:gridSpan w:val="3"/>
            <w:tcBorders>
              <w:top w:val="nil"/>
              <w:left w:val="nil"/>
              <w:bottom w:val="nil"/>
              <w:right w:val="nil"/>
            </w:tcBorders>
            <w:shd w:val="clear" w:color="auto" w:fill="CCECFF"/>
            <w:noWrap/>
            <w:vAlign w:val="bottom"/>
            <w:hideMark/>
          </w:tcPr>
          <w:p w14:paraId="0162579C"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 xml:space="preserve">61 </w:t>
            </w:r>
          </w:p>
        </w:tc>
        <w:tc>
          <w:tcPr>
            <w:tcW w:w="1274" w:type="dxa"/>
            <w:gridSpan w:val="2"/>
            <w:tcBorders>
              <w:top w:val="nil"/>
              <w:left w:val="nil"/>
              <w:bottom w:val="single" w:sz="4" w:space="0" w:color="BFBFBF"/>
              <w:right w:val="nil"/>
            </w:tcBorders>
            <w:shd w:val="clear" w:color="000000" w:fill="FFFFFF"/>
            <w:noWrap/>
            <w:vAlign w:val="bottom"/>
            <w:hideMark/>
          </w:tcPr>
          <w:p w14:paraId="34C7B033"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(47)</w:t>
            </w:r>
          </w:p>
        </w:tc>
        <w:tc>
          <w:tcPr>
            <w:tcW w:w="1295" w:type="dxa"/>
            <w:gridSpan w:val="2"/>
            <w:tcBorders>
              <w:top w:val="nil"/>
              <w:left w:val="nil"/>
              <w:bottom w:val="single" w:sz="4" w:space="0" w:color="BFBFBF"/>
              <w:right w:val="nil"/>
            </w:tcBorders>
            <w:shd w:val="clear" w:color="000000" w:fill="FFFFFF"/>
            <w:noWrap/>
            <w:vAlign w:val="bottom"/>
            <w:hideMark/>
          </w:tcPr>
          <w:p w14:paraId="6BBF54AA"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(253)</w:t>
            </w:r>
          </w:p>
        </w:tc>
        <w:tc>
          <w:tcPr>
            <w:tcW w:w="225" w:type="dxa"/>
            <w:vAlign w:val="center"/>
            <w:hideMark/>
          </w:tcPr>
          <w:p w14:paraId="261FF5AF"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9940F0" w:rsidRPr="00785E7A" w14:paraId="4D49E8D0" w14:textId="77777777" w:rsidTr="00D41B2D">
        <w:trPr>
          <w:trHeight w:val="270"/>
        </w:trPr>
        <w:tc>
          <w:tcPr>
            <w:tcW w:w="6096" w:type="dxa"/>
            <w:gridSpan w:val="8"/>
            <w:tcBorders>
              <w:top w:val="single" w:sz="4" w:space="0" w:color="BFBFBF"/>
              <w:left w:val="nil"/>
              <w:bottom w:val="single" w:sz="4" w:space="0" w:color="BFBFBF"/>
              <w:right w:val="nil"/>
            </w:tcBorders>
            <w:shd w:val="clear" w:color="000000" w:fill="FFFFFF"/>
            <w:noWrap/>
            <w:vAlign w:val="bottom"/>
            <w:hideMark/>
          </w:tcPr>
          <w:p w14:paraId="129B2BEA" w14:textId="77777777" w:rsidR="00785E7A" w:rsidRPr="00785E7A" w:rsidRDefault="00785E7A" w:rsidP="00785E7A">
            <w:pPr>
              <w:spacing w:after="0" w:line="240" w:lineRule="auto"/>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Net cash flow from operating activities (continuing operations)</w:t>
            </w:r>
          </w:p>
        </w:tc>
        <w:tc>
          <w:tcPr>
            <w:tcW w:w="1561" w:type="dxa"/>
            <w:gridSpan w:val="3"/>
            <w:tcBorders>
              <w:top w:val="single" w:sz="4" w:space="0" w:color="BFBFBF"/>
              <w:left w:val="nil"/>
              <w:bottom w:val="single" w:sz="4" w:space="0" w:color="BFBFBF"/>
              <w:right w:val="nil"/>
            </w:tcBorders>
            <w:shd w:val="clear" w:color="auto" w:fill="CCECFF"/>
            <w:noWrap/>
            <w:vAlign w:val="bottom"/>
            <w:hideMark/>
          </w:tcPr>
          <w:p w14:paraId="65F061D5"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 xml:space="preserve">243 </w:t>
            </w:r>
          </w:p>
        </w:tc>
        <w:tc>
          <w:tcPr>
            <w:tcW w:w="1274" w:type="dxa"/>
            <w:gridSpan w:val="2"/>
            <w:tcBorders>
              <w:top w:val="nil"/>
              <w:left w:val="nil"/>
              <w:bottom w:val="single" w:sz="4" w:space="0" w:color="BFBFBF"/>
              <w:right w:val="nil"/>
            </w:tcBorders>
            <w:shd w:val="clear" w:color="000000" w:fill="FFFFFF"/>
            <w:noWrap/>
            <w:vAlign w:val="bottom"/>
            <w:hideMark/>
          </w:tcPr>
          <w:p w14:paraId="51E62090"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152 </w:t>
            </w:r>
          </w:p>
        </w:tc>
        <w:tc>
          <w:tcPr>
            <w:tcW w:w="1295" w:type="dxa"/>
            <w:gridSpan w:val="2"/>
            <w:tcBorders>
              <w:top w:val="nil"/>
              <w:left w:val="nil"/>
              <w:bottom w:val="single" w:sz="4" w:space="0" w:color="BFBFBF"/>
              <w:right w:val="nil"/>
            </w:tcBorders>
            <w:shd w:val="clear" w:color="000000" w:fill="FFFFFF"/>
            <w:noWrap/>
            <w:vAlign w:val="bottom"/>
            <w:hideMark/>
          </w:tcPr>
          <w:p w14:paraId="047C1BA4"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165 </w:t>
            </w:r>
          </w:p>
        </w:tc>
        <w:tc>
          <w:tcPr>
            <w:tcW w:w="225" w:type="dxa"/>
            <w:vAlign w:val="center"/>
            <w:hideMark/>
          </w:tcPr>
          <w:p w14:paraId="283D2890"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9940F0" w:rsidRPr="00785E7A" w14:paraId="31E12690" w14:textId="77777777" w:rsidTr="00D41B2D">
        <w:trPr>
          <w:trHeight w:val="270"/>
        </w:trPr>
        <w:tc>
          <w:tcPr>
            <w:tcW w:w="6096" w:type="dxa"/>
            <w:gridSpan w:val="8"/>
            <w:tcBorders>
              <w:top w:val="single" w:sz="4" w:space="0" w:color="BFBFBF"/>
              <w:left w:val="nil"/>
              <w:bottom w:val="single" w:sz="4" w:space="0" w:color="BFBFBF"/>
              <w:right w:val="nil"/>
            </w:tcBorders>
            <w:shd w:val="clear" w:color="000000" w:fill="FFFFFF"/>
            <w:noWrap/>
            <w:vAlign w:val="bottom"/>
            <w:hideMark/>
          </w:tcPr>
          <w:p w14:paraId="27755EDD" w14:textId="77777777" w:rsidR="00785E7A" w:rsidRPr="00785E7A" w:rsidRDefault="00785E7A" w:rsidP="00785E7A">
            <w:pPr>
              <w:spacing w:after="0" w:line="240" w:lineRule="auto"/>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Net cash flow from operating activities (discontinued operations)</w:t>
            </w:r>
          </w:p>
        </w:tc>
        <w:tc>
          <w:tcPr>
            <w:tcW w:w="1561" w:type="dxa"/>
            <w:gridSpan w:val="3"/>
            <w:tcBorders>
              <w:top w:val="nil"/>
              <w:left w:val="nil"/>
              <w:bottom w:val="single" w:sz="4" w:space="0" w:color="BFBFBF"/>
              <w:right w:val="nil"/>
            </w:tcBorders>
            <w:shd w:val="clear" w:color="auto" w:fill="CCECFF"/>
            <w:noWrap/>
            <w:vAlign w:val="bottom"/>
            <w:hideMark/>
          </w:tcPr>
          <w:p w14:paraId="5CC4FBF5"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 xml:space="preserve">72 </w:t>
            </w:r>
          </w:p>
        </w:tc>
        <w:tc>
          <w:tcPr>
            <w:tcW w:w="1274" w:type="dxa"/>
            <w:gridSpan w:val="2"/>
            <w:tcBorders>
              <w:top w:val="nil"/>
              <w:left w:val="nil"/>
              <w:bottom w:val="single" w:sz="4" w:space="0" w:color="BFBFBF"/>
              <w:right w:val="nil"/>
            </w:tcBorders>
            <w:shd w:val="clear" w:color="000000" w:fill="FFFFFF"/>
            <w:noWrap/>
            <w:vAlign w:val="bottom"/>
            <w:hideMark/>
          </w:tcPr>
          <w:p w14:paraId="0C02BE46"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10 </w:t>
            </w:r>
          </w:p>
        </w:tc>
        <w:tc>
          <w:tcPr>
            <w:tcW w:w="1295" w:type="dxa"/>
            <w:gridSpan w:val="2"/>
            <w:tcBorders>
              <w:top w:val="nil"/>
              <w:left w:val="nil"/>
              <w:bottom w:val="single" w:sz="4" w:space="0" w:color="BFBFBF"/>
              <w:right w:val="nil"/>
            </w:tcBorders>
            <w:shd w:val="clear" w:color="000000" w:fill="FFFFFF"/>
            <w:noWrap/>
            <w:vAlign w:val="bottom"/>
            <w:hideMark/>
          </w:tcPr>
          <w:p w14:paraId="604A35DB"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13 </w:t>
            </w:r>
          </w:p>
        </w:tc>
        <w:tc>
          <w:tcPr>
            <w:tcW w:w="225" w:type="dxa"/>
            <w:vAlign w:val="center"/>
            <w:hideMark/>
          </w:tcPr>
          <w:p w14:paraId="1A00F5C4"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9940F0" w:rsidRPr="00785E7A" w14:paraId="1A2329E9" w14:textId="77777777" w:rsidTr="00D41B2D">
        <w:trPr>
          <w:trHeight w:val="270"/>
        </w:trPr>
        <w:tc>
          <w:tcPr>
            <w:tcW w:w="5552" w:type="dxa"/>
            <w:gridSpan w:val="6"/>
            <w:tcBorders>
              <w:top w:val="nil"/>
              <w:left w:val="nil"/>
              <w:bottom w:val="single" w:sz="4" w:space="0" w:color="BFBFBF"/>
              <w:right w:val="nil"/>
            </w:tcBorders>
            <w:shd w:val="clear" w:color="000000" w:fill="FFFFFF"/>
            <w:noWrap/>
            <w:vAlign w:val="bottom"/>
            <w:hideMark/>
          </w:tcPr>
          <w:p w14:paraId="25912B4B" w14:textId="77777777" w:rsidR="00785E7A" w:rsidRPr="00785E7A" w:rsidRDefault="00785E7A" w:rsidP="00785E7A">
            <w:pPr>
              <w:spacing w:after="0" w:line="240" w:lineRule="auto"/>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Net cash flow from operating activities</w:t>
            </w:r>
          </w:p>
        </w:tc>
        <w:tc>
          <w:tcPr>
            <w:tcW w:w="272" w:type="dxa"/>
            <w:tcBorders>
              <w:top w:val="nil"/>
              <w:left w:val="nil"/>
              <w:bottom w:val="single" w:sz="4" w:space="0" w:color="BFBFBF"/>
              <w:right w:val="nil"/>
            </w:tcBorders>
            <w:shd w:val="clear" w:color="000000" w:fill="FFFFFF"/>
            <w:noWrap/>
            <w:vAlign w:val="bottom"/>
            <w:hideMark/>
          </w:tcPr>
          <w:p w14:paraId="4D36B2F0"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272" w:type="dxa"/>
            <w:tcBorders>
              <w:top w:val="nil"/>
              <w:left w:val="nil"/>
              <w:bottom w:val="single" w:sz="4" w:space="0" w:color="BFBFBF"/>
              <w:right w:val="nil"/>
            </w:tcBorders>
            <w:shd w:val="clear" w:color="000000" w:fill="FFFFFF"/>
            <w:noWrap/>
            <w:vAlign w:val="bottom"/>
            <w:hideMark/>
          </w:tcPr>
          <w:p w14:paraId="467B8118"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1561" w:type="dxa"/>
            <w:gridSpan w:val="3"/>
            <w:tcBorders>
              <w:top w:val="nil"/>
              <w:left w:val="nil"/>
              <w:bottom w:val="single" w:sz="4" w:space="0" w:color="BFBFBF"/>
              <w:right w:val="nil"/>
            </w:tcBorders>
            <w:shd w:val="clear" w:color="auto" w:fill="CCECFF"/>
            <w:noWrap/>
            <w:vAlign w:val="bottom"/>
            <w:hideMark/>
          </w:tcPr>
          <w:p w14:paraId="0B1462BE" w14:textId="77777777" w:rsidR="00785E7A" w:rsidRPr="00785E7A" w:rsidRDefault="00785E7A" w:rsidP="00785E7A">
            <w:pPr>
              <w:spacing w:after="0" w:line="240" w:lineRule="auto"/>
              <w:jc w:val="right"/>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 xml:space="preserve">315 </w:t>
            </w:r>
          </w:p>
        </w:tc>
        <w:tc>
          <w:tcPr>
            <w:tcW w:w="1274" w:type="dxa"/>
            <w:gridSpan w:val="2"/>
            <w:tcBorders>
              <w:top w:val="nil"/>
              <w:left w:val="nil"/>
              <w:bottom w:val="single" w:sz="4" w:space="0" w:color="BFBFBF"/>
              <w:right w:val="nil"/>
            </w:tcBorders>
            <w:shd w:val="clear" w:color="000000" w:fill="FFFFFF"/>
            <w:noWrap/>
            <w:vAlign w:val="bottom"/>
            <w:hideMark/>
          </w:tcPr>
          <w:p w14:paraId="281CD184"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162 </w:t>
            </w:r>
          </w:p>
        </w:tc>
        <w:tc>
          <w:tcPr>
            <w:tcW w:w="1295" w:type="dxa"/>
            <w:gridSpan w:val="2"/>
            <w:tcBorders>
              <w:top w:val="nil"/>
              <w:left w:val="nil"/>
              <w:bottom w:val="single" w:sz="4" w:space="0" w:color="BFBFBF"/>
              <w:right w:val="nil"/>
            </w:tcBorders>
            <w:shd w:val="clear" w:color="000000" w:fill="FFFFFF"/>
            <w:noWrap/>
            <w:vAlign w:val="bottom"/>
            <w:hideMark/>
          </w:tcPr>
          <w:p w14:paraId="749E7B28" w14:textId="77777777" w:rsidR="00785E7A" w:rsidRPr="00785E7A" w:rsidRDefault="00785E7A" w:rsidP="00785E7A">
            <w:pPr>
              <w:spacing w:after="0" w:line="240" w:lineRule="auto"/>
              <w:jc w:val="right"/>
              <w:rPr>
                <w:rFonts w:ascii="Arial" w:eastAsia="Times New Roman" w:hAnsi="Arial" w:cs="Arial"/>
                <w:sz w:val="15"/>
                <w:szCs w:val="15"/>
                <w:lang w:eastAsia="en-GB"/>
              </w:rPr>
            </w:pPr>
            <w:r w:rsidRPr="00785E7A">
              <w:rPr>
                <w:rFonts w:ascii="Arial" w:eastAsia="Times New Roman" w:hAnsi="Arial" w:cs="Arial"/>
                <w:sz w:val="15"/>
                <w:szCs w:val="15"/>
                <w:lang w:eastAsia="en-GB"/>
              </w:rPr>
              <w:t xml:space="preserve">178 </w:t>
            </w:r>
          </w:p>
        </w:tc>
        <w:tc>
          <w:tcPr>
            <w:tcW w:w="225" w:type="dxa"/>
            <w:vAlign w:val="center"/>
            <w:hideMark/>
          </w:tcPr>
          <w:p w14:paraId="7EE7B54C"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9940F0" w:rsidRPr="00785E7A" w14:paraId="4B5ED84B" w14:textId="77777777" w:rsidTr="00D41B2D">
        <w:trPr>
          <w:trHeight w:val="162"/>
        </w:trPr>
        <w:tc>
          <w:tcPr>
            <w:tcW w:w="5280" w:type="dxa"/>
            <w:gridSpan w:val="5"/>
            <w:tcBorders>
              <w:top w:val="nil"/>
              <w:left w:val="nil"/>
              <w:bottom w:val="nil"/>
              <w:right w:val="nil"/>
            </w:tcBorders>
            <w:shd w:val="clear" w:color="000000" w:fill="FFFFFF"/>
            <w:noWrap/>
            <w:vAlign w:val="bottom"/>
            <w:hideMark/>
          </w:tcPr>
          <w:p w14:paraId="520B8884" w14:textId="77777777" w:rsidR="00785E7A" w:rsidRPr="00785E7A" w:rsidRDefault="00785E7A" w:rsidP="00785E7A">
            <w:pPr>
              <w:spacing w:after="0" w:line="240" w:lineRule="auto"/>
              <w:rPr>
                <w:rFonts w:ascii="Arial" w:eastAsia="Times New Roman" w:hAnsi="Arial" w:cs="Arial"/>
                <w:b/>
                <w:bCs/>
                <w:sz w:val="15"/>
                <w:szCs w:val="15"/>
                <w:lang w:eastAsia="en-GB"/>
              </w:rPr>
            </w:pPr>
            <w:r w:rsidRPr="00785E7A">
              <w:rPr>
                <w:rFonts w:ascii="Arial" w:eastAsia="Times New Roman" w:hAnsi="Arial" w:cs="Arial"/>
                <w:b/>
                <w:bCs/>
                <w:sz w:val="15"/>
                <w:szCs w:val="15"/>
                <w:lang w:eastAsia="en-GB"/>
              </w:rPr>
              <w:t> </w:t>
            </w:r>
          </w:p>
        </w:tc>
        <w:tc>
          <w:tcPr>
            <w:tcW w:w="272" w:type="dxa"/>
            <w:tcBorders>
              <w:top w:val="nil"/>
              <w:left w:val="nil"/>
              <w:bottom w:val="nil"/>
              <w:right w:val="nil"/>
            </w:tcBorders>
            <w:shd w:val="clear" w:color="000000" w:fill="FFFFFF"/>
            <w:noWrap/>
            <w:vAlign w:val="bottom"/>
            <w:hideMark/>
          </w:tcPr>
          <w:p w14:paraId="1F8104A0" w14:textId="77777777" w:rsidR="00785E7A" w:rsidRPr="00785E7A" w:rsidRDefault="00785E7A" w:rsidP="00785E7A">
            <w:pPr>
              <w:spacing w:after="0" w:line="240" w:lineRule="auto"/>
              <w:rPr>
                <w:rFonts w:ascii="Arial" w:eastAsia="Times New Roman" w:hAnsi="Arial" w:cs="Arial"/>
                <w:sz w:val="15"/>
                <w:szCs w:val="15"/>
                <w:lang w:eastAsia="en-GB"/>
              </w:rPr>
            </w:pPr>
            <w:r w:rsidRPr="00785E7A">
              <w:rPr>
                <w:rFonts w:ascii="Arial" w:eastAsia="Times New Roman" w:hAnsi="Arial" w:cs="Arial"/>
                <w:sz w:val="15"/>
                <w:szCs w:val="15"/>
                <w:lang w:eastAsia="en-GB"/>
              </w:rPr>
              <w:t> </w:t>
            </w:r>
          </w:p>
        </w:tc>
        <w:tc>
          <w:tcPr>
            <w:tcW w:w="272" w:type="dxa"/>
            <w:tcBorders>
              <w:top w:val="nil"/>
              <w:left w:val="nil"/>
              <w:bottom w:val="nil"/>
              <w:right w:val="nil"/>
            </w:tcBorders>
            <w:shd w:val="clear" w:color="000000" w:fill="FFFFFF"/>
            <w:noWrap/>
            <w:vAlign w:val="bottom"/>
            <w:hideMark/>
          </w:tcPr>
          <w:p w14:paraId="339B2B58"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272" w:type="dxa"/>
            <w:tcBorders>
              <w:top w:val="nil"/>
              <w:left w:val="nil"/>
              <w:bottom w:val="nil"/>
              <w:right w:val="nil"/>
            </w:tcBorders>
            <w:shd w:val="clear" w:color="000000" w:fill="FFFFFF"/>
            <w:noWrap/>
            <w:vAlign w:val="bottom"/>
            <w:hideMark/>
          </w:tcPr>
          <w:p w14:paraId="62DA91CE" w14:textId="77777777" w:rsidR="00785E7A" w:rsidRPr="00785E7A" w:rsidRDefault="00785E7A" w:rsidP="00785E7A">
            <w:pPr>
              <w:spacing w:after="0" w:line="240" w:lineRule="auto"/>
              <w:rPr>
                <w:rFonts w:ascii="Arial" w:eastAsia="Times New Roman" w:hAnsi="Arial" w:cs="Arial"/>
                <w:sz w:val="20"/>
                <w:szCs w:val="20"/>
                <w:lang w:eastAsia="en-GB"/>
              </w:rPr>
            </w:pPr>
            <w:r w:rsidRPr="00785E7A">
              <w:rPr>
                <w:rFonts w:ascii="Arial" w:eastAsia="Times New Roman" w:hAnsi="Arial" w:cs="Arial"/>
                <w:sz w:val="20"/>
                <w:szCs w:val="20"/>
                <w:lang w:eastAsia="en-GB"/>
              </w:rPr>
              <w:t> </w:t>
            </w:r>
          </w:p>
        </w:tc>
        <w:tc>
          <w:tcPr>
            <w:tcW w:w="1561" w:type="dxa"/>
            <w:gridSpan w:val="3"/>
            <w:tcBorders>
              <w:top w:val="nil"/>
              <w:left w:val="nil"/>
              <w:bottom w:val="nil"/>
              <w:right w:val="nil"/>
            </w:tcBorders>
            <w:shd w:val="clear" w:color="000000" w:fill="FFFFFF"/>
            <w:noWrap/>
            <w:vAlign w:val="bottom"/>
            <w:hideMark/>
          </w:tcPr>
          <w:p w14:paraId="76186692" w14:textId="77777777" w:rsidR="00785E7A" w:rsidRPr="00785E7A" w:rsidRDefault="00785E7A" w:rsidP="00785E7A">
            <w:pPr>
              <w:spacing w:after="0" w:line="240" w:lineRule="auto"/>
              <w:rPr>
                <w:rFonts w:ascii="Arial" w:eastAsia="Times New Roman" w:hAnsi="Arial" w:cs="Arial"/>
                <w:b/>
                <w:bCs/>
                <w:color w:val="CCECFF"/>
                <w:sz w:val="15"/>
                <w:szCs w:val="15"/>
                <w:lang w:eastAsia="en-GB"/>
              </w:rPr>
            </w:pPr>
            <w:r w:rsidRPr="00785E7A">
              <w:rPr>
                <w:rFonts w:ascii="Arial" w:eastAsia="Times New Roman" w:hAnsi="Arial" w:cs="Arial"/>
                <w:b/>
                <w:bCs/>
                <w:color w:val="CCECFF"/>
                <w:sz w:val="15"/>
                <w:szCs w:val="15"/>
                <w:lang w:eastAsia="en-GB"/>
              </w:rPr>
              <w:t> </w:t>
            </w:r>
          </w:p>
        </w:tc>
        <w:tc>
          <w:tcPr>
            <w:tcW w:w="1274" w:type="dxa"/>
            <w:gridSpan w:val="2"/>
            <w:tcBorders>
              <w:top w:val="nil"/>
              <w:left w:val="nil"/>
              <w:bottom w:val="nil"/>
              <w:right w:val="nil"/>
            </w:tcBorders>
            <w:shd w:val="clear" w:color="000000" w:fill="FFFFFF"/>
            <w:noWrap/>
            <w:vAlign w:val="bottom"/>
            <w:hideMark/>
          </w:tcPr>
          <w:p w14:paraId="2123EDF8" w14:textId="77777777" w:rsidR="00785E7A" w:rsidRPr="00785E7A" w:rsidRDefault="00785E7A" w:rsidP="00785E7A">
            <w:pPr>
              <w:spacing w:after="0" w:line="240" w:lineRule="auto"/>
              <w:rPr>
                <w:rFonts w:ascii="Arial" w:eastAsia="Times New Roman" w:hAnsi="Arial" w:cs="Arial"/>
                <w:sz w:val="15"/>
                <w:szCs w:val="15"/>
                <w:lang w:eastAsia="en-GB"/>
              </w:rPr>
            </w:pPr>
            <w:r w:rsidRPr="00785E7A">
              <w:rPr>
                <w:rFonts w:ascii="Arial" w:eastAsia="Times New Roman" w:hAnsi="Arial" w:cs="Arial"/>
                <w:sz w:val="15"/>
                <w:szCs w:val="15"/>
                <w:lang w:eastAsia="en-GB"/>
              </w:rPr>
              <w:t> </w:t>
            </w:r>
          </w:p>
        </w:tc>
        <w:tc>
          <w:tcPr>
            <w:tcW w:w="1295" w:type="dxa"/>
            <w:gridSpan w:val="2"/>
            <w:tcBorders>
              <w:top w:val="nil"/>
              <w:left w:val="nil"/>
              <w:bottom w:val="nil"/>
              <w:right w:val="nil"/>
            </w:tcBorders>
            <w:shd w:val="clear" w:color="000000" w:fill="FFFFFF"/>
            <w:noWrap/>
            <w:vAlign w:val="bottom"/>
            <w:hideMark/>
          </w:tcPr>
          <w:p w14:paraId="7A6D118A" w14:textId="77777777" w:rsidR="00785E7A" w:rsidRPr="00785E7A" w:rsidRDefault="00785E7A" w:rsidP="00785E7A">
            <w:pPr>
              <w:spacing w:after="0" w:line="240" w:lineRule="auto"/>
              <w:rPr>
                <w:rFonts w:ascii="Arial" w:eastAsia="Times New Roman" w:hAnsi="Arial" w:cs="Arial"/>
                <w:sz w:val="15"/>
                <w:szCs w:val="15"/>
                <w:lang w:eastAsia="en-GB"/>
              </w:rPr>
            </w:pPr>
            <w:r w:rsidRPr="00785E7A">
              <w:rPr>
                <w:rFonts w:ascii="Arial" w:eastAsia="Times New Roman" w:hAnsi="Arial" w:cs="Arial"/>
                <w:sz w:val="15"/>
                <w:szCs w:val="15"/>
                <w:lang w:eastAsia="en-GB"/>
              </w:rPr>
              <w:t> </w:t>
            </w:r>
          </w:p>
        </w:tc>
        <w:tc>
          <w:tcPr>
            <w:tcW w:w="225" w:type="dxa"/>
            <w:vAlign w:val="center"/>
            <w:hideMark/>
          </w:tcPr>
          <w:p w14:paraId="4546E227"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r w:rsidR="00785E7A" w:rsidRPr="00785E7A" w14:paraId="38F228E5" w14:textId="77777777" w:rsidTr="00D41B2D">
        <w:trPr>
          <w:trHeight w:val="638"/>
        </w:trPr>
        <w:tc>
          <w:tcPr>
            <w:tcW w:w="10226" w:type="dxa"/>
            <w:gridSpan w:val="15"/>
            <w:tcBorders>
              <w:top w:val="nil"/>
              <w:left w:val="nil"/>
              <w:bottom w:val="nil"/>
              <w:right w:val="nil"/>
            </w:tcBorders>
            <w:shd w:val="clear" w:color="000000" w:fill="FFFFFF"/>
            <w:vAlign w:val="center"/>
            <w:hideMark/>
          </w:tcPr>
          <w:p w14:paraId="109CA531" w14:textId="45087DCB" w:rsidR="00785E7A" w:rsidRPr="00785E7A" w:rsidRDefault="00785E7A" w:rsidP="00785E7A">
            <w:pPr>
              <w:spacing w:after="0" w:line="240" w:lineRule="auto"/>
              <w:rPr>
                <w:rFonts w:ascii="Arial" w:eastAsia="Times New Roman" w:hAnsi="Arial" w:cs="Arial"/>
                <w:sz w:val="15"/>
                <w:szCs w:val="15"/>
                <w:lang w:eastAsia="en-GB"/>
              </w:rPr>
            </w:pPr>
            <w:r w:rsidRPr="00785E7A">
              <w:rPr>
                <w:rFonts w:ascii="Arial" w:eastAsia="Times New Roman" w:hAnsi="Arial" w:cs="Arial"/>
                <w:sz w:val="15"/>
                <w:szCs w:val="15"/>
                <w:lang w:eastAsia="en-GB"/>
              </w:rPr>
              <w:t>Net cash flow from operating activities (discontinued operations) includes £68m of cash received following the judgment handed down on 4 April 2022 by the Court of Appeal on the IBM case (this was disclosed as a post balance sheet event (Note 34) in our 2021 Annual Report and Accounts) and a further £3m of monies also rece</w:t>
            </w:r>
            <w:r w:rsidR="006B072D">
              <w:rPr>
                <w:rFonts w:ascii="Arial" w:eastAsia="Times New Roman" w:hAnsi="Arial" w:cs="Arial"/>
                <w:sz w:val="15"/>
                <w:szCs w:val="15"/>
                <w:lang w:eastAsia="en-GB"/>
              </w:rPr>
              <w:t>i</w:t>
            </w:r>
            <w:r w:rsidRPr="00785E7A">
              <w:rPr>
                <w:rFonts w:ascii="Arial" w:eastAsia="Times New Roman" w:hAnsi="Arial" w:cs="Arial"/>
                <w:sz w:val="15"/>
                <w:szCs w:val="15"/>
                <w:lang w:eastAsia="en-GB"/>
              </w:rPr>
              <w:t xml:space="preserve">ved in 2022 relating to the original judgment in 2021. </w:t>
            </w:r>
          </w:p>
        </w:tc>
        <w:tc>
          <w:tcPr>
            <w:tcW w:w="225" w:type="dxa"/>
            <w:vAlign w:val="center"/>
            <w:hideMark/>
          </w:tcPr>
          <w:p w14:paraId="647A0A83" w14:textId="77777777" w:rsidR="00785E7A" w:rsidRPr="00785E7A" w:rsidRDefault="00785E7A" w:rsidP="00785E7A">
            <w:pPr>
              <w:spacing w:after="0" w:line="240" w:lineRule="auto"/>
              <w:rPr>
                <w:rFonts w:ascii="Times New Roman" w:eastAsia="Times New Roman" w:hAnsi="Times New Roman" w:cs="Times New Roman"/>
                <w:sz w:val="20"/>
                <w:szCs w:val="20"/>
                <w:lang w:eastAsia="en-GB"/>
              </w:rPr>
            </w:pPr>
          </w:p>
        </w:tc>
      </w:tr>
    </w:tbl>
    <w:p w14:paraId="08AD4C39" w14:textId="34C281D3" w:rsidR="0019509C" w:rsidRDefault="0019509C" w:rsidP="00BB64F8">
      <w:pPr>
        <w:rPr>
          <w:b/>
          <w:bCs/>
        </w:rPr>
      </w:pPr>
    </w:p>
    <w:p w14:paraId="24FB4BFA" w14:textId="5BBE5168" w:rsidR="009940F0" w:rsidRDefault="009940F0" w:rsidP="00BB64F8">
      <w:pPr>
        <w:rPr>
          <w:b/>
          <w:bCs/>
        </w:rPr>
      </w:pPr>
    </w:p>
    <w:tbl>
      <w:tblPr>
        <w:tblW w:w="9940" w:type="dxa"/>
        <w:tblLook w:val="04A0" w:firstRow="1" w:lastRow="0" w:firstColumn="1" w:lastColumn="0" w:noHBand="0" w:noVBand="1"/>
      </w:tblPr>
      <w:tblGrid>
        <w:gridCol w:w="1238"/>
        <w:gridCol w:w="1238"/>
        <w:gridCol w:w="1238"/>
        <w:gridCol w:w="1238"/>
        <w:gridCol w:w="1238"/>
        <w:gridCol w:w="1238"/>
        <w:gridCol w:w="1238"/>
        <w:gridCol w:w="1238"/>
        <w:gridCol w:w="222"/>
      </w:tblGrid>
      <w:tr w:rsidR="00DE65DF" w:rsidRPr="00DE65DF" w14:paraId="04CE282D" w14:textId="77777777" w:rsidTr="00DE65DF">
        <w:trPr>
          <w:gridAfter w:val="1"/>
          <w:wAfter w:w="36" w:type="dxa"/>
          <w:trHeight w:val="255"/>
        </w:trPr>
        <w:tc>
          <w:tcPr>
            <w:tcW w:w="9904" w:type="dxa"/>
            <w:gridSpan w:val="8"/>
            <w:tcBorders>
              <w:top w:val="nil"/>
              <w:left w:val="nil"/>
              <w:bottom w:val="nil"/>
              <w:right w:val="nil"/>
            </w:tcBorders>
            <w:shd w:val="clear" w:color="auto" w:fill="auto"/>
            <w:noWrap/>
            <w:vAlign w:val="bottom"/>
            <w:hideMark/>
          </w:tcPr>
          <w:p w14:paraId="7E3CFD4B" w14:textId="77777777" w:rsidR="00DE65DF" w:rsidRPr="00DE65DF" w:rsidRDefault="00DE65DF" w:rsidP="00DE65DF">
            <w:pPr>
              <w:spacing w:after="0" w:line="240" w:lineRule="auto"/>
              <w:rPr>
                <w:rFonts w:ascii="Arial" w:eastAsia="Times New Roman" w:hAnsi="Arial" w:cs="Arial"/>
                <w:b/>
                <w:bCs/>
                <w:sz w:val="18"/>
                <w:szCs w:val="18"/>
                <w:lang w:eastAsia="en-GB"/>
              </w:rPr>
            </w:pPr>
            <w:r w:rsidRPr="00DE65DF">
              <w:rPr>
                <w:rFonts w:ascii="Arial" w:eastAsia="Times New Roman" w:hAnsi="Arial" w:cs="Arial"/>
                <w:b/>
                <w:bCs/>
                <w:sz w:val="18"/>
                <w:szCs w:val="18"/>
                <w:lang w:eastAsia="en-GB"/>
              </w:rPr>
              <w:lastRenderedPageBreak/>
              <w:t>11    Commitments and contingent liabilities</w:t>
            </w:r>
          </w:p>
        </w:tc>
      </w:tr>
      <w:tr w:rsidR="00DE65DF" w:rsidRPr="00DE65DF" w14:paraId="5701C7C2" w14:textId="77777777" w:rsidTr="00DE65DF">
        <w:trPr>
          <w:gridAfter w:val="1"/>
          <w:wAfter w:w="36" w:type="dxa"/>
          <w:trHeight w:val="255"/>
        </w:trPr>
        <w:tc>
          <w:tcPr>
            <w:tcW w:w="1238" w:type="dxa"/>
            <w:tcBorders>
              <w:top w:val="nil"/>
              <w:left w:val="nil"/>
              <w:bottom w:val="nil"/>
              <w:right w:val="nil"/>
            </w:tcBorders>
            <w:shd w:val="clear" w:color="auto" w:fill="auto"/>
            <w:noWrap/>
            <w:vAlign w:val="bottom"/>
            <w:hideMark/>
          </w:tcPr>
          <w:p w14:paraId="73E7F89F" w14:textId="77777777" w:rsidR="00DE65DF" w:rsidRPr="00DE65DF" w:rsidRDefault="00DE65DF" w:rsidP="00DE65DF">
            <w:pPr>
              <w:spacing w:after="0" w:line="240" w:lineRule="auto"/>
              <w:rPr>
                <w:rFonts w:ascii="Arial" w:eastAsia="Times New Roman" w:hAnsi="Arial" w:cs="Arial"/>
                <w:b/>
                <w:bCs/>
                <w:sz w:val="18"/>
                <w:szCs w:val="18"/>
                <w:lang w:eastAsia="en-GB"/>
              </w:rPr>
            </w:pPr>
          </w:p>
        </w:tc>
        <w:tc>
          <w:tcPr>
            <w:tcW w:w="1238" w:type="dxa"/>
            <w:tcBorders>
              <w:top w:val="nil"/>
              <w:left w:val="nil"/>
              <w:bottom w:val="nil"/>
              <w:right w:val="nil"/>
            </w:tcBorders>
            <w:shd w:val="clear" w:color="auto" w:fill="auto"/>
            <w:noWrap/>
            <w:vAlign w:val="bottom"/>
            <w:hideMark/>
          </w:tcPr>
          <w:p w14:paraId="2539E765"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c>
          <w:tcPr>
            <w:tcW w:w="1238" w:type="dxa"/>
            <w:tcBorders>
              <w:top w:val="nil"/>
              <w:left w:val="nil"/>
              <w:bottom w:val="nil"/>
              <w:right w:val="nil"/>
            </w:tcBorders>
            <w:shd w:val="clear" w:color="auto" w:fill="auto"/>
            <w:noWrap/>
            <w:vAlign w:val="bottom"/>
            <w:hideMark/>
          </w:tcPr>
          <w:p w14:paraId="396EDC71"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c>
          <w:tcPr>
            <w:tcW w:w="1238" w:type="dxa"/>
            <w:tcBorders>
              <w:top w:val="nil"/>
              <w:left w:val="nil"/>
              <w:bottom w:val="nil"/>
              <w:right w:val="nil"/>
            </w:tcBorders>
            <w:shd w:val="clear" w:color="auto" w:fill="auto"/>
            <w:noWrap/>
            <w:vAlign w:val="bottom"/>
            <w:hideMark/>
          </w:tcPr>
          <w:p w14:paraId="6D0BB137"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c>
          <w:tcPr>
            <w:tcW w:w="1238" w:type="dxa"/>
            <w:tcBorders>
              <w:top w:val="nil"/>
              <w:left w:val="nil"/>
              <w:bottom w:val="nil"/>
              <w:right w:val="nil"/>
            </w:tcBorders>
            <w:shd w:val="clear" w:color="auto" w:fill="auto"/>
            <w:noWrap/>
            <w:vAlign w:val="bottom"/>
            <w:hideMark/>
          </w:tcPr>
          <w:p w14:paraId="749A86D6"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c>
          <w:tcPr>
            <w:tcW w:w="1238" w:type="dxa"/>
            <w:tcBorders>
              <w:top w:val="nil"/>
              <w:left w:val="nil"/>
              <w:bottom w:val="nil"/>
              <w:right w:val="nil"/>
            </w:tcBorders>
            <w:shd w:val="clear" w:color="auto" w:fill="auto"/>
            <w:noWrap/>
            <w:vAlign w:val="bottom"/>
            <w:hideMark/>
          </w:tcPr>
          <w:p w14:paraId="6733A352"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c>
          <w:tcPr>
            <w:tcW w:w="1238" w:type="dxa"/>
            <w:tcBorders>
              <w:top w:val="nil"/>
              <w:left w:val="nil"/>
              <w:bottom w:val="nil"/>
              <w:right w:val="nil"/>
            </w:tcBorders>
            <w:shd w:val="clear" w:color="auto" w:fill="auto"/>
            <w:noWrap/>
            <w:vAlign w:val="bottom"/>
            <w:hideMark/>
          </w:tcPr>
          <w:p w14:paraId="430D6A10"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c>
          <w:tcPr>
            <w:tcW w:w="1238" w:type="dxa"/>
            <w:tcBorders>
              <w:top w:val="nil"/>
              <w:left w:val="nil"/>
              <w:bottom w:val="nil"/>
              <w:right w:val="nil"/>
            </w:tcBorders>
            <w:shd w:val="clear" w:color="auto" w:fill="auto"/>
            <w:noWrap/>
            <w:vAlign w:val="bottom"/>
            <w:hideMark/>
          </w:tcPr>
          <w:p w14:paraId="74AAC984"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r>
      <w:tr w:rsidR="00DE65DF" w:rsidRPr="00DE65DF" w14:paraId="4FC24106" w14:textId="77777777" w:rsidTr="00DE65DF">
        <w:trPr>
          <w:gridAfter w:val="1"/>
          <w:wAfter w:w="36" w:type="dxa"/>
          <w:trHeight w:val="450"/>
        </w:trPr>
        <w:tc>
          <w:tcPr>
            <w:tcW w:w="9904" w:type="dxa"/>
            <w:gridSpan w:val="8"/>
            <w:vMerge w:val="restart"/>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7A595296" w14:textId="77777777" w:rsidR="00DE65DF" w:rsidRPr="00DE65DF" w:rsidRDefault="00DE65DF" w:rsidP="00DE65DF">
            <w:pPr>
              <w:spacing w:after="0" w:line="240" w:lineRule="auto"/>
              <w:rPr>
                <w:rFonts w:ascii="Arial" w:eastAsia="Times New Roman" w:hAnsi="Arial" w:cs="Arial"/>
                <w:sz w:val="18"/>
                <w:szCs w:val="18"/>
                <w:lang w:eastAsia="en-GB"/>
              </w:rPr>
            </w:pPr>
            <w:r w:rsidRPr="00DE65DF">
              <w:rPr>
                <w:rFonts w:ascii="Arial" w:eastAsia="Times New Roman" w:hAnsi="Arial" w:cs="Arial"/>
                <w:b/>
                <w:bCs/>
                <w:sz w:val="18"/>
                <w:szCs w:val="18"/>
                <w:lang w:eastAsia="en-GB"/>
              </w:rPr>
              <w:t>What does this show?</w:t>
            </w:r>
            <w:r w:rsidRPr="00DE65DF">
              <w:rPr>
                <w:rFonts w:ascii="Arial" w:eastAsia="Times New Roman" w:hAnsi="Arial" w:cs="Arial"/>
                <w:sz w:val="18"/>
                <w:szCs w:val="18"/>
                <w:lang w:eastAsia="en-GB"/>
              </w:rPr>
              <w:t xml:space="preserve"> This note shows the value of capital expenditure that we're committed to spending at the balance sheet date and provides an update on the contingent liabilities included in our 2021 annual report.</w:t>
            </w:r>
          </w:p>
        </w:tc>
      </w:tr>
      <w:tr w:rsidR="00DE65DF" w:rsidRPr="00DE65DF" w14:paraId="5C4B1CEC" w14:textId="77777777" w:rsidTr="00DE65DF">
        <w:trPr>
          <w:trHeight w:val="165"/>
        </w:trPr>
        <w:tc>
          <w:tcPr>
            <w:tcW w:w="9904" w:type="dxa"/>
            <w:gridSpan w:val="8"/>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6A4558D2" w14:textId="77777777" w:rsidR="00DE65DF" w:rsidRPr="00DE65DF" w:rsidRDefault="00DE65DF" w:rsidP="00DE65DF">
            <w:pPr>
              <w:spacing w:after="0" w:line="240" w:lineRule="auto"/>
              <w:rPr>
                <w:rFonts w:ascii="Arial" w:eastAsia="Times New Roman" w:hAnsi="Arial" w:cs="Arial"/>
                <w:sz w:val="18"/>
                <w:szCs w:val="18"/>
                <w:lang w:eastAsia="en-GB"/>
              </w:rPr>
            </w:pPr>
          </w:p>
        </w:tc>
        <w:tc>
          <w:tcPr>
            <w:tcW w:w="36" w:type="dxa"/>
            <w:tcBorders>
              <w:top w:val="nil"/>
              <w:left w:val="nil"/>
              <w:bottom w:val="nil"/>
              <w:right w:val="nil"/>
            </w:tcBorders>
            <w:shd w:val="clear" w:color="auto" w:fill="auto"/>
            <w:noWrap/>
            <w:vAlign w:val="bottom"/>
            <w:hideMark/>
          </w:tcPr>
          <w:p w14:paraId="016D61BC" w14:textId="77777777" w:rsidR="00DE65DF" w:rsidRPr="00DE65DF" w:rsidRDefault="00DE65DF" w:rsidP="00DE65DF">
            <w:pPr>
              <w:spacing w:after="0" w:line="240" w:lineRule="auto"/>
              <w:rPr>
                <w:rFonts w:ascii="Arial" w:eastAsia="Times New Roman" w:hAnsi="Arial" w:cs="Arial"/>
                <w:sz w:val="18"/>
                <w:szCs w:val="18"/>
                <w:lang w:eastAsia="en-GB"/>
              </w:rPr>
            </w:pPr>
          </w:p>
        </w:tc>
      </w:tr>
      <w:tr w:rsidR="00DE65DF" w:rsidRPr="00DE65DF" w14:paraId="59A1E816" w14:textId="77777777" w:rsidTr="00DE65DF">
        <w:trPr>
          <w:trHeight w:val="165"/>
        </w:trPr>
        <w:tc>
          <w:tcPr>
            <w:tcW w:w="9904" w:type="dxa"/>
            <w:gridSpan w:val="8"/>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48A16958" w14:textId="77777777" w:rsidR="00DE65DF" w:rsidRPr="00DE65DF" w:rsidRDefault="00DE65DF" w:rsidP="00DE65DF">
            <w:pPr>
              <w:spacing w:after="0" w:line="240" w:lineRule="auto"/>
              <w:rPr>
                <w:rFonts w:ascii="Arial" w:eastAsia="Times New Roman" w:hAnsi="Arial" w:cs="Arial"/>
                <w:sz w:val="18"/>
                <w:szCs w:val="18"/>
                <w:lang w:eastAsia="en-GB"/>
              </w:rPr>
            </w:pPr>
          </w:p>
        </w:tc>
        <w:tc>
          <w:tcPr>
            <w:tcW w:w="36" w:type="dxa"/>
            <w:tcBorders>
              <w:top w:val="nil"/>
              <w:left w:val="nil"/>
              <w:bottom w:val="nil"/>
              <w:right w:val="nil"/>
            </w:tcBorders>
            <w:shd w:val="clear" w:color="auto" w:fill="auto"/>
            <w:noWrap/>
            <w:vAlign w:val="bottom"/>
            <w:hideMark/>
          </w:tcPr>
          <w:p w14:paraId="73533194"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r>
      <w:tr w:rsidR="00DE65DF" w:rsidRPr="00DE65DF" w14:paraId="39DCD17C" w14:textId="77777777" w:rsidTr="00DE65DF">
        <w:trPr>
          <w:trHeight w:val="199"/>
        </w:trPr>
        <w:tc>
          <w:tcPr>
            <w:tcW w:w="1238" w:type="dxa"/>
            <w:tcBorders>
              <w:top w:val="nil"/>
              <w:left w:val="nil"/>
              <w:bottom w:val="nil"/>
              <w:right w:val="nil"/>
            </w:tcBorders>
            <w:shd w:val="clear" w:color="auto" w:fill="auto"/>
            <w:noWrap/>
            <w:vAlign w:val="bottom"/>
            <w:hideMark/>
          </w:tcPr>
          <w:p w14:paraId="33516E6F"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c>
          <w:tcPr>
            <w:tcW w:w="1238" w:type="dxa"/>
            <w:tcBorders>
              <w:top w:val="nil"/>
              <w:left w:val="nil"/>
              <w:bottom w:val="nil"/>
              <w:right w:val="nil"/>
            </w:tcBorders>
            <w:shd w:val="clear" w:color="auto" w:fill="auto"/>
            <w:noWrap/>
            <w:vAlign w:val="bottom"/>
            <w:hideMark/>
          </w:tcPr>
          <w:p w14:paraId="56065504"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c>
          <w:tcPr>
            <w:tcW w:w="1238" w:type="dxa"/>
            <w:tcBorders>
              <w:top w:val="nil"/>
              <w:left w:val="nil"/>
              <w:bottom w:val="nil"/>
              <w:right w:val="nil"/>
            </w:tcBorders>
            <w:shd w:val="clear" w:color="auto" w:fill="auto"/>
            <w:noWrap/>
            <w:vAlign w:val="bottom"/>
            <w:hideMark/>
          </w:tcPr>
          <w:p w14:paraId="4BF8593D"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c>
          <w:tcPr>
            <w:tcW w:w="1238" w:type="dxa"/>
            <w:tcBorders>
              <w:top w:val="nil"/>
              <w:left w:val="nil"/>
              <w:bottom w:val="nil"/>
              <w:right w:val="nil"/>
            </w:tcBorders>
            <w:shd w:val="clear" w:color="auto" w:fill="auto"/>
            <w:noWrap/>
            <w:vAlign w:val="bottom"/>
            <w:hideMark/>
          </w:tcPr>
          <w:p w14:paraId="11844A63"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c>
          <w:tcPr>
            <w:tcW w:w="1238" w:type="dxa"/>
            <w:tcBorders>
              <w:top w:val="nil"/>
              <w:left w:val="nil"/>
              <w:bottom w:val="nil"/>
              <w:right w:val="nil"/>
            </w:tcBorders>
            <w:shd w:val="clear" w:color="auto" w:fill="auto"/>
            <w:noWrap/>
            <w:vAlign w:val="bottom"/>
            <w:hideMark/>
          </w:tcPr>
          <w:p w14:paraId="1B26678C"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c>
          <w:tcPr>
            <w:tcW w:w="1238" w:type="dxa"/>
            <w:tcBorders>
              <w:top w:val="nil"/>
              <w:left w:val="nil"/>
              <w:bottom w:val="nil"/>
              <w:right w:val="nil"/>
            </w:tcBorders>
            <w:shd w:val="clear" w:color="auto" w:fill="auto"/>
            <w:noWrap/>
            <w:vAlign w:val="bottom"/>
            <w:hideMark/>
          </w:tcPr>
          <w:p w14:paraId="2B5F2673"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c>
          <w:tcPr>
            <w:tcW w:w="1238" w:type="dxa"/>
            <w:tcBorders>
              <w:top w:val="nil"/>
              <w:left w:val="nil"/>
              <w:bottom w:val="nil"/>
              <w:right w:val="nil"/>
            </w:tcBorders>
            <w:shd w:val="clear" w:color="auto" w:fill="auto"/>
            <w:noWrap/>
            <w:vAlign w:val="bottom"/>
            <w:hideMark/>
          </w:tcPr>
          <w:p w14:paraId="7C52D347"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c>
          <w:tcPr>
            <w:tcW w:w="1238" w:type="dxa"/>
            <w:tcBorders>
              <w:top w:val="nil"/>
              <w:left w:val="nil"/>
              <w:bottom w:val="nil"/>
              <w:right w:val="nil"/>
            </w:tcBorders>
            <w:shd w:val="clear" w:color="auto" w:fill="auto"/>
            <w:noWrap/>
            <w:vAlign w:val="bottom"/>
            <w:hideMark/>
          </w:tcPr>
          <w:p w14:paraId="10805244"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c>
          <w:tcPr>
            <w:tcW w:w="36" w:type="dxa"/>
            <w:vAlign w:val="center"/>
            <w:hideMark/>
          </w:tcPr>
          <w:p w14:paraId="25E0BDC4"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r>
      <w:tr w:rsidR="00DE65DF" w:rsidRPr="00DE65DF" w14:paraId="02460102" w14:textId="77777777" w:rsidTr="00DE65DF">
        <w:trPr>
          <w:trHeight w:val="578"/>
        </w:trPr>
        <w:tc>
          <w:tcPr>
            <w:tcW w:w="9904" w:type="dxa"/>
            <w:gridSpan w:val="8"/>
            <w:tcBorders>
              <w:top w:val="nil"/>
              <w:left w:val="nil"/>
              <w:bottom w:val="nil"/>
              <w:right w:val="nil"/>
            </w:tcBorders>
            <w:shd w:val="clear" w:color="auto" w:fill="auto"/>
            <w:vAlign w:val="center"/>
            <w:hideMark/>
          </w:tcPr>
          <w:p w14:paraId="675D4E3F" w14:textId="77777777" w:rsidR="00DE65DF" w:rsidRPr="00DE65DF" w:rsidRDefault="00DE65DF" w:rsidP="00DE65DF">
            <w:pPr>
              <w:spacing w:after="0" w:line="240" w:lineRule="auto"/>
              <w:rPr>
                <w:rFonts w:ascii="Arial" w:eastAsia="Times New Roman" w:hAnsi="Arial" w:cs="Arial"/>
                <w:sz w:val="15"/>
                <w:szCs w:val="15"/>
                <w:lang w:eastAsia="en-GB"/>
              </w:rPr>
            </w:pPr>
            <w:r w:rsidRPr="00DE65DF">
              <w:rPr>
                <w:rFonts w:ascii="Arial" w:eastAsia="Times New Roman" w:hAnsi="Arial" w:cs="Arial"/>
                <w:b/>
                <w:bCs/>
                <w:sz w:val="15"/>
                <w:szCs w:val="15"/>
                <w:lang w:eastAsia="en-GB"/>
              </w:rPr>
              <w:t>Capital commitments -</w:t>
            </w:r>
            <w:r w:rsidRPr="00DE65DF">
              <w:rPr>
                <w:rFonts w:ascii="Arial" w:eastAsia="Times New Roman" w:hAnsi="Arial" w:cs="Arial"/>
                <w:sz w:val="15"/>
                <w:szCs w:val="15"/>
                <w:lang w:eastAsia="en-GB"/>
              </w:rPr>
              <w:t xml:space="preserve"> Capital expenditure which the Group is committed to </w:t>
            </w:r>
            <w:proofErr w:type="gramStart"/>
            <w:r w:rsidRPr="00DE65DF">
              <w:rPr>
                <w:rFonts w:ascii="Arial" w:eastAsia="Times New Roman" w:hAnsi="Arial" w:cs="Arial"/>
                <w:sz w:val="15"/>
                <w:szCs w:val="15"/>
                <w:lang w:eastAsia="en-GB"/>
              </w:rPr>
              <w:t>at</w:t>
            </w:r>
            <w:proofErr w:type="gramEnd"/>
            <w:r w:rsidRPr="00DE65DF">
              <w:rPr>
                <w:rFonts w:ascii="Arial" w:eastAsia="Times New Roman" w:hAnsi="Arial" w:cs="Arial"/>
                <w:sz w:val="15"/>
                <w:szCs w:val="15"/>
                <w:lang w:eastAsia="en-GB"/>
              </w:rPr>
              <w:t xml:space="preserve"> 2 July 2022 (but which has not been accrued for at that date as it has not yet been incurred) was £8m (3 July 2021: £14m). </w:t>
            </w:r>
          </w:p>
        </w:tc>
        <w:tc>
          <w:tcPr>
            <w:tcW w:w="36" w:type="dxa"/>
            <w:vAlign w:val="center"/>
            <w:hideMark/>
          </w:tcPr>
          <w:p w14:paraId="018FBCAE"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r>
      <w:tr w:rsidR="00DE65DF" w:rsidRPr="00DE65DF" w14:paraId="3E944E5E" w14:textId="77777777" w:rsidTr="00DE65DF">
        <w:trPr>
          <w:trHeight w:val="1320"/>
        </w:trPr>
        <w:tc>
          <w:tcPr>
            <w:tcW w:w="9904" w:type="dxa"/>
            <w:gridSpan w:val="8"/>
            <w:tcBorders>
              <w:top w:val="nil"/>
              <w:left w:val="nil"/>
              <w:bottom w:val="nil"/>
              <w:right w:val="nil"/>
            </w:tcBorders>
            <w:shd w:val="clear" w:color="auto" w:fill="auto"/>
            <w:vAlign w:val="center"/>
            <w:hideMark/>
          </w:tcPr>
          <w:p w14:paraId="52A15A21" w14:textId="77777777" w:rsidR="00DE65DF" w:rsidRPr="00DE65DF" w:rsidRDefault="00DE65DF" w:rsidP="00DE65DF">
            <w:pPr>
              <w:spacing w:after="0" w:line="240" w:lineRule="auto"/>
              <w:rPr>
                <w:rFonts w:ascii="Arial" w:eastAsia="Times New Roman" w:hAnsi="Arial" w:cs="Arial"/>
                <w:sz w:val="15"/>
                <w:szCs w:val="15"/>
                <w:lang w:eastAsia="en-GB"/>
              </w:rPr>
            </w:pPr>
            <w:r w:rsidRPr="00DE65DF">
              <w:rPr>
                <w:rFonts w:ascii="Arial" w:eastAsia="Times New Roman" w:hAnsi="Arial" w:cs="Arial"/>
                <w:b/>
                <w:bCs/>
                <w:sz w:val="15"/>
                <w:szCs w:val="15"/>
                <w:lang w:eastAsia="en-GB"/>
              </w:rPr>
              <w:t>Contingent liabilities -</w:t>
            </w:r>
            <w:r w:rsidRPr="00DE65DF">
              <w:rPr>
                <w:rFonts w:ascii="Arial" w:eastAsia="Times New Roman" w:hAnsi="Arial" w:cs="Arial"/>
                <w:sz w:val="15"/>
                <w:szCs w:val="15"/>
                <w:lang w:eastAsia="en-GB"/>
              </w:rPr>
              <w:t xml:space="preserve"> In common with other retailers, the Group has received Employment Tribunal claims from current and former food store colleagues alleging their work is of equal value to that of distribution centre colleagues and differences in pay and other terms are not objectively justifiable. The claimants are seeking the differential in pay (and other terms) together with equalisation going forward. There are circa 1,600 claims. The claims are at an early stage; the number of claims, merit, </w:t>
            </w:r>
            <w:proofErr w:type="gramStart"/>
            <w:r w:rsidRPr="00DE65DF">
              <w:rPr>
                <w:rFonts w:ascii="Arial" w:eastAsia="Times New Roman" w:hAnsi="Arial" w:cs="Arial"/>
                <w:sz w:val="15"/>
                <w:szCs w:val="15"/>
                <w:lang w:eastAsia="en-GB"/>
              </w:rPr>
              <w:t>outcome</w:t>
            </w:r>
            <w:proofErr w:type="gramEnd"/>
            <w:r w:rsidRPr="00DE65DF">
              <w:rPr>
                <w:rFonts w:ascii="Arial" w:eastAsia="Times New Roman" w:hAnsi="Arial" w:cs="Arial"/>
                <w:sz w:val="15"/>
                <w:szCs w:val="15"/>
                <w:lang w:eastAsia="en-GB"/>
              </w:rPr>
              <w:t xml:space="preserve"> and impact are all highly uncertain. No provision has been made as it is not possible to assess the likelihood nor quantum of any outcome. There are substantial factual and legal defences to the claims and the Group intends to defend them robustly.</w:t>
            </w:r>
          </w:p>
        </w:tc>
        <w:tc>
          <w:tcPr>
            <w:tcW w:w="36" w:type="dxa"/>
            <w:vAlign w:val="center"/>
            <w:hideMark/>
          </w:tcPr>
          <w:p w14:paraId="130B965E" w14:textId="77777777" w:rsidR="00DE65DF" w:rsidRPr="00DE65DF" w:rsidRDefault="00DE65DF" w:rsidP="00DE65DF">
            <w:pPr>
              <w:spacing w:after="0" w:line="240" w:lineRule="auto"/>
              <w:rPr>
                <w:rFonts w:ascii="Times New Roman" w:eastAsia="Times New Roman" w:hAnsi="Times New Roman" w:cs="Times New Roman"/>
                <w:sz w:val="20"/>
                <w:szCs w:val="20"/>
                <w:lang w:eastAsia="en-GB"/>
              </w:rPr>
            </w:pPr>
          </w:p>
        </w:tc>
      </w:tr>
    </w:tbl>
    <w:p w14:paraId="2F45D7D4" w14:textId="11B738B0" w:rsidR="00DE65DF" w:rsidRDefault="00DE65DF" w:rsidP="00BB64F8">
      <w:pPr>
        <w:rPr>
          <w:b/>
          <w:bCs/>
        </w:rPr>
      </w:pPr>
    </w:p>
    <w:p w14:paraId="3D0679BA" w14:textId="3C789A7B" w:rsidR="00EE3DEB" w:rsidRDefault="00EE3DEB" w:rsidP="00BB64F8">
      <w:pPr>
        <w:rPr>
          <w:b/>
          <w:bCs/>
        </w:rPr>
      </w:pPr>
    </w:p>
    <w:tbl>
      <w:tblPr>
        <w:tblW w:w="10128" w:type="dxa"/>
        <w:tblLook w:val="04A0" w:firstRow="1" w:lastRow="0" w:firstColumn="1" w:lastColumn="0" w:noHBand="0" w:noVBand="1"/>
      </w:tblPr>
      <w:tblGrid>
        <w:gridCol w:w="1080"/>
        <w:gridCol w:w="1780"/>
        <w:gridCol w:w="1520"/>
        <w:gridCol w:w="1040"/>
        <w:gridCol w:w="817"/>
        <w:gridCol w:w="1276"/>
        <w:gridCol w:w="1140"/>
        <w:gridCol w:w="1253"/>
        <w:gridCol w:w="222"/>
      </w:tblGrid>
      <w:tr w:rsidR="00D9630F" w:rsidRPr="00280927" w14:paraId="1E8DE9A9" w14:textId="77777777" w:rsidTr="00D23F97">
        <w:trPr>
          <w:gridAfter w:val="1"/>
          <w:wAfter w:w="222" w:type="dxa"/>
          <w:trHeight w:val="255"/>
        </w:trPr>
        <w:tc>
          <w:tcPr>
            <w:tcW w:w="9906" w:type="dxa"/>
            <w:gridSpan w:val="8"/>
            <w:tcBorders>
              <w:top w:val="nil"/>
              <w:left w:val="nil"/>
              <w:bottom w:val="nil"/>
              <w:right w:val="nil"/>
            </w:tcBorders>
            <w:shd w:val="clear" w:color="auto" w:fill="auto"/>
            <w:noWrap/>
            <w:vAlign w:val="bottom"/>
            <w:hideMark/>
          </w:tcPr>
          <w:p w14:paraId="7C6A8C1B" w14:textId="49748BE0" w:rsidR="00D9630F" w:rsidRPr="00280927" w:rsidRDefault="00D9630F" w:rsidP="00280927">
            <w:pPr>
              <w:spacing w:after="0" w:line="240" w:lineRule="auto"/>
              <w:rPr>
                <w:rFonts w:ascii="Times New Roman" w:eastAsia="Times New Roman" w:hAnsi="Times New Roman" w:cs="Times New Roman"/>
                <w:sz w:val="20"/>
                <w:szCs w:val="20"/>
                <w:lang w:eastAsia="en-GB"/>
              </w:rPr>
            </w:pPr>
            <w:r w:rsidRPr="00280927">
              <w:rPr>
                <w:rFonts w:ascii="Arial" w:eastAsia="Times New Roman" w:hAnsi="Arial" w:cs="Arial"/>
                <w:b/>
                <w:bCs/>
                <w:sz w:val="18"/>
                <w:szCs w:val="18"/>
                <w:lang w:eastAsia="en-GB"/>
              </w:rPr>
              <w:t>12    Funeral plan investments and fair values of financial assets and financial liabilities</w:t>
            </w:r>
          </w:p>
        </w:tc>
      </w:tr>
      <w:tr w:rsidR="00280927" w:rsidRPr="00280927" w14:paraId="2DCBDE66" w14:textId="77777777" w:rsidTr="00D9630F">
        <w:trPr>
          <w:gridAfter w:val="1"/>
          <w:wAfter w:w="222" w:type="dxa"/>
          <w:trHeight w:val="255"/>
        </w:trPr>
        <w:tc>
          <w:tcPr>
            <w:tcW w:w="1080" w:type="dxa"/>
            <w:tcBorders>
              <w:top w:val="nil"/>
              <w:left w:val="nil"/>
              <w:bottom w:val="nil"/>
              <w:right w:val="nil"/>
            </w:tcBorders>
            <w:shd w:val="clear" w:color="auto" w:fill="auto"/>
            <w:noWrap/>
            <w:vAlign w:val="bottom"/>
            <w:hideMark/>
          </w:tcPr>
          <w:p w14:paraId="4549C9FE"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780" w:type="dxa"/>
            <w:tcBorders>
              <w:top w:val="nil"/>
              <w:left w:val="nil"/>
              <w:bottom w:val="nil"/>
              <w:right w:val="nil"/>
            </w:tcBorders>
            <w:shd w:val="clear" w:color="auto" w:fill="auto"/>
            <w:noWrap/>
            <w:vAlign w:val="bottom"/>
            <w:hideMark/>
          </w:tcPr>
          <w:p w14:paraId="3AD6E7B2"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14:paraId="61836A02"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0986C079"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817" w:type="dxa"/>
            <w:tcBorders>
              <w:top w:val="nil"/>
              <w:left w:val="nil"/>
              <w:bottom w:val="nil"/>
              <w:right w:val="nil"/>
            </w:tcBorders>
            <w:shd w:val="clear" w:color="auto" w:fill="auto"/>
            <w:noWrap/>
            <w:vAlign w:val="bottom"/>
            <w:hideMark/>
          </w:tcPr>
          <w:p w14:paraId="11928B19"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DEEE6D8"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11ABF1E"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253" w:type="dxa"/>
            <w:tcBorders>
              <w:top w:val="nil"/>
              <w:left w:val="nil"/>
              <w:bottom w:val="nil"/>
              <w:right w:val="nil"/>
            </w:tcBorders>
            <w:shd w:val="clear" w:color="auto" w:fill="auto"/>
            <w:noWrap/>
            <w:vAlign w:val="bottom"/>
            <w:hideMark/>
          </w:tcPr>
          <w:p w14:paraId="4A22A2C9"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3A093AC5" w14:textId="77777777" w:rsidTr="00280927">
        <w:trPr>
          <w:gridAfter w:val="1"/>
          <w:wAfter w:w="222" w:type="dxa"/>
          <w:trHeight w:val="450"/>
        </w:trPr>
        <w:tc>
          <w:tcPr>
            <w:tcW w:w="9906" w:type="dxa"/>
            <w:gridSpan w:val="8"/>
            <w:vMerge w:val="restart"/>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011FBFAF" w14:textId="77777777" w:rsidR="00280927" w:rsidRPr="00280927" w:rsidRDefault="00280927" w:rsidP="00280927">
            <w:pPr>
              <w:spacing w:after="0" w:line="240" w:lineRule="auto"/>
              <w:rPr>
                <w:rFonts w:ascii="Arial" w:eastAsia="Times New Roman" w:hAnsi="Arial" w:cs="Arial"/>
                <w:sz w:val="18"/>
                <w:szCs w:val="18"/>
                <w:lang w:eastAsia="en-GB"/>
              </w:rPr>
            </w:pPr>
            <w:r w:rsidRPr="00280927">
              <w:rPr>
                <w:rFonts w:ascii="Arial" w:eastAsia="Times New Roman" w:hAnsi="Arial" w:cs="Arial"/>
                <w:b/>
                <w:bCs/>
                <w:sz w:val="18"/>
                <w:szCs w:val="18"/>
                <w:lang w:eastAsia="en-GB"/>
              </w:rPr>
              <w:t>What does this show?</w:t>
            </w:r>
            <w:r w:rsidRPr="00280927">
              <w:rPr>
                <w:rFonts w:ascii="Arial" w:eastAsia="Times New Roman" w:hAnsi="Arial" w:cs="Arial"/>
                <w:sz w:val="18"/>
                <w:szCs w:val="18"/>
                <w:lang w:eastAsia="en-GB"/>
              </w:rPr>
              <w:t xml:space="preserve"> Our Funerals business holds some investments in relation to funeral plans. This note provides information on these investments as well as how any other financial assets and liabilities are valued. </w:t>
            </w:r>
          </w:p>
        </w:tc>
      </w:tr>
      <w:tr w:rsidR="00280927" w:rsidRPr="00280927" w14:paraId="2EABC67C" w14:textId="77777777" w:rsidTr="00280927">
        <w:trPr>
          <w:trHeight w:val="222"/>
        </w:trPr>
        <w:tc>
          <w:tcPr>
            <w:tcW w:w="9906" w:type="dxa"/>
            <w:gridSpan w:val="8"/>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0F207921" w14:textId="77777777" w:rsidR="00280927" w:rsidRPr="00280927" w:rsidRDefault="00280927" w:rsidP="00280927">
            <w:pPr>
              <w:spacing w:after="0" w:line="240" w:lineRule="auto"/>
              <w:rPr>
                <w:rFonts w:ascii="Arial" w:eastAsia="Times New Roman" w:hAnsi="Arial" w:cs="Arial"/>
                <w:sz w:val="18"/>
                <w:szCs w:val="18"/>
                <w:lang w:eastAsia="en-GB"/>
              </w:rPr>
            </w:pPr>
          </w:p>
        </w:tc>
        <w:tc>
          <w:tcPr>
            <w:tcW w:w="222" w:type="dxa"/>
            <w:tcBorders>
              <w:top w:val="nil"/>
              <w:left w:val="nil"/>
              <w:bottom w:val="nil"/>
              <w:right w:val="nil"/>
            </w:tcBorders>
            <w:shd w:val="clear" w:color="auto" w:fill="auto"/>
            <w:noWrap/>
            <w:vAlign w:val="bottom"/>
            <w:hideMark/>
          </w:tcPr>
          <w:p w14:paraId="6BD39298" w14:textId="77777777" w:rsidR="00280927" w:rsidRPr="00280927" w:rsidRDefault="00280927" w:rsidP="00280927">
            <w:pPr>
              <w:spacing w:after="0" w:line="240" w:lineRule="auto"/>
              <w:rPr>
                <w:rFonts w:ascii="Arial" w:eastAsia="Times New Roman" w:hAnsi="Arial" w:cs="Arial"/>
                <w:sz w:val="18"/>
                <w:szCs w:val="18"/>
                <w:lang w:eastAsia="en-GB"/>
              </w:rPr>
            </w:pPr>
          </w:p>
        </w:tc>
      </w:tr>
      <w:tr w:rsidR="00280927" w:rsidRPr="00280927" w14:paraId="33E95EFF" w14:textId="77777777" w:rsidTr="00280927">
        <w:trPr>
          <w:trHeight w:val="222"/>
        </w:trPr>
        <w:tc>
          <w:tcPr>
            <w:tcW w:w="9906" w:type="dxa"/>
            <w:gridSpan w:val="8"/>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0EEA40DE" w14:textId="77777777" w:rsidR="00280927" w:rsidRPr="00280927" w:rsidRDefault="00280927" w:rsidP="00280927">
            <w:pPr>
              <w:spacing w:after="0" w:line="240" w:lineRule="auto"/>
              <w:rPr>
                <w:rFonts w:ascii="Arial" w:eastAsia="Times New Roman" w:hAnsi="Arial" w:cs="Arial"/>
                <w:sz w:val="18"/>
                <w:szCs w:val="18"/>
                <w:lang w:eastAsia="en-GB"/>
              </w:rPr>
            </w:pPr>
          </w:p>
        </w:tc>
        <w:tc>
          <w:tcPr>
            <w:tcW w:w="222" w:type="dxa"/>
            <w:tcBorders>
              <w:top w:val="nil"/>
              <w:left w:val="nil"/>
              <w:bottom w:val="nil"/>
              <w:right w:val="nil"/>
            </w:tcBorders>
            <w:shd w:val="clear" w:color="auto" w:fill="auto"/>
            <w:noWrap/>
            <w:vAlign w:val="bottom"/>
            <w:hideMark/>
          </w:tcPr>
          <w:p w14:paraId="4BC73281"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5A479D0D" w14:textId="77777777" w:rsidTr="00D9630F">
        <w:trPr>
          <w:trHeight w:val="255"/>
        </w:trPr>
        <w:tc>
          <w:tcPr>
            <w:tcW w:w="1080" w:type="dxa"/>
            <w:tcBorders>
              <w:top w:val="nil"/>
              <w:left w:val="nil"/>
              <w:bottom w:val="nil"/>
              <w:right w:val="nil"/>
            </w:tcBorders>
            <w:shd w:val="clear" w:color="auto" w:fill="auto"/>
            <w:noWrap/>
            <w:vAlign w:val="bottom"/>
            <w:hideMark/>
          </w:tcPr>
          <w:p w14:paraId="1AEE3834"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780" w:type="dxa"/>
            <w:tcBorders>
              <w:top w:val="nil"/>
              <w:left w:val="nil"/>
              <w:bottom w:val="nil"/>
              <w:right w:val="nil"/>
            </w:tcBorders>
            <w:shd w:val="clear" w:color="auto" w:fill="auto"/>
            <w:noWrap/>
            <w:vAlign w:val="bottom"/>
            <w:hideMark/>
          </w:tcPr>
          <w:p w14:paraId="3FEED505"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14:paraId="486EE826"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61CCD0A5"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817" w:type="dxa"/>
            <w:tcBorders>
              <w:top w:val="nil"/>
              <w:left w:val="nil"/>
              <w:bottom w:val="nil"/>
              <w:right w:val="nil"/>
            </w:tcBorders>
            <w:shd w:val="clear" w:color="auto" w:fill="auto"/>
            <w:noWrap/>
            <w:vAlign w:val="bottom"/>
            <w:hideMark/>
          </w:tcPr>
          <w:p w14:paraId="096D37CA"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E01FECC"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D98BDB6"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253" w:type="dxa"/>
            <w:tcBorders>
              <w:top w:val="nil"/>
              <w:left w:val="nil"/>
              <w:bottom w:val="nil"/>
              <w:right w:val="nil"/>
            </w:tcBorders>
            <w:shd w:val="clear" w:color="auto" w:fill="auto"/>
            <w:noWrap/>
            <w:vAlign w:val="bottom"/>
            <w:hideMark/>
          </w:tcPr>
          <w:p w14:paraId="17B2D4A6"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42949C93"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45564FC2" w14:textId="77777777" w:rsidTr="00D9630F">
        <w:trPr>
          <w:trHeight w:val="390"/>
        </w:trPr>
        <w:tc>
          <w:tcPr>
            <w:tcW w:w="4380" w:type="dxa"/>
            <w:gridSpan w:val="3"/>
            <w:tcBorders>
              <w:top w:val="single" w:sz="4" w:space="0" w:color="BFBFBF"/>
              <w:left w:val="single" w:sz="4" w:space="0" w:color="BFBFBF"/>
              <w:bottom w:val="nil"/>
              <w:right w:val="nil"/>
            </w:tcBorders>
            <w:shd w:val="clear" w:color="auto" w:fill="auto"/>
            <w:noWrap/>
            <w:vAlign w:val="bottom"/>
            <w:hideMark/>
          </w:tcPr>
          <w:p w14:paraId="0860D9E9" w14:textId="77777777" w:rsidR="00280927" w:rsidRPr="00280927" w:rsidRDefault="00280927" w:rsidP="00280927">
            <w:pPr>
              <w:spacing w:after="0" w:line="240" w:lineRule="auto"/>
              <w:rPr>
                <w:rFonts w:ascii="Arial" w:eastAsia="Times New Roman" w:hAnsi="Arial" w:cs="Arial"/>
                <w:b/>
                <w:bCs/>
                <w:sz w:val="15"/>
                <w:szCs w:val="15"/>
                <w:lang w:eastAsia="en-GB"/>
              </w:rPr>
            </w:pPr>
            <w:r w:rsidRPr="00280927">
              <w:rPr>
                <w:rFonts w:ascii="Arial" w:eastAsia="Times New Roman" w:hAnsi="Arial" w:cs="Arial"/>
                <w:b/>
                <w:bCs/>
                <w:sz w:val="15"/>
                <w:szCs w:val="15"/>
                <w:lang w:eastAsia="en-GB"/>
              </w:rPr>
              <w:t>Funeral plan investments as per the balance sheet:</w:t>
            </w:r>
          </w:p>
        </w:tc>
        <w:tc>
          <w:tcPr>
            <w:tcW w:w="1040" w:type="dxa"/>
            <w:tcBorders>
              <w:top w:val="single" w:sz="4" w:space="0" w:color="BFBFBF"/>
              <w:left w:val="nil"/>
              <w:bottom w:val="nil"/>
              <w:right w:val="nil"/>
            </w:tcBorders>
            <w:shd w:val="clear" w:color="auto" w:fill="auto"/>
            <w:noWrap/>
            <w:vAlign w:val="bottom"/>
            <w:hideMark/>
          </w:tcPr>
          <w:p w14:paraId="06947F7D"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817" w:type="dxa"/>
            <w:tcBorders>
              <w:top w:val="single" w:sz="4" w:space="0" w:color="BFBFBF"/>
              <w:left w:val="nil"/>
              <w:bottom w:val="nil"/>
              <w:right w:val="nil"/>
            </w:tcBorders>
            <w:shd w:val="clear" w:color="auto" w:fill="auto"/>
            <w:hideMark/>
          </w:tcPr>
          <w:p w14:paraId="09EB8899"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276" w:type="dxa"/>
            <w:tcBorders>
              <w:top w:val="single" w:sz="4" w:space="0" w:color="BFBFBF"/>
              <w:left w:val="nil"/>
              <w:bottom w:val="nil"/>
              <w:right w:val="nil"/>
            </w:tcBorders>
            <w:shd w:val="clear" w:color="auto" w:fill="auto"/>
            <w:hideMark/>
          </w:tcPr>
          <w:p w14:paraId="2BE4132D" w14:textId="77777777" w:rsidR="00280927" w:rsidRPr="00280927" w:rsidRDefault="00280927" w:rsidP="00280927">
            <w:pPr>
              <w:spacing w:after="0" w:line="240" w:lineRule="auto"/>
              <w:jc w:val="right"/>
              <w:rPr>
                <w:rFonts w:ascii="Arial" w:eastAsia="Times New Roman" w:hAnsi="Arial" w:cs="Arial"/>
                <w:b/>
                <w:bCs/>
                <w:sz w:val="15"/>
                <w:szCs w:val="15"/>
                <w:lang w:eastAsia="en-GB"/>
              </w:rPr>
            </w:pPr>
            <w:r w:rsidRPr="00280927">
              <w:rPr>
                <w:rFonts w:ascii="Arial" w:eastAsia="Times New Roman" w:hAnsi="Arial" w:cs="Arial"/>
                <w:b/>
                <w:bCs/>
                <w:sz w:val="15"/>
                <w:szCs w:val="15"/>
                <w:lang w:eastAsia="en-GB"/>
              </w:rPr>
              <w:t>2 July 2022 (unaudited)</w:t>
            </w:r>
          </w:p>
        </w:tc>
        <w:tc>
          <w:tcPr>
            <w:tcW w:w="1140" w:type="dxa"/>
            <w:tcBorders>
              <w:top w:val="single" w:sz="4" w:space="0" w:color="BFBFBF"/>
              <w:left w:val="nil"/>
              <w:bottom w:val="nil"/>
              <w:right w:val="nil"/>
            </w:tcBorders>
            <w:shd w:val="clear" w:color="auto" w:fill="auto"/>
            <w:hideMark/>
          </w:tcPr>
          <w:p w14:paraId="67C064A9"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3 July 2021 (unaudited)</w:t>
            </w:r>
          </w:p>
        </w:tc>
        <w:tc>
          <w:tcPr>
            <w:tcW w:w="1253" w:type="dxa"/>
            <w:tcBorders>
              <w:top w:val="single" w:sz="4" w:space="0" w:color="BFBFBF"/>
              <w:left w:val="nil"/>
              <w:bottom w:val="nil"/>
              <w:right w:val="single" w:sz="4" w:space="0" w:color="BFBFBF"/>
            </w:tcBorders>
            <w:shd w:val="clear" w:color="auto" w:fill="auto"/>
            <w:hideMark/>
          </w:tcPr>
          <w:p w14:paraId="5AE293E4"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1 January 2022 (audited)</w:t>
            </w:r>
          </w:p>
        </w:tc>
        <w:tc>
          <w:tcPr>
            <w:tcW w:w="222" w:type="dxa"/>
            <w:vAlign w:val="center"/>
            <w:hideMark/>
          </w:tcPr>
          <w:p w14:paraId="41506C44"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472FEE9B" w14:textId="77777777" w:rsidTr="00D9630F">
        <w:trPr>
          <w:trHeight w:val="255"/>
        </w:trPr>
        <w:tc>
          <w:tcPr>
            <w:tcW w:w="1080" w:type="dxa"/>
            <w:tcBorders>
              <w:top w:val="nil"/>
              <w:left w:val="single" w:sz="4" w:space="0" w:color="BFBFBF"/>
              <w:bottom w:val="single" w:sz="4" w:space="0" w:color="BFBFBF"/>
              <w:right w:val="nil"/>
            </w:tcBorders>
            <w:shd w:val="clear" w:color="auto" w:fill="auto"/>
            <w:noWrap/>
            <w:vAlign w:val="bottom"/>
            <w:hideMark/>
          </w:tcPr>
          <w:p w14:paraId="1B3EA443"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780" w:type="dxa"/>
            <w:tcBorders>
              <w:top w:val="nil"/>
              <w:left w:val="nil"/>
              <w:bottom w:val="single" w:sz="4" w:space="0" w:color="BFBFBF"/>
              <w:right w:val="nil"/>
            </w:tcBorders>
            <w:shd w:val="clear" w:color="auto" w:fill="auto"/>
            <w:noWrap/>
            <w:vAlign w:val="bottom"/>
            <w:hideMark/>
          </w:tcPr>
          <w:p w14:paraId="4D306F90"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520" w:type="dxa"/>
            <w:tcBorders>
              <w:top w:val="nil"/>
              <w:left w:val="nil"/>
              <w:bottom w:val="single" w:sz="4" w:space="0" w:color="BFBFBF"/>
              <w:right w:val="nil"/>
            </w:tcBorders>
            <w:shd w:val="clear" w:color="auto" w:fill="auto"/>
            <w:noWrap/>
            <w:vAlign w:val="bottom"/>
            <w:hideMark/>
          </w:tcPr>
          <w:p w14:paraId="5634BD41"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040" w:type="dxa"/>
            <w:tcBorders>
              <w:top w:val="nil"/>
              <w:left w:val="nil"/>
              <w:bottom w:val="single" w:sz="4" w:space="0" w:color="BFBFBF"/>
              <w:right w:val="nil"/>
            </w:tcBorders>
            <w:shd w:val="clear" w:color="auto" w:fill="auto"/>
            <w:noWrap/>
            <w:vAlign w:val="bottom"/>
            <w:hideMark/>
          </w:tcPr>
          <w:p w14:paraId="404D4D91"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817" w:type="dxa"/>
            <w:tcBorders>
              <w:top w:val="nil"/>
              <w:left w:val="nil"/>
              <w:bottom w:val="single" w:sz="4" w:space="0" w:color="BFBFBF"/>
              <w:right w:val="nil"/>
            </w:tcBorders>
            <w:shd w:val="clear" w:color="auto" w:fill="auto"/>
            <w:hideMark/>
          </w:tcPr>
          <w:p w14:paraId="70A57D2E"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276" w:type="dxa"/>
            <w:tcBorders>
              <w:top w:val="nil"/>
              <w:left w:val="nil"/>
              <w:bottom w:val="single" w:sz="4" w:space="0" w:color="BFBFBF"/>
              <w:right w:val="nil"/>
            </w:tcBorders>
            <w:shd w:val="clear" w:color="auto" w:fill="auto"/>
            <w:hideMark/>
          </w:tcPr>
          <w:p w14:paraId="17C02ED2" w14:textId="77777777" w:rsidR="00280927" w:rsidRPr="00280927" w:rsidRDefault="00280927" w:rsidP="00280927">
            <w:pPr>
              <w:spacing w:after="0" w:line="240" w:lineRule="auto"/>
              <w:jc w:val="right"/>
              <w:rPr>
                <w:rFonts w:ascii="Arial" w:eastAsia="Times New Roman" w:hAnsi="Arial" w:cs="Arial"/>
                <w:b/>
                <w:bCs/>
                <w:sz w:val="15"/>
                <w:szCs w:val="15"/>
                <w:lang w:eastAsia="en-GB"/>
              </w:rPr>
            </w:pPr>
            <w:r w:rsidRPr="00280927">
              <w:rPr>
                <w:rFonts w:ascii="Arial" w:eastAsia="Times New Roman" w:hAnsi="Arial" w:cs="Arial"/>
                <w:b/>
                <w:bCs/>
                <w:sz w:val="15"/>
                <w:szCs w:val="15"/>
                <w:lang w:eastAsia="en-GB"/>
              </w:rPr>
              <w:t>£m</w:t>
            </w:r>
          </w:p>
        </w:tc>
        <w:tc>
          <w:tcPr>
            <w:tcW w:w="1140" w:type="dxa"/>
            <w:tcBorders>
              <w:top w:val="nil"/>
              <w:left w:val="nil"/>
              <w:bottom w:val="single" w:sz="4" w:space="0" w:color="BFBFBF"/>
              <w:right w:val="nil"/>
            </w:tcBorders>
            <w:shd w:val="clear" w:color="auto" w:fill="auto"/>
            <w:hideMark/>
          </w:tcPr>
          <w:p w14:paraId="42D0F15A"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£m</w:t>
            </w:r>
          </w:p>
        </w:tc>
        <w:tc>
          <w:tcPr>
            <w:tcW w:w="1253" w:type="dxa"/>
            <w:tcBorders>
              <w:top w:val="nil"/>
              <w:left w:val="nil"/>
              <w:bottom w:val="single" w:sz="4" w:space="0" w:color="BFBFBF"/>
              <w:right w:val="single" w:sz="4" w:space="0" w:color="BFBFBF"/>
            </w:tcBorders>
            <w:shd w:val="clear" w:color="auto" w:fill="auto"/>
            <w:hideMark/>
          </w:tcPr>
          <w:p w14:paraId="64C7D2F9"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£m</w:t>
            </w:r>
          </w:p>
        </w:tc>
        <w:tc>
          <w:tcPr>
            <w:tcW w:w="222" w:type="dxa"/>
            <w:vAlign w:val="center"/>
            <w:hideMark/>
          </w:tcPr>
          <w:p w14:paraId="60F58D05"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3DC6D909" w14:textId="77777777" w:rsidTr="00D9630F">
        <w:trPr>
          <w:trHeight w:val="255"/>
        </w:trPr>
        <w:tc>
          <w:tcPr>
            <w:tcW w:w="1080" w:type="dxa"/>
            <w:tcBorders>
              <w:top w:val="nil"/>
              <w:left w:val="nil"/>
              <w:bottom w:val="nil"/>
              <w:right w:val="nil"/>
            </w:tcBorders>
            <w:shd w:val="clear" w:color="000000" w:fill="FFFFFF"/>
            <w:noWrap/>
            <w:vAlign w:val="bottom"/>
            <w:hideMark/>
          </w:tcPr>
          <w:p w14:paraId="14E17878"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Current</w:t>
            </w:r>
          </w:p>
        </w:tc>
        <w:tc>
          <w:tcPr>
            <w:tcW w:w="1780" w:type="dxa"/>
            <w:tcBorders>
              <w:top w:val="nil"/>
              <w:left w:val="nil"/>
              <w:bottom w:val="nil"/>
              <w:right w:val="nil"/>
            </w:tcBorders>
            <w:shd w:val="clear" w:color="000000" w:fill="FFFFFF"/>
            <w:noWrap/>
            <w:vAlign w:val="bottom"/>
            <w:hideMark/>
          </w:tcPr>
          <w:p w14:paraId="28D74400"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520" w:type="dxa"/>
            <w:tcBorders>
              <w:top w:val="nil"/>
              <w:left w:val="nil"/>
              <w:bottom w:val="nil"/>
              <w:right w:val="nil"/>
            </w:tcBorders>
            <w:shd w:val="clear" w:color="000000" w:fill="FFFFFF"/>
            <w:noWrap/>
            <w:vAlign w:val="bottom"/>
            <w:hideMark/>
          </w:tcPr>
          <w:p w14:paraId="65587483"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040" w:type="dxa"/>
            <w:tcBorders>
              <w:top w:val="nil"/>
              <w:left w:val="nil"/>
              <w:bottom w:val="nil"/>
              <w:right w:val="nil"/>
            </w:tcBorders>
            <w:shd w:val="clear" w:color="000000" w:fill="FFFFFF"/>
            <w:noWrap/>
            <w:vAlign w:val="bottom"/>
            <w:hideMark/>
          </w:tcPr>
          <w:p w14:paraId="0D7AAE7E"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817" w:type="dxa"/>
            <w:tcBorders>
              <w:top w:val="nil"/>
              <w:left w:val="nil"/>
              <w:bottom w:val="nil"/>
              <w:right w:val="nil"/>
            </w:tcBorders>
            <w:shd w:val="clear" w:color="000000" w:fill="FFFFFF"/>
            <w:noWrap/>
            <w:vAlign w:val="bottom"/>
            <w:hideMark/>
          </w:tcPr>
          <w:p w14:paraId="3684D6A4"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276" w:type="dxa"/>
            <w:tcBorders>
              <w:top w:val="nil"/>
              <w:left w:val="nil"/>
              <w:bottom w:val="nil"/>
              <w:right w:val="nil"/>
            </w:tcBorders>
            <w:shd w:val="clear" w:color="auto" w:fill="CCECFF"/>
            <w:noWrap/>
            <w:vAlign w:val="bottom"/>
            <w:hideMark/>
          </w:tcPr>
          <w:p w14:paraId="212B1444" w14:textId="77777777" w:rsidR="00280927" w:rsidRPr="00280927" w:rsidRDefault="00280927" w:rsidP="00280927">
            <w:pPr>
              <w:spacing w:after="0" w:line="240" w:lineRule="auto"/>
              <w:jc w:val="right"/>
              <w:rPr>
                <w:rFonts w:ascii="Arial" w:eastAsia="Times New Roman" w:hAnsi="Arial" w:cs="Arial"/>
                <w:b/>
                <w:bCs/>
                <w:sz w:val="15"/>
                <w:szCs w:val="15"/>
                <w:lang w:eastAsia="en-GB"/>
              </w:rPr>
            </w:pPr>
            <w:r w:rsidRPr="00280927">
              <w:rPr>
                <w:rFonts w:ascii="Arial" w:eastAsia="Times New Roman" w:hAnsi="Arial" w:cs="Arial"/>
                <w:b/>
                <w:bCs/>
                <w:sz w:val="15"/>
                <w:szCs w:val="15"/>
                <w:lang w:eastAsia="en-GB"/>
              </w:rPr>
              <w:t xml:space="preserve">- </w:t>
            </w:r>
          </w:p>
        </w:tc>
        <w:tc>
          <w:tcPr>
            <w:tcW w:w="1140" w:type="dxa"/>
            <w:tcBorders>
              <w:top w:val="nil"/>
              <w:left w:val="nil"/>
              <w:bottom w:val="nil"/>
              <w:right w:val="nil"/>
            </w:tcBorders>
            <w:shd w:val="clear" w:color="000000" w:fill="FFFFFF"/>
            <w:noWrap/>
            <w:vAlign w:val="bottom"/>
            <w:hideMark/>
          </w:tcPr>
          <w:p w14:paraId="0CB54182"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xml:space="preserve">- </w:t>
            </w:r>
          </w:p>
        </w:tc>
        <w:tc>
          <w:tcPr>
            <w:tcW w:w="1253" w:type="dxa"/>
            <w:tcBorders>
              <w:top w:val="nil"/>
              <w:left w:val="nil"/>
              <w:bottom w:val="nil"/>
              <w:right w:val="nil"/>
            </w:tcBorders>
            <w:shd w:val="clear" w:color="000000" w:fill="FFFFFF"/>
            <w:noWrap/>
            <w:vAlign w:val="bottom"/>
            <w:hideMark/>
          </w:tcPr>
          <w:p w14:paraId="209ED2AC"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xml:space="preserve">- </w:t>
            </w:r>
          </w:p>
        </w:tc>
        <w:tc>
          <w:tcPr>
            <w:tcW w:w="222" w:type="dxa"/>
            <w:vAlign w:val="center"/>
            <w:hideMark/>
          </w:tcPr>
          <w:p w14:paraId="0804DE0A"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38B49251" w14:textId="77777777" w:rsidTr="00D9630F">
        <w:trPr>
          <w:trHeight w:val="255"/>
        </w:trPr>
        <w:tc>
          <w:tcPr>
            <w:tcW w:w="1080" w:type="dxa"/>
            <w:tcBorders>
              <w:top w:val="nil"/>
              <w:left w:val="nil"/>
              <w:bottom w:val="single" w:sz="4" w:space="0" w:color="BFBFBF"/>
              <w:right w:val="nil"/>
            </w:tcBorders>
            <w:shd w:val="clear" w:color="000000" w:fill="FFFFFF"/>
            <w:noWrap/>
            <w:vAlign w:val="bottom"/>
            <w:hideMark/>
          </w:tcPr>
          <w:p w14:paraId="1080F8FA"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Non-current</w:t>
            </w:r>
          </w:p>
        </w:tc>
        <w:tc>
          <w:tcPr>
            <w:tcW w:w="1780" w:type="dxa"/>
            <w:tcBorders>
              <w:top w:val="nil"/>
              <w:left w:val="nil"/>
              <w:bottom w:val="single" w:sz="4" w:space="0" w:color="BFBFBF"/>
              <w:right w:val="nil"/>
            </w:tcBorders>
            <w:shd w:val="clear" w:color="000000" w:fill="FFFFFF"/>
            <w:noWrap/>
            <w:vAlign w:val="bottom"/>
            <w:hideMark/>
          </w:tcPr>
          <w:p w14:paraId="3EDC45F8"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520" w:type="dxa"/>
            <w:tcBorders>
              <w:top w:val="nil"/>
              <w:left w:val="nil"/>
              <w:bottom w:val="single" w:sz="4" w:space="0" w:color="BFBFBF"/>
              <w:right w:val="nil"/>
            </w:tcBorders>
            <w:shd w:val="clear" w:color="000000" w:fill="FFFFFF"/>
            <w:noWrap/>
            <w:vAlign w:val="bottom"/>
            <w:hideMark/>
          </w:tcPr>
          <w:p w14:paraId="237508F2"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040" w:type="dxa"/>
            <w:tcBorders>
              <w:top w:val="nil"/>
              <w:left w:val="nil"/>
              <w:bottom w:val="single" w:sz="4" w:space="0" w:color="BFBFBF"/>
              <w:right w:val="nil"/>
            </w:tcBorders>
            <w:shd w:val="clear" w:color="000000" w:fill="FFFFFF"/>
            <w:noWrap/>
            <w:vAlign w:val="bottom"/>
            <w:hideMark/>
          </w:tcPr>
          <w:p w14:paraId="5BE4FB30"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817" w:type="dxa"/>
            <w:tcBorders>
              <w:top w:val="nil"/>
              <w:left w:val="nil"/>
              <w:bottom w:val="single" w:sz="4" w:space="0" w:color="BFBFBF"/>
              <w:right w:val="nil"/>
            </w:tcBorders>
            <w:shd w:val="clear" w:color="000000" w:fill="FFFFFF"/>
            <w:noWrap/>
            <w:vAlign w:val="bottom"/>
            <w:hideMark/>
          </w:tcPr>
          <w:p w14:paraId="7A854104"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276" w:type="dxa"/>
            <w:tcBorders>
              <w:top w:val="nil"/>
              <w:left w:val="nil"/>
              <w:bottom w:val="single" w:sz="4" w:space="0" w:color="BFBFBF"/>
              <w:right w:val="nil"/>
            </w:tcBorders>
            <w:shd w:val="clear" w:color="auto" w:fill="CCECFF"/>
            <w:noWrap/>
            <w:vAlign w:val="bottom"/>
            <w:hideMark/>
          </w:tcPr>
          <w:p w14:paraId="651C3BD3" w14:textId="77777777" w:rsidR="00280927" w:rsidRPr="00280927" w:rsidRDefault="00280927" w:rsidP="00280927">
            <w:pPr>
              <w:spacing w:after="0" w:line="240" w:lineRule="auto"/>
              <w:jc w:val="right"/>
              <w:rPr>
                <w:rFonts w:ascii="Arial" w:eastAsia="Times New Roman" w:hAnsi="Arial" w:cs="Arial"/>
                <w:b/>
                <w:bCs/>
                <w:sz w:val="15"/>
                <w:szCs w:val="15"/>
                <w:lang w:eastAsia="en-GB"/>
              </w:rPr>
            </w:pPr>
            <w:r w:rsidRPr="00280927">
              <w:rPr>
                <w:rFonts w:ascii="Arial" w:eastAsia="Times New Roman" w:hAnsi="Arial" w:cs="Arial"/>
                <w:b/>
                <w:bCs/>
                <w:sz w:val="15"/>
                <w:szCs w:val="15"/>
                <w:lang w:eastAsia="en-GB"/>
              </w:rPr>
              <w:t xml:space="preserve">1,399 </w:t>
            </w:r>
          </w:p>
        </w:tc>
        <w:tc>
          <w:tcPr>
            <w:tcW w:w="1140" w:type="dxa"/>
            <w:tcBorders>
              <w:top w:val="nil"/>
              <w:left w:val="nil"/>
              <w:bottom w:val="single" w:sz="4" w:space="0" w:color="BFBFBF"/>
              <w:right w:val="nil"/>
            </w:tcBorders>
            <w:shd w:val="clear" w:color="000000" w:fill="FFFFFF"/>
            <w:noWrap/>
            <w:vAlign w:val="bottom"/>
            <w:hideMark/>
          </w:tcPr>
          <w:p w14:paraId="072FF3C9"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xml:space="preserve">1,344 </w:t>
            </w:r>
          </w:p>
        </w:tc>
        <w:tc>
          <w:tcPr>
            <w:tcW w:w="1253" w:type="dxa"/>
            <w:tcBorders>
              <w:top w:val="nil"/>
              <w:left w:val="nil"/>
              <w:bottom w:val="single" w:sz="4" w:space="0" w:color="BFBFBF"/>
              <w:right w:val="nil"/>
            </w:tcBorders>
            <w:shd w:val="clear" w:color="000000" w:fill="FFFFFF"/>
            <w:noWrap/>
            <w:vAlign w:val="bottom"/>
            <w:hideMark/>
          </w:tcPr>
          <w:p w14:paraId="55A8093C"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xml:space="preserve">1,372 </w:t>
            </w:r>
          </w:p>
        </w:tc>
        <w:tc>
          <w:tcPr>
            <w:tcW w:w="222" w:type="dxa"/>
            <w:vAlign w:val="center"/>
            <w:hideMark/>
          </w:tcPr>
          <w:p w14:paraId="2A772AE0"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48330E23" w14:textId="77777777" w:rsidTr="00D9630F">
        <w:trPr>
          <w:trHeight w:val="282"/>
        </w:trPr>
        <w:tc>
          <w:tcPr>
            <w:tcW w:w="2860" w:type="dxa"/>
            <w:gridSpan w:val="2"/>
            <w:tcBorders>
              <w:top w:val="single" w:sz="4" w:space="0" w:color="BFBFBF"/>
              <w:left w:val="nil"/>
              <w:bottom w:val="single" w:sz="4" w:space="0" w:color="BFBFBF"/>
              <w:right w:val="nil"/>
            </w:tcBorders>
            <w:shd w:val="clear" w:color="000000" w:fill="FFFFFF"/>
            <w:noWrap/>
            <w:vAlign w:val="bottom"/>
            <w:hideMark/>
          </w:tcPr>
          <w:p w14:paraId="025DF716" w14:textId="77777777" w:rsidR="00280927" w:rsidRPr="00280927" w:rsidRDefault="00280927" w:rsidP="00280927">
            <w:pPr>
              <w:spacing w:after="0" w:line="240" w:lineRule="auto"/>
              <w:rPr>
                <w:rFonts w:ascii="Arial" w:eastAsia="Times New Roman" w:hAnsi="Arial" w:cs="Arial"/>
                <w:b/>
                <w:bCs/>
                <w:sz w:val="15"/>
                <w:szCs w:val="15"/>
                <w:lang w:eastAsia="en-GB"/>
              </w:rPr>
            </w:pPr>
            <w:r w:rsidRPr="00280927">
              <w:rPr>
                <w:rFonts w:ascii="Arial" w:eastAsia="Times New Roman" w:hAnsi="Arial" w:cs="Arial"/>
                <w:b/>
                <w:bCs/>
                <w:sz w:val="15"/>
                <w:szCs w:val="15"/>
                <w:lang w:eastAsia="en-GB"/>
              </w:rPr>
              <w:t>Funeral plan investments</w:t>
            </w:r>
          </w:p>
        </w:tc>
        <w:tc>
          <w:tcPr>
            <w:tcW w:w="1520" w:type="dxa"/>
            <w:tcBorders>
              <w:top w:val="nil"/>
              <w:left w:val="nil"/>
              <w:bottom w:val="single" w:sz="4" w:space="0" w:color="BFBFBF"/>
              <w:right w:val="nil"/>
            </w:tcBorders>
            <w:shd w:val="clear" w:color="000000" w:fill="FFFFFF"/>
            <w:noWrap/>
            <w:vAlign w:val="bottom"/>
            <w:hideMark/>
          </w:tcPr>
          <w:p w14:paraId="69DCA94F"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040" w:type="dxa"/>
            <w:tcBorders>
              <w:top w:val="nil"/>
              <w:left w:val="nil"/>
              <w:bottom w:val="single" w:sz="4" w:space="0" w:color="BFBFBF"/>
              <w:right w:val="nil"/>
            </w:tcBorders>
            <w:shd w:val="clear" w:color="000000" w:fill="FFFFFF"/>
            <w:noWrap/>
            <w:vAlign w:val="bottom"/>
            <w:hideMark/>
          </w:tcPr>
          <w:p w14:paraId="51581CE2"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817" w:type="dxa"/>
            <w:tcBorders>
              <w:top w:val="nil"/>
              <w:left w:val="nil"/>
              <w:bottom w:val="single" w:sz="4" w:space="0" w:color="BFBFBF"/>
              <w:right w:val="nil"/>
            </w:tcBorders>
            <w:shd w:val="clear" w:color="000000" w:fill="FFFFFF"/>
            <w:noWrap/>
            <w:vAlign w:val="bottom"/>
            <w:hideMark/>
          </w:tcPr>
          <w:p w14:paraId="3C58EB22"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276" w:type="dxa"/>
            <w:tcBorders>
              <w:top w:val="nil"/>
              <w:left w:val="nil"/>
              <w:bottom w:val="single" w:sz="4" w:space="0" w:color="BFBFBF"/>
              <w:right w:val="nil"/>
            </w:tcBorders>
            <w:shd w:val="clear" w:color="auto" w:fill="CCECFF"/>
            <w:noWrap/>
            <w:vAlign w:val="bottom"/>
            <w:hideMark/>
          </w:tcPr>
          <w:p w14:paraId="3A4159CF" w14:textId="77777777" w:rsidR="00280927" w:rsidRPr="00280927" w:rsidRDefault="00280927" w:rsidP="00280927">
            <w:pPr>
              <w:spacing w:after="0" w:line="240" w:lineRule="auto"/>
              <w:jc w:val="right"/>
              <w:rPr>
                <w:rFonts w:ascii="Arial" w:eastAsia="Times New Roman" w:hAnsi="Arial" w:cs="Arial"/>
                <w:b/>
                <w:bCs/>
                <w:sz w:val="15"/>
                <w:szCs w:val="15"/>
                <w:lang w:eastAsia="en-GB"/>
              </w:rPr>
            </w:pPr>
            <w:r w:rsidRPr="00280927">
              <w:rPr>
                <w:rFonts w:ascii="Arial" w:eastAsia="Times New Roman" w:hAnsi="Arial" w:cs="Arial"/>
                <w:b/>
                <w:bCs/>
                <w:sz w:val="15"/>
                <w:szCs w:val="15"/>
                <w:lang w:eastAsia="en-GB"/>
              </w:rPr>
              <w:t xml:space="preserve">1,399 </w:t>
            </w:r>
          </w:p>
        </w:tc>
        <w:tc>
          <w:tcPr>
            <w:tcW w:w="1140" w:type="dxa"/>
            <w:tcBorders>
              <w:top w:val="nil"/>
              <w:left w:val="nil"/>
              <w:bottom w:val="single" w:sz="4" w:space="0" w:color="BFBFBF"/>
              <w:right w:val="nil"/>
            </w:tcBorders>
            <w:shd w:val="clear" w:color="000000" w:fill="FFFFFF"/>
            <w:noWrap/>
            <w:vAlign w:val="bottom"/>
            <w:hideMark/>
          </w:tcPr>
          <w:p w14:paraId="781F2799"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xml:space="preserve">1,344 </w:t>
            </w:r>
          </w:p>
        </w:tc>
        <w:tc>
          <w:tcPr>
            <w:tcW w:w="1253" w:type="dxa"/>
            <w:tcBorders>
              <w:top w:val="nil"/>
              <w:left w:val="nil"/>
              <w:bottom w:val="single" w:sz="4" w:space="0" w:color="BFBFBF"/>
              <w:right w:val="nil"/>
            </w:tcBorders>
            <w:shd w:val="clear" w:color="000000" w:fill="FFFFFF"/>
            <w:noWrap/>
            <w:vAlign w:val="bottom"/>
            <w:hideMark/>
          </w:tcPr>
          <w:p w14:paraId="5E3F0AC5"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xml:space="preserve">1,372 </w:t>
            </w:r>
          </w:p>
        </w:tc>
        <w:tc>
          <w:tcPr>
            <w:tcW w:w="222" w:type="dxa"/>
            <w:vAlign w:val="center"/>
            <w:hideMark/>
          </w:tcPr>
          <w:p w14:paraId="338D20E0"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232DABB3" w14:textId="77777777" w:rsidTr="00D9630F">
        <w:trPr>
          <w:trHeight w:val="255"/>
        </w:trPr>
        <w:tc>
          <w:tcPr>
            <w:tcW w:w="1080" w:type="dxa"/>
            <w:tcBorders>
              <w:top w:val="nil"/>
              <w:left w:val="nil"/>
              <w:bottom w:val="nil"/>
              <w:right w:val="nil"/>
            </w:tcBorders>
            <w:shd w:val="clear" w:color="000000" w:fill="FFFFFF"/>
            <w:noWrap/>
            <w:vAlign w:val="bottom"/>
            <w:hideMark/>
          </w:tcPr>
          <w:p w14:paraId="69B2299B"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780" w:type="dxa"/>
            <w:tcBorders>
              <w:top w:val="nil"/>
              <w:left w:val="nil"/>
              <w:bottom w:val="nil"/>
              <w:right w:val="nil"/>
            </w:tcBorders>
            <w:shd w:val="clear" w:color="000000" w:fill="FFFFFF"/>
            <w:noWrap/>
            <w:vAlign w:val="bottom"/>
            <w:hideMark/>
          </w:tcPr>
          <w:p w14:paraId="72F317CA"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520" w:type="dxa"/>
            <w:tcBorders>
              <w:top w:val="nil"/>
              <w:left w:val="nil"/>
              <w:bottom w:val="nil"/>
              <w:right w:val="nil"/>
            </w:tcBorders>
            <w:shd w:val="clear" w:color="000000" w:fill="FFFFFF"/>
            <w:noWrap/>
            <w:vAlign w:val="bottom"/>
            <w:hideMark/>
          </w:tcPr>
          <w:p w14:paraId="72E4A394"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040" w:type="dxa"/>
            <w:tcBorders>
              <w:top w:val="nil"/>
              <w:left w:val="nil"/>
              <w:bottom w:val="nil"/>
              <w:right w:val="nil"/>
            </w:tcBorders>
            <w:shd w:val="clear" w:color="000000" w:fill="FFFFFF"/>
            <w:noWrap/>
            <w:vAlign w:val="bottom"/>
            <w:hideMark/>
          </w:tcPr>
          <w:p w14:paraId="48646711"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817" w:type="dxa"/>
            <w:tcBorders>
              <w:top w:val="nil"/>
              <w:left w:val="nil"/>
              <w:bottom w:val="nil"/>
              <w:right w:val="nil"/>
            </w:tcBorders>
            <w:shd w:val="clear" w:color="000000" w:fill="FFFFFF"/>
            <w:noWrap/>
            <w:vAlign w:val="bottom"/>
            <w:hideMark/>
          </w:tcPr>
          <w:p w14:paraId="4ED2CC38"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276" w:type="dxa"/>
            <w:tcBorders>
              <w:top w:val="nil"/>
              <w:left w:val="nil"/>
              <w:bottom w:val="nil"/>
              <w:right w:val="nil"/>
            </w:tcBorders>
            <w:shd w:val="clear" w:color="000000" w:fill="FFFFFF"/>
            <w:noWrap/>
            <w:vAlign w:val="bottom"/>
            <w:hideMark/>
          </w:tcPr>
          <w:p w14:paraId="07F16068" w14:textId="77777777" w:rsidR="00280927" w:rsidRPr="00280927" w:rsidRDefault="00280927" w:rsidP="00280927">
            <w:pPr>
              <w:spacing w:after="0" w:line="240" w:lineRule="auto"/>
              <w:rPr>
                <w:rFonts w:ascii="Arial" w:eastAsia="Times New Roman" w:hAnsi="Arial" w:cs="Arial"/>
                <w:b/>
                <w:bCs/>
                <w:sz w:val="15"/>
                <w:szCs w:val="15"/>
                <w:lang w:eastAsia="en-GB"/>
              </w:rPr>
            </w:pPr>
            <w:r w:rsidRPr="00280927">
              <w:rPr>
                <w:rFonts w:ascii="Arial" w:eastAsia="Times New Roman" w:hAnsi="Arial" w:cs="Arial"/>
                <w:b/>
                <w:bCs/>
                <w:sz w:val="15"/>
                <w:szCs w:val="15"/>
                <w:lang w:eastAsia="en-GB"/>
              </w:rPr>
              <w:t> </w:t>
            </w:r>
          </w:p>
        </w:tc>
        <w:tc>
          <w:tcPr>
            <w:tcW w:w="1140" w:type="dxa"/>
            <w:tcBorders>
              <w:top w:val="nil"/>
              <w:left w:val="nil"/>
              <w:bottom w:val="nil"/>
              <w:right w:val="nil"/>
            </w:tcBorders>
            <w:shd w:val="clear" w:color="000000" w:fill="FFFFFF"/>
            <w:noWrap/>
            <w:vAlign w:val="bottom"/>
            <w:hideMark/>
          </w:tcPr>
          <w:p w14:paraId="520C2403"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253" w:type="dxa"/>
            <w:tcBorders>
              <w:top w:val="nil"/>
              <w:left w:val="nil"/>
              <w:bottom w:val="nil"/>
              <w:right w:val="nil"/>
            </w:tcBorders>
            <w:shd w:val="clear" w:color="000000" w:fill="FFFFFF"/>
            <w:noWrap/>
            <w:vAlign w:val="bottom"/>
            <w:hideMark/>
          </w:tcPr>
          <w:p w14:paraId="36CE63B4"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222" w:type="dxa"/>
            <w:vAlign w:val="center"/>
            <w:hideMark/>
          </w:tcPr>
          <w:p w14:paraId="26D3B759"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54FDB731" w14:textId="77777777" w:rsidTr="00D9630F">
        <w:trPr>
          <w:trHeight w:val="255"/>
        </w:trPr>
        <w:tc>
          <w:tcPr>
            <w:tcW w:w="1080" w:type="dxa"/>
            <w:tcBorders>
              <w:top w:val="nil"/>
              <w:left w:val="nil"/>
              <w:bottom w:val="nil"/>
              <w:right w:val="nil"/>
            </w:tcBorders>
            <w:shd w:val="clear" w:color="000000" w:fill="FFFFFF"/>
            <w:noWrap/>
            <w:vAlign w:val="bottom"/>
            <w:hideMark/>
          </w:tcPr>
          <w:p w14:paraId="2A20A7C1"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780" w:type="dxa"/>
            <w:tcBorders>
              <w:top w:val="nil"/>
              <w:left w:val="nil"/>
              <w:bottom w:val="nil"/>
              <w:right w:val="nil"/>
            </w:tcBorders>
            <w:shd w:val="clear" w:color="000000" w:fill="FFFFFF"/>
            <w:noWrap/>
            <w:vAlign w:val="bottom"/>
            <w:hideMark/>
          </w:tcPr>
          <w:p w14:paraId="41D053A8"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520" w:type="dxa"/>
            <w:tcBorders>
              <w:top w:val="nil"/>
              <w:left w:val="nil"/>
              <w:bottom w:val="nil"/>
              <w:right w:val="nil"/>
            </w:tcBorders>
            <w:shd w:val="clear" w:color="000000" w:fill="FFFFFF"/>
            <w:noWrap/>
            <w:vAlign w:val="bottom"/>
            <w:hideMark/>
          </w:tcPr>
          <w:p w14:paraId="702624E0"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040" w:type="dxa"/>
            <w:tcBorders>
              <w:top w:val="nil"/>
              <w:left w:val="nil"/>
              <w:bottom w:val="nil"/>
              <w:right w:val="nil"/>
            </w:tcBorders>
            <w:shd w:val="clear" w:color="000000" w:fill="FFFFFF"/>
            <w:noWrap/>
            <w:vAlign w:val="bottom"/>
            <w:hideMark/>
          </w:tcPr>
          <w:p w14:paraId="0261A535"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817" w:type="dxa"/>
            <w:tcBorders>
              <w:top w:val="nil"/>
              <w:left w:val="nil"/>
              <w:bottom w:val="nil"/>
              <w:right w:val="nil"/>
            </w:tcBorders>
            <w:shd w:val="clear" w:color="000000" w:fill="FFFFFF"/>
            <w:noWrap/>
            <w:vAlign w:val="bottom"/>
            <w:hideMark/>
          </w:tcPr>
          <w:p w14:paraId="770B913B"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276" w:type="dxa"/>
            <w:tcBorders>
              <w:top w:val="nil"/>
              <w:left w:val="nil"/>
              <w:bottom w:val="nil"/>
              <w:right w:val="nil"/>
            </w:tcBorders>
            <w:shd w:val="clear" w:color="000000" w:fill="FFFFFF"/>
            <w:noWrap/>
            <w:vAlign w:val="bottom"/>
            <w:hideMark/>
          </w:tcPr>
          <w:p w14:paraId="11CF805F"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140" w:type="dxa"/>
            <w:tcBorders>
              <w:top w:val="nil"/>
              <w:left w:val="nil"/>
              <w:bottom w:val="nil"/>
              <w:right w:val="nil"/>
            </w:tcBorders>
            <w:shd w:val="clear" w:color="000000" w:fill="FFFFFF"/>
            <w:noWrap/>
            <w:vAlign w:val="bottom"/>
            <w:hideMark/>
          </w:tcPr>
          <w:p w14:paraId="607C7156"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253" w:type="dxa"/>
            <w:tcBorders>
              <w:top w:val="nil"/>
              <w:left w:val="nil"/>
              <w:bottom w:val="nil"/>
              <w:right w:val="nil"/>
            </w:tcBorders>
            <w:shd w:val="clear" w:color="000000" w:fill="FFFFFF"/>
            <w:noWrap/>
            <w:vAlign w:val="bottom"/>
            <w:hideMark/>
          </w:tcPr>
          <w:p w14:paraId="2114CC42"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222" w:type="dxa"/>
            <w:vAlign w:val="center"/>
            <w:hideMark/>
          </w:tcPr>
          <w:p w14:paraId="35ECB58D"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088B9B86" w14:textId="77777777" w:rsidTr="00D9630F">
        <w:trPr>
          <w:trHeight w:val="390"/>
        </w:trPr>
        <w:tc>
          <w:tcPr>
            <w:tcW w:w="4380" w:type="dxa"/>
            <w:gridSpan w:val="3"/>
            <w:tcBorders>
              <w:top w:val="single" w:sz="4" w:space="0" w:color="BFBFBF"/>
              <w:left w:val="single" w:sz="4" w:space="0" w:color="BFBFBF"/>
              <w:bottom w:val="nil"/>
              <w:right w:val="nil"/>
            </w:tcBorders>
            <w:shd w:val="clear" w:color="auto" w:fill="auto"/>
            <w:noWrap/>
            <w:vAlign w:val="bottom"/>
            <w:hideMark/>
          </w:tcPr>
          <w:p w14:paraId="2469ABE4" w14:textId="77777777" w:rsidR="00280927" w:rsidRPr="00280927" w:rsidRDefault="00280927" w:rsidP="00280927">
            <w:pPr>
              <w:spacing w:after="0" w:line="240" w:lineRule="auto"/>
              <w:rPr>
                <w:rFonts w:ascii="Arial" w:eastAsia="Times New Roman" w:hAnsi="Arial" w:cs="Arial"/>
                <w:b/>
                <w:bCs/>
                <w:sz w:val="15"/>
                <w:szCs w:val="15"/>
                <w:lang w:eastAsia="en-GB"/>
              </w:rPr>
            </w:pPr>
            <w:r w:rsidRPr="00280927">
              <w:rPr>
                <w:rFonts w:ascii="Arial" w:eastAsia="Times New Roman" w:hAnsi="Arial" w:cs="Arial"/>
                <w:b/>
                <w:bCs/>
                <w:sz w:val="15"/>
                <w:szCs w:val="15"/>
                <w:lang w:eastAsia="en-GB"/>
              </w:rPr>
              <w:t>Fair value through the income statement:</w:t>
            </w:r>
          </w:p>
        </w:tc>
        <w:tc>
          <w:tcPr>
            <w:tcW w:w="1040" w:type="dxa"/>
            <w:tcBorders>
              <w:top w:val="single" w:sz="4" w:space="0" w:color="BFBFBF"/>
              <w:left w:val="nil"/>
              <w:bottom w:val="nil"/>
              <w:right w:val="nil"/>
            </w:tcBorders>
            <w:shd w:val="clear" w:color="auto" w:fill="auto"/>
            <w:noWrap/>
            <w:vAlign w:val="bottom"/>
            <w:hideMark/>
          </w:tcPr>
          <w:p w14:paraId="04F4228C"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817" w:type="dxa"/>
            <w:tcBorders>
              <w:top w:val="single" w:sz="4" w:space="0" w:color="BFBFBF"/>
              <w:left w:val="nil"/>
              <w:bottom w:val="nil"/>
              <w:right w:val="nil"/>
            </w:tcBorders>
            <w:shd w:val="clear" w:color="auto" w:fill="auto"/>
            <w:hideMark/>
          </w:tcPr>
          <w:p w14:paraId="24DE0ABC"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276" w:type="dxa"/>
            <w:tcBorders>
              <w:top w:val="single" w:sz="4" w:space="0" w:color="BFBFBF"/>
              <w:left w:val="nil"/>
              <w:bottom w:val="nil"/>
              <w:right w:val="nil"/>
            </w:tcBorders>
            <w:shd w:val="clear" w:color="auto" w:fill="auto"/>
            <w:hideMark/>
          </w:tcPr>
          <w:p w14:paraId="754E98C6" w14:textId="77777777" w:rsidR="00280927" w:rsidRPr="00280927" w:rsidRDefault="00280927" w:rsidP="00280927">
            <w:pPr>
              <w:spacing w:after="0" w:line="240" w:lineRule="auto"/>
              <w:jc w:val="right"/>
              <w:rPr>
                <w:rFonts w:ascii="Arial" w:eastAsia="Times New Roman" w:hAnsi="Arial" w:cs="Arial"/>
                <w:b/>
                <w:bCs/>
                <w:sz w:val="15"/>
                <w:szCs w:val="15"/>
                <w:lang w:eastAsia="en-GB"/>
              </w:rPr>
            </w:pPr>
            <w:r w:rsidRPr="00280927">
              <w:rPr>
                <w:rFonts w:ascii="Arial" w:eastAsia="Times New Roman" w:hAnsi="Arial" w:cs="Arial"/>
                <w:b/>
                <w:bCs/>
                <w:sz w:val="15"/>
                <w:szCs w:val="15"/>
                <w:lang w:eastAsia="en-GB"/>
              </w:rPr>
              <w:t>2 July 2022 (unaudited)</w:t>
            </w:r>
          </w:p>
        </w:tc>
        <w:tc>
          <w:tcPr>
            <w:tcW w:w="1140" w:type="dxa"/>
            <w:tcBorders>
              <w:top w:val="single" w:sz="4" w:space="0" w:color="BFBFBF"/>
              <w:left w:val="nil"/>
              <w:bottom w:val="nil"/>
              <w:right w:val="nil"/>
            </w:tcBorders>
            <w:shd w:val="clear" w:color="auto" w:fill="auto"/>
            <w:hideMark/>
          </w:tcPr>
          <w:p w14:paraId="6347D2E6"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3 July 2021 (unaudited)</w:t>
            </w:r>
          </w:p>
        </w:tc>
        <w:tc>
          <w:tcPr>
            <w:tcW w:w="1253" w:type="dxa"/>
            <w:tcBorders>
              <w:top w:val="single" w:sz="4" w:space="0" w:color="BFBFBF"/>
              <w:left w:val="nil"/>
              <w:bottom w:val="nil"/>
              <w:right w:val="single" w:sz="4" w:space="0" w:color="BFBFBF"/>
            </w:tcBorders>
            <w:shd w:val="clear" w:color="auto" w:fill="auto"/>
            <w:hideMark/>
          </w:tcPr>
          <w:p w14:paraId="55729BD8"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1 January 2022 (audited)</w:t>
            </w:r>
          </w:p>
        </w:tc>
        <w:tc>
          <w:tcPr>
            <w:tcW w:w="222" w:type="dxa"/>
            <w:vAlign w:val="center"/>
            <w:hideMark/>
          </w:tcPr>
          <w:p w14:paraId="28D18297"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59D038B4" w14:textId="77777777" w:rsidTr="00D9630F">
        <w:trPr>
          <w:trHeight w:val="255"/>
        </w:trPr>
        <w:tc>
          <w:tcPr>
            <w:tcW w:w="1080" w:type="dxa"/>
            <w:tcBorders>
              <w:top w:val="nil"/>
              <w:left w:val="single" w:sz="4" w:space="0" w:color="BFBFBF"/>
              <w:bottom w:val="single" w:sz="4" w:space="0" w:color="BFBFBF"/>
              <w:right w:val="nil"/>
            </w:tcBorders>
            <w:shd w:val="clear" w:color="auto" w:fill="auto"/>
            <w:noWrap/>
            <w:vAlign w:val="bottom"/>
            <w:hideMark/>
          </w:tcPr>
          <w:p w14:paraId="6EDA0DC9"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780" w:type="dxa"/>
            <w:tcBorders>
              <w:top w:val="nil"/>
              <w:left w:val="nil"/>
              <w:bottom w:val="single" w:sz="4" w:space="0" w:color="BFBFBF"/>
              <w:right w:val="nil"/>
            </w:tcBorders>
            <w:shd w:val="clear" w:color="auto" w:fill="auto"/>
            <w:noWrap/>
            <w:vAlign w:val="bottom"/>
            <w:hideMark/>
          </w:tcPr>
          <w:p w14:paraId="3E4FDB5F"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520" w:type="dxa"/>
            <w:tcBorders>
              <w:top w:val="nil"/>
              <w:left w:val="nil"/>
              <w:bottom w:val="single" w:sz="4" w:space="0" w:color="BFBFBF"/>
              <w:right w:val="nil"/>
            </w:tcBorders>
            <w:shd w:val="clear" w:color="auto" w:fill="auto"/>
            <w:noWrap/>
            <w:vAlign w:val="bottom"/>
            <w:hideMark/>
          </w:tcPr>
          <w:p w14:paraId="189F8F06"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040" w:type="dxa"/>
            <w:tcBorders>
              <w:top w:val="nil"/>
              <w:left w:val="nil"/>
              <w:bottom w:val="single" w:sz="4" w:space="0" w:color="BFBFBF"/>
              <w:right w:val="nil"/>
            </w:tcBorders>
            <w:shd w:val="clear" w:color="auto" w:fill="auto"/>
            <w:noWrap/>
            <w:vAlign w:val="bottom"/>
            <w:hideMark/>
          </w:tcPr>
          <w:p w14:paraId="3C3EA5E8"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817" w:type="dxa"/>
            <w:tcBorders>
              <w:top w:val="nil"/>
              <w:left w:val="nil"/>
              <w:bottom w:val="single" w:sz="4" w:space="0" w:color="BFBFBF"/>
              <w:right w:val="nil"/>
            </w:tcBorders>
            <w:shd w:val="clear" w:color="auto" w:fill="auto"/>
            <w:hideMark/>
          </w:tcPr>
          <w:p w14:paraId="4A6F8F1F"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276" w:type="dxa"/>
            <w:tcBorders>
              <w:top w:val="nil"/>
              <w:left w:val="nil"/>
              <w:bottom w:val="single" w:sz="4" w:space="0" w:color="BFBFBF"/>
              <w:right w:val="nil"/>
            </w:tcBorders>
            <w:shd w:val="clear" w:color="auto" w:fill="auto"/>
            <w:hideMark/>
          </w:tcPr>
          <w:p w14:paraId="34D269EF" w14:textId="77777777" w:rsidR="00280927" w:rsidRPr="00280927" w:rsidRDefault="00280927" w:rsidP="00280927">
            <w:pPr>
              <w:spacing w:after="0" w:line="240" w:lineRule="auto"/>
              <w:jc w:val="right"/>
              <w:rPr>
                <w:rFonts w:ascii="Arial" w:eastAsia="Times New Roman" w:hAnsi="Arial" w:cs="Arial"/>
                <w:b/>
                <w:bCs/>
                <w:sz w:val="15"/>
                <w:szCs w:val="15"/>
                <w:lang w:eastAsia="en-GB"/>
              </w:rPr>
            </w:pPr>
            <w:r w:rsidRPr="00280927">
              <w:rPr>
                <w:rFonts w:ascii="Arial" w:eastAsia="Times New Roman" w:hAnsi="Arial" w:cs="Arial"/>
                <w:b/>
                <w:bCs/>
                <w:sz w:val="15"/>
                <w:szCs w:val="15"/>
                <w:lang w:eastAsia="en-GB"/>
              </w:rPr>
              <w:t>£m</w:t>
            </w:r>
          </w:p>
        </w:tc>
        <w:tc>
          <w:tcPr>
            <w:tcW w:w="1140" w:type="dxa"/>
            <w:tcBorders>
              <w:top w:val="nil"/>
              <w:left w:val="nil"/>
              <w:bottom w:val="single" w:sz="4" w:space="0" w:color="BFBFBF"/>
              <w:right w:val="nil"/>
            </w:tcBorders>
            <w:shd w:val="clear" w:color="auto" w:fill="auto"/>
            <w:hideMark/>
          </w:tcPr>
          <w:p w14:paraId="0736CF38"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£m</w:t>
            </w:r>
          </w:p>
        </w:tc>
        <w:tc>
          <w:tcPr>
            <w:tcW w:w="1253" w:type="dxa"/>
            <w:tcBorders>
              <w:top w:val="nil"/>
              <w:left w:val="nil"/>
              <w:bottom w:val="single" w:sz="4" w:space="0" w:color="BFBFBF"/>
              <w:right w:val="single" w:sz="4" w:space="0" w:color="BFBFBF"/>
            </w:tcBorders>
            <w:shd w:val="clear" w:color="auto" w:fill="auto"/>
            <w:hideMark/>
          </w:tcPr>
          <w:p w14:paraId="5CB83F34"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£m</w:t>
            </w:r>
          </w:p>
        </w:tc>
        <w:tc>
          <w:tcPr>
            <w:tcW w:w="222" w:type="dxa"/>
            <w:vAlign w:val="center"/>
            <w:hideMark/>
          </w:tcPr>
          <w:p w14:paraId="235DA002"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06DDFD66" w14:textId="77777777" w:rsidTr="00D9630F">
        <w:trPr>
          <w:trHeight w:val="255"/>
        </w:trPr>
        <w:tc>
          <w:tcPr>
            <w:tcW w:w="2860" w:type="dxa"/>
            <w:gridSpan w:val="2"/>
            <w:tcBorders>
              <w:top w:val="nil"/>
              <w:left w:val="nil"/>
              <w:bottom w:val="single" w:sz="4" w:space="0" w:color="BFBFBF"/>
              <w:right w:val="nil"/>
            </w:tcBorders>
            <w:shd w:val="clear" w:color="000000" w:fill="FFFFFF"/>
            <w:noWrap/>
            <w:vAlign w:val="bottom"/>
            <w:hideMark/>
          </w:tcPr>
          <w:p w14:paraId="241C3246"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Funeral plan investments</w:t>
            </w:r>
          </w:p>
        </w:tc>
        <w:tc>
          <w:tcPr>
            <w:tcW w:w="1520" w:type="dxa"/>
            <w:tcBorders>
              <w:top w:val="nil"/>
              <w:left w:val="nil"/>
              <w:bottom w:val="single" w:sz="4" w:space="0" w:color="BFBFBF"/>
              <w:right w:val="nil"/>
            </w:tcBorders>
            <w:shd w:val="clear" w:color="000000" w:fill="FFFFFF"/>
            <w:noWrap/>
            <w:vAlign w:val="bottom"/>
            <w:hideMark/>
          </w:tcPr>
          <w:p w14:paraId="68C17BF2"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040" w:type="dxa"/>
            <w:tcBorders>
              <w:top w:val="nil"/>
              <w:left w:val="nil"/>
              <w:bottom w:val="single" w:sz="4" w:space="0" w:color="BFBFBF"/>
              <w:right w:val="nil"/>
            </w:tcBorders>
            <w:shd w:val="clear" w:color="000000" w:fill="FFFFFF"/>
            <w:noWrap/>
            <w:vAlign w:val="bottom"/>
            <w:hideMark/>
          </w:tcPr>
          <w:p w14:paraId="61BCEEEB"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817" w:type="dxa"/>
            <w:tcBorders>
              <w:top w:val="nil"/>
              <w:left w:val="nil"/>
              <w:bottom w:val="single" w:sz="4" w:space="0" w:color="BFBFBF"/>
              <w:right w:val="nil"/>
            </w:tcBorders>
            <w:shd w:val="clear" w:color="000000" w:fill="FFFFFF"/>
            <w:noWrap/>
            <w:vAlign w:val="bottom"/>
            <w:hideMark/>
          </w:tcPr>
          <w:p w14:paraId="28269ED0"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276" w:type="dxa"/>
            <w:tcBorders>
              <w:top w:val="nil"/>
              <w:left w:val="nil"/>
              <w:bottom w:val="single" w:sz="4" w:space="0" w:color="BFBFBF"/>
              <w:right w:val="nil"/>
            </w:tcBorders>
            <w:shd w:val="clear" w:color="auto" w:fill="CCECFF"/>
            <w:noWrap/>
            <w:vAlign w:val="bottom"/>
            <w:hideMark/>
          </w:tcPr>
          <w:p w14:paraId="6CA76B8D" w14:textId="77777777" w:rsidR="00280927" w:rsidRPr="00280927" w:rsidRDefault="00280927" w:rsidP="00280927">
            <w:pPr>
              <w:spacing w:after="0" w:line="240" w:lineRule="auto"/>
              <w:jc w:val="right"/>
              <w:rPr>
                <w:rFonts w:ascii="Arial" w:eastAsia="Times New Roman" w:hAnsi="Arial" w:cs="Arial"/>
                <w:b/>
                <w:bCs/>
                <w:sz w:val="15"/>
                <w:szCs w:val="15"/>
                <w:lang w:eastAsia="en-GB"/>
              </w:rPr>
            </w:pPr>
            <w:r w:rsidRPr="00280927">
              <w:rPr>
                <w:rFonts w:ascii="Arial" w:eastAsia="Times New Roman" w:hAnsi="Arial" w:cs="Arial"/>
                <w:b/>
                <w:bCs/>
                <w:sz w:val="15"/>
                <w:szCs w:val="15"/>
                <w:lang w:eastAsia="en-GB"/>
              </w:rPr>
              <w:t xml:space="preserve">1,399 </w:t>
            </w:r>
          </w:p>
        </w:tc>
        <w:tc>
          <w:tcPr>
            <w:tcW w:w="1140" w:type="dxa"/>
            <w:tcBorders>
              <w:top w:val="nil"/>
              <w:left w:val="nil"/>
              <w:bottom w:val="single" w:sz="4" w:space="0" w:color="BFBFBF"/>
              <w:right w:val="nil"/>
            </w:tcBorders>
            <w:shd w:val="clear" w:color="000000" w:fill="FFFFFF"/>
            <w:noWrap/>
            <w:vAlign w:val="bottom"/>
            <w:hideMark/>
          </w:tcPr>
          <w:p w14:paraId="6DD5DFD4"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xml:space="preserve">1,344 </w:t>
            </w:r>
          </w:p>
        </w:tc>
        <w:tc>
          <w:tcPr>
            <w:tcW w:w="1253" w:type="dxa"/>
            <w:tcBorders>
              <w:top w:val="nil"/>
              <w:left w:val="nil"/>
              <w:bottom w:val="single" w:sz="4" w:space="0" w:color="BFBFBF"/>
              <w:right w:val="nil"/>
            </w:tcBorders>
            <w:shd w:val="clear" w:color="000000" w:fill="FFFFFF"/>
            <w:noWrap/>
            <w:vAlign w:val="bottom"/>
            <w:hideMark/>
          </w:tcPr>
          <w:p w14:paraId="40F8BF87"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xml:space="preserve">1,372 </w:t>
            </w:r>
          </w:p>
        </w:tc>
        <w:tc>
          <w:tcPr>
            <w:tcW w:w="222" w:type="dxa"/>
            <w:vAlign w:val="center"/>
            <w:hideMark/>
          </w:tcPr>
          <w:p w14:paraId="21D86D18"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69ADD2D1" w14:textId="77777777" w:rsidTr="00D9630F">
        <w:trPr>
          <w:trHeight w:val="282"/>
        </w:trPr>
        <w:tc>
          <w:tcPr>
            <w:tcW w:w="2860" w:type="dxa"/>
            <w:gridSpan w:val="2"/>
            <w:tcBorders>
              <w:top w:val="single" w:sz="4" w:space="0" w:color="BFBFBF"/>
              <w:left w:val="nil"/>
              <w:bottom w:val="single" w:sz="4" w:space="0" w:color="BFBFBF"/>
              <w:right w:val="nil"/>
            </w:tcBorders>
            <w:shd w:val="clear" w:color="000000" w:fill="FFFFFF"/>
            <w:noWrap/>
            <w:vAlign w:val="bottom"/>
            <w:hideMark/>
          </w:tcPr>
          <w:p w14:paraId="0D4EF711" w14:textId="77777777" w:rsidR="00280927" w:rsidRPr="00280927" w:rsidRDefault="00280927" w:rsidP="00280927">
            <w:pPr>
              <w:spacing w:after="0" w:line="240" w:lineRule="auto"/>
              <w:rPr>
                <w:rFonts w:ascii="Arial" w:eastAsia="Times New Roman" w:hAnsi="Arial" w:cs="Arial"/>
                <w:b/>
                <w:bCs/>
                <w:sz w:val="15"/>
                <w:szCs w:val="15"/>
                <w:lang w:eastAsia="en-GB"/>
              </w:rPr>
            </w:pPr>
            <w:r w:rsidRPr="00280927">
              <w:rPr>
                <w:rFonts w:ascii="Arial" w:eastAsia="Times New Roman" w:hAnsi="Arial" w:cs="Arial"/>
                <w:b/>
                <w:bCs/>
                <w:sz w:val="15"/>
                <w:szCs w:val="15"/>
                <w:lang w:eastAsia="en-GB"/>
              </w:rPr>
              <w:t>Total Funeral plan investments</w:t>
            </w:r>
          </w:p>
        </w:tc>
        <w:tc>
          <w:tcPr>
            <w:tcW w:w="1520" w:type="dxa"/>
            <w:tcBorders>
              <w:top w:val="nil"/>
              <w:left w:val="nil"/>
              <w:bottom w:val="single" w:sz="4" w:space="0" w:color="BFBFBF"/>
              <w:right w:val="nil"/>
            </w:tcBorders>
            <w:shd w:val="clear" w:color="000000" w:fill="FFFFFF"/>
            <w:noWrap/>
            <w:vAlign w:val="bottom"/>
            <w:hideMark/>
          </w:tcPr>
          <w:p w14:paraId="296905D1"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040" w:type="dxa"/>
            <w:tcBorders>
              <w:top w:val="nil"/>
              <w:left w:val="nil"/>
              <w:bottom w:val="single" w:sz="4" w:space="0" w:color="BFBFBF"/>
              <w:right w:val="nil"/>
            </w:tcBorders>
            <w:shd w:val="clear" w:color="000000" w:fill="FFFFFF"/>
            <w:noWrap/>
            <w:vAlign w:val="bottom"/>
            <w:hideMark/>
          </w:tcPr>
          <w:p w14:paraId="3D10F712"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817" w:type="dxa"/>
            <w:tcBorders>
              <w:top w:val="nil"/>
              <w:left w:val="nil"/>
              <w:bottom w:val="single" w:sz="4" w:space="0" w:color="BFBFBF"/>
              <w:right w:val="nil"/>
            </w:tcBorders>
            <w:shd w:val="clear" w:color="000000" w:fill="FFFFFF"/>
            <w:noWrap/>
            <w:vAlign w:val="bottom"/>
            <w:hideMark/>
          </w:tcPr>
          <w:p w14:paraId="4EE346B4"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w:t>
            </w:r>
          </w:p>
        </w:tc>
        <w:tc>
          <w:tcPr>
            <w:tcW w:w="1276" w:type="dxa"/>
            <w:tcBorders>
              <w:top w:val="nil"/>
              <w:left w:val="nil"/>
              <w:bottom w:val="single" w:sz="4" w:space="0" w:color="BFBFBF"/>
              <w:right w:val="nil"/>
            </w:tcBorders>
            <w:shd w:val="clear" w:color="auto" w:fill="CCECFF"/>
            <w:noWrap/>
            <w:vAlign w:val="bottom"/>
            <w:hideMark/>
          </w:tcPr>
          <w:p w14:paraId="001C4714" w14:textId="77777777" w:rsidR="00280927" w:rsidRPr="00280927" w:rsidRDefault="00280927" w:rsidP="00280927">
            <w:pPr>
              <w:spacing w:after="0" w:line="240" w:lineRule="auto"/>
              <w:jc w:val="right"/>
              <w:rPr>
                <w:rFonts w:ascii="Arial" w:eastAsia="Times New Roman" w:hAnsi="Arial" w:cs="Arial"/>
                <w:b/>
                <w:bCs/>
                <w:sz w:val="15"/>
                <w:szCs w:val="15"/>
                <w:lang w:eastAsia="en-GB"/>
              </w:rPr>
            </w:pPr>
            <w:r w:rsidRPr="00280927">
              <w:rPr>
                <w:rFonts w:ascii="Arial" w:eastAsia="Times New Roman" w:hAnsi="Arial" w:cs="Arial"/>
                <w:b/>
                <w:bCs/>
                <w:sz w:val="15"/>
                <w:szCs w:val="15"/>
                <w:lang w:eastAsia="en-GB"/>
              </w:rPr>
              <w:t xml:space="preserve">1,399 </w:t>
            </w:r>
          </w:p>
        </w:tc>
        <w:tc>
          <w:tcPr>
            <w:tcW w:w="1140" w:type="dxa"/>
            <w:tcBorders>
              <w:top w:val="nil"/>
              <w:left w:val="nil"/>
              <w:bottom w:val="single" w:sz="4" w:space="0" w:color="BFBFBF"/>
              <w:right w:val="nil"/>
            </w:tcBorders>
            <w:shd w:val="clear" w:color="000000" w:fill="FFFFFF"/>
            <w:noWrap/>
            <w:vAlign w:val="bottom"/>
            <w:hideMark/>
          </w:tcPr>
          <w:p w14:paraId="57DF7C04"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xml:space="preserve">1,344 </w:t>
            </w:r>
          </w:p>
        </w:tc>
        <w:tc>
          <w:tcPr>
            <w:tcW w:w="1253" w:type="dxa"/>
            <w:tcBorders>
              <w:top w:val="nil"/>
              <w:left w:val="nil"/>
              <w:bottom w:val="single" w:sz="4" w:space="0" w:color="BFBFBF"/>
              <w:right w:val="nil"/>
            </w:tcBorders>
            <w:shd w:val="clear" w:color="000000" w:fill="FFFFFF"/>
            <w:noWrap/>
            <w:vAlign w:val="bottom"/>
            <w:hideMark/>
          </w:tcPr>
          <w:p w14:paraId="33A596AC" w14:textId="77777777" w:rsidR="00280927" w:rsidRPr="00280927" w:rsidRDefault="00280927" w:rsidP="00280927">
            <w:pPr>
              <w:spacing w:after="0" w:line="240" w:lineRule="auto"/>
              <w:jc w:val="right"/>
              <w:rPr>
                <w:rFonts w:ascii="Arial" w:eastAsia="Times New Roman" w:hAnsi="Arial" w:cs="Arial"/>
                <w:sz w:val="15"/>
                <w:szCs w:val="15"/>
                <w:lang w:eastAsia="en-GB"/>
              </w:rPr>
            </w:pPr>
            <w:r w:rsidRPr="00280927">
              <w:rPr>
                <w:rFonts w:ascii="Arial" w:eastAsia="Times New Roman" w:hAnsi="Arial" w:cs="Arial"/>
                <w:sz w:val="15"/>
                <w:szCs w:val="15"/>
                <w:lang w:eastAsia="en-GB"/>
              </w:rPr>
              <w:t xml:space="preserve">1,372 </w:t>
            </w:r>
          </w:p>
        </w:tc>
        <w:tc>
          <w:tcPr>
            <w:tcW w:w="222" w:type="dxa"/>
            <w:vAlign w:val="center"/>
            <w:hideMark/>
          </w:tcPr>
          <w:p w14:paraId="729217F4"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3AF4BADB" w14:textId="77777777" w:rsidTr="00D9630F">
        <w:trPr>
          <w:trHeight w:val="465"/>
        </w:trPr>
        <w:tc>
          <w:tcPr>
            <w:tcW w:w="1080" w:type="dxa"/>
            <w:tcBorders>
              <w:top w:val="nil"/>
              <w:left w:val="nil"/>
              <w:bottom w:val="nil"/>
              <w:right w:val="nil"/>
            </w:tcBorders>
            <w:shd w:val="clear" w:color="auto" w:fill="auto"/>
            <w:noWrap/>
            <w:vAlign w:val="bottom"/>
            <w:hideMark/>
          </w:tcPr>
          <w:p w14:paraId="4C7D7A69" w14:textId="77777777" w:rsidR="00280927" w:rsidRPr="00280927" w:rsidRDefault="00280927" w:rsidP="00280927">
            <w:pPr>
              <w:spacing w:after="0" w:line="240" w:lineRule="auto"/>
              <w:jc w:val="right"/>
              <w:rPr>
                <w:rFonts w:ascii="Arial" w:eastAsia="Times New Roman" w:hAnsi="Arial" w:cs="Arial"/>
                <w:sz w:val="15"/>
                <w:szCs w:val="15"/>
                <w:lang w:eastAsia="en-GB"/>
              </w:rPr>
            </w:pPr>
          </w:p>
        </w:tc>
        <w:tc>
          <w:tcPr>
            <w:tcW w:w="1780" w:type="dxa"/>
            <w:tcBorders>
              <w:top w:val="nil"/>
              <w:left w:val="nil"/>
              <w:bottom w:val="nil"/>
              <w:right w:val="nil"/>
            </w:tcBorders>
            <w:shd w:val="clear" w:color="auto" w:fill="auto"/>
            <w:noWrap/>
            <w:vAlign w:val="bottom"/>
            <w:hideMark/>
          </w:tcPr>
          <w:p w14:paraId="04CDE9DC"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14:paraId="6A915CFC"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65A914FF"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817" w:type="dxa"/>
            <w:tcBorders>
              <w:top w:val="nil"/>
              <w:left w:val="nil"/>
              <w:bottom w:val="nil"/>
              <w:right w:val="nil"/>
            </w:tcBorders>
            <w:shd w:val="clear" w:color="auto" w:fill="auto"/>
            <w:noWrap/>
            <w:vAlign w:val="bottom"/>
            <w:hideMark/>
          </w:tcPr>
          <w:p w14:paraId="22977898"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27FA1FA9"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419D51F6"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253" w:type="dxa"/>
            <w:tcBorders>
              <w:top w:val="nil"/>
              <w:left w:val="nil"/>
              <w:bottom w:val="nil"/>
              <w:right w:val="nil"/>
            </w:tcBorders>
            <w:shd w:val="clear" w:color="auto" w:fill="auto"/>
            <w:noWrap/>
            <w:vAlign w:val="bottom"/>
            <w:hideMark/>
          </w:tcPr>
          <w:p w14:paraId="4B5E33B7"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77F2DC27"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3E3C4337" w14:textId="77777777" w:rsidTr="00D9630F">
        <w:trPr>
          <w:trHeight w:val="255"/>
        </w:trPr>
        <w:tc>
          <w:tcPr>
            <w:tcW w:w="4380" w:type="dxa"/>
            <w:gridSpan w:val="3"/>
            <w:tcBorders>
              <w:top w:val="nil"/>
              <w:left w:val="nil"/>
              <w:bottom w:val="nil"/>
              <w:right w:val="nil"/>
            </w:tcBorders>
            <w:shd w:val="clear" w:color="auto" w:fill="auto"/>
            <w:noWrap/>
            <w:vAlign w:val="bottom"/>
            <w:hideMark/>
          </w:tcPr>
          <w:p w14:paraId="59B1329B" w14:textId="77777777" w:rsidR="00280927" w:rsidRPr="00280927" w:rsidRDefault="00280927" w:rsidP="00280927">
            <w:pPr>
              <w:spacing w:after="0" w:line="240" w:lineRule="auto"/>
              <w:rPr>
                <w:rFonts w:ascii="Arial" w:eastAsia="Times New Roman" w:hAnsi="Arial" w:cs="Arial"/>
                <w:b/>
                <w:bCs/>
                <w:sz w:val="18"/>
                <w:szCs w:val="18"/>
                <w:lang w:eastAsia="en-GB"/>
              </w:rPr>
            </w:pPr>
            <w:r w:rsidRPr="00280927">
              <w:rPr>
                <w:rFonts w:ascii="Arial" w:eastAsia="Times New Roman" w:hAnsi="Arial" w:cs="Arial"/>
                <w:b/>
                <w:bCs/>
                <w:sz w:val="18"/>
                <w:szCs w:val="18"/>
                <w:lang w:eastAsia="en-GB"/>
              </w:rPr>
              <w:t>Fair values recognised in the balance sheet</w:t>
            </w:r>
          </w:p>
        </w:tc>
        <w:tc>
          <w:tcPr>
            <w:tcW w:w="1040" w:type="dxa"/>
            <w:tcBorders>
              <w:top w:val="nil"/>
              <w:left w:val="nil"/>
              <w:bottom w:val="nil"/>
              <w:right w:val="nil"/>
            </w:tcBorders>
            <w:shd w:val="clear" w:color="auto" w:fill="auto"/>
            <w:noWrap/>
            <w:vAlign w:val="bottom"/>
            <w:hideMark/>
          </w:tcPr>
          <w:p w14:paraId="7DEF5659" w14:textId="77777777" w:rsidR="00280927" w:rsidRPr="00280927" w:rsidRDefault="00280927" w:rsidP="00280927">
            <w:pPr>
              <w:spacing w:after="0" w:line="240" w:lineRule="auto"/>
              <w:rPr>
                <w:rFonts w:ascii="Arial" w:eastAsia="Times New Roman" w:hAnsi="Arial" w:cs="Arial"/>
                <w:b/>
                <w:bCs/>
                <w:sz w:val="18"/>
                <w:szCs w:val="18"/>
                <w:lang w:eastAsia="en-GB"/>
              </w:rPr>
            </w:pPr>
          </w:p>
        </w:tc>
        <w:tc>
          <w:tcPr>
            <w:tcW w:w="817" w:type="dxa"/>
            <w:tcBorders>
              <w:top w:val="nil"/>
              <w:left w:val="nil"/>
              <w:bottom w:val="nil"/>
              <w:right w:val="nil"/>
            </w:tcBorders>
            <w:shd w:val="clear" w:color="auto" w:fill="auto"/>
            <w:noWrap/>
            <w:vAlign w:val="bottom"/>
            <w:hideMark/>
          </w:tcPr>
          <w:p w14:paraId="61D07FB4"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6C00179"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F0533B4"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253" w:type="dxa"/>
            <w:tcBorders>
              <w:top w:val="nil"/>
              <w:left w:val="nil"/>
              <w:bottom w:val="nil"/>
              <w:right w:val="nil"/>
            </w:tcBorders>
            <w:shd w:val="clear" w:color="auto" w:fill="auto"/>
            <w:noWrap/>
            <w:vAlign w:val="bottom"/>
            <w:hideMark/>
          </w:tcPr>
          <w:p w14:paraId="659D7BCC"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65A3212A"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32F5B5F7" w14:textId="77777777" w:rsidTr="00D9630F">
        <w:trPr>
          <w:trHeight w:val="102"/>
        </w:trPr>
        <w:tc>
          <w:tcPr>
            <w:tcW w:w="1080" w:type="dxa"/>
            <w:tcBorders>
              <w:top w:val="nil"/>
              <w:left w:val="nil"/>
              <w:bottom w:val="nil"/>
              <w:right w:val="nil"/>
            </w:tcBorders>
            <w:shd w:val="clear" w:color="auto" w:fill="auto"/>
            <w:noWrap/>
            <w:vAlign w:val="bottom"/>
            <w:hideMark/>
          </w:tcPr>
          <w:p w14:paraId="28EB7198"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780" w:type="dxa"/>
            <w:tcBorders>
              <w:top w:val="nil"/>
              <w:left w:val="nil"/>
              <w:bottom w:val="nil"/>
              <w:right w:val="nil"/>
            </w:tcBorders>
            <w:shd w:val="clear" w:color="auto" w:fill="auto"/>
            <w:noWrap/>
            <w:vAlign w:val="bottom"/>
            <w:hideMark/>
          </w:tcPr>
          <w:p w14:paraId="6B719B2C"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14:paraId="005AE7B7"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noWrap/>
            <w:vAlign w:val="bottom"/>
            <w:hideMark/>
          </w:tcPr>
          <w:p w14:paraId="3A780D5B"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817" w:type="dxa"/>
            <w:tcBorders>
              <w:top w:val="nil"/>
              <w:left w:val="nil"/>
              <w:bottom w:val="nil"/>
              <w:right w:val="nil"/>
            </w:tcBorders>
            <w:shd w:val="clear" w:color="auto" w:fill="auto"/>
            <w:noWrap/>
            <w:vAlign w:val="bottom"/>
            <w:hideMark/>
          </w:tcPr>
          <w:p w14:paraId="2AA5268A"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1CC45321"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2B5C80B"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253" w:type="dxa"/>
            <w:tcBorders>
              <w:top w:val="nil"/>
              <w:left w:val="nil"/>
              <w:bottom w:val="nil"/>
              <w:right w:val="nil"/>
            </w:tcBorders>
            <w:shd w:val="clear" w:color="auto" w:fill="auto"/>
            <w:noWrap/>
            <w:vAlign w:val="bottom"/>
            <w:hideMark/>
          </w:tcPr>
          <w:p w14:paraId="02C82A89"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541489C2"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44306330" w14:textId="77777777" w:rsidTr="00280927">
        <w:trPr>
          <w:trHeight w:val="450"/>
        </w:trPr>
        <w:tc>
          <w:tcPr>
            <w:tcW w:w="9906" w:type="dxa"/>
            <w:gridSpan w:val="8"/>
            <w:tcBorders>
              <w:top w:val="nil"/>
              <w:left w:val="nil"/>
              <w:bottom w:val="nil"/>
              <w:right w:val="nil"/>
            </w:tcBorders>
            <w:shd w:val="clear" w:color="auto" w:fill="auto"/>
            <w:vAlign w:val="bottom"/>
            <w:hideMark/>
          </w:tcPr>
          <w:p w14:paraId="17529116"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The following table provides an analysis of the financial assets and liabilities that are recognised at fair value. These are grouped into three levels based on the following valuation techniques:</w:t>
            </w:r>
          </w:p>
        </w:tc>
        <w:tc>
          <w:tcPr>
            <w:tcW w:w="222" w:type="dxa"/>
            <w:vAlign w:val="center"/>
            <w:hideMark/>
          </w:tcPr>
          <w:p w14:paraId="5594AFFD"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D9630F" w:rsidRPr="00280927" w14:paraId="40A7AA63" w14:textId="77777777" w:rsidTr="00D9630F">
        <w:trPr>
          <w:trHeight w:val="165"/>
        </w:trPr>
        <w:tc>
          <w:tcPr>
            <w:tcW w:w="1080" w:type="dxa"/>
            <w:tcBorders>
              <w:top w:val="nil"/>
              <w:left w:val="nil"/>
              <w:bottom w:val="nil"/>
              <w:right w:val="nil"/>
            </w:tcBorders>
            <w:shd w:val="clear" w:color="auto" w:fill="auto"/>
            <w:vAlign w:val="bottom"/>
            <w:hideMark/>
          </w:tcPr>
          <w:p w14:paraId="0F59FFF5" w14:textId="77777777" w:rsidR="00280927" w:rsidRPr="00280927" w:rsidRDefault="00280927" w:rsidP="00280927">
            <w:pPr>
              <w:spacing w:after="0" w:line="240" w:lineRule="auto"/>
              <w:rPr>
                <w:rFonts w:ascii="Arial" w:eastAsia="Times New Roman" w:hAnsi="Arial" w:cs="Arial"/>
                <w:sz w:val="15"/>
                <w:szCs w:val="15"/>
                <w:lang w:eastAsia="en-GB"/>
              </w:rPr>
            </w:pPr>
          </w:p>
        </w:tc>
        <w:tc>
          <w:tcPr>
            <w:tcW w:w="1780" w:type="dxa"/>
            <w:tcBorders>
              <w:top w:val="nil"/>
              <w:left w:val="nil"/>
              <w:bottom w:val="nil"/>
              <w:right w:val="nil"/>
            </w:tcBorders>
            <w:shd w:val="clear" w:color="auto" w:fill="auto"/>
            <w:vAlign w:val="bottom"/>
            <w:hideMark/>
          </w:tcPr>
          <w:p w14:paraId="0ABD137A"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vAlign w:val="bottom"/>
            <w:hideMark/>
          </w:tcPr>
          <w:p w14:paraId="12A0EF03"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040" w:type="dxa"/>
            <w:tcBorders>
              <w:top w:val="nil"/>
              <w:left w:val="nil"/>
              <w:bottom w:val="nil"/>
              <w:right w:val="nil"/>
            </w:tcBorders>
            <w:shd w:val="clear" w:color="auto" w:fill="auto"/>
            <w:vAlign w:val="bottom"/>
            <w:hideMark/>
          </w:tcPr>
          <w:p w14:paraId="42FE08B4"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817" w:type="dxa"/>
            <w:tcBorders>
              <w:top w:val="nil"/>
              <w:left w:val="nil"/>
              <w:bottom w:val="nil"/>
              <w:right w:val="nil"/>
            </w:tcBorders>
            <w:shd w:val="clear" w:color="auto" w:fill="auto"/>
            <w:vAlign w:val="bottom"/>
            <w:hideMark/>
          </w:tcPr>
          <w:p w14:paraId="26A0A73A"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vAlign w:val="bottom"/>
            <w:hideMark/>
          </w:tcPr>
          <w:p w14:paraId="7C3C1AA2"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vAlign w:val="bottom"/>
            <w:hideMark/>
          </w:tcPr>
          <w:p w14:paraId="28D6AC65"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1253" w:type="dxa"/>
            <w:tcBorders>
              <w:top w:val="nil"/>
              <w:left w:val="nil"/>
              <w:bottom w:val="nil"/>
              <w:right w:val="nil"/>
            </w:tcBorders>
            <w:shd w:val="clear" w:color="auto" w:fill="auto"/>
            <w:vAlign w:val="bottom"/>
            <w:hideMark/>
          </w:tcPr>
          <w:p w14:paraId="4EA055C3"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c>
          <w:tcPr>
            <w:tcW w:w="222" w:type="dxa"/>
            <w:vAlign w:val="center"/>
            <w:hideMark/>
          </w:tcPr>
          <w:p w14:paraId="78070715"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27C55623" w14:textId="77777777" w:rsidTr="00280927">
        <w:trPr>
          <w:trHeight w:val="503"/>
        </w:trPr>
        <w:tc>
          <w:tcPr>
            <w:tcW w:w="1080" w:type="dxa"/>
            <w:tcBorders>
              <w:top w:val="single" w:sz="4" w:space="0" w:color="A6A6A6"/>
              <w:left w:val="single" w:sz="4" w:space="0" w:color="A6A6A6"/>
              <w:bottom w:val="single" w:sz="4" w:space="0" w:color="A6A6A6"/>
              <w:right w:val="single" w:sz="4" w:space="0" w:color="A6A6A6"/>
            </w:tcBorders>
            <w:shd w:val="clear" w:color="auto" w:fill="CCECFF"/>
            <w:hideMark/>
          </w:tcPr>
          <w:p w14:paraId="7B40783F"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Level 1</w:t>
            </w:r>
          </w:p>
        </w:tc>
        <w:tc>
          <w:tcPr>
            <w:tcW w:w="8826" w:type="dxa"/>
            <w:gridSpan w:val="7"/>
            <w:tcBorders>
              <w:top w:val="single" w:sz="4" w:space="0" w:color="A6A6A6"/>
              <w:left w:val="nil"/>
              <w:bottom w:val="single" w:sz="4" w:space="0" w:color="A6A6A6"/>
              <w:right w:val="single" w:sz="4" w:space="0" w:color="A6A6A6"/>
            </w:tcBorders>
            <w:shd w:val="clear" w:color="auto" w:fill="auto"/>
            <w:hideMark/>
          </w:tcPr>
          <w:p w14:paraId="7351F262"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Fair value measurements are those derived from quoted prices (unadjusted) in active markets for identical assets or liabilities.</w:t>
            </w:r>
          </w:p>
        </w:tc>
        <w:tc>
          <w:tcPr>
            <w:tcW w:w="222" w:type="dxa"/>
            <w:vAlign w:val="center"/>
            <w:hideMark/>
          </w:tcPr>
          <w:p w14:paraId="29CC9037"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7C3D040F" w14:textId="77777777" w:rsidTr="00280927">
        <w:trPr>
          <w:trHeight w:val="503"/>
        </w:trPr>
        <w:tc>
          <w:tcPr>
            <w:tcW w:w="1080" w:type="dxa"/>
            <w:tcBorders>
              <w:top w:val="nil"/>
              <w:left w:val="single" w:sz="4" w:space="0" w:color="A6A6A6"/>
              <w:bottom w:val="single" w:sz="4" w:space="0" w:color="A6A6A6"/>
              <w:right w:val="single" w:sz="4" w:space="0" w:color="A6A6A6"/>
            </w:tcBorders>
            <w:shd w:val="clear" w:color="auto" w:fill="CCECFF"/>
            <w:hideMark/>
          </w:tcPr>
          <w:p w14:paraId="5886537B"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Level 2</w:t>
            </w:r>
          </w:p>
        </w:tc>
        <w:tc>
          <w:tcPr>
            <w:tcW w:w="8826" w:type="dxa"/>
            <w:gridSpan w:val="7"/>
            <w:tcBorders>
              <w:top w:val="single" w:sz="4" w:space="0" w:color="A6A6A6"/>
              <w:left w:val="nil"/>
              <w:bottom w:val="single" w:sz="4" w:space="0" w:color="A6A6A6"/>
              <w:right w:val="single" w:sz="4" w:space="0" w:color="A6A6A6"/>
            </w:tcBorders>
            <w:shd w:val="clear" w:color="auto" w:fill="auto"/>
            <w:hideMark/>
          </w:tcPr>
          <w:p w14:paraId="343D7C90"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Fair value measurements are those derived from inputs other than quoted prices included within Level 1 that are observable for the asset or liability, either directly (</w:t>
            </w:r>
            <w:proofErr w:type="gramStart"/>
            <w:r w:rsidRPr="00280927">
              <w:rPr>
                <w:rFonts w:ascii="Arial" w:eastAsia="Times New Roman" w:hAnsi="Arial" w:cs="Arial"/>
                <w:sz w:val="15"/>
                <w:szCs w:val="15"/>
                <w:lang w:eastAsia="en-GB"/>
              </w:rPr>
              <w:t>i.e.</w:t>
            </w:r>
            <w:proofErr w:type="gramEnd"/>
            <w:r w:rsidRPr="00280927">
              <w:rPr>
                <w:rFonts w:ascii="Arial" w:eastAsia="Times New Roman" w:hAnsi="Arial" w:cs="Arial"/>
                <w:sz w:val="15"/>
                <w:szCs w:val="15"/>
                <w:lang w:eastAsia="en-GB"/>
              </w:rPr>
              <w:t xml:space="preserve"> as prices) or indirectly (i.e. derived from prices).</w:t>
            </w:r>
          </w:p>
        </w:tc>
        <w:tc>
          <w:tcPr>
            <w:tcW w:w="222" w:type="dxa"/>
            <w:vAlign w:val="center"/>
            <w:hideMark/>
          </w:tcPr>
          <w:p w14:paraId="35E062DA"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r w:rsidR="00280927" w:rsidRPr="00280927" w14:paraId="6DB53AFC" w14:textId="77777777" w:rsidTr="00280927">
        <w:trPr>
          <w:trHeight w:val="503"/>
        </w:trPr>
        <w:tc>
          <w:tcPr>
            <w:tcW w:w="1080" w:type="dxa"/>
            <w:tcBorders>
              <w:top w:val="nil"/>
              <w:left w:val="single" w:sz="4" w:space="0" w:color="A6A6A6"/>
              <w:bottom w:val="single" w:sz="4" w:space="0" w:color="A6A6A6"/>
              <w:right w:val="single" w:sz="4" w:space="0" w:color="A6A6A6"/>
            </w:tcBorders>
            <w:shd w:val="clear" w:color="auto" w:fill="CCECFF"/>
            <w:hideMark/>
          </w:tcPr>
          <w:p w14:paraId="4BD19C80"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 Level 3</w:t>
            </w:r>
          </w:p>
        </w:tc>
        <w:tc>
          <w:tcPr>
            <w:tcW w:w="8826" w:type="dxa"/>
            <w:gridSpan w:val="7"/>
            <w:tcBorders>
              <w:top w:val="nil"/>
              <w:left w:val="nil"/>
              <w:bottom w:val="single" w:sz="4" w:space="0" w:color="A6A6A6"/>
              <w:right w:val="single" w:sz="4" w:space="0" w:color="A6A6A6"/>
            </w:tcBorders>
            <w:shd w:val="clear" w:color="auto" w:fill="auto"/>
            <w:hideMark/>
          </w:tcPr>
          <w:p w14:paraId="436DA774" w14:textId="77777777" w:rsidR="00280927" w:rsidRPr="00280927" w:rsidRDefault="00280927" w:rsidP="00280927">
            <w:pPr>
              <w:spacing w:after="0" w:line="240" w:lineRule="auto"/>
              <w:rPr>
                <w:rFonts w:ascii="Arial" w:eastAsia="Times New Roman" w:hAnsi="Arial" w:cs="Arial"/>
                <w:sz w:val="15"/>
                <w:szCs w:val="15"/>
                <w:lang w:eastAsia="en-GB"/>
              </w:rPr>
            </w:pPr>
            <w:r w:rsidRPr="00280927">
              <w:rPr>
                <w:rFonts w:ascii="Arial" w:eastAsia="Times New Roman" w:hAnsi="Arial" w:cs="Arial"/>
                <w:sz w:val="15"/>
                <w:szCs w:val="15"/>
                <w:lang w:eastAsia="en-GB"/>
              </w:rPr>
              <w:t>Fair value measurements are those derived from valuation techniques that include inputs for the asset or liability that are not based on observable market data (unobservable inputs).</w:t>
            </w:r>
          </w:p>
        </w:tc>
        <w:tc>
          <w:tcPr>
            <w:tcW w:w="222" w:type="dxa"/>
            <w:vAlign w:val="center"/>
            <w:hideMark/>
          </w:tcPr>
          <w:p w14:paraId="60BDD585" w14:textId="77777777" w:rsidR="00280927" w:rsidRPr="00280927" w:rsidRDefault="00280927" w:rsidP="00280927">
            <w:pPr>
              <w:spacing w:after="0" w:line="240" w:lineRule="auto"/>
              <w:rPr>
                <w:rFonts w:ascii="Times New Roman" w:eastAsia="Times New Roman" w:hAnsi="Times New Roman" w:cs="Times New Roman"/>
                <w:sz w:val="20"/>
                <w:szCs w:val="20"/>
                <w:lang w:eastAsia="en-GB"/>
              </w:rPr>
            </w:pPr>
          </w:p>
        </w:tc>
      </w:tr>
    </w:tbl>
    <w:p w14:paraId="79CB2637" w14:textId="7BD2983B" w:rsidR="00EE3DEB" w:rsidRDefault="00EE3DEB" w:rsidP="00BB64F8">
      <w:pPr>
        <w:rPr>
          <w:b/>
          <w:bCs/>
        </w:rPr>
      </w:pPr>
    </w:p>
    <w:tbl>
      <w:tblPr>
        <w:tblW w:w="9560" w:type="dxa"/>
        <w:tblLook w:val="04A0" w:firstRow="1" w:lastRow="0" w:firstColumn="1" w:lastColumn="0" w:noHBand="0" w:noVBand="1"/>
      </w:tblPr>
      <w:tblGrid>
        <w:gridCol w:w="4564"/>
        <w:gridCol w:w="272"/>
        <w:gridCol w:w="272"/>
        <w:gridCol w:w="272"/>
        <w:gridCol w:w="1120"/>
        <w:gridCol w:w="1120"/>
        <w:gridCol w:w="1120"/>
        <w:gridCol w:w="1120"/>
      </w:tblGrid>
      <w:tr w:rsidR="00382A5D" w:rsidRPr="00382A5D" w14:paraId="33E257EF" w14:textId="77777777" w:rsidTr="00382A5D">
        <w:trPr>
          <w:trHeight w:val="469"/>
        </w:trPr>
        <w:tc>
          <w:tcPr>
            <w:tcW w:w="5080" w:type="dxa"/>
            <w:gridSpan w:val="4"/>
            <w:tcBorders>
              <w:top w:val="nil"/>
              <w:left w:val="nil"/>
              <w:bottom w:val="nil"/>
              <w:right w:val="nil"/>
            </w:tcBorders>
            <w:shd w:val="clear" w:color="auto" w:fill="auto"/>
            <w:noWrap/>
            <w:vAlign w:val="center"/>
            <w:hideMark/>
          </w:tcPr>
          <w:p w14:paraId="5443B1DA" w14:textId="77777777" w:rsidR="00382A5D" w:rsidRPr="00382A5D" w:rsidRDefault="00382A5D" w:rsidP="00382A5D">
            <w:pPr>
              <w:spacing w:after="0" w:line="240" w:lineRule="auto"/>
              <w:rPr>
                <w:rFonts w:ascii="Arial" w:eastAsia="Times New Roman" w:hAnsi="Arial" w:cs="Arial"/>
                <w:b/>
                <w:bCs/>
                <w:sz w:val="18"/>
                <w:szCs w:val="18"/>
                <w:lang w:eastAsia="en-GB"/>
              </w:rPr>
            </w:pPr>
            <w:r w:rsidRPr="00382A5D">
              <w:rPr>
                <w:rFonts w:ascii="Arial" w:eastAsia="Times New Roman" w:hAnsi="Arial" w:cs="Arial"/>
                <w:b/>
                <w:bCs/>
                <w:sz w:val="18"/>
                <w:szCs w:val="18"/>
                <w:lang w:eastAsia="en-GB"/>
              </w:rPr>
              <w:t xml:space="preserve">Fair values recognised in the balance sheet </w:t>
            </w:r>
            <w:r w:rsidRPr="00382A5D">
              <w:rPr>
                <w:rFonts w:ascii="Arial" w:eastAsia="Times New Roman" w:hAnsi="Arial" w:cs="Arial"/>
                <w:sz w:val="18"/>
                <w:szCs w:val="18"/>
                <w:lang w:eastAsia="en-GB"/>
              </w:rPr>
              <w:t>continued</w:t>
            </w:r>
          </w:p>
        </w:tc>
        <w:tc>
          <w:tcPr>
            <w:tcW w:w="1120" w:type="dxa"/>
            <w:tcBorders>
              <w:top w:val="nil"/>
              <w:left w:val="nil"/>
              <w:bottom w:val="nil"/>
              <w:right w:val="nil"/>
            </w:tcBorders>
            <w:shd w:val="clear" w:color="auto" w:fill="auto"/>
            <w:noWrap/>
            <w:vAlign w:val="center"/>
            <w:hideMark/>
          </w:tcPr>
          <w:p w14:paraId="440ADF39" w14:textId="77777777" w:rsidR="00382A5D" w:rsidRPr="00382A5D" w:rsidRDefault="00382A5D" w:rsidP="00382A5D">
            <w:pPr>
              <w:spacing w:after="0" w:line="240" w:lineRule="auto"/>
              <w:rPr>
                <w:rFonts w:ascii="Arial" w:eastAsia="Times New Roman" w:hAnsi="Arial" w:cs="Arial"/>
                <w:b/>
                <w:bCs/>
                <w:sz w:val="18"/>
                <w:szCs w:val="18"/>
                <w:lang w:eastAsia="en-GB"/>
              </w:rPr>
            </w:pPr>
          </w:p>
        </w:tc>
        <w:tc>
          <w:tcPr>
            <w:tcW w:w="1120" w:type="dxa"/>
            <w:tcBorders>
              <w:top w:val="nil"/>
              <w:left w:val="nil"/>
              <w:bottom w:val="nil"/>
              <w:right w:val="nil"/>
            </w:tcBorders>
            <w:shd w:val="clear" w:color="auto" w:fill="auto"/>
            <w:noWrap/>
            <w:vAlign w:val="center"/>
            <w:hideMark/>
          </w:tcPr>
          <w:p w14:paraId="70225E2D" w14:textId="77777777" w:rsidR="00382A5D" w:rsidRPr="00382A5D" w:rsidRDefault="00382A5D" w:rsidP="00382A5D">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7183E7B2" w14:textId="77777777" w:rsidR="00382A5D" w:rsidRPr="00382A5D" w:rsidRDefault="00382A5D" w:rsidP="00382A5D">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6C5C8189" w14:textId="77777777" w:rsidR="00382A5D" w:rsidRPr="00382A5D" w:rsidRDefault="00382A5D" w:rsidP="00382A5D">
            <w:pPr>
              <w:spacing w:after="0" w:line="240" w:lineRule="auto"/>
              <w:rPr>
                <w:rFonts w:ascii="Times New Roman" w:eastAsia="Times New Roman" w:hAnsi="Times New Roman" w:cs="Times New Roman"/>
                <w:sz w:val="20"/>
                <w:szCs w:val="20"/>
                <w:lang w:eastAsia="en-GB"/>
              </w:rPr>
            </w:pPr>
          </w:p>
        </w:tc>
      </w:tr>
      <w:tr w:rsidR="00382A5D" w:rsidRPr="00382A5D" w14:paraId="736EA83D" w14:textId="77777777" w:rsidTr="00382A5D">
        <w:trPr>
          <w:trHeight w:val="240"/>
        </w:trPr>
        <w:tc>
          <w:tcPr>
            <w:tcW w:w="4564" w:type="dxa"/>
            <w:tcBorders>
              <w:top w:val="nil"/>
              <w:left w:val="nil"/>
              <w:bottom w:val="nil"/>
              <w:right w:val="nil"/>
            </w:tcBorders>
            <w:shd w:val="clear" w:color="000000" w:fill="FFFFFF"/>
            <w:noWrap/>
            <w:vAlign w:val="center"/>
            <w:hideMark/>
          </w:tcPr>
          <w:p w14:paraId="0D544CB6" w14:textId="77777777" w:rsidR="00382A5D" w:rsidRPr="00382A5D" w:rsidRDefault="00382A5D" w:rsidP="00382A5D">
            <w:pPr>
              <w:spacing w:after="0" w:line="240" w:lineRule="auto"/>
              <w:rPr>
                <w:rFonts w:ascii="Arial" w:eastAsia="Times New Roman" w:hAnsi="Arial" w:cs="Arial"/>
                <w:sz w:val="15"/>
                <w:szCs w:val="15"/>
                <w:lang w:eastAsia="en-GB"/>
              </w:rPr>
            </w:pPr>
            <w:r w:rsidRPr="00382A5D">
              <w:rPr>
                <w:rFonts w:ascii="Arial" w:eastAsia="Times New Roman" w:hAnsi="Arial" w:cs="Arial"/>
                <w:sz w:val="15"/>
                <w:szCs w:val="15"/>
                <w:lang w:eastAsia="en-GB"/>
              </w:rPr>
              <w:t> </w:t>
            </w:r>
          </w:p>
        </w:tc>
        <w:tc>
          <w:tcPr>
            <w:tcW w:w="172" w:type="dxa"/>
            <w:tcBorders>
              <w:top w:val="nil"/>
              <w:left w:val="nil"/>
              <w:bottom w:val="nil"/>
              <w:right w:val="nil"/>
            </w:tcBorders>
            <w:shd w:val="clear" w:color="000000" w:fill="FFFFFF"/>
            <w:noWrap/>
            <w:vAlign w:val="center"/>
            <w:hideMark/>
          </w:tcPr>
          <w:p w14:paraId="760F9045"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72" w:type="dxa"/>
            <w:tcBorders>
              <w:top w:val="nil"/>
              <w:left w:val="nil"/>
              <w:bottom w:val="nil"/>
              <w:right w:val="nil"/>
            </w:tcBorders>
            <w:shd w:val="clear" w:color="000000" w:fill="FFFFFF"/>
            <w:noWrap/>
            <w:vAlign w:val="center"/>
            <w:hideMark/>
          </w:tcPr>
          <w:p w14:paraId="4E1EA312"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72" w:type="dxa"/>
            <w:tcBorders>
              <w:top w:val="nil"/>
              <w:left w:val="nil"/>
              <w:bottom w:val="nil"/>
              <w:right w:val="nil"/>
            </w:tcBorders>
            <w:shd w:val="clear" w:color="000000" w:fill="FFFFFF"/>
            <w:noWrap/>
            <w:vAlign w:val="center"/>
            <w:hideMark/>
          </w:tcPr>
          <w:p w14:paraId="0862DB0F"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120" w:type="dxa"/>
            <w:tcBorders>
              <w:top w:val="nil"/>
              <w:left w:val="nil"/>
              <w:bottom w:val="nil"/>
              <w:right w:val="nil"/>
            </w:tcBorders>
            <w:shd w:val="clear" w:color="000000" w:fill="FFFFFF"/>
            <w:noWrap/>
            <w:vAlign w:val="center"/>
            <w:hideMark/>
          </w:tcPr>
          <w:p w14:paraId="537A890B"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1EE8467C"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4FE4D491"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18BBB07F"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r>
      <w:tr w:rsidR="00382A5D" w:rsidRPr="00382A5D" w14:paraId="08E9BB34" w14:textId="77777777" w:rsidTr="00382A5D">
        <w:trPr>
          <w:trHeight w:val="225"/>
        </w:trPr>
        <w:tc>
          <w:tcPr>
            <w:tcW w:w="5080" w:type="dxa"/>
            <w:gridSpan w:val="4"/>
            <w:tcBorders>
              <w:top w:val="single" w:sz="4" w:space="0" w:color="BFBFBF"/>
              <w:left w:val="single" w:sz="4" w:space="0" w:color="BFBFBF"/>
              <w:bottom w:val="nil"/>
              <w:right w:val="nil"/>
            </w:tcBorders>
            <w:shd w:val="clear" w:color="auto" w:fill="auto"/>
            <w:noWrap/>
            <w:vAlign w:val="center"/>
            <w:hideMark/>
          </w:tcPr>
          <w:p w14:paraId="77391D86"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2 July 2022 (unaudited)</w:t>
            </w:r>
          </w:p>
        </w:tc>
        <w:tc>
          <w:tcPr>
            <w:tcW w:w="1120" w:type="dxa"/>
            <w:tcBorders>
              <w:top w:val="single" w:sz="4" w:space="0" w:color="BFBFBF"/>
              <w:left w:val="nil"/>
              <w:bottom w:val="nil"/>
              <w:right w:val="nil"/>
            </w:tcBorders>
            <w:shd w:val="clear" w:color="auto" w:fill="auto"/>
            <w:noWrap/>
            <w:vAlign w:val="center"/>
            <w:hideMark/>
          </w:tcPr>
          <w:p w14:paraId="652E9723"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Level 1</w:t>
            </w:r>
          </w:p>
        </w:tc>
        <w:tc>
          <w:tcPr>
            <w:tcW w:w="1120" w:type="dxa"/>
            <w:tcBorders>
              <w:top w:val="single" w:sz="4" w:space="0" w:color="BFBFBF"/>
              <w:left w:val="nil"/>
              <w:bottom w:val="nil"/>
              <w:right w:val="nil"/>
            </w:tcBorders>
            <w:shd w:val="clear" w:color="auto" w:fill="auto"/>
            <w:noWrap/>
            <w:vAlign w:val="center"/>
            <w:hideMark/>
          </w:tcPr>
          <w:p w14:paraId="4769047D"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Level 2</w:t>
            </w:r>
          </w:p>
        </w:tc>
        <w:tc>
          <w:tcPr>
            <w:tcW w:w="1120" w:type="dxa"/>
            <w:tcBorders>
              <w:top w:val="single" w:sz="4" w:space="0" w:color="BFBFBF"/>
              <w:left w:val="nil"/>
              <w:bottom w:val="nil"/>
              <w:right w:val="nil"/>
            </w:tcBorders>
            <w:shd w:val="clear" w:color="auto" w:fill="auto"/>
            <w:noWrap/>
            <w:vAlign w:val="center"/>
            <w:hideMark/>
          </w:tcPr>
          <w:p w14:paraId="22DE0308"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Level 3</w:t>
            </w:r>
          </w:p>
        </w:tc>
        <w:tc>
          <w:tcPr>
            <w:tcW w:w="1120" w:type="dxa"/>
            <w:tcBorders>
              <w:top w:val="single" w:sz="4" w:space="0" w:color="BFBFBF"/>
              <w:left w:val="nil"/>
              <w:bottom w:val="nil"/>
              <w:right w:val="single" w:sz="4" w:space="0" w:color="BFBFBF"/>
            </w:tcBorders>
            <w:shd w:val="clear" w:color="auto" w:fill="auto"/>
            <w:noWrap/>
            <w:vAlign w:val="center"/>
            <w:hideMark/>
          </w:tcPr>
          <w:p w14:paraId="3A2718A8"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Total </w:t>
            </w:r>
          </w:p>
        </w:tc>
      </w:tr>
      <w:tr w:rsidR="00382A5D" w:rsidRPr="00382A5D" w14:paraId="7657CC6A" w14:textId="77777777" w:rsidTr="00382A5D">
        <w:trPr>
          <w:trHeight w:val="199"/>
        </w:trPr>
        <w:tc>
          <w:tcPr>
            <w:tcW w:w="4564" w:type="dxa"/>
            <w:tcBorders>
              <w:top w:val="nil"/>
              <w:left w:val="single" w:sz="4" w:space="0" w:color="BFBFBF"/>
              <w:bottom w:val="single" w:sz="4" w:space="0" w:color="BFBFBF"/>
              <w:right w:val="nil"/>
            </w:tcBorders>
            <w:shd w:val="clear" w:color="auto" w:fill="auto"/>
            <w:noWrap/>
            <w:vAlign w:val="center"/>
            <w:hideMark/>
          </w:tcPr>
          <w:p w14:paraId="09BF6906" w14:textId="77777777" w:rsidR="00382A5D" w:rsidRPr="00382A5D" w:rsidRDefault="00382A5D" w:rsidP="00382A5D">
            <w:pPr>
              <w:spacing w:after="0" w:line="240" w:lineRule="auto"/>
              <w:rPr>
                <w:rFonts w:ascii="Arial" w:eastAsia="Times New Roman" w:hAnsi="Arial" w:cs="Arial"/>
                <w:sz w:val="15"/>
                <w:szCs w:val="15"/>
                <w:lang w:eastAsia="en-GB"/>
              </w:rPr>
            </w:pPr>
            <w:r w:rsidRPr="00382A5D">
              <w:rPr>
                <w:rFonts w:ascii="Arial" w:eastAsia="Times New Roman" w:hAnsi="Arial" w:cs="Arial"/>
                <w:sz w:val="15"/>
                <w:szCs w:val="15"/>
                <w:lang w:eastAsia="en-GB"/>
              </w:rPr>
              <w:t> </w:t>
            </w:r>
          </w:p>
        </w:tc>
        <w:tc>
          <w:tcPr>
            <w:tcW w:w="172" w:type="dxa"/>
            <w:tcBorders>
              <w:top w:val="nil"/>
              <w:left w:val="nil"/>
              <w:bottom w:val="single" w:sz="4" w:space="0" w:color="BFBFBF"/>
              <w:right w:val="nil"/>
            </w:tcBorders>
            <w:shd w:val="clear" w:color="auto" w:fill="auto"/>
            <w:noWrap/>
            <w:vAlign w:val="center"/>
            <w:hideMark/>
          </w:tcPr>
          <w:p w14:paraId="0F2CC853"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72" w:type="dxa"/>
            <w:tcBorders>
              <w:top w:val="nil"/>
              <w:left w:val="nil"/>
              <w:bottom w:val="single" w:sz="4" w:space="0" w:color="BFBFBF"/>
              <w:right w:val="nil"/>
            </w:tcBorders>
            <w:shd w:val="clear" w:color="auto" w:fill="auto"/>
            <w:noWrap/>
            <w:vAlign w:val="center"/>
            <w:hideMark/>
          </w:tcPr>
          <w:p w14:paraId="440DD405"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72" w:type="dxa"/>
            <w:tcBorders>
              <w:top w:val="nil"/>
              <w:left w:val="nil"/>
              <w:bottom w:val="single" w:sz="4" w:space="0" w:color="BFBFBF"/>
              <w:right w:val="nil"/>
            </w:tcBorders>
            <w:shd w:val="clear" w:color="auto" w:fill="auto"/>
            <w:noWrap/>
            <w:vAlign w:val="bottom"/>
            <w:hideMark/>
          </w:tcPr>
          <w:p w14:paraId="618BA2AD" w14:textId="77777777" w:rsidR="00382A5D" w:rsidRPr="00382A5D" w:rsidRDefault="00382A5D" w:rsidP="00382A5D">
            <w:pPr>
              <w:spacing w:after="0" w:line="240" w:lineRule="auto"/>
              <w:rPr>
                <w:rFonts w:ascii="Arial" w:eastAsia="Times New Roman" w:hAnsi="Arial" w:cs="Arial"/>
                <w:sz w:val="14"/>
                <w:szCs w:val="14"/>
                <w:lang w:eastAsia="en-GB"/>
              </w:rPr>
            </w:pPr>
            <w:r w:rsidRPr="00382A5D">
              <w:rPr>
                <w:rFonts w:ascii="Arial" w:eastAsia="Times New Roman" w:hAnsi="Arial" w:cs="Arial"/>
                <w:sz w:val="14"/>
                <w:szCs w:val="14"/>
                <w:lang w:eastAsia="en-GB"/>
              </w:rPr>
              <w:t> </w:t>
            </w:r>
          </w:p>
        </w:tc>
        <w:tc>
          <w:tcPr>
            <w:tcW w:w="1120" w:type="dxa"/>
            <w:tcBorders>
              <w:top w:val="nil"/>
              <w:left w:val="nil"/>
              <w:bottom w:val="single" w:sz="4" w:space="0" w:color="BFBFBF"/>
              <w:right w:val="nil"/>
            </w:tcBorders>
            <w:shd w:val="clear" w:color="auto" w:fill="auto"/>
            <w:noWrap/>
            <w:vAlign w:val="center"/>
            <w:hideMark/>
          </w:tcPr>
          <w:p w14:paraId="44EC9F0A"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£m</w:t>
            </w:r>
          </w:p>
        </w:tc>
        <w:tc>
          <w:tcPr>
            <w:tcW w:w="1120" w:type="dxa"/>
            <w:tcBorders>
              <w:top w:val="nil"/>
              <w:left w:val="nil"/>
              <w:bottom w:val="single" w:sz="4" w:space="0" w:color="BFBFBF"/>
              <w:right w:val="nil"/>
            </w:tcBorders>
            <w:shd w:val="clear" w:color="auto" w:fill="auto"/>
            <w:noWrap/>
            <w:vAlign w:val="center"/>
            <w:hideMark/>
          </w:tcPr>
          <w:p w14:paraId="449E1474"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£m</w:t>
            </w:r>
          </w:p>
        </w:tc>
        <w:tc>
          <w:tcPr>
            <w:tcW w:w="1120" w:type="dxa"/>
            <w:tcBorders>
              <w:top w:val="nil"/>
              <w:left w:val="nil"/>
              <w:bottom w:val="single" w:sz="4" w:space="0" w:color="BFBFBF"/>
              <w:right w:val="nil"/>
            </w:tcBorders>
            <w:shd w:val="clear" w:color="auto" w:fill="auto"/>
            <w:noWrap/>
            <w:vAlign w:val="center"/>
            <w:hideMark/>
          </w:tcPr>
          <w:p w14:paraId="7F838D77"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£m</w:t>
            </w:r>
          </w:p>
        </w:tc>
        <w:tc>
          <w:tcPr>
            <w:tcW w:w="1120" w:type="dxa"/>
            <w:tcBorders>
              <w:top w:val="nil"/>
              <w:left w:val="nil"/>
              <w:bottom w:val="single" w:sz="4" w:space="0" w:color="BFBFBF"/>
              <w:right w:val="single" w:sz="4" w:space="0" w:color="BFBFBF"/>
            </w:tcBorders>
            <w:shd w:val="clear" w:color="auto" w:fill="auto"/>
            <w:noWrap/>
            <w:vAlign w:val="center"/>
            <w:hideMark/>
          </w:tcPr>
          <w:p w14:paraId="74D6FA93"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£m</w:t>
            </w:r>
          </w:p>
        </w:tc>
      </w:tr>
      <w:tr w:rsidR="00382A5D" w:rsidRPr="00382A5D" w14:paraId="70814FDC" w14:textId="77777777" w:rsidTr="00382A5D">
        <w:trPr>
          <w:trHeight w:val="252"/>
        </w:trPr>
        <w:tc>
          <w:tcPr>
            <w:tcW w:w="4736" w:type="dxa"/>
            <w:gridSpan w:val="2"/>
            <w:tcBorders>
              <w:top w:val="nil"/>
              <w:left w:val="nil"/>
              <w:bottom w:val="nil"/>
              <w:right w:val="nil"/>
            </w:tcBorders>
            <w:shd w:val="clear" w:color="000000" w:fill="FFFFFF"/>
            <w:noWrap/>
            <w:vAlign w:val="center"/>
            <w:hideMark/>
          </w:tcPr>
          <w:p w14:paraId="2149F7D2"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xml:space="preserve"> Assets </w:t>
            </w:r>
          </w:p>
        </w:tc>
        <w:tc>
          <w:tcPr>
            <w:tcW w:w="172" w:type="dxa"/>
            <w:tcBorders>
              <w:top w:val="nil"/>
              <w:left w:val="nil"/>
              <w:bottom w:val="nil"/>
              <w:right w:val="nil"/>
            </w:tcBorders>
            <w:shd w:val="clear" w:color="000000" w:fill="FFFFFF"/>
            <w:noWrap/>
            <w:vAlign w:val="center"/>
            <w:hideMark/>
          </w:tcPr>
          <w:p w14:paraId="2DB4E9C3"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72" w:type="dxa"/>
            <w:tcBorders>
              <w:top w:val="nil"/>
              <w:left w:val="nil"/>
              <w:bottom w:val="nil"/>
              <w:right w:val="nil"/>
            </w:tcBorders>
            <w:shd w:val="clear" w:color="000000" w:fill="FFFFFF"/>
            <w:noWrap/>
            <w:vAlign w:val="center"/>
            <w:hideMark/>
          </w:tcPr>
          <w:p w14:paraId="1078B9B5"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auto" w:fill="CCECFF"/>
            <w:noWrap/>
            <w:vAlign w:val="center"/>
            <w:hideMark/>
          </w:tcPr>
          <w:p w14:paraId="0278FC65"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120" w:type="dxa"/>
            <w:tcBorders>
              <w:top w:val="nil"/>
              <w:left w:val="nil"/>
              <w:bottom w:val="nil"/>
              <w:right w:val="nil"/>
            </w:tcBorders>
            <w:shd w:val="clear" w:color="auto" w:fill="CCECFF"/>
            <w:noWrap/>
            <w:vAlign w:val="center"/>
            <w:hideMark/>
          </w:tcPr>
          <w:p w14:paraId="76776589"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120" w:type="dxa"/>
            <w:tcBorders>
              <w:top w:val="nil"/>
              <w:left w:val="nil"/>
              <w:bottom w:val="nil"/>
              <w:right w:val="nil"/>
            </w:tcBorders>
            <w:shd w:val="clear" w:color="auto" w:fill="CCECFF"/>
            <w:noWrap/>
            <w:vAlign w:val="center"/>
            <w:hideMark/>
          </w:tcPr>
          <w:p w14:paraId="5D7F3779"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120" w:type="dxa"/>
            <w:tcBorders>
              <w:top w:val="nil"/>
              <w:left w:val="nil"/>
              <w:bottom w:val="nil"/>
              <w:right w:val="nil"/>
            </w:tcBorders>
            <w:shd w:val="clear" w:color="auto" w:fill="CCECFF"/>
            <w:noWrap/>
            <w:vAlign w:val="center"/>
            <w:hideMark/>
          </w:tcPr>
          <w:p w14:paraId="748013B7"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r>
      <w:tr w:rsidR="00382A5D" w:rsidRPr="00382A5D" w14:paraId="2BDBF3D4" w14:textId="77777777" w:rsidTr="00382A5D">
        <w:trPr>
          <w:trHeight w:val="252"/>
        </w:trPr>
        <w:tc>
          <w:tcPr>
            <w:tcW w:w="5080" w:type="dxa"/>
            <w:gridSpan w:val="4"/>
            <w:tcBorders>
              <w:top w:val="nil"/>
              <w:left w:val="nil"/>
              <w:bottom w:val="nil"/>
              <w:right w:val="nil"/>
            </w:tcBorders>
            <w:shd w:val="clear" w:color="000000" w:fill="FFFFFF"/>
            <w:noWrap/>
            <w:vAlign w:val="center"/>
            <w:hideMark/>
          </w:tcPr>
          <w:p w14:paraId="2BE198D8"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Financial assets at fair value through income or expense </w:t>
            </w:r>
          </w:p>
        </w:tc>
        <w:tc>
          <w:tcPr>
            <w:tcW w:w="1120" w:type="dxa"/>
            <w:tcBorders>
              <w:top w:val="nil"/>
              <w:left w:val="nil"/>
              <w:bottom w:val="nil"/>
              <w:right w:val="nil"/>
            </w:tcBorders>
            <w:shd w:val="clear" w:color="auto" w:fill="CCECFF"/>
            <w:noWrap/>
            <w:vAlign w:val="center"/>
            <w:hideMark/>
          </w:tcPr>
          <w:p w14:paraId="08B15BEE"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120" w:type="dxa"/>
            <w:tcBorders>
              <w:top w:val="nil"/>
              <w:left w:val="nil"/>
              <w:bottom w:val="nil"/>
              <w:right w:val="nil"/>
            </w:tcBorders>
            <w:shd w:val="clear" w:color="auto" w:fill="CCECFF"/>
            <w:noWrap/>
            <w:vAlign w:val="center"/>
            <w:hideMark/>
          </w:tcPr>
          <w:p w14:paraId="17207B8D"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120" w:type="dxa"/>
            <w:tcBorders>
              <w:top w:val="nil"/>
              <w:left w:val="nil"/>
              <w:bottom w:val="nil"/>
              <w:right w:val="nil"/>
            </w:tcBorders>
            <w:shd w:val="clear" w:color="auto" w:fill="CCECFF"/>
            <w:noWrap/>
            <w:vAlign w:val="center"/>
            <w:hideMark/>
          </w:tcPr>
          <w:p w14:paraId="54308BA4"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120" w:type="dxa"/>
            <w:tcBorders>
              <w:top w:val="nil"/>
              <w:left w:val="nil"/>
              <w:bottom w:val="nil"/>
              <w:right w:val="nil"/>
            </w:tcBorders>
            <w:shd w:val="clear" w:color="auto" w:fill="CCECFF"/>
            <w:noWrap/>
            <w:vAlign w:val="center"/>
            <w:hideMark/>
          </w:tcPr>
          <w:p w14:paraId="6569EDFD"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r>
      <w:tr w:rsidR="00382A5D" w:rsidRPr="00382A5D" w14:paraId="5C5EC691" w14:textId="77777777" w:rsidTr="00382A5D">
        <w:trPr>
          <w:trHeight w:val="252"/>
        </w:trPr>
        <w:tc>
          <w:tcPr>
            <w:tcW w:w="5080" w:type="dxa"/>
            <w:gridSpan w:val="4"/>
            <w:tcBorders>
              <w:top w:val="nil"/>
              <w:left w:val="nil"/>
              <w:bottom w:val="nil"/>
              <w:right w:val="nil"/>
            </w:tcBorders>
            <w:shd w:val="clear" w:color="000000" w:fill="FFFFFF"/>
            <w:noWrap/>
            <w:vAlign w:val="center"/>
            <w:hideMark/>
          </w:tcPr>
          <w:p w14:paraId="3025DB97"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 Derivative financial instruments </w:t>
            </w:r>
          </w:p>
        </w:tc>
        <w:tc>
          <w:tcPr>
            <w:tcW w:w="1120" w:type="dxa"/>
            <w:tcBorders>
              <w:top w:val="nil"/>
              <w:left w:val="nil"/>
              <w:bottom w:val="nil"/>
              <w:right w:val="nil"/>
            </w:tcBorders>
            <w:shd w:val="clear" w:color="auto" w:fill="CCECFF"/>
            <w:noWrap/>
            <w:vAlign w:val="center"/>
            <w:hideMark/>
          </w:tcPr>
          <w:p w14:paraId="376605F3"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 </w:t>
            </w:r>
          </w:p>
        </w:tc>
        <w:tc>
          <w:tcPr>
            <w:tcW w:w="1120" w:type="dxa"/>
            <w:tcBorders>
              <w:top w:val="nil"/>
              <w:left w:val="nil"/>
              <w:bottom w:val="nil"/>
              <w:right w:val="nil"/>
            </w:tcBorders>
            <w:shd w:val="clear" w:color="auto" w:fill="CCECFF"/>
            <w:noWrap/>
            <w:vAlign w:val="center"/>
            <w:hideMark/>
          </w:tcPr>
          <w:p w14:paraId="5FFF09CD"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24 </w:t>
            </w:r>
          </w:p>
        </w:tc>
        <w:tc>
          <w:tcPr>
            <w:tcW w:w="1120" w:type="dxa"/>
            <w:tcBorders>
              <w:top w:val="nil"/>
              <w:left w:val="nil"/>
              <w:bottom w:val="nil"/>
              <w:right w:val="nil"/>
            </w:tcBorders>
            <w:shd w:val="clear" w:color="auto" w:fill="CCECFF"/>
            <w:noWrap/>
            <w:vAlign w:val="center"/>
            <w:hideMark/>
          </w:tcPr>
          <w:p w14:paraId="5627E519"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 </w:t>
            </w:r>
          </w:p>
        </w:tc>
        <w:tc>
          <w:tcPr>
            <w:tcW w:w="1120" w:type="dxa"/>
            <w:tcBorders>
              <w:top w:val="nil"/>
              <w:left w:val="nil"/>
              <w:bottom w:val="nil"/>
              <w:right w:val="nil"/>
            </w:tcBorders>
            <w:shd w:val="clear" w:color="auto" w:fill="CCECFF"/>
            <w:noWrap/>
            <w:vAlign w:val="center"/>
            <w:hideMark/>
          </w:tcPr>
          <w:p w14:paraId="538CD1F0"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24 </w:t>
            </w:r>
          </w:p>
        </w:tc>
      </w:tr>
      <w:tr w:rsidR="00382A5D" w:rsidRPr="00382A5D" w14:paraId="39D4EE37" w14:textId="77777777" w:rsidTr="00382A5D">
        <w:trPr>
          <w:trHeight w:val="252"/>
        </w:trPr>
        <w:tc>
          <w:tcPr>
            <w:tcW w:w="4908" w:type="dxa"/>
            <w:gridSpan w:val="3"/>
            <w:tcBorders>
              <w:top w:val="nil"/>
              <w:left w:val="nil"/>
              <w:bottom w:val="nil"/>
              <w:right w:val="nil"/>
            </w:tcBorders>
            <w:shd w:val="clear" w:color="000000" w:fill="FFFFFF"/>
            <w:noWrap/>
            <w:vAlign w:val="center"/>
            <w:hideMark/>
          </w:tcPr>
          <w:p w14:paraId="3AF49579"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 Funeral plan investments </w:t>
            </w:r>
          </w:p>
        </w:tc>
        <w:tc>
          <w:tcPr>
            <w:tcW w:w="172" w:type="dxa"/>
            <w:tcBorders>
              <w:top w:val="nil"/>
              <w:left w:val="nil"/>
              <w:bottom w:val="nil"/>
              <w:right w:val="nil"/>
            </w:tcBorders>
            <w:shd w:val="clear" w:color="000000" w:fill="FFFFFF"/>
            <w:noWrap/>
            <w:vAlign w:val="center"/>
            <w:hideMark/>
          </w:tcPr>
          <w:p w14:paraId="541712E8"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auto" w:fill="CCECFF"/>
            <w:noWrap/>
            <w:vAlign w:val="center"/>
            <w:hideMark/>
          </w:tcPr>
          <w:p w14:paraId="143D20DB"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 </w:t>
            </w:r>
          </w:p>
        </w:tc>
        <w:tc>
          <w:tcPr>
            <w:tcW w:w="1120" w:type="dxa"/>
            <w:tcBorders>
              <w:top w:val="nil"/>
              <w:left w:val="nil"/>
              <w:bottom w:val="single" w:sz="4" w:space="0" w:color="BFBFBF"/>
              <w:right w:val="nil"/>
            </w:tcBorders>
            <w:shd w:val="clear" w:color="auto" w:fill="CCECFF"/>
            <w:noWrap/>
            <w:vAlign w:val="center"/>
            <w:hideMark/>
          </w:tcPr>
          <w:p w14:paraId="08222B7B"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 </w:t>
            </w:r>
          </w:p>
        </w:tc>
        <w:tc>
          <w:tcPr>
            <w:tcW w:w="1120" w:type="dxa"/>
            <w:tcBorders>
              <w:top w:val="nil"/>
              <w:left w:val="nil"/>
              <w:bottom w:val="nil"/>
              <w:right w:val="nil"/>
            </w:tcBorders>
            <w:shd w:val="clear" w:color="auto" w:fill="CCECFF"/>
            <w:noWrap/>
            <w:vAlign w:val="center"/>
            <w:hideMark/>
          </w:tcPr>
          <w:p w14:paraId="21EAD0D2"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1,399 </w:t>
            </w:r>
          </w:p>
        </w:tc>
        <w:tc>
          <w:tcPr>
            <w:tcW w:w="1120" w:type="dxa"/>
            <w:tcBorders>
              <w:top w:val="nil"/>
              <w:left w:val="nil"/>
              <w:bottom w:val="nil"/>
              <w:right w:val="nil"/>
            </w:tcBorders>
            <w:shd w:val="clear" w:color="auto" w:fill="CCECFF"/>
            <w:noWrap/>
            <w:vAlign w:val="center"/>
            <w:hideMark/>
          </w:tcPr>
          <w:p w14:paraId="4859D889"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1,399 </w:t>
            </w:r>
          </w:p>
        </w:tc>
      </w:tr>
      <w:tr w:rsidR="00382A5D" w:rsidRPr="00382A5D" w14:paraId="57C732B2" w14:textId="77777777" w:rsidTr="00382A5D">
        <w:trPr>
          <w:trHeight w:val="252"/>
        </w:trPr>
        <w:tc>
          <w:tcPr>
            <w:tcW w:w="5080" w:type="dxa"/>
            <w:gridSpan w:val="4"/>
            <w:tcBorders>
              <w:top w:val="single" w:sz="4" w:space="0" w:color="BFBFBF"/>
              <w:left w:val="nil"/>
              <w:bottom w:val="single" w:sz="4" w:space="0" w:color="BFBFBF"/>
              <w:right w:val="nil"/>
            </w:tcBorders>
            <w:shd w:val="clear" w:color="000000" w:fill="FFFFFF"/>
            <w:noWrap/>
            <w:vAlign w:val="center"/>
            <w:hideMark/>
          </w:tcPr>
          <w:p w14:paraId="38C383C8"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lastRenderedPageBreak/>
              <w:t>Total financial assets held at fair value</w:t>
            </w:r>
          </w:p>
        </w:tc>
        <w:tc>
          <w:tcPr>
            <w:tcW w:w="1120" w:type="dxa"/>
            <w:tcBorders>
              <w:top w:val="single" w:sz="4" w:space="0" w:color="BFBFBF"/>
              <w:left w:val="nil"/>
              <w:bottom w:val="single" w:sz="4" w:space="0" w:color="BFBFBF"/>
              <w:right w:val="nil"/>
            </w:tcBorders>
            <w:shd w:val="clear" w:color="auto" w:fill="CCECFF"/>
            <w:noWrap/>
            <w:vAlign w:val="center"/>
            <w:hideMark/>
          </w:tcPr>
          <w:p w14:paraId="3FA3544A"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 </w:t>
            </w:r>
          </w:p>
        </w:tc>
        <w:tc>
          <w:tcPr>
            <w:tcW w:w="1120" w:type="dxa"/>
            <w:tcBorders>
              <w:top w:val="nil"/>
              <w:left w:val="nil"/>
              <w:bottom w:val="single" w:sz="4" w:space="0" w:color="BFBFBF"/>
              <w:right w:val="nil"/>
            </w:tcBorders>
            <w:shd w:val="clear" w:color="auto" w:fill="CCECFF"/>
            <w:noWrap/>
            <w:vAlign w:val="center"/>
            <w:hideMark/>
          </w:tcPr>
          <w:p w14:paraId="77E58368"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24 </w:t>
            </w:r>
          </w:p>
        </w:tc>
        <w:tc>
          <w:tcPr>
            <w:tcW w:w="1120" w:type="dxa"/>
            <w:tcBorders>
              <w:top w:val="single" w:sz="4" w:space="0" w:color="BFBFBF"/>
              <w:left w:val="nil"/>
              <w:bottom w:val="single" w:sz="4" w:space="0" w:color="BFBFBF"/>
              <w:right w:val="nil"/>
            </w:tcBorders>
            <w:shd w:val="clear" w:color="auto" w:fill="CCECFF"/>
            <w:noWrap/>
            <w:vAlign w:val="center"/>
            <w:hideMark/>
          </w:tcPr>
          <w:p w14:paraId="3AEF1588"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1,399 </w:t>
            </w:r>
          </w:p>
        </w:tc>
        <w:tc>
          <w:tcPr>
            <w:tcW w:w="1120" w:type="dxa"/>
            <w:tcBorders>
              <w:top w:val="single" w:sz="4" w:space="0" w:color="BFBFBF"/>
              <w:left w:val="nil"/>
              <w:bottom w:val="single" w:sz="4" w:space="0" w:color="BFBFBF"/>
              <w:right w:val="nil"/>
            </w:tcBorders>
            <w:shd w:val="clear" w:color="auto" w:fill="CCECFF"/>
            <w:noWrap/>
            <w:vAlign w:val="center"/>
            <w:hideMark/>
          </w:tcPr>
          <w:p w14:paraId="0119D9DA"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1,423 </w:t>
            </w:r>
          </w:p>
        </w:tc>
      </w:tr>
      <w:tr w:rsidR="00382A5D" w:rsidRPr="00382A5D" w14:paraId="2FF36F1A" w14:textId="77777777" w:rsidTr="00382A5D">
        <w:trPr>
          <w:trHeight w:val="252"/>
        </w:trPr>
        <w:tc>
          <w:tcPr>
            <w:tcW w:w="4736" w:type="dxa"/>
            <w:gridSpan w:val="2"/>
            <w:tcBorders>
              <w:top w:val="nil"/>
              <w:left w:val="nil"/>
              <w:bottom w:val="nil"/>
              <w:right w:val="nil"/>
            </w:tcBorders>
            <w:shd w:val="clear" w:color="000000" w:fill="FFFFFF"/>
            <w:noWrap/>
            <w:vAlign w:val="center"/>
            <w:hideMark/>
          </w:tcPr>
          <w:p w14:paraId="0FF0C0D8"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xml:space="preserve"> Liabilities </w:t>
            </w:r>
          </w:p>
        </w:tc>
        <w:tc>
          <w:tcPr>
            <w:tcW w:w="172" w:type="dxa"/>
            <w:tcBorders>
              <w:top w:val="nil"/>
              <w:left w:val="nil"/>
              <w:bottom w:val="nil"/>
              <w:right w:val="nil"/>
            </w:tcBorders>
            <w:shd w:val="clear" w:color="000000" w:fill="FFFFFF"/>
            <w:noWrap/>
            <w:vAlign w:val="center"/>
            <w:hideMark/>
          </w:tcPr>
          <w:p w14:paraId="2222C5CF"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72" w:type="dxa"/>
            <w:tcBorders>
              <w:top w:val="nil"/>
              <w:left w:val="nil"/>
              <w:bottom w:val="nil"/>
              <w:right w:val="nil"/>
            </w:tcBorders>
            <w:shd w:val="clear" w:color="000000" w:fill="FFFFFF"/>
            <w:noWrap/>
            <w:vAlign w:val="center"/>
            <w:hideMark/>
          </w:tcPr>
          <w:p w14:paraId="2B0B578A"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auto" w:fill="CCECFF"/>
            <w:noWrap/>
            <w:vAlign w:val="center"/>
            <w:hideMark/>
          </w:tcPr>
          <w:p w14:paraId="6D2A0B97"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120" w:type="dxa"/>
            <w:tcBorders>
              <w:top w:val="nil"/>
              <w:left w:val="nil"/>
              <w:bottom w:val="nil"/>
              <w:right w:val="nil"/>
            </w:tcBorders>
            <w:shd w:val="clear" w:color="auto" w:fill="CCECFF"/>
            <w:noWrap/>
            <w:vAlign w:val="center"/>
            <w:hideMark/>
          </w:tcPr>
          <w:p w14:paraId="010BA47C"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120" w:type="dxa"/>
            <w:tcBorders>
              <w:top w:val="nil"/>
              <w:left w:val="nil"/>
              <w:bottom w:val="nil"/>
              <w:right w:val="nil"/>
            </w:tcBorders>
            <w:shd w:val="clear" w:color="auto" w:fill="CCECFF"/>
            <w:noWrap/>
            <w:vAlign w:val="center"/>
            <w:hideMark/>
          </w:tcPr>
          <w:p w14:paraId="36B1C9A4"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120" w:type="dxa"/>
            <w:tcBorders>
              <w:top w:val="nil"/>
              <w:left w:val="nil"/>
              <w:bottom w:val="nil"/>
              <w:right w:val="nil"/>
            </w:tcBorders>
            <w:shd w:val="clear" w:color="auto" w:fill="CCECFF"/>
            <w:noWrap/>
            <w:vAlign w:val="center"/>
            <w:hideMark/>
          </w:tcPr>
          <w:p w14:paraId="5D9172F1"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r>
      <w:tr w:rsidR="00382A5D" w:rsidRPr="00382A5D" w14:paraId="5E822746" w14:textId="77777777" w:rsidTr="00382A5D">
        <w:trPr>
          <w:trHeight w:val="252"/>
        </w:trPr>
        <w:tc>
          <w:tcPr>
            <w:tcW w:w="5080" w:type="dxa"/>
            <w:gridSpan w:val="4"/>
            <w:tcBorders>
              <w:top w:val="nil"/>
              <w:left w:val="nil"/>
              <w:bottom w:val="nil"/>
              <w:right w:val="nil"/>
            </w:tcBorders>
            <w:shd w:val="clear" w:color="000000" w:fill="FFFFFF"/>
            <w:noWrap/>
            <w:vAlign w:val="center"/>
            <w:hideMark/>
          </w:tcPr>
          <w:p w14:paraId="28FA1356"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Financial liabilities at fair value through income or expense </w:t>
            </w:r>
          </w:p>
        </w:tc>
        <w:tc>
          <w:tcPr>
            <w:tcW w:w="1120" w:type="dxa"/>
            <w:tcBorders>
              <w:top w:val="nil"/>
              <w:left w:val="nil"/>
              <w:bottom w:val="nil"/>
              <w:right w:val="nil"/>
            </w:tcBorders>
            <w:shd w:val="clear" w:color="auto" w:fill="CCECFF"/>
            <w:noWrap/>
            <w:vAlign w:val="center"/>
            <w:hideMark/>
          </w:tcPr>
          <w:p w14:paraId="1CC48A62"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120" w:type="dxa"/>
            <w:tcBorders>
              <w:top w:val="nil"/>
              <w:left w:val="nil"/>
              <w:bottom w:val="nil"/>
              <w:right w:val="nil"/>
            </w:tcBorders>
            <w:shd w:val="clear" w:color="auto" w:fill="CCECFF"/>
            <w:noWrap/>
            <w:vAlign w:val="center"/>
            <w:hideMark/>
          </w:tcPr>
          <w:p w14:paraId="3AFD97A9"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120" w:type="dxa"/>
            <w:tcBorders>
              <w:top w:val="nil"/>
              <w:left w:val="nil"/>
              <w:bottom w:val="nil"/>
              <w:right w:val="nil"/>
            </w:tcBorders>
            <w:shd w:val="clear" w:color="auto" w:fill="CCECFF"/>
            <w:noWrap/>
            <w:vAlign w:val="center"/>
            <w:hideMark/>
          </w:tcPr>
          <w:p w14:paraId="2DB001DE"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120" w:type="dxa"/>
            <w:tcBorders>
              <w:top w:val="nil"/>
              <w:left w:val="nil"/>
              <w:bottom w:val="nil"/>
              <w:right w:val="nil"/>
            </w:tcBorders>
            <w:shd w:val="clear" w:color="auto" w:fill="CCECFF"/>
            <w:noWrap/>
            <w:vAlign w:val="center"/>
            <w:hideMark/>
          </w:tcPr>
          <w:p w14:paraId="54446276"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r>
      <w:tr w:rsidR="00382A5D" w:rsidRPr="00382A5D" w14:paraId="3AB64558" w14:textId="77777777" w:rsidTr="00382A5D">
        <w:trPr>
          <w:trHeight w:val="252"/>
        </w:trPr>
        <w:tc>
          <w:tcPr>
            <w:tcW w:w="5080" w:type="dxa"/>
            <w:gridSpan w:val="4"/>
            <w:tcBorders>
              <w:top w:val="nil"/>
              <w:left w:val="nil"/>
              <w:bottom w:val="nil"/>
              <w:right w:val="nil"/>
            </w:tcBorders>
            <w:shd w:val="clear" w:color="000000" w:fill="FFFFFF"/>
            <w:noWrap/>
            <w:vAlign w:val="center"/>
            <w:hideMark/>
          </w:tcPr>
          <w:p w14:paraId="4229A389"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 Fixed-rate sterling Eurobond </w:t>
            </w:r>
          </w:p>
        </w:tc>
        <w:tc>
          <w:tcPr>
            <w:tcW w:w="1120" w:type="dxa"/>
            <w:tcBorders>
              <w:top w:val="nil"/>
              <w:left w:val="nil"/>
              <w:bottom w:val="nil"/>
              <w:right w:val="nil"/>
            </w:tcBorders>
            <w:shd w:val="clear" w:color="auto" w:fill="CCECFF"/>
            <w:noWrap/>
            <w:vAlign w:val="center"/>
            <w:hideMark/>
          </w:tcPr>
          <w:p w14:paraId="5273A951"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 </w:t>
            </w:r>
          </w:p>
        </w:tc>
        <w:tc>
          <w:tcPr>
            <w:tcW w:w="1120" w:type="dxa"/>
            <w:tcBorders>
              <w:top w:val="nil"/>
              <w:left w:val="nil"/>
              <w:bottom w:val="nil"/>
              <w:right w:val="nil"/>
            </w:tcBorders>
            <w:shd w:val="clear" w:color="auto" w:fill="CCECFF"/>
            <w:noWrap/>
            <w:vAlign w:val="center"/>
            <w:hideMark/>
          </w:tcPr>
          <w:p w14:paraId="3A336D81"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94 </w:t>
            </w:r>
          </w:p>
        </w:tc>
        <w:tc>
          <w:tcPr>
            <w:tcW w:w="1120" w:type="dxa"/>
            <w:tcBorders>
              <w:top w:val="nil"/>
              <w:left w:val="nil"/>
              <w:bottom w:val="nil"/>
              <w:right w:val="nil"/>
            </w:tcBorders>
            <w:shd w:val="clear" w:color="auto" w:fill="CCECFF"/>
            <w:noWrap/>
            <w:vAlign w:val="center"/>
            <w:hideMark/>
          </w:tcPr>
          <w:p w14:paraId="61FCC8F9"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 </w:t>
            </w:r>
          </w:p>
        </w:tc>
        <w:tc>
          <w:tcPr>
            <w:tcW w:w="1120" w:type="dxa"/>
            <w:tcBorders>
              <w:top w:val="nil"/>
              <w:left w:val="nil"/>
              <w:bottom w:val="nil"/>
              <w:right w:val="nil"/>
            </w:tcBorders>
            <w:shd w:val="clear" w:color="auto" w:fill="CCECFF"/>
            <w:noWrap/>
            <w:vAlign w:val="center"/>
            <w:hideMark/>
          </w:tcPr>
          <w:p w14:paraId="39B6F3DD"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94 </w:t>
            </w:r>
          </w:p>
        </w:tc>
      </w:tr>
      <w:tr w:rsidR="00382A5D" w:rsidRPr="00382A5D" w14:paraId="1C8CC907" w14:textId="77777777" w:rsidTr="00382A5D">
        <w:trPr>
          <w:trHeight w:val="252"/>
        </w:trPr>
        <w:tc>
          <w:tcPr>
            <w:tcW w:w="5080" w:type="dxa"/>
            <w:gridSpan w:val="4"/>
            <w:tcBorders>
              <w:top w:val="nil"/>
              <w:left w:val="nil"/>
              <w:bottom w:val="single" w:sz="4" w:space="0" w:color="BFBFBF"/>
              <w:right w:val="nil"/>
            </w:tcBorders>
            <w:shd w:val="clear" w:color="000000" w:fill="FFFFFF"/>
            <w:noWrap/>
            <w:vAlign w:val="center"/>
            <w:hideMark/>
          </w:tcPr>
          <w:p w14:paraId="7D8F158F"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 Derivative financial instruments </w:t>
            </w:r>
          </w:p>
        </w:tc>
        <w:tc>
          <w:tcPr>
            <w:tcW w:w="1120" w:type="dxa"/>
            <w:tcBorders>
              <w:top w:val="nil"/>
              <w:left w:val="nil"/>
              <w:bottom w:val="single" w:sz="4" w:space="0" w:color="BFBFBF"/>
              <w:right w:val="nil"/>
            </w:tcBorders>
            <w:shd w:val="clear" w:color="auto" w:fill="CCECFF"/>
            <w:noWrap/>
            <w:vAlign w:val="center"/>
            <w:hideMark/>
          </w:tcPr>
          <w:p w14:paraId="753B11EC"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 </w:t>
            </w:r>
          </w:p>
        </w:tc>
        <w:tc>
          <w:tcPr>
            <w:tcW w:w="1120" w:type="dxa"/>
            <w:tcBorders>
              <w:top w:val="nil"/>
              <w:left w:val="nil"/>
              <w:bottom w:val="single" w:sz="4" w:space="0" w:color="BFBFBF"/>
              <w:right w:val="nil"/>
            </w:tcBorders>
            <w:shd w:val="clear" w:color="auto" w:fill="CCECFF"/>
            <w:noWrap/>
            <w:vAlign w:val="center"/>
            <w:hideMark/>
          </w:tcPr>
          <w:p w14:paraId="762B780D"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10 </w:t>
            </w:r>
          </w:p>
        </w:tc>
        <w:tc>
          <w:tcPr>
            <w:tcW w:w="1120" w:type="dxa"/>
            <w:tcBorders>
              <w:top w:val="nil"/>
              <w:left w:val="nil"/>
              <w:bottom w:val="single" w:sz="4" w:space="0" w:color="BFBFBF"/>
              <w:right w:val="nil"/>
            </w:tcBorders>
            <w:shd w:val="clear" w:color="auto" w:fill="CCECFF"/>
            <w:noWrap/>
            <w:vAlign w:val="center"/>
            <w:hideMark/>
          </w:tcPr>
          <w:p w14:paraId="7CA98B85"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 </w:t>
            </w:r>
          </w:p>
        </w:tc>
        <w:tc>
          <w:tcPr>
            <w:tcW w:w="1120" w:type="dxa"/>
            <w:tcBorders>
              <w:top w:val="nil"/>
              <w:left w:val="nil"/>
              <w:bottom w:val="nil"/>
              <w:right w:val="nil"/>
            </w:tcBorders>
            <w:shd w:val="clear" w:color="auto" w:fill="CCECFF"/>
            <w:noWrap/>
            <w:vAlign w:val="center"/>
            <w:hideMark/>
          </w:tcPr>
          <w:p w14:paraId="0F5A76D0"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10 </w:t>
            </w:r>
          </w:p>
        </w:tc>
      </w:tr>
      <w:tr w:rsidR="00382A5D" w:rsidRPr="00382A5D" w14:paraId="6A53B6EF" w14:textId="77777777" w:rsidTr="00382A5D">
        <w:trPr>
          <w:trHeight w:val="252"/>
        </w:trPr>
        <w:tc>
          <w:tcPr>
            <w:tcW w:w="5080" w:type="dxa"/>
            <w:gridSpan w:val="4"/>
            <w:tcBorders>
              <w:top w:val="single" w:sz="4" w:space="0" w:color="BFBFBF"/>
              <w:left w:val="nil"/>
              <w:bottom w:val="single" w:sz="4" w:space="0" w:color="BFBFBF"/>
              <w:right w:val="nil"/>
            </w:tcBorders>
            <w:shd w:val="clear" w:color="000000" w:fill="FFFFFF"/>
            <w:noWrap/>
            <w:vAlign w:val="center"/>
            <w:hideMark/>
          </w:tcPr>
          <w:p w14:paraId="6008E59C"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Total financial liabilities held at fair value</w:t>
            </w:r>
          </w:p>
        </w:tc>
        <w:tc>
          <w:tcPr>
            <w:tcW w:w="1120" w:type="dxa"/>
            <w:tcBorders>
              <w:top w:val="nil"/>
              <w:left w:val="nil"/>
              <w:bottom w:val="single" w:sz="4" w:space="0" w:color="BFBFBF"/>
              <w:right w:val="nil"/>
            </w:tcBorders>
            <w:shd w:val="clear" w:color="auto" w:fill="CCECFF"/>
            <w:noWrap/>
            <w:vAlign w:val="center"/>
            <w:hideMark/>
          </w:tcPr>
          <w:p w14:paraId="505D8A3B"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 </w:t>
            </w:r>
          </w:p>
        </w:tc>
        <w:tc>
          <w:tcPr>
            <w:tcW w:w="1120" w:type="dxa"/>
            <w:tcBorders>
              <w:top w:val="nil"/>
              <w:left w:val="nil"/>
              <w:bottom w:val="single" w:sz="4" w:space="0" w:color="BFBFBF"/>
              <w:right w:val="nil"/>
            </w:tcBorders>
            <w:shd w:val="clear" w:color="auto" w:fill="CCECFF"/>
            <w:noWrap/>
            <w:vAlign w:val="center"/>
            <w:hideMark/>
          </w:tcPr>
          <w:p w14:paraId="2F8CDD3D"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104 </w:t>
            </w:r>
          </w:p>
        </w:tc>
        <w:tc>
          <w:tcPr>
            <w:tcW w:w="1120" w:type="dxa"/>
            <w:tcBorders>
              <w:top w:val="nil"/>
              <w:left w:val="nil"/>
              <w:bottom w:val="single" w:sz="4" w:space="0" w:color="BFBFBF"/>
              <w:right w:val="nil"/>
            </w:tcBorders>
            <w:shd w:val="clear" w:color="auto" w:fill="CCECFF"/>
            <w:noWrap/>
            <w:vAlign w:val="center"/>
            <w:hideMark/>
          </w:tcPr>
          <w:p w14:paraId="4A1044E7"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 </w:t>
            </w:r>
          </w:p>
        </w:tc>
        <w:tc>
          <w:tcPr>
            <w:tcW w:w="1120" w:type="dxa"/>
            <w:tcBorders>
              <w:top w:val="single" w:sz="4" w:space="0" w:color="BFBFBF"/>
              <w:left w:val="nil"/>
              <w:bottom w:val="single" w:sz="4" w:space="0" w:color="BFBFBF"/>
              <w:right w:val="nil"/>
            </w:tcBorders>
            <w:shd w:val="clear" w:color="auto" w:fill="CCECFF"/>
            <w:noWrap/>
            <w:vAlign w:val="center"/>
            <w:hideMark/>
          </w:tcPr>
          <w:p w14:paraId="6D30204A"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104 </w:t>
            </w:r>
          </w:p>
        </w:tc>
      </w:tr>
      <w:tr w:rsidR="00382A5D" w:rsidRPr="00382A5D" w14:paraId="32CB1744" w14:textId="77777777" w:rsidTr="00382A5D">
        <w:trPr>
          <w:trHeight w:val="199"/>
        </w:trPr>
        <w:tc>
          <w:tcPr>
            <w:tcW w:w="4564" w:type="dxa"/>
            <w:tcBorders>
              <w:top w:val="nil"/>
              <w:left w:val="nil"/>
              <w:bottom w:val="nil"/>
              <w:right w:val="nil"/>
            </w:tcBorders>
            <w:shd w:val="clear" w:color="000000" w:fill="FFFFFF"/>
            <w:noWrap/>
            <w:vAlign w:val="center"/>
            <w:hideMark/>
          </w:tcPr>
          <w:p w14:paraId="289DD900"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72" w:type="dxa"/>
            <w:tcBorders>
              <w:top w:val="nil"/>
              <w:left w:val="nil"/>
              <w:bottom w:val="nil"/>
              <w:right w:val="nil"/>
            </w:tcBorders>
            <w:shd w:val="clear" w:color="000000" w:fill="FFFFFF"/>
            <w:noWrap/>
            <w:vAlign w:val="center"/>
            <w:hideMark/>
          </w:tcPr>
          <w:p w14:paraId="4A9A973C"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72" w:type="dxa"/>
            <w:tcBorders>
              <w:top w:val="nil"/>
              <w:left w:val="nil"/>
              <w:bottom w:val="nil"/>
              <w:right w:val="nil"/>
            </w:tcBorders>
            <w:shd w:val="clear" w:color="000000" w:fill="FFFFFF"/>
            <w:noWrap/>
            <w:vAlign w:val="center"/>
            <w:hideMark/>
          </w:tcPr>
          <w:p w14:paraId="27A8C884"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72" w:type="dxa"/>
            <w:tcBorders>
              <w:top w:val="nil"/>
              <w:left w:val="nil"/>
              <w:bottom w:val="nil"/>
              <w:right w:val="nil"/>
            </w:tcBorders>
            <w:shd w:val="clear" w:color="000000" w:fill="FFFFFF"/>
            <w:noWrap/>
            <w:vAlign w:val="center"/>
            <w:hideMark/>
          </w:tcPr>
          <w:p w14:paraId="11214320"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120" w:type="dxa"/>
            <w:tcBorders>
              <w:top w:val="nil"/>
              <w:left w:val="nil"/>
              <w:bottom w:val="nil"/>
              <w:right w:val="nil"/>
            </w:tcBorders>
            <w:shd w:val="clear" w:color="000000" w:fill="FFFFFF"/>
            <w:noWrap/>
            <w:vAlign w:val="center"/>
            <w:hideMark/>
          </w:tcPr>
          <w:p w14:paraId="4418EDEE"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0B6C8BFF"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5E436284"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5A275A96"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r>
      <w:tr w:rsidR="00382A5D" w:rsidRPr="00382A5D" w14:paraId="577DC1E7" w14:textId="77777777" w:rsidTr="00382A5D">
        <w:trPr>
          <w:trHeight w:val="600"/>
        </w:trPr>
        <w:tc>
          <w:tcPr>
            <w:tcW w:w="9560" w:type="dxa"/>
            <w:gridSpan w:val="8"/>
            <w:tcBorders>
              <w:top w:val="nil"/>
              <w:left w:val="nil"/>
              <w:bottom w:val="nil"/>
              <w:right w:val="nil"/>
            </w:tcBorders>
            <w:shd w:val="clear" w:color="auto" w:fill="auto"/>
            <w:hideMark/>
          </w:tcPr>
          <w:p w14:paraId="34485F53" w14:textId="77777777" w:rsidR="00382A5D" w:rsidRPr="00382A5D" w:rsidRDefault="00382A5D" w:rsidP="00382A5D">
            <w:pPr>
              <w:spacing w:after="0" w:line="240" w:lineRule="auto"/>
              <w:rPr>
                <w:rFonts w:ascii="Arial" w:eastAsia="Times New Roman" w:hAnsi="Arial" w:cs="Arial"/>
                <w:sz w:val="15"/>
                <w:szCs w:val="15"/>
                <w:lang w:eastAsia="en-GB"/>
              </w:rPr>
            </w:pPr>
            <w:r w:rsidRPr="00382A5D">
              <w:rPr>
                <w:rFonts w:ascii="Arial" w:eastAsia="Times New Roman" w:hAnsi="Arial" w:cs="Arial"/>
                <w:sz w:val="15"/>
                <w:szCs w:val="15"/>
                <w:lang w:eastAsia="en-GB"/>
              </w:rPr>
              <w:t xml:space="preserve">There were no transfers between Levels 1 and 2 during the period and no transfers into and out of Level 3 fair value measurements. For other financial assets and liabilities of the Group including cash, </w:t>
            </w:r>
            <w:proofErr w:type="gramStart"/>
            <w:r w:rsidRPr="00382A5D">
              <w:rPr>
                <w:rFonts w:ascii="Arial" w:eastAsia="Times New Roman" w:hAnsi="Arial" w:cs="Arial"/>
                <w:sz w:val="15"/>
                <w:szCs w:val="15"/>
                <w:lang w:eastAsia="en-GB"/>
              </w:rPr>
              <w:t>trade</w:t>
            </w:r>
            <w:proofErr w:type="gramEnd"/>
            <w:r w:rsidRPr="00382A5D">
              <w:rPr>
                <w:rFonts w:ascii="Arial" w:eastAsia="Times New Roman" w:hAnsi="Arial" w:cs="Arial"/>
                <w:sz w:val="15"/>
                <w:szCs w:val="15"/>
                <w:lang w:eastAsia="en-GB"/>
              </w:rPr>
              <w:t xml:space="preserve"> and other receivables / payables then the notional amount is deemed to reflect the fair value. </w:t>
            </w:r>
          </w:p>
        </w:tc>
      </w:tr>
      <w:tr w:rsidR="00382A5D" w:rsidRPr="00382A5D" w14:paraId="0EBECE7D" w14:textId="77777777" w:rsidTr="00382A5D">
        <w:trPr>
          <w:trHeight w:val="923"/>
        </w:trPr>
        <w:tc>
          <w:tcPr>
            <w:tcW w:w="9560" w:type="dxa"/>
            <w:gridSpan w:val="8"/>
            <w:tcBorders>
              <w:top w:val="nil"/>
              <w:left w:val="nil"/>
              <w:bottom w:val="nil"/>
              <w:right w:val="nil"/>
            </w:tcBorders>
            <w:shd w:val="clear" w:color="auto" w:fill="auto"/>
            <w:vAlign w:val="center"/>
            <w:hideMark/>
          </w:tcPr>
          <w:p w14:paraId="0E849117" w14:textId="77777777" w:rsidR="00382A5D" w:rsidRPr="00382A5D" w:rsidRDefault="00382A5D" w:rsidP="00382A5D">
            <w:pPr>
              <w:spacing w:after="0" w:line="240" w:lineRule="auto"/>
              <w:rPr>
                <w:rFonts w:ascii="Arial" w:eastAsia="Times New Roman" w:hAnsi="Arial" w:cs="Arial"/>
                <w:sz w:val="15"/>
                <w:szCs w:val="15"/>
                <w:lang w:eastAsia="en-GB"/>
              </w:rPr>
            </w:pPr>
            <w:r w:rsidRPr="00382A5D">
              <w:rPr>
                <w:rFonts w:ascii="Arial" w:eastAsia="Times New Roman" w:hAnsi="Arial" w:cs="Arial"/>
                <w:sz w:val="15"/>
                <w:szCs w:val="15"/>
                <w:lang w:eastAsia="en-GB"/>
              </w:rPr>
              <w:t>The table above (and the comparative tables below) only show those funeral plan assets that are "financial assets". They don't include funeral plan assets in respect of instalment plans that are shown within debtors. The coverage of our funeral plan assets over plan liabilities as at the last actuarial valuation is shown in the table at the end of this note and indicates we have headroom of over 27% on a pre-tax wholesale basis.</w:t>
            </w:r>
          </w:p>
        </w:tc>
      </w:tr>
      <w:tr w:rsidR="00382A5D" w:rsidRPr="00382A5D" w14:paraId="2A946B2F" w14:textId="77777777" w:rsidTr="00D61B91">
        <w:trPr>
          <w:trHeight w:val="326"/>
        </w:trPr>
        <w:tc>
          <w:tcPr>
            <w:tcW w:w="4564" w:type="dxa"/>
            <w:tcBorders>
              <w:top w:val="nil"/>
              <w:left w:val="nil"/>
              <w:bottom w:val="nil"/>
              <w:right w:val="nil"/>
            </w:tcBorders>
            <w:shd w:val="clear" w:color="000000" w:fill="FFFFFF"/>
            <w:noWrap/>
            <w:vAlign w:val="center"/>
            <w:hideMark/>
          </w:tcPr>
          <w:p w14:paraId="49044E8D" w14:textId="77777777" w:rsidR="00382A5D" w:rsidRPr="00382A5D" w:rsidRDefault="00382A5D" w:rsidP="00382A5D">
            <w:pPr>
              <w:spacing w:after="0" w:line="240" w:lineRule="auto"/>
              <w:rPr>
                <w:rFonts w:ascii="Arial" w:eastAsia="Times New Roman" w:hAnsi="Arial" w:cs="Arial"/>
                <w:sz w:val="15"/>
                <w:szCs w:val="15"/>
                <w:lang w:eastAsia="en-GB"/>
              </w:rPr>
            </w:pPr>
            <w:r w:rsidRPr="00382A5D">
              <w:rPr>
                <w:rFonts w:ascii="Arial" w:eastAsia="Times New Roman" w:hAnsi="Arial" w:cs="Arial"/>
                <w:sz w:val="15"/>
                <w:szCs w:val="15"/>
                <w:lang w:eastAsia="en-GB"/>
              </w:rPr>
              <w:t> </w:t>
            </w:r>
          </w:p>
        </w:tc>
        <w:tc>
          <w:tcPr>
            <w:tcW w:w="172" w:type="dxa"/>
            <w:tcBorders>
              <w:top w:val="nil"/>
              <w:left w:val="nil"/>
              <w:bottom w:val="nil"/>
              <w:right w:val="nil"/>
            </w:tcBorders>
            <w:shd w:val="clear" w:color="000000" w:fill="FFFFFF"/>
            <w:noWrap/>
            <w:vAlign w:val="center"/>
            <w:hideMark/>
          </w:tcPr>
          <w:p w14:paraId="45465974"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72" w:type="dxa"/>
            <w:tcBorders>
              <w:top w:val="nil"/>
              <w:left w:val="nil"/>
              <w:bottom w:val="nil"/>
              <w:right w:val="nil"/>
            </w:tcBorders>
            <w:shd w:val="clear" w:color="000000" w:fill="FFFFFF"/>
            <w:noWrap/>
            <w:vAlign w:val="center"/>
            <w:hideMark/>
          </w:tcPr>
          <w:p w14:paraId="36E29600"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72" w:type="dxa"/>
            <w:tcBorders>
              <w:top w:val="nil"/>
              <w:left w:val="nil"/>
              <w:bottom w:val="nil"/>
              <w:right w:val="nil"/>
            </w:tcBorders>
            <w:shd w:val="clear" w:color="000000" w:fill="FFFFFF"/>
            <w:noWrap/>
            <w:vAlign w:val="center"/>
            <w:hideMark/>
          </w:tcPr>
          <w:p w14:paraId="2DA15631"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120" w:type="dxa"/>
            <w:tcBorders>
              <w:top w:val="nil"/>
              <w:left w:val="nil"/>
              <w:bottom w:val="nil"/>
              <w:right w:val="nil"/>
            </w:tcBorders>
            <w:shd w:val="clear" w:color="000000" w:fill="FFFFFF"/>
            <w:noWrap/>
            <w:vAlign w:val="center"/>
            <w:hideMark/>
          </w:tcPr>
          <w:p w14:paraId="217467A0"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09B82617"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789A0656"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47F2041B"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r>
      <w:tr w:rsidR="00382A5D" w:rsidRPr="00382A5D" w14:paraId="395C4D9A" w14:textId="77777777" w:rsidTr="00382A5D">
        <w:trPr>
          <w:trHeight w:val="300"/>
        </w:trPr>
        <w:tc>
          <w:tcPr>
            <w:tcW w:w="5080" w:type="dxa"/>
            <w:gridSpan w:val="4"/>
            <w:tcBorders>
              <w:top w:val="single" w:sz="4" w:space="0" w:color="BFBFBF"/>
              <w:left w:val="single" w:sz="4" w:space="0" w:color="BFBFBF"/>
              <w:bottom w:val="nil"/>
              <w:right w:val="nil"/>
            </w:tcBorders>
            <w:shd w:val="clear" w:color="auto" w:fill="auto"/>
            <w:noWrap/>
            <w:vAlign w:val="center"/>
            <w:hideMark/>
          </w:tcPr>
          <w:p w14:paraId="1AE0A8B8"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3 July 2021 (unaudited)</w:t>
            </w:r>
          </w:p>
        </w:tc>
        <w:tc>
          <w:tcPr>
            <w:tcW w:w="1120" w:type="dxa"/>
            <w:tcBorders>
              <w:top w:val="single" w:sz="4" w:space="0" w:color="BFBFBF"/>
              <w:left w:val="nil"/>
              <w:bottom w:val="nil"/>
              <w:right w:val="nil"/>
            </w:tcBorders>
            <w:shd w:val="clear" w:color="auto" w:fill="auto"/>
            <w:noWrap/>
            <w:vAlign w:val="center"/>
            <w:hideMark/>
          </w:tcPr>
          <w:p w14:paraId="37B548A0"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Level 1</w:t>
            </w:r>
          </w:p>
        </w:tc>
        <w:tc>
          <w:tcPr>
            <w:tcW w:w="1120" w:type="dxa"/>
            <w:tcBorders>
              <w:top w:val="single" w:sz="4" w:space="0" w:color="BFBFBF"/>
              <w:left w:val="nil"/>
              <w:bottom w:val="nil"/>
              <w:right w:val="nil"/>
            </w:tcBorders>
            <w:shd w:val="clear" w:color="auto" w:fill="auto"/>
            <w:noWrap/>
            <w:vAlign w:val="center"/>
            <w:hideMark/>
          </w:tcPr>
          <w:p w14:paraId="40AFFB4A"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Level 2</w:t>
            </w:r>
          </w:p>
        </w:tc>
        <w:tc>
          <w:tcPr>
            <w:tcW w:w="1120" w:type="dxa"/>
            <w:tcBorders>
              <w:top w:val="single" w:sz="4" w:space="0" w:color="BFBFBF"/>
              <w:left w:val="nil"/>
              <w:bottom w:val="nil"/>
              <w:right w:val="nil"/>
            </w:tcBorders>
            <w:shd w:val="clear" w:color="auto" w:fill="auto"/>
            <w:noWrap/>
            <w:vAlign w:val="center"/>
            <w:hideMark/>
          </w:tcPr>
          <w:p w14:paraId="3A482591"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Level 3</w:t>
            </w:r>
          </w:p>
        </w:tc>
        <w:tc>
          <w:tcPr>
            <w:tcW w:w="1120" w:type="dxa"/>
            <w:tcBorders>
              <w:top w:val="single" w:sz="4" w:space="0" w:color="BFBFBF"/>
              <w:left w:val="nil"/>
              <w:bottom w:val="nil"/>
              <w:right w:val="single" w:sz="4" w:space="0" w:color="BFBFBF"/>
            </w:tcBorders>
            <w:shd w:val="clear" w:color="auto" w:fill="auto"/>
            <w:noWrap/>
            <w:vAlign w:val="center"/>
            <w:hideMark/>
          </w:tcPr>
          <w:p w14:paraId="7CD603CA"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Total </w:t>
            </w:r>
          </w:p>
        </w:tc>
      </w:tr>
      <w:tr w:rsidR="00382A5D" w:rsidRPr="00382A5D" w14:paraId="6CC7C0A2" w14:textId="77777777" w:rsidTr="00382A5D">
        <w:trPr>
          <w:trHeight w:val="180"/>
        </w:trPr>
        <w:tc>
          <w:tcPr>
            <w:tcW w:w="4564" w:type="dxa"/>
            <w:tcBorders>
              <w:top w:val="nil"/>
              <w:left w:val="single" w:sz="4" w:space="0" w:color="BFBFBF"/>
              <w:bottom w:val="single" w:sz="4" w:space="0" w:color="BFBFBF"/>
              <w:right w:val="nil"/>
            </w:tcBorders>
            <w:shd w:val="clear" w:color="auto" w:fill="auto"/>
            <w:noWrap/>
            <w:vAlign w:val="center"/>
            <w:hideMark/>
          </w:tcPr>
          <w:p w14:paraId="2519D21B" w14:textId="77777777" w:rsidR="00382A5D" w:rsidRPr="00382A5D" w:rsidRDefault="00382A5D" w:rsidP="00382A5D">
            <w:pPr>
              <w:spacing w:after="0" w:line="240" w:lineRule="auto"/>
              <w:rPr>
                <w:rFonts w:ascii="Arial" w:eastAsia="Times New Roman" w:hAnsi="Arial" w:cs="Arial"/>
                <w:sz w:val="15"/>
                <w:szCs w:val="15"/>
                <w:lang w:eastAsia="en-GB"/>
              </w:rPr>
            </w:pPr>
            <w:r w:rsidRPr="00382A5D">
              <w:rPr>
                <w:rFonts w:ascii="Arial" w:eastAsia="Times New Roman" w:hAnsi="Arial" w:cs="Arial"/>
                <w:sz w:val="15"/>
                <w:szCs w:val="15"/>
                <w:lang w:eastAsia="en-GB"/>
              </w:rPr>
              <w:t> </w:t>
            </w:r>
          </w:p>
        </w:tc>
        <w:tc>
          <w:tcPr>
            <w:tcW w:w="172" w:type="dxa"/>
            <w:tcBorders>
              <w:top w:val="nil"/>
              <w:left w:val="nil"/>
              <w:bottom w:val="single" w:sz="4" w:space="0" w:color="BFBFBF"/>
              <w:right w:val="nil"/>
            </w:tcBorders>
            <w:shd w:val="clear" w:color="auto" w:fill="auto"/>
            <w:noWrap/>
            <w:vAlign w:val="center"/>
            <w:hideMark/>
          </w:tcPr>
          <w:p w14:paraId="6A9E2262"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72" w:type="dxa"/>
            <w:tcBorders>
              <w:top w:val="nil"/>
              <w:left w:val="nil"/>
              <w:bottom w:val="single" w:sz="4" w:space="0" w:color="BFBFBF"/>
              <w:right w:val="nil"/>
            </w:tcBorders>
            <w:shd w:val="clear" w:color="auto" w:fill="auto"/>
            <w:noWrap/>
            <w:vAlign w:val="center"/>
            <w:hideMark/>
          </w:tcPr>
          <w:p w14:paraId="4F99FBDE"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72" w:type="dxa"/>
            <w:tcBorders>
              <w:top w:val="nil"/>
              <w:left w:val="nil"/>
              <w:bottom w:val="single" w:sz="4" w:space="0" w:color="BFBFBF"/>
              <w:right w:val="nil"/>
            </w:tcBorders>
            <w:shd w:val="clear" w:color="auto" w:fill="auto"/>
            <w:noWrap/>
            <w:vAlign w:val="bottom"/>
            <w:hideMark/>
          </w:tcPr>
          <w:p w14:paraId="61604D90" w14:textId="77777777" w:rsidR="00382A5D" w:rsidRPr="00382A5D" w:rsidRDefault="00382A5D" w:rsidP="00382A5D">
            <w:pPr>
              <w:spacing w:after="0" w:line="240" w:lineRule="auto"/>
              <w:rPr>
                <w:rFonts w:ascii="Arial" w:eastAsia="Times New Roman" w:hAnsi="Arial" w:cs="Arial"/>
                <w:sz w:val="14"/>
                <w:szCs w:val="14"/>
                <w:lang w:eastAsia="en-GB"/>
              </w:rPr>
            </w:pPr>
            <w:r w:rsidRPr="00382A5D">
              <w:rPr>
                <w:rFonts w:ascii="Arial" w:eastAsia="Times New Roman" w:hAnsi="Arial" w:cs="Arial"/>
                <w:sz w:val="14"/>
                <w:szCs w:val="14"/>
                <w:lang w:eastAsia="en-GB"/>
              </w:rPr>
              <w:t> </w:t>
            </w:r>
          </w:p>
        </w:tc>
        <w:tc>
          <w:tcPr>
            <w:tcW w:w="1120" w:type="dxa"/>
            <w:tcBorders>
              <w:top w:val="nil"/>
              <w:left w:val="nil"/>
              <w:bottom w:val="single" w:sz="4" w:space="0" w:color="BFBFBF"/>
              <w:right w:val="nil"/>
            </w:tcBorders>
            <w:shd w:val="clear" w:color="auto" w:fill="auto"/>
            <w:noWrap/>
            <w:vAlign w:val="center"/>
            <w:hideMark/>
          </w:tcPr>
          <w:p w14:paraId="468C65F4"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£m</w:t>
            </w:r>
          </w:p>
        </w:tc>
        <w:tc>
          <w:tcPr>
            <w:tcW w:w="1120" w:type="dxa"/>
            <w:tcBorders>
              <w:top w:val="nil"/>
              <w:left w:val="nil"/>
              <w:bottom w:val="single" w:sz="4" w:space="0" w:color="BFBFBF"/>
              <w:right w:val="nil"/>
            </w:tcBorders>
            <w:shd w:val="clear" w:color="auto" w:fill="auto"/>
            <w:noWrap/>
            <w:vAlign w:val="center"/>
            <w:hideMark/>
          </w:tcPr>
          <w:p w14:paraId="133016E9"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£m</w:t>
            </w:r>
          </w:p>
        </w:tc>
        <w:tc>
          <w:tcPr>
            <w:tcW w:w="1120" w:type="dxa"/>
            <w:tcBorders>
              <w:top w:val="nil"/>
              <w:left w:val="nil"/>
              <w:bottom w:val="single" w:sz="4" w:space="0" w:color="BFBFBF"/>
              <w:right w:val="nil"/>
            </w:tcBorders>
            <w:shd w:val="clear" w:color="auto" w:fill="auto"/>
            <w:noWrap/>
            <w:vAlign w:val="center"/>
            <w:hideMark/>
          </w:tcPr>
          <w:p w14:paraId="36EBB73F"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£m</w:t>
            </w:r>
          </w:p>
        </w:tc>
        <w:tc>
          <w:tcPr>
            <w:tcW w:w="1120" w:type="dxa"/>
            <w:tcBorders>
              <w:top w:val="nil"/>
              <w:left w:val="nil"/>
              <w:bottom w:val="single" w:sz="4" w:space="0" w:color="BFBFBF"/>
              <w:right w:val="single" w:sz="4" w:space="0" w:color="BFBFBF"/>
            </w:tcBorders>
            <w:shd w:val="clear" w:color="auto" w:fill="auto"/>
            <w:noWrap/>
            <w:vAlign w:val="center"/>
            <w:hideMark/>
          </w:tcPr>
          <w:p w14:paraId="0BE1B41F"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£m</w:t>
            </w:r>
          </w:p>
        </w:tc>
      </w:tr>
      <w:tr w:rsidR="00382A5D" w:rsidRPr="00382A5D" w14:paraId="48A51D15" w14:textId="77777777" w:rsidTr="00382A5D">
        <w:trPr>
          <w:trHeight w:val="252"/>
        </w:trPr>
        <w:tc>
          <w:tcPr>
            <w:tcW w:w="4736" w:type="dxa"/>
            <w:gridSpan w:val="2"/>
            <w:tcBorders>
              <w:top w:val="nil"/>
              <w:left w:val="nil"/>
              <w:bottom w:val="nil"/>
              <w:right w:val="nil"/>
            </w:tcBorders>
            <w:shd w:val="clear" w:color="000000" w:fill="FFFFFF"/>
            <w:noWrap/>
            <w:vAlign w:val="center"/>
            <w:hideMark/>
          </w:tcPr>
          <w:p w14:paraId="4635E99B"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xml:space="preserve"> Assets </w:t>
            </w:r>
          </w:p>
        </w:tc>
        <w:tc>
          <w:tcPr>
            <w:tcW w:w="172" w:type="dxa"/>
            <w:tcBorders>
              <w:top w:val="nil"/>
              <w:left w:val="nil"/>
              <w:bottom w:val="nil"/>
              <w:right w:val="nil"/>
            </w:tcBorders>
            <w:shd w:val="clear" w:color="000000" w:fill="FFFFFF"/>
            <w:noWrap/>
            <w:vAlign w:val="center"/>
            <w:hideMark/>
          </w:tcPr>
          <w:p w14:paraId="1D4FC8BC"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72" w:type="dxa"/>
            <w:tcBorders>
              <w:top w:val="nil"/>
              <w:left w:val="nil"/>
              <w:bottom w:val="nil"/>
              <w:right w:val="nil"/>
            </w:tcBorders>
            <w:shd w:val="clear" w:color="000000" w:fill="FFFFFF"/>
            <w:noWrap/>
            <w:vAlign w:val="center"/>
            <w:hideMark/>
          </w:tcPr>
          <w:p w14:paraId="18D49D94"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2FAE02F8" w14:textId="77777777" w:rsidR="00382A5D" w:rsidRPr="00382A5D" w:rsidRDefault="00382A5D" w:rsidP="00382A5D">
            <w:pPr>
              <w:spacing w:after="0" w:line="240" w:lineRule="auto"/>
              <w:jc w:val="right"/>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41B4B385" w14:textId="77777777" w:rsidR="00382A5D" w:rsidRPr="00382A5D" w:rsidRDefault="00382A5D" w:rsidP="00382A5D">
            <w:pPr>
              <w:spacing w:after="0" w:line="240" w:lineRule="auto"/>
              <w:jc w:val="right"/>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4C57BD79" w14:textId="77777777" w:rsidR="00382A5D" w:rsidRPr="00382A5D" w:rsidRDefault="00382A5D" w:rsidP="00382A5D">
            <w:pPr>
              <w:spacing w:after="0" w:line="240" w:lineRule="auto"/>
              <w:jc w:val="right"/>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5D0CA1B9" w14:textId="77777777" w:rsidR="00382A5D" w:rsidRPr="00382A5D" w:rsidRDefault="00382A5D" w:rsidP="00382A5D">
            <w:pPr>
              <w:spacing w:after="0" w:line="240" w:lineRule="auto"/>
              <w:jc w:val="right"/>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r>
      <w:tr w:rsidR="00382A5D" w:rsidRPr="00382A5D" w14:paraId="57673D91" w14:textId="77777777" w:rsidTr="00382A5D">
        <w:trPr>
          <w:trHeight w:val="252"/>
        </w:trPr>
        <w:tc>
          <w:tcPr>
            <w:tcW w:w="5080" w:type="dxa"/>
            <w:gridSpan w:val="4"/>
            <w:tcBorders>
              <w:top w:val="nil"/>
              <w:left w:val="nil"/>
              <w:bottom w:val="nil"/>
              <w:right w:val="nil"/>
            </w:tcBorders>
            <w:shd w:val="clear" w:color="000000" w:fill="FFFFFF"/>
            <w:noWrap/>
            <w:vAlign w:val="center"/>
            <w:hideMark/>
          </w:tcPr>
          <w:p w14:paraId="01599788"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Financial assets at fair value through income or expense </w:t>
            </w:r>
          </w:p>
        </w:tc>
        <w:tc>
          <w:tcPr>
            <w:tcW w:w="1120" w:type="dxa"/>
            <w:tcBorders>
              <w:top w:val="nil"/>
              <w:left w:val="nil"/>
              <w:bottom w:val="nil"/>
              <w:right w:val="nil"/>
            </w:tcBorders>
            <w:shd w:val="clear" w:color="000000" w:fill="FFFFFF"/>
            <w:noWrap/>
            <w:vAlign w:val="center"/>
            <w:hideMark/>
          </w:tcPr>
          <w:p w14:paraId="6516FB45"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3DB26F1E"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015DAA2B"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0155E60D"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r>
      <w:tr w:rsidR="00382A5D" w:rsidRPr="00382A5D" w14:paraId="413D7BDB" w14:textId="77777777" w:rsidTr="00382A5D">
        <w:trPr>
          <w:trHeight w:val="252"/>
        </w:trPr>
        <w:tc>
          <w:tcPr>
            <w:tcW w:w="5080" w:type="dxa"/>
            <w:gridSpan w:val="4"/>
            <w:tcBorders>
              <w:top w:val="nil"/>
              <w:left w:val="nil"/>
              <w:bottom w:val="nil"/>
              <w:right w:val="nil"/>
            </w:tcBorders>
            <w:shd w:val="clear" w:color="000000" w:fill="FFFFFF"/>
            <w:noWrap/>
            <w:vAlign w:val="center"/>
            <w:hideMark/>
          </w:tcPr>
          <w:p w14:paraId="2EB1B589"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 Derivative financial instruments </w:t>
            </w:r>
          </w:p>
        </w:tc>
        <w:tc>
          <w:tcPr>
            <w:tcW w:w="1120" w:type="dxa"/>
            <w:tcBorders>
              <w:top w:val="nil"/>
              <w:left w:val="nil"/>
              <w:bottom w:val="nil"/>
              <w:right w:val="nil"/>
            </w:tcBorders>
            <w:shd w:val="clear" w:color="000000" w:fill="FFFFFF"/>
            <w:noWrap/>
            <w:vAlign w:val="center"/>
            <w:hideMark/>
          </w:tcPr>
          <w:p w14:paraId="728E096E"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nil"/>
              <w:right w:val="nil"/>
            </w:tcBorders>
            <w:shd w:val="clear" w:color="000000" w:fill="FFFFFF"/>
            <w:noWrap/>
            <w:vAlign w:val="center"/>
            <w:hideMark/>
          </w:tcPr>
          <w:p w14:paraId="4E0CB7CC"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5 </w:t>
            </w:r>
          </w:p>
        </w:tc>
        <w:tc>
          <w:tcPr>
            <w:tcW w:w="1120" w:type="dxa"/>
            <w:tcBorders>
              <w:top w:val="nil"/>
              <w:left w:val="nil"/>
              <w:bottom w:val="nil"/>
              <w:right w:val="nil"/>
            </w:tcBorders>
            <w:shd w:val="clear" w:color="000000" w:fill="FFFFFF"/>
            <w:noWrap/>
            <w:vAlign w:val="center"/>
            <w:hideMark/>
          </w:tcPr>
          <w:p w14:paraId="58F3EA3E"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nil"/>
              <w:right w:val="nil"/>
            </w:tcBorders>
            <w:shd w:val="clear" w:color="000000" w:fill="FFFFFF"/>
            <w:noWrap/>
            <w:vAlign w:val="center"/>
            <w:hideMark/>
          </w:tcPr>
          <w:p w14:paraId="206E4443"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5 </w:t>
            </w:r>
          </w:p>
        </w:tc>
      </w:tr>
      <w:tr w:rsidR="00382A5D" w:rsidRPr="00382A5D" w14:paraId="38FC3166" w14:textId="77777777" w:rsidTr="00382A5D">
        <w:trPr>
          <w:trHeight w:val="252"/>
        </w:trPr>
        <w:tc>
          <w:tcPr>
            <w:tcW w:w="4908" w:type="dxa"/>
            <w:gridSpan w:val="3"/>
            <w:tcBorders>
              <w:top w:val="nil"/>
              <w:left w:val="nil"/>
              <w:bottom w:val="nil"/>
              <w:right w:val="nil"/>
            </w:tcBorders>
            <w:shd w:val="clear" w:color="000000" w:fill="FFFFFF"/>
            <w:noWrap/>
            <w:vAlign w:val="center"/>
            <w:hideMark/>
          </w:tcPr>
          <w:p w14:paraId="6EC55F44"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 Funeral plan investments </w:t>
            </w:r>
          </w:p>
        </w:tc>
        <w:tc>
          <w:tcPr>
            <w:tcW w:w="172" w:type="dxa"/>
            <w:tcBorders>
              <w:top w:val="nil"/>
              <w:left w:val="nil"/>
              <w:bottom w:val="nil"/>
              <w:right w:val="nil"/>
            </w:tcBorders>
            <w:shd w:val="clear" w:color="000000" w:fill="FFFFFF"/>
            <w:noWrap/>
            <w:vAlign w:val="center"/>
            <w:hideMark/>
          </w:tcPr>
          <w:p w14:paraId="24E4A453"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7280B7ED"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nil"/>
              <w:right w:val="nil"/>
            </w:tcBorders>
            <w:shd w:val="clear" w:color="000000" w:fill="FFFFFF"/>
            <w:noWrap/>
            <w:vAlign w:val="center"/>
            <w:hideMark/>
          </w:tcPr>
          <w:p w14:paraId="4F1CECA4"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nil"/>
              <w:right w:val="nil"/>
            </w:tcBorders>
            <w:shd w:val="clear" w:color="000000" w:fill="FFFFFF"/>
            <w:noWrap/>
            <w:vAlign w:val="center"/>
            <w:hideMark/>
          </w:tcPr>
          <w:p w14:paraId="23AF3F00"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1,344 </w:t>
            </w:r>
          </w:p>
        </w:tc>
        <w:tc>
          <w:tcPr>
            <w:tcW w:w="1120" w:type="dxa"/>
            <w:tcBorders>
              <w:top w:val="nil"/>
              <w:left w:val="nil"/>
              <w:bottom w:val="nil"/>
              <w:right w:val="nil"/>
            </w:tcBorders>
            <w:shd w:val="clear" w:color="000000" w:fill="FFFFFF"/>
            <w:noWrap/>
            <w:vAlign w:val="center"/>
            <w:hideMark/>
          </w:tcPr>
          <w:p w14:paraId="15109A4D"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1,344 </w:t>
            </w:r>
          </w:p>
        </w:tc>
      </w:tr>
      <w:tr w:rsidR="00382A5D" w:rsidRPr="00382A5D" w14:paraId="6DDB9E7D" w14:textId="77777777" w:rsidTr="00382A5D">
        <w:trPr>
          <w:trHeight w:val="252"/>
        </w:trPr>
        <w:tc>
          <w:tcPr>
            <w:tcW w:w="5080" w:type="dxa"/>
            <w:gridSpan w:val="4"/>
            <w:tcBorders>
              <w:top w:val="single" w:sz="4" w:space="0" w:color="BFBFBF"/>
              <w:left w:val="nil"/>
              <w:bottom w:val="single" w:sz="4" w:space="0" w:color="BFBFBF"/>
              <w:right w:val="nil"/>
            </w:tcBorders>
            <w:shd w:val="clear" w:color="000000" w:fill="FFFFFF"/>
            <w:noWrap/>
            <w:vAlign w:val="center"/>
            <w:hideMark/>
          </w:tcPr>
          <w:p w14:paraId="3DFFDD16"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Total financial assets held at fair value</w:t>
            </w:r>
          </w:p>
        </w:tc>
        <w:tc>
          <w:tcPr>
            <w:tcW w:w="1120" w:type="dxa"/>
            <w:tcBorders>
              <w:top w:val="single" w:sz="4" w:space="0" w:color="BFBFBF"/>
              <w:left w:val="nil"/>
              <w:bottom w:val="single" w:sz="4" w:space="0" w:color="BFBFBF"/>
              <w:right w:val="nil"/>
            </w:tcBorders>
            <w:shd w:val="clear" w:color="000000" w:fill="FFFFFF"/>
            <w:noWrap/>
            <w:vAlign w:val="center"/>
            <w:hideMark/>
          </w:tcPr>
          <w:p w14:paraId="1BD17654"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single" w:sz="4" w:space="0" w:color="BFBFBF"/>
              <w:left w:val="nil"/>
              <w:bottom w:val="single" w:sz="4" w:space="0" w:color="BFBFBF"/>
              <w:right w:val="nil"/>
            </w:tcBorders>
            <w:shd w:val="clear" w:color="000000" w:fill="FFFFFF"/>
            <w:noWrap/>
            <w:vAlign w:val="center"/>
            <w:hideMark/>
          </w:tcPr>
          <w:p w14:paraId="4DB5261E"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5 </w:t>
            </w:r>
          </w:p>
        </w:tc>
        <w:tc>
          <w:tcPr>
            <w:tcW w:w="1120" w:type="dxa"/>
            <w:tcBorders>
              <w:top w:val="single" w:sz="4" w:space="0" w:color="BFBFBF"/>
              <w:left w:val="nil"/>
              <w:bottom w:val="single" w:sz="4" w:space="0" w:color="BFBFBF"/>
              <w:right w:val="nil"/>
            </w:tcBorders>
            <w:shd w:val="clear" w:color="000000" w:fill="FFFFFF"/>
            <w:noWrap/>
            <w:vAlign w:val="center"/>
            <w:hideMark/>
          </w:tcPr>
          <w:p w14:paraId="3984302E"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1,344 </w:t>
            </w:r>
          </w:p>
        </w:tc>
        <w:tc>
          <w:tcPr>
            <w:tcW w:w="1120" w:type="dxa"/>
            <w:tcBorders>
              <w:top w:val="single" w:sz="4" w:space="0" w:color="BFBFBF"/>
              <w:left w:val="nil"/>
              <w:bottom w:val="single" w:sz="4" w:space="0" w:color="BFBFBF"/>
              <w:right w:val="nil"/>
            </w:tcBorders>
            <w:shd w:val="clear" w:color="000000" w:fill="FFFFFF"/>
            <w:noWrap/>
            <w:vAlign w:val="center"/>
            <w:hideMark/>
          </w:tcPr>
          <w:p w14:paraId="1F39220A"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1,349 </w:t>
            </w:r>
          </w:p>
        </w:tc>
      </w:tr>
      <w:tr w:rsidR="00382A5D" w:rsidRPr="00382A5D" w14:paraId="4E88730C" w14:textId="77777777" w:rsidTr="00382A5D">
        <w:trPr>
          <w:trHeight w:val="252"/>
        </w:trPr>
        <w:tc>
          <w:tcPr>
            <w:tcW w:w="4736" w:type="dxa"/>
            <w:gridSpan w:val="2"/>
            <w:tcBorders>
              <w:top w:val="nil"/>
              <w:left w:val="nil"/>
              <w:bottom w:val="nil"/>
              <w:right w:val="nil"/>
            </w:tcBorders>
            <w:shd w:val="clear" w:color="000000" w:fill="FFFFFF"/>
            <w:noWrap/>
            <w:vAlign w:val="center"/>
            <w:hideMark/>
          </w:tcPr>
          <w:p w14:paraId="1D5C1ED8"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xml:space="preserve"> Liabilities </w:t>
            </w:r>
          </w:p>
        </w:tc>
        <w:tc>
          <w:tcPr>
            <w:tcW w:w="172" w:type="dxa"/>
            <w:tcBorders>
              <w:top w:val="nil"/>
              <w:left w:val="nil"/>
              <w:bottom w:val="nil"/>
              <w:right w:val="nil"/>
            </w:tcBorders>
            <w:shd w:val="clear" w:color="000000" w:fill="FFFFFF"/>
            <w:noWrap/>
            <w:vAlign w:val="center"/>
            <w:hideMark/>
          </w:tcPr>
          <w:p w14:paraId="7217FAA4"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72" w:type="dxa"/>
            <w:tcBorders>
              <w:top w:val="nil"/>
              <w:left w:val="nil"/>
              <w:bottom w:val="nil"/>
              <w:right w:val="nil"/>
            </w:tcBorders>
            <w:shd w:val="clear" w:color="000000" w:fill="FFFFFF"/>
            <w:noWrap/>
            <w:vAlign w:val="center"/>
            <w:hideMark/>
          </w:tcPr>
          <w:p w14:paraId="1CF74BEF"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5628C818"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75912A5D"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5D133655"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45184128"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r>
      <w:tr w:rsidR="00382A5D" w:rsidRPr="00382A5D" w14:paraId="7D5B69BB" w14:textId="77777777" w:rsidTr="00382A5D">
        <w:trPr>
          <w:trHeight w:val="252"/>
        </w:trPr>
        <w:tc>
          <w:tcPr>
            <w:tcW w:w="5080" w:type="dxa"/>
            <w:gridSpan w:val="4"/>
            <w:tcBorders>
              <w:top w:val="nil"/>
              <w:left w:val="nil"/>
              <w:bottom w:val="nil"/>
              <w:right w:val="nil"/>
            </w:tcBorders>
            <w:shd w:val="clear" w:color="000000" w:fill="FFFFFF"/>
            <w:noWrap/>
            <w:vAlign w:val="center"/>
            <w:hideMark/>
          </w:tcPr>
          <w:p w14:paraId="63B27331"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Financial liabilities at fair value through income or expense </w:t>
            </w:r>
          </w:p>
        </w:tc>
        <w:tc>
          <w:tcPr>
            <w:tcW w:w="1120" w:type="dxa"/>
            <w:tcBorders>
              <w:top w:val="nil"/>
              <w:left w:val="nil"/>
              <w:bottom w:val="nil"/>
              <w:right w:val="nil"/>
            </w:tcBorders>
            <w:shd w:val="clear" w:color="000000" w:fill="FFFFFF"/>
            <w:noWrap/>
            <w:vAlign w:val="center"/>
            <w:hideMark/>
          </w:tcPr>
          <w:p w14:paraId="4FFA04DA"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4599082B"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1ADB45D2"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691247DA"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r>
      <w:tr w:rsidR="00382A5D" w:rsidRPr="00382A5D" w14:paraId="4AE35558" w14:textId="77777777" w:rsidTr="00382A5D">
        <w:trPr>
          <w:trHeight w:val="252"/>
        </w:trPr>
        <w:tc>
          <w:tcPr>
            <w:tcW w:w="5080" w:type="dxa"/>
            <w:gridSpan w:val="4"/>
            <w:tcBorders>
              <w:top w:val="nil"/>
              <w:left w:val="nil"/>
              <w:bottom w:val="nil"/>
              <w:right w:val="nil"/>
            </w:tcBorders>
            <w:shd w:val="clear" w:color="000000" w:fill="FFFFFF"/>
            <w:noWrap/>
            <w:vAlign w:val="center"/>
            <w:hideMark/>
          </w:tcPr>
          <w:p w14:paraId="36F42E95"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 Fixed-rate sterling Eurobond </w:t>
            </w:r>
          </w:p>
        </w:tc>
        <w:tc>
          <w:tcPr>
            <w:tcW w:w="1120" w:type="dxa"/>
            <w:tcBorders>
              <w:top w:val="nil"/>
              <w:left w:val="nil"/>
              <w:bottom w:val="nil"/>
              <w:right w:val="nil"/>
            </w:tcBorders>
            <w:shd w:val="clear" w:color="000000" w:fill="FFFFFF"/>
            <w:noWrap/>
            <w:vAlign w:val="center"/>
            <w:hideMark/>
          </w:tcPr>
          <w:p w14:paraId="50ABE983"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nil"/>
              <w:right w:val="nil"/>
            </w:tcBorders>
            <w:shd w:val="clear" w:color="000000" w:fill="FFFFFF"/>
            <w:noWrap/>
            <w:vAlign w:val="center"/>
            <w:hideMark/>
          </w:tcPr>
          <w:p w14:paraId="6E2A2931"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128 </w:t>
            </w:r>
          </w:p>
        </w:tc>
        <w:tc>
          <w:tcPr>
            <w:tcW w:w="1120" w:type="dxa"/>
            <w:tcBorders>
              <w:top w:val="nil"/>
              <w:left w:val="nil"/>
              <w:bottom w:val="nil"/>
              <w:right w:val="nil"/>
            </w:tcBorders>
            <w:shd w:val="clear" w:color="000000" w:fill="FFFFFF"/>
            <w:noWrap/>
            <w:vAlign w:val="center"/>
            <w:hideMark/>
          </w:tcPr>
          <w:p w14:paraId="627B3E80"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nil"/>
              <w:right w:val="nil"/>
            </w:tcBorders>
            <w:shd w:val="clear" w:color="000000" w:fill="FFFFFF"/>
            <w:noWrap/>
            <w:vAlign w:val="center"/>
            <w:hideMark/>
          </w:tcPr>
          <w:p w14:paraId="2D199E86"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128 </w:t>
            </w:r>
          </w:p>
        </w:tc>
      </w:tr>
      <w:tr w:rsidR="00382A5D" w:rsidRPr="00382A5D" w14:paraId="5004DD5E" w14:textId="77777777" w:rsidTr="00382A5D">
        <w:trPr>
          <w:trHeight w:val="252"/>
        </w:trPr>
        <w:tc>
          <w:tcPr>
            <w:tcW w:w="4564" w:type="dxa"/>
            <w:tcBorders>
              <w:top w:val="nil"/>
              <w:left w:val="nil"/>
              <w:bottom w:val="nil"/>
              <w:right w:val="nil"/>
            </w:tcBorders>
            <w:shd w:val="clear" w:color="000000" w:fill="FFFFFF"/>
            <w:noWrap/>
            <w:vAlign w:val="center"/>
            <w:hideMark/>
          </w:tcPr>
          <w:p w14:paraId="0E4DE292"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 Derivative financial instruments </w:t>
            </w:r>
          </w:p>
        </w:tc>
        <w:tc>
          <w:tcPr>
            <w:tcW w:w="172" w:type="dxa"/>
            <w:tcBorders>
              <w:top w:val="nil"/>
              <w:left w:val="nil"/>
              <w:bottom w:val="single" w:sz="4" w:space="0" w:color="BFBFBF"/>
              <w:right w:val="nil"/>
            </w:tcBorders>
            <w:shd w:val="clear" w:color="000000" w:fill="FFFFFF"/>
            <w:noWrap/>
            <w:vAlign w:val="center"/>
            <w:hideMark/>
          </w:tcPr>
          <w:p w14:paraId="5CF9A718"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72" w:type="dxa"/>
            <w:tcBorders>
              <w:top w:val="nil"/>
              <w:left w:val="nil"/>
              <w:bottom w:val="single" w:sz="4" w:space="0" w:color="BFBFBF"/>
              <w:right w:val="nil"/>
            </w:tcBorders>
            <w:shd w:val="clear" w:color="000000" w:fill="FFFFFF"/>
            <w:noWrap/>
            <w:vAlign w:val="center"/>
            <w:hideMark/>
          </w:tcPr>
          <w:p w14:paraId="708C3C6D"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72" w:type="dxa"/>
            <w:tcBorders>
              <w:top w:val="nil"/>
              <w:left w:val="nil"/>
              <w:bottom w:val="single" w:sz="4" w:space="0" w:color="BFBFBF"/>
              <w:right w:val="nil"/>
            </w:tcBorders>
            <w:shd w:val="clear" w:color="000000" w:fill="FFFFFF"/>
            <w:noWrap/>
            <w:vAlign w:val="center"/>
            <w:hideMark/>
          </w:tcPr>
          <w:p w14:paraId="4EF71357"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single" w:sz="4" w:space="0" w:color="BFBFBF"/>
              <w:right w:val="nil"/>
            </w:tcBorders>
            <w:shd w:val="clear" w:color="000000" w:fill="FFFFFF"/>
            <w:noWrap/>
            <w:vAlign w:val="center"/>
            <w:hideMark/>
          </w:tcPr>
          <w:p w14:paraId="77ADC040"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single" w:sz="4" w:space="0" w:color="BFBFBF"/>
              <w:right w:val="nil"/>
            </w:tcBorders>
            <w:shd w:val="clear" w:color="000000" w:fill="FFFFFF"/>
            <w:noWrap/>
            <w:vAlign w:val="center"/>
            <w:hideMark/>
          </w:tcPr>
          <w:p w14:paraId="5FB55AAC"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3 </w:t>
            </w:r>
          </w:p>
        </w:tc>
        <w:tc>
          <w:tcPr>
            <w:tcW w:w="1120" w:type="dxa"/>
            <w:tcBorders>
              <w:top w:val="nil"/>
              <w:left w:val="nil"/>
              <w:bottom w:val="single" w:sz="4" w:space="0" w:color="BFBFBF"/>
              <w:right w:val="nil"/>
            </w:tcBorders>
            <w:shd w:val="clear" w:color="000000" w:fill="FFFFFF"/>
            <w:noWrap/>
            <w:vAlign w:val="center"/>
            <w:hideMark/>
          </w:tcPr>
          <w:p w14:paraId="4B646967"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single" w:sz="4" w:space="0" w:color="BFBFBF"/>
              <w:right w:val="nil"/>
            </w:tcBorders>
            <w:shd w:val="clear" w:color="000000" w:fill="FFFFFF"/>
            <w:noWrap/>
            <w:vAlign w:val="center"/>
            <w:hideMark/>
          </w:tcPr>
          <w:p w14:paraId="662C63FD"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3 </w:t>
            </w:r>
          </w:p>
        </w:tc>
      </w:tr>
      <w:tr w:rsidR="00382A5D" w:rsidRPr="00382A5D" w14:paraId="793AEC39" w14:textId="77777777" w:rsidTr="00382A5D">
        <w:trPr>
          <w:trHeight w:val="252"/>
        </w:trPr>
        <w:tc>
          <w:tcPr>
            <w:tcW w:w="5080" w:type="dxa"/>
            <w:gridSpan w:val="4"/>
            <w:tcBorders>
              <w:top w:val="single" w:sz="4" w:space="0" w:color="BFBFBF"/>
              <w:left w:val="nil"/>
              <w:bottom w:val="single" w:sz="4" w:space="0" w:color="BFBFBF"/>
              <w:right w:val="nil"/>
            </w:tcBorders>
            <w:shd w:val="clear" w:color="000000" w:fill="FFFFFF"/>
            <w:noWrap/>
            <w:vAlign w:val="center"/>
            <w:hideMark/>
          </w:tcPr>
          <w:p w14:paraId="65AD2DAC"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Total financial liabilities held at fair value</w:t>
            </w:r>
          </w:p>
        </w:tc>
        <w:tc>
          <w:tcPr>
            <w:tcW w:w="1120" w:type="dxa"/>
            <w:tcBorders>
              <w:top w:val="nil"/>
              <w:left w:val="nil"/>
              <w:bottom w:val="single" w:sz="4" w:space="0" w:color="BFBFBF"/>
              <w:right w:val="nil"/>
            </w:tcBorders>
            <w:shd w:val="clear" w:color="000000" w:fill="FFFFFF"/>
            <w:noWrap/>
            <w:vAlign w:val="center"/>
            <w:hideMark/>
          </w:tcPr>
          <w:p w14:paraId="3FBE071C"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single" w:sz="4" w:space="0" w:color="BFBFBF"/>
              <w:right w:val="nil"/>
            </w:tcBorders>
            <w:shd w:val="clear" w:color="000000" w:fill="FFFFFF"/>
            <w:noWrap/>
            <w:vAlign w:val="center"/>
            <w:hideMark/>
          </w:tcPr>
          <w:p w14:paraId="78239F06"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131 </w:t>
            </w:r>
          </w:p>
        </w:tc>
        <w:tc>
          <w:tcPr>
            <w:tcW w:w="1120" w:type="dxa"/>
            <w:tcBorders>
              <w:top w:val="nil"/>
              <w:left w:val="nil"/>
              <w:bottom w:val="single" w:sz="4" w:space="0" w:color="BFBFBF"/>
              <w:right w:val="nil"/>
            </w:tcBorders>
            <w:shd w:val="clear" w:color="000000" w:fill="FFFFFF"/>
            <w:noWrap/>
            <w:vAlign w:val="center"/>
            <w:hideMark/>
          </w:tcPr>
          <w:p w14:paraId="0998B1ED"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single" w:sz="4" w:space="0" w:color="BFBFBF"/>
              <w:right w:val="nil"/>
            </w:tcBorders>
            <w:shd w:val="clear" w:color="000000" w:fill="FFFFFF"/>
            <w:noWrap/>
            <w:vAlign w:val="center"/>
            <w:hideMark/>
          </w:tcPr>
          <w:p w14:paraId="41EE979B"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131 </w:t>
            </w:r>
          </w:p>
        </w:tc>
      </w:tr>
      <w:tr w:rsidR="00382A5D" w:rsidRPr="00382A5D" w14:paraId="4B9930B0" w14:textId="77777777" w:rsidTr="00D61B91">
        <w:trPr>
          <w:trHeight w:val="478"/>
        </w:trPr>
        <w:tc>
          <w:tcPr>
            <w:tcW w:w="4564" w:type="dxa"/>
            <w:tcBorders>
              <w:top w:val="nil"/>
              <w:left w:val="nil"/>
              <w:bottom w:val="nil"/>
              <w:right w:val="nil"/>
            </w:tcBorders>
            <w:shd w:val="clear" w:color="000000" w:fill="FFFFFF"/>
            <w:noWrap/>
            <w:vAlign w:val="bottom"/>
            <w:hideMark/>
          </w:tcPr>
          <w:p w14:paraId="64853B85" w14:textId="77777777" w:rsidR="00382A5D" w:rsidRPr="00382A5D" w:rsidRDefault="00382A5D" w:rsidP="00382A5D">
            <w:pPr>
              <w:spacing w:after="0" w:line="240" w:lineRule="auto"/>
              <w:rPr>
                <w:rFonts w:ascii="Arial" w:eastAsia="Times New Roman" w:hAnsi="Arial" w:cs="Arial"/>
                <w:b/>
                <w:bCs/>
                <w:sz w:val="20"/>
                <w:szCs w:val="20"/>
                <w:lang w:eastAsia="en-GB"/>
              </w:rPr>
            </w:pPr>
            <w:r w:rsidRPr="00382A5D">
              <w:rPr>
                <w:rFonts w:ascii="Arial" w:eastAsia="Times New Roman" w:hAnsi="Arial" w:cs="Arial"/>
                <w:b/>
                <w:bCs/>
                <w:sz w:val="20"/>
                <w:szCs w:val="20"/>
                <w:lang w:eastAsia="en-GB"/>
              </w:rPr>
              <w:t> </w:t>
            </w:r>
          </w:p>
        </w:tc>
        <w:tc>
          <w:tcPr>
            <w:tcW w:w="172" w:type="dxa"/>
            <w:tcBorders>
              <w:top w:val="nil"/>
              <w:left w:val="nil"/>
              <w:bottom w:val="nil"/>
              <w:right w:val="nil"/>
            </w:tcBorders>
            <w:shd w:val="clear" w:color="000000" w:fill="FFFFFF"/>
            <w:noWrap/>
            <w:vAlign w:val="bottom"/>
            <w:hideMark/>
          </w:tcPr>
          <w:p w14:paraId="66493E0C" w14:textId="77777777" w:rsidR="00382A5D" w:rsidRPr="00382A5D" w:rsidRDefault="00382A5D" w:rsidP="00382A5D">
            <w:pPr>
              <w:spacing w:after="0" w:line="240" w:lineRule="auto"/>
              <w:rPr>
                <w:rFonts w:ascii="Arial" w:eastAsia="Times New Roman" w:hAnsi="Arial" w:cs="Arial"/>
                <w:b/>
                <w:bCs/>
                <w:sz w:val="20"/>
                <w:szCs w:val="20"/>
                <w:lang w:eastAsia="en-GB"/>
              </w:rPr>
            </w:pPr>
            <w:r w:rsidRPr="00382A5D">
              <w:rPr>
                <w:rFonts w:ascii="Arial" w:eastAsia="Times New Roman" w:hAnsi="Arial" w:cs="Arial"/>
                <w:b/>
                <w:bCs/>
                <w:sz w:val="20"/>
                <w:szCs w:val="20"/>
                <w:lang w:eastAsia="en-GB"/>
              </w:rPr>
              <w:t> </w:t>
            </w:r>
          </w:p>
        </w:tc>
        <w:tc>
          <w:tcPr>
            <w:tcW w:w="172" w:type="dxa"/>
            <w:tcBorders>
              <w:top w:val="nil"/>
              <w:left w:val="nil"/>
              <w:bottom w:val="nil"/>
              <w:right w:val="nil"/>
            </w:tcBorders>
            <w:shd w:val="clear" w:color="000000" w:fill="FFFFFF"/>
            <w:noWrap/>
            <w:vAlign w:val="bottom"/>
            <w:hideMark/>
          </w:tcPr>
          <w:p w14:paraId="22DE3F4F" w14:textId="77777777" w:rsidR="00382A5D" w:rsidRPr="00382A5D" w:rsidRDefault="00382A5D" w:rsidP="00382A5D">
            <w:pPr>
              <w:spacing w:after="0" w:line="240" w:lineRule="auto"/>
              <w:rPr>
                <w:rFonts w:ascii="Arial" w:eastAsia="Times New Roman" w:hAnsi="Arial" w:cs="Arial"/>
                <w:b/>
                <w:bCs/>
                <w:sz w:val="20"/>
                <w:szCs w:val="20"/>
                <w:lang w:eastAsia="en-GB"/>
              </w:rPr>
            </w:pPr>
            <w:r w:rsidRPr="00382A5D">
              <w:rPr>
                <w:rFonts w:ascii="Arial" w:eastAsia="Times New Roman" w:hAnsi="Arial" w:cs="Arial"/>
                <w:b/>
                <w:bCs/>
                <w:sz w:val="20"/>
                <w:szCs w:val="20"/>
                <w:lang w:eastAsia="en-GB"/>
              </w:rPr>
              <w:t> </w:t>
            </w:r>
          </w:p>
        </w:tc>
        <w:tc>
          <w:tcPr>
            <w:tcW w:w="172" w:type="dxa"/>
            <w:tcBorders>
              <w:top w:val="nil"/>
              <w:left w:val="nil"/>
              <w:bottom w:val="nil"/>
              <w:right w:val="nil"/>
            </w:tcBorders>
            <w:shd w:val="clear" w:color="000000" w:fill="FFFFFF"/>
            <w:noWrap/>
            <w:vAlign w:val="bottom"/>
            <w:hideMark/>
          </w:tcPr>
          <w:p w14:paraId="432F7139" w14:textId="77777777" w:rsidR="00382A5D" w:rsidRPr="00382A5D" w:rsidRDefault="00382A5D" w:rsidP="00382A5D">
            <w:pPr>
              <w:spacing w:after="0" w:line="240" w:lineRule="auto"/>
              <w:rPr>
                <w:rFonts w:ascii="Arial" w:eastAsia="Times New Roman" w:hAnsi="Arial" w:cs="Arial"/>
                <w:b/>
                <w:bCs/>
                <w:sz w:val="20"/>
                <w:szCs w:val="20"/>
                <w:lang w:eastAsia="en-GB"/>
              </w:rPr>
            </w:pPr>
            <w:r w:rsidRPr="00382A5D">
              <w:rPr>
                <w:rFonts w:ascii="Arial" w:eastAsia="Times New Roman" w:hAnsi="Arial" w:cs="Arial"/>
                <w:b/>
                <w:bCs/>
                <w:sz w:val="20"/>
                <w:szCs w:val="20"/>
                <w:lang w:eastAsia="en-GB"/>
              </w:rPr>
              <w:t> </w:t>
            </w:r>
          </w:p>
        </w:tc>
        <w:tc>
          <w:tcPr>
            <w:tcW w:w="1120" w:type="dxa"/>
            <w:tcBorders>
              <w:top w:val="nil"/>
              <w:left w:val="nil"/>
              <w:bottom w:val="nil"/>
              <w:right w:val="nil"/>
            </w:tcBorders>
            <w:shd w:val="clear" w:color="000000" w:fill="FFFFFF"/>
            <w:noWrap/>
            <w:vAlign w:val="bottom"/>
            <w:hideMark/>
          </w:tcPr>
          <w:p w14:paraId="0E17620A" w14:textId="77777777" w:rsidR="00382A5D" w:rsidRPr="00382A5D" w:rsidRDefault="00382A5D" w:rsidP="00382A5D">
            <w:pPr>
              <w:spacing w:after="0" w:line="240" w:lineRule="auto"/>
              <w:rPr>
                <w:rFonts w:ascii="Arial" w:eastAsia="Times New Roman" w:hAnsi="Arial" w:cs="Arial"/>
                <w:b/>
                <w:bCs/>
                <w:sz w:val="20"/>
                <w:szCs w:val="20"/>
                <w:lang w:eastAsia="en-GB"/>
              </w:rPr>
            </w:pPr>
            <w:r w:rsidRPr="00382A5D">
              <w:rPr>
                <w:rFonts w:ascii="Arial" w:eastAsia="Times New Roman" w:hAnsi="Arial" w:cs="Arial"/>
                <w:b/>
                <w:bCs/>
                <w:sz w:val="20"/>
                <w:szCs w:val="20"/>
                <w:lang w:eastAsia="en-GB"/>
              </w:rPr>
              <w:t> </w:t>
            </w:r>
          </w:p>
        </w:tc>
        <w:tc>
          <w:tcPr>
            <w:tcW w:w="1120" w:type="dxa"/>
            <w:tcBorders>
              <w:top w:val="nil"/>
              <w:left w:val="nil"/>
              <w:bottom w:val="nil"/>
              <w:right w:val="nil"/>
            </w:tcBorders>
            <w:shd w:val="clear" w:color="000000" w:fill="FFFFFF"/>
            <w:noWrap/>
            <w:vAlign w:val="bottom"/>
            <w:hideMark/>
          </w:tcPr>
          <w:p w14:paraId="3218D44E" w14:textId="77777777" w:rsidR="00382A5D" w:rsidRPr="00382A5D" w:rsidRDefault="00382A5D" w:rsidP="00382A5D">
            <w:pPr>
              <w:spacing w:after="0" w:line="240" w:lineRule="auto"/>
              <w:rPr>
                <w:rFonts w:ascii="Arial" w:eastAsia="Times New Roman" w:hAnsi="Arial" w:cs="Arial"/>
                <w:b/>
                <w:bCs/>
                <w:sz w:val="20"/>
                <w:szCs w:val="20"/>
                <w:lang w:eastAsia="en-GB"/>
              </w:rPr>
            </w:pPr>
            <w:r w:rsidRPr="00382A5D">
              <w:rPr>
                <w:rFonts w:ascii="Arial" w:eastAsia="Times New Roman" w:hAnsi="Arial" w:cs="Arial"/>
                <w:b/>
                <w:bCs/>
                <w:sz w:val="20"/>
                <w:szCs w:val="20"/>
                <w:lang w:eastAsia="en-GB"/>
              </w:rPr>
              <w:t> </w:t>
            </w:r>
          </w:p>
        </w:tc>
        <w:tc>
          <w:tcPr>
            <w:tcW w:w="1120" w:type="dxa"/>
            <w:tcBorders>
              <w:top w:val="nil"/>
              <w:left w:val="nil"/>
              <w:bottom w:val="nil"/>
              <w:right w:val="nil"/>
            </w:tcBorders>
            <w:shd w:val="clear" w:color="000000" w:fill="FFFFFF"/>
            <w:noWrap/>
            <w:vAlign w:val="bottom"/>
            <w:hideMark/>
          </w:tcPr>
          <w:p w14:paraId="7D95706D" w14:textId="77777777" w:rsidR="00382A5D" w:rsidRPr="00382A5D" w:rsidRDefault="00382A5D" w:rsidP="00382A5D">
            <w:pPr>
              <w:spacing w:after="0" w:line="240" w:lineRule="auto"/>
              <w:rPr>
                <w:rFonts w:ascii="Arial" w:eastAsia="Times New Roman" w:hAnsi="Arial" w:cs="Arial"/>
                <w:b/>
                <w:bCs/>
                <w:sz w:val="20"/>
                <w:szCs w:val="20"/>
                <w:lang w:eastAsia="en-GB"/>
              </w:rPr>
            </w:pPr>
            <w:r w:rsidRPr="00382A5D">
              <w:rPr>
                <w:rFonts w:ascii="Arial" w:eastAsia="Times New Roman" w:hAnsi="Arial" w:cs="Arial"/>
                <w:b/>
                <w:bCs/>
                <w:sz w:val="20"/>
                <w:szCs w:val="20"/>
                <w:lang w:eastAsia="en-GB"/>
              </w:rPr>
              <w:t> </w:t>
            </w:r>
          </w:p>
        </w:tc>
        <w:tc>
          <w:tcPr>
            <w:tcW w:w="1120" w:type="dxa"/>
            <w:tcBorders>
              <w:top w:val="nil"/>
              <w:left w:val="nil"/>
              <w:bottom w:val="nil"/>
              <w:right w:val="nil"/>
            </w:tcBorders>
            <w:shd w:val="clear" w:color="000000" w:fill="FFFFFF"/>
            <w:noWrap/>
            <w:vAlign w:val="bottom"/>
            <w:hideMark/>
          </w:tcPr>
          <w:p w14:paraId="6906F95C" w14:textId="77777777" w:rsidR="00382A5D" w:rsidRPr="00382A5D" w:rsidRDefault="00382A5D" w:rsidP="00382A5D">
            <w:pPr>
              <w:spacing w:after="0" w:line="240" w:lineRule="auto"/>
              <w:rPr>
                <w:rFonts w:ascii="Arial" w:eastAsia="Times New Roman" w:hAnsi="Arial" w:cs="Arial"/>
                <w:b/>
                <w:bCs/>
                <w:sz w:val="20"/>
                <w:szCs w:val="20"/>
                <w:lang w:eastAsia="en-GB"/>
              </w:rPr>
            </w:pPr>
            <w:r w:rsidRPr="00382A5D">
              <w:rPr>
                <w:rFonts w:ascii="Arial" w:eastAsia="Times New Roman" w:hAnsi="Arial" w:cs="Arial"/>
                <w:b/>
                <w:bCs/>
                <w:sz w:val="20"/>
                <w:szCs w:val="20"/>
                <w:lang w:eastAsia="en-GB"/>
              </w:rPr>
              <w:t> </w:t>
            </w:r>
          </w:p>
        </w:tc>
      </w:tr>
      <w:tr w:rsidR="00382A5D" w:rsidRPr="00382A5D" w14:paraId="2CB88925" w14:textId="77777777" w:rsidTr="00382A5D">
        <w:trPr>
          <w:trHeight w:val="300"/>
        </w:trPr>
        <w:tc>
          <w:tcPr>
            <w:tcW w:w="5080" w:type="dxa"/>
            <w:gridSpan w:val="4"/>
            <w:tcBorders>
              <w:top w:val="single" w:sz="4" w:space="0" w:color="BFBFBF"/>
              <w:left w:val="single" w:sz="4" w:space="0" w:color="BFBFBF"/>
              <w:bottom w:val="nil"/>
              <w:right w:val="nil"/>
            </w:tcBorders>
            <w:shd w:val="clear" w:color="auto" w:fill="auto"/>
            <w:noWrap/>
            <w:vAlign w:val="center"/>
            <w:hideMark/>
          </w:tcPr>
          <w:p w14:paraId="4EEDA9DA"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1 January 2022 (audited)</w:t>
            </w:r>
          </w:p>
        </w:tc>
        <w:tc>
          <w:tcPr>
            <w:tcW w:w="1120" w:type="dxa"/>
            <w:tcBorders>
              <w:top w:val="single" w:sz="4" w:space="0" w:color="BFBFBF"/>
              <w:left w:val="nil"/>
              <w:bottom w:val="nil"/>
              <w:right w:val="nil"/>
            </w:tcBorders>
            <w:shd w:val="clear" w:color="auto" w:fill="auto"/>
            <w:noWrap/>
            <w:vAlign w:val="center"/>
            <w:hideMark/>
          </w:tcPr>
          <w:p w14:paraId="0E99E8D7"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Level 1</w:t>
            </w:r>
          </w:p>
        </w:tc>
        <w:tc>
          <w:tcPr>
            <w:tcW w:w="1120" w:type="dxa"/>
            <w:tcBorders>
              <w:top w:val="single" w:sz="4" w:space="0" w:color="BFBFBF"/>
              <w:left w:val="nil"/>
              <w:bottom w:val="nil"/>
              <w:right w:val="nil"/>
            </w:tcBorders>
            <w:shd w:val="clear" w:color="auto" w:fill="auto"/>
            <w:noWrap/>
            <w:vAlign w:val="center"/>
            <w:hideMark/>
          </w:tcPr>
          <w:p w14:paraId="41862F03"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Level 2</w:t>
            </w:r>
          </w:p>
        </w:tc>
        <w:tc>
          <w:tcPr>
            <w:tcW w:w="1120" w:type="dxa"/>
            <w:tcBorders>
              <w:top w:val="single" w:sz="4" w:space="0" w:color="BFBFBF"/>
              <w:left w:val="nil"/>
              <w:bottom w:val="nil"/>
              <w:right w:val="nil"/>
            </w:tcBorders>
            <w:shd w:val="clear" w:color="auto" w:fill="auto"/>
            <w:noWrap/>
            <w:vAlign w:val="center"/>
            <w:hideMark/>
          </w:tcPr>
          <w:p w14:paraId="53C654B0"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Level 3</w:t>
            </w:r>
          </w:p>
        </w:tc>
        <w:tc>
          <w:tcPr>
            <w:tcW w:w="1120" w:type="dxa"/>
            <w:tcBorders>
              <w:top w:val="single" w:sz="4" w:space="0" w:color="BFBFBF"/>
              <w:left w:val="nil"/>
              <w:bottom w:val="nil"/>
              <w:right w:val="single" w:sz="4" w:space="0" w:color="BFBFBF"/>
            </w:tcBorders>
            <w:shd w:val="clear" w:color="auto" w:fill="auto"/>
            <w:noWrap/>
            <w:vAlign w:val="center"/>
            <w:hideMark/>
          </w:tcPr>
          <w:p w14:paraId="7AABD287"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xml:space="preserve">Total </w:t>
            </w:r>
          </w:p>
        </w:tc>
      </w:tr>
      <w:tr w:rsidR="00382A5D" w:rsidRPr="00382A5D" w14:paraId="27988B29" w14:textId="77777777" w:rsidTr="00382A5D">
        <w:trPr>
          <w:trHeight w:val="180"/>
        </w:trPr>
        <w:tc>
          <w:tcPr>
            <w:tcW w:w="4564" w:type="dxa"/>
            <w:tcBorders>
              <w:top w:val="nil"/>
              <w:left w:val="single" w:sz="4" w:space="0" w:color="BFBFBF"/>
              <w:bottom w:val="single" w:sz="4" w:space="0" w:color="BFBFBF"/>
              <w:right w:val="nil"/>
            </w:tcBorders>
            <w:shd w:val="clear" w:color="auto" w:fill="auto"/>
            <w:noWrap/>
            <w:vAlign w:val="center"/>
            <w:hideMark/>
          </w:tcPr>
          <w:p w14:paraId="3E720CE9" w14:textId="77777777" w:rsidR="00382A5D" w:rsidRPr="00382A5D" w:rsidRDefault="00382A5D" w:rsidP="00382A5D">
            <w:pPr>
              <w:spacing w:after="0" w:line="240" w:lineRule="auto"/>
              <w:rPr>
                <w:rFonts w:ascii="Arial" w:eastAsia="Times New Roman" w:hAnsi="Arial" w:cs="Arial"/>
                <w:sz w:val="15"/>
                <w:szCs w:val="15"/>
                <w:lang w:eastAsia="en-GB"/>
              </w:rPr>
            </w:pPr>
            <w:r w:rsidRPr="00382A5D">
              <w:rPr>
                <w:rFonts w:ascii="Arial" w:eastAsia="Times New Roman" w:hAnsi="Arial" w:cs="Arial"/>
                <w:sz w:val="15"/>
                <w:szCs w:val="15"/>
                <w:lang w:eastAsia="en-GB"/>
              </w:rPr>
              <w:t> </w:t>
            </w:r>
          </w:p>
        </w:tc>
        <w:tc>
          <w:tcPr>
            <w:tcW w:w="172" w:type="dxa"/>
            <w:tcBorders>
              <w:top w:val="nil"/>
              <w:left w:val="nil"/>
              <w:bottom w:val="single" w:sz="4" w:space="0" w:color="BFBFBF"/>
              <w:right w:val="nil"/>
            </w:tcBorders>
            <w:shd w:val="clear" w:color="auto" w:fill="auto"/>
            <w:noWrap/>
            <w:vAlign w:val="center"/>
            <w:hideMark/>
          </w:tcPr>
          <w:p w14:paraId="38661086"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72" w:type="dxa"/>
            <w:tcBorders>
              <w:top w:val="nil"/>
              <w:left w:val="nil"/>
              <w:bottom w:val="single" w:sz="4" w:space="0" w:color="BFBFBF"/>
              <w:right w:val="nil"/>
            </w:tcBorders>
            <w:shd w:val="clear" w:color="auto" w:fill="auto"/>
            <w:noWrap/>
            <w:vAlign w:val="center"/>
            <w:hideMark/>
          </w:tcPr>
          <w:p w14:paraId="3E94C244"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 </w:t>
            </w:r>
          </w:p>
        </w:tc>
        <w:tc>
          <w:tcPr>
            <w:tcW w:w="172" w:type="dxa"/>
            <w:tcBorders>
              <w:top w:val="nil"/>
              <w:left w:val="nil"/>
              <w:bottom w:val="single" w:sz="4" w:space="0" w:color="BFBFBF"/>
              <w:right w:val="nil"/>
            </w:tcBorders>
            <w:shd w:val="clear" w:color="auto" w:fill="auto"/>
            <w:noWrap/>
            <w:vAlign w:val="bottom"/>
            <w:hideMark/>
          </w:tcPr>
          <w:p w14:paraId="6BED7F85" w14:textId="77777777" w:rsidR="00382A5D" w:rsidRPr="00382A5D" w:rsidRDefault="00382A5D" w:rsidP="00382A5D">
            <w:pPr>
              <w:spacing w:after="0" w:line="240" w:lineRule="auto"/>
              <w:rPr>
                <w:rFonts w:ascii="Arial" w:eastAsia="Times New Roman" w:hAnsi="Arial" w:cs="Arial"/>
                <w:sz w:val="14"/>
                <w:szCs w:val="14"/>
                <w:lang w:eastAsia="en-GB"/>
              </w:rPr>
            </w:pPr>
            <w:r w:rsidRPr="00382A5D">
              <w:rPr>
                <w:rFonts w:ascii="Arial" w:eastAsia="Times New Roman" w:hAnsi="Arial" w:cs="Arial"/>
                <w:sz w:val="14"/>
                <w:szCs w:val="14"/>
                <w:lang w:eastAsia="en-GB"/>
              </w:rPr>
              <w:t> </w:t>
            </w:r>
          </w:p>
        </w:tc>
        <w:tc>
          <w:tcPr>
            <w:tcW w:w="1120" w:type="dxa"/>
            <w:tcBorders>
              <w:top w:val="nil"/>
              <w:left w:val="nil"/>
              <w:bottom w:val="single" w:sz="4" w:space="0" w:color="BFBFBF"/>
              <w:right w:val="nil"/>
            </w:tcBorders>
            <w:shd w:val="clear" w:color="auto" w:fill="auto"/>
            <w:noWrap/>
            <w:vAlign w:val="center"/>
            <w:hideMark/>
          </w:tcPr>
          <w:p w14:paraId="114202D6"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£m</w:t>
            </w:r>
          </w:p>
        </w:tc>
        <w:tc>
          <w:tcPr>
            <w:tcW w:w="1120" w:type="dxa"/>
            <w:tcBorders>
              <w:top w:val="nil"/>
              <w:left w:val="nil"/>
              <w:bottom w:val="single" w:sz="4" w:space="0" w:color="BFBFBF"/>
              <w:right w:val="nil"/>
            </w:tcBorders>
            <w:shd w:val="clear" w:color="auto" w:fill="auto"/>
            <w:noWrap/>
            <w:vAlign w:val="center"/>
            <w:hideMark/>
          </w:tcPr>
          <w:p w14:paraId="2C73866A"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£m</w:t>
            </w:r>
          </w:p>
        </w:tc>
        <w:tc>
          <w:tcPr>
            <w:tcW w:w="1120" w:type="dxa"/>
            <w:tcBorders>
              <w:top w:val="nil"/>
              <w:left w:val="nil"/>
              <w:bottom w:val="single" w:sz="4" w:space="0" w:color="BFBFBF"/>
              <w:right w:val="nil"/>
            </w:tcBorders>
            <w:shd w:val="clear" w:color="auto" w:fill="auto"/>
            <w:noWrap/>
            <w:vAlign w:val="center"/>
            <w:hideMark/>
          </w:tcPr>
          <w:p w14:paraId="66F84C99"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£m</w:t>
            </w:r>
          </w:p>
        </w:tc>
        <w:tc>
          <w:tcPr>
            <w:tcW w:w="1120" w:type="dxa"/>
            <w:tcBorders>
              <w:top w:val="nil"/>
              <w:left w:val="nil"/>
              <w:bottom w:val="single" w:sz="4" w:space="0" w:color="BFBFBF"/>
              <w:right w:val="single" w:sz="4" w:space="0" w:color="BFBFBF"/>
            </w:tcBorders>
            <w:shd w:val="clear" w:color="auto" w:fill="auto"/>
            <w:noWrap/>
            <w:vAlign w:val="center"/>
            <w:hideMark/>
          </w:tcPr>
          <w:p w14:paraId="5E9F7D58" w14:textId="77777777" w:rsidR="00382A5D" w:rsidRPr="00382A5D" w:rsidRDefault="00382A5D" w:rsidP="00382A5D">
            <w:pPr>
              <w:spacing w:after="0" w:line="240" w:lineRule="auto"/>
              <w:jc w:val="right"/>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£m</w:t>
            </w:r>
          </w:p>
        </w:tc>
      </w:tr>
      <w:tr w:rsidR="00382A5D" w:rsidRPr="00382A5D" w14:paraId="5EB61CA4" w14:textId="77777777" w:rsidTr="00382A5D">
        <w:trPr>
          <w:trHeight w:val="259"/>
        </w:trPr>
        <w:tc>
          <w:tcPr>
            <w:tcW w:w="4736" w:type="dxa"/>
            <w:gridSpan w:val="2"/>
            <w:tcBorders>
              <w:top w:val="nil"/>
              <w:left w:val="nil"/>
              <w:bottom w:val="nil"/>
              <w:right w:val="nil"/>
            </w:tcBorders>
            <w:shd w:val="clear" w:color="000000" w:fill="FFFFFF"/>
            <w:noWrap/>
            <w:vAlign w:val="center"/>
            <w:hideMark/>
          </w:tcPr>
          <w:p w14:paraId="221F76D8"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xml:space="preserve"> Assets </w:t>
            </w:r>
          </w:p>
        </w:tc>
        <w:tc>
          <w:tcPr>
            <w:tcW w:w="172" w:type="dxa"/>
            <w:tcBorders>
              <w:top w:val="nil"/>
              <w:left w:val="nil"/>
              <w:bottom w:val="nil"/>
              <w:right w:val="nil"/>
            </w:tcBorders>
            <w:shd w:val="clear" w:color="000000" w:fill="FFFFFF"/>
            <w:noWrap/>
            <w:vAlign w:val="center"/>
            <w:hideMark/>
          </w:tcPr>
          <w:p w14:paraId="2C1EF2DE"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72" w:type="dxa"/>
            <w:tcBorders>
              <w:top w:val="nil"/>
              <w:left w:val="nil"/>
              <w:bottom w:val="nil"/>
              <w:right w:val="nil"/>
            </w:tcBorders>
            <w:shd w:val="clear" w:color="000000" w:fill="FFFFFF"/>
            <w:noWrap/>
            <w:vAlign w:val="center"/>
            <w:hideMark/>
          </w:tcPr>
          <w:p w14:paraId="3A58038B"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5D8CBD9E" w14:textId="77777777" w:rsidR="00382A5D" w:rsidRPr="00382A5D" w:rsidRDefault="00382A5D" w:rsidP="00382A5D">
            <w:pPr>
              <w:spacing w:after="0" w:line="240" w:lineRule="auto"/>
              <w:jc w:val="right"/>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7B53333B" w14:textId="77777777" w:rsidR="00382A5D" w:rsidRPr="00382A5D" w:rsidRDefault="00382A5D" w:rsidP="00382A5D">
            <w:pPr>
              <w:spacing w:after="0" w:line="240" w:lineRule="auto"/>
              <w:jc w:val="right"/>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41E160A9" w14:textId="77777777" w:rsidR="00382A5D" w:rsidRPr="00382A5D" w:rsidRDefault="00382A5D" w:rsidP="00382A5D">
            <w:pPr>
              <w:spacing w:after="0" w:line="240" w:lineRule="auto"/>
              <w:jc w:val="right"/>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7E46018B" w14:textId="77777777" w:rsidR="00382A5D" w:rsidRPr="00382A5D" w:rsidRDefault="00382A5D" w:rsidP="00382A5D">
            <w:pPr>
              <w:spacing w:after="0" w:line="240" w:lineRule="auto"/>
              <w:jc w:val="right"/>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r>
      <w:tr w:rsidR="00382A5D" w:rsidRPr="00382A5D" w14:paraId="6103ED23" w14:textId="77777777" w:rsidTr="00382A5D">
        <w:trPr>
          <w:trHeight w:val="255"/>
        </w:trPr>
        <w:tc>
          <w:tcPr>
            <w:tcW w:w="5080" w:type="dxa"/>
            <w:gridSpan w:val="4"/>
            <w:tcBorders>
              <w:top w:val="nil"/>
              <w:left w:val="nil"/>
              <w:bottom w:val="nil"/>
              <w:right w:val="nil"/>
            </w:tcBorders>
            <w:shd w:val="clear" w:color="000000" w:fill="FFFFFF"/>
            <w:noWrap/>
            <w:vAlign w:val="center"/>
            <w:hideMark/>
          </w:tcPr>
          <w:p w14:paraId="0B75B631"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Financial assets at fair value through income or expense </w:t>
            </w:r>
          </w:p>
        </w:tc>
        <w:tc>
          <w:tcPr>
            <w:tcW w:w="1120" w:type="dxa"/>
            <w:tcBorders>
              <w:top w:val="nil"/>
              <w:left w:val="nil"/>
              <w:bottom w:val="nil"/>
              <w:right w:val="nil"/>
            </w:tcBorders>
            <w:shd w:val="clear" w:color="000000" w:fill="FFFFFF"/>
            <w:noWrap/>
            <w:vAlign w:val="center"/>
            <w:hideMark/>
          </w:tcPr>
          <w:p w14:paraId="3DDB3DE2"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1EE1D6E7"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58FE208D"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2833A9C0"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r>
      <w:tr w:rsidR="00382A5D" w:rsidRPr="00382A5D" w14:paraId="4104B9DD" w14:textId="77777777" w:rsidTr="00382A5D">
        <w:trPr>
          <w:trHeight w:val="255"/>
        </w:trPr>
        <w:tc>
          <w:tcPr>
            <w:tcW w:w="4908" w:type="dxa"/>
            <w:gridSpan w:val="3"/>
            <w:tcBorders>
              <w:top w:val="nil"/>
              <w:left w:val="nil"/>
              <w:bottom w:val="nil"/>
              <w:right w:val="nil"/>
            </w:tcBorders>
            <w:shd w:val="clear" w:color="000000" w:fill="FFFFFF"/>
            <w:noWrap/>
            <w:vAlign w:val="center"/>
            <w:hideMark/>
          </w:tcPr>
          <w:p w14:paraId="6EAD2F01"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 Funeral plan investments </w:t>
            </w:r>
          </w:p>
        </w:tc>
        <w:tc>
          <w:tcPr>
            <w:tcW w:w="172" w:type="dxa"/>
            <w:tcBorders>
              <w:top w:val="nil"/>
              <w:left w:val="nil"/>
              <w:bottom w:val="nil"/>
              <w:right w:val="nil"/>
            </w:tcBorders>
            <w:shd w:val="clear" w:color="000000" w:fill="FFFFFF"/>
            <w:noWrap/>
            <w:vAlign w:val="center"/>
            <w:hideMark/>
          </w:tcPr>
          <w:p w14:paraId="04F12AA9"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32FE3B16"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nil"/>
              <w:right w:val="nil"/>
            </w:tcBorders>
            <w:shd w:val="clear" w:color="000000" w:fill="FFFFFF"/>
            <w:noWrap/>
            <w:vAlign w:val="center"/>
            <w:hideMark/>
          </w:tcPr>
          <w:p w14:paraId="5E2D7C7A"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nil"/>
              <w:right w:val="nil"/>
            </w:tcBorders>
            <w:shd w:val="clear" w:color="000000" w:fill="FFFFFF"/>
            <w:noWrap/>
            <w:vAlign w:val="center"/>
            <w:hideMark/>
          </w:tcPr>
          <w:p w14:paraId="120D4B16"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1,372 </w:t>
            </w:r>
          </w:p>
        </w:tc>
        <w:tc>
          <w:tcPr>
            <w:tcW w:w="1120" w:type="dxa"/>
            <w:tcBorders>
              <w:top w:val="nil"/>
              <w:left w:val="nil"/>
              <w:bottom w:val="nil"/>
              <w:right w:val="nil"/>
            </w:tcBorders>
            <w:shd w:val="clear" w:color="000000" w:fill="FFFFFF"/>
            <w:noWrap/>
            <w:vAlign w:val="center"/>
            <w:hideMark/>
          </w:tcPr>
          <w:p w14:paraId="23063AA6"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1,372 </w:t>
            </w:r>
          </w:p>
        </w:tc>
      </w:tr>
      <w:tr w:rsidR="00382A5D" w:rsidRPr="00382A5D" w14:paraId="29E73260" w14:textId="77777777" w:rsidTr="00382A5D">
        <w:trPr>
          <w:trHeight w:val="255"/>
        </w:trPr>
        <w:tc>
          <w:tcPr>
            <w:tcW w:w="5080" w:type="dxa"/>
            <w:gridSpan w:val="4"/>
            <w:tcBorders>
              <w:top w:val="nil"/>
              <w:left w:val="nil"/>
              <w:bottom w:val="nil"/>
              <w:right w:val="nil"/>
            </w:tcBorders>
            <w:shd w:val="clear" w:color="000000" w:fill="FFFFFF"/>
            <w:noWrap/>
            <w:vAlign w:val="center"/>
            <w:hideMark/>
          </w:tcPr>
          <w:p w14:paraId="6D5B18AB" w14:textId="1D2DDF45"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 Derivative finan</w:t>
            </w:r>
            <w:r w:rsidR="005320C5">
              <w:rPr>
                <w:rFonts w:ascii="Arial" w:eastAsia="Times New Roman" w:hAnsi="Arial" w:cs="Arial"/>
                <w:color w:val="000000"/>
                <w:sz w:val="15"/>
                <w:szCs w:val="15"/>
                <w:lang w:eastAsia="en-GB"/>
              </w:rPr>
              <w:t>ci</w:t>
            </w:r>
            <w:r w:rsidRPr="00382A5D">
              <w:rPr>
                <w:rFonts w:ascii="Arial" w:eastAsia="Times New Roman" w:hAnsi="Arial" w:cs="Arial"/>
                <w:color w:val="000000"/>
                <w:sz w:val="15"/>
                <w:szCs w:val="15"/>
                <w:lang w:eastAsia="en-GB"/>
              </w:rPr>
              <w:t xml:space="preserve">al instruments </w:t>
            </w:r>
          </w:p>
        </w:tc>
        <w:tc>
          <w:tcPr>
            <w:tcW w:w="1120" w:type="dxa"/>
            <w:tcBorders>
              <w:top w:val="nil"/>
              <w:left w:val="nil"/>
              <w:bottom w:val="nil"/>
              <w:right w:val="nil"/>
            </w:tcBorders>
            <w:shd w:val="clear" w:color="000000" w:fill="FFFFFF"/>
            <w:noWrap/>
            <w:vAlign w:val="center"/>
            <w:hideMark/>
          </w:tcPr>
          <w:p w14:paraId="5ACE399A"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nil"/>
              <w:right w:val="nil"/>
            </w:tcBorders>
            <w:shd w:val="clear" w:color="000000" w:fill="FFFFFF"/>
            <w:noWrap/>
            <w:vAlign w:val="center"/>
            <w:hideMark/>
          </w:tcPr>
          <w:p w14:paraId="3484AEEC"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4 </w:t>
            </w:r>
          </w:p>
        </w:tc>
        <w:tc>
          <w:tcPr>
            <w:tcW w:w="1120" w:type="dxa"/>
            <w:tcBorders>
              <w:top w:val="nil"/>
              <w:left w:val="nil"/>
              <w:bottom w:val="nil"/>
              <w:right w:val="nil"/>
            </w:tcBorders>
            <w:shd w:val="clear" w:color="000000" w:fill="FFFFFF"/>
            <w:noWrap/>
            <w:vAlign w:val="center"/>
            <w:hideMark/>
          </w:tcPr>
          <w:p w14:paraId="613775BD"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nil"/>
              <w:right w:val="nil"/>
            </w:tcBorders>
            <w:shd w:val="clear" w:color="000000" w:fill="FFFFFF"/>
            <w:noWrap/>
            <w:vAlign w:val="center"/>
            <w:hideMark/>
          </w:tcPr>
          <w:p w14:paraId="27ACC3FB"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4 </w:t>
            </w:r>
          </w:p>
        </w:tc>
      </w:tr>
      <w:tr w:rsidR="00382A5D" w:rsidRPr="00382A5D" w14:paraId="1B038DD7" w14:textId="77777777" w:rsidTr="00382A5D">
        <w:trPr>
          <w:trHeight w:val="255"/>
        </w:trPr>
        <w:tc>
          <w:tcPr>
            <w:tcW w:w="5080" w:type="dxa"/>
            <w:gridSpan w:val="4"/>
            <w:tcBorders>
              <w:top w:val="single" w:sz="4" w:space="0" w:color="BFBFBF"/>
              <w:left w:val="nil"/>
              <w:bottom w:val="single" w:sz="4" w:space="0" w:color="BFBFBF"/>
              <w:right w:val="nil"/>
            </w:tcBorders>
            <w:shd w:val="clear" w:color="000000" w:fill="FFFFFF"/>
            <w:noWrap/>
            <w:vAlign w:val="center"/>
            <w:hideMark/>
          </w:tcPr>
          <w:p w14:paraId="25845D93"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Total financial assets held at fair value</w:t>
            </w:r>
          </w:p>
        </w:tc>
        <w:tc>
          <w:tcPr>
            <w:tcW w:w="1120" w:type="dxa"/>
            <w:tcBorders>
              <w:top w:val="single" w:sz="4" w:space="0" w:color="BFBFBF"/>
              <w:left w:val="nil"/>
              <w:bottom w:val="single" w:sz="4" w:space="0" w:color="BFBFBF"/>
              <w:right w:val="nil"/>
            </w:tcBorders>
            <w:shd w:val="clear" w:color="000000" w:fill="FFFFFF"/>
            <w:noWrap/>
            <w:vAlign w:val="center"/>
            <w:hideMark/>
          </w:tcPr>
          <w:p w14:paraId="62069BEE"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single" w:sz="4" w:space="0" w:color="BFBFBF"/>
              <w:left w:val="nil"/>
              <w:bottom w:val="single" w:sz="4" w:space="0" w:color="BFBFBF"/>
              <w:right w:val="nil"/>
            </w:tcBorders>
            <w:shd w:val="clear" w:color="000000" w:fill="FFFFFF"/>
            <w:noWrap/>
            <w:vAlign w:val="center"/>
            <w:hideMark/>
          </w:tcPr>
          <w:p w14:paraId="3298D6E6"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4 </w:t>
            </w:r>
          </w:p>
        </w:tc>
        <w:tc>
          <w:tcPr>
            <w:tcW w:w="1120" w:type="dxa"/>
            <w:tcBorders>
              <w:top w:val="single" w:sz="4" w:space="0" w:color="BFBFBF"/>
              <w:left w:val="nil"/>
              <w:bottom w:val="single" w:sz="4" w:space="0" w:color="BFBFBF"/>
              <w:right w:val="nil"/>
            </w:tcBorders>
            <w:shd w:val="clear" w:color="000000" w:fill="FFFFFF"/>
            <w:noWrap/>
            <w:vAlign w:val="center"/>
            <w:hideMark/>
          </w:tcPr>
          <w:p w14:paraId="2C78FC70"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1,372 </w:t>
            </w:r>
          </w:p>
        </w:tc>
        <w:tc>
          <w:tcPr>
            <w:tcW w:w="1120" w:type="dxa"/>
            <w:tcBorders>
              <w:top w:val="single" w:sz="4" w:space="0" w:color="BFBFBF"/>
              <w:left w:val="nil"/>
              <w:bottom w:val="single" w:sz="4" w:space="0" w:color="BFBFBF"/>
              <w:right w:val="nil"/>
            </w:tcBorders>
            <w:shd w:val="clear" w:color="000000" w:fill="FFFFFF"/>
            <w:noWrap/>
            <w:vAlign w:val="center"/>
            <w:hideMark/>
          </w:tcPr>
          <w:p w14:paraId="38792815"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1,376 </w:t>
            </w:r>
          </w:p>
        </w:tc>
      </w:tr>
      <w:tr w:rsidR="00382A5D" w:rsidRPr="00382A5D" w14:paraId="3485A9EE" w14:textId="77777777" w:rsidTr="00382A5D">
        <w:trPr>
          <w:trHeight w:val="259"/>
        </w:trPr>
        <w:tc>
          <w:tcPr>
            <w:tcW w:w="4736" w:type="dxa"/>
            <w:gridSpan w:val="2"/>
            <w:tcBorders>
              <w:top w:val="nil"/>
              <w:left w:val="nil"/>
              <w:bottom w:val="nil"/>
              <w:right w:val="nil"/>
            </w:tcBorders>
            <w:shd w:val="clear" w:color="000000" w:fill="FFFFFF"/>
            <w:noWrap/>
            <w:vAlign w:val="center"/>
            <w:hideMark/>
          </w:tcPr>
          <w:p w14:paraId="72652D45"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xml:space="preserve"> Liabilities </w:t>
            </w:r>
          </w:p>
        </w:tc>
        <w:tc>
          <w:tcPr>
            <w:tcW w:w="172" w:type="dxa"/>
            <w:tcBorders>
              <w:top w:val="nil"/>
              <w:left w:val="nil"/>
              <w:bottom w:val="nil"/>
              <w:right w:val="nil"/>
            </w:tcBorders>
            <w:shd w:val="clear" w:color="000000" w:fill="FFFFFF"/>
            <w:noWrap/>
            <w:vAlign w:val="center"/>
            <w:hideMark/>
          </w:tcPr>
          <w:p w14:paraId="2E86AACD"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72" w:type="dxa"/>
            <w:tcBorders>
              <w:top w:val="nil"/>
              <w:left w:val="nil"/>
              <w:bottom w:val="nil"/>
              <w:right w:val="nil"/>
            </w:tcBorders>
            <w:shd w:val="clear" w:color="000000" w:fill="FFFFFF"/>
            <w:noWrap/>
            <w:vAlign w:val="center"/>
            <w:hideMark/>
          </w:tcPr>
          <w:p w14:paraId="7F534253" w14:textId="77777777" w:rsidR="00382A5D" w:rsidRPr="00382A5D" w:rsidRDefault="00382A5D" w:rsidP="00382A5D">
            <w:pPr>
              <w:spacing w:after="0" w:line="240" w:lineRule="auto"/>
              <w:rPr>
                <w:rFonts w:ascii="Arial" w:eastAsia="Times New Roman" w:hAnsi="Arial" w:cs="Arial"/>
                <w:b/>
                <w:bCs/>
                <w:color w:val="000000"/>
                <w:sz w:val="15"/>
                <w:szCs w:val="15"/>
                <w:lang w:eastAsia="en-GB"/>
              </w:rPr>
            </w:pPr>
            <w:r w:rsidRPr="00382A5D">
              <w:rPr>
                <w:rFonts w:ascii="Arial" w:eastAsia="Times New Roman" w:hAnsi="Arial" w:cs="Arial"/>
                <w:b/>
                <w:bCs/>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382471C6"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692D8A13"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1316F03E"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720B3F3B"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r>
      <w:tr w:rsidR="00382A5D" w:rsidRPr="00382A5D" w14:paraId="18224FCC" w14:textId="77777777" w:rsidTr="00382A5D">
        <w:trPr>
          <w:trHeight w:val="255"/>
        </w:trPr>
        <w:tc>
          <w:tcPr>
            <w:tcW w:w="5080" w:type="dxa"/>
            <w:gridSpan w:val="4"/>
            <w:tcBorders>
              <w:top w:val="nil"/>
              <w:left w:val="nil"/>
              <w:bottom w:val="nil"/>
              <w:right w:val="nil"/>
            </w:tcBorders>
            <w:shd w:val="clear" w:color="000000" w:fill="FFFFFF"/>
            <w:noWrap/>
            <w:vAlign w:val="center"/>
            <w:hideMark/>
          </w:tcPr>
          <w:p w14:paraId="06D4CDBB"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Financial liabilities at fair value through income or expense </w:t>
            </w:r>
          </w:p>
        </w:tc>
        <w:tc>
          <w:tcPr>
            <w:tcW w:w="1120" w:type="dxa"/>
            <w:tcBorders>
              <w:top w:val="nil"/>
              <w:left w:val="nil"/>
              <w:bottom w:val="nil"/>
              <w:right w:val="nil"/>
            </w:tcBorders>
            <w:shd w:val="clear" w:color="000000" w:fill="FFFFFF"/>
            <w:noWrap/>
            <w:vAlign w:val="center"/>
            <w:hideMark/>
          </w:tcPr>
          <w:p w14:paraId="2CE5303D"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6F785B90"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775DA77C"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c>
          <w:tcPr>
            <w:tcW w:w="1120" w:type="dxa"/>
            <w:tcBorders>
              <w:top w:val="nil"/>
              <w:left w:val="nil"/>
              <w:bottom w:val="nil"/>
              <w:right w:val="nil"/>
            </w:tcBorders>
            <w:shd w:val="clear" w:color="000000" w:fill="FFFFFF"/>
            <w:noWrap/>
            <w:vAlign w:val="center"/>
            <w:hideMark/>
          </w:tcPr>
          <w:p w14:paraId="5EEF29C5"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w:t>
            </w:r>
          </w:p>
        </w:tc>
      </w:tr>
      <w:tr w:rsidR="00382A5D" w:rsidRPr="00382A5D" w14:paraId="60669E15" w14:textId="77777777" w:rsidTr="00382A5D">
        <w:trPr>
          <w:trHeight w:val="255"/>
        </w:trPr>
        <w:tc>
          <w:tcPr>
            <w:tcW w:w="5080" w:type="dxa"/>
            <w:gridSpan w:val="4"/>
            <w:tcBorders>
              <w:top w:val="nil"/>
              <w:left w:val="nil"/>
              <w:bottom w:val="nil"/>
              <w:right w:val="nil"/>
            </w:tcBorders>
            <w:shd w:val="clear" w:color="000000" w:fill="FFFFFF"/>
            <w:noWrap/>
            <w:vAlign w:val="center"/>
            <w:hideMark/>
          </w:tcPr>
          <w:p w14:paraId="775C07CB"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 Fixed-rate sterling Eurobond </w:t>
            </w:r>
          </w:p>
        </w:tc>
        <w:tc>
          <w:tcPr>
            <w:tcW w:w="1120" w:type="dxa"/>
            <w:tcBorders>
              <w:top w:val="nil"/>
              <w:left w:val="nil"/>
              <w:bottom w:val="nil"/>
              <w:right w:val="nil"/>
            </w:tcBorders>
            <w:shd w:val="clear" w:color="000000" w:fill="FFFFFF"/>
            <w:noWrap/>
            <w:vAlign w:val="center"/>
            <w:hideMark/>
          </w:tcPr>
          <w:p w14:paraId="20A3E9EA"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nil"/>
              <w:right w:val="nil"/>
            </w:tcBorders>
            <w:shd w:val="clear" w:color="000000" w:fill="FFFFFF"/>
            <w:noWrap/>
            <w:vAlign w:val="center"/>
            <w:hideMark/>
          </w:tcPr>
          <w:p w14:paraId="4B517087"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123 </w:t>
            </w:r>
          </w:p>
        </w:tc>
        <w:tc>
          <w:tcPr>
            <w:tcW w:w="1120" w:type="dxa"/>
            <w:tcBorders>
              <w:top w:val="nil"/>
              <w:left w:val="nil"/>
              <w:bottom w:val="nil"/>
              <w:right w:val="nil"/>
            </w:tcBorders>
            <w:shd w:val="clear" w:color="000000" w:fill="FFFFFF"/>
            <w:noWrap/>
            <w:vAlign w:val="center"/>
            <w:hideMark/>
          </w:tcPr>
          <w:p w14:paraId="0E56BF91"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nil"/>
              <w:right w:val="nil"/>
            </w:tcBorders>
            <w:shd w:val="clear" w:color="000000" w:fill="FFFFFF"/>
            <w:noWrap/>
            <w:vAlign w:val="center"/>
            <w:hideMark/>
          </w:tcPr>
          <w:p w14:paraId="30FFCCF5"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123 </w:t>
            </w:r>
          </w:p>
        </w:tc>
      </w:tr>
      <w:tr w:rsidR="00382A5D" w:rsidRPr="00382A5D" w14:paraId="378F4AA7" w14:textId="77777777" w:rsidTr="00382A5D">
        <w:trPr>
          <w:trHeight w:val="255"/>
        </w:trPr>
        <w:tc>
          <w:tcPr>
            <w:tcW w:w="5080" w:type="dxa"/>
            <w:gridSpan w:val="4"/>
            <w:tcBorders>
              <w:top w:val="nil"/>
              <w:left w:val="nil"/>
              <w:bottom w:val="single" w:sz="4" w:space="0" w:color="BFBFBF"/>
              <w:right w:val="nil"/>
            </w:tcBorders>
            <w:shd w:val="clear" w:color="000000" w:fill="FFFFFF"/>
            <w:noWrap/>
            <w:vAlign w:val="center"/>
            <w:hideMark/>
          </w:tcPr>
          <w:p w14:paraId="5BCB659E" w14:textId="77777777" w:rsidR="00382A5D" w:rsidRPr="00382A5D" w:rsidRDefault="00382A5D" w:rsidP="00382A5D">
            <w:pPr>
              <w:spacing w:after="0" w:line="240" w:lineRule="auto"/>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 Derivative financial instruments </w:t>
            </w:r>
          </w:p>
        </w:tc>
        <w:tc>
          <w:tcPr>
            <w:tcW w:w="1120" w:type="dxa"/>
            <w:tcBorders>
              <w:top w:val="nil"/>
              <w:left w:val="nil"/>
              <w:bottom w:val="single" w:sz="4" w:space="0" w:color="BFBFBF"/>
              <w:right w:val="nil"/>
            </w:tcBorders>
            <w:shd w:val="clear" w:color="000000" w:fill="FFFFFF"/>
            <w:noWrap/>
            <w:vAlign w:val="center"/>
            <w:hideMark/>
          </w:tcPr>
          <w:p w14:paraId="25063E02"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single" w:sz="4" w:space="0" w:color="BFBFBF"/>
              <w:right w:val="nil"/>
            </w:tcBorders>
            <w:shd w:val="clear" w:color="000000" w:fill="FFFFFF"/>
            <w:noWrap/>
            <w:vAlign w:val="center"/>
            <w:hideMark/>
          </w:tcPr>
          <w:p w14:paraId="7B85A3DF"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5 </w:t>
            </w:r>
          </w:p>
        </w:tc>
        <w:tc>
          <w:tcPr>
            <w:tcW w:w="1120" w:type="dxa"/>
            <w:tcBorders>
              <w:top w:val="nil"/>
              <w:left w:val="nil"/>
              <w:bottom w:val="single" w:sz="4" w:space="0" w:color="BFBFBF"/>
              <w:right w:val="nil"/>
            </w:tcBorders>
            <w:shd w:val="clear" w:color="000000" w:fill="FFFFFF"/>
            <w:noWrap/>
            <w:vAlign w:val="center"/>
            <w:hideMark/>
          </w:tcPr>
          <w:p w14:paraId="50EC9759"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single" w:sz="4" w:space="0" w:color="BFBFBF"/>
              <w:right w:val="nil"/>
            </w:tcBorders>
            <w:shd w:val="clear" w:color="000000" w:fill="FFFFFF"/>
            <w:noWrap/>
            <w:vAlign w:val="center"/>
            <w:hideMark/>
          </w:tcPr>
          <w:p w14:paraId="1F771C8F"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5 </w:t>
            </w:r>
          </w:p>
        </w:tc>
      </w:tr>
      <w:tr w:rsidR="00382A5D" w:rsidRPr="00382A5D" w14:paraId="535B622D" w14:textId="77777777" w:rsidTr="00382A5D">
        <w:trPr>
          <w:trHeight w:val="255"/>
        </w:trPr>
        <w:tc>
          <w:tcPr>
            <w:tcW w:w="5080" w:type="dxa"/>
            <w:gridSpan w:val="4"/>
            <w:tcBorders>
              <w:top w:val="nil"/>
              <w:left w:val="nil"/>
              <w:bottom w:val="nil"/>
              <w:right w:val="nil"/>
            </w:tcBorders>
            <w:shd w:val="clear" w:color="000000" w:fill="FFFFFF"/>
            <w:noWrap/>
            <w:vAlign w:val="center"/>
            <w:hideMark/>
          </w:tcPr>
          <w:p w14:paraId="0F2FC50F" w14:textId="77777777" w:rsidR="00382A5D" w:rsidRPr="00382A5D" w:rsidRDefault="00382A5D" w:rsidP="00382A5D">
            <w:pPr>
              <w:spacing w:after="0" w:line="240" w:lineRule="auto"/>
              <w:rPr>
                <w:rFonts w:ascii="Arial" w:eastAsia="Times New Roman" w:hAnsi="Arial" w:cs="Arial"/>
                <w:b/>
                <w:bCs/>
                <w:sz w:val="15"/>
                <w:szCs w:val="15"/>
                <w:lang w:eastAsia="en-GB"/>
              </w:rPr>
            </w:pPr>
            <w:r w:rsidRPr="00382A5D">
              <w:rPr>
                <w:rFonts w:ascii="Arial" w:eastAsia="Times New Roman" w:hAnsi="Arial" w:cs="Arial"/>
                <w:b/>
                <w:bCs/>
                <w:sz w:val="15"/>
                <w:szCs w:val="15"/>
                <w:lang w:eastAsia="en-GB"/>
              </w:rPr>
              <w:t>Total financial liabilities held at fair value</w:t>
            </w:r>
          </w:p>
        </w:tc>
        <w:tc>
          <w:tcPr>
            <w:tcW w:w="1120" w:type="dxa"/>
            <w:tcBorders>
              <w:top w:val="nil"/>
              <w:left w:val="nil"/>
              <w:bottom w:val="nil"/>
              <w:right w:val="nil"/>
            </w:tcBorders>
            <w:shd w:val="clear" w:color="000000" w:fill="FFFFFF"/>
            <w:noWrap/>
            <w:vAlign w:val="center"/>
            <w:hideMark/>
          </w:tcPr>
          <w:p w14:paraId="36A78281"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nil"/>
              <w:right w:val="nil"/>
            </w:tcBorders>
            <w:shd w:val="clear" w:color="000000" w:fill="FFFFFF"/>
            <w:noWrap/>
            <w:vAlign w:val="center"/>
            <w:hideMark/>
          </w:tcPr>
          <w:p w14:paraId="53464F3A"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128 </w:t>
            </w:r>
          </w:p>
        </w:tc>
        <w:tc>
          <w:tcPr>
            <w:tcW w:w="1120" w:type="dxa"/>
            <w:tcBorders>
              <w:top w:val="nil"/>
              <w:left w:val="nil"/>
              <w:bottom w:val="nil"/>
              <w:right w:val="nil"/>
            </w:tcBorders>
            <w:shd w:val="clear" w:color="000000" w:fill="FFFFFF"/>
            <w:noWrap/>
            <w:vAlign w:val="center"/>
            <w:hideMark/>
          </w:tcPr>
          <w:p w14:paraId="4B5A3F08"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 </w:t>
            </w:r>
          </w:p>
        </w:tc>
        <w:tc>
          <w:tcPr>
            <w:tcW w:w="1120" w:type="dxa"/>
            <w:tcBorders>
              <w:top w:val="nil"/>
              <w:left w:val="nil"/>
              <w:bottom w:val="nil"/>
              <w:right w:val="nil"/>
            </w:tcBorders>
            <w:shd w:val="clear" w:color="000000" w:fill="FFFFFF"/>
            <w:noWrap/>
            <w:vAlign w:val="center"/>
            <w:hideMark/>
          </w:tcPr>
          <w:p w14:paraId="60310360" w14:textId="77777777" w:rsidR="00382A5D" w:rsidRPr="00382A5D" w:rsidRDefault="00382A5D" w:rsidP="00382A5D">
            <w:pPr>
              <w:spacing w:after="0" w:line="240" w:lineRule="auto"/>
              <w:jc w:val="right"/>
              <w:rPr>
                <w:rFonts w:ascii="Arial" w:eastAsia="Times New Roman" w:hAnsi="Arial" w:cs="Arial"/>
                <w:color w:val="000000"/>
                <w:sz w:val="15"/>
                <w:szCs w:val="15"/>
                <w:lang w:eastAsia="en-GB"/>
              </w:rPr>
            </w:pPr>
            <w:r w:rsidRPr="00382A5D">
              <w:rPr>
                <w:rFonts w:ascii="Arial" w:eastAsia="Times New Roman" w:hAnsi="Arial" w:cs="Arial"/>
                <w:color w:val="000000"/>
                <w:sz w:val="15"/>
                <w:szCs w:val="15"/>
                <w:lang w:eastAsia="en-GB"/>
              </w:rPr>
              <w:t xml:space="preserve">128 </w:t>
            </w:r>
          </w:p>
        </w:tc>
      </w:tr>
    </w:tbl>
    <w:p w14:paraId="5927109C" w14:textId="4A36E739" w:rsidR="00382A5D" w:rsidRDefault="00382A5D" w:rsidP="00BB64F8">
      <w:pPr>
        <w:rPr>
          <w:b/>
          <w:bCs/>
        </w:rPr>
      </w:pPr>
    </w:p>
    <w:tbl>
      <w:tblPr>
        <w:tblW w:w="9945" w:type="dxa"/>
        <w:tblLook w:val="04A0" w:firstRow="1" w:lastRow="0" w:firstColumn="1" w:lastColumn="0" w:noHBand="0" w:noVBand="1"/>
      </w:tblPr>
      <w:tblGrid>
        <w:gridCol w:w="2304"/>
        <w:gridCol w:w="1932"/>
        <w:gridCol w:w="236"/>
        <w:gridCol w:w="36"/>
        <w:gridCol w:w="272"/>
        <w:gridCol w:w="520"/>
        <w:gridCol w:w="15"/>
        <w:gridCol w:w="484"/>
        <w:gridCol w:w="717"/>
        <w:gridCol w:w="174"/>
        <w:gridCol w:w="84"/>
        <w:gridCol w:w="380"/>
        <w:gridCol w:w="1205"/>
        <w:gridCol w:w="61"/>
        <w:gridCol w:w="258"/>
        <w:gridCol w:w="95"/>
        <w:gridCol w:w="1145"/>
        <w:gridCol w:w="27"/>
      </w:tblGrid>
      <w:tr w:rsidR="000576D2" w:rsidRPr="000576D2" w14:paraId="06ED20D1" w14:textId="77777777" w:rsidTr="000607DD">
        <w:trPr>
          <w:trHeight w:val="255"/>
        </w:trPr>
        <w:tc>
          <w:tcPr>
            <w:tcW w:w="8420" w:type="dxa"/>
            <w:gridSpan w:val="14"/>
            <w:tcBorders>
              <w:top w:val="nil"/>
              <w:left w:val="nil"/>
              <w:bottom w:val="nil"/>
              <w:right w:val="nil"/>
            </w:tcBorders>
            <w:shd w:val="clear" w:color="auto" w:fill="auto"/>
            <w:vAlign w:val="bottom"/>
            <w:hideMark/>
          </w:tcPr>
          <w:p w14:paraId="14FA71E0" w14:textId="77777777" w:rsidR="000576D2" w:rsidRPr="000576D2" w:rsidRDefault="000576D2" w:rsidP="000576D2">
            <w:pPr>
              <w:spacing w:after="0" w:line="240" w:lineRule="auto"/>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Basis of valuation of Level 2 financial assets and liabilities:</w:t>
            </w:r>
          </w:p>
        </w:tc>
        <w:tc>
          <w:tcPr>
            <w:tcW w:w="1525" w:type="dxa"/>
            <w:gridSpan w:val="4"/>
            <w:tcBorders>
              <w:top w:val="nil"/>
              <w:left w:val="nil"/>
              <w:bottom w:val="nil"/>
              <w:right w:val="nil"/>
            </w:tcBorders>
            <w:shd w:val="clear" w:color="auto" w:fill="auto"/>
            <w:noWrap/>
            <w:vAlign w:val="bottom"/>
            <w:hideMark/>
          </w:tcPr>
          <w:p w14:paraId="66EF5718" w14:textId="77777777" w:rsidR="000576D2" w:rsidRPr="000576D2" w:rsidRDefault="000576D2" w:rsidP="000576D2">
            <w:pPr>
              <w:spacing w:after="0" w:line="240" w:lineRule="auto"/>
              <w:rPr>
                <w:rFonts w:ascii="Arial" w:eastAsia="Times New Roman" w:hAnsi="Arial" w:cs="Arial"/>
                <w:b/>
                <w:bCs/>
                <w:sz w:val="15"/>
                <w:szCs w:val="15"/>
                <w:lang w:eastAsia="en-GB"/>
              </w:rPr>
            </w:pPr>
          </w:p>
        </w:tc>
      </w:tr>
      <w:tr w:rsidR="000576D2" w:rsidRPr="000576D2" w14:paraId="6658130D" w14:textId="77777777" w:rsidTr="000607DD">
        <w:trPr>
          <w:trHeight w:val="1420"/>
        </w:trPr>
        <w:tc>
          <w:tcPr>
            <w:tcW w:w="9945" w:type="dxa"/>
            <w:gridSpan w:val="18"/>
            <w:tcBorders>
              <w:top w:val="nil"/>
              <w:left w:val="nil"/>
              <w:bottom w:val="nil"/>
              <w:right w:val="nil"/>
            </w:tcBorders>
            <w:shd w:val="clear" w:color="000000" w:fill="FFFFFF"/>
            <w:vAlign w:val="center"/>
            <w:hideMark/>
          </w:tcPr>
          <w:p w14:paraId="5210B762"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b/>
                <w:bCs/>
                <w:sz w:val="15"/>
                <w:szCs w:val="15"/>
                <w:lang w:eastAsia="en-GB"/>
              </w:rPr>
              <w:t>Derivatives</w:t>
            </w:r>
            <w:r w:rsidRPr="000576D2">
              <w:rPr>
                <w:rFonts w:ascii="Arial" w:eastAsia="Times New Roman" w:hAnsi="Arial" w:cs="Arial"/>
                <w:sz w:val="15"/>
                <w:szCs w:val="15"/>
                <w:lang w:eastAsia="en-GB"/>
              </w:rPr>
              <w:t xml:space="preserve"> - the Group uses derivative financial instruments to provide an economic hedge to its exposure to interest rate risks arising from operational, financing and investment activities. In accordance with our Treasury policy, the Group does not hold or issue derivative financial instruments for trading purposes. Derivatives </w:t>
            </w:r>
            <w:proofErr w:type="gramStart"/>
            <w:r w:rsidRPr="000576D2">
              <w:rPr>
                <w:rFonts w:ascii="Arial" w:eastAsia="Times New Roman" w:hAnsi="Arial" w:cs="Arial"/>
                <w:sz w:val="15"/>
                <w:szCs w:val="15"/>
                <w:lang w:eastAsia="en-GB"/>
              </w:rPr>
              <w:t>entered into</w:t>
            </w:r>
            <w:proofErr w:type="gramEnd"/>
            <w:r w:rsidRPr="000576D2">
              <w:rPr>
                <w:rFonts w:ascii="Arial" w:eastAsia="Times New Roman" w:hAnsi="Arial" w:cs="Arial"/>
                <w:sz w:val="15"/>
                <w:szCs w:val="15"/>
                <w:lang w:eastAsia="en-GB"/>
              </w:rPr>
              <w:t xml:space="preserve"> include swaps, forward rate agreements and commodity (diesel) swaps. Derivative financial instruments are measured at fair value and any gains or losses are included in the income statement. Fair values are based on quoted prices and where these are not available, valuation techniques such as discounted cash flow models are used. Interest payments or receipts arising from interest rate swaps are recognised within finance income or finance costs in the period in which the interest is incurred or earned.</w:t>
            </w:r>
          </w:p>
        </w:tc>
      </w:tr>
      <w:tr w:rsidR="000576D2" w:rsidRPr="000576D2" w14:paraId="31291F47" w14:textId="77777777" w:rsidTr="000607DD">
        <w:trPr>
          <w:trHeight w:val="859"/>
        </w:trPr>
        <w:tc>
          <w:tcPr>
            <w:tcW w:w="9945" w:type="dxa"/>
            <w:gridSpan w:val="18"/>
            <w:tcBorders>
              <w:top w:val="nil"/>
              <w:left w:val="nil"/>
              <w:bottom w:val="nil"/>
              <w:right w:val="nil"/>
            </w:tcBorders>
            <w:shd w:val="clear" w:color="000000" w:fill="FFFFFF"/>
            <w:vAlign w:val="center"/>
            <w:hideMark/>
          </w:tcPr>
          <w:p w14:paraId="5BDFBB81"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b/>
                <w:bCs/>
                <w:sz w:val="15"/>
                <w:szCs w:val="15"/>
                <w:lang w:eastAsia="en-GB"/>
              </w:rPr>
              <w:t xml:space="preserve">Eurobonds </w:t>
            </w:r>
            <w:r w:rsidRPr="000576D2">
              <w:rPr>
                <w:rFonts w:ascii="Arial" w:eastAsia="Times New Roman" w:hAnsi="Arial" w:cs="Arial"/>
                <w:sz w:val="15"/>
                <w:szCs w:val="15"/>
                <w:lang w:eastAsia="en-GB"/>
              </w:rPr>
              <w:t xml:space="preserve">- on inception these drawn-down loan commitments were designated as financial liabilities at fair value through the income statement. The Group adopted IFRS 9 from 7 January 2018 and subsequently only £105m of the original par value of £350m 2026 notes were designated as financial liabilities at fair value through the income statement. Fair values are determined in whole by using quoted market prices. The remaining Eurobonds are held at amortised cost using an effective interest rate. </w:t>
            </w:r>
          </w:p>
        </w:tc>
      </w:tr>
      <w:tr w:rsidR="000576D2" w:rsidRPr="000576D2" w14:paraId="666ADF12" w14:textId="77777777" w:rsidTr="000607DD">
        <w:trPr>
          <w:gridAfter w:val="1"/>
          <w:wAfter w:w="27" w:type="dxa"/>
          <w:trHeight w:val="276"/>
        </w:trPr>
        <w:tc>
          <w:tcPr>
            <w:tcW w:w="2304" w:type="dxa"/>
            <w:tcBorders>
              <w:top w:val="nil"/>
              <w:left w:val="nil"/>
              <w:bottom w:val="nil"/>
              <w:right w:val="nil"/>
            </w:tcBorders>
            <w:shd w:val="clear" w:color="000000" w:fill="FFFFFF"/>
            <w:vAlign w:val="center"/>
            <w:hideMark/>
          </w:tcPr>
          <w:p w14:paraId="11A1B15A"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2168" w:type="dxa"/>
            <w:gridSpan w:val="2"/>
            <w:tcBorders>
              <w:top w:val="nil"/>
              <w:left w:val="nil"/>
              <w:bottom w:val="nil"/>
              <w:right w:val="nil"/>
            </w:tcBorders>
            <w:shd w:val="clear" w:color="000000" w:fill="FFFFFF"/>
            <w:vAlign w:val="center"/>
            <w:hideMark/>
          </w:tcPr>
          <w:p w14:paraId="031D72E9"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843" w:type="dxa"/>
            <w:gridSpan w:val="4"/>
            <w:tcBorders>
              <w:top w:val="nil"/>
              <w:left w:val="nil"/>
              <w:bottom w:val="nil"/>
              <w:right w:val="nil"/>
            </w:tcBorders>
            <w:shd w:val="clear" w:color="000000" w:fill="FFFFFF"/>
            <w:vAlign w:val="center"/>
            <w:hideMark/>
          </w:tcPr>
          <w:p w14:paraId="1BCE0460"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484" w:type="dxa"/>
            <w:tcBorders>
              <w:top w:val="nil"/>
              <w:left w:val="nil"/>
              <w:bottom w:val="nil"/>
              <w:right w:val="nil"/>
            </w:tcBorders>
            <w:shd w:val="clear" w:color="000000" w:fill="FFFFFF"/>
            <w:vAlign w:val="center"/>
            <w:hideMark/>
          </w:tcPr>
          <w:p w14:paraId="498AA567"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891" w:type="dxa"/>
            <w:gridSpan w:val="2"/>
            <w:tcBorders>
              <w:top w:val="nil"/>
              <w:left w:val="nil"/>
              <w:bottom w:val="nil"/>
              <w:right w:val="nil"/>
            </w:tcBorders>
            <w:shd w:val="clear" w:color="000000" w:fill="FFFFFF"/>
            <w:vAlign w:val="center"/>
            <w:hideMark/>
          </w:tcPr>
          <w:p w14:paraId="66F838AE"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464" w:type="dxa"/>
            <w:gridSpan w:val="2"/>
            <w:tcBorders>
              <w:top w:val="nil"/>
              <w:left w:val="nil"/>
              <w:bottom w:val="nil"/>
              <w:right w:val="nil"/>
            </w:tcBorders>
            <w:shd w:val="clear" w:color="000000" w:fill="FFFFFF"/>
            <w:vAlign w:val="center"/>
            <w:hideMark/>
          </w:tcPr>
          <w:p w14:paraId="5BA36A5D"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1266" w:type="dxa"/>
            <w:gridSpan w:val="2"/>
            <w:tcBorders>
              <w:top w:val="nil"/>
              <w:left w:val="nil"/>
              <w:bottom w:val="nil"/>
              <w:right w:val="nil"/>
            </w:tcBorders>
            <w:shd w:val="clear" w:color="000000" w:fill="FFFFFF"/>
            <w:vAlign w:val="center"/>
            <w:hideMark/>
          </w:tcPr>
          <w:p w14:paraId="273454FE"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258" w:type="dxa"/>
            <w:tcBorders>
              <w:top w:val="nil"/>
              <w:left w:val="nil"/>
              <w:bottom w:val="nil"/>
              <w:right w:val="nil"/>
            </w:tcBorders>
            <w:shd w:val="clear" w:color="000000" w:fill="FFFFFF"/>
            <w:vAlign w:val="center"/>
            <w:hideMark/>
          </w:tcPr>
          <w:p w14:paraId="1DAD5AA2"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1240" w:type="dxa"/>
            <w:gridSpan w:val="2"/>
            <w:tcBorders>
              <w:top w:val="nil"/>
              <w:left w:val="nil"/>
              <w:bottom w:val="nil"/>
              <w:right w:val="nil"/>
            </w:tcBorders>
            <w:shd w:val="clear" w:color="000000" w:fill="FFFFFF"/>
            <w:vAlign w:val="center"/>
            <w:hideMark/>
          </w:tcPr>
          <w:p w14:paraId="1E7AC1D6"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r>
      <w:tr w:rsidR="000576D2" w:rsidRPr="000576D2" w14:paraId="60A23E2D" w14:textId="77777777" w:rsidTr="000607DD">
        <w:trPr>
          <w:trHeight w:val="300"/>
        </w:trPr>
        <w:tc>
          <w:tcPr>
            <w:tcW w:w="8420" w:type="dxa"/>
            <w:gridSpan w:val="14"/>
            <w:tcBorders>
              <w:top w:val="nil"/>
              <w:left w:val="nil"/>
              <w:bottom w:val="nil"/>
              <w:right w:val="nil"/>
            </w:tcBorders>
            <w:shd w:val="clear" w:color="auto" w:fill="auto"/>
            <w:vAlign w:val="center"/>
            <w:hideMark/>
          </w:tcPr>
          <w:p w14:paraId="2CFC9573" w14:textId="77777777" w:rsidR="000576D2" w:rsidRPr="000576D2" w:rsidRDefault="000576D2" w:rsidP="000576D2">
            <w:pPr>
              <w:spacing w:after="0" w:line="240" w:lineRule="auto"/>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Basis of valuation of Level 3 financial assets and liabilities:</w:t>
            </w:r>
          </w:p>
        </w:tc>
        <w:tc>
          <w:tcPr>
            <w:tcW w:w="1525" w:type="dxa"/>
            <w:gridSpan w:val="4"/>
            <w:tcBorders>
              <w:top w:val="nil"/>
              <w:left w:val="nil"/>
              <w:bottom w:val="nil"/>
              <w:right w:val="nil"/>
            </w:tcBorders>
            <w:shd w:val="clear" w:color="000000" w:fill="FFFFFF"/>
            <w:vAlign w:val="center"/>
            <w:hideMark/>
          </w:tcPr>
          <w:p w14:paraId="70FE236F"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r>
      <w:tr w:rsidR="000576D2" w:rsidRPr="000576D2" w14:paraId="45BF4885" w14:textId="77777777" w:rsidTr="000607DD">
        <w:trPr>
          <w:trHeight w:val="2254"/>
        </w:trPr>
        <w:tc>
          <w:tcPr>
            <w:tcW w:w="9945" w:type="dxa"/>
            <w:gridSpan w:val="18"/>
            <w:tcBorders>
              <w:top w:val="nil"/>
              <w:left w:val="nil"/>
              <w:bottom w:val="nil"/>
              <w:right w:val="nil"/>
            </w:tcBorders>
            <w:shd w:val="clear" w:color="000000" w:fill="FFFFFF"/>
            <w:vAlign w:val="center"/>
            <w:hideMark/>
          </w:tcPr>
          <w:p w14:paraId="4B383111"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b/>
                <w:bCs/>
                <w:sz w:val="15"/>
                <w:szCs w:val="15"/>
                <w:lang w:eastAsia="en-GB"/>
              </w:rPr>
              <w:lastRenderedPageBreak/>
              <w:t>Funeral plans</w:t>
            </w:r>
            <w:r w:rsidRPr="000576D2">
              <w:rPr>
                <w:rFonts w:ascii="Arial" w:eastAsia="Times New Roman" w:hAnsi="Arial" w:cs="Arial"/>
                <w:sz w:val="15"/>
                <w:szCs w:val="15"/>
                <w:lang w:eastAsia="en-GB"/>
              </w:rPr>
              <w:t xml:space="preserve"> - when a customer takes out a funeral plan the initial plan value is recognised as an investment asset in the balance sheet and at the same time a liability is also recorded in the balance sheet representing the deferred income to be realised on performance of the funeral service covered by each of the funeral plans. The investments are held in insurance policies or cash-based trusts and attract interest and bonus payments throughout the year dependent upon market conditions. The plan investment is a financial asset, which is recorded at fair value each period through the income statement using valuations provided to Co-op by the insurance policy provider. The plan values represent what the policy provider would pay out on redemption of the policy at the valuation date with the main driver being underlying market and investment performance. The performance obligation to deliver the funeral is treated as a contract liability (deferred income) under IFRS 15. The deferred amount is subject to adjustment to reflect a significant financing component which is charged to the income statement each period. The liability accretes interest in-line with the discount rate applied to the plan on inception. The discount rate applied is based on an estimated borrowing rate between the customer and the Group at the point the contract is </w:t>
            </w:r>
            <w:proofErr w:type="gramStart"/>
            <w:r w:rsidRPr="000576D2">
              <w:rPr>
                <w:rFonts w:ascii="Arial" w:eastAsia="Times New Roman" w:hAnsi="Arial" w:cs="Arial"/>
                <w:sz w:val="15"/>
                <w:szCs w:val="15"/>
                <w:lang w:eastAsia="en-GB"/>
              </w:rPr>
              <w:t>entered into</w:t>
            </w:r>
            <w:proofErr w:type="gramEnd"/>
            <w:r w:rsidRPr="000576D2">
              <w:rPr>
                <w:rFonts w:ascii="Arial" w:eastAsia="Times New Roman" w:hAnsi="Arial" w:cs="Arial"/>
                <w:sz w:val="15"/>
                <w:szCs w:val="15"/>
                <w:lang w:eastAsia="en-GB"/>
              </w:rPr>
              <w:t>. The contract liability is held on the balance sheet as additional deferred income until the delivery of the funeral at which point the revenue is recognised.</w:t>
            </w:r>
          </w:p>
        </w:tc>
      </w:tr>
      <w:tr w:rsidR="000576D2" w:rsidRPr="000576D2" w14:paraId="0B4EF7BF" w14:textId="77777777" w:rsidTr="000607DD">
        <w:trPr>
          <w:gridAfter w:val="1"/>
          <w:wAfter w:w="27" w:type="dxa"/>
          <w:trHeight w:val="263"/>
        </w:trPr>
        <w:tc>
          <w:tcPr>
            <w:tcW w:w="2304" w:type="dxa"/>
            <w:tcBorders>
              <w:top w:val="nil"/>
              <w:left w:val="nil"/>
              <w:bottom w:val="nil"/>
              <w:right w:val="nil"/>
            </w:tcBorders>
            <w:shd w:val="clear" w:color="000000" w:fill="FFFFFF"/>
            <w:vAlign w:val="center"/>
            <w:hideMark/>
          </w:tcPr>
          <w:p w14:paraId="564DED02"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2168" w:type="dxa"/>
            <w:gridSpan w:val="2"/>
            <w:tcBorders>
              <w:top w:val="nil"/>
              <w:left w:val="nil"/>
              <w:bottom w:val="nil"/>
              <w:right w:val="nil"/>
            </w:tcBorders>
            <w:shd w:val="clear" w:color="000000" w:fill="FFFFFF"/>
            <w:vAlign w:val="center"/>
            <w:hideMark/>
          </w:tcPr>
          <w:p w14:paraId="068A45A3"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843" w:type="dxa"/>
            <w:gridSpan w:val="4"/>
            <w:tcBorders>
              <w:top w:val="nil"/>
              <w:left w:val="nil"/>
              <w:bottom w:val="nil"/>
              <w:right w:val="nil"/>
            </w:tcBorders>
            <w:shd w:val="clear" w:color="000000" w:fill="FFFFFF"/>
            <w:vAlign w:val="center"/>
            <w:hideMark/>
          </w:tcPr>
          <w:p w14:paraId="019E44E0"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484" w:type="dxa"/>
            <w:tcBorders>
              <w:top w:val="nil"/>
              <w:left w:val="nil"/>
              <w:bottom w:val="nil"/>
              <w:right w:val="nil"/>
            </w:tcBorders>
            <w:shd w:val="clear" w:color="000000" w:fill="FFFFFF"/>
            <w:vAlign w:val="center"/>
            <w:hideMark/>
          </w:tcPr>
          <w:p w14:paraId="2FC503DE"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891" w:type="dxa"/>
            <w:gridSpan w:val="2"/>
            <w:tcBorders>
              <w:top w:val="nil"/>
              <w:left w:val="nil"/>
              <w:bottom w:val="nil"/>
              <w:right w:val="nil"/>
            </w:tcBorders>
            <w:shd w:val="clear" w:color="000000" w:fill="FFFFFF"/>
            <w:vAlign w:val="center"/>
            <w:hideMark/>
          </w:tcPr>
          <w:p w14:paraId="343221DC"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464" w:type="dxa"/>
            <w:gridSpan w:val="2"/>
            <w:tcBorders>
              <w:top w:val="nil"/>
              <w:left w:val="nil"/>
              <w:bottom w:val="nil"/>
              <w:right w:val="nil"/>
            </w:tcBorders>
            <w:shd w:val="clear" w:color="000000" w:fill="FFFFFF"/>
            <w:vAlign w:val="center"/>
            <w:hideMark/>
          </w:tcPr>
          <w:p w14:paraId="0249BB79"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1266" w:type="dxa"/>
            <w:gridSpan w:val="2"/>
            <w:tcBorders>
              <w:top w:val="nil"/>
              <w:left w:val="nil"/>
              <w:bottom w:val="nil"/>
              <w:right w:val="nil"/>
            </w:tcBorders>
            <w:shd w:val="clear" w:color="000000" w:fill="FFFFFF"/>
            <w:vAlign w:val="center"/>
            <w:hideMark/>
          </w:tcPr>
          <w:p w14:paraId="61A9B1D0"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258" w:type="dxa"/>
            <w:tcBorders>
              <w:top w:val="nil"/>
              <w:left w:val="nil"/>
              <w:bottom w:val="nil"/>
              <w:right w:val="nil"/>
            </w:tcBorders>
            <w:shd w:val="clear" w:color="000000" w:fill="FFFFFF"/>
            <w:vAlign w:val="center"/>
            <w:hideMark/>
          </w:tcPr>
          <w:p w14:paraId="46175823"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1240" w:type="dxa"/>
            <w:gridSpan w:val="2"/>
            <w:tcBorders>
              <w:top w:val="nil"/>
              <w:left w:val="nil"/>
              <w:bottom w:val="nil"/>
              <w:right w:val="nil"/>
            </w:tcBorders>
            <w:shd w:val="clear" w:color="000000" w:fill="FFFFFF"/>
            <w:vAlign w:val="center"/>
            <w:hideMark/>
          </w:tcPr>
          <w:p w14:paraId="089D082A"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r>
      <w:tr w:rsidR="00E42612" w:rsidRPr="000576D2" w14:paraId="094EF4D1" w14:textId="77777777" w:rsidTr="000607DD">
        <w:trPr>
          <w:trHeight w:val="423"/>
        </w:trPr>
        <w:tc>
          <w:tcPr>
            <w:tcW w:w="5315" w:type="dxa"/>
            <w:gridSpan w:val="7"/>
            <w:vMerge w:val="restart"/>
            <w:tcBorders>
              <w:top w:val="single" w:sz="4" w:space="0" w:color="BFBFBF"/>
              <w:left w:val="single" w:sz="4" w:space="0" w:color="BFBFBF"/>
              <w:bottom w:val="single" w:sz="4" w:space="0" w:color="BFBFBF"/>
              <w:right w:val="nil"/>
            </w:tcBorders>
            <w:shd w:val="clear" w:color="auto" w:fill="auto"/>
            <w:noWrap/>
            <w:vAlign w:val="center"/>
            <w:hideMark/>
          </w:tcPr>
          <w:p w14:paraId="6F830E9C" w14:textId="77777777" w:rsidR="00E42612" w:rsidRPr="000576D2" w:rsidRDefault="00E42612" w:rsidP="00E42612">
            <w:pPr>
              <w:spacing w:after="0" w:line="240" w:lineRule="auto"/>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 xml:space="preserve">Funeral plan investments </w:t>
            </w:r>
          </w:p>
        </w:tc>
        <w:tc>
          <w:tcPr>
            <w:tcW w:w="1375" w:type="dxa"/>
            <w:gridSpan w:val="3"/>
            <w:tcBorders>
              <w:top w:val="single" w:sz="4" w:space="0" w:color="BFBFBF"/>
              <w:left w:val="nil"/>
              <w:bottom w:val="nil"/>
              <w:right w:val="nil"/>
            </w:tcBorders>
            <w:shd w:val="clear" w:color="auto" w:fill="auto"/>
            <w:hideMark/>
          </w:tcPr>
          <w:p w14:paraId="328316DF" w14:textId="77777777" w:rsidR="00E42612" w:rsidRDefault="00E42612" w:rsidP="00E42612">
            <w:pPr>
              <w:spacing w:after="0" w:line="240" w:lineRule="auto"/>
              <w:jc w:val="right"/>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2 July</w:t>
            </w:r>
            <w:r>
              <w:rPr>
                <w:rFonts w:ascii="Arial" w:eastAsia="Times New Roman" w:hAnsi="Arial" w:cs="Arial"/>
                <w:b/>
                <w:bCs/>
                <w:sz w:val="15"/>
                <w:szCs w:val="15"/>
                <w:lang w:eastAsia="en-GB"/>
              </w:rPr>
              <w:t xml:space="preserve"> </w:t>
            </w:r>
            <w:r w:rsidRPr="000576D2">
              <w:rPr>
                <w:rFonts w:ascii="Arial" w:eastAsia="Times New Roman" w:hAnsi="Arial" w:cs="Arial"/>
                <w:b/>
                <w:bCs/>
                <w:sz w:val="15"/>
                <w:szCs w:val="15"/>
                <w:lang w:eastAsia="en-GB"/>
              </w:rPr>
              <w:t>2022</w:t>
            </w:r>
            <w:r>
              <w:rPr>
                <w:rFonts w:ascii="Arial" w:eastAsia="Times New Roman" w:hAnsi="Arial" w:cs="Arial"/>
                <w:b/>
                <w:bCs/>
                <w:sz w:val="15"/>
                <w:szCs w:val="15"/>
                <w:lang w:eastAsia="en-GB"/>
              </w:rPr>
              <w:t xml:space="preserve"> </w:t>
            </w:r>
          </w:p>
          <w:p w14:paraId="11D467AB" w14:textId="6A114865" w:rsidR="00E42612" w:rsidRPr="000576D2" w:rsidRDefault="00E42612" w:rsidP="00E42612">
            <w:pPr>
              <w:spacing w:after="0" w:line="240" w:lineRule="auto"/>
              <w:jc w:val="right"/>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(unaudited)</w:t>
            </w:r>
            <w:r>
              <w:rPr>
                <w:rFonts w:ascii="Arial" w:eastAsia="Times New Roman" w:hAnsi="Arial" w:cs="Arial"/>
                <w:b/>
                <w:bCs/>
                <w:sz w:val="15"/>
                <w:szCs w:val="15"/>
                <w:lang w:eastAsia="en-GB"/>
              </w:rPr>
              <w:t xml:space="preserve"> </w:t>
            </w:r>
          </w:p>
        </w:tc>
        <w:tc>
          <w:tcPr>
            <w:tcW w:w="1730" w:type="dxa"/>
            <w:gridSpan w:val="4"/>
            <w:tcBorders>
              <w:top w:val="single" w:sz="4" w:space="0" w:color="BFBFBF"/>
              <w:left w:val="nil"/>
              <w:bottom w:val="nil"/>
              <w:right w:val="nil"/>
            </w:tcBorders>
            <w:shd w:val="clear" w:color="auto" w:fill="auto"/>
            <w:hideMark/>
          </w:tcPr>
          <w:p w14:paraId="4CE06116" w14:textId="77777777" w:rsidR="00E42612" w:rsidRDefault="00E42612" w:rsidP="00E4261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3 July 2021</w:t>
            </w:r>
            <w:r>
              <w:rPr>
                <w:rFonts w:ascii="Arial" w:eastAsia="Times New Roman" w:hAnsi="Arial" w:cs="Arial"/>
                <w:sz w:val="15"/>
                <w:szCs w:val="15"/>
                <w:lang w:eastAsia="en-GB"/>
              </w:rPr>
              <w:t xml:space="preserve"> </w:t>
            </w:r>
          </w:p>
          <w:p w14:paraId="1C99BB4D" w14:textId="56F96B26" w:rsidR="00E42612" w:rsidRPr="000576D2" w:rsidRDefault="00E42612" w:rsidP="00E4261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(unaudited)</w:t>
            </w:r>
            <w:r>
              <w:rPr>
                <w:rFonts w:ascii="Arial" w:eastAsia="Times New Roman" w:hAnsi="Arial" w:cs="Arial"/>
                <w:sz w:val="15"/>
                <w:szCs w:val="15"/>
                <w:lang w:eastAsia="en-GB"/>
              </w:rPr>
              <w:t xml:space="preserve"> </w:t>
            </w:r>
          </w:p>
        </w:tc>
        <w:tc>
          <w:tcPr>
            <w:tcW w:w="1525" w:type="dxa"/>
            <w:gridSpan w:val="4"/>
            <w:tcBorders>
              <w:top w:val="single" w:sz="4" w:space="0" w:color="BFBFBF"/>
              <w:left w:val="nil"/>
              <w:bottom w:val="nil"/>
              <w:right w:val="single" w:sz="4" w:space="0" w:color="BFBFBF"/>
            </w:tcBorders>
            <w:shd w:val="clear" w:color="auto" w:fill="auto"/>
            <w:hideMark/>
          </w:tcPr>
          <w:p w14:paraId="48DDF298" w14:textId="77777777" w:rsidR="00E42612" w:rsidRDefault="00E42612" w:rsidP="00E4261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 xml:space="preserve">1 January 2022 </w:t>
            </w:r>
          </w:p>
          <w:p w14:paraId="50B34AF2" w14:textId="05B08418" w:rsidR="00E42612" w:rsidRPr="000576D2" w:rsidRDefault="00E42612" w:rsidP="00E4261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(audited)</w:t>
            </w:r>
            <w:r>
              <w:rPr>
                <w:rFonts w:ascii="Arial" w:eastAsia="Times New Roman" w:hAnsi="Arial" w:cs="Arial"/>
                <w:sz w:val="15"/>
                <w:szCs w:val="15"/>
                <w:lang w:eastAsia="en-GB"/>
              </w:rPr>
              <w:t xml:space="preserve"> </w:t>
            </w:r>
          </w:p>
        </w:tc>
      </w:tr>
      <w:tr w:rsidR="000576D2" w:rsidRPr="000576D2" w14:paraId="0B2C4E58" w14:textId="77777777" w:rsidTr="000607DD">
        <w:trPr>
          <w:trHeight w:val="255"/>
        </w:trPr>
        <w:tc>
          <w:tcPr>
            <w:tcW w:w="5315" w:type="dxa"/>
            <w:gridSpan w:val="7"/>
            <w:vMerge/>
            <w:tcBorders>
              <w:top w:val="single" w:sz="4" w:space="0" w:color="BFBFBF"/>
              <w:left w:val="single" w:sz="4" w:space="0" w:color="BFBFBF"/>
              <w:bottom w:val="single" w:sz="4" w:space="0" w:color="BFBFBF"/>
              <w:right w:val="nil"/>
            </w:tcBorders>
            <w:shd w:val="clear" w:color="auto" w:fill="auto"/>
            <w:vAlign w:val="center"/>
            <w:hideMark/>
          </w:tcPr>
          <w:p w14:paraId="3512B3AB" w14:textId="77777777" w:rsidR="000576D2" w:rsidRPr="000576D2" w:rsidRDefault="000576D2" w:rsidP="000576D2">
            <w:pPr>
              <w:spacing w:after="0" w:line="240" w:lineRule="auto"/>
              <w:rPr>
                <w:rFonts w:ascii="Arial" w:eastAsia="Times New Roman" w:hAnsi="Arial" w:cs="Arial"/>
                <w:b/>
                <w:bCs/>
                <w:sz w:val="15"/>
                <w:szCs w:val="15"/>
                <w:lang w:eastAsia="en-GB"/>
              </w:rPr>
            </w:pPr>
          </w:p>
        </w:tc>
        <w:tc>
          <w:tcPr>
            <w:tcW w:w="1375" w:type="dxa"/>
            <w:gridSpan w:val="3"/>
            <w:tcBorders>
              <w:top w:val="nil"/>
              <w:left w:val="nil"/>
              <w:bottom w:val="single" w:sz="4" w:space="0" w:color="BFBFBF"/>
              <w:right w:val="nil"/>
            </w:tcBorders>
            <w:shd w:val="clear" w:color="auto" w:fill="auto"/>
            <w:hideMark/>
          </w:tcPr>
          <w:p w14:paraId="29837460" w14:textId="77777777" w:rsidR="000576D2" w:rsidRPr="000576D2" w:rsidRDefault="000576D2" w:rsidP="000576D2">
            <w:pPr>
              <w:spacing w:after="0" w:line="240" w:lineRule="auto"/>
              <w:jc w:val="right"/>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£m</w:t>
            </w:r>
          </w:p>
        </w:tc>
        <w:tc>
          <w:tcPr>
            <w:tcW w:w="1730" w:type="dxa"/>
            <w:gridSpan w:val="4"/>
            <w:tcBorders>
              <w:top w:val="nil"/>
              <w:left w:val="nil"/>
              <w:bottom w:val="single" w:sz="4" w:space="0" w:color="BFBFBF"/>
              <w:right w:val="nil"/>
            </w:tcBorders>
            <w:shd w:val="clear" w:color="auto" w:fill="auto"/>
            <w:hideMark/>
          </w:tcPr>
          <w:p w14:paraId="331444C4" w14:textId="77777777" w:rsidR="000576D2" w:rsidRPr="000576D2" w:rsidRDefault="000576D2" w:rsidP="000576D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£m</w:t>
            </w:r>
          </w:p>
        </w:tc>
        <w:tc>
          <w:tcPr>
            <w:tcW w:w="1525" w:type="dxa"/>
            <w:gridSpan w:val="4"/>
            <w:tcBorders>
              <w:top w:val="nil"/>
              <w:left w:val="nil"/>
              <w:bottom w:val="single" w:sz="4" w:space="0" w:color="BFBFBF"/>
              <w:right w:val="single" w:sz="4" w:space="0" w:color="BFBFBF"/>
            </w:tcBorders>
            <w:shd w:val="clear" w:color="auto" w:fill="auto"/>
            <w:hideMark/>
          </w:tcPr>
          <w:p w14:paraId="2B9EEE64" w14:textId="77777777" w:rsidR="000576D2" w:rsidRPr="000576D2" w:rsidRDefault="000576D2" w:rsidP="000576D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£m</w:t>
            </w:r>
          </w:p>
        </w:tc>
      </w:tr>
      <w:tr w:rsidR="00FF66DD" w:rsidRPr="000576D2" w14:paraId="770096D0" w14:textId="77777777" w:rsidTr="000607DD">
        <w:trPr>
          <w:trHeight w:val="255"/>
        </w:trPr>
        <w:tc>
          <w:tcPr>
            <w:tcW w:w="4472" w:type="dxa"/>
            <w:gridSpan w:val="3"/>
            <w:tcBorders>
              <w:top w:val="nil"/>
              <w:left w:val="nil"/>
              <w:bottom w:val="nil"/>
              <w:right w:val="nil"/>
            </w:tcBorders>
            <w:shd w:val="clear" w:color="000000" w:fill="FFFFFF"/>
            <w:vAlign w:val="center"/>
            <w:hideMark/>
          </w:tcPr>
          <w:p w14:paraId="3DC63B8B"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xml:space="preserve">At start of period </w:t>
            </w:r>
          </w:p>
        </w:tc>
        <w:tc>
          <w:tcPr>
            <w:tcW w:w="843" w:type="dxa"/>
            <w:gridSpan w:val="4"/>
            <w:tcBorders>
              <w:top w:val="nil"/>
              <w:left w:val="nil"/>
              <w:bottom w:val="nil"/>
              <w:right w:val="nil"/>
            </w:tcBorders>
            <w:shd w:val="clear" w:color="000000" w:fill="FFFFFF"/>
            <w:vAlign w:val="center"/>
            <w:hideMark/>
          </w:tcPr>
          <w:p w14:paraId="78E71876" w14:textId="77777777" w:rsidR="000576D2" w:rsidRPr="000576D2" w:rsidRDefault="000576D2" w:rsidP="000576D2">
            <w:pPr>
              <w:spacing w:after="0" w:line="240" w:lineRule="auto"/>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 </w:t>
            </w:r>
          </w:p>
        </w:tc>
        <w:tc>
          <w:tcPr>
            <w:tcW w:w="1375" w:type="dxa"/>
            <w:gridSpan w:val="3"/>
            <w:tcBorders>
              <w:top w:val="nil"/>
              <w:left w:val="nil"/>
              <w:bottom w:val="nil"/>
              <w:right w:val="nil"/>
            </w:tcBorders>
            <w:shd w:val="clear" w:color="auto" w:fill="CCECFF"/>
            <w:vAlign w:val="center"/>
            <w:hideMark/>
          </w:tcPr>
          <w:p w14:paraId="54A26652" w14:textId="77777777" w:rsidR="000576D2" w:rsidRPr="000576D2" w:rsidRDefault="000576D2" w:rsidP="000576D2">
            <w:pPr>
              <w:spacing w:after="0" w:line="240" w:lineRule="auto"/>
              <w:jc w:val="right"/>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 xml:space="preserve">1,372 </w:t>
            </w:r>
          </w:p>
        </w:tc>
        <w:tc>
          <w:tcPr>
            <w:tcW w:w="1730" w:type="dxa"/>
            <w:gridSpan w:val="4"/>
            <w:tcBorders>
              <w:top w:val="nil"/>
              <w:left w:val="nil"/>
              <w:bottom w:val="nil"/>
              <w:right w:val="nil"/>
            </w:tcBorders>
            <w:shd w:val="clear" w:color="000000" w:fill="FFFFFF"/>
            <w:vAlign w:val="center"/>
            <w:hideMark/>
          </w:tcPr>
          <w:p w14:paraId="753C3093" w14:textId="77777777" w:rsidR="000576D2" w:rsidRPr="000576D2" w:rsidRDefault="000576D2" w:rsidP="000576D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 xml:space="preserve">1,331 </w:t>
            </w:r>
          </w:p>
        </w:tc>
        <w:tc>
          <w:tcPr>
            <w:tcW w:w="1525" w:type="dxa"/>
            <w:gridSpan w:val="4"/>
            <w:tcBorders>
              <w:top w:val="nil"/>
              <w:left w:val="nil"/>
              <w:bottom w:val="nil"/>
              <w:right w:val="nil"/>
            </w:tcBorders>
            <w:shd w:val="clear" w:color="000000" w:fill="FFFFFF"/>
            <w:vAlign w:val="center"/>
            <w:hideMark/>
          </w:tcPr>
          <w:p w14:paraId="212080F9" w14:textId="77777777" w:rsidR="000576D2" w:rsidRPr="000576D2" w:rsidRDefault="000576D2" w:rsidP="000576D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 xml:space="preserve">1,331 </w:t>
            </w:r>
          </w:p>
        </w:tc>
      </w:tr>
      <w:tr w:rsidR="00FF66DD" w:rsidRPr="000576D2" w14:paraId="6E384072" w14:textId="77777777" w:rsidTr="000607DD">
        <w:trPr>
          <w:trHeight w:val="255"/>
        </w:trPr>
        <w:tc>
          <w:tcPr>
            <w:tcW w:w="4472" w:type="dxa"/>
            <w:gridSpan w:val="3"/>
            <w:tcBorders>
              <w:top w:val="nil"/>
              <w:left w:val="nil"/>
              <w:bottom w:val="nil"/>
              <w:right w:val="nil"/>
            </w:tcBorders>
            <w:shd w:val="clear" w:color="000000" w:fill="FFFFFF"/>
            <w:vAlign w:val="center"/>
            <w:hideMark/>
          </w:tcPr>
          <w:p w14:paraId="6CA698E7"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New plan investments (including on-going instalments)</w:t>
            </w:r>
          </w:p>
        </w:tc>
        <w:tc>
          <w:tcPr>
            <w:tcW w:w="843" w:type="dxa"/>
            <w:gridSpan w:val="4"/>
            <w:tcBorders>
              <w:top w:val="nil"/>
              <w:left w:val="nil"/>
              <w:bottom w:val="nil"/>
              <w:right w:val="nil"/>
            </w:tcBorders>
            <w:shd w:val="clear" w:color="000000" w:fill="FFFFFF"/>
            <w:vAlign w:val="center"/>
            <w:hideMark/>
          </w:tcPr>
          <w:p w14:paraId="4E44D31F" w14:textId="77777777" w:rsidR="000576D2" w:rsidRPr="000576D2" w:rsidRDefault="000576D2" w:rsidP="000576D2">
            <w:pPr>
              <w:spacing w:after="0" w:line="240" w:lineRule="auto"/>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 </w:t>
            </w:r>
          </w:p>
        </w:tc>
        <w:tc>
          <w:tcPr>
            <w:tcW w:w="1375" w:type="dxa"/>
            <w:gridSpan w:val="3"/>
            <w:tcBorders>
              <w:top w:val="nil"/>
              <w:left w:val="nil"/>
              <w:bottom w:val="nil"/>
              <w:right w:val="nil"/>
            </w:tcBorders>
            <w:shd w:val="clear" w:color="auto" w:fill="CCECFF"/>
            <w:vAlign w:val="center"/>
            <w:hideMark/>
          </w:tcPr>
          <w:p w14:paraId="41643A2F" w14:textId="77777777" w:rsidR="000576D2" w:rsidRPr="000576D2" w:rsidRDefault="000576D2" w:rsidP="000576D2">
            <w:pPr>
              <w:spacing w:after="0" w:line="240" w:lineRule="auto"/>
              <w:jc w:val="right"/>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 xml:space="preserve">36 </w:t>
            </w:r>
          </w:p>
        </w:tc>
        <w:tc>
          <w:tcPr>
            <w:tcW w:w="1730" w:type="dxa"/>
            <w:gridSpan w:val="4"/>
            <w:tcBorders>
              <w:top w:val="nil"/>
              <w:left w:val="nil"/>
              <w:bottom w:val="nil"/>
              <w:right w:val="nil"/>
            </w:tcBorders>
            <w:shd w:val="clear" w:color="000000" w:fill="FFFFFF"/>
            <w:vAlign w:val="center"/>
            <w:hideMark/>
          </w:tcPr>
          <w:p w14:paraId="3D18E275" w14:textId="77777777" w:rsidR="000576D2" w:rsidRPr="000576D2" w:rsidRDefault="000576D2" w:rsidP="000576D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 xml:space="preserve">42 </w:t>
            </w:r>
          </w:p>
        </w:tc>
        <w:tc>
          <w:tcPr>
            <w:tcW w:w="1525" w:type="dxa"/>
            <w:gridSpan w:val="4"/>
            <w:tcBorders>
              <w:top w:val="nil"/>
              <w:left w:val="nil"/>
              <w:bottom w:val="nil"/>
              <w:right w:val="nil"/>
            </w:tcBorders>
            <w:shd w:val="clear" w:color="000000" w:fill="FFFFFF"/>
            <w:vAlign w:val="center"/>
            <w:hideMark/>
          </w:tcPr>
          <w:p w14:paraId="7EB483FB" w14:textId="77777777" w:rsidR="000576D2" w:rsidRPr="000576D2" w:rsidRDefault="000576D2" w:rsidP="000576D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 xml:space="preserve">92 </w:t>
            </w:r>
          </w:p>
        </w:tc>
      </w:tr>
      <w:tr w:rsidR="000576D2" w:rsidRPr="000576D2" w14:paraId="2749965B" w14:textId="77777777" w:rsidTr="000607DD">
        <w:trPr>
          <w:trHeight w:val="255"/>
        </w:trPr>
        <w:tc>
          <w:tcPr>
            <w:tcW w:w="4472" w:type="dxa"/>
            <w:gridSpan w:val="3"/>
            <w:tcBorders>
              <w:top w:val="nil"/>
              <w:left w:val="nil"/>
              <w:bottom w:val="nil"/>
              <w:right w:val="nil"/>
            </w:tcBorders>
            <w:shd w:val="clear" w:color="000000" w:fill="FFFFFF"/>
            <w:vAlign w:val="center"/>
            <w:hideMark/>
          </w:tcPr>
          <w:p w14:paraId="7F0D56D0"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Plans redeemed or cancelled</w:t>
            </w:r>
          </w:p>
        </w:tc>
        <w:tc>
          <w:tcPr>
            <w:tcW w:w="843" w:type="dxa"/>
            <w:gridSpan w:val="4"/>
            <w:tcBorders>
              <w:top w:val="nil"/>
              <w:left w:val="nil"/>
              <w:bottom w:val="nil"/>
              <w:right w:val="nil"/>
            </w:tcBorders>
            <w:shd w:val="clear" w:color="000000" w:fill="FFFFFF"/>
            <w:vAlign w:val="center"/>
            <w:hideMark/>
          </w:tcPr>
          <w:p w14:paraId="3DC85E14" w14:textId="77777777" w:rsidR="000576D2" w:rsidRPr="000576D2" w:rsidRDefault="000576D2" w:rsidP="000576D2">
            <w:pPr>
              <w:spacing w:after="0" w:line="240" w:lineRule="auto"/>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 </w:t>
            </w:r>
          </w:p>
        </w:tc>
        <w:tc>
          <w:tcPr>
            <w:tcW w:w="1375" w:type="dxa"/>
            <w:gridSpan w:val="3"/>
            <w:tcBorders>
              <w:top w:val="nil"/>
              <w:left w:val="nil"/>
              <w:bottom w:val="nil"/>
              <w:right w:val="nil"/>
            </w:tcBorders>
            <w:shd w:val="clear" w:color="auto" w:fill="CCECFF"/>
            <w:noWrap/>
            <w:vAlign w:val="center"/>
            <w:hideMark/>
          </w:tcPr>
          <w:p w14:paraId="4ACDEA20" w14:textId="77777777" w:rsidR="000576D2" w:rsidRPr="000576D2" w:rsidRDefault="000576D2" w:rsidP="000576D2">
            <w:pPr>
              <w:spacing w:after="0" w:line="240" w:lineRule="auto"/>
              <w:jc w:val="right"/>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(57)</w:t>
            </w:r>
          </w:p>
        </w:tc>
        <w:tc>
          <w:tcPr>
            <w:tcW w:w="1730" w:type="dxa"/>
            <w:gridSpan w:val="4"/>
            <w:tcBorders>
              <w:top w:val="nil"/>
              <w:left w:val="nil"/>
              <w:bottom w:val="nil"/>
              <w:right w:val="nil"/>
            </w:tcBorders>
            <w:shd w:val="clear" w:color="000000" w:fill="FFFFFF"/>
            <w:noWrap/>
            <w:vAlign w:val="center"/>
            <w:hideMark/>
          </w:tcPr>
          <w:p w14:paraId="589BA4B1" w14:textId="77777777" w:rsidR="000576D2" w:rsidRPr="000576D2" w:rsidRDefault="000576D2" w:rsidP="000576D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(54)</w:t>
            </w:r>
          </w:p>
        </w:tc>
        <w:tc>
          <w:tcPr>
            <w:tcW w:w="1525" w:type="dxa"/>
            <w:gridSpan w:val="4"/>
            <w:tcBorders>
              <w:top w:val="nil"/>
              <w:left w:val="nil"/>
              <w:bottom w:val="nil"/>
              <w:right w:val="nil"/>
            </w:tcBorders>
            <w:shd w:val="clear" w:color="000000" w:fill="FFFFFF"/>
            <w:noWrap/>
            <w:vAlign w:val="center"/>
            <w:hideMark/>
          </w:tcPr>
          <w:p w14:paraId="6609F6AF" w14:textId="77777777" w:rsidR="000576D2" w:rsidRPr="000576D2" w:rsidRDefault="000576D2" w:rsidP="000576D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(105)</w:t>
            </w:r>
          </w:p>
        </w:tc>
      </w:tr>
      <w:tr w:rsidR="000576D2" w:rsidRPr="000576D2" w14:paraId="18A184E3" w14:textId="77777777" w:rsidTr="000607DD">
        <w:trPr>
          <w:trHeight w:val="255"/>
        </w:trPr>
        <w:tc>
          <w:tcPr>
            <w:tcW w:w="5315" w:type="dxa"/>
            <w:gridSpan w:val="7"/>
            <w:tcBorders>
              <w:top w:val="nil"/>
              <w:left w:val="nil"/>
              <w:bottom w:val="single" w:sz="4" w:space="0" w:color="BFBFBF"/>
              <w:right w:val="nil"/>
            </w:tcBorders>
            <w:shd w:val="clear" w:color="000000" w:fill="FFFFFF"/>
            <w:noWrap/>
            <w:vAlign w:val="center"/>
            <w:hideMark/>
          </w:tcPr>
          <w:p w14:paraId="4D19E16C" w14:textId="77777777"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Unrealised fair value movement on funeral plan investments (see Note 3)</w:t>
            </w:r>
          </w:p>
        </w:tc>
        <w:tc>
          <w:tcPr>
            <w:tcW w:w="1375" w:type="dxa"/>
            <w:gridSpan w:val="3"/>
            <w:tcBorders>
              <w:top w:val="nil"/>
              <w:left w:val="nil"/>
              <w:bottom w:val="single" w:sz="4" w:space="0" w:color="BFBFBF"/>
              <w:right w:val="nil"/>
            </w:tcBorders>
            <w:shd w:val="clear" w:color="auto" w:fill="CCECFF"/>
            <w:vAlign w:val="center"/>
            <w:hideMark/>
          </w:tcPr>
          <w:p w14:paraId="74E9C732" w14:textId="77777777" w:rsidR="000576D2" w:rsidRPr="000576D2" w:rsidRDefault="000576D2" w:rsidP="000576D2">
            <w:pPr>
              <w:spacing w:after="0" w:line="240" w:lineRule="auto"/>
              <w:jc w:val="right"/>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 xml:space="preserve">48 </w:t>
            </w:r>
          </w:p>
        </w:tc>
        <w:tc>
          <w:tcPr>
            <w:tcW w:w="1730" w:type="dxa"/>
            <w:gridSpan w:val="4"/>
            <w:tcBorders>
              <w:top w:val="nil"/>
              <w:left w:val="nil"/>
              <w:bottom w:val="single" w:sz="4" w:space="0" w:color="BFBFBF"/>
              <w:right w:val="nil"/>
            </w:tcBorders>
            <w:shd w:val="clear" w:color="000000" w:fill="FFFFFF"/>
            <w:vAlign w:val="center"/>
            <w:hideMark/>
          </w:tcPr>
          <w:p w14:paraId="478BB6A2" w14:textId="77777777" w:rsidR="000576D2" w:rsidRPr="000576D2" w:rsidRDefault="000576D2" w:rsidP="000576D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 xml:space="preserve">25 </w:t>
            </w:r>
          </w:p>
        </w:tc>
        <w:tc>
          <w:tcPr>
            <w:tcW w:w="1525" w:type="dxa"/>
            <w:gridSpan w:val="4"/>
            <w:tcBorders>
              <w:top w:val="nil"/>
              <w:left w:val="nil"/>
              <w:bottom w:val="single" w:sz="4" w:space="0" w:color="BFBFBF"/>
              <w:right w:val="nil"/>
            </w:tcBorders>
            <w:shd w:val="clear" w:color="000000" w:fill="FFFFFF"/>
            <w:vAlign w:val="center"/>
            <w:hideMark/>
          </w:tcPr>
          <w:p w14:paraId="55EA4D3A" w14:textId="77777777" w:rsidR="000576D2" w:rsidRPr="000576D2" w:rsidRDefault="000576D2" w:rsidP="000576D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 xml:space="preserve">54 </w:t>
            </w:r>
          </w:p>
        </w:tc>
      </w:tr>
      <w:tr w:rsidR="00FF66DD" w:rsidRPr="000576D2" w14:paraId="4F7CFEB9" w14:textId="77777777" w:rsidTr="000607DD">
        <w:trPr>
          <w:trHeight w:val="255"/>
        </w:trPr>
        <w:tc>
          <w:tcPr>
            <w:tcW w:w="2304" w:type="dxa"/>
            <w:tcBorders>
              <w:top w:val="nil"/>
              <w:left w:val="nil"/>
              <w:bottom w:val="single" w:sz="4" w:space="0" w:color="BFBFBF"/>
              <w:right w:val="nil"/>
            </w:tcBorders>
            <w:shd w:val="clear" w:color="000000" w:fill="FFFFFF"/>
            <w:noWrap/>
            <w:vAlign w:val="center"/>
            <w:hideMark/>
          </w:tcPr>
          <w:p w14:paraId="0773B1A4" w14:textId="77777777" w:rsidR="000576D2" w:rsidRPr="000576D2" w:rsidRDefault="000576D2" w:rsidP="000576D2">
            <w:pPr>
              <w:spacing w:after="0" w:line="240" w:lineRule="auto"/>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 xml:space="preserve">At end of period </w:t>
            </w:r>
          </w:p>
        </w:tc>
        <w:tc>
          <w:tcPr>
            <w:tcW w:w="2168" w:type="dxa"/>
            <w:gridSpan w:val="2"/>
            <w:tcBorders>
              <w:top w:val="nil"/>
              <w:left w:val="nil"/>
              <w:bottom w:val="single" w:sz="4" w:space="0" w:color="BFBFBF"/>
              <w:right w:val="nil"/>
            </w:tcBorders>
            <w:shd w:val="clear" w:color="000000" w:fill="FFFFFF"/>
            <w:noWrap/>
            <w:vAlign w:val="bottom"/>
            <w:hideMark/>
          </w:tcPr>
          <w:p w14:paraId="7C728464" w14:textId="77777777" w:rsidR="000576D2" w:rsidRPr="000576D2" w:rsidRDefault="000576D2" w:rsidP="000576D2">
            <w:pPr>
              <w:spacing w:after="0" w:line="240" w:lineRule="auto"/>
              <w:rPr>
                <w:rFonts w:ascii="Arial" w:eastAsia="Times New Roman" w:hAnsi="Arial" w:cs="Arial"/>
                <w:b/>
                <w:bCs/>
                <w:sz w:val="20"/>
                <w:szCs w:val="20"/>
                <w:lang w:eastAsia="en-GB"/>
              </w:rPr>
            </w:pPr>
            <w:r w:rsidRPr="000576D2">
              <w:rPr>
                <w:rFonts w:ascii="Arial" w:eastAsia="Times New Roman" w:hAnsi="Arial" w:cs="Arial"/>
                <w:b/>
                <w:bCs/>
                <w:sz w:val="20"/>
                <w:szCs w:val="20"/>
                <w:lang w:eastAsia="en-GB"/>
              </w:rPr>
              <w:t> </w:t>
            </w:r>
          </w:p>
        </w:tc>
        <w:tc>
          <w:tcPr>
            <w:tcW w:w="843" w:type="dxa"/>
            <w:gridSpan w:val="4"/>
            <w:tcBorders>
              <w:top w:val="nil"/>
              <w:left w:val="nil"/>
              <w:bottom w:val="single" w:sz="4" w:space="0" w:color="BFBFBF"/>
              <w:right w:val="nil"/>
            </w:tcBorders>
            <w:shd w:val="clear" w:color="000000" w:fill="FFFFFF"/>
            <w:noWrap/>
            <w:vAlign w:val="bottom"/>
            <w:hideMark/>
          </w:tcPr>
          <w:p w14:paraId="504DE9C9" w14:textId="77777777" w:rsidR="000576D2" w:rsidRPr="000576D2" w:rsidRDefault="000576D2" w:rsidP="000576D2">
            <w:pPr>
              <w:spacing w:after="0" w:line="240" w:lineRule="auto"/>
              <w:rPr>
                <w:rFonts w:ascii="Arial" w:eastAsia="Times New Roman" w:hAnsi="Arial" w:cs="Arial"/>
                <w:b/>
                <w:bCs/>
                <w:sz w:val="20"/>
                <w:szCs w:val="20"/>
                <w:lang w:eastAsia="en-GB"/>
              </w:rPr>
            </w:pPr>
            <w:r w:rsidRPr="000576D2">
              <w:rPr>
                <w:rFonts w:ascii="Arial" w:eastAsia="Times New Roman" w:hAnsi="Arial" w:cs="Arial"/>
                <w:b/>
                <w:bCs/>
                <w:sz w:val="20"/>
                <w:szCs w:val="20"/>
                <w:lang w:eastAsia="en-GB"/>
              </w:rPr>
              <w:t> </w:t>
            </w:r>
          </w:p>
        </w:tc>
        <w:tc>
          <w:tcPr>
            <w:tcW w:w="1375" w:type="dxa"/>
            <w:gridSpan w:val="3"/>
            <w:tcBorders>
              <w:top w:val="single" w:sz="4" w:space="0" w:color="BFBFBF"/>
              <w:left w:val="nil"/>
              <w:bottom w:val="single" w:sz="4" w:space="0" w:color="BFBFBF"/>
              <w:right w:val="nil"/>
            </w:tcBorders>
            <w:shd w:val="clear" w:color="auto" w:fill="CCECFF"/>
            <w:vAlign w:val="center"/>
            <w:hideMark/>
          </w:tcPr>
          <w:p w14:paraId="580EAECB" w14:textId="77777777" w:rsidR="000576D2" w:rsidRPr="000576D2" w:rsidRDefault="000576D2" w:rsidP="000576D2">
            <w:pPr>
              <w:spacing w:after="0" w:line="240" w:lineRule="auto"/>
              <w:jc w:val="right"/>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 xml:space="preserve">1,399 </w:t>
            </w:r>
          </w:p>
        </w:tc>
        <w:tc>
          <w:tcPr>
            <w:tcW w:w="1730" w:type="dxa"/>
            <w:gridSpan w:val="4"/>
            <w:tcBorders>
              <w:top w:val="nil"/>
              <w:left w:val="nil"/>
              <w:bottom w:val="single" w:sz="4" w:space="0" w:color="BFBFBF"/>
              <w:right w:val="nil"/>
            </w:tcBorders>
            <w:shd w:val="clear" w:color="000000" w:fill="FFFFFF"/>
            <w:vAlign w:val="center"/>
            <w:hideMark/>
          </w:tcPr>
          <w:p w14:paraId="4654755E" w14:textId="77777777" w:rsidR="000576D2" w:rsidRPr="000576D2" w:rsidRDefault="000576D2" w:rsidP="000576D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 xml:space="preserve">1,344 </w:t>
            </w:r>
          </w:p>
        </w:tc>
        <w:tc>
          <w:tcPr>
            <w:tcW w:w="1525" w:type="dxa"/>
            <w:gridSpan w:val="4"/>
            <w:tcBorders>
              <w:top w:val="nil"/>
              <w:left w:val="nil"/>
              <w:bottom w:val="single" w:sz="4" w:space="0" w:color="BFBFBF"/>
              <w:right w:val="nil"/>
            </w:tcBorders>
            <w:shd w:val="clear" w:color="000000" w:fill="FFFFFF"/>
            <w:vAlign w:val="center"/>
            <w:hideMark/>
          </w:tcPr>
          <w:p w14:paraId="312765E6" w14:textId="77777777" w:rsidR="000576D2" w:rsidRPr="000576D2" w:rsidRDefault="000576D2" w:rsidP="000576D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 xml:space="preserve">1,372 </w:t>
            </w:r>
          </w:p>
        </w:tc>
      </w:tr>
      <w:tr w:rsidR="000576D2" w:rsidRPr="000576D2" w14:paraId="3E58DBB4" w14:textId="77777777" w:rsidTr="000607DD">
        <w:trPr>
          <w:gridAfter w:val="1"/>
          <w:wAfter w:w="27" w:type="dxa"/>
          <w:trHeight w:val="222"/>
        </w:trPr>
        <w:tc>
          <w:tcPr>
            <w:tcW w:w="2304" w:type="dxa"/>
            <w:tcBorders>
              <w:top w:val="nil"/>
              <w:left w:val="nil"/>
              <w:bottom w:val="nil"/>
              <w:right w:val="nil"/>
            </w:tcBorders>
            <w:shd w:val="clear" w:color="000000" w:fill="FFFFFF"/>
            <w:noWrap/>
            <w:vAlign w:val="bottom"/>
            <w:hideMark/>
          </w:tcPr>
          <w:p w14:paraId="0944D4B4" w14:textId="77777777" w:rsidR="000576D2" w:rsidRPr="000576D2" w:rsidRDefault="000576D2" w:rsidP="000576D2">
            <w:pPr>
              <w:spacing w:after="0" w:line="240" w:lineRule="auto"/>
              <w:rPr>
                <w:rFonts w:ascii="Arial" w:eastAsia="Times New Roman" w:hAnsi="Arial" w:cs="Arial"/>
                <w:b/>
                <w:bCs/>
                <w:sz w:val="20"/>
                <w:szCs w:val="20"/>
                <w:lang w:eastAsia="en-GB"/>
              </w:rPr>
            </w:pPr>
            <w:r w:rsidRPr="000576D2">
              <w:rPr>
                <w:rFonts w:ascii="Arial" w:eastAsia="Times New Roman" w:hAnsi="Arial" w:cs="Arial"/>
                <w:b/>
                <w:bCs/>
                <w:sz w:val="20"/>
                <w:szCs w:val="20"/>
                <w:lang w:eastAsia="en-GB"/>
              </w:rPr>
              <w:t> </w:t>
            </w:r>
          </w:p>
        </w:tc>
        <w:tc>
          <w:tcPr>
            <w:tcW w:w="2168" w:type="dxa"/>
            <w:gridSpan w:val="2"/>
            <w:tcBorders>
              <w:top w:val="nil"/>
              <w:left w:val="nil"/>
              <w:bottom w:val="nil"/>
              <w:right w:val="nil"/>
            </w:tcBorders>
            <w:shd w:val="clear" w:color="000000" w:fill="FFFFFF"/>
            <w:noWrap/>
            <w:vAlign w:val="bottom"/>
            <w:hideMark/>
          </w:tcPr>
          <w:p w14:paraId="30A0BA89" w14:textId="77777777" w:rsidR="000576D2" w:rsidRPr="000576D2" w:rsidRDefault="000576D2" w:rsidP="000576D2">
            <w:pPr>
              <w:spacing w:after="0" w:line="240" w:lineRule="auto"/>
              <w:rPr>
                <w:rFonts w:ascii="Arial" w:eastAsia="Times New Roman" w:hAnsi="Arial" w:cs="Arial"/>
                <w:b/>
                <w:bCs/>
                <w:sz w:val="20"/>
                <w:szCs w:val="20"/>
                <w:lang w:eastAsia="en-GB"/>
              </w:rPr>
            </w:pPr>
            <w:r w:rsidRPr="000576D2">
              <w:rPr>
                <w:rFonts w:ascii="Arial" w:eastAsia="Times New Roman" w:hAnsi="Arial" w:cs="Arial"/>
                <w:b/>
                <w:bCs/>
                <w:sz w:val="20"/>
                <w:szCs w:val="20"/>
                <w:lang w:eastAsia="en-GB"/>
              </w:rPr>
              <w:t> </w:t>
            </w:r>
          </w:p>
        </w:tc>
        <w:tc>
          <w:tcPr>
            <w:tcW w:w="843" w:type="dxa"/>
            <w:gridSpan w:val="4"/>
            <w:tcBorders>
              <w:top w:val="nil"/>
              <w:left w:val="nil"/>
              <w:bottom w:val="nil"/>
              <w:right w:val="nil"/>
            </w:tcBorders>
            <w:shd w:val="clear" w:color="000000" w:fill="FFFFFF"/>
            <w:noWrap/>
            <w:vAlign w:val="bottom"/>
            <w:hideMark/>
          </w:tcPr>
          <w:p w14:paraId="2120D5A4" w14:textId="77777777" w:rsidR="000576D2" w:rsidRPr="000576D2" w:rsidRDefault="000576D2" w:rsidP="000576D2">
            <w:pPr>
              <w:spacing w:after="0" w:line="240" w:lineRule="auto"/>
              <w:rPr>
                <w:rFonts w:ascii="Arial" w:eastAsia="Times New Roman" w:hAnsi="Arial" w:cs="Arial"/>
                <w:b/>
                <w:bCs/>
                <w:sz w:val="20"/>
                <w:szCs w:val="20"/>
                <w:lang w:eastAsia="en-GB"/>
              </w:rPr>
            </w:pPr>
            <w:r w:rsidRPr="000576D2">
              <w:rPr>
                <w:rFonts w:ascii="Arial" w:eastAsia="Times New Roman" w:hAnsi="Arial" w:cs="Arial"/>
                <w:b/>
                <w:bCs/>
                <w:sz w:val="20"/>
                <w:szCs w:val="20"/>
                <w:lang w:eastAsia="en-GB"/>
              </w:rPr>
              <w:t> </w:t>
            </w:r>
          </w:p>
        </w:tc>
        <w:tc>
          <w:tcPr>
            <w:tcW w:w="484" w:type="dxa"/>
            <w:tcBorders>
              <w:top w:val="nil"/>
              <w:left w:val="nil"/>
              <w:bottom w:val="nil"/>
              <w:right w:val="nil"/>
            </w:tcBorders>
            <w:shd w:val="clear" w:color="000000" w:fill="FFFFFF"/>
            <w:noWrap/>
            <w:vAlign w:val="bottom"/>
            <w:hideMark/>
          </w:tcPr>
          <w:p w14:paraId="03B0AD14" w14:textId="77777777" w:rsidR="000576D2" w:rsidRPr="000576D2" w:rsidRDefault="000576D2" w:rsidP="000576D2">
            <w:pPr>
              <w:spacing w:after="0" w:line="240" w:lineRule="auto"/>
              <w:jc w:val="right"/>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 </w:t>
            </w:r>
          </w:p>
        </w:tc>
        <w:tc>
          <w:tcPr>
            <w:tcW w:w="891" w:type="dxa"/>
            <w:gridSpan w:val="2"/>
            <w:tcBorders>
              <w:top w:val="nil"/>
              <w:left w:val="nil"/>
              <w:bottom w:val="nil"/>
              <w:right w:val="nil"/>
            </w:tcBorders>
            <w:shd w:val="clear" w:color="000000" w:fill="FFFFFF"/>
            <w:noWrap/>
            <w:vAlign w:val="bottom"/>
            <w:hideMark/>
          </w:tcPr>
          <w:p w14:paraId="2BEC8A18" w14:textId="77777777" w:rsidR="000576D2" w:rsidRPr="000576D2" w:rsidRDefault="000576D2" w:rsidP="000576D2">
            <w:pPr>
              <w:spacing w:after="0" w:line="240" w:lineRule="auto"/>
              <w:jc w:val="right"/>
              <w:rPr>
                <w:rFonts w:ascii="Arial" w:eastAsia="Times New Roman" w:hAnsi="Arial" w:cs="Arial"/>
                <w:b/>
                <w:bCs/>
                <w:sz w:val="15"/>
                <w:szCs w:val="15"/>
                <w:lang w:eastAsia="en-GB"/>
              </w:rPr>
            </w:pPr>
            <w:r w:rsidRPr="000576D2">
              <w:rPr>
                <w:rFonts w:ascii="Arial" w:eastAsia="Times New Roman" w:hAnsi="Arial" w:cs="Arial"/>
                <w:b/>
                <w:bCs/>
                <w:sz w:val="15"/>
                <w:szCs w:val="15"/>
                <w:lang w:eastAsia="en-GB"/>
              </w:rPr>
              <w:t> </w:t>
            </w:r>
          </w:p>
        </w:tc>
        <w:tc>
          <w:tcPr>
            <w:tcW w:w="464" w:type="dxa"/>
            <w:gridSpan w:val="2"/>
            <w:tcBorders>
              <w:top w:val="nil"/>
              <w:left w:val="nil"/>
              <w:bottom w:val="nil"/>
              <w:right w:val="nil"/>
            </w:tcBorders>
            <w:shd w:val="clear" w:color="000000" w:fill="FFFFFF"/>
            <w:noWrap/>
            <w:vAlign w:val="bottom"/>
            <w:hideMark/>
          </w:tcPr>
          <w:p w14:paraId="2C7A8C8B" w14:textId="77777777" w:rsidR="000576D2" w:rsidRPr="000576D2" w:rsidRDefault="000576D2" w:rsidP="000576D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1266" w:type="dxa"/>
            <w:gridSpan w:val="2"/>
            <w:tcBorders>
              <w:top w:val="nil"/>
              <w:left w:val="nil"/>
              <w:bottom w:val="nil"/>
              <w:right w:val="nil"/>
            </w:tcBorders>
            <w:shd w:val="clear" w:color="000000" w:fill="FFFFFF"/>
            <w:noWrap/>
            <w:vAlign w:val="bottom"/>
            <w:hideMark/>
          </w:tcPr>
          <w:p w14:paraId="746E7175" w14:textId="77777777" w:rsidR="000576D2" w:rsidRPr="000576D2" w:rsidRDefault="000576D2" w:rsidP="000576D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258" w:type="dxa"/>
            <w:tcBorders>
              <w:top w:val="nil"/>
              <w:left w:val="nil"/>
              <w:bottom w:val="nil"/>
              <w:right w:val="nil"/>
            </w:tcBorders>
            <w:shd w:val="clear" w:color="000000" w:fill="FFFFFF"/>
            <w:noWrap/>
            <w:vAlign w:val="bottom"/>
            <w:hideMark/>
          </w:tcPr>
          <w:p w14:paraId="4C0381DA" w14:textId="77777777" w:rsidR="000576D2" w:rsidRPr="000576D2" w:rsidRDefault="000576D2" w:rsidP="000576D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c>
          <w:tcPr>
            <w:tcW w:w="1240" w:type="dxa"/>
            <w:gridSpan w:val="2"/>
            <w:tcBorders>
              <w:top w:val="nil"/>
              <w:left w:val="nil"/>
              <w:bottom w:val="nil"/>
              <w:right w:val="nil"/>
            </w:tcBorders>
            <w:shd w:val="clear" w:color="000000" w:fill="FFFFFF"/>
            <w:noWrap/>
            <w:vAlign w:val="bottom"/>
            <w:hideMark/>
          </w:tcPr>
          <w:p w14:paraId="3D9954D9" w14:textId="77777777" w:rsidR="000576D2" w:rsidRPr="000576D2" w:rsidRDefault="000576D2" w:rsidP="000576D2">
            <w:pPr>
              <w:spacing w:after="0" w:line="240" w:lineRule="auto"/>
              <w:jc w:val="right"/>
              <w:rPr>
                <w:rFonts w:ascii="Arial" w:eastAsia="Times New Roman" w:hAnsi="Arial" w:cs="Arial"/>
                <w:sz w:val="15"/>
                <w:szCs w:val="15"/>
                <w:lang w:eastAsia="en-GB"/>
              </w:rPr>
            </w:pPr>
            <w:r w:rsidRPr="000576D2">
              <w:rPr>
                <w:rFonts w:ascii="Arial" w:eastAsia="Times New Roman" w:hAnsi="Arial" w:cs="Arial"/>
                <w:sz w:val="15"/>
                <w:szCs w:val="15"/>
                <w:lang w:eastAsia="en-GB"/>
              </w:rPr>
              <w:t> </w:t>
            </w:r>
          </w:p>
        </w:tc>
      </w:tr>
      <w:tr w:rsidR="000576D2" w:rsidRPr="000576D2" w14:paraId="53B70A17" w14:textId="77777777" w:rsidTr="000607DD">
        <w:trPr>
          <w:trHeight w:val="1172"/>
        </w:trPr>
        <w:tc>
          <w:tcPr>
            <w:tcW w:w="9945" w:type="dxa"/>
            <w:gridSpan w:val="18"/>
            <w:tcBorders>
              <w:top w:val="nil"/>
              <w:left w:val="nil"/>
              <w:bottom w:val="nil"/>
              <w:right w:val="nil"/>
            </w:tcBorders>
            <w:shd w:val="clear" w:color="000000" w:fill="FFFFFF"/>
            <w:vAlign w:val="center"/>
            <w:hideMark/>
          </w:tcPr>
          <w:p w14:paraId="71F15E2E" w14:textId="4912C6B9" w:rsidR="000576D2" w:rsidRPr="000576D2" w:rsidRDefault="000576D2" w:rsidP="000576D2">
            <w:pPr>
              <w:spacing w:after="0" w:line="240" w:lineRule="auto"/>
              <w:rPr>
                <w:rFonts w:ascii="Arial" w:eastAsia="Times New Roman" w:hAnsi="Arial" w:cs="Arial"/>
                <w:sz w:val="15"/>
                <w:szCs w:val="15"/>
                <w:lang w:eastAsia="en-GB"/>
              </w:rPr>
            </w:pPr>
            <w:r w:rsidRPr="000576D2">
              <w:rPr>
                <w:rFonts w:ascii="Arial" w:eastAsia="Times New Roman" w:hAnsi="Arial" w:cs="Arial"/>
                <w:sz w:val="15"/>
                <w:szCs w:val="15"/>
                <w:lang w:eastAsia="en-GB"/>
              </w:rPr>
              <w:t xml:space="preserve">The Group holds investments on the balance sheet in respect of funeral plan policies which are invested in either individual whole of life policies </w:t>
            </w:r>
            <w:proofErr w:type="gramStart"/>
            <w:r w:rsidRPr="000576D2">
              <w:rPr>
                <w:rFonts w:ascii="Arial" w:eastAsia="Times New Roman" w:hAnsi="Arial" w:cs="Arial"/>
                <w:sz w:val="15"/>
                <w:szCs w:val="15"/>
                <w:lang w:eastAsia="en-GB"/>
              </w:rPr>
              <w:t>and</w:t>
            </w:r>
            <w:proofErr w:type="gramEnd"/>
            <w:r w:rsidRPr="000576D2">
              <w:rPr>
                <w:rFonts w:ascii="Arial" w:eastAsia="Times New Roman" w:hAnsi="Arial" w:cs="Arial"/>
                <w:sz w:val="15"/>
                <w:szCs w:val="15"/>
                <w:lang w:eastAsia="en-GB"/>
              </w:rPr>
              <w:t>, to a much smaller extent, independent trusts (&lt;5% of total). The investments are subject to an annual actuarial valuation. This gives an assessment as to the headroom of the funeral plan investments over an estimated present value (on a wholesale basis) of delivering the funerals on a portfolio basis.</w:t>
            </w:r>
            <w:r w:rsidR="009B1228">
              <w:rPr>
                <w:rFonts w:ascii="Arial" w:eastAsia="Times New Roman" w:hAnsi="Arial" w:cs="Arial"/>
                <w:sz w:val="15"/>
                <w:szCs w:val="15"/>
                <w:lang w:eastAsia="en-GB"/>
              </w:rPr>
              <w:t xml:space="preserve"> </w:t>
            </w:r>
            <w:r w:rsidRPr="000576D2">
              <w:rPr>
                <w:rFonts w:ascii="Arial" w:eastAsia="Times New Roman" w:hAnsi="Arial" w:cs="Arial"/>
                <w:sz w:val="15"/>
                <w:szCs w:val="15"/>
                <w:lang w:eastAsia="en-GB"/>
              </w:rPr>
              <w:t xml:space="preserve">The most recent valuation was performed as </w:t>
            </w:r>
            <w:proofErr w:type="gramStart"/>
            <w:r w:rsidRPr="000576D2">
              <w:rPr>
                <w:rFonts w:ascii="Arial" w:eastAsia="Times New Roman" w:hAnsi="Arial" w:cs="Arial"/>
                <w:sz w:val="15"/>
                <w:szCs w:val="15"/>
                <w:lang w:eastAsia="en-GB"/>
              </w:rPr>
              <w:t>at</w:t>
            </w:r>
            <w:proofErr w:type="gramEnd"/>
            <w:r w:rsidRPr="000576D2">
              <w:rPr>
                <w:rFonts w:ascii="Arial" w:eastAsia="Times New Roman" w:hAnsi="Arial" w:cs="Arial"/>
                <w:sz w:val="15"/>
                <w:szCs w:val="15"/>
                <w:lang w:eastAsia="en-GB"/>
              </w:rPr>
              <w:t xml:space="preserve"> 30 September 2021 and reported headroom on a wholesale basis (pre-tax) of £295m (2019: £129m).</w:t>
            </w:r>
          </w:p>
        </w:tc>
      </w:tr>
      <w:tr w:rsidR="0040332C" w:rsidRPr="00460921" w14:paraId="41076307" w14:textId="77777777" w:rsidTr="000607DD">
        <w:trPr>
          <w:gridAfter w:val="1"/>
          <w:wAfter w:w="27" w:type="dxa"/>
          <w:trHeight w:val="376"/>
        </w:trPr>
        <w:tc>
          <w:tcPr>
            <w:tcW w:w="4780" w:type="dxa"/>
            <w:gridSpan w:val="5"/>
            <w:tcBorders>
              <w:top w:val="single" w:sz="4" w:space="0" w:color="BFBFBF"/>
              <w:left w:val="single" w:sz="4" w:space="0" w:color="BFBFBF"/>
              <w:bottom w:val="nil"/>
              <w:right w:val="nil"/>
            </w:tcBorders>
            <w:shd w:val="clear" w:color="auto" w:fill="auto"/>
            <w:noWrap/>
            <w:vAlign w:val="bottom"/>
            <w:hideMark/>
          </w:tcPr>
          <w:p w14:paraId="5E8EE106" w14:textId="77777777" w:rsidR="0040332C" w:rsidRPr="00460921" w:rsidRDefault="0040332C" w:rsidP="0040332C">
            <w:pPr>
              <w:spacing w:after="0" w:line="240" w:lineRule="auto"/>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Funeral Plan Investments Actuarial Valuation (pre-tax)</w:t>
            </w:r>
          </w:p>
        </w:tc>
        <w:tc>
          <w:tcPr>
            <w:tcW w:w="520" w:type="dxa"/>
            <w:tcBorders>
              <w:top w:val="single" w:sz="4" w:space="0" w:color="BFBFBF"/>
              <w:left w:val="nil"/>
              <w:bottom w:val="nil"/>
              <w:right w:val="nil"/>
            </w:tcBorders>
            <w:shd w:val="clear" w:color="auto" w:fill="auto"/>
            <w:noWrap/>
            <w:vAlign w:val="bottom"/>
            <w:hideMark/>
          </w:tcPr>
          <w:p w14:paraId="2A5B81BE" w14:textId="77777777" w:rsidR="0040332C" w:rsidRPr="00460921" w:rsidRDefault="0040332C" w:rsidP="0040332C">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w:t>
            </w:r>
          </w:p>
        </w:tc>
        <w:tc>
          <w:tcPr>
            <w:tcW w:w="1216" w:type="dxa"/>
            <w:gridSpan w:val="3"/>
            <w:tcBorders>
              <w:top w:val="single" w:sz="4" w:space="0" w:color="BFBFBF"/>
              <w:left w:val="nil"/>
              <w:bottom w:val="nil"/>
              <w:right w:val="nil"/>
            </w:tcBorders>
            <w:shd w:val="clear" w:color="auto" w:fill="auto"/>
            <w:noWrap/>
            <w:vAlign w:val="bottom"/>
            <w:hideMark/>
          </w:tcPr>
          <w:p w14:paraId="138D1258" w14:textId="77777777" w:rsidR="0040332C" w:rsidRPr="00460921" w:rsidRDefault="0040332C" w:rsidP="0040332C">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w:t>
            </w:r>
          </w:p>
        </w:tc>
        <w:tc>
          <w:tcPr>
            <w:tcW w:w="1843" w:type="dxa"/>
            <w:gridSpan w:val="4"/>
            <w:tcBorders>
              <w:top w:val="single" w:sz="4" w:space="0" w:color="BFBFBF"/>
              <w:left w:val="nil"/>
              <w:bottom w:val="nil"/>
              <w:right w:val="nil"/>
            </w:tcBorders>
            <w:shd w:val="clear" w:color="auto" w:fill="auto"/>
            <w:vAlign w:val="bottom"/>
            <w:hideMark/>
          </w:tcPr>
          <w:p w14:paraId="2BAB98B2" w14:textId="77777777" w:rsidR="0040332C" w:rsidRDefault="0040332C" w:rsidP="0040332C">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xml:space="preserve">30 September </w:t>
            </w:r>
          </w:p>
          <w:p w14:paraId="260575EA" w14:textId="710DAA92" w:rsidR="0040332C" w:rsidRPr="00460921" w:rsidRDefault="0040332C" w:rsidP="0040332C">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2021</w:t>
            </w:r>
            <w:r>
              <w:rPr>
                <w:rFonts w:ascii="Arial" w:eastAsia="Times New Roman" w:hAnsi="Arial" w:cs="Arial"/>
                <w:b/>
                <w:bCs/>
                <w:sz w:val="15"/>
                <w:szCs w:val="15"/>
                <w:lang w:eastAsia="en-GB"/>
              </w:rPr>
              <w:t xml:space="preserve"> </w:t>
            </w:r>
          </w:p>
        </w:tc>
        <w:tc>
          <w:tcPr>
            <w:tcW w:w="1559" w:type="dxa"/>
            <w:gridSpan w:val="4"/>
            <w:tcBorders>
              <w:top w:val="single" w:sz="4" w:space="0" w:color="BFBFBF"/>
              <w:left w:val="nil"/>
              <w:bottom w:val="nil"/>
              <w:right w:val="single" w:sz="4" w:space="0" w:color="BFBFBF"/>
            </w:tcBorders>
            <w:shd w:val="clear" w:color="auto" w:fill="auto"/>
            <w:vAlign w:val="bottom"/>
            <w:hideMark/>
          </w:tcPr>
          <w:p w14:paraId="222D0F65" w14:textId="77777777" w:rsidR="0040332C" w:rsidRDefault="0040332C" w:rsidP="0040332C">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xml:space="preserve">30 September </w:t>
            </w:r>
          </w:p>
          <w:p w14:paraId="3A895179" w14:textId="35B451A3" w:rsidR="0040332C" w:rsidRPr="00460921" w:rsidRDefault="0040332C" w:rsidP="0040332C">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2020</w:t>
            </w:r>
            <w:r>
              <w:rPr>
                <w:rFonts w:ascii="Arial" w:eastAsia="Times New Roman" w:hAnsi="Arial" w:cs="Arial"/>
                <w:sz w:val="15"/>
                <w:szCs w:val="15"/>
                <w:lang w:eastAsia="en-GB"/>
              </w:rPr>
              <w:t xml:space="preserve"> </w:t>
            </w:r>
          </w:p>
        </w:tc>
      </w:tr>
      <w:tr w:rsidR="00460921" w:rsidRPr="00460921" w14:paraId="53DAE4C7" w14:textId="77777777" w:rsidTr="000607DD">
        <w:trPr>
          <w:gridAfter w:val="1"/>
          <w:wAfter w:w="27" w:type="dxa"/>
          <w:trHeight w:val="300"/>
        </w:trPr>
        <w:tc>
          <w:tcPr>
            <w:tcW w:w="4236" w:type="dxa"/>
            <w:gridSpan w:val="2"/>
            <w:tcBorders>
              <w:top w:val="nil"/>
              <w:left w:val="single" w:sz="4" w:space="0" w:color="BFBFBF"/>
              <w:bottom w:val="single" w:sz="4" w:space="0" w:color="BFBFBF"/>
              <w:right w:val="nil"/>
            </w:tcBorders>
            <w:shd w:val="clear" w:color="auto" w:fill="auto"/>
            <w:noWrap/>
            <w:vAlign w:val="bottom"/>
            <w:hideMark/>
          </w:tcPr>
          <w:p w14:paraId="536ED5BD" w14:textId="77777777" w:rsidR="00460921" w:rsidRPr="00460921" w:rsidRDefault="00460921" w:rsidP="00460921">
            <w:pPr>
              <w:spacing w:after="0" w:line="240" w:lineRule="auto"/>
              <w:rPr>
                <w:rFonts w:ascii="Arial" w:eastAsia="Times New Roman" w:hAnsi="Arial" w:cs="Arial"/>
                <w:b/>
                <w:bCs/>
                <w:sz w:val="20"/>
                <w:szCs w:val="20"/>
                <w:lang w:eastAsia="en-GB"/>
              </w:rPr>
            </w:pPr>
            <w:r w:rsidRPr="00460921">
              <w:rPr>
                <w:rFonts w:ascii="Arial" w:eastAsia="Times New Roman" w:hAnsi="Arial" w:cs="Arial"/>
                <w:b/>
                <w:bCs/>
                <w:sz w:val="20"/>
                <w:szCs w:val="20"/>
                <w:lang w:eastAsia="en-GB"/>
              </w:rPr>
              <w:t> </w:t>
            </w:r>
          </w:p>
        </w:tc>
        <w:tc>
          <w:tcPr>
            <w:tcW w:w="272" w:type="dxa"/>
            <w:gridSpan w:val="2"/>
            <w:tcBorders>
              <w:top w:val="nil"/>
              <w:left w:val="nil"/>
              <w:bottom w:val="single" w:sz="4" w:space="0" w:color="BFBFBF"/>
              <w:right w:val="nil"/>
            </w:tcBorders>
            <w:shd w:val="clear" w:color="auto" w:fill="auto"/>
            <w:noWrap/>
            <w:vAlign w:val="bottom"/>
            <w:hideMark/>
          </w:tcPr>
          <w:p w14:paraId="5E0A9777" w14:textId="77777777" w:rsidR="00460921" w:rsidRPr="00460921" w:rsidRDefault="00460921" w:rsidP="00460921">
            <w:pPr>
              <w:spacing w:after="0" w:line="240" w:lineRule="auto"/>
              <w:rPr>
                <w:rFonts w:ascii="Arial" w:eastAsia="Times New Roman" w:hAnsi="Arial" w:cs="Arial"/>
                <w:b/>
                <w:bCs/>
                <w:sz w:val="20"/>
                <w:szCs w:val="20"/>
                <w:lang w:eastAsia="en-GB"/>
              </w:rPr>
            </w:pPr>
            <w:r w:rsidRPr="00460921">
              <w:rPr>
                <w:rFonts w:ascii="Arial" w:eastAsia="Times New Roman" w:hAnsi="Arial" w:cs="Arial"/>
                <w:b/>
                <w:bCs/>
                <w:sz w:val="20"/>
                <w:szCs w:val="20"/>
                <w:lang w:eastAsia="en-GB"/>
              </w:rPr>
              <w:t> </w:t>
            </w:r>
          </w:p>
        </w:tc>
        <w:tc>
          <w:tcPr>
            <w:tcW w:w="272" w:type="dxa"/>
            <w:tcBorders>
              <w:top w:val="nil"/>
              <w:left w:val="nil"/>
              <w:bottom w:val="single" w:sz="4" w:space="0" w:color="BFBFBF"/>
              <w:right w:val="nil"/>
            </w:tcBorders>
            <w:shd w:val="clear" w:color="auto" w:fill="auto"/>
            <w:noWrap/>
            <w:vAlign w:val="bottom"/>
            <w:hideMark/>
          </w:tcPr>
          <w:p w14:paraId="576187F8" w14:textId="77777777" w:rsidR="00460921" w:rsidRPr="00460921" w:rsidRDefault="00460921" w:rsidP="00460921">
            <w:pPr>
              <w:spacing w:after="0" w:line="240" w:lineRule="auto"/>
              <w:rPr>
                <w:rFonts w:ascii="Arial" w:eastAsia="Times New Roman" w:hAnsi="Arial" w:cs="Arial"/>
                <w:b/>
                <w:bCs/>
                <w:sz w:val="20"/>
                <w:szCs w:val="20"/>
                <w:lang w:eastAsia="en-GB"/>
              </w:rPr>
            </w:pPr>
            <w:r w:rsidRPr="00460921">
              <w:rPr>
                <w:rFonts w:ascii="Arial" w:eastAsia="Times New Roman" w:hAnsi="Arial" w:cs="Arial"/>
                <w:b/>
                <w:bCs/>
                <w:sz w:val="20"/>
                <w:szCs w:val="20"/>
                <w:lang w:eastAsia="en-GB"/>
              </w:rPr>
              <w:t> </w:t>
            </w:r>
          </w:p>
        </w:tc>
        <w:tc>
          <w:tcPr>
            <w:tcW w:w="520" w:type="dxa"/>
            <w:tcBorders>
              <w:top w:val="nil"/>
              <w:left w:val="nil"/>
              <w:bottom w:val="single" w:sz="4" w:space="0" w:color="BFBFBF"/>
              <w:right w:val="nil"/>
            </w:tcBorders>
            <w:shd w:val="clear" w:color="auto" w:fill="auto"/>
            <w:noWrap/>
            <w:vAlign w:val="bottom"/>
            <w:hideMark/>
          </w:tcPr>
          <w:p w14:paraId="53AA29D5" w14:textId="77777777" w:rsidR="00460921" w:rsidRPr="00460921" w:rsidRDefault="00460921" w:rsidP="00460921">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w:t>
            </w:r>
          </w:p>
        </w:tc>
        <w:tc>
          <w:tcPr>
            <w:tcW w:w="1216" w:type="dxa"/>
            <w:gridSpan w:val="3"/>
            <w:tcBorders>
              <w:top w:val="nil"/>
              <w:left w:val="nil"/>
              <w:bottom w:val="single" w:sz="4" w:space="0" w:color="BFBFBF"/>
              <w:right w:val="nil"/>
            </w:tcBorders>
            <w:shd w:val="clear" w:color="auto" w:fill="auto"/>
            <w:noWrap/>
            <w:vAlign w:val="bottom"/>
            <w:hideMark/>
          </w:tcPr>
          <w:p w14:paraId="4213AA11" w14:textId="77777777" w:rsidR="00460921" w:rsidRPr="00460921" w:rsidRDefault="00460921" w:rsidP="00460921">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w:t>
            </w:r>
          </w:p>
        </w:tc>
        <w:tc>
          <w:tcPr>
            <w:tcW w:w="258" w:type="dxa"/>
            <w:gridSpan w:val="2"/>
            <w:tcBorders>
              <w:top w:val="nil"/>
              <w:left w:val="nil"/>
              <w:bottom w:val="single" w:sz="4" w:space="0" w:color="BFBFBF"/>
              <w:right w:val="nil"/>
            </w:tcBorders>
            <w:shd w:val="clear" w:color="auto" w:fill="auto"/>
            <w:noWrap/>
            <w:vAlign w:val="bottom"/>
            <w:hideMark/>
          </w:tcPr>
          <w:p w14:paraId="07703847" w14:textId="77777777" w:rsidR="00460921" w:rsidRPr="00460921" w:rsidRDefault="00460921" w:rsidP="00460921">
            <w:pPr>
              <w:spacing w:after="0" w:line="240" w:lineRule="auto"/>
              <w:jc w:val="center"/>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w:t>
            </w:r>
          </w:p>
        </w:tc>
        <w:tc>
          <w:tcPr>
            <w:tcW w:w="1585" w:type="dxa"/>
            <w:gridSpan w:val="2"/>
            <w:tcBorders>
              <w:top w:val="nil"/>
              <w:left w:val="nil"/>
              <w:bottom w:val="single" w:sz="4" w:space="0" w:color="BFBFBF"/>
              <w:right w:val="nil"/>
            </w:tcBorders>
            <w:shd w:val="clear" w:color="auto" w:fill="auto"/>
            <w:noWrap/>
            <w:vAlign w:val="bottom"/>
            <w:hideMark/>
          </w:tcPr>
          <w:p w14:paraId="772BB70F" w14:textId="77777777" w:rsidR="00460921" w:rsidRPr="00460921" w:rsidRDefault="00460921" w:rsidP="00460921">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£m</w:t>
            </w:r>
          </w:p>
        </w:tc>
        <w:tc>
          <w:tcPr>
            <w:tcW w:w="414" w:type="dxa"/>
            <w:gridSpan w:val="3"/>
            <w:tcBorders>
              <w:top w:val="nil"/>
              <w:left w:val="nil"/>
              <w:bottom w:val="single" w:sz="4" w:space="0" w:color="BFBFBF"/>
              <w:right w:val="nil"/>
            </w:tcBorders>
            <w:shd w:val="clear" w:color="auto" w:fill="auto"/>
            <w:noWrap/>
            <w:vAlign w:val="bottom"/>
            <w:hideMark/>
          </w:tcPr>
          <w:p w14:paraId="631AAE49" w14:textId="77777777" w:rsidR="00460921" w:rsidRPr="00460921" w:rsidRDefault="00460921" w:rsidP="00460921">
            <w:pPr>
              <w:spacing w:after="0" w:line="240" w:lineRule="auto"/>
              <w:jc w:val="center"/>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1145" w:type="dxa"/>
            <w:tcBorders>
              <w:top w:val="nil"/>
              <w:left w:val="nil"/>
              <w:bottom w:val="single" w:sz="4" w:space="0" w:color="BFBFBF"/>
              <w:right w:val="single" w:sz="4" w:space="0" w:color="BFBFBF"/>
            </w:tcBorders>
            <w:shd w:val="clear" w:color="auto" w:fill="auto"/>
            <w:noWrap/>
            <w:vAlign w:val="bottom"/>
            <w:hideMark/>
          </w:tcPr>
          <w:p w14:paraId="119D1FD5"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£m</w:t>
            </w:r>
          </w:p>
        </w:tc>
      </w:tr>
      <w:tr w:rsidR="00460921" w:rsidRPr="00460921" w14:paraId="25A75DE7" w14:textId="77777777" w:rsidTr="000607DD">
        <w:trPr>
          <w:gridAfter w:val="1"/>
          <w:wAfter w:w="27" w:type="dxa"/>
          <w:trHeight w:val="240"/>
        </w:trPr>
        <w:tc>
          <w:tcPr>
            <w:tcW w:w="4236" w:type="dxa"/>
            <w:gridSpan w:val="2"/>
            <w:tcBorders>
              <w:top w:val="nil"/>
              <w:left w:val="nil"/>
              <w:bottom w:val="single" w:sz="4" w:space="0" w:color="BFBFBF"/>
              <w:right w:val="nil"/>
            </w:tcBorders>
            <w:shd w:val="clear" w:color="000000" w:fill="FFFFFF"/>
            <w:noWrap/>
            <w:vAlign w:val="bottom"/>
            <w:hideMark/>
          </w:tcPr>
          <w:p w14:paraId="0F877B31" w14:textId="77777777" w:rsidR="00460921" w:rsidRPr="00460921" w:rsidRDefault="00460921" w:rsidP="00460921">
            <w:pPr>
              <w:spacing w:after="0" w:line="240" w:lineRule="auto"/>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Total Assets</w:t>
            </w:r>
          </w:p>
        </w:tc>
        <w:tc>
          <w:tcPr>
            <w:tcW w:w="272" w:type="dxa"/>
            <w:gridSpan w:val="2"/>
            <w:tcBorders>
              <w:top w:val="nil"/>
              <w:left w:val="nil"/>
              <w:bottom w:val="single" w:sz="4" w:space="0" w:color="BFBFBF"/>
              <w:right w:val="nil"/>
            </w:tcBorders>
            <w:shd w:val="clear" w:color="000000" w:fill="FFFFFF"/>
            <w:noWrap/>
            <w:vAlign w:val="bottom"/>
            <w:hideMark/>
          </w:tcPr>
          <w:p w14:paraId="5B8DB28F" w14:textId="77777777" w:rsidR="00460921" w:rsidRPr="00460921" w:rsidRDefault="00460921" w:rsidP="00460921">
            <w:pPr>
              <w:spacing w:after="0" w:line="240" w:lineRule="auto"/>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272" w:type="dxa"/>
            <w:tcBorders>
              <w:top w:val="nil"/>
              <w:left w:val="nil"/>
              <w:bottom w:val="single" w:sz="4" w:space="0" w:color="BFBFBF"/>
              <w:right w:val="nil"/>
            </w:tcBorders>
            <w:shd w:val="clear" w:color="000000" w:fill="FFFFFF"/>
            <w:noWrap/>
            <w:vAlign w:val="bottom"/>
            <w:hideMark/>
          </w:tcPr>
          <w:p w14:paraId="6607F4C9" w14:textId="77777777" w:rsidR="00460921" w:rsidRPr="00460921" w:rsidRDefault="00460921" w:rsidP="00460921">
            <w:pPr>
              <w:spacing w:after="0" w:line="240" w:lineRule="auto"/>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520" w:type="dxa"/>
            <w:tcBorders>
              <w:top w:val="nil"/>
              <w:left w:val="nil"/>
              <w:bottom w:val="single" w:sz="4" w:space="0" w:color="BFBFBF"/>
              <w:right w:val="nil"/>
            </w:tcBorders>
            <w:shd w:val="clear" w:color="000000" w:fill="FFFFFF"/>
            <w:noWrap/>
            <w:vAlign w:val="bottom"/>
            <w:hideMark/>
          </w:tcPr>
          <w:p w14:paraId="5A469EE1"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1216" w:type="dxa"/>
            <w:gridSpan w:val="3"/>
            <w:tcBorders>
              <w:top w:val="nil"/>
              <w:left w:val="nil"/>
              <w:bottom w:val="single" w:sz="4" w:space="0" w:color="BFBFBF"/>
              <w:right w:val="nil"/>
            </w:tcBorders>
            <w:shd w:val="clear" w:color="000000" w:fill="FFFFFF"/>
            <w:noWrap/>
            <w:vAlign w:val="bottom"/>
            <w:hideMark/>
          </w:tcPr>
          <w:p w14:paraId="624A121A"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258" w:type="dxa"/>
            <w:gridSpan w:val="2"/>
            <w:tcBorders>
              <w:top w:val="nil"/>
              <w:left w:val="nil"/>
              <w:bottom w:val="single" w:sz="4" w:space="0" w:color="BFBFBF"/>
              <w:right w:val="nil"/>
            </w:tcBorders>
            <w:shd w:val="clear" w:color="auto" w:fill="CCECFF"/>
            <w:noWrap/>
            <w:vAlign w:val="bottom"/>
            <w:hideMark/>
          </w:tcPr>
          <w:p w14:paraId="4EA54CA8" w14:textId="77777777" w:rsidR="00460921" w:rsidRPr="00460921" w:rsidRDefault="00460921" w:rsidP="00460921">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w:t>
            </w:r>
          </w:p>
        </w:tc>
        <w:tc>
          <w:tcPr>
            <w:tcW w:w="1585" w:type="dxa"/>
            <w:gridSpan w:val="2"/>
            <w:tcBorders>
              <w:top w:val="nil"/>
              <w:left w:val="nil"/>
              <w:bottom w:val="single" w:sz="4" w:space="0" w:color="BFBFBF"/>
              <w:right w:val="nil"/>
            </w:tcBorders>
            <w:shd w:val="clear" w:color="auto" w:fill="CCECFF"/>
            <w:noWrap/>
            <w:vAlign w:val="bottom"/>
            <w:hideMark/>
          </w:tcPr>
          <w:p w14:paraId="367AA15F" w14:textId="77777777" w:rsidR="00460921" w:rsidRPr="00460921" w:rsidRDefault="00460921" w:rsidP="00460921">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xml:space="preserve">1,397 </w:t>
            </w:r>
          </w:p>
        </w:tc>
        <w:tc>
          <w:tcPr>
            <w:tcW w:w="414" w:type="dxa"/>
            <w:gridSpan w:val="3"/>
            <w:tcBorders>
              <w:top w:val="nil"/>
              <w:left w:val="nil"/>
              <w:bottom w:val="single" w:sz="4" w:space="0" w:color="BFBFBF"/>
              <w:right w:val="nil"/>
            </w:tcBorders>
            <w:shd w:val="clear" w:color="000000" w:fill="FFFFFF"/>
            <w:noWrap/>
            <w:vAlign w:val="bottom"/>
            <w:hideMark/>
          </w:tcPr>
          <w:p w14:paraId="198D9946"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1145" w:type="dxa"/>
            <w:tcBorders>
              <w:top w:val="nil"/>
              <w:left w:val="nil"/>
              <w:bottom w:val="single" w:sz="4" w:space="0" w:color="BFBFBF"/>
              <w:right w:val="nil"/>
            </w:tcBorders>
            <w:shd w:val="clear" w:color="000000" w:fill="FFFFFF"/>
            <w:noWrap/>
            <w:vAlign w:val="bottom"/>
            <w:hideMark/>
          </w:tcPr>
          <w:p w14:paraId="683DCB26"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xml:space="preserve">1,287 </w:t>
            </w:r>
          </w:p>
        </w:tc>
      </w:tr>
      <w:tr w:rsidR="00460921" w:rsidRPr="00460921" w14:paraId="4040B976" w14:textId="77777777" w:rsidTr="000607DD">
        <w:trPr>
          <w:gridAfter w:val="1"/>
          <w:wAfter w:w="27" w:type="dxa"/>
          <w:trHeight w:val="300"/>
        </w:trPr>
        <w:tc>
          <w:tcPr>
            <w:tcW w:w="4236" w:type="dxa"/>
            <w:gridSpan w:val="2"/>
            <w:tcBorders>
              <w:top w:val="nil"/>
              <w:left w:val="nil"/>
              <w:bottom w:val="nil"/>
              <w:right w:val="nil"/>
            </w:tcBorders>
            <w:shd w:val="clear" w:color="000000" w:fill="FFFFFF"/>
            <w:noWrap/>
            <w:vAlign w:val="bottom"/>
            <w:hideMark/>
          </w:tcPr>
          <w:p w14:paraId="20CA2C61" w14:textId="77777777" w:rsidR="00460921" w:rsidRPr="00460921" w:rsidRDefault="00460921" w:rsidP="00460921">
            <w:pPr>
              <w:spacing w:after="0" w:line="240" w:lineRule="auto"/>
              <w:rPr>
                <w:rFonts w:ascii="Arial" w:eastAsia="Times New Roman" w:hAnsi="Arial" w:cs="Arial"/>
                <w:sz w:val="15"/>
                <w:szCs w:val="15"/>
                <w:u w:val="single"/>
                <w:lang w:eastAsia="en-GB"/>
              </w:rPr>
            </w:pPr>
            <w:r w:rsidRPr="00460921">
              <w:rPr>
                <w:rFonts w:ascii="Arial" w:eastAsia="Times New Roman" w:hAnsi="Arial" w:cs="Arial"/>
                <w:sz w:val="15"/>
                <w:szCs w:val="15"/>
                <w:u w:val="single"/>
                <w:lang w:eastAsia="en-GB"/>
              </w:rPr>
              <w:t>Liabilities:</w:t>
            </w:r>
          </w:p>
        </w:tc>
        <w:tc>
          <w:tcPr>
            <w:tcW w:w="272" w:type="dxa"/>
            <w:gridSpan w:val="2"/>
            <w:tcBorders>
              <w:top w:val="nil"/>
              <w:left w:val="nil"/>
              <w:bottom w:val="nil"/>
              <w:right w:val="nil"/>
            </w:tcBorders>
            <w:shd w:val="clear" w:color="000000" w:fill="FFFFFF"/>
            <w:noWrap/>
            <w:vAlign w:val="bottom"/>
            <w:hideMark/>
          </w:tcPr>
          <w:p w14:paraId="07154754" w14:textId="77777777" w:rsidR="00460921" w:rsidRPr="00460921" w:rsidRDefault="00460921" w:rsidP="00460921">
            <w:pPr>
              <w:spacing w:after="0" w:line="240" w:lineRule="auto"/>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272" w:type="dxa"/>
            <w:tcBorders>
              <w:top w:val="nil"/>
              <w:left w:val="nil"/>
              <w:bottom w:val="nil"/>
              <w:right w:val="nil"/>
            </w:tcBorders>
            <w:shd w:val="clear" w:color="000000" w:fill="FFFFFF"/>
            <w:noWrap/>
            <w:vAlign w:val="bottom"/>
            <w:hideMark/>
          </w:tcPr>
          <w:p w14:paraId="565E1CEF" w14:textId="77777777" w:rsidR="00460921" w:rsidRPr="00460921" w:rsidRDefault="00460921" w:rsidP="00460921">
            <w:pPr>
              <w:spacing w:after="0" w:line="240" w:lineRule="auto"/>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520" w:type="dxa"/>
            <w:tcBorders>
              <w:top w:val="nil"/>
              <w:left w:val="nil"/>
              <w:bottom w:val="nil"/>
              <w:right w:val="nil"/>
            </w:tcBorders>
            <w:shd w:val="clear" w:color="000000" w:fill="FFFFFF"/>
            <w:noWrap/>
            <w:vAlign w:val="bottom"/>
            <w:hideMark/>
          </w:tcPr>
          <w:p w14:paraId="7388D83C"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1216" w:type="dxa"/>
            <w:gridSpan w:val="3"/>
            <w:tcBorders>
              <w:top w:val="nil"/>
              <w:left w:val="nil"/>
              <w:bottom w:val="nil"/>
              <w:right w:val="nil"/>
            </w:tcBorders>
            <w:shd w:val="clear" w:color="000000" w:fill="FFFFFF"/>
            <w:noWrap/>
            <w:vAlign w:val="bottom"/>
            <w:hideMark/>
          </w:tcPr>
          <w:p w14:paraId="63DC66B6"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258" w:type="dxa"/>
            <w:gridSpan w:val="2"/>
            <w:tcBorders>
              <w:top w:val="nil"/>
              <w:left w:val="nil"/>
              <w:bottom w:val="nil"/>
              <w:right w:val="nil"/>
            </w:tcBorders>
            <w:shd w:val="clear" w:color="auto" w:fill="CCECFF"/>
            <w:noWrap/>
            <w:vAlign w:val="bottom"/>
            <w:hideMark/>
          </w:tcPr>
          <w:p w14:paraId="195D4A22" w14:textId="77777777" w:rsidR="00460921" w:rsidRPr="00460921" w:rsidRDefault="00460921" w:rsidP="00460921">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w:t>
            </w:r>
          </w:p>
        </w:tc>
        <w:tc>
          <w:tcPr>
            <w:tcW w:w="1585" w:type="dxa"/>
            <w:gridSpan w:val="2"/>
            <w:tcBorders>
              <w:top w:val="nil"/>
              <w:left w:val="nil"/>
              <w:bottom w:val="nil"/>
              <w:right w:val="nil"/>
            </w:tcBorders>
            <w:shd w:val="clear" w:color="auto" w:fill="CCECFF"/>
            <w:noWrap/>
            <w:vAlign w:val="bottom"/>
            <w:hideMark/>
          </w:tcPr>
          <w:p w14:paraId="2AF1B10D" w14:textId="77777777" w:rsidR="00460921" w:rsidRPr="00460921" w:rsidRDefault="00460921" w:rsidP="00460921">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w:t>
            </w:r>
          </w:p>
        </w:tc>
        <w:tc>
          <w:tcPr>
            <w:tcW w:w="414" w:type="dxa"/>
            <w:gridSpan w:val="3"/>
            <w:tcBorders>
              <w:top w:val="nil"/>
              <w:left w:val="nil"/>
              <w:bottom w:val="nil"/>
              <w:right w:val="nil"/>
            </w:tcBorders>
            <w:shd w:val="clear" w:color="000000" w:fill="FFFFFF"/>
            <w:noWrap/>
            <w:vAlign w:val="bottom"/>
            <w:hideMark/>
          </w:tcPr>
          <w:p w14:paraId="15220A21"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1145" w:type="dxa"/>
            <w:tcBorders>
              <w:top w:val="nil"/>
              <w:left w:val="nil"/>
              <w:bottom w:val="nil"/>
              <w:right w:val="nil"/>
            </w:tcBorders>
            <w:shd w:val="clear" w:color="000000" w:fill="FFFFFF"/>
            <w:noWrap/>
            <w:vAlign w:val="bottom"/>
            <w:hideMark/>
          </w:tcPr>
          <w:p w14:paraId="55EB55A0"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r>
      <w:tr w:rsidR="00460921" w:rsidRPr="00460921" w14:paraId="6622E636" w14:textId="77777777" w:rsidTr="000607DD">
        <w:trPr>
          <w:gridAfter w:val="1"/>
          <w:wAfter w:w="27" w:type="dxa"/>
          <w:trHeight w:val="300"/>
        </w:trPr>
        <w:tc>
          <w:tcPr>
            <w:tcW w:w="4508" w:type="dxa"/>
            <w:gridSpan w:val="4"/>
            <w:tcBorders>
              <w:top w:val="nil"/>
              <w:left w:val="nil"/>
              <w:bottom w:val="single" w:sz="4" w:space="0" w:color="BFBFBF"/>
              <w:right w:val="nil"/>
            </w:tcBorders>
            <w:shd w:val="clear" w:color="000000" w:fill="FFFFFF"/>
            <w:noWrap/>
            <w:vAlign w:val="bottom"/>
            <w:hideMark/>
          </w:tcPr>
          <w:p w14:paraId="0E17B1A5" w14:textId="77777777" w:rsidR="00460921" w:rsidRPr="00460921" w:rsidRDefault="00460921" w:rsidP="00460921">
            <w:pPr>
              <w:spacing w:after="0" w:line="240" w:lineRule="auto"/>
              <w:rPr>
                <w:rFonts w:ascii="Arial" w:eastAsia="Times New Roman" w:hAnsi="Arial" w:cs="Arial"/>
                <w:sz w:val="15"/>
                <w:szCs w:val="15"/>
                <w:lang w:eastAsia="en-GB"/>
              </w:rPr>
            </w:pPr>
            <w:r w:rsidRPr="00460921">
              <w:rPr>
                <w:rFonts w:ascii="Arial" w:eastAsia="Times New Roman" w:hAnsi="Arial" w:cs="Arial"/>
                <w:sz w:val="15"/>
                <w:szCs w:val="15"/>
                <w:lang w:eastAsia="en-GB"/>
              </w:rPr>
              <w:t>Present value (wholesale basis)</w:t>
            </w:r>
          </w:p>
        </w:tc>
        <w:tc>
          <w:tcPr>
            <w:tcW w:w="272" w:type="dxa"/>
            <w:tcBorders>
              <w:top w:val="nil"/>
              <w:left w:val="nil"/>
              <w:bottom w:val="single" w:sz="4" w:space="0" w:color="BFBFBF"/>
              <w:right w:val="nil"/>
            </w:tcBorders>
            <w:shd w:val="clear" w:color="000000" w:fill="FFFFFF"/>
            <w:noWrap/>
            <w:vAlign w:val="bottom"/>
            <w:hideMark/>
          </w:tcPr>
          <w:p w14:paraId="3E06CF3F" w14:textId="77777777" w:rsidR="00460921" w:rsidRPr="00460921" w:rsidRDefault="00460921" w:rsidP="00460921">
            <w:pPr>
              <w:spacing w:after="0" w:line="240" w:lineRule="auto"/>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520" w:type="dxa"/>
            <w:tcBorders>
              <w:top w:val="nil"/>
              <w:left w:val="nil"/>
              <w:bottom w:val="single" w:sz="4" w:space="0" w:color="BFBFBF"/>
              <w:right w:val="nil"/>
            </w:tcBorders>
            <w:shd w:val="clear" w:color="000000" w:fill="FFFFFF"/>
            <w:noWrap/>
            <w:vAlign w:val="bottom"/>
            <w:hideMark/>
          </w:tcPr>
          <w:p w14:paraId="26498898"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1216" w:type="dxa"/>
            <w:gridSpan w:val="3"/>
            <w:tcBorders>
              <w:top w:val="nil"/>
              <w:left w:val="nil"/>
              <w:bottom w:val="single" w:sz="4" w:space="0" w:color="BFBFBF"/>
              <w:right w:val="nil"/>
            </w:tcBorders>
            <w:shd w:val="clear" w:color="000000" w:fill="FFFFFF"/>
            <w:noWrap/>
            <w:vAlign w:val="bottom"/>
            <w:hideMark/>
          </w:tcPr>
          <w:p w14:paraId="6E09E77D"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258" w:type="dxa"/>
            <w:gridSpan w:val="2"/>
            <w:tcBorders>
              <w:top w:val="nil"/>
              <w:left w:val="nil"/>
              <w:bottom w:val="single" w:sz="4" w:space="0" w:color="BFBFBF"/>
              <w:right w:val="nil"/>
            </w:tcBorders>
            <w:shd w:val="clear" w:color="auto" w:fill="CCECFF"/>
            <w:noWrap/>
            <w:vAlign w:val="bottom"/>
            <w:hideMark/>
          </w:tcPr>
          <w:p w14:paraId="0D029010" w14:textId="77777777" w:rsidR="00460921" w:rsidRPr="00460921" w:rsidRDefault="00460921" w:rsidP="00460921">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w:t>
            </w:r>
          </w:p>
        </w:tc>
        <w:tc>
          <w:tcPr>
            <w:tcW w:w="1585" w:type="dxa"/>
            <w:gridSpan w:val="2"/>
            <w:tcBorders>
              <w:top w:val="nil"/>
              <w:left w:val="nil"/>
              <w:bottom w:val="single" w:sz="4" w:space="0" w:color="BFBFBF"/>
              <w:right w:val="nil"/>
            </w:tcBorders>
            <w:shd w:val="clear" w:color="auto" w:fill="CCECFF"/>
            <w:noWrap/>
            <w:vAlign w:val="bottom"/>
            <w:hideMark/>
          </w:tcPr>
          <w:p w14:paraId="365D6DC9" w14:textId="77777777" w:rsidR="00460921" w:rsidRPr="00460921" w:rsidRDefault="00460921" w:rsidP="00460921">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xml:space="preserve">1,102 </w:t>
            </w:r>
          </w:p>
        </w:tc>
        <w:tc>
          <w:tcPr>
            <w:tcW w:w="414" w:type="dxa"/>
            <w:gridSpan w:val="3"/>
            <w:tcBorders>
              <w:top w:val="nil"/>
              <w:left w:val="nil"/>
              <w:bottom w:val="single" w:sz="4" w:space="0" w:color="BFBFBF"/>
              <w:right w:val="nil"/>
            </w:tcBorders>
            <w:shd w:val="clear" w:color="000000" w:fill="FFFFFF"/>
            <w:noWrap/>
            <w:vAlign w:val="bottom"/>
            <w:hideMark/>
          </w:tcPr>
          <w:p w14:paraId="394985CC"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1145" w:type="dxa"/>
            <w:tcBorders>
              <w:top w:val="nil"/>
              <w:left w:val="nil"/>
              <w:bottom w:val="single" w:sz="4" w:space="0" w:color="BFBFBF"/>
              <w:right w:val="nil"/>
            </w:tcBorders>
            <w:shd w:val="clear" w:color="000000" w:fill="FFFFFF"/>
            <w:noWrap/>
            <w:vAlign w:val="bottom"/>
            <w:hideMark/>
          </w:tcPr>
          <w:p w14:paraId="549EAB6A"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xml:space="preserve">1,158 </w:t>
            </w:r>
          </w:p>
        </w:tc>
      </w:tr>
      <w:tr w:rsidR="00460921" w:rsidRPr="00460921" w14:paraId="4F721811" w14:textId="77777777" w:rsidTr="000607DD">
        <w:trPr>
          <w:gridAfter w:val="1"/>
          <w:wAfter w:w="27" w:type="dxa"/>
          <w:trHeight w:val="300"/>
        </w:trPr>
        <w:tc>
          <w:tcPr>
            <w:tcW w:w="4508" w:type="dxa"/>
            <w:gridSpan w:val="4"/>
            <w:tcBorders>
              <w:top w:val="nil"/>
              <w:left w:val="nil"/>
              <w:bottom w:val="single" w:sz="4" w:space="0" w:color="BFBFBF"/>
              <w:right w:val="nil"/>
            </w:tcBorders>
            <w:shd w:val="clear" w:color="000000" w:fill="FFFFFF"/>
            <w:noWrap/>
            <w:vAlign w:val="bottom"/>
            <w:hideMark/>
          </w:tcPr>
          <w:p w14:paraId="63E68440" w14:textId="77777777" w:rsidR="00460921" w:rsidRPr="00460921" w:rsidRDefault="00460921" w:rsidP="00460921">
            <w:pPr>
              <w:spacing w:after="0" w:line="240" w:lineRule="auto"/>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Total Liabilities (pre-tax)</w:t>
            </w:r>
          </w:p>
        </w:tc>
        <w:tc>
          <w:tcPr>
            <w:tcW w:w="272" w:type="dxa"/>
            <w:tcBorders>
              <w:top w:val="nil"/>
              <w:left w:val="nil"/>
              <w:bottom w:val="single" w:sz="4" w:space="0" w:color="BFBFBF"/>
              <w:right w:val="nil"/>
            </w:tcBorders>
            <w:shd w:val="clear" w:color="000000" w:fill="FFFFFF"/>
            <w:noWrap/>
            <w:vAlign w:val="bottom"/>
            <w:hideMark/>
          </w:tcPr>
          <w:p w14:paraId="1D6C74E7" w14:textId="77777777" w:rsidR="00460921" w:rsidRPr="00460921" w:rsidRDefault="00460921" w:rsidP="00460921">
            <w:pPr>
              <w:spacing w:after="0" w:line="240" w:lineRule="auto"/>
              <w:rPr>
                <w:rFonts w:ascii="Arial" w:eastAsia="Times New Roman" w:hAnsi="Arial" w:cs="Arial"/>
                <w:b/>
                <w:bCs/>
                <w:sz w:val="20"/>
                <w:szCs w:val="20"/>
                <w:lang w:eastAsia="en-GB"/>
              </w:rPr>
            </w:pPr>
            <w:r w:rsidRPr="00460921">
              <w:rPr>
                <w:rFonts w:ascii="Arial" w:eastAsia="Times New Roman" w:hAnsi="Arial" w:cs="Arial"/>
                <w:b/>
                <w:bCs/>
                <w:sz w:val="20"/>
                <w:szCs w:val="20"/>
                <w:lang w:eastAsia="en-GB"/>
              </w:rPr>
              <w:t> </w:t>
            </w:r>
          </w:p>
        </w:tc>
        <w:tc>
          <w:tcPr>
            <w:tcW w:w="520" w:type="dxa"/>
            <w:tcBorders>
              <w:top w:val="nil"/>
              <w:left w:val="nil"/>
              <w:bottom w:val="single" w:sz="4" w:space="0" w:color="BFBFBF"/>
              <w:right w:val="nil"/>
            </w:tcBorders>
            <w:shd w:val="clear" w:color="000000" w:fill="FFFFFF"/>
            <w:noWrap/>
            <w:vAlign w:val="center"/>
            <w:hideMark/>
          </w:tcPr>
          <w:p w14:paraId="64CD79BD" w14:textId="77777777" w:rsidR="00460921" w:rsidRPr="00460921" w:rsidRDefault="00460921" w:rsidP="00460921">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w:t>
            </w:r>
          </w:p>
        </w:tc>
        <w:tc>
          <w:tcPr>
            <w:tcW w:w="1216" w:type="dxa"/>
            <w:gridSpan w:val="3"/>
            <w:tcBorders>
              <w:top w:val="nil"/>
              <w:left w:val="nil"/>
              <w:bottom w:val="single" w:sz="4" w:space="0" w:color="BFBFBF"/>
              <w:right w:val="nil"/>
            </w:tcBorders>
            <w:shd w:val="clear" w:color="000000" w:fill="FFFFFF"/>
            <w:noWrap/>
            <w:vAlign w:val="center"/>
            <w:hideMark/>
          </w:tcPr>
          <w:p w14:paraId="39C42DDD" w14:textId="77777777" w:rsidR="00460921" w:rsidRPr="00460921" w:rsidRDefault="00460921" w:rsidP="00460921">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w:t>
            </w:r>
          </w:p>
        </w:tc>
        <w:tc>
          <w:tcPr>
            <w:tcW w:w="258" w:type="dxa"/>
            <w:gridSpan w:val="2"/>
            <w:tcBorders>
              <w:top w:val="nil"/>
              <w:left w:val="nil"/>
              <w:bottom w:val="single" w:sz="4" w:space="0" w:color="BFBFBF"/>
              <w:right w:val="nil"/>
            </w:tcBorders>
            <w:shd w:val="clear" w:color="auto" w:fill="CCECFF"/>
            <w:noWrap/>
            <w:vAlign w:val="center"/>
            <w:hideMark/>
          </w:tcPr>
          <w:p w14:paraId="362047D6"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1585" w:type="dxa"/>
            <w:gridSpan w:val="2"/>
            <w:tcBorders>
              <w:top w:val="nil"/>
              <w:left w:val="nil"/>
              <w:bottom w:val="single" w:sz="4" w:space="0" w:color="BFBFBF"/>
              <w:right w:val="nil"/>
            </w:tcBorders>
            <w:shd w:val="clear" w:color="auto" w:fill="CCECFF"/>
            <w:noWrap/>
            <w:vAlign w:val="center"/>
            <w:hideMark/>
          </w:tcPr>
          <w:p w14:paraId="0F709A56" w14:textId="77777777" w:rsidR="00460921" w:rsidRPr="00460921" w:rsidRDefault="00460921" w:rsidP="00460921">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xml:space="preserve">1,102 </w:t>
            </w:r>
          </w:p>
        </w:tc>
        <w:tc>
          <w:tcPr>
            <w:tcW w:w="414" w:type="dxa"/>
            <w:gridSpan w:val="3"/>
            <w:tcBorders>
              <w:top w:val="nil"/>
              <w:left w:val="nil"/>
              <w:bottom w:val="single" w:sz="4" w:space="0" w:color="BFBFBF"/>
              <w:right w:val="nil"/>
            </w:tcBorders>
            <w:shd w:val="clear" w:color="000000" w:fill="FFFFFF"/>
            <w:noWrap/>
            <w:vAlign w:val="center"/>
            <w:hideMark/>
          </w:tcPr>
          <w:p w14:paraId="6DDD948E"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1145" w:type="dxa"/>
            <w:tcBorders>
              <w:top w:val="nil"/>
              <w:left w:val="nil"/>
              <w:bottom w:val="single" w:sz="4" w:space="0" w:color="BFBFBF"/>
              <w:right w:val="nil"/>
            </w:tcBorders>
            <w:shd w:val="clear" w:color="000000" w:fill="FFFFFF"/>
            <w:noWrap/>
            <w:vAlign w:val="center"/>
            <w:hideMark/>
          </w:tcPr>
          <w:p w14:paraId="6898F814"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xml:space="preserve">1,158 </w:t>
            </w:r>
          </w:p>
        </w:tc>
      </w:tr>
      <w:tr w:rsidR="00460921" w:rsidRPr="00460921" w14:paraId="2F909B1B" w14:textId="77777777" w:rsidTr="000607DD">
        <w:trPr>
          <w:gridAfter w:val="1"/>
          <w:wAfter w:w="27" w:type="dxa"/>
          <w:trHeight w:val="282"/>
        </w:trPr>
        <w:tc>
          <w:tcPr>
            <w:tcW w:w="4236" w:type="dxa"/>
            <w:gridSpan w:val="2"/>
            <w:tcBorders>
              <w:top w:val="nil"/>
              <w:left w:val="nil"/>
              <w:bottom w:val="nil"/>
              <w:right w:val="nil"/>
            </w:tcBorders>
            <w:shd w:val="clear" w:color="000000" w:fill="FFFFFF"/>
            <w:noWrap/>
            <w:vAlign w:val="bottom"/>
            <w:hideMark/>
          </w:tcPr>
          <w:p w14:paraId="6712273B" w14:textId="77777777" w:rsidR="00460921" w:rsidRPr="00460921" w:rsidRDefault="00460921" w:rsidP="00460921">
            <w:pPr>
              <w:spacing w:after="0" w:line="240" w:lineRule="auto"/>
              <w:rPr>
                <w:rFonts w:ascii="Arial" w:eastAsia="Times New Roman" w:hAnsi="Arial" w:cs="Arial"/>
                <w:sz w:val="15"/>
                <w:szCs w:val="15"/>
                <w:lang w:eastAsia="en-GB"/>
              </w:rPr>
            </w:pPr>
            <w:r w:rsidRPr="00460921">
              <w:rPr>
                <w:rFonts w:ascii="Arial" w:eastAsia="Times New Roman" w:hAnsi="Arial" w:cs="Arial"/>
                <w:sz w:val="15"/>
                <w:szCs w:val="15"/>
                <w:lang w:eastAsia="en-GB"/>
              </w:rPr>
              <w:t>Headroom (pre-tax)</w:t>
            </w:r>
          </w:p>
        </w:tc>
        <w:tc>
          <w:tcPr>
            <w:tcW w:w="272" w:type="dxa"/>
            <w:gridSpan w:val="2"/>
            <w:tcBorders>
              <w:top w:val="nil"/>
              <w:left w:val="nil"/>
              <w:bottom w:val="nil"/>
              <w:right w:val="nil"/>
            </w:tcBorders>
            <w:shd w:val="clear" w:color="000000" w:fill="FFFFFF"/>
            <w:noWrap/>
            <w:vAlign w:val="bottom"/>
            <w:hideMark/>
          </w:tcPr>
          <w:p w14:paraId="3E77E138" w14:textId="77777777" w:rsidR="00460921" w:rsidRPr="00460921" w:rsidRDefault="00460921" w:rsidP="00460921">
            <w:pPr>
              <w:spacing w:after="0" w:line="240" w:lineRule="auto"/>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272" w:type="dxa"/>
            <w:tcBorders>
              <w:top w:val="nil"/>
              <w:left w:val="nil"/>
              <w:bottom w:val="nil"/>
              <w:right w:val="nil"/>
            </w:tcBorders>
            <w:shd w:val="clear" w:color="000000" w:fill="FFFFFF"/>
            <w:noWrap/>
            <w:vAlign w:val="bottom"/>
            <w:hideMark/>
          </w:tcPr>
          <w:p w14:paraId="1807F292" w14:textId="77777777" w:rsidR="00460921" w:rsidRPr="00460921" w:rsidRDefault="00460921" w:rsidP="00460921">
            <w:pPr>
              <w:spacing w:after="0" w:line="240" w:lineRule="auto"/>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520" w:type="dxa"/>
            <w:tcBorders>
              <w:top w:val="nil"/>
              <w:left w:val="nil"/>
              <w:bottom w:val="nil"/>
              <w:right w:val="nil"/>
            </w:tcBorders>
            <w:shd w:val="clear" w:color="000000" w:fill="FFFFFF"/>
            <w:noWrap/>
            <w:vAlign w:val="bottom"/>
            <w:hideMark/>
          </w:tcPr>
          <w:p w14:paraId="03F17A9F"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1216" w:type="dxa"/>
            <w:gridSpan w:val="3"/>
            <w:tcBorders>
              <w:top w:val="nil"/>
              <w:left w:val="nil"/>
              <w:bottom w:val="nil"/>
              <w:right w:val="nil"/>
            </w:tcBorders>
            <w:shd w:val="clear" w:color="000000" w:fill="FFFFFF"/>
            <w:noWrap/>
            <w:vAlign w:val="bottom"/>
            <w:hideMark/>
          </w:tcPr>
          <w:p w14:paraId="61F9E659"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258" w:type="dxa"/>
            <w:gridSpan w:val="2"/>
            <w:tcBorders>
              <w:top w:val="nil"/>
              <w:left w:val="nil"/>
              <w:bottom w:val="nil"/>
              <w:right w:val="nil"/>
            </w:tcBorders>
            <w:shd w:val="clear" w:color="auto" w:fill="CCECFF"/>
            <w:noWrap/>
            <w:vAlign w:val="bottom"/>
            <w:hideMark/>
          </w:tcPr>
          <w:p w14:paraId="4B06D433" w14:textId="77777777" w:rsidR="00460921" w:rsidRPr="00460921" w:rsidRDefault="00460921" w:rsidP="00460921">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w:t>
            </w:r>
          </w:p>
        </w:tc>
        <w:tc>
          <w:tcPr>
            <w:tcW w:w="1585" w:type="dxa"/>
            <w:gridSpan w:val="2"/>
            <w:tcBorders>
              <w:top w:val="nil"/>
              <w:left w:val="nil"/>
              <w:bottom w:val="nil"/>
              <w:right w:val="nil"/>
            </w:tcBorders>
            <w:shd w:val="clear" w:color="auto" w:fill="CCECFF"/>
            <w:noWrap/>
            <w:vAlign w:val="bottom"/>
            <w:hideMark/>
          </w:tcPr>
          <w:p w14:paraId="600789A2" w14:textId="77777777" w:rsidR="00460921" w:rsidRPr="00460921" w:rsidRDefault="00460921" w:rsidP="00460921">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xml:space="preserve">295 </w:t>
            </w:r>
          </w:p>
        </w:tc>
        <w:tc>
          <w:tcPr>
            <w:tcW w:w="414" w:type="dxa"/>
            <w:gridSpan w:val="3"/>
            <w:tcBorders>
              <w:top w:val="nil"/>
              <w:left w:val="nil"/>
              <w:bottom w:val="nil"/>
              <w:right w:val="nil"/>
            </w:tcBorders>
            <w:shd w:val="clear" w:color="000000" w:fill="FFFFFF"/>
            <w:noWrap/>
            <w:vAlign w:val="bottom"/>
            <w:hideMark/>
          </w:tcPr>
          <w:p w14:paraId="1C37F547"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1145" w:type="dxa"/>
            <w:tcBorders>
              <w:top w:val="nil"/>
              <w:left w:val="nil"/>
              <w:bottom w:val="nil"/>
              <w:right w:val="nil"/>
            </w:tcBorders>
            <w:shd w:val="clear" w:color="000000" w:fill="FFFFFF"/>
            <w:noWrap/>
            <w:vAlign w:val="bottom"/>
            <w:hideMark/>
          </w:tcPr>
          <w:p w14:paraId="29C96E13"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xml:space="preserve">129 </w:t>
            </w:r>
          </w:p>
        </w:tc>
      </w:tr>
      <w:tr w:rsidR="00460921" w:rsidRPr="00460921" w14:paraId="70FBE229" w14:textId="77777777" w:rsidTr="000607DD">
        <w:trPr>
          <w:gridAfter w:val="1"/>
          <w:wAfter w:w="27" w:type="dxa"/>
          <w:trHeight w:val="282"/>
        </w:trPr>
        <w:tc>
          <w:tcPr>
            <w:tcW w:w="4508" w:type="dxa"/>
            <w:gridSpan w:val="4"/>
            <w:tcBorders>
              <w:top w:val="nil"/>
              <w:left w:val="nil"/>
              <w:bottom w:val="single" w:sz="4" w:space="0" w:color="BFBFBF"/>
              <w:right w:val="nil"/>
            </w:tcBorders>
            <w:shd w:val="clear" w:color="000000" w:fill="FFFFFF"/>
            <w:noWrap/>
            <w:vAlign w:val="bottom"/>
            <w:hideMark/>
          </w:tcPr>
          <w:p w14:paraId="599B2A3B" w14:textId="77777777" w:rsidR="00460921" w:rsidRPr="00460921" w:rsidRDefault="00460921" w:rsidP="00460921">
            <w:pPr>
              <w:spacing w:after="0" w:line="240" w:lineRule="auto"/>
              <w:rPr>
                <w:rFonts w:ascii="Arial" w:eastAsia="Times New Roman" w:hAnsi="Arial" w:cs="Arial"/>
                <w:sz w:val="15"/>
                <w:szCs w:val="15"/>
                <w:lang w:eastAsia="en-GB"/>
              </w:rPr>
            </w:pPr>
            <w:r w:rsidRPr="00460921">
              <w:rPr>
                <w:rFonts w:ascii="Arial" w:eastAsia="Times New Roman" w:hAnsi="Arial" w:cs="Arial"/>
                <w:sz w:val="15"/>
                <w:szCs w:val="15"/>
                <w:lang w:eastAsia="en-GB"/>
              </w:rPr>
              <w:t>Headroom as a % of liabilities (pre-tax)</w:t>
            </w:r>
          </w:p>
        </w:tc>
        <w:tc>
          <w:tcPr>
            <w:tcW w:w="272" w:type="dxa"/>
            <w:tcBorders>
              <w:top w:val="nil"/>
              <w:left w:val="nil"/>
              <w:bottom w:val="single" w:sz="4" w:space="0" w:color="BFBFBF"/>
              <w:right w:val="nil"/>
            </w:tcBorders>
            <w:shd w:val="clear" w:color="000000" w:fill="FFFFFF"/>
            <w:noWrap/>
            <w:vAlign w:val="bottom"/>
            <w:hideMark/>
          </w:tcPr>
          <w:p w14:paraId="30B007F4" w14:textId="77777777" w:rsidR="00460921" w:rsidRPr="00460921" w:rsidRDefault="00460921" w:rsidP="00460921">
            <w:pPr>
              <w:spacing w:after="0" w:line="240" w:lineRule="auto"/>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520" w:type="dxa"/>
            <w:tcBorders>
              <w:top w:val="nil"/>
              <w:left w:val="nil"/>
              <w:bottom w:val="single" w:sz="4" w:space="0" w:color="BFBFBF"/>
              <w:right w:val="nil"/>
            </w:tcBorders>
            <w:shd w:val="clear" w:color="000000" w:fill="FFFFFF"/>
            <w:noWrap/>
            <w:vAlign w:val="bottom"/>
            <w:hideMark/>
          </w:tcPr>
          <w:p w14:paraId="6C2DF268"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1216" w:type="dxa"/>
            <w:gridSpan w:val="3"/>
            <w:tcBorders>
              <w:top w:val="nil"/>
              <w:left w:val="nil"/>
              <w:bottom w:val="single" w:sz="4" w:space="0" w:color="BFBFBF"/>
              <w:right w:val="nil"/>
            </w:tcBorders>
            <w:shd w:val="clear" w:color="000000" w:fill="FFFFFF"/>
            <w:noWrap/>
            <w:vAlign w:val="bottom"/>
            <w:hideMark/>
          </w:tcPr>
          <w:p w14:paraId="39B966A9"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258" w:type="dxa"/>
            <w:gridSpan w:val="2"/>
            <w:tcBorders>
              <w:top w:val="nil"/>
              <w:left w:val="nil"/>
              <w:bottom w:val="single" w:sz="4" w:space="0" w:color="BFBFBF"/>
              <w:right w:val="nil"/>
            </w:tcBorders>
            <w:shd w:val="clear" w:color="auto" w:fill="CCECFF"/>
            <w:noWrap/>
            <w:vAlign w:val="bottom"/>
            <w:hideMark/>
          </w:tcPr>
          <w:p w14:paraId="18A42402" w14:textId="77777777" w:rsidR="00460921" w:rsidRPr="00460921" w:rsidRDefault="00460921" w:rsidP="00460921">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 </w:t>
            </w:r>
          </w:p>
        </w:tc>
        <w:tc>
          <w:tcPr>
            <w:tcW w:w="1585" w:type="dxa"/>
            <w:gridSpan w:val="2"/>
            <w:tcBorders>
              <w:top w:val="nil"/>
              <w:left w:val="nil"/>
              <w:bottom w:val="single" w:sz="4" w:space="0" w:color="BFBFBF"/>
              <w:right w:val="nil"/>
            </w:tcBorders>
            <w:shd w:val="clear" w:color="auto" w:fill="CCECFF"/>
            <w:noWrap/>
            <w:vAlign w:val="bottom"/>
            <w:hideMark/>
          </w:tcPr>
          <w:p w14:paraId="6C06268F" w14:textId="77777777" w:rsidR="00460921" w:rsidRPr="00460921" w:rsidRDefault="00460921" w:rsidP="00460921">
            <w:pPr>
              <w:spacing w:after="0" w:line="240" w:lineRule="auto"/>
              <w:jc w:val="right"/>
              <w:rPr>
                <w:rFonts w:ascii="Arial" w:eastAsia="Times New Roman" w:hAnsi="Arial" w:cs="Arial"/>
                <w:b/>
                <w:bCs/>
                <w:sz w:val="15"/>
                <w:szCs w:val="15"/>
                <w:lang w:eastAsia="en-GB"/>
              </w:rPr>
            </w:pPr>
            <w:r w:rsidRPr="00460921">
              <w:rPr>
                <w:rFonts w:ascii="Arial" w:eastAsia="Times New Roman" w:hAnsi="Arial" w:cs="Arial"/>
                <w:b/>
                <w:bCs/>
                <w:sz w:val="15"/>
                <w:szCs w:val="15"/>
                <w:lang w:eastAsia="en-GB"/>
              </w:rPr>
              <w:t>27%</w:t>
            </w:r>
          </w:p>
        </w:tc>
        <w:tc>
          <w:tcPr>
            <w:tcW w:w="414" w:type="dxa"/>
            <w:gridSpan w:val="3"/>
            <w:tcBorders>
              <w:top w:val="nil"/>
              <w:left w:val="nil"/>
              <w:bottom w:val="single" w:sz="4" w:space="0" w:color="BFBFBF"/>
              <w:right w:val="nil"/>
            </w:tcBorders>
            <w:shd w:val="clear" w:color="000000" w:fill="FFFFFF"/>
            <w:noWrap/>
            <w:vAlign w:val="bottom"/>
            <w:hideMark/>
          </w:tcPr>
          <w:p w14:paraId="430220E1"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 </w:t>
            </w:r>
          </w:p>
        </w:tc>
        <w:tc>
          <w:tcPr>
            <w:tcW w:w="1145" w:type="dxa"/>
            <w:tcBorders>
              <w:top w:val="nil"/>
              <w:left w:val="nil"/>
              <w:bottom w:val="single" w:sz="4" w:space="0" w:color="BFBFBF"/>
              <w:right w:val="nil"/>
            </w:tcBorders>
            <w:shd w:val="clear" w:color="000000" w:fill="FFFFFF"/>
            <w:noWrap/>
            <w:vAlign w:val="bottom"/>
            <w:hideMark/>
          </w:tcPr>
          <w:p w14:paraId="43B424FD" w14:textId="77777777" w:rsidR="00460921" w:rsidRPr="00460921" w:rsidRDefault="00460921" w:rsidP="00460921">
            <w:pPr>
              <w:spacing w:after="0" w:line="240" w:lineRule="auto"/>
              <w:jc w:val="right"/>
              <w:rPr>
                <w:rFonts w:ascii="Arial" w:eastAsia="Times New Roman" w:hAnsi="Arial" w:cs="Arial"/>
                <w:sz w:val="15"/>
                <w:szCs w:val="15"/>
                <w:lang w:eastAsia="en-GB"/>
              </w:rPr>
            </w:pPr>
            <w:r w:rsidRPr="00460921">
              <w:rPr>
                <w:rFonts w:ascii="Arial" w:eastAsia="Times New Roman" w:hAnsi="Arial" w:cs="Arial"/>
                <w:sz w:val="15"/>
                <w:szCs w:val="15"/>
                <w:lang w:eastAsia="en-GB"/>
              </w:rPr>
              <w:t>11%</w:t>
            </w:r>
          </w:p>
        </w:tc>
      </w:tr>
    </w:tbl>
    <w:p w14:paraId="052CA71C" w14:textId="717C8451" w:rsidR="00040C38" w:rsidRDefault="00040C38" w:rsidP="00BB64F8">
      <w:pPr>
        <w:rPr>
          <w:b/>
          <w:bCs/>
        </w:rPr>
      </w:pPr>
    </w:p>
    <w:p w14:paraId="50ED0AAA" w14:textId="41802BAE" w:rsidR="00BE663B" w:rsidRDefault="00BE663B" w:rsidP="00BB64F8">
      <w:pPr>
        <w:rPr>
          <w:b/>
          <w:bCs/>
        </w:rPr>
      </w:pPr>
    </w:p>
    <w:tbl>
      <w:tblPr>
        <w:tblW w:w="10145" w:type="dxa"/>
        <w:tblLook w:val="04A0" w:firstRow="1" w:lastRow="0" w:firstColumn="1" w:lastColumn="0" w:noHBand="0" w:noVBand="1"/>
      </w:tblPr>
      <w:tblGrid>
        <w:gridCol w:w="2647"/>
        <w:gridCol w:w="272"/>
        <w:gridCol w:w="626"/>
        <w:gridCol w:w="1842"/>
        <w:gridCol w:w="1417"/>
        <w:gridCol w:w="1701"/>
        <w:gridCol w:w="1418"/>
        <w:gridCol w:w="222"/>
      </w:tblGrid>
      <w:tr w:rsidR="00B31823" w:rsidRPr="00B31823" w14:paraId="4FD77710" w14:textId="77777777" w:rsidTr="00945441">
        <w:trPr>
          <w:gridAfter w:val="1"/>
          <w:wAfter w:w="222" w:type="dxa"/>
          <w:trHeight w:val="255"/>
        </w:trPr>
        <w:tc>
          <w:tcPr>
            <w:tcW w:w="8505" w:type="dxa"/>
            <w:gridSpan w:val="6"/>
            <w:tcBorders>
              <w:top w:val="nil"/>
              <w:left w:val="nil"/>
              <w:bottom w:val="nil"/>
              <w:right w:val="nil"/>
            </w:tcBorders>
            <w:shd w:val="clear" w:color="auto" w:fill="auto"/>
            <w:noWrap/>
            <w:vAlign w:val="bottom"/>
            <w:hideMark/>
          </w:tcPr>
          <w:p w14:paraId="0F5CC409" w14:textId="77777777" w:rsidR="00B31823" w:rsidRPr="00B31823" w:rsidRDefault="00B31823" w:rsidP="00B31823">
            <w:pPr>
              <w:spacing w:after="0" w:line="240" w:lineRule="auto"/>
              <w:rPr>
                <w:rFonts w:ascii="Arial" w:eastAsia="Times New Roman" w:hAnsi="Arial" w:cs="Arial"/>
                <w:b/>
                <w:bCs/>
                <w:sz w:val="18"/>
                <w:szCs w:val="18"/>
                <w:lang w:eastAsia="en-GB"/>
              </w:rPr>
            </w:pPr>
            <w:r w:rsidRPr="00B31823">
              <w:rPr>
                <w:rFonts w:ascii="Arial" w:eastAsia="Times New Roman" w:hAnsi="Arial" w:cs="Arial"/>
                <w:b/>
                <w:bCs/>
                <w:sz w:val="18"/>
                <w:szCs w:val="18"/>
                <w:lang w:eastAsia="en-GB"/>
              </w:rPr>
              <w:t>13   Membership and community reward</w:t>
            </w:r>
          </w:p>
        </w:tc>
        <w:tc>
          <w:tcPr>
            <w:tcW w:w="1418" w:type="dxa"/>
            <w:tcBorders>
              <w:top w:val="nil"/>
              <w:left w:val="nil"/>
              <w:bottom w:val="nil"/>
              <w:right w:val="nil"/>
            </w:tcBorders>
            <w:shd w:val="clear" w:color="auto" w:fill="auto"/>
            <w:noWrap/>
            <w:vAlign w:val="bottom"/>
            <w:hideMark/>
          </w:tcPr>
          <w:p w14:paraId="74D94FCE" w14:textId="77777777" w:rsidR="00B31823" w:rsidRPr="00B31823" w:rsidRDefault="00B31823" w:rsidP="00B31823">
            <w:pPr>
              <w:spacing w:after="0" w:line="240" w:lineRule="auto"/>
              <w:rPr>
                <w:rFonts w:ascii="Arial" w:eastAsia="Times New Roman" w:hAnsi="Arial" w:cs="Arial"/>
                <w:b/>
                <w:bCs/>
                <w:sz w:val="18"/>
                <w:szCs w:val="18"/>
                <w:lang w:eastAsia="en-GB"/>
              </w:rPr>
            </w:pPr>
          </w:p>
        </w:tc>
      </w:tr>
      <w:tr w:rsidR="00B31823" w:rsidRPr="00B31823" w14:paraId="7A02FC4E" w14:textId="77777777" w:rsidTr="00945441">
        <w:trPr>
          <w:gridAfter w:val="1"/>
          <w:wAfter w:w="222" w:type="dxa"/>
          <w:trHeight w:val="255"/>
        </w:trPr>
        <w:tc>
          <w:tcPr>
            <w:tcW w:w="2647" w:type="dxa"/>
            <w:tcBorders>
              <w:top w:val="nil"/>
              <w:left w:val="nil"/>
              <w:bottom w:val="nil"/>
              <w:right w:val="nil"/>
            </w:tcBorders>
            <w:shd w:val="clear" w:color="auto" w:fill="auto"/>
            <w:noWrap/>
            <w:vAlign w:val="bottom"/>
            <w:hideMark/>
          </w:tcPr>
          <w:p w14:paraId="17FF89F1"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hideMark/>
          </w:tcPr>
          <w:p w14:paraId="415B8FF5"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14:paraId="70AE86B0"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c>
          <w:tcPr>
            <w:tcW w:w="1842" w:type="dxa"/>
            <w:tcBorders>
              <w:top w:val="nil"/>
              <w:left w:val="nil"/>
              <w:bottom w:val="nil"/>
              <w:right w:val="nil"/>
            </w:tcBorders>
            <w:shd w:val="clear" w:color="auto" w:fill="auto"/>
            <w:noWrap/>
            <w:vAlign w:val="bottom"/>
            <w:hideMark/>
          </w:tcPr>
          <w:p w14:paraId="72720239"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1ACC4151"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28F2769A"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78BCB1EE"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r>
      <w:tr w:rsidR="00B31823" w:rsidRPr="00B31823" w14:paraId="21E80885" w14:textId="77777777" w:rsidTr="00B31823">
        <w:trPr>
          <w:gridAfter w:val="1"/>
          <w:wAfter w:w="222" w:type="dxa"/>
          <w:trHeight w:val="450"/>
        </w:trPr>
        <w:tc>
          <w:tcPr>
            <w:tcW w:w="9923" w:type="dxa"/>
            <w:gridSpan w:val="7"/>
            <w:vMerge w:val="restart"/>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5F963E7C" w14:textId="77777777" w:rsidR="00B31823" w:rsidRPr="00B31823" w:rsidRDefault="00B31823" w:rsidP="00B31823">
            <w:pPr>
              <w:spacing w:after="0" w:line="240" w:lineRule="auto"/>
              <w:rPr>
                <w:rFonts w:ascii="Arial" w:eastAsia="Times New Roman" w:hAnsi="Arial" w:cs="Arial"/>
                <w:sz w:val="18"/>
                <w:szCs w:val="18"/>
                <w:lang w:eastAsia="en-GB"/>
              </w:rPr>
            </w:pPr>
            <w:r w:rsidRPr="00B31823">
              <w:rPr>
                <w:rFonts w:ascii="Arial" w:eastAsia="Times New Roman" w:hAnsi="Arial" w:cs="Arial"/>
                <w:b/>
                <w:bCs/>
                <w:sz w:val="18"/>
                <w:szCs w:val="18"/>
                <w:lang w:eastAsia="en-GB"/>
              </w:rPr>
              <w:t>What does this show?</w:t>
            </w:r>
            <w:r w:rsidRPr="00B31823">
              <w:rPr>
                <w:rFonts w:ascii="Arial" w:eastAsia="Times New Roman" w:hAnsi="Arial" w:cs="Arial"/>
                <w:sz w:val="18"/>
                <w:szCs w:val="18"/>
                <w:lang w:eastAsia="en-GB"/>
              </w:rPr>
              <w:t xml:space="preserve"> This note shows the number of active members that we have at the end of the period as well as the benefits earned by those members for themselves and their communities during the period. Active members are defined as those members that have traded with one or more of our businesses within the last 12 months.  </w:t>
            </w:r>
          </w:p>
        </w:tc>
      </w:tr>
      <w:tr w:rsidR="00B31823" w:rsidRPr="00B31823" w14:paraId="12397129" w14:textId="77777777" w:rsidTr="00B31823">
        <w:trPr>
          <w:trHeight w:val="319"/>
        </w:trPr>
        <w:tc>
          <w:tcPr>
            <w:tcW w:w="9923" w:type="dxa"/>
            <w:gridSpan w:val="7"/>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5D9B9840" w14:textId="77777777" w:rsidR="00B31823" w:rsidRPr="00B31823" w:rsidRDefault="00B31823" w:rsidP="00B31823">
            <w:pPr>
              <w:spacing w:after="0" w:line="240" w:lineRule="auto"/>
              <w:rPr>
                <w:rFonts w:ascii="Arial" w:eastAsia="Times New Roman" w:hAnsi="Arial" w:cs="Arial"/>
                <w:sz w:val="18"/>
                <w:szCs w:val="18"/>
                <w:lang w:eastAsia="en-GB"/>
              </w:rPr>
            </w:pPr>
          </w:p>
        </w:tc>
        <w:tc>
          <w:tcPr>
            <w:tcW w:w="222" w:type="dxa"/>
            <w:tcBorders>
              <w:top w:val="nil"/>
              <w:left w:val="nil"/>
              <w:bottom w:val="nil"/>
              <w:right w:val="nil"/>
            </w:tcBorders>
            <w:shd w:val="clear" w:color="auto" w:fill="auto"/>
            <w:noWrap/>
            <w:vAlign w:val="bottom"/>
            <w:hideMark/>
          </w:tcPr>
          <w:p w14:paraId="352CC976" w14:textId="77777777" w:rsidR="00B31823" w:rsidRPr="00B31823" w:rsidRDefault="00B31823" w:rsidP="00B31823">
            <w:pPr>
              <w:spacing w:after="0" w:line="240" w:lineRule="auto"/>
              <w:rPr>
                <w:rFonts w:ascii="Arial" w:eastAsia="Times New Roman" w:hAnsi="Arial" w:cs="Arial"/>
                <w:sz w:val="18"/>
                <w:szCs w:val="18"/>
                <w:lang w:eastAsia="en-GB"/>
              </w:rPr>
            </w:pPr>
          </w:p>
        </w:tc>
      </w:tr>
      <w:tr w:rsidR="00B31823" w:rsidRPr="00B31823" w14:paraId="079E0AE3" w14:textId="77777777" w:rsidTr="00B31823">
        <w:trPr>
          <w:trHeight w:val="319"/>
        </w:trPr>
        <w:tc>
          <w:tcPr>
            <w:tcW w:w="9923" w:type="dxa"/>
            <w:gridSpan w:val="7"/>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40B6FBB3" w14:textId="77777777" w:rsidR="00B31823" w:rsidRPr="00B31823" w:rsidRDefault="00B31823" w:rsidP="00B31823">
            <w:pPr>
              <w:spacing w:after="0" w:line="240" w:lineRule="auto"/>
              <w:rPr>
                <w:rFonts w:ascii="Arial" w:eastAsia="Times New Roman" w:hAnsi="Arial" w:cs="Arial"/>
                <w:sz w:val="18"/>
                <w:szCs w:val="18"/>
                <w:lang w:eastAsia="en-GB"/>
              </w:rPr>
            </w:pPr>
          </w:p>
        </w:tc>
        <w:tc>
          <w:tcPr>
            <w:tcW w:w="222" w:type="dxa"/>
            <w:tcBorders>
              <w:top w:val="nil"/>
              <w:left w:val="nil"/>
              <w:bottom w:val="nil"/>
              <w:right w:val="nil"/>
            </w:tcBorders>
            <w:shd w:val="clear" w:color="auto" w:fill="auto"/>
            <w:noWrap/>
            <w:vAlign w:val="bottom"/>
            <w:hideMark/>
          </w:tcPr>
          <w:p w14:paraId="46E2D8A5"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r>
      <w:tr w:rsidR="00945441" w:rsidRPr="00B31823" w14:paraId="6E933FA0" w14:textId="77777777" w:rsidTr="00945441">
        <w:trPr>
          <w:trHeight w:val="360"/>
        </w:trPr>
        <w:tc>
          <w:tcPr>
            <w:tcW w:w="2647" w:type="dxa"/>
            <w:tcBorders>
              <w:top w:val="nil"/>
              <w:left w:val="nil"/>
              <w:bottom w:val="nil"/>
              <w:right w:val="nil"/>
            </w:tcBorders>
            <w:shd w:val="clear" w:color="auto" w:fill="auto"/>
            <w:noWrap/>
            <w:vAlign w:val="bottom"/>
            <w:hideMark/>
          </w:tcPr>
          <w:p w14:paraId="55144AE1"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hideMark/>
          </w:tcPr>
          <w:p w14:paraId="06897E39" w14:textId="77777777" w:rsidR="00B31823" w:rsidRPr="00B31823" w:rsidRDefault="00B31823" w:rsidP="00B31823">
            <w:pPr>
              <w:spacing w:after="0" w:line="240" w:lineRule="auto"/>
              <w:jc w:val="both"/>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14:paraId="63BBF412" w14:textId="77777777" w:rsidR="00B31823" w:rsidRPr="00B31823" w:rsidRDefault="00B31823" w:rsidP="00B31823">
            <w:pPr>
              <w:spacing w:after="0" w:line="240" w:lineRule="auto"/>
              <w:jc w:val="both"/>
              <w:rPr>
                <w:rFonts w:ascii="Times New Roman" w:eastAsia="Times New Roman" w:hAnsi="Times New Roman" w:cs="Times New Roman"/>
                <w:sz w:val="20"/>
                <w:szCs w:val="20"/>
                <w:lang w:eastAsia="en-GB"/>
              </w:rPr>
            </w:pPr>
          </w:p>
        </w:tc>
        <w:tc>
          <w:tcPr>
            <w:tcW w:w="1842" w:type="dxa"/>
            <w:tcBorders>
              <w:top w:val="nil"/>
              <w:left w:val="nil"/>
              <w:bottom w:val="nil"/>
              <w:right w:val="nil"/>
            </w:tcBorders>
            <w:shd w:val="clear" w:color="auto" w:fill="auto"/>
            <w:noWrap/>
            <w:vAlign w:val="bottom"/>
            <w:hideMark/>
          </w:tcPr>
          <w:p w14:paraId="3C8F4C8D" w14:textId="77777777" w:rsidR="00B31823" w:rsidRPr="00B31823" w:rsidRDefault="00B31823" w:rsidP="00B31823">
            <w:pPr>
              <w:spacing w:after="0" w:line="240" w:lineRule="auto"/>
              <w:jc w:val="both"/>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60789A48" w14:textId="77777777" w:rsidR="00B31823" w:rsidRPr="00B31823" w:rsidRDefault="00B31823" w:rsidP="00B31823">
            <w:pPr>
              <w:spacing w:after="0" w:line="240" w:lineRule="auto"/>
              <w:jc w:val="both"/>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0DC3ACED" w14:textId="77777777" w:rsidR="00B31823" w:rsidRPr="00B31823" w:rsidRDefault="00B31823" w:rsidP="00B31823">
            <w:pPr>
              <w:spacing w:after="0" w:line="240" w:lineRule="auto"/>
              <w:jc w:val="both"/>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26CDC1BD" w14:textId="77777777" w:rsidR="00B31823" w:rsidRPr="00B31823" w:rsidRDefault="00B31823" w:rsidP="00B31823">
            <w:pPr>
              <w:spacing w:after="0" w:line="240" w:lineRule="auto"/>
              <w:jc w:val="both"/>
              <w:rPr>
                <w:rFonts w:ascii="Times New Roman" w:eastAsia="Times New Roman" w:hAnsi="Times New Roman" w:cs="Times New Roman"/>
                <w:sz w:val="20"/>
                <w:szCs w:val="20"/>
                <w:lang w:eastAsia="en-GB"/>
              </w:rPr>
            </w:pPr>
          </w:p>
        </w:tc>
        <w:tc>
          <w:tcPr>
            <w:tcW w:w="222" w:type="dxa"/>
            <w:vAlign w:val="center"/>
            <w:hideMark/>
          </w:tcPr>
          <w:p w14:paraId="3E8E27A2"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r>
      <w:tr w:rsidR="00B31823" w:rsidRPr="00B31823" w14:paraId="4D2A767C" w14:textId="77777777" w:rsidTr="008455FA">
        <w:trPr>
          <w:trHeight w:val="221"/>
        </w:trPr>
        <w:tc>
          <w:tcPr>
            <w:tcW w:w="2647" w:type="dxa"/>
            <w:tcBorders>
              <w:top w:val="single" w:sz="4" w:space="0" w:color="BFBFBF"/>
              <w:left w:val="single" w:sz="4" w:space="0" w:color="BFBFBF"/>
              <w:bottom w:val="nil"/>
              <w:right w:val="nil"/>
            </w:tcBorders>
            <w:shd w:val="clear" w:color="auto" w:fill="auto"/>
            <w:noWrap/>
            <w:vAlign w:val="center"/>
            <w:hideMark/>
          </w:tcPr>
          <w:p w14:paraId="21FCCBCC" w14:textId="77777777" w:rsidR="00B31823" w:rsidRPr="00B31823" w:rsidRDefault="00B31823" w:rsidP="00B31823">
            <w:pPr>
              <w:spacing w:after="0" w:line="240" w:lineRule="auto"/>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Members</w:t>
            </w:r>
          </w:p>
        </w:tc>
        <w:tc>
          <w:tcPr>
            <w:tcW w:w="272" w:type="dxa"/>
            <w:tcBorders>
              <w:top w:val="single" w:sz="4" w:space="0" w:color="BFBFBF"/>
              <w:left w:val="nil"/>
              <w:bottom w:val="nil"/>
              <w:right w:val="nil"/>
            </w:tcBorders>
            <w:shd w:val="clear" w:color="auto" w:fill="auto"/>
            <w:noWrap/>
            <w:hideMark/>
          </w:tcPr>
          <w:p w14:paraId="7A230F85" w14:textId="77777777" w:rsidR="00B31823" w:rsidRPr="00B31823" w:rsidRDefault="00B31823" w:rsidP="00B31823">
            <w:pPr>
              <w:spacing w:after="0" w:line="240" w:lineRule="auto"/>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w:t>
            </w:r>
          </w:p>
        </w:tc>
        <w:tc>
          <w:tcPr>
            <w:tcW w:w="626" w:type="dxa"/>
            <w:tcBorders>
              <w:top w:val="single" w:sz="4" w:space="0" w:color="BFBFBF"/>
              <w:left w:val="nil"/>
              <w:bottom w:val="nil"/>
              <w:right w:val="nil"/>
            </w:tcBorders>
            <w:shd w:val="clear" w:color="auto" w:fill="auto"/>
            <w:noWrap/>
            <w:hideMark/>
          </w:tcPr>
          <w:p w14:paraId="2E176D49" w14:textId="77777777" w:rsidR="00B31823" w:rsidRPr="00B31823" w:rsidRDefault="00B31823" w:rsidP="00B31823">
            <w:pPr>
              <w:spacing w:after="0" w:line="240" w:lineRule="auto"/>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w:t>
            </w:r>
          </w:p>
        </w:tc>
        <w:tc>
          <w:tcPr>
            <w:tcW w:w="1842" w:type="dxa"/>
            <w:tcBorders>
              <w:top w:val="single" w:sz="4" w:space="0" w:color="BFBFBF"/>
              <w:left w:val="nil"/>
              <w:bottom w:val="nil"/>
              <w:right w:val="nil"/>
            </w:tcBorders>
            <w:shd w:val="clear" w:color="auto" w:fill="auto"/>
            <w:hideMark/>
          </w:tcPr>
          <w:p w14:paraId="53C848AF" w14:textId="77777777" w:rsidR="00B31823" w:rsidRPr="00B31823" w:rsidRDefault="00B31823" w:rsidP="00B31823">
            <w:pPr>
              <w:spacing w:after="0" w:line="240" w:lineRule="auto"/>
              <w:rPr>
                <w:rFonts w:ascii="Arial" w:eastAsia="Times New Roman" w:hAnsi="Arial" w:cs="Arial"/>
                <w:sz w:val="15"/>
                <w:szCs w:val="15"/>
                <w:lang w:eastAsia="en-GB"/>
              </w:rPr>
            </w:pPr>
            <w:r w:rsidRPr="00B31823">
              <w:rPr>
                <w:rFonts w:ascii="Arial" w:eastAsia="Times New Roman" w:hAnsi="Arial" w:cs="Arial"/>
                <w:sz w:val="15"/>
                <w:szCs w:val="15"/>
                <w:lang w:eastAsia="en-GB"/>
              </w:rPr>
              <w:t> </w:t>
            </w:r>
          </w:p>
        </w:tc>
        <w:tc>
          <w:tcPr>
            <w:tcW w:w="1417" w:type="dxa"/>
            <w:tcBorders>
              <w:top w:val="single" w:sz="4" w:space="0" w:color="BFBFBF"/>
              <w:left w:val="nil"/>
              <w:bottom w:val="nil"/>
              <w:right w:val="nil"/>
            </w:tcBorders>
            <w:shd w:val="clear" w:color="auto" w:fill="auto"/>
            <w:vAlign w:val="center"/>
            <w:hideMark/>
          </w:tcPr>
          <w:p w14:paraId="45994022" w14:textId="77777777" w:rsidR="00B31823" w:rsidRPr="00B31823" w:rsidRDefault="00B31823" w:rsidP="00B31823">
            <w:pPr>
              <w:spacing w:after="0" w:line="240" w:lineRule="auto"/>
              <w:jc w:val="right"/>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2 July 2022</w:t>
            </w:r>
          </w:p>
        </w:tc>
        <w:tc>
          <w:tcPr>
            <w:tcW w:w="1701" w:type="dxa"/>
            <w:tcBorders>
              <w:top w:val="single" w:sz="4" w:space="0" w:color="BFBFBF"/>
              <w:left w:val="nil"/>
              <w:bottom w:val="nil"/>
              <w:right w:val="nil"/>
            </w:tcBorders>
            <w:shd w:val="clear" w:color="auto" w:fill="auto"/>
            <w:vAlign w:val="center"/>
            <w:hideMark/>
          </w:tcPr>
          <w:p w14:paraId="233E3B09"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3 July 2021</w:t>
            </w:r>
          </w:p>
        </w:tc>
        <w:tc>
          <w:tcPr>
            <w:tcW w:w="1418" w:type="dxa"/>
            <w:tcBorders>
              <w:top w:val="single" w:sz="4" w:space="0" w:color="BFBFBF"/>
              <w:left w:val="nil"/>
              <w:bottom w:val="nil"/>
              <w:right w:val="single" w:sz="4" w:space="0" w:color="BFBFBF"/>
            </w:tcBorders>
            <w:shd w:val="clear" w:color="auto" w:fill="auto"/>
            <w:vAlign w:val="center"/>
            <w:hideMark/>
          </w:tcPr>
          <w:p w14:paraId="256B8437"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1 January 2022</w:t>
            </w:r>
          </w:p>
        </w:tc>
        <w:tc>
          <w:tcPr>
            <w:tcW w:w="222" w:type="dxa"/>
            <w:vAlign w:val="center"/>
            <w:hideMark/>
          </w:tcPr>
          <w:p w14:paraId="28BBF172"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r>
      <w:tr w:rsidR="00B31823" w:rsidRPr="00B31823" w14:paraId="4C46A73C" w14:textId="77777777" w:rsidTr="008455FA">
        <w:trPr>
          <w:trHeight w:val="106"/>
        </w:trPr>
        <w:tc>
          <w:tcPr>
            <w:tcW w:w="2647" w:type="dxa"/>
            <w:tcBorders>
              <w:top w:val="nil"/>
              <w:left w:val="single" w:sz="4" w:space="0" w:color="BFBFBF"/>
              <w:bottom w:val="nil"/>
              <w:right w:val="nil"/>
            </w:tcBorders>
            <w:shd w:val="clear" w:color="auto" w:fill="auto"/>
            <w:noWrap/>
            <w:vAlign w:val="center"/>
            <w:hideMark/>
          </w:tcPr>
          <w:p w14:paraId="7110453E" w14:textId="77777777" w:rsidR="00B31823" w:rsidRPr="00B31823" w:rsidRDefault="00B31823" w:rsidP="00B31823">
            <w:pPr>
              <w:spacing w:after="0" w:line="240" w:lineRule="auto"/>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w:t>
            </w:r>
          </w:p>
        </w:tc>
        <w:tc>
          <w:tcPr>
            <w:tcW w:w="272" w:type="dxa"/>
            <w:tcBorders>
              <w:top w:val="nil"/>
              <w:left w:val="nil"/>
              <w:bottom w:val="nil"/>
              <w:right w:val="nil"/>
            </w:tcBorders>
            <w:shd w:val="clear" w:color="auto" w:fill="auto"/>
            <w:noWrap/>
            <w:hideMark/>
          </w:tcPr>
          <w:p w14:paraId="183D3F55" w14:textId="77777777" w:rsidR="00B31823" w:rsidRPr="00B31823" w:rsidRDefault="00B31823" w:rsidP="00B31823">
            <w:pPr>
              <w:spacing w:after="0" w:line="240" w:lineRule="auto"/>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w:t>
            </w:r>
          </w:p>
        </w:tc>
        <w:tc>
          <w:tcPr>
            <w:tcW w:w="626" w:type="dxa"/>
            <w:tcBorders>
              <w:top w:val="nil"/>
              <w:left w:val="nil"/>
              <w:bottom w:val="nil"/>
              <w:right w:val="nil"/>
            </w:tcBorders>
            <w:shd w:val="clear" w:color="auto" w:fill="auto"/>
            <w:noWrap/>
            <w:hideMark/>
          </w:tcPr>
          <w:p w14:paraId="00B35143" w14:textId="77777777" w:rsidR="00B31823" w:rsidRPr="00B31823" w:rsidRDefault="00B31823" w:rsidP="00B31823">
            <w:pPr>
              <w:spacing w:after="0" w:line="240" w:lineRule="auto"/>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w:t>
            </w:r>
          </w:p>
        </w:tc>
        <w:tc>
          <w:tcPr>
            <w:tcW w:w="1842" w:type="dxa"/>
            <w:tcBorders>
              <w:top w:val="nil"/>
              <w:left w:val="nil"/>
              <w:bottom w:val="nil"/>
              <w:right w:val="nil"/>
            </w:tcBorders>
            <w:shd w:val="clear" w:color="auto" w:fill="auto"/>
            <w:hideMark/>
          </w:tcPr>
          <w:p w14:paraId="7A411F59" w14:textId="77777777" w:rsidR="00B31823" w:rsidRPr="00B31823" w:rsidRDefault="00B31823" w:rsidP="00B31823">
            <w:pPr>
              <w:spacing w:after="0" w:line="240" w:lineRule="auto"/>
              <w:rPr>
                <w:rFonts w:ascii="Arial" w:eastAsia="Times New Roman" w:hAnsi="Arial" w:cs="Arial"/>
                <w:sz w:val="15"/>
                <w:szCs w:val="15"/>
                <w:lang w:eastAsia="en-GB"/>
              </w:rPr>
            </w:pPr>
            <w:r w:rsidRPr="00B31823">
              <w:rPr>
                <w:rFonts w:ascii="Arial" w:eastAsia="Times New Roman" w:hAnsi="Arial" w:cs="Arial"/>
                <w:sz w:val="15"/>
                <w:szCs w:val="15"/>
                <w:lang w:eastAsia="en-GB"/>
              </w:rPr>
              <w:t> </w:t>
            </w:r>
          </w:p>
        </w:tc>
        <w:tc>
          <w:tcPr>
            <w:tcW w:w="1417" w:type="dxa"/>
            <w:tcBorders>
              <w:top w:val="nil"/>
              <w:left w:val="nil"/>
              <w:bottom w:val="nil"/>
              <w:right w:val="nil"/>
            </w:tcBorders>
            <w:shd w:val="clear" w:color="auto" w:fill="auto"/>
            <w:hideMark/>
          </w:tcPr>
          <w:p w14:paraId="2F5C9963" w14:textId="77777777" w:rsidR="00B31823" w:rsidRPr="00B31823" w:rsidRDefault="00B31823" w:rsidP="00B31823">
            <w:pPr>
              <w:spacing w:after="0" w:line="240" w:lineRule="auto"/>
              <w:jc w:val="right"/>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(unaudited)</w:t>
            </w:r>
          </w:p>
        </w:tc>
        <w:tc>
          <w:tcPr>
            <w:tcW w:w="1701" w:type="dxa"/>
            <w:tcBorders>
              <w:top w:val="nil"/>
              <w:left w:val="nil"/>
              <w:bottom w:val="nil"/>
              <w:right w:val="nil"/>
            </w:tcBorders>
            <w:shd w:val="clear" w:color="auto" w:fill="auto"/>
            <w:hideMark/>
          </w:tcPr>
          <w:p w14:paraId="0E753A51"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(unaudited)</w:t>
            </w:r>
          </w:p>
        </w:tc>
        <w:tc>
          <w:tcPr>
            <w:tcW w:w="1418" w:type="dxa"/>
            <w:tcBorders>
              <w:top w:val="nil"/>
              <w:left w:val="nil"/>
              <w:bottom w:val="nil"/>
              <w:right w:val="single" w:sz="4" w:space="0" w:color="BFBFBF"/>
            </w:tcBorders>
            <w:shd w:val="clear" w:color="auto" w:fill="auto"/>
            <w:hideMark/>
          </w:tcPr>
          <w:p w14:paraId="424AF69D"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(unaudited)</w:t>
            </w:r>
          </w:p>
        </w:tc>
        <w:tc>
          <w:tcPr>
            <w:tcW w:w="222" w:type="dxa"/>
            <w:vAlign w:val="center"/>
            <w:hideMark/>
          </w:tcPr>
          <w:p w14:paraId="50E3BFEC"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r>
      <w:tr w:rsidR="00B31823" w:rsidRPr="00B31823" w14:paraId="557C8B18" w14:textId="77777777" w:rsidTr="00945441">
        <w:trPr>
          <w:trHeight w:val="300"/>
        </w:trPr>
        <w:tc>
          <w:tcPr>
            <w:tcW w:w="2647" w:type="dxa"/>
            <w:tcBorders>
              <w:top w:val="nil"/>
              <w:left w:val="single" w:sz="4" w:space="0" w:color="BFBFBF"/>
              <w:bottom w:val="single" w:sz="4" w:space="0" w:color="BFBFBF"/>
              <w:right w:val="nil"/>
            </w:tcBorders>
            <w:shd w:val="clear" w:color="auto" w:fill="auto"/>
            <w:noWrap/>
            <w:vAlign w:val="center"/>
            <w:hideMark/>
          </w:tcPr>
          <w:p w14:paraId="4D8A9538" w14:textId="77777777" w:rsidR="00B31823" w:rsidRPr="00B31823" w:rsidRDefault="00B31823" w:rsidP="00B31823">
            <w:pPr>
              <w:spacing w:after="0" w:line="240" w:lineRule="auto"/>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w:t>
            </w:r>
          </w:p>
        </w:tc>
        <w:tc>
          <w:tcPr>
            <w:tcW w:w="272" w:type="dxa"/>
            <w:tcBorders>
              <w:top w:val="nil"/>
              <w:left w:val="nil"/>
              <w:bottom w:val="single" w:sz="4" w:space="0" w:color="BFBFBF"/>
              <w:right w:val="nil"/>
            </w:tcBorders>
            <w:shd w:val="clear" w:color="auto" w:fill="auto"/>
            <w:noWrap/>
            <w:vAlign w:val="center"/>
            <w:hideMark/>
          </w:tcPr>
          <w:p w14:paraId="588B58D0" w14:textId="77777777" w:rsidR="00B31823" w:rsidRPr="00B31823" w:rsidRDefault="00B31823" w:rsidP="00B31823">
            <w:pPr>
              <w:spacing w:after="0" w:line="240" w:lineRule="auto"/>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w:t>
            </w:r>
          </w:p>
        </w:tc>
        <w:tc>
          <w:tcPr>
            <w:tcW w:w="626" w:type="dxa"/>
            <w:tcBorders>
              <w:top w:val="nil"/>
              <w:left w:val="nil"/>
              <w:bottom w:val="single" w:sz="4" w:space="0" w:color="BFBFBF"/>
              <w:right w:val="nil"/>
            </w:tcBorders>
            <w:shd w:val="clear" w:color="auto" w:fill="auto"/>
            <w:noWrap/>
            <w:vAlign w:val="center"/>
            <w:hideMark/>
          </w:tcPr>
          <w:p w14:paraId="74DB0ABC" w14:textId="77777777" w:rsidR="00B31823" w:rsidRPr="00B31823" w:rsidRDefault="00B31823" w:rsidP="00B31823">
            <w:pPr>
              <w:spacing w:after="0" w:line="240" w:lineRule="auto"/>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w:t>
            </w:r>
          </w:p>
        </w:tc>
        <w:tc>
          <w:tcPr>
            <w:tcW w:w="1842" w:type="dxa"/>
            <w:tcBorders>
              <w:top w:val="nil"/>
              <w:left w:val="nil"/>
              <w:bottom w:val="single" w:sz="4" w:space="0" w:color="BFBFBF"/>
              <w:right w:val="nil"/>
            </w:tcBorders>
            <w:shd w:val="clear" w:color="auto" w:fill="auto"/>
            <w:vAlign w:val="center"/>
            <w:hideMark/>
          </w:tcPr>
          <w:p w14:paraId="1237D313"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 </w:t>
            </w:r>
          </w:p>
        </w:tc>
        <w:tc>
          <w:tcPr>
            <w:tcW w:w="1417" w:type="dxa"/>
            <w:tcBorders>
              <w:top w:val="nil"/>
              <w:left w:val="nil"/>
              <w:bottom w:val="single" w:sz="4" w:space="0" w:color="BFBFBF"/>
              <w:right w:val="nil"/>
            </w:tcBorders>
            <w:shd w:val="clear" w:color="auto" w:fill="auto"/>
            <w:vAlign w:val="center"/>
            <w:hideMark/>
          </w:tcPr>
          <w:p w14:paraId="02A92E49" w14:textId="77777777" w:rsidR="00B31823" w:rsidRPr="00B31823" w:rsidRDefault="00B31823" w:rsidP="00B31823">
            <w:pPr>
              <w:spacing w:after="0" w:line="240" w:lineRule="auto"/>
              <w:jc w:val="right"/>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m</w:t>
            </w:r>
          </w:p>
        </w:tc>
        <w:tc>
          <w:tcPr>
            <w:tcW w:w="1701" w:type="dxa"/>
            <w:tcBorders>
              <w:top w:val="nil"/>
              <w:left w:val="nil"/>
              <w:bottom w:val="single" w:sz="4" w:space="0" w:color="BFBFBF"/>
              <w:right w:val="nil"/>
            </w:tcBorders>
            <w:shd w:val="clear" w:color="auto" w:fill="auto"/>
            <w:vAlign w:val="center"/>
            <w:hideMark/>
          </w:tcPr>
          <w:p w14:paraId="2F616AB5"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m</w:t>
            </w:r>
          </w:p>
        </w:tc>
        <w:tc>
          <w:tcPr>
            <w:tcW w:w="1418" w:type="dxa"/>
            <w:tcBorders>
              <w:top w:val="nil"/>
              <w:left w:val="nil"/>
              <w:bottom w:val="single" w:sz="4" w:space="0" w:color="BFBFBF"/>
              <w:right w:val="single" w:sz="4" w:space="0" w:color="BFBFBF"/>
            </w:tcBorders>
            <w:shd w:val="clear" w:color="auto" w:fill="auto"/>
            <w:vAlign w:val="center"/>
            <w:hideMark/>
          </w:tcPr>
          <w:p w14:paraId="47476079"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m</w:t>
            </w:r>
          </w:p>
        </w:tc>
        <w:tc>
          <w:tcPr>
            <w:tcW w:w="222" w:type="dxa"/>
            <w:vAlign w:val="center"/>
            <w:hideMark/>
          </w:tcPr>
          <w:p w14:paraId="184CCDB6"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r>
      <w:tr w:rsidR="00B31823" w:rsidRPr="00B31823" w14:paraId="0F809DEA" w14:textId="77777777" w:rsidTr="00945441">
        <w:trPr>
          <w:trHeight w:val="255"/>
        </w:trPr>
        <w:tc>
          <w:tcPr>
            <w:tcW w:w="2919" w:type="dxa"/>
            <w:gridSpan w:val="2"/>
            <w:tcBorders>
              <w:top w:val="single" w:sz="4" w:space="0" w:color="BFBFBF"/>
              <w:left w:val="nil"/>
              <w:bottom w:val="single" w:sz="4" w:space="0" w:color="BFBFBF"/>
              <w:right w:val="nil"/>
            </w:tcBorders>
            <w:shd w:val="clear" w:color="000000" w:fill="FFFFFF"/>
            <w:vAlign w:val="center"/>
            <w:hideMark/>
          </w:tcPr>
          <w:p w14:paraId="25F0F89A" w14:textId="77777777" w:rsidR="00B31823" w:rsidRPr="00B31823" w:rsidRDefault="00B31823" w:rsidP="00B31823">
            <w:pPr>
              <w:spacing w:after="0" w:line="240" w:lineRule="auto"/>
              <w:rPr>
                <w:rFonts w:ascii="Arial" w:eastAsia="Times New Roman" w:hAnsi="Arial" w:cs="Arial"/>
                <w:sz w:val="15"/>
                <w:szCs w:val="15"/>
                <w:lang w:eastAsia="en-GB"/>
              </w:rPr>
            </w:pPr>
            <w:r w:rsidRPr="00B31823">
              <w:rPr>
                <w:rFonts w:ascii="Arial" w:eastAsia="Times New Roman" w:hAnsi="Arial" w:cs="Arial"/>
                <w:sz w:val="15"/>
                <w:szCs w:val="15"/>
                <w:lang w:eastAsia="en-GB"/>
              </w:rPr>
              <w:t xml:space="preserve">Active Members </w:t>
            </w:r>
          </w:p>
        </w:tc>
        <w:tc>
          <w:tcPr>
            <w:tcW w:w="626" w:type="dxa"/>
            <w:tcBorders>
              <w:top w:val="nil"/>
              <w:left w:val="nil"/>
              <w:bottom w:val="single" w:sz="4" w:space="0" w:color="BFBFBF"/>
              <w:right w:val="nil"/>
            </w:tcBorders>
            <w:shd w:val="clear" w:color="000000" w:fill="FFFFFF"/>
            <w:vAlign w:val="center"/>
            <w:hideMark/>
          </w:tcPr>
          <w:p w14:paraId="287E0077" w14:textId="77777777" w:rsidR="00B31823" w:rsidRPr="00B31823" w:rsidRDefault="00B31823" w:rsidP="00B31823">
            <w:pPr>
              <w:spacing w:after="0" w:line="240" w:lineRule="auto"/>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w:t>
            </w:r>
          </w:p>
        </w:tc>
        <w:tc>
          <w:tcPr>
            <w:tcW w:w="1842" w:type="dxa"/>
            <w:tcBorders>
              <w:top w:val="nil"/>
              <w:left w:val="nil"/>
              <w:bottom w:val="single" w:sz="4" w:space="0" w:color="BFBFBF"/>
              <w:right w:val="nil"/>
            </w:tcBorders>
            <w:shd w:val="clear" w:color="000000" w:fill="FFFFFF"/>
            <w:vAlign w:val="center"/>
            <w:hideMark/>
          </w:tcPr>
          <w:p w14:paraId="04E4AAE1" w14:textId="77777777" w:rsidR="00B31823" w:rsidRPr="00B31823" w:rsidRDefault="00B31823" w:rsidP="00B31823">
            <w:pPr>
              <w:spacing w:after="0" w:line="240" w:lineRule="auto"/>
              <w:rPr>
                <w:rFonts w:ascii="Arial" w:eastAsia="Times New Roman" w:hAnsi="Arial" w:cs="Arial"/>
                <w:sz w:val="15"/>
                <w:szCs w:val="15"/>
                <w:lang w:eastAsia="en-GB"/>
              </w:rPr>
            </w:pPr>
            <w:r w:rsidRPr="00B31823">
              <w:rPr>
                <w:rFonts w:ascii="Arial" w:eastAsia="Times New Roman" w:hAnsi="Arial" w:cs="Arial"/>
                <w:sz w:val="15"/>
                <w:szCs w:val="15"/>
                <w:lang w:eastAsia="en-GB"/>
              </w:rPr>
              <w:t> </w:t>
            </w:r>
          </w:p>
        </w:tc>
        <w:tc>
          <w:tcPr>
            <w:tcW w:w="1417" w:type="dxa"/>
            <w:tcBorders>
              <w:top w:val="nil"/>
              <w:left w:val="nil"/>
              <w:bottom w:val="single" w:sz="4" w:space="0" w:color="BFBFBF"/>
              <w:right w:val="nil"/>
            </w:tcBorders>
            <w:shd w:val="clear" w:color="auto" w:fill="CCECFF"/>
            <w:vAlign w:val="center"/>
            <w:hideMark/>
          </w:tcPr>
          <w:p w14:paraId="537C1E74" w14:textId="77777777" w:rsidR="00B31823" w:rsidRPr="00B31823" w:rsidRDefault="00B31823" w:rsidP="00B31823">
            <w:pPr>
              <w:spacing w:after="0" w:line="240" w:lineRule="auto"/>
              <w:jc w:val="right"/>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xml:space="preserve">4.3 </w:t>
            </w:r>
          </w:p>
        </w:tc>
        <w:tc>
          <w:tcPr>
            <w:tcW w:w="1701" w:type="dxa"/>
            <w:tcBorders>
              <w:top w:val="nil"/>
              <w:left w:val="nil"/>
              <w:bottom w:val="single" w:sz="4" w:space="0" w:color="BFBFBF"/>
              <w:right w:val="nil"/>
            </w:tcBorders>
            <w:shd w:val="clear" w:color="000000" w:fill="FFFFFF"/>
            <w:vAlign w:val="center"/>
            <w:hideMark/>
          </w:tcPr>
          <w:p w14:paraId="5BA92221"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 xml:space="preserve">4.2 </w:t>
            </w:r>
          </w:p>
        </w:tc>
        <w:tc>
          <w:tcPr>
            <w:tcW w:w="1418" w:type="dxa"/>
            <w:tcBorders>
              <w:top w:val="nil"/>
              <w:left w:val="nil"/>
              <w:bottom w:val="single" w:sz="4" w:space="0" w:color="BFBFBF"/>
              <w:right w:val="nil"/>
            </w:tcBorders>
            <w:shd w:val="clear" w:color="000000" w:fill="FFFFFF"/>
            <w:vAlign w:val="center"/>
            <w:hideMark/>
          </w:tcPr>
          <w:p w14:paraId="028F2B9A"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 xml:space="preserve">4.2 </w:t>
            </w:r>
          </w:p>
        </w:tc>
        <w:tc>
          <w:tcPr>
            <w:tcW w:w="222" w:type="dxa"/>
            <w:vAlign w:val="center"/>
            <w:hideMark/>
          </w:tcPr>
          <w:p w14:paraId="49885DBB"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r>
      <w:tr w:rsidR="00B31823" w:rsidRPr="00B31823" w14:paraId="7DB1E7DF" w14:textId="77777777" w:rsidTr="00945441">
        <w:trPr>
          <w:trHeight w:val="259"/>
        </w:trPr>
        <w:tc>
          <w:tcPr>
            <w:tcW w:w="2647" w:type="dxa"/>
            <w:tcBorders>
              <w:top w:val="nil"/>
              <w:left w:val="nil"/>
              <w:bottom w:val="nil"/>
              <w:right w:val="nil"/>
            </w:tcBorders>
            <w:shd w:val="clear" w:color="000000" w:fill="FFFFFF"/>
            <w:noWrap/>
            <w:vAlign w:val="center"/>
            <w:hideMark/>
          </w:tcPr>
          <w:p w14:paraId="5436CF5B" w14:textId="77777777" w:rsidR="00B31823" w:rsidRPr="00B31823" w:rsidRDefault="00B31823" w:rsidP="00B31823">
            <w:pPr>
              <w:spacing w:after="0" w:line="240" w:lineRule="auto"/>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w:t>
            </w:r>
          </w:p>
        </w:tc>
        <w:tc>
          <w:tcPr>
            <w:tcW w:w="272" w:type="dxa"/>
            <w:tcBorders>
              <w:top w:val="nil"/>
              <w:left w:val="nil"/>
              <w:bottom w:val="nil"/>
              <w:right w:val="nil"/>
            </w:tcBorders>
            <w:shd w:val="clear" w:color="000000" w:fill="FFFFFF"/>
            <w:noWrap/>
            <w:vAlign w:val="bottom"/>
            <w:hideMark/>
          </w:tcPr>
          <w:p w14:paraId="55BDBC7C" w14:textId="77777777" w:rsidR="00B31823" w:rsidRPr="00B31823" w:rsidRDefault="00B31823" w:rsidP="00B31823">
            <w:pPr>
              <w:spacing w:after="0" w:line="240" w:lineRule="auto"/>
              <w:rPr>
                <w:rFonts w:ascii="Arial" w:eastAsia="Times New Roman" w:hAnsi="Arial" w:cs="Arial"/>
                <w:b/>
                <w:bCs/>
                <w:sz w:val="20"/>
                <w:szCs w:val="20"/>
                <w:lang w:eastAsia="en-GB"/>
              </w:rPr>
            </w:pPr>
            <w:r w:rsidRPr="00B31823">
              <w:rPr>
                <w:rFonts w:ascii="Arial" w:eastAsia="Times New Roman" w:hAnsi="Arial" w:cs="Arial"/>
                <w:b/>
                <w:bCs/>
                <w:sz w:val="20"/>
                <w:szCs w:val="20"/>
                <w:lang w:eastAsia="en-GB"/>
              </w:rPr>
              <w:t> </w:t>
            </w:r>
          </w:p>
        </w:tc>
        <w:tc>
          <w:tcPr>
            <w:tcW w:w="626" w:type="dxa"/>
            <w:tcBorders>
              <w:top w:val="nil"/>
              <w:left w:val="nil"/>
              <w:bottom w:val="nil"/>
              <w:right w:val="nil"/>
            </w:tcBorders>
            <w:shd w:val="clear" w:color="000000" w:fill="FFFFFF"/>
            <w:noWrap/>
            <w:vAlign w:val="bottom"/>
            <w:hideMark/>
          </w:tcPr>
          <w:p w14:paraId="6AF4C67F" w14:textId="77777777" w:rsidR="00B31823" w:rsidRPr="00B31823" w:rsidRDefault="00B31823" w:rsidP="00B31823">
            <w:pPr>
              <w:spacing w:after="0" w:line="240" w:lineRule="auto"/>
              <w:rPr>
                <w:rFonts w:ascii="Arial" w:eastAsia="Times New Roman" w:hAnsi="Arial" w:cs="Arial"/>
                <w:b/>
                <w:bCs/>
                <w:sz w:val="20"/>
                <w:szCs w:val="20"/>
                <w:lang w:eastAsia="en-GB"/>
              </w:rPr>
            </w:pPr>
            <w:r w:rsidRPr="00B31823">
              <w:rPr>
                <w:rFonts w:ascii="Arial" w:eastAsia="Times New Roman" w:hAnsi="Arial" w:cs="Arial"/>
                <w:b/>
                <w:bCs/>
                <w:sz w:val="20"/>
                <w:szCs w:val="20"/>
                <w:lang w:eastAsia="en-GB"/>
              </w:rPr>
              <w:t> </w:t>
            </w:r>
          </w:p>
        </w:tc>
        <w:tc>
          <w:tcPr>
            <w:tcW w:w="1842" w:type="dxa"/>
            <w:tcBorders>
              <w:top w:val="nil"/>
              <w:left w:val="nil"/>
              <w:bottom w:val="nil"/>
              <w:right w:val="nil"/>
            </w:tcBorders>
            <w:shd w:val="clear" w:color="000000" w:fill="FFFFFF"/>
            <w:hideMark/>
          </w:tcPr>
          <w:p w14:paraId="4B6FF417"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 </w:t>
            </w:r>
          </w:p>
        </w:tc>
        <w:tc>
          <w:tcPr>
            <w:tcW w:w="1417" w:type="dxa"/>
            <w:tcBorders>
              <w:top w:val="nil"/>
              <w:left w:val="nil"/>
              <w:bottom w:val="nil"/>
              <w:right w:val="nil"/>
            </w:tcBorders>
            <w:shd w:val="clear" w:color="auto" w:fill="CCECFF"/>
            <w:hideMark/>
          </w:tcPr>
          <w:p w14:paraId="20F3FD3C" w14:textId="77777777" w:rsidR="00B31823" w:rsidRPr="00B31823" w:rsidRDefault="00B31823" w:rsidP="00B31823">
            <w:pPr>
              <w:spacing w:after="0" w:line="240" w:lineRule="auto"/>
              <w:jc w:val="right"/>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w:t>
            </w:r>
          </w:p>
        </w:tc>
        <w:tc>
          <w:tcPr>
            <w:tcW w:w="1701" w:type="dxa"/>
            <w:tcBorders>
              <w:top w:val="nil"/>
              <w:left w:val="nil"/>
              <w:bottom w:val="nil"/>
              <w:right w:val="nil"/>
            </w:tcBorders>
            <w:shd w:val="clear" w:color="000000" w:fill="FFFFFF"/>
            <w:hideMark/>
          </w:tcPr>
          <w:p w14:paraId="4B46A955"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 </w:t>
            </w:r>
          </w:p>
        </w:tc>
        <w:tc>
          <w:tcPr>
            <w:tcW w:w="1418" w:type="dxa"/>
            <w:tcBorders>
              <w:top w:val="nil"/>
              <w:left w:val="nil"/>
              <w:bottom w:val="nil"/>
              <w:right w:val="nil"/>
            </w:tcBorders>
            <w:shd w:val="clear" w:color="000000" w:fill="FFFFFF"/>
            <w:hideMark/>
          </w:tcPr>
          <w:p w14:paraId="70DB071B"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 </w:t>
            </w:r>
          </w:p>
        </w:tc>
        <w:tc>
          <w:tcPr>
            <w:tcW w:w="222" w:type="dxa"/>
            <w:vAlign w:val="center"/>
            <w:hideMark/>
          </w:tcPr>
          <w:p w14:paraId="1DAC7FDC"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r>
      <w:tr w:rsidR="00945441" w:rsidRPr="00B31823" w14:paraId="71B4D355" w14:textId="77777777" w:rsidTr="00945441">
        <w:trPr>
          <w:trHeight w:val="390"/>
        </w:trPr>
        <w:tc>
          <w:tcPr>
            <w:tcW w:w="5387" w:type="dxa"/>
            <w:gridSpan w:val="4"/>
            <w:tcBorders>
              <w:top w:val="nil"/>
              <w:left w:val="nil"/>
              <w:bottom w:val="single" w:sz="4" w:space="0" w:color="BFBFBF"/>
              <w:right w:val="nil"/>
            </w:tcBorders>
            <w:shd w:val="clear" w:color="000000" w:fill="FFFFFF"/>
            <w:noWrap/>
            <w:vAlign w:val="center"/>
            <w:hideMark/>
          </w:tcPr>
          <w:p w14:paraId="2D1944C2" w14:textId="77777777" w:rsidR="00B31823" w:rsidRPr="00B31823" w:rsidRDefault="00B31823" w:rsidP="00B31823">
            <w:pPr>
              <w:spacing w:after="0" w:line="240" w:lineRule="auto"/>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Membership and community rewards (within the income statement)</w:t>
            </w:r>
          </w:p>
        </w:tc>
        <w:tc>
          <w:tcPr>
            <w:tcW w:w="1417" w:type="dxa"/>
            <w:tcBorders>
              <w:top w:val="nil"/>
              <w:left w:val="nil"/>
              <w:bottom w:val="single" w:sz="4" w:space="0" w:color="BFBFBF"/>
              <w:right w:val="nil"/>
            </w:tcBorders>
            <w:shd w:val="clear" w:color="auto" w:fill="CCECFF"/>
            <w:vAlign w:val="bottom"/>
            <w:hideMark/>
          </w:tcPr>
          <w:p w14:paraId="3D6F8BF0" w14:textId="77777777" w:rsidR="00B31823" w:rsidRPr="00B31823" w:rsidRDefault="00B31823" w:rsidP="00B31823">
            <w:pPr>
              <w:spacing w:after="0" w:line="240" w:lineRule="auto"/>
              <w:jc w:val="right"/>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£m</w:t>
            </w:r>
          </w:p>
        </w:tc>
        <w:tc>
          <w:tcPr>
            <w:tcW w:w="1701" w:type="dxa"/>
            <w:tcBorders>
              <w:top w:val="nil"/>
              <w:left w:val="nil"/>
              <w:bottom w:val="single" w:sz="4" w:space="0" w:color="BFBFBF"/>
              <w:right w:val="nil"/>
            </w:tcBorders>
            <w:shd w:val="clear" w:color="000000" w:fill="FFFFFF"/>
            <w:vAlign w:val="bottom"/>
            <w:hideMark/>
          </w:tcPr>
          <w:p w14:paraId="7B583845"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£m</w:t>
            </w:r>
          </w:p>
        </w:tc>
        <w:tc>
          <w:tcPr>
            <w:tcW w:w="1418" w:type="dxa"/>
            <w:tcBorders>
              <w:top w:val="nil"/>
              <w:left w:val="nil"/>
              <w:bottom w:val="single" w:sz="4" w:space="0" w:color="BFBFBF"/>
              <w:right w:val="nil"/>
            </w:tcBorders>
            <w:shd w:val="clear" w:color="000000" w:fill="FFFFFF"/>
            <w:vAlign w:val="bottom"/>
            <w:hideMark/>
          </w:tcPr>
          <w:p w14:paraId="0273B737"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£m</w:t>
            </w:r>
          </w:p>
        </w:tc>
        <w:tc>
          <w:tcPr>
            <w:tcW w:w="222" w:type="dxa"/>
            <w:vAlign w:val="center"/>
            <w:hideMark/>
          </w:tcPr>
          <w:p w14:paraId="2C486E1B"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r>
      <w:tr w:rsidR="00B31823" w:rsidRPr="00B31823" w14:paraId="7E848B25" w14:textId="77777777" w:rsidTr="00945441">
        <w:trPr>
          <w:trHeight w:val="300"/>
        </w:trPr>
        <w:tc>
          <w:tcPr>
            <w:tcW w:w="2919" w:type="dxa"/>
            <w:gridSpan w:val="2"/>
            <w:tcBorders>
              <w:top w:val="nil"/>
              <w:left w:val="nil"/>
              <w:bottom w:val="nil"/>
              <w:right w:val="nil"/>
            </w:tcBorders>
            <w:shd w:val="clear" w:color="000000" w:fill="FFFFFF"/>
            <w:noWrap/>
            <w:vAlign w:val="center"/>
            <w:hideMark/>
          </w:tcPr>
          <w:p w14:paraId="411C4656" w14:textId="77777777" w:rsidR="00B31823" w:rsidRPr="00B31823" w:rsidRDefault="00B31823" w:rsidP="00B31823">
            <w:pPr>
              <w:spacing w:after="0" w:line="240" w:lineRule="auto"/>
              <w:rPr>
                <w:rFonts w:ascii="Arial" w:eastAsia="Times New Roman" w:hAnsi="Arial" w:cs="Arial"/>
                <w:sz w:val="15"/>
                <w:szCs w:val="15"/>
                <w:lang w:eastAsia="en-GB"/>
              </w:rPr>
            </w:pPr>
            <w:r w:rsidRPr="00B31823">
              <w:rPr>
                <w:rFonts w:ascii="Arial" w:eastAsia="Times New Roman" w:hAnsi="Arial" w:cs="Arial"/>
                <w:sz w:val="15"/>
                <w:szCs w:val="15"/>
                <w:lang w:eastAsia="en-GB"/>
              </w:rPr>
              <w:t>Member reward earned</w:t>
            </w:r>
          </w:p>
        </w:tc>
        <w:tc>
          <w:tcPr>
            <w:tcW w:w="626" w:type="dxa"/>
            <w:tcBorders>
              <w:top w:val="nil"/>
              <w:left w:val="nil"/>
              <w:bottom w:val="nil"/>
              <w:right w:val="nil"/>
            </w:tcBorders>
            <w:shd w:val="clear" w:color="000000" w:fill="FFFFFF"/>
            <w:vAlign w:val="center"/>
            <w:hideMark/>
          </w:tcPr>
          <w:p w14:paraId="74C31ECA" w14:textId="77777777" w:rsidR="00B31823" w:rsidRPr="00B31823" w:rsidRDefault="00B31823" w:rsidP="00B31823">
            <w:pPr>
              <w:spacing w:after="0" w:line="240" w:lineRule="auto"/>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w:t>
            </w:r>
          </w:p>
        </w:tc>
        <w:tc>
          <w:tcPr>
            <w:tcW w:w="1842" w:type="dxa"/>
            <w:tcBorders>
              <w:top w:val="nil"/>
              <w:left w:val="nil"/>
              <w:bottom w:val="nil"/>
              <w:right w:val="nil"/>
            </w:tcBorders>
            <w:shd w:val="clear" w:color="000000" w:fill="FFFFFF"/>
            <w:vAlign w:val="center"/>
            <w:hideMark/>
          </w:tcPr>
          <w:p w14:paraId="7C812B82" w14:textId="77777777" w:rsidR="00B31823" w:rsidRPr="00B31823" w:rsidRDefault="00B31823" w:rsidP="00B31823">
            <w:pPr>
              <w:spacing w:after="0" w:line="240" w:lineRule="auto"/>
              <w:rPr>
                <w:rFonts w:ascii="Arial" w:eastAsia="Times New Roman" w:hAnsi="Arial" w:cs="Arial"/>
                <w:sz w:val="15"/>
                <w:szCs w:val="15"/>
                <w:lang w:eastAsia="en-GB"/>
              </w:rPr>
            </w:pPr>
            <w:r w:rsidRPr="00B31823">
              <w:rPr>
                <w:rFonts w:ascii="Arial" w:eastAsia="Times New Roman" w:hAnsi="Arial" w:cs="Arial"/>
                <w:sz w:val="15"/>
                <w:szCs w:val="15"/>
                <w:lang w:eastAsia="en-GB"/>
              </w:rPr>
              <w:t> </w:t>
            </w:r>
          </w:p>
        </w:tc>
        <w:tc>
          <w:tcPr>
            <w:tcW w:w="1417" w:type="dxa"/>
            <w:tcBorders>
              <w:top w:val="nil"/>
              <w:left w:val="nil"/>
              <w:bottom w:val="nil"/>
              <w:right w:val="nil"/>
            </w:tcBorders>
            <w:shd w:val="clear" w:color="auto" w:fill="CCECFF"/>
            <w:vAlign w:val="center"/>
            <w:hideMark/>
          </w:tcPr>
          <w:p w14:paraId="026F0B73" w14:textId="77777777" w:rsidR="00B31823" w:rsidRPr="00B31823" w:rsidRDefault="00B31823" w:rsidP="00B31823">
            <w:pPr>
              <w:spacing w:after="0" w:line="240" w:lineRule="auto"/>
              <w:jc w:val="right"/>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xml:space="preserve">10 </w:t>
            </w:r>
          </w:p>
        </w:tc>
        <w:tc>
          <w:tcPr>
            <w:tcW w:w="1701" w:type="dxa"/>
            <w:tcBorders>
              <w:top w:val="nil"/>
              <w:left w:val="nil"/>
              <w:bottom w:val="nil"/>
              <w:right w:val="nil"/>
            </w:tcBorders>
            <w:shd w:val="clear" w:color="000000" w:fill="FFFFFF"/>
            <w:vAlign w:val="center"/>
            <w:hideMark/>
          </w:tcPr>
          <w:p w14:paraId="7916D992"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 xml:space="preserve">11 </w:t>
            </w:r>
          </w:p>
        </w:tc>
        <w:tc>
          <w:tcPr>
            <w:tcW w:w="1418" w:type="dxa"/>
            <w:tcBorders>
              <w:top w:val="nil"/>
              <w:left w:val="nil"/>
              <w:bottom w:val="nil"/>
              <w:right w:val="nil"/>
            </w:tcBorders>
            <w:shd w:val="clear" w:color="000000" w:fill="FFFFFF"/>
            <w:vAlign w:val="center"/>
            <w:hideMark/>
          </w:tcPr>
          <w:p w14:paraId="7CA5A8FA"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 xml:space="preserve">21 </w:t>
            </w:r>
          </w:p>
        </w:tc>
        <w:tc>
          <w:tcPr>
            <w:tcW w:w="222" w:type="dxa"/>
            <w:vAlign w:val="center"/>
            <w:hideMark/>
          </w:tcPr>
          <w:p w14:paraId="7A508829"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r>
      <w:tr w:rsidR="00B31823" w:rsidRPr="00B31823" w14:paraId="3B26FFAF" w14:textId="77777777" w:rsidTr="00945441">
        <w:trPr>
          <w:trHeight w:val="300"/>
        </w:trPr>
        <w:tc>
          <w:tcPr>
            <w:tcW w:w="2919" w:type="dxa"/>
            <w:gridSpan w:val="2"/>
            <w:tcBorders>
              <w:top w:val="nil"/>
              <w:left w:val="nil"/>
              <w:bottom w:val="single" w:sz="4" w:space="0" w:color="BFBFBF"/>
              <w:right w:val="nil"/>
            </w:tcBorders>
            <w:shd w:val="clear" w:color="000000" w:fill="FFFFFF"/>
            <w:vAlign w:val="center"/>
            <w:hideMark/>
          </w:tcPr>
          <w:p w14:paraId="3DDB0D31" w14:textId="77777777" w:rsidR="00B31823" w:rsidRPr="00B31823" w:rsidRDefault="00B31823" w:rsidP="00B31823">
            <w:pPr>
              <w:spacing w:after="0" w:line="240" w:lineRule="auto"/>
              <w:rPr>
                <w:rFonts w:ascii="Arial" w:eastAsia="Times New Roman" w:hAnsi="Arial" w:cs="Arial"/>
                <w:sz w:val="15"/>
                <w:szCs w:val="15"/>
                <w:lang w:eastAsia="en-GB"/>
              </w:rPr>
            </w:pPr>
            <w:r w:rsidRPr="00B31823">
              <w:rPr>
                <w:rFonts w:ascii="Arial" w:eastAsia="Times New Roman" w:hAnsi="Arial" w:cs="Arial"/>
                <w:sz w:val="15"/>
                <w:szCs w:val="15"/>
                <w:lang w:eastAsia="en-GB"/>
              </w:rPr>
              <w:t>Community reward earned</w:t>
            </w:r>
          </w:p>
        </w:tc>
        <w:tc>
          <w:tcPr>
            <w:tcW w:w="626" w:type="dxa"/>
            <w:tcBorders>
              <w:top w:val="nil"/>
              <w:left w:val="nil"/>
              <w:bottom w:val="single" w:sz="4" w:space="0" w:color="BFBFBF"/>
              <w:right w:val="nil"/>
            </w:tcBorders>
            <w:shd w:val="clear" w:color="000000" w:fill="FFFFFF"/>
            <w:vAlign w:val="center"/>
            <w:hideMark/>
          </w:tcPr>
          <w:p w14:paraId="1795E94B" w14:textId="77777777" w:rsidR="00B31823" w:rsidRPr="00B31823" w:rsidRDefault="00B31823" w:rsidP="00B31823">
            <w:pPr>
              <w:spacing w:after="0" w:line="240" w:lineRule="auto"/>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w:t>
            </w:r>
          </w:p>
        </w:tc>
        <w:tc>
          <w:tcPr>
            <w:tcW w:w="1842" w:type="dxa"/>
            <w:tcBorders>
              <w:top w:val="nil"/>
              <w:left w:val="nil"/>
              <w:bottom w:val="single" w:sz="4" w:space="0" w:color="BFBFBF"/>
              <w:right w:val="nil"/>
            </w:tcBorders>
            <w:shd w:val="clear" w:color="000000" w:fill="FFFFFF"/>
            <w:noWrap/>
            <w:vAlign w:val="center"/>
            <w:hideMark/>
          </w:tcPr>
          <w:p w14:paraId="6D23A993" w14:textId="77777777" w:rsidR="00B31823" w:rsidRPr="00B31823" w:rsidRDefault="00B31823" w:rsidP="00B31823">
            <w:pPr>
              <w:spacing w:after="0" w:line="240" w:lineRule="auto"/>
              <w:rPr>
                <w:rFonts w:ascii="Arial" w:eastAsia="Times New Roman" w:hAnsi="Arial" w:cs="Arial"/>
                <w:sz w:val="15"/>
                <w:szCs w:val="15"/>
                <w:lang w:eastAsia="en-GB"/>
              </w:rPr>
            </w:pPr>
            <w:r w:rsidRPr="00B31823">
              <w:rPr>
                <w:rFonts w:ascii="Arial" w:eastAsia="Times New Roman" w:hAnsi="Arial" w:cs="Arial"/>
                <w:sz w:val="15"/>
                <w:szCs w:val="15"/>
                <w:lang w:eastAsia="en-GB"/>
              </w:rPr>
              <w:t> </w:t>
            </w:r>
          </w:p>
        </w:tc>
        <w:tc>
          <w:tcPr>
            <w:tcW w:w="1417" w:type="dxa"/>
            <w:tcBorders>
              <w:top w:val="nil"/>
              <w:left w:val="nil"/>
              <w:bottom w:val="single" w:sz="4" w:space="0" w:color="BFBFBF"/>
              <w:right w:val="nil"/>
            </w:tcBorders>
            <w:shd w:val="clear" w:color="auto" w:fill="CCECFF"/>
            <w:vAlign w:val="center"/>
            <w:hideMark/>
          </w:tcPr>
          <w:p w14:paraId="0C2D699C" w14:textId="77777777" w:rsidR="00B31823" w:rsidRPr="00B31823" w:rsidRDefault="00B31823" w:rsidP="00B31823">
            <w:pPr>
              <w:spacing w:after="0" w:line="240" w:lineRule="auto"/>
              <w:jc w:val="right"/>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xml:space="preserve">6 </w:t>
            </w:r>
          </w:p>
        </w:tc>
        <w:tc>
          <w:tcPr>
            <w:tcW w:w="1701" w:type="dxa"/>
            <w:tcBorders>
              <w:top w:val="nil"/>
              <w:left w:val="nil"/>
              <w:bottom w:val="single" w:sz="4" w:space="0" w:color="BFBFBF"/>
              <w:right w:val="nil"/>
            </w:tcBorders>
            <w:shd w:val="clear" w:color="000000" w:fill="FFFFFF"/>
            <w:vAlign w:val="center"/>
            <w:hideMark/>
          </w:tcPr>
          <w:p w14:paraId="45394D3A"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 xml:space="preserve">10 </w:t>
            </w:r>
          </w:p>
        </w:tc>
        <w:tc>
          <w:tcPr>
            <w:tcW w:w="1418" w:type="dxa"/>
            <w:tcBorders>
              <w:top w:val="nil"/>
              <w:left w:val="nil"/>
              <w:bottom w:val="single" w:sz="4" w:space="0" w:color="BFBFBF"/>
              <w:right w:val="nil"/>
            </w:tcBorders>
            <w:shd w:val="clear" w:color="000000" w:fill="FFFFFF"/>
            <w:vAlign w:val="center"/>
            <w:hideMark/>
          </w:tcPr>
          <w:p w14:paraId="425495D1"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 xml:space="preserve">19 </w:t>
            </w:r>
          </w:p>
        </w:tc>
        <w:tc>
          <w:tcPr>
            <w:tcW w:w="222" w:type="dxa"/>
            <w:vAlign w:val="center"/>
            <w:hideMark/>
          </w:tcPr>
          <w:p w14:paraId="42045468"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r>
      <w:tr w:rsidR="00B31823" w:rsidRPr="00B31823" w14:paraId="57669A0E" w14:textId="77777777" w:rsidTr="00945441">
        <w:trPr>
          <w:trHeight w:val="300"/>
        </w:trPr>
        <w:tc>
          <w:tcPr>
            <w:tcW w:w="2647" w:type="dxa"/>
            <w:tcBorders>
              <w:top w:val="nil"/>
              <w:left w:val="nil"/>
              <w:bottom w:val="single" w:sz="4" w:space="0" w:color="BFBFBF"/>
              <w:right w:val="nil"/>
            </w:tcBorders>
            <w:shd w:val="clear" w:color="000000" w:fill="FFFFFF"/>
            <w:noWrap/>
            <w:vAlign w:val="center"/>
            <w:hideMark/>
          </w:tcPr>
          <w:p w14:paraId="622BB79C" w14:textId="77777777" w:rsidR="00B31823" w:rsidRPr="00B31823" w:rsidRDefault="00B31823" w:rsidP="00B31823">
            <w:pPr>
              <w:spacing w:after="0" w:line="240" w:lineRule="auto"/>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Total reward</w:t>
            </w:r>
          </w:p>
        </w:tc>
        <w:tc>
          <w:tcPr>
            <w:tcW w:w="272" w:type="dxa"/>
            <w:tcBorders>
              <w:top w:val="nil"/>
              <w:left w:val="nil"/>
              <w:bottom w:val="single" w:sz="4" w:space="0" w:color="BFBFBF"/>
              <w:right w:val="nil"/>
            </w:tcBorders>
            <w:shd w:val="clear" w:color="000000" w:fill="FFFFFF"/>
            <w:noWrap/>
            <w:vAlign w:val="bottom"/>
            <w:hideMark/>
          </w:tcPr>
          <w:p w14:paraId="422FD01C" w14:textId="77777777" w:rsidR="00B31823" w:rsidRPr="00B31823" w:rsidRDefault="00B31823" w:rsidP="00B31823">
            <w:pPr>
              <w:spacing w:after="0" w:line="240" w:lineRule="auto"/>
              <w:rPr>
                <w:rFonts w:ascii="Arial" w:eastAsia="Times New Roman" w:hAnsi="Arial" w:cs="Arial"/>
                <w:b/>
                <w:bCs/>
                <w:sz w:val="20"/>
                <w:szCs w:val="20"/>
                <w:lang w:eastAsia="en-GB"/>
              </w:rPr>
            </w:pPr>
            <w:r w:rsidRPr="00B31823">
              <w:rPr>
                <w:rFonts w:ascii="Arial" w:eastAsia="Times New Roman" w:hAnsi="Arial" w:cs="Arial"/>
                <w:b/>
                <w:bCs/>
                <w:sz w:val="20"/>
                <w:szCs w:val="20"/>
                <w:lang w:eastAsia="en-GB"/>
              </w:rPr>
              <w:t> </w:t>
            </w:r>
          </w:p>
        </w:tc>
        <w:tc>
          <w:tcPr>
            <w:tcW w:w="626" w:type="dxa"/>
            <w:tcBorders>
              <w:top w:val="nil"/>
              <w:left w:val="nil"/>
              <w:bottom w:val="single" w:sz="4" w:space="0" w:color="BFBFBF"/>
              <w:right w:val="nil"/>
            </w:tcBorders>
            <w:shd w:val="clear" w:color="000000" w:fill="FFFFFF"/>
            <w:noWrap/>
            <w:vAlign w:val="bottom"/>
            <w:hideMark/>
          </w:tcPr>
          <w:p w14:paraId="3F4FA65A" w14:textId="77777777" w:rsidR="00B31823" w:rsidRPr="00B31823" w:rsidRDefault="00B31823" w:rsidP="00B31823">
            <w:pPr>
              <w:spacing w:after="0" w:line="240" w:lineRule="auto"/>
              <w:rPr>
                <w:rFonts w:ascii="Arial" w:eastAsia="Times New Roman" w:hAnsi="Arial" w:cs="Arial"/>
                <w:b/>
                <w:bCs/>
                <w:sz w:val="20"/>
                <w:szCs w:val="20"/>
                <w:lang w:eastAsia="en-GB"/>
              </w:rPr>
            </w:pPr>
            <w:r w:rsidRPr="00B31823">
              <w:rPr>
                <w:rFonts w:ascii="Arial" w:eastAsia="Times New Roman" w:hAnsi="Arial" w:cs="Arial"/>
                <w:b/>
                <w:bCs/>
                <w:sz w:val="20"/>
                <w:szCs w:val="20"/>
                <w:lang w:eastAsia="en-GB"/>
              </w:rPr>
              <w:t> </w:t>
            </w:r>
          </w:p>
        </w:tc>
        <w:tc>
          <w:tcPr>
            <w:tcW w:w="1842" w:type="dxa"/>
            <w:tcBorders>
              <w:top w:val="nil"/>
              <w:left w:val="nil"/>
              <w:bottom w:val="single" w:sz="4" w:space="0" w:color="BFBFBF"/>
              <w:right w:val="nil"/>
            </w:tcBorders>
            <w:shd w:val="clear" w:color="000000" w:fill="FFFFFF"/>
            <w:vAlign w:val="center"/>
            <w:hideMark/>
          </w:tcPr>
          <w:p w14:paraId="6DAD9EEA" w14:textId="77777777" w:rsidR="00B31823" w:rsidRPr="00B31823" w:rsidRDefault="00B31823" w:rsidP="00B31823">
            <w:pPr>
              <w:spacing w:after="0" w:line="240" w:lineRule="auto"/>
              <w:rPr>
                <w:rFonts w:ascii="Arial" w:eastAsia="Times New Roman" w:hAnsi="Arial" w:cs="Arial"/>
                <w:sz w:val="15"/>
                <w:szCs w:val="15"/>
                <w:lang w:eastAsia="en-GB"/>
              </w:rPr>
            </w:pPr>
            <w:r w:rsidRPr="00B31823">
              <w:rPr>
                <w:rFonts w:ascii="Arial" w:eastAsia="Times New Roman" w:hAnsi="Arial" w:cs="Arial"/>
                <w:sz w:val="15"/>
                <w:szCs w:val="15"/>
                <w:lang w:eastAsia="en-GB"/>
              </w:rPr>
              <w:t> </w:t>
            </w:r>
          </w:p>
        </w:tc>
        <w:tc>
          <w:tcPr>
            <w:tcW w:w="1417" w:type="dxa"/>
            <w:tcBorders>
              <w:top w:val="nil"/>
              <w:left w:val="nil"/>
              <w:bottom w:val="single" w:sz="4" w:space="0" w:color="BFBFBF"/>
              <w:right w:val="nil"/>
            </w:tcBorders>
            <w:shd w:val="clear" w:color="auto" w:fill="CCECFF"/>
            <w:vAlign w:val="center"/>
            <w:hideMark/>
          </w:tcPr>
          <w:p w14:paraId="38B65724" w14:textId="77777777" w:rsidR="00B31823" w:rsidRPr="00B31823" w:rsidRDefault="00B31823" w:rsidP="00B31823">
            <w:pPr>
              <w:spacing w:after="0" w:line="240" w:lineRule="auto"/>
              <w:jc w:val="right"/>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xml:space="preserve">16 </w:t>
            </w:r>
          </w:p>
        </w:tc>
        <w:tc>
          <w:tcPr>
            <w:tcW w:w="1701" w:type="dxa"/>
            <w:tcBorders>
              <w:top w:val="nil"/>
              <w:left w:val="nil"/>
              <w:bottom w:val="single" w:sz="4" w:space="0" w:color="BFBFBF"/>
              <w:right w:val="nil"/>
            </w:tcBorders>
            <w:shd w:val="clear" w:color="000000" w:fill="FFFFFF"/>
            <w:vAlign w:val="center"/>
            <w:hideMark/>
          </w:tcPr>
          <w:p w14:paraId="4639DBB7"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 xml:space="preserve">21 </w:t>
            </w:r>
          </w:p>
        </w:tc>
        <w:tc>
          <w:tcPr>
            <w:tcW w:w="1418" w:type="dxa"/>
            <w:tcBorders>
              <w:top w:val="nil"/>
              <w:left w:val="nil"/>
              <w:bottom w:val="single" w:sz="4" w:space="0" w:color="BFBFBF"/>
              <w:right w:val="nil"/>
            </w:tcBorders>
            <w:shd w:val="clear" w:color="000000" w:fill="FFFFFF"/>
            <w:vAlign w:val="center"/>
            <w:hideMark/>
          </w:tcPr>
          <w:p w14:paraId="34AEDAF1"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 xml:space="preserve">40 </w:t>
            </w:r>
          </w:p>
        </w:tc>
        <w:tc>
          <w:tcPr>
            <w:tcW w:w="222" w:type="dxa"/>
            <w:vAlign w:val="center"/>
            <w:hideMark/>
          </w:tcPr>
          <w:p w14:paraId="331212C3"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r>
      <w:tr w:rsidR="00B31823" w:rsidRPr="00B31823" w14:paraId="259373E8" w14:textId="77777777" w:rsidTr="00945441">
        <w:trPr>
          <w:trHeight w:val="98"/>
        </w:trPr>
        <w:tc>
          <w:tcPr>
            <w:tcW w:w="2647" w:type="dxa"/>
            <w:tcBorders>
              <w:top w:val="nil"/>
              <w:left w:val="nil"/>
              <w:bottom w:val="nil"/>
              <w:right w:val="nil"/>
            </w:tcBorders>
            <w:shd w:val="clear" w:color="000000" w:fill="FFFFFF"/>
            <w:noWrap/>
            <w:vAlign w:val="center"/>
            <w:hideMark/>
          </w:tcPr>
          <w:p w14:paraId="1630F569" w14:textId="77777777" w:rsidR="00B31823" w:rsidRPr="00B31823" w:rsidRDefault="00B31823" w:rsidP="00B31823">
            <w:pPr>
              <w:spacing w:after="0" w:line="240" w:lineRule="auto"/>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w:t>
            </w:r>
          </w:p>
        </w:tc>
        <w:tc>
          <w:tcPr>
            <w:tcW w:w="272" w:type="dxa"/>
            <w:tcBorders>
              <w:top w:val="nil"/>
              <w:left w:val="nil"/>
              <w:bottom w:val="nil"/>
              <w:right w:val="nil"/>
            </w:tcBorders>
            <w:shd w:val="clear" w:color="000000" w:fill="FFFFFF"/>
            <w:noWrap/>
            <w:vAlign w:val="bottom"/>
            <w:hideMark/>
          </w:tcPr>
          <w:p w14:paraId="6F438D51" w14:textId="77777777" w:rsidR="00B31823" w:rsidRPr="00B31823" w:rsidRDefault="00B31823" w:rsidP="00B31823">
            <w:pPr>
              <w:spacing w:after="0" w:line="240" w:lineRule="auto"/>
              <w:rPr>
                <w:rFonts w:ascii="Arial" w:eastAsia="Times New Roman" w:hAnsi="Arial" w:cs="Arial"/>
                <w:b/>
                <w:bCs/>
                <w:sz w:val="20"/>
                <w:szCs w:val="20"/>
                <w:lang w:eastAsia="en-GB"/>
              </w:rPr>
            </w:pPr>
            <w:r w:rsidRPr="00B31823">
              <w:rPr>
                <w:rFonts w:ascii="Arial" w:eastAsia="Times New Roman" w:hAnsi="Arial" w:cs="Arial"/>
                <w:b/>
                <w:bCs/>
                <w:sz w:val="20"/>
                <w:szCs w:val="20"/>
                <w:lang w:eastAsia="en-GB"/>
              </w:rPr>
              <w:t> </w:t>
            </w:r>
          </w:p>
        </w:tc>
        <w:tc>
          <w:tcPr>
            <w:tcW w:w="626" w:type="dxa"/>
            <w:tcBorders>
              <w:top w:val="nil"/>
              <w:left w:val="nil"/>
              <w:bottom w:val="nil"/>
              <w:right w:val="nil"/>
            </w:tcBorders>
            <w:shd w:val="clear" w:color="000000" w:fill="FFFFFF"/>
            <w:noWrap/>
            <w:vAlign w:val="bottom"/>
            <w:hideMark/>
          </w:tcPr>
          <w:p w14:paraId="0D9143E8" w14:textId="77777777" w:rsidR="00B31823" w:rsidRPr="00B31823" w:rsidRDefault="00B31823" w:rsidP="00B31823">
            <w:pPr>
              <w:spacing w:after="0" w:line="240" w:lineRule="auto"/>
              <w:rPr>
                <w:rFonts w:ascii="Arial" w:eastAsia="Times New Roman" w:hAnsi="Arial" w:cs="Arial"/>
                <w:b/>
                <w:bCs/>
                <w:sz w:val="20"/>
                <w:szCs w:val="20"/>
                <w:lang w:eastAsia="en-GB"/>
              </w:rPr>
            </w:pPr>
            <w:r w:rsidRPr="00B31823">
              <w:rPr>
                <w:rFonts w:ascii="Arial" w:eastAsia="Times New Roman" w:hAnsi="Arial" w:cs="Arial"/>
                <w:b/>
                <w:bCs/>
                <w:sz w:val="20"/>
                <w:szCs w:val="20"/>
                <w:lang w:eastAsia="en-GB"/>
              </w:rPr>
              <w:t> </w:t>
            </w:r>
          </w:p>
        </w:tc>
        <w:tc>
          <w:tcPr>
            <w:tcW w:w="1842" w:type="dxa"/>
            <w:tcBorders>
              <w:top w:val="nil"/>
              <w:left w:val="nil"/>
              <w:bottom w:val="nil"/>
              <w:right w:val="nil"/>
            </w:tcBorders>
            <w:shd w:val="clear" w:color="000000" w:fill="FFFFFF"/>
            <w:vAlign w:val="center"/>
            <w:hideMark/>
          </w:tcPr>
          <w:p w14:paraId="18E6C8EA" w14:textId="77777777" w:rsidR="00B31823" w:rsidRPr="00B31823" w:rsidRDefault="00B31823" w:rsidP="00B31823">
            <w:pPr>
              <w:spacing w:after="0" w:line="240" w:lineRule="auto"/>
              <w:rPr>
                <w:rFonts w:ascii="Arial" w:eastAsia="Times New Roman" w:hAnsi="Arial" w:cs="Arial"/>
                <w:sz w:val="15"/>
                <w:szCs w:val="15"/>
                <w:lang w:eastAsia="en-GB"/>
              </w:rPr>
            </w:pPr>
            <w:r w:rsidRPr="00B31823">
              <w:rPr>
                <w:rFonts w:ascii="Arial" w:eastAsia="Times New Roman" w:hAnsi="Arial" w:cs="Arial"/>
                <w:sz w:val="15"/>
                <w:szCs w:val="15"/>
                <w:lang w:eastAsia="en-GB"/>
              </w:rPr>
              <w:t> </w:t>
            </w:r>
          </w:p>
        </w:tc>
        <w:tc>
          <w:tcPr>
            <w:tcW w:w="1417" w:type="dxa"/>
            <w:tcBorders>
              <w:top w:val="nil"/>
              <w:left w:val="nil"/>
              <w:bottom w:val="nil"/>
              <w:right w:val="nil"/>
            </w:tcBorders>
            <w:shd w:val="clear" w:color="000000" w:fill="FFFFFF"/>
            <w:vAlign w:val="center"/>
            <w:hideMark/>
          </w:tcPr>
          <w:p w14:paraId="68B6843C" w14:textId="77777777" w:rsidR="00B31823" w:rsidRPr="00B31823" w:rsidRDefault="00B31823" w:rsidP="00B31823">
            <w:pPr>
              <w:spacing w:after="0" w:line="240" w:lineRule="auto"/>
              <w:jc w:val="right"/>
              <w:rPr>
                <w:rFonts w:ascii="Arial" w:eastAsia="Times New Roman" w:hAnsi="Arial" w:cs="Arial"/>
                <w:b/>
                <w:bCs/>
                <w:sz w:val="15"/>
                <w:szCs w:val="15"/>
                <w:lang w:eastAsia="en-GB"/>
              </w:rPr>
            </w:pPr>
            <w:r w:rsidRPr="00B31823">
              <w:rPr>
                <w:rFonts w:ascii="Arial" w:eastAsia="Times New Roman" w:hAnsi="Arial" w:cs="Arial"/>
                <w:b/>
                <w:bCs/>
                <w:sz w:val="15"/>
                <w:szCs w:val="15"/>
                <w:lang w:eastAsia="en-GB"/>
              </w:rPr>
              <w:t> </w:t>
            </w:r>
          </w:p>
        </w:tc>
        <w:tc>
          <w:tcPr>
            <w:tcW w:w="1701" w:type="dxa"/>
            <w:tcBorders>
              <w:top w:val="nil"/>
              <w:left w:val="nil"/>
              <w:bottom w:val="nil"/>
              <w:right w:val="nil"/>
            </w:tcBorders>
            <w:shd w:val="clear" w:color="000000" w:fill="FFFFFF"/>
            <w:vAlign w:val="center"/>
            <w:hideMark/>
          </w:tcPr>
          <w:p w14:paraId="3CFBD9B9"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 </w:t>
            </w:r>
          </w:p>
        </w:tc>
        <w:tc>
          <w:tcPr>
            <w:tcW w:w="1418" w:type="dxa"/>
            <w:tcBorders>
              <w:top w:val="nil"/>
              <w:left w:val="nil"/>
              <w:bottom w:val="nil"/>
              <w:right w:val="nil"/>
            </w:tcBorders>
            <w:shd w:val="clear" w:color="000000" w:fill="FFFFFF"/>
            <w:vAlign w:val="center"/>
            <w:hideMark/>
          </w:tcPr>
          <w:p w14:paraId="24DC6593"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 </w:t>
            </w:r>
          </w:p>
        </w:tc>
        <w:tc>
          <w:tcPr>
            <w:tcW w:w="222" w:type="dxa"/>
            <w:vAlign w:val="center"/>
            <w:hideMark/>
          </w:tcPr>
          <w:p w14:paraId="36318A4D"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r>
      <w:tr w:rsidR="00B31823" w:rsidRPr="00B31823" w14:paraId="1A722C53" w14:textId="77777777" w:rsidTr="00945441">
        <w:trPr>
          <w:trHeight w:val="300"/>
        </w:trPr>
        <w:tc>
          <w:tcPr>
            <w:tcW w:w="8505" w:type="dxa"/>
            <w:gridSpan w:val="6"/>
            <w:tcBorders>
              <w:top w:val="nil"/>
              <w:left w:val="nil"/>
              <w:bottom w:val="nil"/>
              <w:right w:val="nil"/>
            </w:tcBorders>
            <w:shd w:val="clear" w:color="000000" w:fill="FFFFFF"/>
            <w:noWrap/>
            <w:vAlign w:val="center"/>
            <w:hideMark/>
          </w:tcPr>
          <w:p w14:paraId="24D24D25" w14:textId="77777777" w:rsidR="00B31823" w:rsidRPr="00B31823" w:rsidRDefault="00B31823" w:rsidP="00B31823">
            <w:pPr>
              <w:spacing w:after="0" w:line="240" w:lineRule="auto"/>
              <w:rPr>
                <w:rFonts w:ascii="Arial" w:eastAsia="Times New Roman" w:hAnsi="Arial" w:cs="Arial"/>
                <w:sz w:val="15"/>
                <w:szCs w:val="15"/>
                <w:lang w:eastAsia="en-GB"/>
              </w:rPr>
            </w:pPr>
            <w:r w:rsidRPr="00B31823">
              <w:rPr>
                <w:rFonts w:ascii="Arial" w:eastAsia="Times New Roman" w:hAnsi="Arial" w:cs="Arial"/>
                <w:sz w:val="15"/>
                <w:szCs w:val="15"/>
                <w:lang w:eastAsia="en-GB"/>
              </w:rPr>
              <w:t xml:space="preserve">Member and Community rewards are earned at 2% of member spend on selected Co-op products and services.  </w:t>
            </w:r>
          </w:p>
        </w:tc>
        <w:tc>
          <w:tcPr>
            <w:tcW w:w="1418" w:type="dxa"/>
            <w:tcBorders>
              <w:top w:val="nil"/>
              <w:left w:val="nil"/>
              <w:bottom w:val="nil"/>
              <w:right w:val="nil"/>
            </w:tcBorders>
            <w:shd w:val="clear" w:color="000000" w:fill="FFFFFF"/>
            <w:vAlign w:val="center"/>
            <w:hideMark/>
          </w:tcPr>
          <w:p w14:paraId="32E65152" w14:textId="77777777" w:rsidR="00B31823" w:rsidRPr="00B31823" w:rsidRDefault="00B31823" w:rsidP="00B31823">
            <w:pPr>
              <w:spacing w:after="0" w:line="240" w:lineRule="auto"/>
              <w:jc w:val="right"/>
              <w:rPr>
                <w:rFonts w:ascii="Arial" w:eastAsia="Times New Roman" w:hAnsi="Arial" w:cs="Arial"/>
                <w:sz w:val="15"/>
                <w:szCs w:val="15"/>
                <w:lang w:eastAsia="en-GB"/>
              </w:rPr>
            </w:pPr>
            <w:r w:rsidRPr="00B31823">
              <w:rPr>
                <w:rFonts w:ascii="Arial" w:eastAsia="Times New Roman" w:hAnsi="Arial" w:cs="Arial"/>
                <w:sz w:val="15"/>
                <w:szCs w:val="15"/>
                <w:lang w:eastAsia="en-GB"/>
              </w:rPr>
              <w:t> </w:t>
            </w:r>
          </w:p>
        </w:tc>
        <w:tc>
          <w:tcPr>
            <w:tcW w:w="222" w:type="dxa"/>
            <w:vAlign w:val="center"/>
            <w:hideMark/>
          </w:tcPr>
          <w:p w14:paraId="48CA7834" w14:textId="77777777" w:rsidR="00B31823" w:rsidRPr="00B31823" w:rsidRDefault="00B31823" w:rsidP="00B31823">
            <w:pPr>
              <w:spacing w:after="0" w:line="240" w:lineRule="auto"/>
              <w:rPr>
                <w:rFonts w:ascii="Times New Roman" w:eastAsia="Times New Roman" w:hAnsi="Times New Roman" w:cs="Times New Roman"/>
                <w:sz w:val="20"/>
                <w:szCs w:val="20"/>
                <w:lang w:eastAsia="en-GB"/>
              </w:rPr>
            </w:pPr>
          </w:p>
        </w:tc>
      </w:tr>
    </w:tbl>
    <w:p w14:paraId="6D1895F0" w14:textId="3DAB5D3B" w:rsidR="00B31823" w:rsidRDefault="00B31823" w:rsidP="00BB64F8">
      <w:pPr>
        <w:rPr>
          <w:b/>
          <w:bCs/>
        </w:rPr>
      </w:pPr>
    </w:p>
    <w:p w14:paraId="72246A89" w14:textId="7A1807B9" w:rsidR="008455FA" w:rsidRDefault="008455FA" w:rsidP="00BB64F8">
      <w:pPr>
        <w:rPr>
          <w:b/>
          <w:bCs/>
        </w:rPr>
      </w:pPr>
    </w:p>
    <w:tbl>
      <w:tblPr>
        <w:tblW w:w="10145" w:type="dxa"/>
        <w:tblCellMar>
          <w:top w:w="15" w:type="dxa"/>
        </w:tblCellMar>
        <w:tblLook w:val="04A0" w:firstRow="1" w:lastRow="0" w:firstColumn="1" w:lastColumn="0" w:noHBand="0" w:noVBand="1"/>
      </w:tblPr>
      <w:tblGrid>
        <w:gridCol w:w="258"/>
        <w:gridCol w:w="292"/>
        <w:gridCol w:w="292"/>
        <w:gridCol w:w="1819"/>
        <w:gridCol w:w="2328"/>
        <w:gridCol w:w="2023"/>
        <w:gridCol w:w="2911"/>
        <w:gridCol w:w="222"/>
      </w:tblGrid>
      <w:tr w:rsidR="005D22A5" w:rsidRPr="005D22A5" w14:paraId="570098A9" w14:textId="77777777" w:rsidTr="005D22A5">
        <w:trPr>
          <w:gridAfter w:val="1"/>
          <w:wAfter w:w="222" w:type="dxa"/>
          <w:trHeight w:val="300"/>
        </w:trPr>
        <w:tc>
          <w:tcPr>
            <w:tcW w:w="9923" w:type="dxa"/>
            <w:gridSpan w:val="7"/>
            <w:tcBorders>
              <w:top w:val="nil"/>
              <w:left w:val="nil"/>
              <w:bottom w:val="nil"/>
              <w:right w:val="nil"/>
            </w:tcBorders>
            <w:shd w:val="clear" w:color="auto" w:fill="auto"/>
            <w:noWrap/>
            <w:vAlign w:val="bottom"/>
            <w:hideMark/>
          </w:tcPr>
          <w:p w14:paraId="5BD35F6C" w14:textId="77777777" w:rsidR="005D22A5" w:rsidRPr="005D22A5" w:rsidRDefault="005D22A5" w:rsidP="005D22A5">
            <w:pPr>
              <w:spacing w:after="0" w:line="240" w:lineRule="auto"/>
              <w:rPr>
                <w:rFonts w:ascii="Arial" w:eastAsia="Times New Roman" w:hAnsi="Arial" w:cs="Arial"/>
                <w:b/>
                <w:bCs/>
                <w:sz w:val="18"/>
                <w:szCs w:val="18"/>
                <w:lang w:eastAsia="en-GB"/>
              </w:rPr>
            </w:pPr>
            <w:r w:rsidRPr="005D22A5">
              <w:rPr>
                <w:rFonts w:ascii="Arial" w:eastAsia="Times New Roman" w:hAnsi="Arial" w:cs="Arial"/>
                <w:b/>
                <w:bCs/>
                <w:sz w:val="18"/>
                <w:szCs w:val="18"/>
                <w:lang w:eastAsia="en-GB"/>
              </w:rPr>
              <w:t>14   Events after the reporting date</w:t>
            </w:r>
          </w:p>
        </w:tc>
      </w:tr>
      <w:tr w:rsidR="005D22A5" w:rsidRPr="005D22A5" w14:paraId="1B71029D" w14:textId="77777777" w:rsidTr="005D22A5">
        <w:trPr>
          <w:gridAfter w:val="1"/>
          <w:wAfter w:w="222" w:type="dxa"/>
          <w:trHeight w:val="300"/>
        </w:trPr>
        <w:tc>
          <w:tcPr>
            <w:tcW w:w="258" w:type="dxa"/>
            <w:tcBorders>
              <w:top w:val="nil"/>
              <w:left w:val="nil"/>
              <w:bottom w:val="nil"/>
              <w:right w:val="nil"/>
            </w:tcBorders>
            <w:shd w:val="clear" w:color="auto" w:fill="auto"/>
            <w:noWrap/>
            <w:vAlign w:val="bottom"/>
            <w:hideMark/>
          </w:tcPr>
          <w:p w14:paraId="4CED70D9" w14:textId="77777777" w:rsidR="005D22A5" w:rsidRPr="005D22A5" w:rsidRDefault="005D22A5" w:rsidP="005D22A5">
            <w:pPr>
              <w:spacing w:after="0" w:line="240" w:lineRule="auto"/>
              <w:rPr>
                <w:rFonts w:ascii="Arial" w:eastAsia="Times New Roman" w:hAnsi="Arial" w:cs="Arial"/>
                <w:b/>
                <w:bCs/>
                <w:sz w:val="18"/>
                <w:szCs w:val="18"/>
                <w:lang w:eastAsia="en-GB"/>
              </w:rPr>
            </w:pPr>
          </w:p>
        </w:tc>
        <w:tc>
          <w:tcPr>
            <w:tcW w:w="292" w:type="dxa"/>
            <w:tcBorders>
              <w:top w:val="nil"/>
              <w:left w:val="nil"/>
              <w:bottom w:val="nil"/>
              <w:right w:val="nil"/>
            </w:tcBorders>
            <w:shd w:val="clear" w:color="auto" w:fill="auto"/>
            <w:noWrap/>
            <w:vAlign w:val="bottom"/>
            <w:hideMark/>
          </w:tcPr>
          <w:p w14:paraId="4C0F0C6C" w14:textId="77777777" w:rsidR="005D22A5" w:rsidRPr="005D22A5" w:rsidRDefault="005D22A5" w:rsidP="005D22A5">
            <w:pPr>
              <w:spacing w:after="0" w:line="240" w:lineRule="auto"/>
              <w:rPr>
                <w:rFonts w:ascii="Times New Roman" w:eastAsia="Times New Roman" w:hAnsi="Times New Roman" w:cs="Times New Roman"/>
                <w:sz w:val="20"/>
                <w:szCs w:val="20"/>
                <w:lang w:eastAsia="en-GB"/>
              </w:rPr>
            </w:pPr>
          </w:p>
        </w:tc>
        <w:tc>
          <w:tcPr>
            <w:tcW w:w="292" w:type="dxa"/>
            <w:tcBorders>
              <w:top w:val="nil"/>
              <w:left w:val="nil"/>
              <w:bottom w:val="nil"/>
              <w:right w:val="nil"/>
            </w:tcBorders>
            <w:shd w:val="clear" w:color="auto" w:fill="auto"/>
            <w:noWrap/>
            <w:vAlign w:val="bottom"/>
            <w:hideMark/>
          </w:tcPr>
          <w:p w14:paraId="785C7208" w14:textId="77777777" w:rsidR="005D22A5" w:rsidRPr="005D22A5" w:rsidRDefault="005D22A5" w:rsidP="005D22A5">
            <w:pPr>
              <w:spacing w:after="0" w:line="240" w:lineRule="auto"/>
              <w:rPr>
                <w:rFonts w:ascii="Times New Roman" w:eastAsia="Times New Roman" w:hAnsi="Times New Roman" w:cs="Times New Roman"/>
                <w:sz w:val="20"/>
                <w:szCs w:val="20"/>
                <w:lang w:eastAsia="en-GB"/>
              </w:rPr>
            </w:pPr>
          </w:p>
        </w:tc>
        <w:tc>
          <w:tcPr>
            <w:tcW w:w="1819" w:type="dxa"/>
            <w:tcBorders>
              <w:top w:val="nil"/>
              <w:left w:val="nil"/>
              <w:bottom w:val="nil"/>
              <w:right w:val="nil"/>
            </w:tcBorders>
            <w:shd w:val="clear" w:color="auto" w:fill="auto"/>
            <w:noWrap/>
            <w:vAlign w:val="bottom"/>
            <w:hideMark/>
          </w:tcPr>
          <w:p w14:paraId="0D8FA534" w14:textId="77777777" w:rsidR="005D22A5" w:rsidRPr="005D22A5" w:rsidRDefault="005D22A5" w:rsidP="005D22A5">
            <w:pPr>
              <w:spacing w:after="0" w:line="240" w:lineRule="auto"/>
              <w:rPr>
                <w:rFonts w:ascii="Times New Roman" w:eastAsia="Times New Roman" w:hAnsi="Times New Roman" w:cs="Times New Roman"/>
                <w:sz w:val="20"/>
                <w:szCs w:val="20"/>
                <w:lang w:eastAsia="en-GB"/>
              </w:rPr>
            </w:pPr>
          </w:p>
        </w:tc>
        <w:tc>
          <w:tcPr>
            <w:tcW w:w="2328" w:type="dxa"/>
            <w:tcBorders>
              <w:top w:val="nil"/>
              <w:left w:val="nil"/>
              <w:bottom w:val="nil"/>
              <w:right w:val="nil"/>
            </w:tcBorders>
            <w:shd w:val="clear" w:color="auto" w:fill="auto"/>
            <w:noWrap/>
            <w:vAlign w:val="bottom"/>
            <w:hideMark/>
          </w:tcPr>
          <w:p w14:paraId="5AC17EF3" w14:textId="77777777" w:rsidR="005D22A5" w:rsidRPr="005D22A5" w:rsidRDefault="005D22A5" w:rsidP="005D22A5">
            <w:pPr>
              <w:spacing w:after="0" w:line="240" w:lineRule="auto"/>
              <w:rPr>
                <w:rFonts w:ascii="Times New Roman" w:eastAsia="Times New Roman" w:hAnsi="Times New Roman" w:cs="Times New Roman"/>
                <w:sz w:val="20"/>
                <w:szCs w:val="20"/>
                <w:lang w:eastAsia="en-GB"/>
              </w:rPr>
            </w:pPr>
          </w:p>
        </w:tc>
        <w:tc>
          <w:tcPr>
            <w:tcW w:w="2023" w:type="dxa"/>
            <w:tcBorders>
              <w:top w:val="nil"/>
              <w:left w:val="nil"/>
              <w:bottom w:val="nil"/>
              <w:right w:val="nil"/>
            </w:tcBorders>
            <w:shd w:val="clear" w:color="auto" w:fill="auto"/>
            <w:noWrap/>
            <w:vAlign w:val="bottom"/>
            <w:hideMark/>
          </w:tcPr>
          <w:p w14:paraId="4C301FEC" w14:textId="77777777" w:rsidR="005D22A5" w:rsidRPr="005D22A5" w:rsidRDefault="005D22A5" w:rsidP="005D22A5">
            <w:pPr>
              <w:spacing w:after="0" w:line="240" w:lineRule="auto"/>
              <w:rPr>
                <w:rFonts w:ascii="Times New Roman" w:eastAsia="Times New Roman" w:hAnsi="Times New Roman" w:cs="Times New Roman"/>
                <w:sz w:val="20"/>
                <w:szCs w:val="20"/>
                <w:lang w:eastAsia="en-GB"/>
              </w:rPr>
            </w:pPr>
          </w:p>
        </w:tc>
        <w:tc>
          <w:tcPr>
            <w:tcW w:w="2911" w:type="dxa"/>
            <w:tcBorders>
              <w:top w:val="nil"/>
              <w:left w:val="nil"/>
              <w:bottom w:val="nil"/>
              <w:right w:val="nil"/>
            </w:tcBorders>
            <w:shd w:val="clear" w:color="auto" w:fill="auto"/>
            <w:noWrap/>
            <w:vAlign w:val="bottom"/>
            <w:hideMark/>
          </w:tcPr>
          <w:p w14:paraId="6D456CEF" w14:textId="77777777" w:rsidR="005D22A5" w:rsidRPr="005D22A5" w:rsidRDefault="005D22A5" w:rsidP="005D22A5">
            <w:pPr>
              <w:spacing w:after="0" w:line="240" w:lineRule="auto"/>
              <w:rPr>
                <w:rFonts w:ascii="Times New Roman" w:eastAsia="Times New Roman" w:hAnsi="Times New Roman" w:cs="Times New Roman"/>
                <w:sz w:val="20"/>
                <w:szCs w:val="20"/>
                <w:lang w:eastAsia="en-GB"/>
              </w:rPr>
            </w:pPr>
          </w:p>
        </w:tc>
      </w:tr>
      <w:tr w:rsidR="005D22A5" w:rsidRPr="005D22A5" w14:paraId="53337391" w14:textId="77777777" w:rsidTr="005D22A5">
        <w:trPr>
          <w:gridAfter w:val="1"/>
          <w:wAfter w:w="222" w:type="dxa"/>
          <w:trHeight w:val="450"/>
        </w:trPr>
        <w:tc>
          <w:tcPr>
            <w:tcW w:w="9923" w:type="dxa"/>
            <w:gridSpan w:val="7"/>
            <w:vMerge w:val="restart"/>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597E0931" w14:textId="77777777" w:rsidR="005D22A5" w:rsidRPr="005D22A5" w:rsidRDefault="005D22A5" w:rsidP="005D22A5">
            <w:pPr>
              <w:spacing w:after="0" w:line="240" w:lineRule="auto"/>
              <w:rPr>
                <w:rFonts w:ascii="Arial" w:eastAsia="Times New Roman" w:hAnsi="Arial" w:cs="Arial"/>
                <w:sz w:val="18"/>
                <w:szCs w:val="18"/>
                <w:lang w:eastAsia="en-GB"/>
              </w:rPr>
            </w:pPr>
            <w:r w:rsidRPr="005D22A5">
              <w:rPr>
                <w:rFonts w:ascii="Arial" w:eastAsia="Times New Roman" w:hAnsi="Arial" w:cs="Arial"/>
                <w:b/>
                <w:bCs/>
                <w:sz w:val="18"/>
                <w:szCs w:val="18"/>
                <w:lang w:eastAsia="en-GB"/>
              </w:rPr>
              <w:t>What does this show?</w:t>
            </w:r>
            <w:r w:rsidRPr="005D22A5">
              <w:rPr>
                <w:rFonts w:ascii="Arial" w:eastAsia="Times New Roman" w:hAnsi="Arial" w:cs="Arial"/>
                <w:sz w:val="18"/>
                <w:szCs w:val="18"/>
                <w:lang w:eastAsia="en-GB"/>
              </w:rPr>
              <w:t xml:space="preserve"> This note gives details of any significant events that have happened after the balance sheet date but before the date that the accounts are approved. These </w:t>
            </w:r>
            <w:proofErr w:type="gramStart"/>
            <w:r w:rsidRPr="005D22A5">
              <w:rPr>
                <w:rFonts w:ascii="Arial" w:eastAsia="Times New Roman" w:hAnsi="Arial" w:cs="Arial"/>
                <w:sz w:val="18"/>
                <w:szCs w:val="18"/>
                <w:lang w:eastAsia="en-GB"/>
              </w:rPr>
              <w:t>are things that are</w:t>
            </w:r>
            <w:proofErr w:type="gramEnd"/>
            <w:r w:rsidRPr="005D22A5">
              <w:rPr>
                <w:rFonts w:ascii="Arial" w:eastAsia="Times New Roman" w:hAnsi="Arial" w:cs="Arial"/>
                <w:sz w:val="18"/>
                <w:szCs w:val="18"/>
                <w:lang w:eastAsia="en-GB"/>
              </w:rPr>
              <w:t xml:space="preserve"> of such significance that it is appropriate to give a reader of the accounts further detail as to the impact of such events on the financial statements or any expected likely impact in future periods. </w:t>
            </w:r>
          </w:p>
        </w:tc>
      </w:tr>
      <w:tr w:rsidR="005D22A5" w:rsidRPr="005D22A5" w14:paraId="1CD1D47E" w14:textId="77777777" w:rsidTr="005D22A5">
        <w:trPr>
          <w:trHeight w:val="300"/>
        </w:trPr>
        <w:tc>
          <w:tcPr>
            <w:tcW w:w="9923" w:type="dxa"/>
            <w:gridSpan w:val="7"/>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77E5688D" w14:textId="77777777" w:rsidR="005D22A5" w:rsidRPr="005D22A5" w:rsidRDefault="005D22A5" w:rsidP="005D22A5">
            <w:pPr>
              <w:spacing w:after="0" w:line="240" w:lineRule="auto"/>
              <w:rPr>
                <w:rFonts w:ascii="Arial" w:eastAsia="Times New Roman" w:hAnsi="Arial" w:cs="Arial"/>
                <w:sz w:val="18"/>
                <w:szCs w:val="18"/>
                <w:lang w:eastAsia="en-GB"/>
              </w:rPr>
            </w:pPr>
          </w:p>
        </w:tc>
        <w:tc>
          <w:tcPr>
            <w:tcW w:w="222" w:type="dxa"/>
            <w:tcBorders>
              <w:top w:val="nil"/>
              <w:left w:val="nil"/>
              <w:bottom w:val="nil"/>
              <w:right w:val="nil"/>
            </w:tcBorders>
            <w:shd w:val="clear" w:color="auto" w:fill="auto"/>
            <w:noWrap/>
            <w:vAlign w:val="bottom"/>
            <w:hideMark/>
          </w:tcPr>
          <w:p w14:paraId="36E8D220" w14:textId="77777777" w:rsidR="005D22A5" w:rsidRPr="005D22A5" w:rsidRDefault="005D22A5" w:rsidP="005D22A5">
            <w:pPr>
              <w:spacing w:after="0" w:line="240" w:lineRule="auto"/>
              <w:rPr>
                <w:rFonts w:ascii="Arial" w:eastAsia="Times New Roman" w:hAnsi="Arial" w:cs="Arial"/>
                <w:sz w:val="18"/>
                <w:szCs w:val="18"/>
                <w:lang w:eastAsia="en-GB"/>
              </w:rPr>
            </w:pPr>
          </w:p>
        </w:tc>
      </w:tr>
      <w:tr w:rsidR="005D22A5" w:rsidRPr="005D22A5" w14:paraId="392017EE" w14:textId="77777777" w:rsidTr="005D22A5">
        <w:trPr>
          <w:trHeight w:val="360"/>
        </w:trPr>
        <w:tc>
          <w:tcPr>
            <w:tcW w:w="9923" w:type="dxa"/>
            <w:gridSpan w:val="7"/>
            <w:vMerge/>
            <w:tcBorders>
              <w:top w:val="single" w:sz="4" w:space="0" w:color="BFBFBF"/>
              <w:left w:val="single" w:sz="4" w:space="0" w:color="BFBFBF"/>
              <w:bottom w:val="single" w:sz="4" w:space="0" w:color="BFBFBF"/>
              <w:right w:val="single" w:sz="4" w:space="0" w:color="BFBFBF"/>
            </w:tcBorders>
            <w:shd w:val="clear" w:color="auto" w:fill="CCECFF"/>
            <w:vAlign w:val="center"/>
            <w:hideMark/>
          </w:tcPr>
          <w:p w14:paraId="38D1A876" w14:textId="77777777" w:rsidR="005D22A5" w:rsidRPr="005D22A5" w:rsidRDefault="005D22A5" w:rsidP="005D22A5">
            <w:pPr>
              <w:spacing w:after="0" w:line="240" w:lineRule="auto"/>
              <w:rPr>
                <w:rFonts w:ascii="Arial" w:eastAsia="Times New Roman" w:hAnsi="Arial" w:cs="Arial"/>
                <w:sz w:val="18"/>
                <w:szCs w:val="18"/>
                <w:lang w:eastAsia="en-GB"/>
              </w:rPr>
            </w:pPr>
          </w:p>
        </w:tc>
        <w:tc>
          <w:tcPr>
            <w:tcW w:w="222" w:type="dxa"/>
            <w:tcBorders>
              <w:top w:val="nil"/>
              <w:left w:val="nil"/>
              <w:bottom w:val="nil"/>
              <w:right w:val="nil"/>
            </w:tcBorders>
            <w:shd w:val="clear" w:color="auto" w:fill="auto"/>
            <w:noWrap/>
            <w:vAlign w:val="bottom"/>
            <w:hideMark/>
          </w:tcPr>
          <w:p w14:paraId="5E3883AB" w14:textId="77777777" w:rsidR="005D22A5" w:rsidRPr="005D22A5" w:rsidRDefault="005D22A5" w:rsidP="005D22A5">
            <w:pPr>
              <w:spacing w:after="0" w:line="240" w:lineRule="auto"/>
              <w:rPr>
                <w:rFonts w:ascii="Times New Roman" w:eastAsia="Times New Roman" w:hAnsi="Times New Roman" w:cs="Times New Roman"/>
                <w:sz w:val="20"/>
                <w:szCs w:val="20"/>
                <w:lang w:eastAsia="en-GB"/>
              </w:rPr>
            </w:pPr>
          </w:p>
        </w:tc>
      </w:tr>
      <w:tr w:rsidR="005D22A5" w:rsidRPr="005D22A5" w14:paraId="5CC3F501" w14:textId="77777777" w:rsidTr="005D22A5">
        <w:trPr>
          <w:trHeight w:val="300"/>
        </w:trPr>
        <w:tc>
          <w:tcPr>
            <w:tcW w:w="258" w:type="dxa"/>
            <w:tcBorders>
              <w:top w:val="nil"/>
              <w:left w:val="nil"/>
              <w:bottom w:val="nil"/>
              <w:right w:val="nil"/>
            </w:tcBorders>
            <w:shd w:val="clear" w:color="000000" w:fill="FFFFFF"/>
            <w:noWrap/>
            <w:vAlign w:val="center"/>
            <w:hideMark/>
          </w:tcPr>
          <w:p w14:paraId="1F42D304" w14:textId="77777777" w:rsidR="005D22A5" w:rsidRPr="005D22A5" w:rsidRDefault="005D22A5" w:rsidP="005D22A5">
            <w:pPr>
              <w:spacing w:after="0" w:line="240" w:lineRule="auto"/>
              <w:rPr>
                <w:rFonts w:ascii="Arial" w:eastAsia="Times New Roman" w:hAnsi="Arial" w:cs="Arial"/>
                <w:sz w:val="15"/>
                <w:szCs w:val="15"/>
                <w:lang w:eastAsia="en-GB"/>
              </w:rPr>
            </w:pPr>
            <w:r w:rsidRPr="005D22A5">
              <w:rPr>
                <w:rFonts w:ascii="Arial" w:eastAsia="Times New Roman" w:hAnsi="Arial" w:cs="Arial"/>
                <w:sz w:val="15"/>
                <w:szCs w:val="15"/>
                <w:lang w:eastAsia="en-GB"/>
              </w:rPr>
              <w:t> </w:t>
            </w:r>
          </w:p>
        </w:tc>
        <w:tc>
          <w:tcPr>
            <w:tcW w:w="292" w:type="dxa"/>
            <w:tcBorders>
              <w:top w:val="nil"/>
              <w:left w:val="nil"/>
              <w:bottom w:val="nil"/>
              <w:right w:val="nil"/>
            </w:tcBorders>
            <w:shd w:val="clear" w:color="000000" w:fill="FFFFFF"/>
            <w:noWrap/>
            <w:vAlign w:val="bottom"/>
            <w:hideMark/>
          </w:tcPr>
          <w:p w14:paraId="61A5F3DA" w14:textId="77777777" w:rsidR="005D22A5" w:rsidRPr="005D22A5" w:rsidRDefault="005D22A5" w:rsidP="005D22A5">
            <w:pPr>
              <w:spacing w:after="0" w:line="240" w:lineRule="auto"/>
              <w:rPr>
                <w:rFonts w:ascii="Arial" w:eastAsia="Times New Roman" w:hAnsi="Arial" w:cs="Arial"/>
                <w:b/>
                <w:bCs/>
                <w:sz w:val="20"/>
                <w:szCs w:val="20"/>
                <w:lang w:eastAsia="en-GB"/>
              </w:rPr>
            </w:pPr>
            <w:r w:rsidRPr="005D22A5">
              <w:rPr>
                <w:rFonts w:ascii="Arial" w:eastAsia="Times New Roman" w:hAnsi="Arial" w:cs="Arial"/>
                <w:b/>
                <w:bCs/>
                <w:sz w:val="20"/>
                <w:szCs w:val="20"/>
                <w:lang w:eastAsia="en-GB"/>
              </w:rPr>
              <w:t> </w:t>
            </w:r>
          </w:p>
        </w:tc>
        <w:tc>
          <w:tcPr>
            <w:tcW w:w="292" w:type="dxa"/>
            <w:tcBorders>
              <w:top w:val="nil"/>
              <w:left w:val="nil"/>
              <w:bottom w:val="nil"/>
              <w:right w:val="nil"/>
            </w:tcBorders>
            <w:shd w:val="clear" w:color="000000" w:fill="FFFFFF"/>
            <w:noWrap/>
            <w:vAlign w:val="bottom"/>
            <w:hideMark/>
          </w:tcPr>
          <w:p w14:paraId="3688E343" w14:textId="77777777" w:rsidR="005D22A5" w:rsidRPr="005D22A5" w:rsidRDefault="005D22A5" w:rsidP="005D22A5">
            <w:pPr>
              <w:spacing w:after="0" w:line="240" w:lineRule="auto"/>
              <w:rPr>
                <w:rFonts w:ascii="Arial" w:eastAsia="Times New Roman" w:hAnsi="Arial" w:cs="Arial"/>
                <w:b/>
                <w:bCs/>
                <w:sz w:val="20"/>
                <w:szCs w:val="20"/>
                <w:lang w:eastAsia="en-GB"/>
              </w:rPr>
            </w:pPr>
            <w:r w:rsidRPr="005D22A5">
              <w:rPr>
                <w:rFonts w:ascii="Arial" w:eastAsia="Times New Roman" w:hAnsi="Arial" w:cs="Arial"/>
                <w:b/>
                <w:bCs/>
                <w:sz w:val="20"/>
                <w:szCs w:val="20"/>
                <w:lang w:eastAsia="en-GB"/>
              </w:rPr>
              <w:t> </w:t>
            </w:r>
          </w:p>
        </w:tc>
        <w:tc>
          <w:tcPr>
            <w:tcW w:w="1819" w:type="dxa"/>
            <w:tcBorders>
              <w:top w:val="nil"/>
              <w:left w:val="nil"/>
              <w:bottom w:val="nil"/>
              <w:right w:val="nil"/>
            </w:tcBorders>
            <w:shd w:val="clear" w:color="000000" w:fill="FFFFFF"/>
            <w:vAlign w:val="center"/>
            <w:hideMark/>
          </w:tcPr>
          <w:p w14:paraId="3C835EDA" w14:textId="77777777" w:rsidR="005D22A5" w:rsidRPr="005D22A5" w:rsidRDefault="005D22A5" w:rsidP="005D22A5">
            <w:pPr>
              <w:spacing w:after="0" w:line="240" w:lineRule="auto"/>
              <w:jc w:val="right"/>
              <w:rPr>
                <w:rFonts w:ascii="Arial" w:eastAsia="Times New Roman" w:hAnsi="Arial" w:cs="Arial"/>
                <w:sz w:val="15"/>
                <w:szCs w:val="15"/>
                <w:lang w:eastAsia="en-GB"/>
              </w:rPr>
            </w:pPr>
            <w:r w:rsidRPr="005D22A5">
              <w:rPr>
                <w:rFonts w:ascii="Arial" w:eastAsia="Times New Roman" w:hAnsi="Arial" w:cs="Arial"/>
                <w:sz w:val="15"/>
                <w:szCs w:val="15"/>
                <w:lang w:eastAsia="en-GB"/>
              </w:rPr>
              <w:t> </w:t>
            </w:r>
          </w:p>
        </w:tc>
        <w:tc>
          <w:tcPr>
            <w:tcW w:w="2328" w:type="dxa"/>
            <w:tcBorders>
              <w:top w:val="nil"/>
              <w:left w:val="nil"/>
              <w:bottom w:val="nil"/>
              <w:right w:val="nil"/>
            </w:tcBorders>
            <w:shd w:val="clear" w:color="000000" w:fill="FFFFFF"/>
            <w:vAlign w:val="center"/>
            <w:hideMark/>
          </w:tcPr>
          <w:p w14:paraId="16DA9F0C" w14:textId="77777777" w:rsidR="005D22A5" w:rsidRPr="005D22A5" w:rsidRDefault="005D22A5" w:rsidP="005D22A5">
            <w:pPr>
              <w:spacing w:after="0" w:line="240" w:lineRule="auto"/>
              <w:jc w:val="right"/>
              <w:rPr>
                <w:rFonts w:ascii="Arial" w:eastAsia="Times New Roman" w:hAnsi="Arial" w:cs="Arial"/>
                <w:sz w:val="15"/>
                <w:szCs w:val="15"/>
                <w:lang w:eastAsia="en-GB"/>
              </w:rPr>
            </w:pPr>
            <w:r w:rsidRPr="005D22A5">
              <w:rPr>
                <w:rFonts w:ascii="Arial" w:eastAsia="Times New Roman" w:hAnsi="Arial" w:cs="Arial"/>
                <w:sz w:val="15"/>
                <w:szCs w:val="15"/>
                <w:lang w:eastAsia="en-GB"/>
              </w:rPr>
              <w:t> </w:t>
            </w:r>
          </w:p>
        </w:tc>
        <w:tc>
          <w:tcPr>
            <w:tcW w:w="2023" w:type="dxa"/>
            <w:tcBorders>
              <w:top w:val="nil"/>
              <w:left w:val="nil"/>
              <w:bottom w:val="nil"/>
              <w:right w:val="nil"/>
            </w:tcBorders>
            <w:shd w:val="clear" w:color="000000" w:fill="FFFFFF"/>
            <w:vAlign w:val="center"/>
            <w:hideMark/>
          </w:tcPr>
          <w:p w14:paraId="5C145EA2" w14:textId="77777777" w:rsidR="005D22A5" w:rsidRPr="005D22A5" w:rsidRDefault="005D22A5" w:rsidP="005D22A5">
            <w:pPr>
              <w:spacing w:after="0" w:line="240" w:lineRule="auto"/>
              <w:jc w:val="right"/>
              <w:rPr>
                <w:rFonts w:ascii="Arial" w:eastAsia="Times New Roman" w:hAnsi="Arial" w:cs="Arial"/>
                <w:sz w:val="15"/>
                <w:szCs w:val="15"/>
                <w:lang w:eastAsia="en-GB"/>
              </w:rPr>
            </w:pPr>
            <w:r w:rsidRPr="005D22A5">
              <w:rPr>
                <w:rFonts w:ascii="Arial" w:eastAsia="Times New Roman" w:hAnsi="Arial" w:cs="Arial"/>
                <w:sz w:val="15"/>
                <w:szCs w:val="15"/>
                <w:lang w:eastAsia="en-GB"/>
              </w:rPr>
              <w:t> </w:t>
            </w:r>
          </w:p>
        </w:tc>
        <w:tc>
          <w:tcPr>
            <w:tcW w:w="2911" w:type="dxa"/>
            <w:tcBorders>
              <w:top w:val="nil"/>
              <w:left w:val="nil"/>
              <w:bottom w:val="nil"/>
              <w:right w:val="nil"/>
            </w:tcBorders>
            <w:shd w:val="clear" w:color="000000" w:fill="FFFFFF"/>
            <w:vAlign w:val="center"/>
            <w:hideMark/>
          </w:tcPr>
          <w:p w14:paraId="147F4D70" w14:textId="77777777" w:rsidR="005D22A5" w:rsidRPr="005D22A5" w:rsidRDefault="005D22A5" w:rsidP="005D22A5">
            <w:pPr>
              <w:spacing w:after="0" w:line="240" w:lineRule="auto"/>
              <w:jc w:val="right"/>
              <w:rPr>
                <w:rFonts w:ascii="Arial" w:eastAsia="Times New Roman" w:hAnsi="Arial" w:cs="Arial"/>
                <w:sz w:val="15"/>
                <w:szCs w:val="15"/>
                <w:lang w:eastAsia="en-GB"/>
              </w:rPr>
            </w:pPr>
            <w:r w:rsidRPr="005D22A5">
              <w:rPr>
                <w:rFonts w:ascii="Arial" w:eastAsia="Times New Roman" w:hAnsi="Arial" w:cs="Arial"/>
                <w:sz w:val="15"/>
                <w:szCs w:val="15"/>
                <w:lang w:eastAsia="en-GB"/>
              </w:rPr>
              <w:t> </w:t>
            </w:r>
          </w:p>
        </w:tc>
        <w:tc>
          <w:tcPr>
            <w:tcW w:w="222" w:type="dxa"/>
            <w:vAlign w:val="center"/>
            <w:hideMark/>
          </w:tcPr>
          <w:p w14:paraId="72CA7A55" w14:textId="77777777" w:rsidR="005D22A5" w:rsidRPr="005D22A5" w:rsidRDefault="005D22A5" w:rsidP="005D22A5">
            <w:pPr>
              <w:spacing w:after="0" w:line="240" w:lineRule="auto"/>
              <w:rPr>
                <w:rFonts w:ascii="Times New Roman" w:eastAsia="Times New Roman" w:hAnsi="Times New Roman" w:cs="Times New Roman"/>
                <w:sz w:val="20"/>
                <w:szCs w:val="20"/>
                <w:lang w:eastAsia="en-GB"/>
              </w:rPr>
            </w:pPr>
          </w:p>
        </w:tc>
      </w:tr>
      <w:tr w:rsidR="005D22A5" w:rsidRPr="005D22A5" w14:paraId="2EA25257" w14:textId="77777777" w:rsidTr="005D22A5">
        <w:trPr>
          <w:trHeight w:val="1350"/>
        </w:trPr>
        <w:tc>
          <w:tcPr>
            <w:tcW w:w="9923" w:type="dxa"/>
            <w:gridSpan w:val="7"/>
            <w:tcBorders>
              <w:top w:val="nil"/>
              <w:left w:val="nil"/>
              <w:bottom w:val="nil"/>
              <w:right w:val="nil"/>
            </w:tcBorders>
            <w:shd w:val="clear" w:color="000000" w:fill="FFFFFF"/>
            <w:vAlign w:val="center"/>
            <w:hideMark/>
          </w:tcPr>
          <w:p w14:paraId="649B1761" w14:textId="77777777" w:rsidR="005D22A5" w:rsidRPr="005D22A5" w:rsidRDefault="005D22A5" w:rsidP="005D22A5">
            <w:pPr>
              <w:spacing w:after="0" w:line="240" w:lineRule="auto"/>
              <w:rPr>
                <w:rFonts w:ascii="Arial" w:eastAsia="Times New Roman" w:hAnsi="Arial" w:cs="Arial"/>
                <w:sz w:val="15"/>
                <w:szCs w:val="15"/>
                <w:lang w:eastAsia="en-GB"/>
              </w:rPr>
            </w:pPr>
            <w:r w:rsidRPr="005D22A5">
              <w:rPr>
                <w:rFonts w:ascii="Arial" w:eastAsia="Times New Roman" w:hAnsi="Arial" w:cs="Arial"/>
                <w:b/>
                <w:bCs/>
                <w:sz w:val="15"/>
                <w:szCs w:val="15"/>
                <w:lang w:eastAsia="en-GB"/>
              </w:rPr>
              <w:t>Colleague structure changes</w:t>
            </w:r>
            <w:r w:rsidRPr="005D22A5">
              <w:rPr>
                <w:rFonts w:ascii="Arial" w:eastAsia="Times New Roman" w:hAnsi="Arial" w:cs="Arial"/>
                <w:sz w:val="15"/>
                <w:szCs w:val="15"/>
                <w:lang w:eastAsia="en-GB"/>
              </w:rPr>
              <w:t xml:space="preserve"> - on 21 July 2022 the Group announced proposed changes to our ways of working to support our strategic priorities in response to the particularly challenging trading environment the Group is facing. As a result of these changes, we will need to adapt and restructure our teams. The changes primarily </w:t>
            </w:r>
            <w:proofErr w:type="gramStart"/>
            <w:r w:rsidRPr="005D22A5">
              <w:rPr>
                <w:rFonts w:ascii="Arial" w:eastAsia="Times New Roman" w:hAnsi="Arial" w:cs="Arial"/>
                <w:sz w:val="15"/>
                <w:szCs w:val="15"/>
                <w:lang w:eastAsia="en-GB"/>
              </w:rPr>
              <w:t>relates</w:t>
            </w:r>
            <w:proofErr w:type="gramEnd"/>
            <w:r w:rsidRPr="005D22A5">
              <w:rPr>
                <w:rFonts w:ascii="Arial" w:eastAsia="Times New Roman" w:hAnsi="Arial" w:cs="Arial"/>
                <w:sz w:val="15"/>
                <w:szCs w:val="15"/>
                <w:lang w:eastAsia="en-GB"/>
              </w:rPr>
              <w:t xml:space="preserve"> to support centre colleagues and it is expected that around 400 colleagues will leave our Co-op in the second half of the year once a consultation process has completed. The announcement is a non-adjusting post balance sheet event and any costs or provisions associated with the proposals will be assessed for </w:t>
            </w:r>
            <w:proofErr w:type="gramStart"/>
            <w:r w:rsidRPr="005D22A5">
              <w:rPr>
                <w:rFonts w:ascii="Arial" w:eastAsia="Times New Roman" w:hAnsi="Arial" w:cs="Arial"/>
                <w:sz w:val="15"/>
                <w:szCs w:val="15"/>
                <w:lang w:eastAsia="en-GB"/>
              </w:rPr>
              <w:t>2022 year</w:t>
            </w:r>
            <w:proofErr w:type="gramEnd"/>
            <w:r w:rsidRPr="005D22A5">
              <w:rPr>
                <w:rFonts w:ascii="Arial" w:eastAsia="Times New Roman" w:hAnsi="Arial" w:cs="Arial"/>
                <w:sz w:val="15"/>
                <w:szCs w:val="15"/>
                <w:lang w:eastAsia="en-GB"/>
              </w:rPr>
              <w:t xml:space="preserve"> end reporting. </w:t>
            </w:r>
          </w:p>
        </w:tc>
        <w:tc>
          <w:tcPr>
            <w:tcW w:w="222" w:type="dxa"/>
            <w:vAlign w:val="center"/>
            <w:hideMark/>
          </w:tcPr>
          <w:p w14:paraId="2CDCD349" w14:textId="77777777" w:rsidR="005D22A5" w:rsidRPr="005D22A5" w:rsidRDefault="005D22A5" w:rsidP="005D22A5">
            <w:pPr>
              <w:spacing w:after="0" w:line="240" w:lineRule="auto"/>
              <w:rPr>
                <w:rFonts w:ascii="Times New Roman" w:eastAsia="Times New Roman" w:hAnsi="Times New Roman" w:cs="Times New Roman"/>
                <w:sz w:val="20"/>
                <w:szCs w:val="20"/>
                <w:lang w:eastAsia="en-GB"/>
              </w:rPr>
            </w:pPr>
          </w:p>
        </w:tc>
      </w:tr>
      <w:tr w:rsidR="005D22A5" w:rsidRPr="005D22A5" w14:paraId="11539E74" w14:textId="77777777" w:rsidTr="005D22A5">
        <w:trPr>
          <w:trHeight w:val="503"/>
        </w:trPr>
        <w:tc>
          <w:tcPr>
            <w:tcW w:w="9923" w:type="dxa"/>
            <w:gridSpan w:val="7"/>
            <w:vMerge w:val="restart"/>
            <w:tcBorders>
              <w:top w:val="nil"/>
              <w:left w:val="nil"/>
              <w:bottom w:val="nil"/>
              <w:right w:val="nil"/>
            </w:tcBorders>
            <w:shd w:val="clear" w:color="000000" w:fill="FFFFFF"/>
            <w:vAlign w:val="center"/>
            <w:hideMark/>
          </w:tcPr>
          <w:p w14:paraId="70C0E331" w14:textId="77777777" w:rsidR="005D22A5" w:rsidRDefault="005D22A5" w:rsidP="005D22A5">
            <w:pPr>
              <w:spacing w:after="0" w:line="240" w:lineRule="auto"/>
              <w:rPr>
                <w:rFonts w:ascii="Arial" w:eastAsia="Times New Roman" w:hAnsi="Arial" w:cs="Arial"/>
                <w:sz w:val="15"/>
                <w:szCs w:val="15"/>
                <w:lang w:eastAsia="en-GB"/>
              </w:rPr>
            </w:pPr>
            <w:r w:rsidRPr="005D22A5">
              <w:rPr>
                <w:rFonts w:ascii="Arial" w:eastAsia="Times New Roman" w:hAnsi="Arial" w:cs="Arial"/>
                <w:b/>
                <w:bCs/>
                <w:sz w:val="15"/>
                <w:szCs w:val="15"/>
                <w:lang w:eastAsia="en-GB"/>
              </w:rPr>
              <w:t>Petrol forecourt sale</w:t>
            </w:r>
            <w:r w:rsidRPr="005D22A5">
              <w:rPr>
                <w:rFonts w:ascii="Arial" w:eastAsia="Times New Roman" w:hAnsi="Arial" w:cs="Arial"/>
                <w:sz w:val="15"/>
                <w:szCs w:val="15"/>
                <w:lang w:eastAsia="en-GB"/>
              </w:rPr>
              <w:t xml:space="preserve"> - </w:t>
            </w:r>
            <w:r w:rsidR="00FB096F" w:rsidRPr="00FB096F">
              <w:rPr>
                <w:rFonts w:ascii="Arial" w:eastAsia="Times New Roman" w:hAnsi="Arial" w:cs="Arial"/>
                <w:sz w:val="15"/>
                <w:szCs w:val="15"/>
                <w:lang w:eastAsia="en-GB"/>
              </w:rPr>
              <w:t xml:space="preserve">on 31 August 2022 the Group announced our intention to sell our 129 Petrol Forecourt sites, which form part of our Co-op Food business, to Asda, for a value of approximately £600m (which will include cash consideration of £438m and is also inclusive of IFRS 16 lease liabilities of approximately £162m with final amounts to be confirmed on completion). As </w:t>
            </w:r>
            <w:proofErr w:type="gramStart"/>
            <w:r w:rsidR="00FB096F" w:rsidRPr="00FB096F">
              <w:rPr>
                <w:rFonts w:ascii="Arial" w:eastAsia="Times New Roman" w:hAnsi="Arial" w:cs="Arial"/>
                <w:sz w:val="15"/>
                <w:szCs w:val="15"/>
                <w:lang w:eastAsia="en-GB"/>
              </w:rPr>
              <w:t>at</w:t>
            </w:r>
            <w:proofErr w:type="gramEnd"/>
            <w:r w:rsidR="00FB096F" w:rsidRPr="00FB096F">
              <w:rPr>
                <w:rFonts w:ascii="Arial" w:eastAsia="Times New Roman" w:hAnsi="Arial" w:cs="Arial"/>
                <w:sz w:val="15"/>
                <w:szCs w:val="15"/>
                <w:lang w:eastAsia="en-GB"/>
              </w:rPr>
              <w:t xml:space="preserve"> 2 July 2022, the assets and liabilities associated with these sites have been classified as held for sale in our consolidated balance sheet as their disposal was highly probable at the half-year date. Our expectation is that the sale will complete in the last quarter of the year. The announcement is a non-adjusting post balance sheet event and accounting for the disposal will be assessed for </w:t>
            </w:r>
            <w:proofErr w:type="gramStart"/>
            <w:r w:rsidR="00FB096F" w:rsidRPr="00FB096F">
              <w:rPr>
                <w:rFonts w:ascii="Arial" w:eastAsia="Times New Roman" w:hAnsi="Arial" w:cs="Arial"/>
                <w:sz w:val="15"/>
                <w:szCs w:val="15"/>
                <w:lang w:eastAsia="en-GB"/>
              </w:rPr>
              <w:t>2022 year</w:t>
            </w:r>
            <w:proofErr w:type="gramEnd"/>
            <w:r w:rsidR="00FB096F" w:rsidRPr="00FB096F">
              <w:rPr>
                <w:rFonts w:ascii="Arial" w:eastAsia="Times New Roman" w:hAnsi="Arial" w:cs="Arial"/>
                <w:sz w:val="15"/>
                <w:szCs w:val="15"/>
                <w:lang w:eastAsia="en-GB"/>
              </w:rPr>
              <w:t xml:space="preserve"> end reporting.</w:t>
            </w:r>
          </w:p>
          <w:p w14:paraId="243D9DA3" w14:textId="60DF4758" w:rsidR="00FB096F" w:rsidRPr="005D22A5" w:rsidRDefault="00FB096F" w:rsidP="005D22A5">
            <w:pPr>
              <w:spacing w:after="0" w:line="240" w:lineRule="auto"/>
              <w:rPr>
                <w:rFonts w:ascii="Arial" w:eastAsia="Times New Roman" w:hAnsi="Arial" w:cs="Arial"/>
                <w:sz w:val="15"/>
                <w:szCs w:val="15"/>
                <w:lang w:eastAsia="en-GB"/>
              </w:rPr>
            </w:pPr>
          </w:p>
        </w:tc>
        <w:tc>
          <w:tcPr>
            <w:tcW w:w="222" w:type="dxa"/>
            <w:vAlign w:val="center"/>
            <w:hideMark/>
          </w:tcPr>
          <w:p w14:paraId="6AD53B5F" w14:textId="77777777" w:rsidR="005D22A5" w:rsidRPr="005D22A5" w:rsidRDefault="005D22A5" w:rsidP="005D22A5">
            <w:pPr>
              <w:spacing w:after="0" w:line="240" w:lineRule="auto"/>
              <w:rPr>
                <w:rFonts w:ascii="Times New Roman" w:eastAsia="Times New Roman" w:hAnsi="Times New Roman" w:cs="Times New Roman"/>
                <w:sz w:val="20"/>
                <w:szCs w:val="20"/>
                <w:lang w:eastAsia="en-GB"/>
              </w:rPr>
            </w:pPr>
          </w:p>
        </w:tc>
      </w:tr>
      <w:tr w:rsidR="005D22A5" w:rsidRPr="005D22A5" w14:paraId="3B94EE11" w14:textId="77777777" w:rsidTr="005D22A5">
        <w:trPr>
          <w:trHeight w:val="480"/>
        </w:trPr>
        <w:tc>
          <w:tcPr>
            <w:tcW w:w="9923" w:type="dxa"/>
            <w:gridSpan w:val="7"/>
            <w:vMerge/>
            <w:tcBorders>
              <w:top w:val="nil"/>
              <w:left w:val="nil"/>
              <w:bottom w:val="nil"/>
              <w:right w:val="nil"/>
            </w:tcBorders>
            <w:vAlign w:val="center"/>
            <w:hideMark/>
          </w:tcPr>
          <w:p w14:paraId="4FF29431" w14:textId="77777777" w:rsidR="005D22A5" w:rsidRPr="005D22A5" w:rsidRDefault="005D22A5" w:rsidP="005D22A5">
            <w:pPr>
              <w:spacing w:after="0" w:line="240" w:lineRule="auto"/>
              <w:rPr>
                <w:rFonts w:ascii="Arial" w:eastAsia="Times New Roman" w:hAnsi="Arial" w:cs="Arial"/>
                <w:sz w:val="15"/>
                <w:szCs w:val="15"/>
                <w:lang w:eastAsia="en-GB"/>
              </w:rPr>
            </w:pPr>
          </w:p>
        </w:tc>
        <w:tc>
          <w:tcPr>
            <w:tcW w:w="222" w:type="dxa"/>
            <w:tcBorders>
              <w:top w:val="nil"/>
              <w:left w:val="nil"/>
              <w:bottom w:val="nil"/>
              <w:right w:val="nil"/>
            </w:tcBorders>
            <w:shd w:val="clear" w:color="auto" w:fill="auto"/>
            <w:noWrap/>
            <w:vAlign w:val="bottom"/>
            <w:hideMark/>
          </w:tcPr>
          <w:p w14:paraId="282C03A7" w14:textId="77777777" w:rsidR="005D22A5" w:rsidRPr="005D22A5" w:rsidRDefault="005D22A5" w:rsidP="005D22A5">
            <w:pPr>
              <w:spacing w:after="0" w:line="240" w:lineRule="auto"/>
              <w:rPr>
                <w:rFonts w:ascii="Arial" w:eastAsia="Times New Roman" w:hAnsi="Arial" w:cs="Arial"/>
                <w:sz w:val="15"/>
                <w:szCs w:val="15"/>
                <w:lang w:eastAsia="en-GB"/>
              </w:rPr>
            </w:pPr>
          </w:p>
        </w:tc>
      </w:tr>
    </w:tbl>
    <w:p w14:paraId="06ED2B16" w14:textId="18E639D9" w:rsidR="008455FA" w:rsidRDefault="008455FA" w:rsidP="00BB64F8">
      <w:pPr>
        <w:rPr>
          <w:b/>
          <w:bCs/>
        </w:rPr>
      </w:pPr>
    </w:p>
    <w:p w14:paraId="53460BBA" w14:textId="413CCCDD" w:rsidR="007C59E1" w:rsidRDefault="007C59E1" w:rsidP="00BB64F8">
      <w:pPr>
        <w:rPr>
          <w:b/>
          <w:bCs/>
        </w:rPr>
      </w:pPr>
    </w:p>
    <w:p w14:paraId="1F14C878" w14:textId="77777777" w:rsidR="007C59E1" w:rsidRPr="00D404ED" w:rsidRDefault="007C59E1" w:rsidP="007C59E1">
      <w:pPr>
        <w:spacing w:after="0" w:line="240" w:lineRule="auto"/>
        <w:contextualSpacing/>
        <w:rPr>
          <w:rFonts w:ascii="Arial" w:hAnsi="Arial" w:cs="Arial"/>
          <w:b/>
          <w:color w:val="00B0F0"/>
          <w:sz w:val="32"/>
          <w:szCs w:val="32"/>
        </w:rPr>
      </w:pPr>
      <w:r w:rsidRPr="00D404ED">
        <w:rPr>
          <w:rFonts w:ascii="Arial" w:hAnsi="Arial" w:cs="Arial"/>
          <w:b/>
          <w:color w:val="00B0F0"/>
          <w:sz w:val="32"/>
          <w:szCs w:val="32"/>
        </w:rPr>
        <w:t>Accounting policies and basis of preparation</w:t>
      </w:r>
    </w:p>
    <w:p w14:paraId="7B5B6501" w14:textId="77777777" w:rsidR="007C59E1" w:rsidRDefault="007C59E1" w:rsidP="007C59E1">
      <w:pPr>
        <w:pStyle w:val="Default"/>
        <w:contextualSpacing/>
        <w:rPr>
          <w:rFonts w:ascii="Arial" w:hAnsi="Arial" w:cs="Arial"/>
          <w:color w:val="auto"/>
          <w:sz w:val="18"/>
          <w:szCs w:val="18"/>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CC"/>
        <w:tblLook w:val="04A0" w:firstRow="1" w:lastRow="0" w:firstColumn="1" w:lastColumn="0" w:noHBand="0" w:noVBand="1"/>
      </w:tblPr>
      <w:tblGrid>
        <w:gridCol w:w="10206"/>
      </w:tblGrid>
      <w:tr w:rsidR="007C59E1" w14:paraId="0F6B23AC" w14:textId="77777777" w:rsidTr="00FB1FBE">
        <w:trPr>
          <w:trHeight w:val="963"/>
        </w:trPr>
        <w:tc>
          <w:tcPr>
            <w:tcW w:w="10206" w:type="dxa"/>
            <w:shd w:val="clear" w:color="auto" w:fill="CCECFF"/>
            <w:vAlign w:val="center"/>
          </w:tcPr>
          <w:p w14:paraId="7C3EC727" w14:textId="77777777" w:rsidR="007C59E1" w:rsidRPr="00F67DC4" w:rsidRDefault="007C59E1" w:rsidP="00D23F97">
            <w:pPr>
              <w:autoSpaceDE w:val="0"/>
              <w:autoSpaceDN w:val="0"/>
              <w:adjustRightInd w:val="0"/>
              <w:rPr>
                <w:rFonts w:ascii="Arial" w:hAnsi="Arial" w:cs="Arial"/>
                <w:sz w:val="18"/>
                <w:szCs w:val="18"/>
              </w:rPr>
            </w:pPr>
            <w:r>
              <w:rPr>
                <w:rFonts w:ascii="Arial" w:hAnsi="Arial" w:cs="Arial"/>
                <w:b/>
                <w:sz w:val="18"/>
                <w:szCs w:val="18"/>
              </w:rPr>
              <w:t>W</w:t>
            </w:r>
            <w:r w:rsidRPr="00F67DC4">
              <w:rPr>
                <w:rFonts w:ascii="Arial" w:hAnsi="Arial" w:cs="Arial"/>
                <w:b/>
                <w:sz w:val="18"/>
                <w:szCs w:val="18"/>
              </w:rPr>
              <w:t>hat does this show?</w:t>
            </w:r>
            <w:r w:rsidRPr="00F67DC4">
              <w:rPr>
                <w:rFonts w:ascii="Arial" w:hAnsi="Arial" w:cs="Arial"/>
                <w:sz w:val="18"/>
                <w:szCs w:val="18"/>
              </w:rPr>
              <w:t xml:space="preserve"> This section </w:t>
            </w:r>
            <w:r>
              <w:rPr>
                <w:rFonts w:ascii="Arial" w:hAnsi="Arial" w:cs="Arial"/>
                <w:sz w:val="18"/>
                <w:szCs w:val="18"/>
              </w:rPr>
              <w:t>outlines the overall approach to preparing the interim financial</w:t>
            </w:r>
            <w:r w:rsidRPr="00F67DC4">
              <w:rPr>
                <w:rFonts w:ascii="Arial" w:hAnsi="Arial" w:cs="Arial"/>
                <w:sz w:val="18"/>
                <w:szCs w:val="18"/>
              </w:rPr>
              <w:t xml:space="preserve"> statements.</w:t>
            </w:r>
            <w:r>
              <w:rPr>
                <w:rFonts w:ascii="Arial" w:hAnsi="Arial" w:cs="Arial"/>
                <w:sz w:val="18"/>
                <w:szCs w:val="18"/>
              </w:rPr>
              <w:t xml:space="preserve"> </w:t>
            </w:r>
            <w:r w:rsidRPr="00FE2DB6">
              <w:rPr>
                <w:rFonts w:ascii="Arial" w:hAnsi="Arial" w:cs="Arial"/>
                <w:color w:val="1A1A18"/>
                <w:sz w:val="18"/>
                <w:szCs w:val="18"/>
              </w:rPr>
              <w:t>This section also gives details of the impact of any new accounting standards that we’ve applied for the first time and the expected impact of upcoming standards that will be adopted in future years where that impact is likely to be significant.</w:t>
            </w:r>
          </w:p>
        </w:tc>
      </w:tr>
    </w:tbl>
    <w:p w14:paraId="1C4444BE" w14:textId="77777777" w:rsidR="007C59E1" w:rsidRDefault="007C59E1" w:rsidP="007C59E1">
      <w:pPr>
        <w:pStyle w:val="Default"/>
        <w:contextualSpacing/>
        <w:rPr>
          <w:rFonts w:ascii="Arial" w:hAnsi="Arial" w:cs="Arial"/>
          <w:color w:val="auto"/>
          <w:sz w:val="18"/>
          <w:szCs w:val="18"/>
        </w:rPr>
      </w:pPr>
    </w:p>
    <w:p w14:paraId="020DFCE7" w14:textId="77777777" w:rsidR="007C59E1" w:rsidRPr="00B31E87" w:rsidRDefault="007C59E1" w:rsidP="007C59E1">
      <w:pPr>
        <w:pStyle w:val="Default"/>
        <w:contextualSpacing/>
        <w:rPr>
          <w:rFonts w:ascii="Arial" w:hAnsi="Arial" w:cs="Arial"/>
          <w:color w:val="auto"/>
          <w:sz w:val="18"/>
          <w:szCs w:val="18"/>
        </w:rPr>
      </w:pPr>
      <w:r w:rsidRPr="00B31E87">
        <w:rPr>
          <w:rFonts w:ascii="Arial" w:hAnsi="Arial" w:cs="Arial"/>
          <w:color w:val="auto"/>
          <w:sz w:val="18"/>
          <w:szCs w:val="18"/>
        </w:rPr>
        <w:t>These condensed consolidated interim financial statements of</w:t>
      </w:r>
      <w:r>
        <w:rPr>
          <w:rFonts w:ascii="Arial" w:hAnsi="Arial" w:cs="Arial"/>
          <w:color w:val="auto"/>
          <w:sz w:val="18"/>
          <w:szCs w:val="18"/>
        </w:rPr>
        <w:t xml:space="preserve"> Co-operative Group Limited (‘</w:t>
      </w:r>
      <w:r w:rsidRPr="00B31E87">
        <w:rPr>
          <w:rFonts w:ascii="Arial" w:hAnsi="Arial" w:cs="Arial"/>
          <w:color w:val="auto"/>
          <w:sz w:val="18"/>
          <w:szCs w:val="18"/>
        </w:rPr>
        <w:t>the Society</w:t>
      </w:r>
      <w:r>
        <w:rPr>
          <w:rFonts w:ascii="Arial" w:hAnsi="Arial" w:cs="Arial"/>
          <w:color w:val="auto"/>
          <w:sz w:val="18"/>
          <w:szCs w:val="18"/>
        </w:rPr>
        <w:t>’)</w:t>
      </w:r>
      <w:r w:rsidRPr="00B31E87">
        <w:rPr>
          <w:rFonts w:ascii="Arial" w:hAnsi="Arial" w:cs="Arial"/>
          <w:color w:val="auto"/>
          <w:sz w:val="18"/>
          <w:szCs w:val="18"/>
        </w:rPr>
        <w:t xml:space="preserve"> for the </w:t>
      </w:r>
      <w:bookmarkStart w:id="5" w:name="_Hlk112321492"/>
      <w:r w:rsidRPr="00B31E87">
        <w:rPr>
          <w:rFonts w:ascii="Arial" w:hAnsi="Arial" w:cs="Arial"/>
          <w:color w:val="auto"/>
          <w:sz w:val="18"/>
          <w:szCs w:val="18"/>
        </w:rPr>
        <w:t xml:space="preserve">period ended </w:t>
      </w:r>
      <w:r>
        <w:rPr>
          <w:rFonts w:ascii="Arial" w:hAnsi="Arial" w:cs="Arial"/>
          <w:color w:val="auto"/>
          <w:sz w:val="18"/>
          <w:szCs w:val="18"/>
        </w:rPr>
        <w:t>2</w:t>
      </w:r>
      <w:r w:rsidRPr="00B31E87">
        <w:rPr>
          <w:rFonts w:ascii="Arial" w:hAnsi="Arial" w:cs="Arial"/>
          <w:color w:val="auto"/>
          <w:sz w:val="18"/>
          <w:szCs w:val="18"/>
        </w:rPr>
        <w:t xml:space="preserve"> July 20</w:t>
      </w:r>
      <w:r>
        <w:rPr>
          <w:rFonts w:ascii="Arial" w:hAnsi="Arial" w:cs="Arial"/>
          <w:color w:val="auto"/>
          <w:sz w:val="18"/>
          <w:szCs w:val="18"/>
        </w:rPr>
        <w:t>22</w:t>
      </w:r>
      <w:r w:rsidRPr="00B31E87">
        <w:rPr>
          <w:rFonts w:ascii="Arial" w:hAnsi="Arial" w:cs="Arial"/>
          <w:color w:val="auto"/>
          <w:sz w:val="18"/>
          <w:szCs w:val="18"/>
        </w:rPr>
        <w:t xml:space="preserve"> </w:t>
      </w:r>
      <w:bookmarkEnd w:id="5"/>
      <w:r w:rsidRPr="00B31E87">
        <w:rPr>
          <w:rFonts w:ascii="Arial" w:hAnsi="Arial" w:cs="Arial"/>
          <w:color w:val="auto"/>
          <w:sz w:val="18"/>
          <w:szCs w:val="18"/>
        </w:rPr>
        <w:t>(</w:t>
      </w:r>
      <w:r>
        <w:rPr>
          <w:rFonts w:ascii="Arial" w:hAnsi="Arial" w:cs="Arial"/>
          <w:color w:val="auto"/>
          <w:sz w:val="18"/>
          <w:szCs w:val="18"/>
        </w:rPr>
        <w:t>‘</w:t>
      </w:r>
      <w:r w:rsidRPr="00B31E87">
        <w:rPr>
          <w:rFonts w:ascii="Arial" w:hAnsi="Arial" w:cs="Arial"/>
          <w:color w:val="auto"/>
          <w:sz w:val="18"/>
          <w:szCs w:val="18"/>
        </w:rPr>
        <w:t>the interim financial statements</w:t>
      </w:r>
      <w:r>
        <w:rPr>
          <w:rFonts w:ascii="Arial" w:hAnsi="Arial" w:cs="Arial"/>
          <w:color w:val="auto"/>
          <w:sz w:val="18"/>
          <w:szCs w:val="18"/>
        </w:rPr>
        <w:t>’</w:t>
      </w:r>
      <w:r w:rsidRPr="00B31E87">
        <w:rPr>
          <w:rFonts w:ascii="Arial" w:hAnsi="Arial" w:cs="Arial"/>
          <w:color w:val="auto"/>
          <w:sz w:val="18"/>
          <w:szCs w:val="18"/>
        </w:rPr>
        <w:t xml:space="preserve">) </w:t>
      </w:r>
      <w:r>
        <w:rPr>
          <w:rFonts w:ascii="Arial" w:hAnsi="Arial" w:cs="Arial"/>
          <w:color w:val="auto"/>
          <w:sz w:val="18"/>
          <w:szCs w:val="18"/>
        </w:rPr>
        <w:t>include</w:t>
      </w:r>
      <w:r w:rsidRPr="00B31E87">
        <w:rPr>
          <w:rFonts w:ascii="Arial" w:hAnsi="Arial" w:cs="Arial"/>
          <w:color w:val="auto"/>
          <w:sz w:val="18"/>
          <w:szCs w:val="18"/>
        </w:rPr>
        <w:t xml:space="preserve"> the Society and its subsidiaries (together referred to as </w:t>
      </w:r>
      <w:r>
        <w:rPr>
          <w:rFonts w:ascii="Arial" w:hAnsi="Arial" w:cs="Arial"/>
          <w:color w:val="auto"/>
          <w:sz w:val="18"/>
          <w:szCs w:val="18"/>
        </w:rPr>
        <w:t>‘</w:t>
      </w:r>
      <w:r w:rsidRPr="00B31E87">
        <w:rPr>
          <w:rFonts w:ascii="Arial" w:hAnsi="Arial" w:cs="Arial"/>
          <w:color w:val="auto"/>
          <w:sz w:val="18"/>
          <w:szCs w:val="18"/>
        </w:rPr>
        <w:t>the Group</w:t>
      </w:r>
      <w:r>
        <w:rPr>
          <w:rFonts w:ascii="Arial" w:hAnsi="Arial" w:cs="Arial"/>
          <w:color w:val="auto"/>
          <w:sz w:val="18"/>
          <w:szCs w:val="18"/>
        </w:rPr>
        <w:t>’</w:t>
      </w:r>
      <w:r w:rsidRPr="00B31E87">
        <w:rPr>
          <w:rFonts w:ascii="Arial" w:hAnsi="Arial" w:cs="Arial"/>
          <w:color w:val="auto"/>
          <w:sz w:val="18"/>
          <w:szCs w:val="18"/>
        </w:rPr>
        <w:t xml:space="preserve">). </w:t>
      </w:r>
    </w:p>
    <w:p w14:paraId="6DABCF28" w14:textId="77777777" w:rsidR="007C59E1" w:rsidRPr="00B31E87" w:rsidRDefault="007C59E1" w:rsidP="007C59E1">
      <w:pPr>
        <w:pStyle w:val="Default"/>
        <w:contextualSpacing/>
        <w:rPr>
          <w:rFonts w:ascii="Arial" w:hAnsi="Arial" w:cs="Arial"/>
          <w:color w:val="auto"/>
          <w:sz w:val="18"/>
          <w:szCs w:val="18"/>
        </w:rPr>
      </w:pPr>
    </w:p>
    <w:p w14:paraId="733715EF" w14:textId="77777777" w:rsidR="007C59E1" w:rsidRDefault="007C59E1" w:rsidP="007C59E1">
      <w:pPr>
        <w:pStyle w:val="Default"/>
        <w:contextualSpacing/>
        <w:rPr>
          <w:rFonts w:ascii="Arial" w:hAnsi="Arial" w:cs="Arial"/>
          <w:color w:val="auto"/>
          <w:sz w:val="18"/>
          <w:szCs w:val="18"/>
        </w:rPr>
      </w:pPr>
      <w:r w:rsidRPr="00B31E87">
        <w:rPr>
          <w:rFonts w:ascii="Arial" w:hAnsi="Arial" w:cs="Arial"/>
          <w:color w:val="auto"/>
          <w:sz w:val="18"/>
          <w:szCs w:val="18"/>
        </w:rPr>
        <w:t>The audited consolidated financial statements (</w:t>
      </w:r>
      <w:r>
        <w:rPr>
          <w:rFonts w:ascii="Arial" w:hAnsi="Arial" w:cs="Arial"/>
          <w:color w:val="auto"/>
          <w:sz w:val="18"/>
          <w:szCs w:val="18"/>
        </w:rPr>
        <w:t>‘</w:t>
      </w:r>
      <w:r w:rsidRPr="00B31E87">
        <w:rPr>
          <w:rFonts w:ascii="Arial" w:hAnsi="Arial" w:cs="Arial"/>
          <w:color w:val="auto"/>
          <w:sz w:val="18"/>
          <w:szCs w:val="18"/>
        </w:rPr>
        <w:t>the 20</w:t>
      </w:r>
      <w:r>
        <w:rPr>
          <w:rFonts w:ascii="Arial" w:hAnsi="Arial" w:cs="Arial"/>
          <w:color w:val="auto"/>
          <w:sz w:val="18"/>
          <w:szCs w:val="18"/>
        </w:rPr>
        <w:t>21</w:t>
      </w:r>
      <w:r w:rsidRPr="00B31E87">
        <w:rPr>
          <w:rFonts w:ascii="Arial" w:hAnsi="Arial" w:cs="Arial"/>
          <w:color w:val="auto"/>
          <w:sz w:val="18"/>
          <w:szCs w:val="18"/>
        </w:rPr>
        <w:t xml:space="preserve"> annual report</w:t>
      </w:r>
      <w:r>
        <w:rPr>
          <w:rFonts w:ascii="Arial" w:hAnsi="Arial" w:cs="Arial"/>
          <w:color w:val="auto"/>
          <w:sz w:val="18"/>
          <w:szCs w:val="18"/>
        </w:rPr>
        <w:t>’</w:t>
      </w:r>
      <w:r w:rsidRPr="00B31E87">
        <w:rPr>
          <w:rFonts w:ascii="Arial" w:hAnsi="Arial" w:cs="Arial"/>
          <w:color w:val="auto"/>
          <w:sz w:val="18"/>
          <w:szCs w:val="18"/>
        </w:rPr>
        <w:t>) of the Group for the year</w:t>
      </w:r>
      <w:r>
        <w:rPr>
          <w:rFonts w:ascii="Arial" w:hAnsi="Arial" w:cs="Arial"/>
          <w:color w:val="auto"/>
          <w:sz w:val="18"/>
          <w:szCs w:val="18"/>
        </w:rPr>
        <w:t xml:space="preserve"> ended 1</w:t>
      </w:r>
      <w:r w:rsidRPr="00B31E87">
        <w:rPr>
          <w:rFonts w:ascii="Arial" w:hAnsi="Arial" w:cs="Arial"/>
          <w:color w:val="auto"/>
          <w:sz w:val="18"/>
          <w:szCs w:val="18"/>
        </w:rPr>
        <w:t xml:space="preserve"> January 20</w:t>
      </w:r>
      <w:r>
        <w:rPr>
          <w:rFonts w:ascii="Arial" w:hAnsi="Arial" w:cs="Arial"/>
          <w:color w:val="auto"/>
          <w:sz w:val="18"/>
          <w:szCs w:val="18"/>
        </w:rPr>
        <w:t>22</w:t>
      </w:r>
      <w:r w:rsidRPr="00B31E87">
        <w:rPr>
          <w:rFonts w:ascii="Arial" w:hAnsi="Arial" w:cs="Arial"/>
          <w:color w:val="auto"/>
          <w:sz w:val="18"/>
          <w:szCs w:val="18"/>
        </w:rPr>
        <w:t xml:space="preserve"> are available upon request from the Society’s registered office at 1 Angel Square, Manchester, M60 0AG. </w:t>
      </w:r>
    </w:p>
    <w:p w14:paraId="23517207" w14:textId="77777777" w:rsidR="007C59E1" w:rsidRDefault="007C59E1" w:rsidP="007C59E1">
      <w:pPr>
        <w:pStyle w:val="Default"/>
        <w:contextualSpacing/>
        <w:rPr>
          <w:rFonts w:ascii="Arial" w:hAnsi="Arial" w:cs="Arial"/>
          <w:color w:val="auto"/>
          <w:sz w:val="18"/>
          <w:szCs w:val="18"/>
        </w:rPr>
      </w:pPr>
    </w:p>
    <w:p w14:paraId="0690484B" w14:textId="77777777" w:rsidR="007C59E1" w:rsidRPr="00B31E87" w:rsidRDefault="007C59E1" w:rsidP="007C59E1">
      <w:pPr>
        <w:pStyle w:val="Default"/>
        <w:contextualSpacing/>
        <w:rPr>
          <w:rFonts w:ascii="Arial" w:hAnsi="Arial" w:cs="Arial"/>
          <w:color w:val="auto"/>
          <w:sz w:val="18"/>
          <w:szCs w:val="18"/>
        </w:rPr>
      </w:pPr>
      <w:r w:rsidRPr="00B31E87">
        <w:rPr>
          <w:rFonts w:ascii="Arial" w:hAnsi="Arial" w:cs="Arial"/>
          <w:color w:val="auto"/>
          <w:sz w:val="18"/>
          <w:szCs w:val="18"/>
        </w:rPr>
        <w:t xml:space="preserve">The interim financial statements as at and for the 26 weeks ended </w:t>
      </w:r>
      <w:r>
        <w:rPr>
          <w:rFonts w:ascii="Arial" w:hAnsi="Arial" w:cs="Arial"/>
          <w:color w:val="auto"/>
          <w:sz w:val="18"/>
          <w:szCs w:val="18"/>
        </w:rPr>
        <w:t>2</w:t>
      </w:r>
      <w:r w:rsidRPr="00B31E87">
        <w:rPr>
          <w:rFonts w:ascii="Arial" w:hAnsi="Arial" w:cs="Arial"/>
          <w:color w:val="auto"/>
          <w:sz w:val="18"/>
          <w:szCs w:val="18"/>
        </w:rPr>
        <w:t xml:space="preserve"> July 20</w:t>
      </w:r>
      <w:r>
        <w:rPr>
          <w:rFonts w:ascii="Arial" w:hAnsi="Arial" w:cs="Arial"/>
          <w:color w:val="auto"/>
          <w:sz w:val="18"/>
          <w:szCs w:val="18"/>
        </w:rPr>
        <w:t>22</w:t>
      </w:r>
      <w:r w:rsidRPr="00B31E87">
        <w:rPr>
          <w:rFonts w:ascii="Arial" w:hAnsi="Arial" w:cs="Arial"/>
          <w:color w:val="auto"/>
          <w:sz w:val="18"/>
          <w:szCs w:val="18"/>
        </w:rPr>
        <w:t xml:space="preserve"> are unaudited and do not constitute statutory accounts.  </w:t>
      </w:r>
    </w:p>
    <w:p w14:paraId="68321F3D" w14:textId="77777777" w:rsidR="007C59E1" w:rsidRPr="00B31E87" w:rsidRDefault="007C59E1" w:rsidP="007C59E1">
      <w:pPr>
        <w:pStyle w:val="Default"/>
        <w:contextualSpacing/>
        <w:rPr>
          <w:rFonts w:ascii="Arial" w:hAnsi="Arial" w:cs="Arial"/>
          <w:color w:val="auto"/>
          <w:sz w:val="18"/>
          <w:szCs w:val="18"/>
        </w:rPr>
      </w:pPr>
    </w:p>
    <w:p w14:paraId="65E557A0" w14:textId="77777777" w:rsidR="007C59E1" w:rsidRPr="00B31E87" w:rsidRDefault="007C59E1" w:rsidP="007C59E1">
      <w:pPr>
        <w:pStyle w:val="Default"/>
        <w:contextualSpacing/>
        <w:rPr>
          <w:rFonts w:ascii="Arial" w:hAnsi="Arial" w:cs="Arial"/>
          <w:color w:val="auto"/>
          <w:sz w:val="18"/>
          <w:szCs w:val="18"/>
        </w:rPr>
      </w:pPr>
    </w:p>
    <w:p w14:paraId="2A5F879E" w14:textId="77777777" w:rsidR="007C59E1" w:rsidRPr="0044176A" w:rsidRDefault="007C59E1" w:rsidP="007C59E1">
      <w:pPr>
        <w:pStyle w:val="Default"/>
        <w:spacing w:before="120" w:after="120"/>
        <w:contextualSpacing/>
        <w:rPr>
          <w:rFonts w:ascii="Arial" w:hAnsi="Arial" w:cs="Arial"/>
          <w:b/>
          <w:bCs/>
          <w:color w:val="auto"/>
          <w:sz w:val="20"/>
          <w:szCs w:val="18"/>
        </w:rPr>
      </w:pPr>
      <w:r w:rsidRPr="00B31E87">
        <w:rPr>
          <w:rFonts w:ascii="Arial" w:hAnsi="Arial" w:cs="Arial"/>
          <w:b/>
          <w:bCs/>
          <w:color w:val="auto"/>
          <w:sz w:val="20"/>
          <w:szCs w:val="18"/>
        </w:rPr>
        <w:t xml:space="preserve">Statement of compliance </w:t>
      </w:r>
    </w:p>
    <w:p w14:paraId="2DE280DB" w14:textId="77777777" w:rsidR="007C59E1" w:rsidRPr="00B31E87" w:rsidRDefault="007C59E1" w:rsidP="007C59E1">
      <w:pPr>
        <w:pStyle w:val="Default"/>
        <w:spacing w:before="120" w:after="120"/>
        <w:contextualSpacing/>
        <w:rPr>
          <w:rFonts w:ascii="Arial" w:hAnsi="Arial" w:cs="Arial"/>
          <w:color w:val="auto"/>
          <w:sz w:val="18"/>
          <w:szCs w:val="18"/>
        </w:rPr>
      </w:pPr>
      <w:r w:rsidRPr="00B31E87">
        <w:rPr>
          <w:rFonts w:ascii="Arial" w:hAnsi="Arial" w:cs="Arial"/>
          <w:color w:val="auto"/>
          <w:sz w:val="18"/>
          <w:szCs w:val="18"/>
        </w:rPr>
        <w:t xml:space="preserve">These interim financial statements have been prepared in accordance with </w:t>
      </w:r>
      <w:r>
        <w:rPr>
          <w:rFonts w:ascii="Arial" w:hAnsi="Arial" w:cs="Arial"/>
          <w:color w:val="auto"/>
          <w:sz w:val="18"/>
          <w:szCs w:val="18"/>
        </w:rPr>
        <w:t xml:space="preserve">UK adopted </w:t>
      </w:r>
      <w:r w:rsidRPr="00B31E87">
        <w:rPr>
          <w:rFonts w:ascii="Arial" w:hAnsi="Arial" w:cs="Arial"/>
          <w:color w:val="auto"/>
          <w:sz w:val="18"/>
          <w:szCs w:val="18"/>
        </w:rPr>
        <w:t>IAS 34 Interim Financial Reportin</w:t>
      </w:r>
      <w:r>
        <w:rPr>
          <w:rFonts w:ascii="Arial" w:hAnsi="Arial" w:cs="Arial"/>
          <w:color w:val="auto"/>
          <w:sz w:val="18"/>
          <w:szCs w:val="18"/>
        </w:rPr>
        <w:t xml:space="preserve">g </w:t>
      </w:r>
      <w:r w:rsidRPr="00B31E87">
        <w:rPr>
          <w:rFonts w:ascii="Arial" w:hAnsi="Arial" w:cs="Arial"/>
          <w:color w:val="auto"/>
          <w:sz w:val="18"/>
          <w:szCs w:val="18"/>
        </w:rPr>
        <w:t>and the Disclosure and Transparency Rules (DTR) of the Financial Services Authority. They do not include all the statements required for full annual financial statements and should be read in conjunction with the 20</w:t>
      </w:r>
      <w:r>
        <w:rPr>
          <w:rFonts w:ascii="Arial" w:hAnsi="Arial" w:cs="Arial"/>
          <w:color w:val="auto"/>
          <w:sz w:val="18"/>
          <w:szCs w:val="18"/>
        </w:rPr>
        <w:t>21</w:t>
      </w:r>
      <w:r w:rsidRPr="00B31E87">
        <w:rPr>
          <w:rFonts w:ascii="Arial" w:hAnsi="Arial" w:cs="Arial"/>
          <w:color w:val="auto"/>
          <w:sz w:val="18"/>
          <w:szCs w:val="18"/>
        </w:rPr>
        <w:t xml:space="preserve"> annual report.</w:t>
      </w:r>
    </w:p>
    <w:p w14:paraId="65761DD5" w14:textId="77777777" w:rsidR="007C59E1" w:rsidRPr="00B31E87" w:rsidRDefault="007C59E1" w:rsidP="007C59E1">
      <w:pPr>
        <w:pStyle w:val="Default"/>
        <w:contextualSpacing/>
        <w:rPr>
          <w:rFonts w:ascii="Arial" w:hAnsi="Arial" w:cs="Arial"/>
          <w:color w:val="auto"/>
          <w:sz w:val="18"/>
          <w:szCs w:val="18"/>
        </w:rPr>
      </w:pPr>
      <w:r w:rsidRPr="00B31E87">
        <w:rPr>
          <w:rFonts w:ascii="Arial" w:hAnsi="Arial" w:cs="Arial"/>
          <w:color w:val="auto"/>
          <w:sz w:val="18"/>
          <w:szCs w:val="18"/>
        </w:rPr>
        <w:t xml:space="preserve"> </w:t>
      </w:r>
    </w:p>
    <w:p w14:paraId="7F637122" w14:textId="77777777" w:rsidR="007C59E1" w:rsidRPr="00B31E87" w:rsidRDefault="007C59E1" w:rsidP="007C59E1">
      <w:pPr>
        <w:pStyle w:val="Default"/>
        <w:contextualSpacing/>
        <w:rPr>
          <w:rFonts w:ascii="Arial" w:hAnsi="Arial" w:cs="Arial"/>
          <w:color w:val="auto"/>
          <w:sz w:val="18"/>
          <w:szCs w:val="18"/>
        </w:rPr>
      </w:pPr>
      <w:r w:rsidRPr="00B31E87">
        <w:rPr>
          <w:rFonts w:ascii="Arial" w:hAnsi="Arial" w:cs="Arial"/>
          <w:color w:val="auto"/>
          <w:sz w:val="18"/>
          <w:szCs w:val="18"/>
        </w:rPr>
        <w:t>The comparative figures for the fi</w:t>
      </w:r>
      <w:r>
        <w:rPr>
          <w:rFonts w:ascii="Arial" w:hAnsi="Arial" w:cs="Arial"/>
          <w:color w:val="auto"/>
          <w:sz w:val="18"/>
          <w:szCs w:val="18"/>
        </w:rPr>
        <w:t>nancial year ended 1</w:t>
      </w:r>
      <w:r w:rsidRPr="00B31E87">
        <w:rPr>
          <w:rFonts w:ascii="Arial" w:hAnsi="Arial" w:cs="Arial"/>
          <w:color w:val="auto"/>
          <w:sz w:val="18"/>
          <w:szCs w:val="18"/>
        </w:rPr>
        <w:t xml:space="preserve"> January 20</w:t>
      </w:r>
      <w:r>
        <w:rPr>
          <w:rFonts w:ascii="Arial" w:hAnsi="Arial" w:cs="Arial"/>
          <w:color w:val="auto"/>
          <w:sz w:val="18"/>
          <w:szCs w:val="18"/>
        </w:rPr>
        <w:t>22</w:t>
      </w:r>
      <w:r w:rsidRPr="00B31E87">
        <w:rPr>
          <w:rFonts w:ascii="Arial" w:hAnsi="Arial" w:cs="Arial"/>
          <w:color w:val="auto"/>
          <w:sz w:val="18"/>
          <w:szCs w:val="18"/>
        </w:rPr>
        <w:t xml:space="preserve"> presented within these financial statements are not the Society’s statutory financial statements for that financial year. Those financial statements have been reported on by the Society’s auditors</w:t>
      </w:r>
      <w:r>
        <w:rPr>
          <w:rFonts w:ascii="Arial" w:hAnsi="Arial" w:cs="Arial"/>
          <w:color w:val="auto"/>
          <w:sz w:val="18"/>
          <w:szCs w:val="18"/>
        </w:rPr>
        <w:t xml:space="preserve"> and filed with the Mutuals Public Register</w:t>
      </w:r>
      <w:r w:rsidRPr="00B31E87">
        <w:rPr>
          <w:rFonts w:ascii="Arial" w:hAnsi="Arial" w:cs="Arial"/>
          <w:color w:val="auto"/>
          <w:sz w:val="18"/>
          <w:szCs w:val="18"/>
        </w:rPr>
        <w:t>. The report of the auditors was (</w:t>
      </w:r>
      <w:proofErr w:type="spellStart"/>
      <w:r w:rsidRPr="00B31E87">
        <w:rPr>
          <w:rFonts w:ascii="Arial" w:hAnsi="Arial" w:cs="Arial"/>
          <w:color w:val="auto"/>
          <w:sz w:val="18"/>
          <w:szCs w:val="18"/>
        </w:rPr>
        <w:t>i</w:t>
      </w:r>
      <w:proofErr w:type="spellEnd"/>
      <w:r w:rsidRPr="00B31E87">
        <w:rPr>
          <w:rFonts w:ascii="Arial" w:hAnsi="Arial" w:cs="Arial"/>
          <w:color w:val="auto"/>
          <w:sz w:val="18"/>
          <w:szCs w:val="18"/>
        </w:rPr>
        <w:t>) unqualified, (ii) did not include a reference to any matters in which the auditors drew attention by way of emphasis without qualifying their report, and (iii) contained no statement that the Society did not keep appropriate accounting records.</w:t>
      </w:r>
    </w:p>
    <w:p w14:paraId="24F80FC0" w14:textId="77777777" w:rsidR="007C59E1" w:rsidRPr="00B31E87" w:rsidRDefault="007C59E1" w:rsidP="007C59E1">
      <w:pPr>
        <w:pStyle w:val="Default"/>
        <w:contextualSpacing/>
        <w:rPr>
          <w:rFonts w:ascii="Arial" w:hAnsi="Arial" w:cs="Arial"/>
          <w:color w:val="auto"/>
          <w:sz w:val="18"/>
          <w:szCs w:val="18"/>
        </w:rPr>
      </w:pPr>
    </w:p>
    <w:p w14:paraId="5B810FE4" w14:textId="77777777" w:rsidR="007C59E1" w:rsidRPr="00B31E87" w:rsidRDefault="007C59E1" w:rsidP="007C59E1">
      <w:pPr>
        <w:pStyle w:val="Default"/>
        <w:contextualSpacing/>
        <w:rPr>
          <w:rFonts w:ascii="Arial" w:hAnsi="Arial" w:cs="Arial"/>
          <w:color w:val="auto"/>
          <w:sz w:val="18"/>
          <w:szCs w:val="18"/>
        </w:rPr>
      </w:pPr>
      <w:r w:rsidRPr="00B31E87">
        <w:rPr>
          <w:rFonts w:ascii="Arial" w:hAnsi="Arial" w:cs="Arial"/>
          <w:color w:val="auto"/>
          <w:sz w:val="18"/>
          <w:szCs w:val="18"/>
        </w:rPr>
        <w:t xml:space="preserve">These interim financial statements were approved by the Board of Directors on </w:t>
      </w:r>
      <w:r>
        <w:rPr>
          <w:rFonts w:ascii="Arial" w:hAnsi="Arial" w:cs="Arial"/>
          <w:color w:val="auto"/>
          <w:sz w:val="18"/>
          <w:szCs w:val="18"/>
        </w:rPr>
        <w:t>28</w:t>
      </w:r>
      <w:r w:rsidRPr="00B31E87">
        <w:rPr>
          <w:rFonts w:ascii="Arial" w:hAnsi="Arial" w:cs="Arial"/>
          <w:color w:val="auto"/>
          <w:sz w:val="18"/>
          <w:szCs w:val="18"/>
        </w:rPr>
        <w:t xml:space="preserve"> September 20</w:t>
      </w:r>
      <w:r>
        <w:rPr>
          <w:rFonts w:ascii="Arial" w:hAnsi="Arial" w:cs="Arial"/>
          <w:color w:val="auto"/>
          <w:sz w:val="18"/>
          <w:szCs w:val="18"/>
        </w:rPr>
        <w:t>22</w:t>
      </w:r>
      <w:r w:rsidRPr="00B31E87">
        <w:rPr>
          <w:rFonts w:ascii="Arial" w:hAnsi="Arial" w:cs="Arial"/>
          <w:color w:val="auto"/>
          <w:sz w:val="18"/>
          <w:szCs w:val="18"/>
        </w:rPr>
        <w:t xml:space="preserve">. </w:t>
      </w:r>
    </w:p>
    <w:p w14:paraId="014B8130" w14:textId="77777777" w:rsidR="007C59E1" w:rsidRPr="00B31E87" w:rsidRDefault="007C59E1" w:rsidP="007C59E1">
      <w:pPr>
        <w:pStyle w:val="Default"/>
        <w:contextualSpacing/>
        <w:rPr>
          <w:rFonts w:ascii="Arial" w:hAnsi="Arial" w:cs="Arial"/>
          <w:color w:val="auto"/>
          <w:sz w:val="18"/>
          <w:szCs w:val="18"/>
        </w:rPr>
      </w:pPr>
    </w:p>
    <w:p w14:paraId="48A7BC5E" w14:textId="77777777" w:rsidR="007C59E1" w:rsidRPr="00B31E87" w:rsidRDefault="007C59E1" w:rsidP="007C59E1">
      <w:pPr>
        <w:pStyle w:val="Default"/>
        <w:contextualSpacing/>
        <w:rPr>
          <w:rFonts w:ascii="Arial" w:hAnsi="Arial" w:cs="Arial"/>
          <w:color w:val="auto"/>
          <w:sz w:val="18"/>
          <w:szCs w:val="18"/>
        </w:rPr>
      </w:pPr>
    </w:p>
    <w:p w14:paraId="65F24940" w14:textId="77777777" w:rsidR="007C59E1" w:rsidRPr="00B31E87" w:rsidRDefault="007C59E1" w:rsidP="007C59E1">
      <w:pPr>
        <w:pStyle w:val="Default"/>
        <w:contextualSpacing/>
        <w:rPr>
          <w:rFonts w:ascii="Arial" w:hAnsi="Arial" w:cs="Arial"/>
          <w:color w:val="auto"/>
          <w:sz w:val="20"/>
          <w:szCs w:val="18"/>
        </w:rPr>
      </w:pPr>
      <w:r w:rsidRPr="00B31E87">
        <w:rPr>
          <w:rFonts w:ascii="Arial" w:hAnsi="Arial" w:cs="Arial"/>
          <w:b/>
          <w:bCs/>
          <w:color w:val="auto"/>
          <w:sz w:val="20"/>
          <w:szCs w:val="18"/>
        </w:rPr>
        <w:t xml:space="preserve">Accounting estimates and judgements </w:t>
      </w:r>
    </w:p>
    <w:p w14:paraId="1AF0FF28" w14:textId="77777777" w:rsidR="007C59E1" w:rsidRPr="00B31E87" w:rsidRDefault="007C59E1" w:rsidP="007C59E1">
      <w:pPr>
        <w:pStyle w:val="Default"/>
        <w:contextualSpacing/>
        <w:rPr>
          <w:rFonts w:ascii="Arial" w:hAnsi="Arial" w:cs="Arial"/>
          <w:color w:val="auto"/>
          <w:sz w:val="18"/>
          <w:szCs w:val="18"/>
        </w:rPr>
      </w:pPr>
      <w:r w:rsidRPr="00B31E87">
        <w:rPr>
          <w:rFonts w:ascii="Arial" w:hAnsi="Arial" w:cs="Arial"/>
          <w:color w:val="auto"/>
          <w:sz w:val="18"/>
          <w:szCs w:val="18"/>
        </w:rPr>
        <w:t xml:space="preserve">The preparation of the interim financial statements requires management to make judgements, estimates and assumptions that affect the application of accounting policies and the reported amounts of assets, liabilities, </w:t>
      </w:r>
      <w:proofErr w:type="gramStart"/>
      <w:r w:rsidRPr="00B31E87">
        <w:rPr>
          <w:rFonts w:ascii="Arial" w:hAnsi="Arial" w:cs="Arial"/>
          <w:color w:val="auto"/>
          <w:sz w:val="18"/>
          <w:szCs w:val="18"/>
        </w:rPr>
        <w:t>income</w:t>
      </w:r>
      <w:proofErr w:type="gramEnd"/>
      <w:r w:rsidRPr="00B31E87">
        <w:rPr>
          <w:rFonts w:ascii="Arial" w:hAnsi="Arial" w:cs="Arial"/>
          <w:color w:val="auto"/>
          <w:sz w:val="18"/>
          <w:szCs w:val="18"/>
        </w:rPr>
        <w:t xml:space="preserve"> and expenses. Actual results may differ from these estimates. Estimates and underlying assumptions are reviewed on an on-going basis. Revisions to accounting estimates are recognised in the period in which the estimates are revised and in any future periods affected. </w:t>
      </w:r>
    </w:p>
    <w:p w14:paraId="2A797261" w14:textId="77777777" w:rsidR="007C59E1" w:rsidRPr="00B31E87" w:rsidRDefault="007C59E1" w:rsidP="007C59E1">
      <w:pPr>
        <w:pStyle w:val="Default"/>
        <w:contextualSpacing/>
        <w:rPr>
          <w:rFonts w:ascii="Arial" w:hAnsi="Arial" w:cs="Arial"/>
          <w:color w:val="auto"/>
          <w:sz w:val="18"/>
          <w:szCs w:val="18"/>
        </w:rPr>
      </w:pPr>
    </w:p>
    <w:p w14:paraId="1025CCB5" w14:textId="77777777" w:rsidR="007C59E1" w:rsidRDefault="007C59E1" w:rsidP="007C59E1">
      <w:pPr>
        <w:pStyle w:val="Default"/>
        <w:contextualSpacing/>
        <w:rPr>
          <w:rFonts w:ascii="Arial" w:hAnsi="Arial" w:cs="Arial"/>
          <w:color w:val="auto"/>
          <w:sz w:val="18"/>
          <w:szCs w:val="18"/>
        </w:rPr>
      </w:pPr>
      <w:r w:rsidRPr="00B31E87">
        <w:rPr>
          <w:rFonts w:ascii="Arial" w:hAnsi="Arial" w:cs="Arial"/>
          <w:color w:val="auto"/>
          <w:sz w:val="18"/>
          <w:szCs w:val="18"/>
        </w:rPr>
        <w:t>In preparing these interim financial statements, the significant judgements and estimates made by management in applying the Group’s accounting policies and the key sources of estimation uncertainty were consistent with those that applied in the 20</w:t>
      </w:r>
      <w:r>
        <w:rPr>
          <w:rFonts w:ascii="Arial" w:hAnsi="Arial" w:cs="Arial"/>
          <w:color w:val="auto"/>
          <w:sz w:val="18"/>
          <w:szCs w:val="18"/>
        </w:rPr>
        <w:t>21</w:t>
      </w:r>
      <w:r w:rsidRPr="00B31E87">
        <w:rPr>
          <w:rFonts w:ascii="Arial" w:hAnsi="Arial" w:cs="Arial"/>
          <w:color w:val="auto"/>
          <w:sz w:val="18"/>
          <w:szCs w:val="18"/>
        </w:rPr>
        <w:t xml:space="preserve"> annual </w:t>
      </w:r>
      <w:r w:rsidRPr="00134EFC">
        <w:rPr>
          <w:rFonts w:ascii="Arial" w:hAnsi="Arial" w:cs="Arial"/>
          <w:color w:val="auto"/>
          <w:sz w:val="18"/>
          <w:szCs w:val="18"/>
        </w:rPr>
        <w:t xml:space="preserve">report except </w:t>
      </w:r>
      <w:proofErr w:type="gramStart"/>
      <w:r w:rsidRPr="00134EFC">
        <w:rPr>
          <w:rFonts w:ascii="Arial" w:hAnsi="Arial" w:cs="Arial"/>
          <w:color w:val="auto"/>
          <w:sz w:val="18"/>
          <w:szCs w:val="18"/>
        </w:rPr>
        <w:t>where</w:t>
      </w:r>
      <w:proofErr w:type="gramEnd"/>
      <w:r w:rsidRPr="00134EFC">
        <w:rPr>
          <w:rFonts w:ascii="Arial" w:hAnsi="Arial" w:cs="Arial"/>
          <w:color w:val="auto"/>
          <w:sz w:val="18"/>
          <w:szCs w:val="18"/>
        </w:rPr>
        <w:t xml:space="preserve"> stated within the notes to these accounts.</w:t>
      </w:r>
    </w:p>
    <w:p w14:paraId="152AEA96" w14:textId="77777777" w:rsidR="007C59E1" w:rsidRPr="0050237C" w:rsidRDefault="007C59E1" w:rsidP="007C59E1">
      <w:pPr>
        <w:pStyle w:val="Default"/>
        <w:contextualSpacing/>
        <w:rPr>
          <w:rFonts w:ascii="Arial" w:hAnsi="Arial" w:cs="Arial"/>
          <w:color w:val="FF0000"/>
          <w:sz w:val="18"/>
          <w:szCs w:val="18"/>
        </w:rPr>
      </w:pPr>
    </w:p>
    <w:p w14:paraId="2A764420" w14:textId="77777777" w:rsidR="007C59E1" w:rsidRDefault="007C59E1" w:rsidP="007C59E1">
      <w:pPr>
        <w:pStyle w:val="Default"/>
        <w:contextualSpacing/>
        <w:rPr>
          <w:rFonts w:ascii="Arial" w:hAnsi="Arial" w:cs="Arial"/>
          <w:color w:val="auto"/>
          <w:sz w:val="18"/>
          <w:szCs w:val="18"/>
        </w:rPr>
      </w:pPr>
    </w:p>
    <w:p w14:paraId="16204BFB" w14:textId="77777777" w:rsidR="007C59E1" w:rsidRPr="00B31E87" w:rsidRDefault="007C59E1" w:rsidP="007C59E1">
      <w:pPr>
        <w:pStyle w:val="Default"/>
        <w:contextualSpacing/>
        <w:rPr>
          <w:rFonts w:ascii="Arial" w:hAnsi="Arial" w:cs="Arial"/>
          <w:b/>
          <w:bCs/>
          <w:color w:val="auto"/>
          <w:sz w:val="20"/>
          <w:szCs w:val="18"/>
        </w:rPr>
      </w:pPr>
      <w:r>
        <w:rPr>
          <w:rFonts w:ascii="Arial" w:hAnsi="Arial" w:cs="Arial"/>
          <w:b/>
          <w:bCs/>
          <w:color w:val="auto"/>
          <w:sz w:val="20"/>
          <w:szCs w:val="18"/>
        </w:rPr>
        <w:t>New standards and a</w:t>
      </w:r>
      <w:r w:rsidRPr="00B31E87">
        <w:rPr>
          <w:rFonts w:ascii="Arial" w:hAnsi="Arial" w:cs="Arial"/>
          <w:b/>
          <w:bCs/>
          <w:color w:val="auto"/>
          <w:sz w:val="20"/>
          <w:szCs w:val="18"/>
        </w:rPr>
        <w:t>ccounting policies</w:t>
      </w:r>
      <w:r>
        <w:rPr>
          <w:rFonts w:ascii="Arial" w:hAnsi="Arial" w:cs="Arial"/>
          <w:b/>
          <w:bCs/>
          <w:color w:val="auto"/>
          <w:sz w:val="20"/>
          <w:szCs w:val="18"/>
        </w:rPr>
        <w:t xml:space="preserve"> adopted by the Group</w:t>
      </w:r>
    </w:p>
    <w:p w14:paraId="700F932E" w14:textId="77777777" w:rsidR="007C59E1" w:rsidRPr="00B31E87" w:rsidRDefault="007C59E1" w:rsidP="007C59E1">
      <w:pPr>
        <w:spacing w:after="0" w:line="240" w:lineRule="auto"/>
        <w:contextualSpacing/>
        <w:rPr>
          <w:rFonts w:ascii="Arial" w:hAnsi="Arial" w:cs="Arial"/>
          <w:sz w:val="18"/>
          <w:szCs w:val="18"/>
        </w:rPr>
      </w:pPr>
      <w:r w:rsidRPr="00B31E87">
        <w:rPr>
          <w:rFonts w:ascii="Arial" w:hAnsi="Arial" w:cs="Arial"/>
          <w:sz w:val="18"/>
          <w:szCs w:val="18"/>
        </w:rPr>
        <w:t>Except as described below, the accounting policies applied in preparing these interim financial statements are consistent with those described in the 20</w:t>
      </w:r>
      <w:r>
        <w:rPr>
          <w:rFonts w:ascii="Arial" w:hAnsi="Arial" w:cs="Arial"/>
          <w:sz w:val="18"/>
          <w:szCs w:val="18"/>
        </w:rPr>
        <w:t>21</w:t>
      </w:r>
      <w:r w:rsidRPr="00B31E87">
        <w:rPr>
          <w:rFonts w:ascii="Arial" w:hAnsi="Arial" w:cs="Arial"/>
          <w:sz w:val="18"/>
          <w:szCs w:val="18"/>
        </w:rPr>
        <w:t xml:space="preserve"> annual report. </w:t>
      </w:r>
    </w:p>
    <w:p w14:paraId="208E31FE" w14:textId="77777777" w:rsidR="007C59E1" w:rsidRDefault="007C59E1" w:rsidP="007C59E1">
      <w:pPr>
        <w:pStyle w:val="Default"/>
        <w:contextualSpacing/>
        <w:rPr>
          <w:rFonts w:ascii="Arial" w:hAnsi="Arial" w:cs="Arial"/>
          <w:b/>
          <w:bCs/>
          <w:color w:val="auto"/>
          <w:sz w:val="18"/>
          <w:szCs w:val="18"/>
        </w:rPr>
      </w:pPr>
    </w:p>
    <w:p w14:paraId="0A208E81" w14:textId="77777777" w:rsidR="007C59E1" w:rsidRPr="00134EFC" w:rsidRDefault="007C59E1" w:rsidP="007C59E1">
      <w:pPr>
        <w:pStyle w:val="Default"/>
        <w:contextualSpacing/>
        <w:rPr>
          <w:rFonts w:ascii="Arial" w:hAnsi="Arial" w:cs="Arial"/>
          <w:color w:val="auto"/>
          <w:sz w:val="18"/>
          <w:szCs w:val="18"/>
          <w:lang w:eastAsia="en-GB"/>
        </w:rPr>
      </w:pPr>
      <w:r>
        <w:rPr>
          <w:rFonts w:ascii="Arial" w:hAnsi="Arial" w:cs="Arial"/>
          <w:b/>
          <w:bCs/>
          <w:color w:val="auto"/>
          <w:sz w:val="18"/>
          <w:szCs w:val="18"/>
        </w:rPr>
        <w:t xml:space="preserve">(A) </w:t>
      </w:r>
      <w:r w:rsidRPr="00134EFC">
        <w:rPr>
          <w:rFonts w:ascii="Arial" w:hAnsi="Arial" w:cs="Arial"/>
          <w:b/>
          <w:bCs/>
          <w:color w:val="auto"/>
          <w:sz w:val="18"/>
          <w:szCs w:val="18"/>
        </w:rPr>
        <w:t>New standards:</w:t>
      </w:r>
    </w:p>
    <w:p w14:paraId="1E07AB4E" w14:textId="77777777" w:rsidR="007C59E1" w:rsidRPr="00134EFC" w:rsidRDefault="007C59E1" w:rsidP="007C59E1">
      <w:pPr>
        <w:spacing w:after="0" w:line="240" w:lineRule="auto"/>
        <w:contextualSpacing/>
        <w:rPr>
          <w:rFonts w:ascii="Arial" w:hAnsi="Arial" w:cs="Arial"/>
          <w:sz w:val="18"/>
          <w:szCs w:val="18"/>
        </w:rPr>
      </w:pPr>
      <w:r w:rsidRPr="00134EFC">
        <w:rPr>
          <w:rFonts w:ascii="Arial" w:hAnsi="Arial" w:cs="Arial"/>
          <w:sz w:val="18"/>
          <w:szCs w:val="18"/>
        </w:rPr>
        <w:t xml:space="preserve">The Group has considered the following standards and amendments that are effective for the Group for the period commencing </w:t>
      </w:r>
      <w:r>
        <w:rPr>
          <w:rFonts w:ascii="Arial" w:hAnsi="Arial" w:cs="Arial"/>
          <w:sz w:val="18"/>
          <w:szCs w:val="18"/>
        </w:rPr>
        <w:t>2</w:t>
      </w:r>
      <w:r w:rsidRPr="00134EFC">
        <w:rPr>
          <w:rFonts w:ascii="Arial" w:hAnsi="Arial" w:cs="Arial"/>
          <w:sz w:val="18"/>
          <w:szCs w:val="18"/>
        </w:rPr>
        <w:t xml:space="preserve"> January 202</w:t>
      </w:r>
      <w:r>
        <w:rPr>
          <w:rFonts w:ascii="Arial" w:hAnsi="Arial" w:cs="Arial"/>
          <w:sz w:val="18"/>
          <w:szCs w:val="18"/>
        </w:rPr>
        <w:t>2</w:t>
      </w:r>
      <w:r w:rsidRPr="00134EFC">
        <w:rPr>
          <w:rFonts w:ascii="Arial" w:hAnsi="Arial" w:cs="Arial"/>
          <w:sz w:val="18"/>
          <w:szCs w:val="18"/>
        </w:rPr>
        <w:t xml:space="preserve"> and concluded that they are either not relevant to the Group or do not have a significant impact on the financial statements:</w:t>
      </w:r>
    </w:p>
    <w:p w14:paraId="27438AE8" w14:textId="77777777" w:rsidR="007C59E1" w:rsidRPr="00134EFC" w:rsidRDefault="007C59E1" w:rsidP="007C59E1">
      <w:pPr>
        <w:spacing w:after="0" w:line="240" w:lineRule="auto"/>
        <w:contextualSpacing/>
        <w:rPr>
          <w:rFonts w:ascii="Arial" w:hAnsi="Arial" w:cs="Arial"/>
          <w:sz w:val="18"/>
          <w:szCs w:val="18"/>
        </w:rPr>
      </w:pPr>
    </w:p>
    <w:p w14:paraId="6534A944" w14:textId="77777777" w:rsidR="007C59E1" w:rsidRDefault="007C59E1" w:rsidP="007C59E1">
      <w:pPr>
        <w:pStyle w:val="ListParagraph"/>
        <w:numPr>
          <w:ilvl w:val="0"/>
          <w:numId w:val="2"/>
        </w:numPr>
        <w:autoSpaceDE w:val="0"/>
        <w:autoSpaceDN w:val="0"/>
        <w:adjustRightInd w:val="0"/>
        <w:spacing w:after="0" w:line="240" w:lineRule="auto"/>
        <w:rPr>
          <w:rFonts w:ascii="Arial" w:hAnsi="Arial" w:cs="Arial"/>
          <w:sz w:val="18"/>
          <w:szCs w:val="18"/>
        </w:rPr>
      </w:pPr>
      <w:r w:rsidRPr="0037069E">
        <w:rPr>
          <w:rFonts w:ascii="Arial" w:hAnsi="Arial" w:cs="Arial"/>
          <w:sz w:val="18"/>
          <w:szCs w:val="18"/>
        </w:rPr>
        <w:t>Amendments to IFRS 3 Reference to the Conceptual Framework</w:t>
      </w:r>
    </w:p>
    <w:p w14:paraId="304E7E61" w14:textId="77777777" w:rsidR="007C59E1" w:rsidRDefault="007C59E1" w:rsidP="007C59E1">
      <w:pPr>
        <w:pStyle w:val="ListParagraph"/>
        <w:numPr>
          <w:ilvl w:val="0"/>
          <w:numId w:val="2"/>
        </w:numPr>
        <w:autoSpaceDE w:val="0"/>
        <w:autoSpaceDN w:val="0"/>
        <w:adjustRightInd w:val="0"/>
        <w:spacing w:after="0" w:line="240" w:lineRule="auto"/>
        <w:rPr>
          <w:rFonts w:ascii="Arial" w:hAnsi="Arial" w:cs="Arial"/>
          <w:sz w:val="18"/>
          <w:szCs w:val="18"/>
        </w:rPr>
      </w:pPr>
      <w:r w:rsidRPr="0037069E">
        <w:rPr>
          <w:rFonts w:ascii="Arial" w:hAnsi="Arial" w:cs="Arial"/>
          <w:sz w:val="18"/>
          <w:szCs w:val="18"/>
        </w:rPr>
        <w:t>Amendments to IAS 16 Property, Plant and Equipment</w:t>
      </w:r>
      <w:r>
        <w:rPr>
          <w:rFonts w:ascii="Arial" w:hAnsi="Arial" w:cs="Arial"/>
          <w:sz w:val="18"/>
          <w:szCs w:val="18"/>
        </w:rPr>
        <w:t xml:space="preserve"> (</w:t>
      </w:r>
      <w:r w:rsidRPr="0037069E">
        <w:rPr>
          <w:rFonts w:ascii="Arial" w:hAnsi="Arial" w:cs="Arial"/>
          <w:sz w:val="18"/>
          <w:szCs w:val="18"/>
        </w:rPr>
        <w:t>Proceeds before Intended Use</w:t>
      </w:r>
      <w:r>
        <w:rPr>
          <w:rFonts w:ascii="Arial" w:hAnsi="Arial" w:cs="Arial"/>
          <w:sz w:val="18"/>
          <w:szCs w:val="18"/>
        </w:rPr>
        <w:t xml:space="preserve">) </w:t>
      </w:r>
    </w:p>
    <w:p w14:paraId="4E531F90" w14:textId="77777777" w:rsidR="007C59E1" w:rsidRDefault="007C59E1" w:rsidP="007C59E1">
      <w:pPr>
        <w:pStyle w:val="ListParagraph"/>
        <w:numPr>
          <w:ilvl w:val="0"/>
          <w:numId w:val="2"/>
        </w:numPr>
        <w:autoSpaceDE w:val="0"/>
        <w:autoSpaceDN w:val="0"/>
        <w:adjustRightInd w:val="0"/>
        <w:spacing w:after="0" w:line="240" w:lineRule="auto"/>
        <w:rPr>
          <w:rFonts w:ascii="Arial" w:hAnsi="Arial" w:cs="Arial"/>
          <w:sz w:val="18"/>
          <w:szCs w:val="18"/>
        </w:rPr>
      </w:pPr>
      <w:r w:rsidRPr="0037069E">
        <w:rPr>
          <w:rFonts w:ascii="Arial" w:hAnsi="Arial" w:cs="Arial"/>
          <w:sz w:val="18"/>
          <w:szCs w:val="18"/>
        </w:rPr>
        <w:t xml:space="preserve">Annual Improvements to IFRS Standards 2018-2020 Cycle </w:t>
      </w:r>
      <w:r>
        <w:rPr>
          <w:rFonts w:ascii="Arial" w:hAnsi="Arial" w:cs="Arial"/>
          <w:sz w:val="18"/>
          <w:szCs w:val="18"/>
        </w:rPr>
        <w:t>(</w:t>
      </w:r>
      <w:r w:rsidRPr="0037069E">
        <w:rPr>
          <w:rFonts w:ascii="Arial" w:hAnsi="Arial" w:cs="Arial"/>
          <w:sz w:val="18"/>
          <w:szCs w:val="18"/>
        </w:rPr>
        <w:t>Amendments to IFRS 1 First-time Adoption of International Financial Reporting Standards, IFRS 9 Financial Instruments, and IAS 41 Agriculture</w:t>
      </w:r>
      <w:r>
        <w:rPr>
          <w:rFonts w:ascii="Arial" w:hAnsi="Arial" w:cs="Arial"/>
          <w:sz w:val="18"/>
          <w:szCs w:val="18"/>
        </w:rPr>
        <w:t xml:space="preserve">) </w:t>
      </w:r>
    </w:p>
    <w:p w14:paraId="65EEA65C" w14:textId="77777777" w:rsidR="007C59E1" w:rsidRPr="0037069E" w:rsidRDefault="007C59E1" w:rsidP="007C59E1">
      <w:pPr>
        <w:pStyle w:val="ListParagraph"/>
        <w:numPr>
          <w:ilvl w:val="0"/>
          <w:numId w:val="2"/>
        </w:numPr>
        <w:autoSpaceDE w:val="0"/>
        <w:autoSpaceDN w:val="0"/>
        <w:adjustRightInd w:val="0"/>
        <w:spacing w:after="0" w:line="240" w:lineRule="auto"/>
        <w:rPr>
          <w:rFonts w:ascii="Arial" w:hAnsi="Arial" w:cs="Arial"/>
          <w:sz w:val="18"/>
          <w:szCs w:val="18"/>
        </w:rPr>
      </w:pPr>
      <w:r>
        <w:rPr>
          <w:rFonts w:ascii="Arial" w:hAnsi="Arial" w:cs="Arial"/>
          <w:sz w:val="18"/>
          <w:szCs w:val="18"/>
        </w:rPr>
        <w:t>IAS 37 Onerous contracts (amendments re cost of fulfilling a contract)</w:t>
      </w:r>
    </w:p>
    <w:p w14:paraId="0F710977" w14:textId="77777777" w:rsidR="007C59E1" w:rsidRDefault="007C59E1" w:rsidP="007C59E1">
      <w:pPr>
        <w:autoSpaceDE w:val="0"/>
        <w:autoSpaceDN w:val="0"/>
        <w:adjustRightInd w:val="0"/>
        <w:spacing w:after="0" w:line="240" w:lineRule="auto"/>
        <w:contextualSpacing/>
        <w:rPr>
          <w:rFonts w:ascii="Arial" w:hAnsi="Arial" w:cs="Arial"/>
          <w:b/>
          <w:sz w:val="18"/>
          <w:szCs w:val="18"/>
        </w:rPr>
      </w:pPr>
    </w:p>
    <w:p w14:paraId="7E84DF3C" w14:textId="77777777" w:rsidR="007C59E1" w:rsidRPr="00134EFC" w:rsidRDefault="007C59E1" w:rsidP="007C59E1">
      <w:pPr>
        <w:autoSpaceDE w:val="0"/>
        <w:autoSpaceDN w:val="0"/>
        <w:adjustRightInd w:val="0"/>
        <w:spacing w:after="0" w:line="240" w:lineRule="auto"/>
        <w:contextualSpacing/>
        <w:rPr>
          <w:rFonts w:ascii="Arial" w:hAnsi="Arial" w:cs="Arial"/>
          <w:b/>
          <w:sz w:val="18"/>
          <w:szCs w:val="18"/>
        </w:rPr>
      </w:pPr>
      <w:r>
        <w:rPr>
          <w:rFonts w:ascii="Arial" w:hAnsi="Arial" w:cs="Arial"/>
          <w:b/>
          <w:sz w:val="18"/>
          <w:szCs w:val="18"/>
        </w:rPr>
        <w:t xml:space="preserve">(B) </w:t>
      </w:r>
      <w:r w:rsidRPr="00134EFC">
        <w:rPr>
          <w:rFonts w:ascii="Arial" w:hAnsi="Arial" w:cs="Arial"/>
          <w:b/>
          <w:sz w:val="18"/>
          <w:szCs w:val="18"/>
        </w:rPr>
        <w:t xml:space="preserve">Standards, </w:t>
      </w:r>
      <w:proofErr w:type="gramStart"/>
      <w:r w:rsidRPr="00134EFC">
        <w:rPr>
          <w:rFonts w:ascii="Arial" w:hAnsi="Arial" w:cs="Arial"/>
          <w:b/>
          <w:sz w:val="18"/>
          <w:szCs w:val="18"/>
        </w:rPr>
        <w:t>amendments</w:t>
      </w:r>
      <w:proofErr w:type="gramEnd"/>
      <w:r w:rsidRPr="00134EFC">
        <w:rPr>
          <w:rFonts w:ascii="Arial" w:hAnsi="Arial" w:cs="Arial"/>
          <w:b/>
          <w:sz w:val="18"/>
          <w:szCs w:val="18"/>
        </w:rPr>
        <w:t xml:space="preserve"> and interpretations issued but not yet effective</w:t>
      </w:r>
      <w:r>
        <w:rPr>
          <w:rFonts w:ascii="Arial" w:hAnsi="Arial" w:cs="Arial"/>
          <w:b/>
          <w:sz w:val="18"/>
          <w:szCs w:val="18"/>
        </w:rPr>
        <w:t>:</w:t>
      </w:r>
      <w:r w:rsidRPr="00134EFC">
        <w:rPr>
          <w:rFonts w:ascii="Arial" w:hAnsi="Arial" w:cs="Arial"/>
          <w:b/>
          <w:sz w:val="18"/>
          <w:szCs w:val="18"/>
        </w:rPr>
        <w:t xml:space="preserve">   </w:t>
      </w:r>
    </w:p>
    <w:p w14:paraId="4A750C2A" w14:textId="77777777" w:rsidR="007C59E1" w:rsidRPr="00134EFC" w:rsidRDefault="007C59E1" w:rsidP="007C59E1">
      <w:pPr>
        <w:spacing w:after="0" w:line="240" w:lineRule="auto"/>
        <w:contextualSpacing/>
        <w:rPr>
          <w:rFonts w:ascii="Arial" w:hAnsi="Arial" w:cs="Arial"/>
          <w:sz w:val="18"/>
          <w:szCs w:val="18"/>
        </w:rPr>
      </w:pPr>
      <w:r w:rsidRPr="00134EFC">
        <w:rPr>
          <w:rFonts w:ascii="Arial" w:hAnsi="Arial" w:cs="Arial"/>
          <w:sz w:val="18"/>
          <w:szCs w:val="18"/>
        </w:rPr>
        <w:t>Details of those standards that may impact the Group’s accounts in future periods are given in the 20</w:t>
      </w:r>
      <w:r>
        <w:rPr>
          <w:rFonts w:ascii="Arial" w:hAnsi="Arial" w:cs="Arial"/>
          <w:sz w:val="18"/>
          <w:szCs w:val="18"/>
        </w:rPr>
        <w:t>21</w:t>
      </w:r>
      <w:r w:rsidRPr="00134EFC">
        <w:rPr>
          <w:rFonts w:ascii="Arial" w:hAnsi="Arial" w:cs="Arial"/>
          <w:sz w:val="18"/>
          <w:szCs w:val="18"/>
        </w:rPr>
        <w:t xml:space="preserve"> annual report. The adoption of the following standards will or may have a material impact when adopted. Management </w:t>
      </w:r>
      <w:proofErr w:type="gramStart"/>
      <w:r>
        <w:rPr>
          <w:rFonts w:ascii="Arial" w:hAnsi="Arial" w:cs="Arial"/>
          <w:sz w:val="18"/>
          <w:szCs w:val="18"/>
        </w:rPr>
        <w:t>continue</w:t>
      </w:r>
      <w:proofErr w:type="gramEnd"/>
      <w:r>
        <w:rPr>
          <w:rFonts w:ascii="Arial" w:hAnsi="Arial" w:cs="Arial"/>
          <w:sz w:val="18"/>
          <w:szCs w:val="18"/>
        </w:rPr>
        <w:t xml:space="preserve"> to assess </w:t>
      </w:r>
      <w:r w:rsidRPr="00134EFC">
        <w:rPr>
          <w:rFonts w:ascii="Arial" w:hAnsi="Arial" w:cs="Arial"/>
          <w:sz w:val="18"/>
          <w:szCs w:val="18"/>
        </w:rPr>
        <w:t>the expected impact of applying the new standards on the Group’s financial statements and details are shown in the 20</w:t>
      </w:r>
      <w:r>
        <w:rPr>
          <w:rFonts w:ascii="Arial" w:hAnsi="Arial" w:cs="Arial"/>
          <w:sz w:val="18"/>
          <w:szCs w:val="18"/>
        </w:rPr>
        <w:t>21</w:t>
      </w:r>
      <w:r w:rsidRPr="00134EFC">
        <w:rPr>
          <w:rFonts w:ascii="Arial" w:hAnsi="Arial" w:cs="Arial"/>
          <w:sz w:val="18"/>
          <w:szCs w:val="18"/>
        </w:rPr>
        <w:t xml:space="preserve"> annual report. </w:t>
      </w:r>
    </w:p>
    <w:p w14:paraId="07607B68" w14:textId="77777777" w:rsidR="007C59E1" w:rsidRPr="00134EFC" w:rsidRDefault="007C59E1" w:rsidP="007C59E1">
      <w:pPr>
        <w:spacing w:after="0" w:line="240" w:lineRule="auto"/>
        <w:contextualSpacing/>
        <w:rPr>
          <w:rFonts w:ascii="Arial" w:hAnsi="Arial" w:cs="Arial"/>
          <w:sz w:val="18"/>
          <w:szCs w:val="18"/>
        </w:rPr>
      </w:pPr>
    </w:p>
    <w:p w14:paraId="1B6AF796" w14:textId="77777777" w:rsidR="007C59E1" w:rsidRDefault="007C59E1" w:rsidP="007C59E1">
      <w:pPr>
        <w:numPr>
          <w:ilvl w:val="0"/>
          <w:numId w:val="1"/>
        </w:numPr>
        <w:autoSpaceDE w:val="0"/>
        <w:autoSpaceDN w:val="0"/>
        <w:adjustRightInd w:val="0"/>
        <w:spacing w:after="0" w:line="240" w:lineRule="auto"/>
        <w:ind w:left="426"/>
        <w:contextualSpacing/>
        <w:rPr>
          <w:rFonts w:ascii="Arial" w:hAnsi="Arial" w:cs="Arial"/>
          <w:sz w:val="18"/>
          <w:szCs w:val="18"/>
          <w:lang w:eastAsia="en-GB"/>
        </w:rPr>
      </w:pPr>
      <w:r w:rsidRPr="00134EFC">
        <w:rPr>
          <w:rFonts w:ascii="Arial" w:hAnsi="Arial" w:cs="Arial"/>
          <w:sz w:val="18"/>
          <w:szCs w:val="18"/>
          <w:lang w:eastAsia="en-GB"/>
        </w:rPr>
        <w:t xml:space="preserve">IFRS 17 Insurance </w:t>
      </w:r>
      <w:proofErr w:type="gramStart"/>
      <w:r w:rsidRPr="00134EFC">
        <w:rPr>
          <w:rFonts w:ascii="Arial" w:hAnsi="Arial" w:cs="Arial"/>
          <w:sz w:val="18"/>
          <w:szCs w:val="18"/>
          <w:lang w:eastAsia="en-GB"/>
        </w:rPr>
        <w:t>Contracts.*</w:t>
      </w:r>
      <w:proofErr w:type="gramEnd"/>
    </w:p>
    <w:p w14:paraId="71A8EECF" w14:textId="77777777" w:rsidR="007C59E1" w:rsidRPr="00134EFC" w:rsidRDefault="007C59E1" w:rsidP="007C59E1">
      <w:pPr>
        <w:spacing w:after="0" w:line="240" w:lineRule="auto"/>
        <w:contextualSpacing/>
        <w:rPr>
          <w:rFonts w:ascii="Arial" w:hAnsi="Arial" w:cs="Arial"/>
          <w:i/>
          <w:sz w:val="18"/>
          <w:szCs w:val="18"/>
        </w:rPr>
      </w:pPr>
    </w:p>
    <w:p w14:paraId="78DE79AD" w14:textId="77777777" w:rsidR="007C59E1" w:rsidRPr="00134EFC" w:rsidRDefault="007C59E1" w:rsidP="007C59E1">
      <w:pPr>
        <w:spacing w:after="0" w:line="240" w:lineRule="auto"/>
        <w:contextualSpacing/>
        <w:rPr>
          <w:rFonts w:ascii="Arial" w:hAnsi="Arial" w:cs="Arial"/>
          <w:i/>
          <w:sz w:val="18"/>
          <w:szCs w:val="18"/>
        </w:rPr>
      </w:pPr>
      <w:r w:rsidRPr="00134EFC">
        <w:rPr>
          <w:rFonts w:ascii="Arial" w:hAnsi="Arial" w:cs="Arial"/>
          <w:i/>
          <w:sz w:val="18"/>
          <w:szCs w:val="18"/>
        </w:rPr>
        <w:t>* Effective 1 January 2023.</w:t>
      </w:r>
    </w:p>
    <w:p w14:paraId="09EED311" w14:textId="77777777" w:rsidR="007C59E1" w:rsidRPr="00134EFC" w:rsidRDefault="007C59E1" w:rsidP="007C59E1">
      <w:pPr>
        <w:autoSpaceDE w:val="0"/>
        <w:autoSpaceDN w:val="0"/>
        <w:adjustRightInd w:val="0"/>
        <w:spacing w:after="0" w:line="240" w:lineRule="auto"/>
        <w:contextualSpacing/>
        <w:rPr>
          <w:rFonts w:ascii="EYInterstate" w:hAnsi="EYInterstate" w:cs="EYInterstate"/>
          <w:sz w:val="18"/>
          <w:szCs w:val="18"/>
          <w:lang w:eastAsia="en-GB"/>
        </w:rPr>
      </w:pPr>
    </w:p>
    <w:p w14:paraId="2A23F856" w14:textId="77777777" w:rsidR="007C59E1" w:rsidRDefault="007C59E1" w:rsidP="007C59E1">
      <w:pPr>
        <w:spacing w:after="0" w:line="240" w:lineRule="auto"/>
        <w:rPr>
          <w:rFonts w:ascii="Arial" w:hAnsi="Arial" w:cs="Arial"/>
          <w:b/>
          <w:sz w:val="18"/>
          <w:szCs w:val="18"/>
        </w:rPr>
      </w:pPr>
    </w:p>
    <w:p w14:paraId="40FAC7D2" w14:textId="77777777" w:rsidR="007C59E1" w:rsidRPr="00134EFC" w:rsidRDefault="007C59E1" w:rsidP="007C59E1">
      <w:pPr>
        <w:spacing w:after="0" w:line="240" w:lineRule="auto"/>
        <w:contextualSpacing/>
        <w:rPr>
          <w:rFonts w:ascii="Arial" w:hAnsi="Arial" w:cs="Arial"/>
          <w:b/>
          <w:sz w:val="18"/>
          <w:szCs w:val="18"/>
        </w:rPr>
      </w:pPr>
      <w:r w:rsidRPr="00134EFC">
        <w:rPr>
          <w:rFonts w:ascii="Arial" w:hAnsi="Arial" w:cs="Arial"/>
          <w:b/>
          <w:sz w:val="18"/>
          <w:szCs w:val="18"/>
        </w:rPr>
        <w:t>Impact of Covid-19</w:t>
      </w:r>
      <w:r>
        <w:rPr>
          <w:rFonts w:ascii="Arial" w:hAnsi="Arial" w:cs="Arial"/>
          <w:b/>
          <w:sz w:val="18"/>
          <w:szCs w:val="18"/>
        </w:rPr>
        <w:t>, the Russia / Ukraine conflict, rising energy costs and inflation</w:t>
      </w:r>
      <w:r w:rsidRPr="00134EFC">
        <w:rPr>
          <w:rFonts w:ascii="Arial" w:hAnsi="Arial" w:cs="Arial"/>
          <w:b/>
          <w:sz w:val="18"/>
          <w:szCs w:val="18"/>
        </w:rPr>
        <w:t xml:space="preserve"> on interim financial statements  </w:t>
      </w:r>
    </w:p>
    <w:p w14:paraId="6FD08F30" w14:textId="77777777" w:rsidR="007C59E1" w:rsidRPr="00714D00" w:rsidRDefault="007C59E1" w:rsidP="007C59E1">
      <w:pPr>
        <w:spacing w:after="0" w:line="240" w:lineRule="auto"/>
        <w:contextualSpacing/>
        <w:rPr>
          <w:rFonts w:ascii="Arial" w:hAnsi="Arial" w:cs="Arial"/>
          <w:bCs/>
          <w:color w:val="FF0000"/>
          <w:sz w:val="20"/>
          <w:szCs w:val="18"/>
        </w:rPr>
      </w:pPr>
      <w:r w:rsidRPr="00134EFC">
        <w:rPr>
          <w:rFonts w:ascii="Arial" w:hAnsi="Arial" w:cs="Arial"/>
          <w:bCs/>
          <w:sz w:val="18"/>
          <w:szCs w:val="18"/>
        </w:rPr>
        <w:t xml:space="preserve">Management has considered the </w:t>
      </w:r>
      <w:r>
        <w:rPr>
          <w:rFonts w:ascii="Arial" w:hAnsi="Arial" w:cs="Arial"/>
          <w:bCs/>
          <w:sz w:val="18"/>
          <w:szCs w:val="18"/>
        </w:rPr>
        <w:t xml:space="preserve">ongoing </w:t>
      </w:r>
      <w:r w:rsidRPr="00134EFC">
        <w:rPr>
          <w:rFonts w:ascii="Arial" w:hAnsi="Arial" w:cs="Arial"/>
          <w:bCs/>
          <w:sz w:val="18"/>
          <w:szCs w:val="18"/>
        </w:rPr>
        <w:t xml:space="preserve">impact </w:t>
      </w:r>
      <w:r>
        <w:rPr>
          <w:rFonts w:ascii="Arial" w:hAnsi="Arial" w:cs="Arial"/>
          <w:bCs/>
          <w:sz w:val="18"/>
          <w:szCs w:val="18"/>
        </w:rPr>
        <w:t xml:space="preserve">of </w:t>
      </w:r>
      <w:r w:rsidRPr="00134EFC">
        <w:rPr>
          <w:rFonts w:ascii="Arial" w:hAnsi="Arial" w:cs="Arial"/>
          <w:bCs/>
          <w:sz w:val="18"/>
          <w:szCs w:val="18"/>
        </w:rPr>
        <w:t>Covid-19</w:t>
      </w:r>
      <w:r>
        <w:rPr>
          <w:rFonts w:ascii="Arial" w:hAnsi="Arial" w:cs="Arial"/>
          <w:bCs/>
          <w:sz w:val="18"/>
          <w:szCs w:val="18"/>
        </w:rPr>
        <w:t xml:space="preserve">, the conflict in Ukraine and rising energy costs and inflation and associated squeeze on consumer spending </w:t>
      </w:r>
      <w:r w:rsidRPr="00134EFC">
        <w:rPr>
          <w:rFonts w:ascii="Arial" w:hAnsi="Arial" w:cs="Arial"/>
          <w:bCs/>
          <w:sz w:val="18"/>
          <w:szCs w:val="18"/>
        </w:rPr>
        <w:t xml:space="preserve">on the Group’s accounting policies, </w:t>
      </w:r>
      <w:proofErr w:type="gramStart"/>
      <w:r w:rsidRPr="00134EFC">
        <w:rPr>
          <w:rFonts w:ascii="Arial" w:hAnsi="Arial" w:cs="Arial"/>
          <w:bCs/>
          <w:sz w:val="18"/>
          <w:szCs w:val="18"/>
        </w:rPr>
        <w:t>judgements</w:t>
      </w:r>
      <w:proofErr w:type="gramEnd"/>
      <w:r w:rsidRPr="00134EFC">
        <w:rPr>
          <w:rFonts w:ascii="Arial" w:hAnsi="Arial" w:cs="Arial"/>
          <w:bCs/>
          <w:sz w:val="18"/>
          <w:szCs w:val="18"/>
        </w:rPr>
        <w:t xml:space="preserve"> and estimates. Impairment reviews have been carried out in the period to reflect the current economic environment</w:t>
      </w:r>
      <w:r>
        <w:rPr>
          <w:rFonts w:ascii="Arial" w:hAnsi="Arial" w:cs="Arial"/>
          <w:bCs/>
          <w:sz w:val="18"/>
          <w:szCs w:val="18"/>
        </w:rPr>
        <w:t xml:space="preserve">. </w:t>
      </w:r>
      <w:r w:rsidRPr="00134EFC">
        <w:rPr>
          <w:rFonts w:ascii="Arial" w:hAnsi="Arial" w:cs="Arial"/>
          <w:bCs/>
          <w:sz w:val="18"/>
          <w:szCs w:val="18"/>
        </w:rPr>
        <w:t xml:space="preserve">The results of these impairment reviews have been detailed in note 1. </w:t>
      </w:r>
    </w:p>
    <w:p w14:paraId="2F1224B7" w14:textId="77777777" w:rsidR="007C59E1" w:rsidRDefault="007C59E1" w:rsidP="007C59E1">
      <w:pPr>
        <w:spacing w:after="0" w:line="240" w:lineRule="auto"/>
        <w:contextualSpacing/>
        <w:rPr>
          <w:rFonts w:ascii="Arial" w:hAnsi="Arial" w:cs="Arial"/>
          <w:b/>
          <w:sz w:val="20"/>
          <w:szCs w:val="18"/>
        </w:rPr>
      </w:pPr>
    </w:p>
    <w:p w14:paraId="6617591E" w14:textId="77777777" w:rsidR="007C59E1" w:rsidRPr="0044176A" w:rsidRDefault="007C59E1" w:rsidP="007C59E1">
      <w:pPr>
        <w:spacing w:after="0" w:line="240" w:lineRule="auto"/>
        <w:rPr>
          <w:rFonts w:ascii="Arial" w:hAnsi="Arial" w:cs="Arial"/>
          <w:b/>
          <w:bCs/>
          <w:sz w:val="18"/>
          <w:szCs w:val="18"/>
        </w:rPr>
      </w:pPr>
      <w:bookmarkStart w:id="6" w:name="_Hlk99640804"/>
      <w:r w:rsidRPr="0044176A">
        <w:rPr>
          <w:rFonts w:ascii="Arial" w:hAnsi="Arial" w:cs="Arial"/>
          <w:b/>
          <w:bCs/>
          <w:sz w:val="18"/>
          <w:szCs w:val="18"/>
        </w:rPr>
        <w:t>Impact of Climate Change on our Interim financial statements</w:t>
      </w:r>
    </w:p>
    <w:p w14:paraId="28C2CF88" w14:textId="77777777" w:rsidR="007C59E1" w:rsidRPr="007A41C0" w:rsidRDefault="007C59E1" w:rsidP="007C59E1">
      <w:pPr>
        <w:spacing w:after="0" w:line="240" w:lineRule="auto"/>
        <w:rPr>
          <w:rFonts w:ascii="Arial" w:hAnsi="Arial" w:cs="Arial"/>
          <w:b/>
          <w:sz w:val="18"/>
          <w:szCs w:val="18"/>
        </w:rPr>
      </w:pPr>
      <w:r w:rsidRPr="007A41C0">
        <w:rPr>
          <w:rFonts w:ascii="Arial" w:hAnsi="Arial" w:cs="Arial"/>
          <w:sz w:val="18"/>
          <w:szCs w:val="18"/>
        </w:rPr>
        <w:t>In preparing the Groups’ Consolidated Financial statements management has considered the impact of climate change covering both the financial statements and the disclosures included in the Strategic report. This included an assessment of the potential impact of, and associated responses to, climate change, and how that could impact the non-current assets that we hold as well as our expectations of future trading conditions.</w:t>
      </w:r>
      <w:bookmarkStart w:id="7" w:name="_Hlk100072162"/>
      <w:bookmarkStart w:id="8" w:name="_Hlk99963551"/>
      <w:r>
        <w:rPr>
          <w:rFonts w:ascii="Arial" w:hAnsi="Arial" w:cs="Arial"/>
          <w:sz w:val="18"/>
          <w:szCs w:val="18"/>
        </w:rPr>
        <w:t xml:space="preserve"> </w:t>
      </w:r>
      <w:r w:rsidRPr="007A41C0">
        <w:rPr>
          <w:rFonts w:ascii="Arial" w:hAnsi="Arial" w:cs="Arial"/>
          <w:sz w:val="18"/>
          <w:szCs w:val="18"/>
        </w:rPr>
        <w:t>This assessment did not identify any requirement to shorten asset lives of the Group’s asset base and neither did it identify any material risks arising from climate change, accordingly, there has been no material impact on the valuation of the Group’s assets or liabilities or the cashflow forecasts used to assess the going concern basis and the viability statement.</w:t>
      </w:r>
      <w:bookmarkEnd w:id="7"/>
      <w:r>
        <w:rPr>
          <w:rFonts w:ascii="Arial" w:hAnsi="Arial" w:cs="Arial"/>
          <w:sz w:val="18"/>
          <w:szCs w:val="18"/>
        </w:rPr>
        <w:t xml:space="preserve"> </w:t>
      </w:r>
      <w:r w:rsidRPr="007A41C0">
        <w:rPr>
          <w:rFonts w:ascii="Arial" w:hAnsi="Arial" w:cs="Arial"/>
          <w:sz w:val="18"/>
          <w:szCs w:val="18"/>
        </w:rPr>
        <w:t xml:space="preserve">Furthermore, our forecasts do not include any material spend in relation to climate change. </w:t>
      </w:r>
      <w:bookmarkEnd w:id="8"/>
      <w:r w:rsidRPr="007A41C0">
        <w:rPr>
          <w:rFonts w:ascii="Arial" w:hAnsi="Arial" w:cs="Arial"/>
          <w:sz w:val="18"/>
          <w:szCs w:val="18"/>
        </w:rPr>
        <w:t xml:space="preserve">The Group will keep this assessment under review and continue to monitor developments in the future. </w:t>
      </w:r>
    </w:p>
    <w:bookmarkEnd w:id="6"/>
    <w:p w14:paraId="54A06301" w14:textId="77777777" w:rsidR="007C59E1" w:rsidRDefault="007C59E1" w:rsidP="007C59E1">
      <w:pPr>
        <w:spacing w:after="0" w:line="240" w:lineRule="auto"/>
        <w:contextualSpacing/>
        <w:rPr>
          <w:rFonts w:ascii="Arial" w:hAnsi="Arial" w:cs="Arial"/>
          <w:b/>
          <w:sz w:val="20"/>
          <w:szCs w:val="18"/>
        </w:rPr>
      </w:pPr>
    </w:p>
    <w:p w14:paraId="28030BF6" w14:textId="77777777" w:rsidR="007C59E1" w:rsidRPr="00850435" w:rsidRDefault="007C59E1" w:rsidP="007C59E1">
      <w:pPr>
        <w:spacing w:after="0" w:line="240" w:lineRule="auto"/>
        <w:contextualSpacing/>
        <w:rPr>
          <w:rFonts w:ascii="Arial" w:hAnsi="Arial" w:cs="Arial"/>
          <w:b/>
          <w:sz w:val="20"/>
          <w:szCs w:val="18"/>
        </w:rPr>
      </w:pPr>
      <w:r w:rsidRPr="00850435">
        <w:rPr>
          <w:rFonts w:ascii="Arial" w:hAnsi="Arial" w:cs="Arial"/>
          <w:b/>
          <w:sz w:val="20"/>
          <w:szCs w:val="18"/>
        </w:rPr>
        <w:t xml:space="preserve">Going concern </w:t>
      </w:r>
    </w:p>
    <w:p w14:paraId="17EE93BE" w14:textId="77777777" w:rsidR="007C59E1" w:rsidRDefault="007C59E1" w:rsidP="007C59E1">
      <w:pPr>
        <w:autoSpaceDE w:val="0"/>
        <w:autoSpaceDN w:val="0"/>
        <w:adjustRightInd w:val="0"/>
        <w:spacing w:after="0" w:line="240" w:lineRule="auto"/>
        <w:rPr>
          <w:rFonts w:ascii="Arial" w:hAnsi="Arial" w:cs="Arial"/>
          <w:sz w:val="18"/>
          <w:szCs w:val="18"/>
          <w:lang w:eastAsia="en-GB"/>
        </w:rPr>
      </w:pPr>
      <w:r w:rsidRPr="00850435">
        <w:rPr>
          <w:rFonts w:ascii="Arial" w:hAnsi="Arial" w:cs="Arial"/>
          <w:sz w:val="18"/>
          <w:szCs w:val="18"/>
          <w:lang w:eastAsia="en-GB"/>
        </w:rPr>
        <w:t xml:space="preserve">The financial statements are prepared on a going concern basis as the directors have a reasonable expectation that the Group has enough money to continue in business for the foreseeable future. </w:t>
      </w:r>
    </w:p>
    <w:p w14:paraId="36A69C6B" w14:textId="77777777" w:rsidR="007C59E1" w:rsidRDefault="007C59E1" w:rsidP="007C59E1">
      <w:pPr>
        <w:autoSpaceDE w:val="0"/>
        <w:autoSpaceDN w:val="0"/>
        <w:adjustRightInd w:val="0"/>
        <w:spacing w:after="0" w:line="240" w:lineRule="auto"/>
        <w:rPr>
          <w:rFonts w:ascii="Arial" w:hAnsi="Arial" w:cs="Arial"/>
          <w:sz w:val="18"/>
          <w:szCs w:val="18"/>
          <w:lang w:eastAsia="en-GB"/>
        </w:rPr>
      </w:pPr>
    </w:p>
    <w:p w14:paraId="30CB77C9" w14:textId="77777777" w:rsidR="007C59E1" w:rsidRPr="00143D7C" w:rsidRDefault="007C59E1" w:rsidP="007C59E1">
      <w:pPr>
        <w:autoSpaceDE w:val="0"/>
        <w:autoSpaceDN w:val="0"/>
        <w:adjustRightInd w:val="0"/>
        <w:spacing w:after="0" w:line="240" w:lineRule="auto"/>
        <w:rPr>
          <w:rFonts w:ascii="Arial" w:hAnsi="Arial" w:cs="Arial"/>
          <w:sz w:val="18"/>
          <w:szCs w:val="18"/>
          <w:lang w:eastAsia="en-GB"/>
        </w:rPr>
      </w:pPr>
      <w:r w:rsidRPr="00850435">
        <w:rPr>
          <w:rFonts w:ascii="Arial" w:hAnsi="Arial" w:cs="Arial"/>
          <w:sz w:val="18"/>
          <w:szCs w:val="18"/>
          <w:lang w:eastAsia="en-GB"/>
        </w:rPr>
        <w:t>Our Co</w:t>
      </w:r>
      <w:r>
        <w:rPr>
          <w:rFonts w:ascii="Arial" w:hAnsi="Arial" w:cs="Arial"/>
          <w:sz w:val="18"/>
          <w:szCs w:val="18"/>
          <w:lang w:eastAsia="en-GB"/>
        </w:rPr>
        <w:t>-</w:t>
      </w:r>
      <w:r w:rsidRPr="00850435">
        <w:rPr>
          <w:rFonts w:ascii="Arial" w:hAnsi="Arial" w:cs="Arial"/>
          <w:sz w:val="18"/>
          <w:szCs w:val="18"/>
          <w:lang w:eastAsia="en-GB"/>
        </w:rPr>
        <w:t>op borrows money from banks and others, and as part of this process</w:t>
      </w:r>
      <w:r>
        <w:rPr>
          <w:rFonts w:ascii="Arial" w:hAnsi="Arial" w:cs="Arial"/>
          <w:sz w:val="18"/>
          <w:szCs w:val="18"/>
          <w:lang w:eastAsia="en-GB"/>
        </w:rPr>
        <w:t>,</w:t>
      </w:r>
      <w:r w:rsidRPr="00850435">
        <w:rPr>
          <w:rFonts w:ascii="Arial" w:hAnsi="Arial" w:cs="Arial"/>
          <w:sz w:val="18"/>
          <w:szCs w:val="18"/>
          <w:lang w:eastAsia="en-GB"/>
        </w:rPr>
        <w:t xml:space="preserve"> we have checked that we can comply with the terms of those agreements, for example, banking covenants and facility levels</w:t>
      </w:r>
      <w:r>
        <w:rPr>
          <w:rFonts w:ascii="Arial" w:hAnsi="Arial" w:cs="Arial"/>
          <w:sz w:val="18"/>
          <w:szCs w:val="18"/>
          <w:lang w:eastAsia="en-GB"/>
        </w:rPr>
        <w:t xml:space="preserve">. </w:t>
      </w:r>
      <w:r w:rsidRPr="00143D7C">
        <w:rPr>
          <w:rFonts w:ascii="Arial" w:hAnsi="Arial" w:cs="Arial"/>
          <w:sz w:val="18"/>
          <w:szCs w:val="18"/>
          <w:lang w:eastAsia="en-GB"/>
        </w:rPr>
        <w:t xml:space="preserve">Accounting standards require that the foreseeable future covers a period of at least 12 months from the date of approval of the financial statements, although they do not specify how far beyond 12 months a Board should consider. The assessment of going concern relies heavily on the ability to forecast future cashflows over the going concern assessment period, to 30 </w:t>
      </w:r>
      <w:r w:rsidRPr="00D312F6">
        <w:rPr>
          <w:rFonts w:ascii="Arial" w:hAnsi="Arial" w:cs="Arial"/>
          <w:sz w:val="18"/>
          <w:szCs w:val="18"/>
          <w:lang w:eastAsia="en-GB"/>
        </w:rPr>
        <w:t>September</w:t>
      </w:r>
      <w:r w:rsidRPr="00143D7C">
        <w:rPr>
          <w:rFonts w:ascii="Arial" w:hAnsi="Arial" w:cs="Arial"/>
          <w:sz w:val="18"/>
          <w:szCs w:val="18"/>
          <w:lang w:eastAsia="en-GB"/>
        </w:rPr>
        <w:t xml:space="preserve"> 2023.</w:t>
      </w:r>
    </w:p>
    <w:p w14:paraId="08BF155E" w14:textId="77777777" w:rsidR="007C59E1" w:rsidRPr="00850435" w:rsidRDefault="007C59E1" w:rsidP="007C59E1">
      <w:pPr>
        <w:autoSpaceDE w:val="0"/>
        <w:autoSpaceDN w:val="0"/>
        <w:adjustRightInd w:val="0"/>
        <w:spacing w:after="0" w:line="240" w:lineRule="auto"/>
        <w:rPr>
          <w:rFonts w:ascii="Arial" w:hAnsi="Arial" w:cs="Arial"/>
          <w:sz w:val="18"/>
          <w:szCs w:val="18"/>
          <w:lang w:eastAsia="en-GB"/>
        </w:rPr>
      </w:pPr>
    </w:p>
    <w:p w14:paraId="25A3653B" w14:textId="77777777" w:rsidR="007C59E1" w:rsidRDefault="007C59E1" w:rsidP="007C59E1">
      <w:pPr>
        <w:autoSpaceDE w:val="0"/>
        <w:autoSpaceDN w:val="0"/>
        <w:adjustRightInd w:val="0"/>
        <w:spacing w:after="0" w:line="240" w:lineRule="auto"/>
        <w:rPr>
          <w:rFonts w:ascii="Arial" w:hAnsi="Arial" w:cs="Arial"/>
          <w:sz w:val="18"/>
          <w:szCs w:val="18"/>
          <w:lang w:eastAsia="en-GB"/>
        </w:rPr>
      </w:pPr>
      <w:r w:rsidRPr="00143D7C">
        <w:rPr>
          <w:rFonts w:ascii="Arial" w:hAnsi="Arial" w:cs="Arial"/>
          <w:sz w:val="18"/>
          <w:szCs w:val="18"/>
          <w:lang w:eastAsia="en-GB"/>
        </w:rPr>
        <w:t>In making their assessment the directors have considered a wide range of information</w:t>
      </w:r>
      <w:r>
        <w:rPr>
          <w:rFonts w:ascii="Arial" w:hAnsi="Arial" w:cs="Arial"/>
          <w:sz w:val="18"/>
          <w:szCs w:val="18"/>
          <w:lang w:eastAsia="en-GB"/>
        </w:rPr>
        <w:t xml:space="preserve"> </w:t>
      </w:r>
      <w:r w:rsidRPr="00143D7C">
        <w:rPr>
          <w:rFonts w:ascii="Arial" w:hAnsi="Arial" w:cs="Arial"/>
          <w:sz w:val="18"/>
          <w:szCs w:val="18"/>
          <w:lang w:eastAsia="en-GB"/>
        </w:rPr>
        <w:t>relating to present and future conditions, including future forecasts of profitability</w:t>
      </w:r>
      <w:r>
        <w:rPr>
          <w:rFonts w:ascii="Arial" w:hAnsi="Arial" w:cs="Arial"/>
          <w:sz w:val="18"/>
          <w:szCs w:val="18"/>
          <w:lang w:eastAsia="en-GB"/>
        </w:rPr>
        <w:t>,</w:t>
      </w:r>
      <w:r w:rsidRPr="00143D7C">
        <w:rPr>
          <w:rFonts w:ascii="Arial" w:hAnsi="Arial" w:cs="Arial"/>
          <w:sz w:val="18"/>
          <w:szCs w:val="18"/>
          <w:lang w:eastAsia="en-GB"/>
        </w:rPr>
        <w:t xml:space="preserve"> cash flow</w:t>
      </w:r>
      <w:r>
        <w:rPr>
          <w:rFonts w:ascii="Arial" w:hAnsi="Arial" w:cs="Arial"/>
          <w:sz w:val="18"/>
          <w:szCs w:val="18"/>
          <w:lang w:eastAsia="en-GB"/>
        </w:rPr>
        <w:t xml:space="preserve"> </w:t>
      </w:r>
      <w:r w:rsidRPr="00143D7C">
        <w:rPr>
          <w:rFonts w:ascii="Arial" w:hAnsi="Arial" w:cs="Arial"/>
          <w:sz w:val="18"/>
          <w:szCs w:val="18"/>
          <w:lang w:eastAsia="en-GB"/>
        </w:rPr>
        <w:t>and covenant compliance</w:t>
      </w:r>
      <w:r>
        <w:rPr>
          <w:rFonts w:ascii="Arial" w:hAnsi="Arial" w:cs="Arial"/>
          <w:sz w:val="18"/>
          <w:szCs w:val="18"/>
          <w:lang w:eastAsia="en-GB"/>
        </w:rPr>
        <w:t xml:space="preserve">, </w:t>
      </w:r>
      <w:r w:rsidRPr="00143D7C">
        <w:rPr>
          <w:rFonts w:ascii="Arial" w:hAnsi="Arial" w:cs="Arial"/>
          <w:sz w:val="18"/>
          <w:szCs w:val="18"/>
          <w:lang w:eastAsia="en-GB"/>
        </w:rPr>
        <w:t>and available capital resources.</w:t>
      </w:r>
      <w:r>
        <w:rPr>
          <w:rFonts w:ascii="Arial" w:hAnsi="Arial" w:cs="Arial"/>
          <w:sz w:val="18"/>
          <w:szCs w:val="18"/>
          <w:lang w:eastAsia="en-GB"/>
        </w:rPr>
        <w:t xml:space="preserve"> </w:t>
      </w:r>
    </w:p>
    <w:p w14:paraId="086F571D" w14:textId="77777777" w:rsidR="007C59E1" w:rsidRDefault="007C59E1" w:rsidP="007C59E1">
      <w:pPr>
        <w:autoSpaceDE w:val="0"/>
        <w:autoSpaceDN w:val="0"/>
        <w:adjustRightInd w:val="0"/>
        <w:spacing w:after="0" w:line="240" w:lineRule="auto"/>
        <w:rPr>
          <w:rFonts w:ascii="Arial" w:hAnsi="Arial" w:cs="Arial"/>
          <w:sz w:val="18"/>
          <w:szCs w:val="18"/>
          <w:lang w:eastAsia="en-GB"/>
        </w:rPr>
      </w:pPr>
    </w:p>
    <w:p w14:paraId="326D9C5F" w14:textId="77777777" w:rsidR="007C59E1" w:rsidRPr="00143D7C" w:rsidRDefault="007C59E1" w:rsidP="007C59E1">
      <w:pPr>
        <w:autoSpaceDE w:val="0"/>
        <w:autoSpaceDN w:val="0"/>
        <w:adjustRightInd w:val="0"/>
        <w:spacing w:after="0" w:line="240" w:lineRule="auto"/>
        <w:rPr>
          <w:rFonts w:ascii="Arial" w:hAnsi="Arial" w:cs="Arial"/>
          <w:sz w:val="18"/>
          <w:szCs w:val="18"/>
          <w:lang w:eastAsia="en-GB"/>
        </w:rPr>
      </w:pPr>
      <w:r w:rsidRPr="00143D7C">
        <w:rPr>
          <w:rFonts w:ascii="Arial" w:hAnsi="Arial" w:cs="Arial"/>
          <w:sz w:val="18"/>
          <w:szCs w:val="18"/>
          <w:lang w:eastAsia="en-GB"/>
        </w:rPr>
        <w:t>The potential scenarios which could lead to our Co-op not being a going concern are:</w:t>
      </w:r>
    </w:p>
    <w:p w14:paraId="3214C221" w14:textId="77777777" w:rsidR="007C59E1" w:rsidRPr="00143D7C" w:rsidRDefault="007C59E1" w:rsidP="007C59E1">
      <w:pPr>
        <w:autoSpaceDE w:val="0"/>
        <w:autoSpaceDN w:val="0"/>
        <w:adjustRightInd w:val="0"/>
        <w:spacing w:after="0" w:line="240" w:lineRule="auto"/>
        <w:rPr>
          <w:rFonts w:ascii="Arial" w:hAnsi="Arial" w:cs="Arial"/>
          <w:sz w:val="18"/>
          <w:szCs w:val="18"/>
          <w:lang w:eastAsia="en-GB"/>
        </w:rPr>
      </w:pPr>
    </w:p>
    <w:p w14:paraId="616828C1" w14:textId="77777777" w:rsidR="007C59E1" w:rsidRPr="00E908F5" w:rsidRDefault="007C59E1" w:rsidP="007C59E1">
      <w:pPr>
        <w:autoSpaceDE w:val="0"/>
        <w:autoSpaceDN w:val="0"/>
        <w:adjustRightInd w:val="0"/>
        <w:spacing w:after="0" w:line="240" w:lineRule="auto"/>
        <w:rPr>
          <w:rFonts w:ascii="Arial" w:hAnsi="Arial" w:cs="Arial"/>
          <w:sz w:val="18"/>
          <w:szCs w:val="18"/>
          <w:lang w:eastAsia="en-GB"/>
        </w:rPr>
      </w:pPr>
      <w:r w:rsidRPr="00E908F5">
        <w:rPr>
          <w:rFonts w:ascii="Arial" w:hAnsi="Arial" w:cs="Arial"/>
          <w:sz w:val="18"/>
          <w:szCs w:val="18"/>
          <w:lang w:eastAsia="en-GB"/>
        </w:rPr>
        <w:t>a. Not having enough cash to meet our liabilities as they fall due. Throughout the going concern period the facility limit within which we need to operate is £1,168m, which includes £779m non-bank facilities and £400m bank syndicate facilities; and/or</w:t>
      </w:r>
    </w:p>
    <w:p w14:paraId="73F059DD" w14:textId="77777777" w:rsidR="007C59E1" w:rsidRPr="00E908F5" w:rsidRDefault="007C59E1" w:rsidP="007C59E1">
      <w:pPr>
        <w:autoSpaceDE w:val="0"/>
        <w:autoSpaceDN w:val="0"/>
        <w:adjustRightInd w:val="0"/>
        <w:spacing w:after="0" w:line="240" w:lineRule="auto"/>
        <w:rPr>
          <w:rFonts w:ascii="Arial" w:hAnsi="Arial" w:cs="Arial"/>
          <w:sz w:val="18"/>
          <w:szCs w:val="18"/>
          <w:lang w:eastAsia="en-GB"/>
        </w:rPr>
      </w:pPr>
    </w:p>
    <w:p w14:paraId="66B466BF" w14:textId="77777777" w:rsidR="007C59E1" w:rsidRPr="00E908F5" w:rsidRDefault="007C59E1" w:rsidP="007C59E1">
      <w:pPr>
        <w:autoSpaceDE w:val="0"/>
        <w:autoSpaceDN w:val="0"/>
        <w:adjustRightInd w:val="0"/>
        <w:spacing w:after="0" w:line="240" w:lineRule="auto"/>
        <w:rPr>
          <w:rFonts w:ascii="Arial" w:hAnsi="Arial" w:cs="Arial"/>
          <w:sz w:val="18"/>
          <w:szCs w:val="18"/>
          <w:lang w:eastAsia="en-GB"/>
        </w:rPr>
      </w:pPr>
      <w:r w:rsidRPr="00E908F5">
        <w:rPr>
          <w:rFonts w:ascii="Arial" w:hAnsi="Arial" w:cs="Arial"/>
          <w:sz w:val="18"/>
          <w:szCs w:val="18"/>
          <w:lang w:eastAsia="en-GB"/>
        </w:rPr>
        <w:t>b. A breach of the financial covenants implicit in our bank facility agreement.</w:t>
      </w:r>
    </w:p>
    <w:p w14:paraId="31D6AA25" w14:textId="77777777" w:rsidR="007C59E1" w:rsidRPr="00E908F5" w:rsidRDefault="007C59E1" w:rsidP="007C59E1">
      <w:pPr>
        <w:autoSpaceDE w:val="0"/>
        <w:autoSpaceDN w:val="0"/>
        <w:adjustRightInd w:val="0"/>
        <w:spacing w:after="0" w:line="240" w:lineRule="auto"/>
        <w:rPr>
          <w:rFonts w:ascii="Arial" w:hAnsi="Arial" w:cs="Arial"/>
          <w:sz w:val="18"/>
          <w:szCs w:val="18"/>
          <w:lang w:eastAsia="en-GB"/>
        </w:rPr>
      </w:pPr>
    </w:p>
    <w:p w14:paraId="134A117B" w14:textId="77777777" w:rsidR="007C59E1" w:rsidRPr="00E908F5" w:rsidRDefault="007C59E1" w:rsidP="007C59E1">
      <w:pPr>
        <w:autoSpaceDE w:val="0"/>
        <w:autoSpaceDN w:val="0"/>
        <w:adjustRightInd w:val="0"/>
        <w:spacing w:after="0" w:line="240" w:lineRule="auto"/>
        <w:rPr>
          <w:rFonts w:ascii="Arial" w:hAnsi="Arial" w:cs="Arial"/>
          <w:sz w:val="18"/>
          <w:szCs w:val="18"/>
          <w:lang w:eastAsia="en-GB"/>
        </w:rPr>
      </w:pPr>
      <w:r w:rsidRPr="00E908F5">
        <w:rPr>
          <w:rFonts w:ascii="Arial" w:hAnsi="Arial" w:cs="Arial"/>
          <w:sz w:val="18"/>
          <w:szCs w:val="18"/>
          <w:lang w:eastAsia="en-GB"/>
        </w:rPr>
        <w:t>• Net Debt Leverage: Consolidated net debt as a multiple of bank-defined EBITDA must not exceed 3.00:1.00 at each six-monthly covenant test date.</w:t>
      </w:r>
    </w:p>
    <w:p w14:paraId="1B8D4C77" w14:textId="77777777" w:rsidR="007C59E1" w:rsidRPr="00E908F5" w:rsidRDefault="007C59E1" w:rsidP="007C59E1">
      <w:pPr>
        <w:autoSpaceDE w:val="0"/>
        <w:autoSpaceDN w:val="0"/>
        <w:adjustRightInd w:val="0"/>
        <w:spacing w:after="0" w:line="240" w:lineRule="auto"/>
        <w:rPr>
          <w:rFonts w:ascii="Arial" w:hAnsi="Arial" w:cs="Arial"/>
          <w:sz w:val="18"/>
          <w:szCs w:val="18"/>
          <w:lang w:eastAsia="en-GB"/>
        </w:rPr>
      </w:pPr>
    </w:p>
    <w:p w14:paraId="16BB2E3A" w14:textId="77777777" w:rsidR="007C59E1" w:rsidRDefault="007C59E1" w:rsidP="007C59E1">
      <w:pPr>
        <w:autoSpaceDE w:val="0"/>
        <w:autoSpaceDN w:val="0"/>
        <w:adjustRightInd w:val="0"/>
        <w:spacing w:after="0" w:line="240" w:lineRule="auto"/>
        <w:rPr>
          <w:rFonts w:ascii="Arial" w:hAnsi="Arial" w:cs="Arial"/>
          <w:sz w:val="18"/>
          <w:szCs w:val="18"/>
          <w:lang w:eastAsia="en-GB"/>
        </w:rPr>
      </w:pPr>
      <w:r w:rsidRPr="00E908F5">
        <w:rPr>
          <w:rFonts w:ascii="Arial" w:hAnsi="Arial" w:cs="Arial"/>
          <w:sz w:val="18"/>
          <w:szCs w:val="18"/>
          <w:lang w:eastAsia="en-GB"/>
        </w:rPr>
        <w:t>• Adjusted Interest Cover: The bank-defined EBITDA (further adjusted by a fixed rental figure) as a multiple of the consolidated net finance charges</w:t>
      </w:r>
      <w:r w:rsidRPr="00143D7C">
        <w:rPr>
          <w:rFonts w:ascii="Arial" w:hAnsi="Arial" w:cs="Arial"/>
          <w:sz w:val="18"/>
          <w:szCs w:val="18"/>
          <w:lang w:eastAsia="en-GB"/>
        </w:rPr>
        <w:t>, must not fall below</w:t>
      </w:r>
      <w:r>
        <w:rPr>
          <w:rFonts w:ascii="Arial" w:hAnsi="Arial" w:cs="Arial"/>
          <w:sz w:val="18"/>
          <w:szCs w:val="18"/>
          <w:lang w:eastAsia="en-GB"/>
        </w:rPr>
        <w:t xml:space="preserve"> </w:t>
      </w:r>
      <w:r w:rsidRPr="00143D7C">
        <w:rPr>
          <w:rFonts w:ascii="Arial" w:hAnsi="Arial" w:cs="Arial"/>
          <w:sz w:val="18"/>
          <w:szCs w:val="18"/>
          <w:lang w:eastAsia="en-GB"/>
        </w:rPr>
        <w:t>1.75:1.00 measured at each six-monthly covenant test</w:t>
      </w:r>
      <w:r>
        <w:rPr>
          <w:rFonts w:ascii="Arial" w:hAnsi="Arial" w:cs="Arial"/>
          <w:sz w:val="18"/>
          <w:szCs w:val="18"/>
          <w:lang w:eastAsia="en-GB"/>
        </w:rPr>
        <w:t xml:space="preserve"> </w:t>
      </w:r>
      <w:r w:rsidRPr="00143D7C">
        <w:rPr>
          <w:rFonts w:ascii="Arial" w:hAnsi="Arial" w:cs="Arial"/>
          <w:sz w:val="18"/>
          <w:szCs w:val="18"/>
          <w:lang w:eastAsia="en-GB"/>
        </w:rPr>
        <w:t>date.</w:t>
      </w:r>
    </w:p>
    <w:p w14:paraId="25E91501" w14:textId="77777777" w:rsidR="007C59E1" w:rsidRPr="00143D7C" w:rsidRDefault="007C59E1" w:rsidP="007C59E1">
      <w:pPr>
        <w:autoSpaceDE w:val="0"/>
        <w:autoSpaceDN w:val="0"/>
        <w:adjustRightInd w:val="0"/>
        <w:spacing w:after="0" w:line="240" w:lineRule="auto"/>
        <w:rPr>
          <w:rFonts w:ascii="Arial" w:hAnsi="Arial" w:cs="Arial"/>
          <w:sz w:val="18"/>
          <w:szCs w:val="18"/>
          <w:lang w:eastAsia="en-GB"/>
        </w:rPr>
      </w:pPr>
    </w:p>
    <w:p w14:paraId="79D78819" w14:textId="77777777" w:rsidR="007C59E1" w:rsidRDefault="007C59E1" w:rsidP="007C59E1">
      <w:pPr>
        <w:autoSpaceDE w:val="0"/>
        <w:autoSpaceDN w:val="0"/>
        <w:adjustRightInd w:val="0"/>
        <w:spacing w:after="0" w:line="240" w:lineRule="auto"/>
        <w:rPr>
          <w:rFonts w:ascii="Arial" w:hAnsi="Arial" w:cs="Arial"/>
          <w:sz w:val="18"/>
          <w:szCs w:val="18"/>
          <w:lang w:eastAsia="en-GB"/>
        </w:rPr>
      </w:pPr>
      <w:r w:rsidRPr="00E908F5">
        <w:rPr>
          <w:rFonts w:ascii="Arial" w:hAnsi="Arial" w:cs="Arial"/>
          <w:sz w:val="18"/>
          <w:szCs w:val="18"/>
          <w:lang w:eastAsia="en-GB"/>
        </w:rPr>
        <w:lastRenderedPageBreak/>
        <w:t xml:space="preserve">The Group has </w:t>
      </w:r>
      <w:proofErr w:type="gramStart"/>
      <w:r w:rsidRPr="00E908F5">
        <w:rPr>
          <w:rFonts w:ascii="Arial" w:hAnsi="Arial" w:cs="Arial"/>
          <w:sz w:val="18"/>
          <w:szCs w:val="18"/>
          <w:lang w:eastAsia="en-GB"/>
        </w:rPr>
        <w:t>been in compliance with</w:t>
      </w:r>
      <w:proofErr w:type="gramEnd"/>
      <w:r w:rsidRPr="00E908F5">
        <w:rPr>
          <w:rFonts w:ascii="Arial" w:hAnsi="Arial" w:cs="Arial"/>
          <w:sz w:val="18"/>
          <w:szCs w:val="18"/>
          <w:lang w:eastAsia="en-GB"/>
        </w:rPr>
        <w:t xml:space="preserve"> all covenants applicable to this facility within the financial year and is forecast to continue to be in compliance for 12 months from the date of signing of the financial statements.</w:t>
      </w:r>
      <w:r>
        <w:rPr>
          <w:rFonts w:ascii="Arial" w:hAnsi="Arial" w:cs="Arial"/>
          <w:sz w:val="18"/>
          <w:szCs w:val="18"/>
          <w:lang w:eastAsia="en-GB"/>
        </w:rPr>
        <w:t xml:space="preserve"> </w:t>
      </w:r>
      <w:r w:rsidRPr="00E908F5">
        <w:rPr>
          <w:rFonts w:ascii="Arial" w:hAnsi="Arial" w:cs="Arial"/>
          <w:sz w:val="18"/>
          <w:szCs w:val="18"/>
          <w:lang w:eastAsia="en-GB"/>
        </w:rPr>
        <w:t>Further mitigating actions could also be taken should it be required, including reducing capital expenditure</w:t>
      </w:r>
      <w:r>
        <w:rPr>
          <w:rFonts w:ascii="Arial" w:hAnsi="Arial" w:cs="Arial"/>
          <w:sz w:val="18"/>
          <w:szCs w:val="18"/>
          <w:lang w:eastAsia="en-GB"/>
        </w:rPr>
        <w:t xml:space="preserve"> and price investment. </w:t>
      </w:r>
    </w:p>
    <w:p w14:paraId="5C8D24E3" w14:textId="77777777" w:rsidR="007C59E1" w:rsidRDefault="007C59E1" w:rsidP="007C59E1">
      <w:pPr>
        <w:autoSpaceDE w:val="0"/>
        <w:autoSpaceDN w:val="0"/>
        <w:adjustRightInd w:val="0"/>
        <w:spacing w:after="0" w:line="240" w:lineRule="auto"/>
        <w:rPr>
          <w:rFonts w:ascii="Arial" w:hAnsi="Arial" w:cs="Arial"/>
          <w:sz w:val="18"/>
          <w:szCs w:val="18"/>
          <w:lang w:eastAsia="en-GB"/>
        </w:rPr>
      </w:pPr>
    </w:p>
    <w:p w14:paraId="2DCCF168" w14:textId="77777777" w:rsidR="007C59E1" w:rsidRDefault="007C59E1" w:rsidP="007C59E1">
      <w:pPr>
        <w:autoSpaceDE w:val="0"/>
        <w:autoSpaceDN w:val="0"/>
        <w:adjustRightInd w:val="0"/>
        <w:spacing w:after="0" w:line="240" w:lineRule="auto"/>
        <w:rPr>
          <w:rFonts w:ascii="Arial" w:hAnsi="Arial" w:cs="Arial"/>
          <w:sz w:val="18"/>
          <w:szCs w:val="18"/>
          <w:lang w:eastAsia="en-GB"/>
        </w:rPr>
      </w:pPr>
      <w:r w:rsidRPr="00143D7C">
        <w:rPr>
          <w:rFonts w:ascii="Arial" w:hAnsi="Arial" w:cs="Arial"/>
          <w:sz w:val="18"/>
          <w:szCs w:val="18"/>
          <w:lang w:eastAsia="en-GB"/>
        </w:rPr>
        <w:t>Post</w:t>
      </w:r>
      <w:r>
        <w:rPr>
          <w:rFonts w:ascii="Arial" w:hAnsi="Arial" w:cs="Arial"/>
          <w:sz w:val="18"/>
          <w:szCs w:val="18"/>
          <w:lang w:eastAsia="en-GB"/>
        </w:rPr>
        <w:t xml:space="preserve"> </w:t>
      </w:r>
      <w:r w:rsidRPr="00143D7C">
        <w:rPr>
          <w:rFonts w:ascii="Arial" w:hAnsi="Arial" w:cs="Arial"/>
          <w:sz w:val="18"/>
          <w:szCs w:val="18"/>
          <w:lang w:eastAsia="en-GB"/>
        </w:rPr>
        <w:t xml:space="preserve">the </w:t>
      </w:r>
      <w:r>
        <w:rPr>
          <w:rFonts w:ascii="Arial" w:hAnsi="Arial" w:cs="Arial"/>
          <w:sz w:val="18"/>
          <w:szCs w:val="18"/>
          <w:lang w:eastAsia="en-GB"/>
        </w:rPr>
        <w:t xml:space="preserve">2021 year-end </w:t>
      </w:r>
      <w:r w:rsidRPr="00143D7C">
        <w:rPr>
          <w:rFonts w:ascii="Arial" w:hAnsi="Arial" w:cs="Arial"/>
          <w:sz w:val="18"/>
          <w:szCs w:val="18"/>
          <w:lang w:eastAsia="en-GB"/>
        </w:rPr>
        <w:t>balance sheet date, there have been positive changes to the liquidity position.</w:t>
      </w:r>
      <w:r>
        <w:rPr>
          <w:rFonts w:ascii="Arial" w:hAnsi="Arial" w:cs="Arial"/>
          <w:sz w:val="18"/>
          <w:szCs w:val="18"/>
          <w:lang w:eastAsia="en-GB"/>
        </w:rPr>
        <w:t xml:space="preserve"> </w:t>
      </w:r>
      <w:r w:rsidRPr="00143D7C">
        <w:rPr>
          <w:rFonts w:ascii="Arial" w:hAnsi="Arial" w:cs="Arial"/>
          <w:sz w:val="18"/>
          <w:szCs w:val="18"/>
          <w:lang w:eastAsia="en-GB"/>
        </w:rPr>
        <w:t xml:space="preserve">We note at the </w:t>
      </w:r>
      <w:r>
        <w:rPr>
          <w:rFonts w:ascii="Arial" w:hAnsi="Arial" w:cs="Arial"/>
          <w:sz w:val="18"/>
          <w:szCs w:val="18"/>
          <w:lang w:eastAsia="en-GB"/>
        </w:rPr>
        <w:t>half-</w:t>
      </w:r>
      <w:r w:rsidRPr="00143D7C">
        <w:rPr>
          <w:rFonts w:ascii="Arial" w:hAnsi="Arial" w:cs="Arial"/>
          <w:sz w:val="18"/>
          <w:szCs w:val="18"/>
          <w:lang w:eastAsia="en-GB"/>
        </w:rPr>
        <w:t xml:space="preserve">year end date, of </w:t>
      </w:r>
      <w:r w:rsidRPr="0047443E">
        <w:rPr>
          <w:rFonts w:ascii="Arial" w:hAnsi="Arial" w:cs="Arial"/>
          <w:sz w:val="18"/>
          <w:szCs w:val="18"/>
          <w:lang w:eastAsia="en-GB"/>
        </w:rPr>
        <w:t>the total £1,168m of facilities</w:t>
      </w:r>
      <w:r w:rsidRPr="00143D7C">
        <w:rPr>
          <w:rFonts w:ascii="Arial" w:hAnsi="Arial" w:cs="Arial"/>
          <w:sz w:val="18"/>
          <w:szCs w:val="18"/>
          <w:lang w:eastAsia="en-GB"/>
        </w:rPr>
        <w:t xml:space="preserve"> available to us, we were</w:t>
      </w:r>
      <w:r>
        <w:rPr>
          <w:rFonts w:ascii="Arial" w:hAnsi="Arial" w:cs="Arial"/>
          <w:sz w:val="18"/>
          <w:szCs w:val="18"/>
          <w:lang w:eastAsia="en-GB"/>
        </w:rPr>
        <w:t xml:space="preserve"> </w:t>
      </w:r>
      <w:r w:rsidRPr="00143D7C">
        <w:rPr>
          <w:rFonts w:ascii="Arial" w:hAnsi="Arial" w:cs="Arial"/>
          <w:sz w:val="18"/>
          <w:szCs w:val="18"/>
          <w:lang w:eastAsia="en-GB"/>
        </w:rPr>
        <w:t>£</w:t>
      </w:r>
      <w:r>
        <w:rPr>
          <w:rFonts w:ascii="Arial" w:hAnsi="Arial" w:cs="Arial"/>
          <w:sz w:val="18"/>
          <w:szCs w:val="18"/>
          <w:lang w:eastAsia="en-GB"/>
        </w:rPr>
        <w:t>839</w:t>
      </w:r>
      <w:r w:rsidRPr="00143D7C">
        <w:rPr>
          <w:rFonts w:ascii="Arial" w:hAnsi="Arial" w:cs="Arial"/>
          <w:sz w:val="18"/>
          <w:szCs w:val="18"/>
          <w:lang w:eastAsia="en-GB"/>
        </w:rPr>
        <w:t>m drawn down and our net debt position was £</w:t>
      </w:r>
      <w:r>
        <w:rPr>
          <w:rFonts w:ascii="Arial" w:hAnsi="Arial" w:cs="Arial"/>
          <w:sz w:val="18"/>
          <w:szCs w:val="18"/>
          <w:lang w:eastAsia="en-GB"/>
        </w:rPr>
        <w:t>731</w:t>
      </w:r>
      <w:r w:rsidRPr="00143D7C">
        <w:rPr>
          <w:rFonts w:ascii="Arial" w:hAnsi="Arial" w:cs="Arial"/>
          <w:sz w:val="18"/>
          <w:szCs w:val="18"/>
          <w:lang w:eastAsia="en-GB"/>
        </w:rPr>
        <w:t>m, excluding lease liabilities. It is being</w:t>
      </w:r>
      <w:r>
        <w:rPr>
          <w:rFonts w:ascii="Arial" w:hAnsi="Arial" w:cs="Arial"/>
          <w:sz w:val="18"/>
          <w:szCs w:val="18"/>
          <w:lang w:eastAsia="en-GB"/>
        </w:rPr>
        <w:t xml:space="preserve"> </w:t>
      </w:r>
      <w:r w:rsidRPr="00143D7C">
        <w:rPr>
          <w:rFonts w:ascii="Arial" w:hAnsi="Arial" w:cs="Arial"/>
          <w:sz w:val="18"/>
          <w:szCs w:val="18"/>
          <w:lang w:eastAsia="en-GB"/>
        </w:rPr>
        <w:t xml:space="preserve">assumed that amounts due for repayment in the going concern period are repaid. </w:t>
      </w:r>
    </w:p>
    <w:p w14:paraId="2A55ED90" w14:textId="77777777" w:rsidR="007C59E1" w:rsidRDefault="007C59E1" w:rsidP="007C59E1">
      <w:pPr>
        <w:autoSpaceDE w:val="0"/>
        <w:autoSpaceDN w:val="0"/>
        <w:adjustRightInd w:val="0"/>
        <w:spacing w:after="0" w:line="240" w:lineRule="auto"/>
        <w:rPr>
          <w:rFonts w:ascii="Arial" w:hAnsi="Arial" w:cs="Arial"/>
          <w:sz w:val="18"/>
          <w:szCs w:val="18"/>
          <w:lang w:eastAsia="en-GB"/>
        </w:rPr>
      </w:pPr>
    </w:p>
    <w:p w14:paraId="3D876B6E" w14:textId="77777777" w:rsidR="007C59E1" w:rsidRPr="00E908F5" w:rsidRDefault="007C59E1" w:rsidP="007C59E1">
      <w:pPr>
        <w:spacing w:after="0" w:line="240" w:lineRule="auto"/>
        <w:contextualSpacing/>
        <w:rPr>
          <w:rFonts w:ascii="Arial" w:hAnsi="Arial" w:cs="Arial"/>
          <w:bCs/>
          <w:sz w:val="18"/>
          <w:szCs w:val="18"/>
        </w:rPr>
      </w:pPr>
      <w:r w:rsidRPr="001606B6">
        <w:rPr>
          <w:rFonts w:ascii="Arial" w:hAnsi="Arial" w:cs="Arial"/>
          <w:bCs/>
          <w:sz w:val="18"/>
          <w:szCs w:val="18"/>
        </w:rPr>
        <w:t>We have reviewed our actual results in the first half of 202</w:t>
      </w:r>
      <w:r>
        <w:rPr>
          <w:rFonts w:ascii="Arial" w:hAnsi="Arial" w:cs="Arial"/>
          <w:bCs/>
          <w:sz w:val="18"/>
          <w:szCs w:val="18"/>
        </w:rPr>
        <w:t>2</w:t>
      </w:r>
      <w:r w:rsidRPr="001606B6">
        <w:rPr>
          <w:rFonts w:ascii="Arial" w:hAnsi="Arial" w:cs="Arial"/>
          <w:bCs/>
          <w:sz w:val="18"/>
          <w:szCs w:val="18"/>
        </w:rPr>
        <w:t xml:space="preserve"> against those that were used in the going concern forecast and assessment for our 202</w:t>
      </w:r>
      <w:r>
        <w:rPr>
          <w:rFonts w:ascii="Arial" w:hAnsi="Arial" w:cs="Arial"/>
          <w:bCs/>
          <w:sz w:val="18"/>
          <w:szCs w:val="18"/>
        </w:rPr>
        <w:t>1</w:t>
      </w:r>
      <w:r w:rsidRPr="001606B6">
        <w:rPr>
          <w:rFonts w:ascii="Arial" w:hAnsi="Arial" w:cs="Arial"/>
          <w:bCs/>
          <w:sz w:val="18"/>
          <w:szCs w:val="18"/>
        </w:rPr>
        <w:t xml:space="preserve"> financial statements and conclude that there are no material differences between the actuals and the forecast that was used which would change the going concern assessment and assumption. </w:t>
      </w:r>
    </w:p>
    <w:p w14:paraId="0F3124B2" w14:textId="77777777" w:rsidR="007C59E1" w:rsidRDefault="007C59E1" w:rsidP="007C59E1">
      <w:pPr>
        <w:autoSpaceDE w:val="0"/>
        <w:autoSpaceDN w:val="0"/>
        <w:adjustRightInd w:val="0"/>
        <w:spacing w:after="0" w:line="240" w:lineRule="auto"/>
        <w:rPr>
          <w:rFonts w:ascii="Arial" w:hAnsi="Arial" w:cs="Arial"/>
          <w:sz w:val="18"/>
          <w:szCs w:val="18"/>
          <w:lang w:eastAsia="en-GB"/>
        </w:rPr>
      </w:pPr>
    </w:p>
    <w:p w14:paraId="6B5969F2" w14:textId="77777777" w:rsidR="007C59E1" w:rsidRDefault="007C59E1" w:rsidP="007C59E1">
      <w:pPr>
        <w:autoSpaceDE w:val="0"/>
        <w:autoSpaceDN w:val="0"/>
        <w:adjustRightInd w:val="0"/>
        <w:spacing w:after="0" w:line="240" w:lineRule="auto"/>
        <w:rPr>
          <w:rFonts w:ascii="Arial" w:hAnsi="Arial" w:cs="Arial"/>
          <w:sz w:val="18"/>
          <w:szCs w:val="18"/>
          <w:lang w:eastAsia="en-GB"/>
        </w:rPr>
      </w:pPr>
      <w:r w:rsidRPr="00E908F5">
        <w:rPr>
          <w:rFonts w:ascii="Arial" w:hAnsi="Arial" w:cs="Arial"/>
          <w:sz w:val="18"/>
          <w:szCs w:val="18"/>
          <w:lang w:eastAsia="en-GB"/>
        </w:rPr>
        <w:t>The Directors</w:t>
      </w:r>
      <w:r>
        <w:rPr>
          <w:rFonts w:ascii="Arial" w:hAnsi="Arial" w:cs="Arial"/>
          <w:sz w:val="18"/>
          <w:szCs w:val="18"/>
          <w:lang w:eastAsia="en-GB"/>
        </w:rPr>
        <w:t xml:space="preserve">, </w:t>
      </w:r>
      <w:r w:rsidRPr="00E908F5">
        <w:rPr>
          <w:rFonts w:ascii="Arial" w:hAnsi="Arial" w:cs="Arial"/>
          <w:sz w:val="18"/>
          <w:szCs w:val="18"/>
          <w:lang w:eastAsia="en-GB"/>
        </w:rPr>
        <w:t>having made appropriate enquiries, consider that adequate resources exist for the Group to continue in operational existence for a period of at least 12 months from the date of approval of these financial statements and that, therefore, it is appropriate to adopt the going concern basis in preparing the consolidated financial statements as at and for period ended 2 July 2022</w:t>
      </w:r>
      <w:r>
        <w:rPr>
          <w:rFonts w:ascii="Arial" w:hAnsi="Arial" w:cs="Arial"/>
          <w:sz w:val="18"/>
          <w:szCs w:val="18"/>
          <w:lang w:eastAsia="en-GB"/>
        </w:rPr>
        <w:t xml:space="preserve">. </w:t>
      </w:r>
    </w:p>
    <w:p w14:paraId="548C2282" w14:textId="77777777" w:rsidR="007C59E1" w:rsidRPr="00A920E1" w:rsidRDefault="007C59E1" w:rsidP="00BB64F8">
      <w:pPr>
        <w:rPr>
          <w:b/>
          <w:bCs/>
        </w:rPr>
      </w:pPr>
    </w:p>
    <w:sectPr w:rsidR="007C59E1" w:rsidRPr="00A920E1" w:rsidSect="00514B73">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9DF7" w14:textId="77777777" w:rsidR="005F4617" w:rsidRDefault="005F4617" w:rsidP="00BD080E">
      <w:pPr>
        <w:spacing w:after="0" w:line="240" w:lineRule="auto"/>
      </w:pPr>
      <w:r>
        <w:separator/>
      </w:r>
    </w:p>
  </w:endnote>
  <w:endnote w:type="continuationSeparator" w:id="0">
    <w:p w14:paraId="5A572DEB" w14:textId="77777777" w:rsidR="005F4617" w:rsidRDefault="005F4617" w:rsidP="00BD080E">
      <w:pPr>
        <w:spacing w:after="0" w:line="240" w:lineRule="auto"/>
      </w:pPr>
      <w:r>
        <w:continuationSeparator/>
      </w:r>
    </w:p>
  </w:endnote>
  <w:endnote w:type="continuationNotice" w:id="1">
    <w:p w14:paraId="7C6EA344" w14:textId="77777777" w:rsidR="005F4617" w:rsidRDefault="005F4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r(--font-family)">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00000003" w:usb1="00000000" w:usb2="00000000" w:usb3="00000000" w:csb0="00000001" w:csb1="00000000"/>
  </w:font>
  <w:font w:name="Avenir Next Demi Bold">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EYInterstate">
    <w:altName w:val="Corbe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E41A" w14:textId="77777777" w:rsidR="00514B73" w:rsidRDefault="00514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CBE8" w14:textId="77777777" w:rsidR="00514B73" w:rsidRDefault="00514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6E8E" w14:textId="77777777" w:rsidR="00514B73" w:rsidRDefault="00514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23FA" w14:textId="77777777" w:rsidR="005F4617" w:rsidRDefault="005F4617" w:rsidP="00BD080E">
      <w:pPr>
        <w:spacing w:after="0" w:line="240" w:lineRule="auto"/>
      </w:pPr>
      <w:r>
        <w:separator/>
      </w:r>
    </w:p>
  </w:footnote>
  <w:footnote w:type="continuationSeparator" w:id="0">
    <w:p w14:paraId="049DE3CD" w14:textId="77777777" w:rsidR="005F4617" w:rsidRDefault="005F4617" w:rsidP="00BD080E">
      <w:pPr>
        <w:spacing w:after="0" w:line="240" w:lineRule="auto"/>
      </w:pPr>
      <w:r>
        <w:continuationSeparator/>
      </w:r>
    </w:p>
  </w:footnote>
  <w:footnote w:type="continuationNotice" w:id="1">
    <w:p w14:paraId="792818CB" w14:textId="77777777" w:rsidR="005F4617" w:rsidRDefault="005F46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4EC9" w14:textId="77777777" w:rsidR="00514B73" w:rsidRDefault="00514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BE4D" w14:textId="77777777" w:rsidR="00514B73" w:rsidRDefault="00514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8FC4" w14:textId="77777777" w:rsidR="00514B73" w:rsidRDefault="00514B73">
    <w:pPr>
      <w:pStyle w:val="Header"/>
    </w:pPr>
  </w:p>
</w:hdr>
</file>

<file path=word/intelligence2.xml><?xml version="1.0" encoding="utf-8"?>
<int2:intelligence xmlns:int2="http://schemas.microsoft.com/office/intelligence/2020/intelligence" xmlns:oel="http://schemas.microsoft.com/office/2019/extlst">
  <int2:observations>
    <int2:textHash int2:hashCode="EffW3JGs43wpMa" int2:id="0B6ttJIZ">
      <int2:state int2:value="Rejected" int2:type="LegacyProofing"/>
    </int2:textHash>
    <int2:textHash int2:hashCode="hN6B5b8f/AaH/i" int2:id="67r7gFdp">
      <int2:state int2:value="Rejected" int2:type="LegacyProofing"/>
    </int2:textHash>
    <int2:textHash int2:hashCode="dFRcRd4uiqPV16" int2:id="mGGbOWqX">
      <int2:state int2:value="Rejected" int2:type="LegacyProofing"/>
    </int2:textHash>
    <int2:textHash int2:hashCode="OrtZNwJC/JiGrS" int2:id="tXGsWQ7X">
      <int2:state int2:value="Rejected" int2:type="LegacyProofing"/>
    </int2:textHash>
    <int2:bookmark int2:bookmarkName="_Int_VVsQm4lR" int2:invalidationBookmarkName="" int2:hashCode="rdE8zhk+dRBUGd" int2:id="6f4l0uUI">
      <int2:state int2:value="Rejected" int2:type="LegacyProofing"/>
    </int2:bookmark>
    <int2:bookmark int2:bookmarkName="_Int_uy4TR6kq" int2:invalidationBookmarkName="" int2:hashCode="8o1V++vS+funEB" int2:id="aYAl2tR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BD193A"/>
    <w:multiLevelType w:val="hybridMultilevel"/>
    <w:tmpl w:val="9484085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03A37"/>
    <w:multiLevelType w:val="hybridMultilevel"/>
    <w:tmpl w:val="245E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F77E8"/>
    <w:multiLevelType w:val="hybridMultilevel"/>
    <w:tmpl w:val="9B7425C8"/>
    <w:styleLink w:val="ImportedStyle8"/>
    <w:lvl w:ilvl="0" w:tplc="AC14EA60">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C5AB73E">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6540570">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CEE2548">
      <w:start w:val="1"/>
      <w:numFmt w:val="bullet"/>
      <w:lvlText w:val="•"/>
      <w:lvlJc w:val="left"/>
      <w:pPr>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7EA9F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256520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6485A7C">
      <w:start w:val="1"/>
      <w:numFmt w:val="bullet"/>
      <w:lvlText w:val="•"/>
      <w:lvlJc w:val="left"/>
      <w:pPr>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F07D9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F0039F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B34007C"/>
    <w:multiLevelType w:val="hybridMultilevel"/>
    <w:tmpl w:val="A6FC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C2E84"/>
    <w:multiLevelType w:val="hybridMultilevel"/>
    <w:tmpl w:val="5CC42E76"/>
    <w:styleLink w:val="ImportedStyle9"/>
    <w:lvl w:ilvl="0" w:tplc="BF6068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E3E9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D2F7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52AA9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7042A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64D4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228F4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4E9D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8AD6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7C37C6"/>
    <w:multiLevelType w:val="hybridMultilevel"/>
    <w:tmpl w:val="7C1EEA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D408C4"/>
    <w:multiLevelType w:val="hybridMultilevel"/>
    <w:tmpl w:val="EDE2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67592"/>
    <w:multiLevelType w:val="hybridMultilevel"/>
    <w:tmpl w:val="4B706E80"/>
    <w:styleLink w:val="List21"/>
    <w:lvl w:ilvl="0" w:tplc="BE52ED44">
      <w:numFmt w:val="bullet"/>
      <w:lvlText w:val="•"/>
      <w:lvlJc w:val="left"/>
      <w:rPr>
        <w:rFonts w:ascii="Arial" w:eastAsia="Arial" w:hAnsi="Arial" w:cs="Arial"/>
        <w:position w:val="0"/>
      </w:rPr>
    </w:lvl>
    <w:lvl w:ilvl="1" w:tplc="DD76851C">
      <w:start w:val="1"/>
      <w:numFmt w:val="bullet"/>
      <w:lvlText w:val="o"/>
      <w:lvlJc w:val="left"/>
      <w:rPr>
        <w:rFonts w:ascii="Arial" w:eastAsia="Arial" w:hAnsi="Arial" w:cs="Arial"/>
        <w:position w:val="0"/>
      </w:rPr>
    </w:lvl>
    <w:lvl w:ilvl="2" w:tplc="098A53DE">
      <w:start w:val="1"/>
      <w:numFmt w:val="bullet"/>
      <w:lvlText w:val="▪"/>
      <w:lvlJc w:val="left"/>
      <w:rPr>
        <w:rFonts w:ascii="Arial" w:eastAsia="Arial" w:hAnsi="Arial" w:cs="Arial"/>
        <w:position w:val="0"/>
      </w:rPr>
    </w:lvl>
    <w:lvl w:ilvl="3" w:tplc="DD6C05B8">
      <w:start w:val="1"/>
      <w:numFmt w:val="bullet"/>
      <w:lvlText w:val="•"/>
      <w:lvlJc w:val="left"/>
      <w:rPr>
        <w:rFonts w:ascii="Arial" w:eastAsia="Arial" w:hAnsi="Arial" w:cs="Arial"/>
        <w:position w:val="0"/>
      </w:rPr>
    </w:lvl>
    <w:lvl w:ilvl="4" w:tplc="ACBAF5FC">
      <w:start w:val="1"/>
      <w:numFmt w:val="bullet"/>
      <w:lvlText w:val="o"/>
      <w:lvlJc w:val="left"/>
      <w:rPr>
        <w:rFonts w:ascii="Arial" w:eastAsia="Arial" w:hAnsi="Arial" w:cs="Arial"/>
        <w:position w:val="0"/>
      </w:rPr>
    </w:lvl>
    <w:lvl w:ilvl="5" w:tplc="72968224">
      <w:start w:val="1"/>
      <w:numFmt w:val="bullet"/>
      <w:lvlText w:val="▪"/>
      <w:lvlJc w:val="left"/>
      <w:rPr>
        <w:rFonts w:ascii="Arial" w:eastAsia="Arial" w:hAnsi="Arial" w:cs="Arial"/>
        <w:position w:val="0"/>
      </w:rPr>
    </w:lvl>
    <w:lvl w:ilvl="6" w:tplc="093A33DA">
      <w:start w:val="1"/>
      <w:numFmt w:val="bullet"/>
      <w:lvlText w:val="•"/>
      <w:lvlJc w:val="left"/>
      <w:rPr>
        <w:rFonts w:ascii="Arial" w:eastAsia="Arial" w:hAnsi="Arial" w:cs="Arial"/>
        <w:position w:val="0"/>
      </w:rPr>
    </w:lvl>
    <w:lvl w:ilvl="7" w:tplc="8D72C78A">
      <w:start w:val="1"/>
      <w:numFmt w:val="bullet"/>
      <w:lvlText w:val="o"/>
      <w:lvlJc w:val="left"/>
      <w:rPr>
        <w:rFonts w:ascii="Arial" w:eastAsia="Arial" w:hAnsi="Arial" w:cs="Arial"/>
        <w:position w:val="0"/>
      </w:rPr>
    </w:lvl>
    <w:lvl w:ilvl="8" w:tplc="98825718">
      <w:start w:val="1"/>
      <w:numFmt w:val="bullet"/>
      <w:lvlText w:val="▪"/>
      <w:lvlJc w:val="left"/>
      <w:rPr>
        <w:rFonts w:ascii="Arial" w:eastAsia="Arial" w:hAnsi="Arial" w:cs="Arial"/>
        <w:position w:val="0"/>
      </w:rPr>
    </w:lvl>
  </w:abstractNum>
  <w:abstractNum w:abstractNumId="8" w15:restartNumberingAfterBreak="0">
    <w:nsid w:val="1F7C051A"/>
    <w:multiLevelType w:val="hybridMultilevel"/>
    <w:tmpl w:val="0E202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32216"/>
    <w:multiLevelType w:val="hybridMultilevel"/>
    <w:tmpl w:val="E5963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A54A6"/>
    <w:multiLevelType w:val="hybridMultilevel"/>
    <w:tmpl w:val="34C6F0A2"/>
    <w:lvl w:ilvl="0" w:tplc="2B4A3A9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1D48F4"/>
    <w:multiLevelType w:val="hybridMultilevel"/>
    <w:tmpl w:val="132CFE36"/>
    <w:styleLink w:val="ImportedStyle6"/>
    <w:lvl w:ilvl="0" w:tplc="F6547D58">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1164B080">
      <w:start w:val="1"/>
      <w:numFmt w:val="bullet"/>
      <w:lvlText w:val="o"/>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931C29AA">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6065FE6">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56E28788">
      <w:start w:val="1"/>
      <w:numFmt w:val="bullet"/>
      <w:lvlText w:val="o"/>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0B760902">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204D51E">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853A6ABA">
      <w:start w:val="1"/>
      <w:numFmt w:val="bullet"/>
      <w:lvlText w:val="o"/>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E64EBBA4">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2EFD565E"/>
    <w:multiLevelType w:val="hybridMultilevel"/>
    <w:tmpl w:val="22C42834"/>
    <w:styleLink w:val="ImportedStyle10"/>
    <w:lvl w:ilvl="0" w:tplc="D774207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3082A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7656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883DF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5E0C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9078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EA4C7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A4F5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A6FD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244094"/>
    <w:multiLevelType w:val="hybridMultilevel"/>
    <w:tmpl w:val="405ED85C"/>
    <w:lvl w:ilvl="0" w:tplc="E4401600">
      <w:start w:val="1"/>
      <w:numFmt w:val="bullet"/>
      <w:lvlText w:val=""/>
      <w:lvlJc w:val="left"/>
      <w:pPr>
        <w:ind w:left="360" w:hanging="360"/>
      </w:pPr>
      <w:rPr>
        <w:rFonts w:ascii="Symbol" w:hAnsi="Symbol" w:hint="default"/>
        <w:color w:val="0D0D0D" w:themeColor="text1" w:themeTint="F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2E3131"/>
    <w:multiLevelType w:val="hybridMultilevel"/>
    <w:tmpl w:val="C672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E269A"/>
    <w:multiLevelType w:val="hybridMultilevel"/>
    <w:tmpl w:val="3F14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9759A"/>
    <w:multiLevelType w:val="multilevel"/>
    <w:tmpl w:val="24344870"/>
    <w:name w:val="AOGen2"/>
    <w:lvl w:ilvl="0">
      <w:start w:val="1"/>
      <w:numFmt w:val="decimal"/>
      <w:lvlRestart w:val="0"/>
      <w:pStyle w:val="AOGenNum2"/>
      <w:lvlText w:val="%1."/>
      <w:lvlJc w:val="left"/>
      <w:pPr>
        <w:tabs>
          <w:tab w:val="num" w:pos="720"/>
        </w:tabs>
        <w:ind w:left="720" w:hanging="720"/>
      </w:pPr>
      <w:rPr>
        <w:i w:val="0"/>
        <w:iCs w:val="0"/>
      </w:rPr>
    </w:lvl>
    <w:lvl w:ilvl="1">
      <w:start w:val="1"/>
      <w:numFmt w:val="decimal"/>
      <w:pStyle w:val="AOGenNum2Para"/>
      <w:lvlText w:val="%1.%2"/>
      <w:lvlJc w:val="left"/>
      <w:pPr>
        <w:tabs>
          <w:tab w:val="num" w:pos="720"/>
        </w:tabs>
        <w:ind w:left="720" w:hanging="720"/>
      </w:pPr>
      <w:rPr>
        <w:rFonts w:ascii="Times New Roman" w:hAnsi="Times New Roman" w:cs="Times New Roman" w:hint="default"/>
        <w:b w:val="0"/>
        <w:bCs w:val="0"/>
        <w:i w:val="0"/>
        <w:iCs w:val="0"/>
      </w:r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571"/>
        </w:tabs>
        <w:ind w:left="1571" w:hanging="720"/>
      </w:pPr>
      <w:rPr>
        <w:b w:val="0"/>
        <w:i w:val="0"/>
        <w:iCs/>
      </w:r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1800EE7"/>
    <w:multiLevelType w:val="hybridMultilevel"/>
    <w:tmpl w:val="E530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A45638"/>
    <w:multiLevelType w:val="hybridMultilevel"/>
    <w:tmpl w:val="2974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B4E3E"/>
    <w:multiLevelType w:val="multilevel"/>
    <w:tmpl w:val="790C5DBC"/>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15:restartNumberingAfterBreak="0">
    <w:nsid w:val="5290252A"/>
    <w:multiLevelType w:val="hybridMultilevel"/>
    <w:tmpl w:val="5FD0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216A09"/>
    <w:multiLevelType w:val="hybridMultilevel"/>
    <w:tmpl w:val="ADEE3150"/>
    <w:lvl w:ilvl="0" w:tplc="EB9C642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14D09"/>
    <w:multiLevelType w:val="hybridMultilevel"/>
    <w:tmpl w:val="1ADE2EC4"/>
    <w:lvl w:ilvl="0" w:tplc="0809000F">
      <w:start w:val="1"/>
      <w:numFmt w:val="decimal"/>
      <w:lvlText w:val="%1."/>
      <w:lvlJc w:val="left"/>
      <w:pPr>
        <w:ind w:left="720" w:hanging="360"/>
      </w:pPr>
      <w:rPr>
        <w:rFonts w:hint="default"/>
      </w:rPr>
    </w:lvl>
    <w:lvl w:ilvl="1" w:tplc="08090019" w:tentative="1">
      <w:start w:val="1"/>
      <w:numFmt w:val="lowerLetter"/>
      <w:pStyle w:val="AOAltHead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905B05"/>
    <w:multiLevelType w:val="hybridMultilevel"/>
    <w:tmpl w:val="25FCB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93F90"/>
    <w:multiLevelType w:val="hybridMultilevel"/>
    <w:tmpl w:val="869A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12BC4"/>
    <w:multiLevelType w:val="hybridMultilevel"/>
    <w:tmpl w:val="5F9425FE"/>
    <w:lvl w:ilvl="0" w:tplc="3B42B2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7E2185A"/>
    <w:multiLevelType w:val="hybridMultilevel"/>
    <w:tmpl w:val="5E321574"/>
    <w:lvl w:ilvl="0" w:tplc="231AEAE2">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E7F5B"/>
    <w:multiLevelType w:val="hybridMultilevel"/>
    <w:tmpl w:val="470AA584"/>
    <w:styleLink w:val="ImportedStyle11"/>
    <w:lvl w:ilvl="0" w:tplc="3348A180">
      <w:start w:val="1"/>
      <w:numFmt w:val="bullet"/>
      <w:lvlText w:val="•"/>
      <w:lvlJc w:val="left"/>
      <w:pPr>
        <w:tabs>
          <w:tab w:val="left" w:pos="1440"/>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78EC62">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2A1F0C">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E12F8">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928286">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FC450C">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E4B1E">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A447F6">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E4FC74">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DE774CD"/>
    <w:multiLevelType w:val="hybridMultilevel"/>
    <w:tmpl w:val="F28C8C7C"/>
    <w:lvl w:ilvl="0" w:tplc="124AEB4E">
      <w:start w:val="1"/>
      <w:numFmt w:val="bullet"/>
      <w:lvlText w:val=""/>
      <w:lvlJc w:val="left"/>
      <w:pPr>
        <w:ind w:left="360" w:hanging="360"/>
      </w:pPr>
      <w:rPr>
        <w:rFonts w:ascii="Symbol" w:hAnsi="Symbol" w:hint="default"/>
        <w:color w:val="0D0D0D" w:themeColor="text1" w:themeTint="F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07393F"/>
    <w:multiLevelType w:val="hybridMultilevel"/>
    <w:tmpl w:val="485A0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C6425E"/>
    <w:multiLevelType w:val="hybridMultilevel"/>
    <w:tmpl w:val="AF26D484"/>
    <w:styleLink w:val="ImportedStyle5"/>
    <w:lvl w:ilvl="0" w:tplc="65085AD4">
      <w:start w:val="1"/>
      <w:numFmt w:val="bullet"/>
      <w:lvlText w:val="-"/>
      <w:lvlJc w:val="left"/>
      <w:pPr>
        <w:tabs>
          <w:tab w:val="left" w:pos="540"/>
          <w:tab w:val="left" w:pos="5760"/>
          <w:tab w:val="left" w:pos="8520"/>
          <w:tab w:val="left" w:pos="8520"/>
          <w:tab w:val="left" w:pos="8520"/>
          <w:tab w:val="left" w:pos="8520"/>
          <w:tab w:val="left" w:pos="8520"/>
          <w:tab w:val="left" w:pos="8520"/>
          <w:tab w:val="left" w:pos="8520"/>
          <w:tab w:val="left" w:pos="8520"/>
          <w:tab w:val="left" w:pos="8520"/>
          <w:tab w:val="left" w:pos="8520"/>
          <w:tab w:val="left" w:pos="8520"/>
        </w:tabs>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E8C574C">
      <w:start w:val="1"/>
      <w:numFmt w:val="bullet"/>
      <w:lvlText w:val="o"/>
      <w:lvlJc w:val="left"/>
      <w:pPr>
        <w:tabs>
          <w:tab w:val="left" w:pos="540"/>
          <w:tab w:val="left" w:pos="5760"/>
          <w:tab w:val="left" w:pos="8520"/>
          <w:tab w:val="left" w:pos="8520"/>
          <w:tab w:val="left" w:pos="8520"/>
          <w:tab w:val="left" w:pos="8520"/>
          <w:tab w:val="left" w:pos="8520"/>
          <w:tab w:val="left" w:pos="8520"/>
          <w:tab w:val="left" w:pos="8520"/>
          <w:tab w:val="left" w:pos="8520"/>
          <w:tab w:val="left" w:pos="8520"/>
          <w:tab w:val="left" w:pos="8520"/>
          <w:tab w:val="left" w:pos="8520"/>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682EB7E">
      <w:start w:val="1"/>
      <w:numFmt w:val="bullet"/>
      <w:lvlText w:val="▪"/>
      <w:lvlJc w:val="left"/>
      <w:pPr>
        <w:tabs>
          <w:tab w:val="left" w:pos="540"/>
          <w:tab w:val="left" w:pos="5760"/>
          <w:tab w:val="left" w:pos="8520"/>
          <w:tab w:val="left" w:pos="8520"/>
          <w:tab w:val="left" w:pos="8520"/>
          <w:tab w:val="left" w:pos="8520"/>
          <w:tab w:val="left" w:pos="8520"/>
          <w:tab w:val="left" w:pos="8520"/>
          <w:tab w:val="left" w:pos="8520"/>
          <w:tab w:val="left" w:pos="8520"/>
          <w:tab w:val="left" w:pos="8520"/>
          <w:tab w:val="left" w:pos="8520"/>
          <w:tab w:val="left" w:pos="8520"/>
        </w:tabs>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E6A4C39A">
      <w:start w:val="1"/>
      <w:numFmt w:val="bullet"/>
      <w:lvlText w:val="•"/>
      <w:lvlJc w:val="left"/>
      <w:pPr>
        <w:tabs>
          <w:tab w:val="left" w:pos="540"/>
          <w:tab w:val="left" w:pos="5760"/>
          <w:tab w:val="left" w:pos="8520"/>
          <w:tab w:val="left" w:pos="8520"/>
          <w:tab w:val="left" w:pos="8520"/>
          <w:tab w:val="left" w:pos="8520"/>
          <w:tab w:val="left" w:pos="8520"/>
          <w:tab w:val="left" w:pos="8520"/>
          <w:tab w:val="left" w:pos="8520"/>
          <w:tab w:val="left" w:pos="8520"/>
          <w:tab w:val="left" w:pos="8520"/>
          <w:tab w:val="left" w:pos="8520"/>
          <w:tab w:val="left" w:pos="8520"/>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7526CE50">
      <w:start w:val="1"/>
      <w:numFmt w:val="bullet"/>
      <w:lvlText w:val="o"/>
      <w:lvlJc w:val="left"/>
      <w:pPr>
        <w:tabs>
          <w:tab w:val="left" w:pos="540"/>
          <w:tab w:val="left" w:pos="5760"/>
          <w:tab w:val="left" w:pos="8520"/>
          <w:tab w:val="left" w:pos="8520"/>
          <w:tab w:val="left" w:pos="8520"/>
          <w:tab w:val="left" w:pos="8520"/>
          <w:tab w:val="left" w:pos="8520"/>
          <w:tab w:val="left" w:pos="8520"/>
          <w:tab w:val="left" w:pos="8520"/>
          <w:tab w:val="left" w:pos="8520"/>
          <w:tab w:val="left" w:pos="8520"/>
          <w:tab w:val="left" w:pos="8520"/>
          <w:tab w:val="left" w:pos="8520"/>
        </w:tabs>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55449CB2">
      <w:start w:val="1"/>
      <w:numFmt w:val="bullet"/>
      <w:lvlText w:val="▪"/>
      <w:lvlJc w:val="left"/>
      <w:pPr>
        <w:tabs>
          <w:tab w:val="left" w:pos="540"/>
          <w:tab w:val="left" w:pos="5760"/>
          <w:tab w:val="left" w:pos="8520"/>
          <w:tab w:val="left" w:pos="8520"/>
          <w:tab w:val="left" w:pos="8520"/>
          <w:tab w:val="left" w:pos="8520"/>
          <w:tab w:val="left" w:pos="8520"/>
          <w:tab w:val="left" w:pos="8520"/>
          <w:tab w:val="left" w:pos="8520"/>
          <w:tab w:val="left" w:pos="8520"/>
          <w:tab w:val="left" w:pos="8520"/>
          <w:tab w:val="left" w:pos="8520"/>
          <w:tab w:val="left" w:pos="8520"/>
        </w:tabs>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45A5AC6">
      <w:start w:val="1"/>
      <w:numFmt w:val="bullet"/>
      <w:lvlText w:val="•"/>
      <w:lvlJc w:val="left"/>
      <w:pPr>
        <w:tabs>
          <w:tab w:val="left" w:pos="540"/>
          <w:tab w:val="left" w:pos="5760"/>
          <w:tab w:val="left" w:pos="8520"/>
          <w:tab w:val="left" w:pos="8520"/>
          <w:tab w:val="left" w:pos="8520"/>
          <w:tab w:val="left" w:pos="8520"/>
          <w:tab w:val="left" w:pos="8520"/>
          <w:tab w:val="left" w:pos="8520"/>
          <w:tab w:val="left" w:pos="8520"/>
          <w:tab w:val="left" w:pos="8520"/>
          <w:tab w:val="left" w:pos="8520"/>
          <w:tab w:val="left" w:pos="8520"/>
          <w:tab w:val="left" w:pos="8520"/>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DFD449C0">
      <w:start w:val="1"/>
      <w:numFmt w:val="bullet"/>
      <w:lvlText w:val="o"/>
      <w:lvlJc w:val="left"/>
      <w:pPr>
        <w:tabs>
          <w:tab w:val="left" w:pos="540"/>
          <w:tab w:val="left" w:pos="5760"/>
          <w:tab w:val="left" w:pos="8520"/>
          <w:tab w:val="left" w:pos="8520"/>
          <w:tab w:val="left" w:pos="8520"/>
          <w:tab w:val="left" w:pos="8520"/>
          <w:tab w:val="left" w:pos="8520"/>
          <w:tab w:val="left" w:pos="8520"/>
          <w:tab w:val="left" w:pos="8520"/>
          <w:tab w:val="left" w:pos="8520"/>
          <w:tab w:val="left" w:pos="8520"/>
          <w:tab w:val="left" w:pos="8520"/>
          <w:tab w:val="left" w:pos="8520"/>
        </w:tabs>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B24E0E40">
      <w:start w:val="1"/>
      <w:numFmt w:val="bullet"/>
      <w:lvlText w:val="▪"/>
      <w:lvlJc w:val="left"/>
      <w:pPr>
        <w:tabs>
          <w:tab w:val="left" w:pos="540"/>
          <w:tab w:val="left" w:pos="5760"/>
          <w:tab w:val="left" w:pos="8520"/>
          <w:tab w:val="left" w:pos="8520"/>
          <w:tab w:val="left" w:pos="8520"/>
          <w:tab w:val="left" w:pos="8520"/>
          <w:tab w:val="left" w:pos="8520"/>
          <w:tab w:val="left" w:pos="8520"/>
          <w:tab w:val="left" w:pos="8520"/>
          <w:tab w:val="left" w:pos="8520"/>
          <w:tab w:val="left" w:pos="8520"/>
          <w:tab w:val="left" w:pos="8520"/>
          <w:tab w:val="left" w:pos="8520"/>
        </w:tabs>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79284CF6"/>
    <w:multiLevelType w:val="hybridMultilevel"/>
    <w:tmpl w:val="970AEDEC"/>
    <w:lvl w:ilvl="0" w:tplc="FFFFFFFF">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D5D1C"/>
    <w:multiLevelType w:val="hybridMultilevel"/>
    <w:tmpl w:val="986859A0"/>
    <w:styleLink w:val="ImportedStyle7"/>
    <w:lvl w:ilvl="0" w:tplc="DDCECCE8">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E0AAC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866C0">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14EA4A">
      <w:start w:val="1"/>
      <w:numFmt w:val="bullet"/>
      <w:lvlText w:val="•"/>
      <w:lvlJc w:val="left"/>
      <w:pPr>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434CE8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6E2EEB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81C3DCE">
      <w:start w:val="1"/>
      <w:numFmt w:val="bullet"/>
      <w:lvlText w:val="•"/>
      <w:lvlJc w:val="left"/>
      <w:pPr>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3B816CA">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2B415D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7CBC007F"/>
    <w:multiLevelType w:val="hybridMultilevel"/>
    <w:tmpl w:val="57469F5E"/>
    <w:lvl w:ilvl="0" w:tplc="2B4A3A9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6"/>
  </w:num>
  <w:num w:numId="4">
    <w:abstractNumId w:val="30"/>
  </w:num>
  <w:num w:numId="5">
    <w:abstractNumId w:val="11"/>
  </w:num>
  <w:num w:numId="6">
    <w:abstractNumId w:val="32"/>
  </w:num>
  <w:num w:numId="7">
    <w:abstractNumId w:val="2"/>
  </w:num>
  <w:num w:numId="8">
    <w:abstractNumId w:val="22"/>
  </w:num>
  <w:num w:numId="9">
    <w:abstractNumId w:val="16"/>
  </w:num>
  <w:num w:numId="10">
    <w:abstractNumId w:val="19"/>
  </w:num>
  <w:num w:numId="11">
    <w:abstractNumId w:val="4"/>
  </w:num>
  <w:num w:numId="12">
    <w:abstractNumId w:val="12"/>
  </w:num>
  <w:num w:numId="13">
    <w:abstractNumId w:val="27"/>
  </w:num>
  <w:num w:numId="14">
    <w:abstractNumId w:val="7"/>
  </w:num>
  <w:num w:numId="15">
    <w:abstractNumId w:val="18"/>
  </w:num>
  <w:num w:numId="16">
    <w:abstractNumId w:val="25"/>
  </w:num>
  <w:num w:numId="17">
    <w:abstractNumId w:val="10"/>
  </w:num>
  <w:num w:numId="18">
    <w:abstractNumId w:val="33"/>
  </w:num>
  <w:num w:numId="19">
    <w:abstractNumId w:val="14"/>
  </w:num>
  <w:num w:numId="20">
    <w:abstractNumId w:val="21"/>
  </w:num>
  <w:num w:numId="21">
    <w:abstractNumId w:val="29"/>
  </w:num>
  <w:num w:numId="22">
    <w:abstractNumId w:val="13"/>
  </w:num>
  <w:num w:numId="23">
    <w:abstractNumId w:val="28"/>
  </w:num>
  <w:num w:numId="24">
    <w:abstractNumId w:val="5"/>
  </w:num>
  <w:num w:numId="25">
    <w:abstractNumId w:val="3"/>
  </w:num>
  <w:num w:numId="26">
    <w:abstractNumId w:val="31"/>
  </w:num>
  <w:num w:numId="27">
    <w:abstractNumId w:val="24"/>
  </w:num>
  <w:num w:numId="28">
    <w:abstractNumId w:val="9"/>
  </w:num>
  <w:num w:numId="29">
    <w:abstractNumId w:val="8"/>
  </w:num>
  <w:num w:numId="30">
    <w:abstractNumId w:val="23"/>
  </w:num>
  <w:num w:numId="31">
    <w:abstractNumId w:val="20"/>
  </w:num>
  <w:num w:numId="32">
    <w:abstractNumId w:val="17"/>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51"/>
    <w:rsid w:val="00000D14"/>
    <w:rsid w:val="00034083"/>
    <w:rsid w:val="00040C38"/>
    <w:rsid w:val="00043DAE"/>
    <w:rsid w:val="000576D2"/>
    <w:rsid w:val="000607DD"/>
    <w:rsid w:val="00081A34"/>
    <w:rsid w:val="00082D93"/>
    <w:rsid w:val="00093A0A"/>
    <w:rsid w:val="000B3547"/>
    <w:rsid w:val="000B5C9B"/>
    <w:rsid w:val="000C2100"/>
    <w:rsid w:val="000F4EDC"/>
    <w:rsid w:val="000F6133"/>
    <w:rsid w:val="00107217"/>
    <w:rsid w:val="00130B78"/>
    <w:rsid w:val="001346D5"/>
    <w:rsid w:val="001650D2"/>
    <w:rsid w:val="00166C15"/>
    <w:rsid w:val="0017261A"/>
    <w:rsid w:val="0019509C"/>
    <w:rsid w:val="001974B9"/>
    <w:rsid w:val="001B23C1"/>
    <w:rsid w:val="001E5BD2"/>
    <w:rsid w:val="001F1135"/>
    <w:rsid w:val="002038F4"/>
    <w:rsid w:val="00204DD9"/>
    <w:rsid w:val="0024227B"/>
    <w:rsid w:val="002623ED"/>
    <w:rsid w:val="002656DA"/>
    <w:rsid w:val="00280927"/>
    <w:rsid w:val="00297700"/>
    <w:rsid w:val="002B34AB"/>
    <w:rsid w:val="002C16AB"/>
    <w:rsid w:val="002E2BB5"/>
    <w:rsid w:val="002F3498"/>
    <w:rsid w:val="00331E26"/>
    <w:rsid w:val="00344225"/>
    <w:rsid w:val="00350905"/>
    <w:rsid w:val="00353FBF"/>
    <w:rsid w:val="00373440"/>
    <w:rsid w:val="00380E5F"/>
    <w:rsid w:val="00382A5D"/>
    <w:rsid w:val="00384C47"/>
    <w:rsid w:val="003860C9"/>
    <w:rsid w:val="0039507E"/>
    <w:rsid w:val="003B5D96"/>
    <w:rsid w:val="003C1535"/>
    <w:rsid w:val="003C2626"/>
    <w:rsid w:val="003D2917"/>
    <w:rsid w:val="003F0E15"/>
    <w:rsid w:val="003F1559"/>
    <w:rsid w:val="003F2390"/>
    <w:rsid w:val="0040332C"/>
    <w:rsid w:val="00403A23"/>
    <w:rsid w:val="0040647D"/>
    <w:rsid w:val="00415B22"/>
    <w:rsid w:val="00431EB9"/>
    <w:rsid w:val="00437D80"/>
    <w:rsid w:val="00454EA8"/>
    <w:rsid w:val="00460921"/>
    <w:rsid w:val="0046455B"/>
    <w:rsid w:val="00473879"/>
    <w:rsid w:val="004B758A"/>
    <w:rsid w:val="004C0C34"/>
    <w:rsid w:val="004C5BF7"/>
    <w:rsid w:val="004D5898"/>
    <w:rsid w:val="004E622C"/>
    <w:rsid w:val="00514B73"/>
    <w:rsid w:val="005320C5"/>
    <w:rsid w:val="00534FF5"/>
    <w:rsid w:val="0055577D"/>
    <w:rsid w:val="00562A7C"/>
    <w:rsid w:val="00564520"/>
    <w:rsid w:val="005666F2"/>
    <w:rsid w:val="005716DE"/>
    <w:rsid w:val="00577452"/>
    <w:rsid w:val="00583692"/>
    <w:rsid w:val="00597FD1"/>
    <w:rsid w:val="005A303B"/>
    <w:rsid w:val="005D22A5"/>
    <w:rsid w:val="005D370B"/>
    <w:rsid w:val="005D3EDC"/>
    <w:rsid w:val="005F4617"/>
    <w:rsid w:val="005F4F30"/>
    <w:rsid w:val="00605D66"/>
    <w:rsid w:val="0063605D"/>
    <w:rsid w:val="006457FA"/>
    <w:rsid w:val="00646C69"/>
    <w:rsid w:val="00662C8F"/>
    <w:rsid w:val="00663856"/>
    <w:rsid w:val="00680F51"/>
    <w:rsid w:val="006A5693"/>
    <w:rsid w:val="006B0650"/>
    <w:rsid w:val="006B072D"/>
    <w:rsid w:val="006B0941"/>
    <w:rsid w:val="006B2468"/>
    <w:rsid w:val="006B4852"/>
    <w:rsid w:val="006C41F2"/>
    <w:rsid w:val="006E20AC"/>
    <w:rsid w:val="006E7F9C"/>
    <w:rsid w:val="006F477E"/>
    <w:rsid w:val="006F66E1"/>
    <w:rsid w:val="007109DC"/>
    <w:rsid w:val="007346B4"/>
    <w:rsid w:val="007462FB"/>
    <w:rsid w:val="00777B4E"/>
    <w:rsid w:val="00785E7A"/>
    <w:rsid w:val="007C59E1"/>
    <w:rsid w:val="007C64FD"/>
    <w:rsid w:val="007D0891"/>
    <w:rsid w:val="007E11A7"/>
    <w:rsid w:val="007F4F79"/>
    <w:rsid w:val="008320B4"/>
    <w:rsid w:val="008408EE"/>
    <w:rsid w:val="008455FA"/>
    <w:rsid w:val="008469D8"/>
    <w:rsid w:val="00846BAA"/>
    <w:rsid w:val="0085062A"/>
    <w:rsid w:val="00887E0E"/>
    <w:rsid w:val="008C4883"/>
    <w:rsid w:val="008C77B6"/>
    <w:rsid w:val="008D227F"/>
    <w:rsid w:val="008D38E3"/>
    <w:rsid w:val="008D3ABD"/>
    <w:rsid w:val="008F4A3F"/>
    <w:rsid w:val="009044FB"/>
    <w:rsid w:val="00905196"/>
    <w:rsid w:val="00941D16"/>
    <w:rsid w:val="00945441"/>
    <w:rsid w:val="00954B15"/>
    <w:rsid w:val="00962207"/>
    <w:rsid w:val="0098037E"/>
    <w:rsid w:val="009940F0"/>
    <w:rsid w:val="0099422F"/>
    <w:rsid w:val="009B1228"/>
    <w:rsid w:val="009E386F"/>
    <w:rsid w:val="00A00078"/>
    <w:rsid w:val="00A01AC1"/>
    <w:rsid w:val="00A10307"/>
    <w:rsid w:val="00A14F67"/>
    <w:rsid w:val="00A33B96"/>
    <w:rsid w:val="00A36712"/>
    <w:rsid w:val="00A37F2C"/>
    <w:rsid w:val="00A42206"/>
    <w:rsid w:val="00A502B7"/>
    <w:rsid w:val="00A75277"/>
    <w:rsid w:val="00A76B4E"/>
    <w:rsid w:val="00A82A1B"/>
    <w:rsid w:val="00A90FDF"/>
    <w:rsid w:val="00A920E1"/>
    <w:rsid w:val="00A93C3F"/>
    <w:rsid w:val="00A9593E"/>
    <w:rsid w:val="00AB2269"/>
    <w:rsid w:val="00AC30B0"/>
    <w:rsid w:val="00AD1C11"/>
    <w:rsid w:val="00B071E2"/>
    <w:rsid w:val="00B26CCA"/>
    <w:rsid w:val="00B31605"/>
    <w:rsid w:val="00B31823"/>
    <w:rsid w:val="00B45CA4"/>
    <w:rsid w:val="00B57A59"/>
    <w:rsid w:val="00B85843"/>
    <w:rsid w:val="00B860D1"/>
    <w:rsid w:val="00B904E5"/>
    <w:rsid w:val="00B909D8"/>
    <w:rsid w:val="00BB4E02"/>
    <w:rsid w:val="00BB64F8"/>
    <w:rsid w:val="00BD080E"/>
    <w:rsid w:val="00BE663B"/>
    <w:rsid w:val="00C51D4F"/>
    <w:rsid w:val="00C5392A"/>
    <w:rsid w:val="00C60404"/>
    <w:rsid w:val="00C637FD"/>
    <w:rsid w:val="00C66B89"/>
    <w:rsid w:val="00C905C8"/>
    <w:rsid w:val="00C9468F"/>
    <w:rsid w:val="00CA0E46"/>
    <w:rsid w:val="00CB5063"/>
    <w:rsid w:val="00CC1F05"/>
    <w:rsid w:val="00CF6D56"/>
    <w:rsid w:val="00D0065D"/>
    <w:rsid w:val="00D23F97"/>
    <w:rsid w:val="00D311C4"/>
    <w:rsid w:val="00D336A4"/>
    <w:rsid w:val="00D34E80"/>
    <w:rsid w:val="00D35A38"/>
    <w:rsid w:val="00D4139B"/>
    <w:rsid w:val="00D41B2D"/>
    <w:rsid w:val="00D6154D"/>
    <w:rsid w:val="00D61B91"/>
    <w:rsid w:val="00D61C9D"/>
    <w:rsid w:val="00D74232"/>
    <w:rsid w:val="00D8292F"/>
    <w:rsid w:val="00D92813"/>
    <w:rsid w:val="00D9630F"/>
    <w:rsid w:val="00DD12F9"/>
    <w:rsid w:val="00DE25A2"/>
    <w:rsid w:val="00DE65DF"/>
    <w:rsid w:val="00DE7814"/>
    <w:rsid w:val="00E21A7D"/>
    <w:rsid w:val="00E36A97"/>
    <w:rsid w:val="00E42612"/>
    <w:rsid w:val="00E469A5"/>
    <w:rsid w:val="00E64C72"/>
    <w:rsid w:val="00EA13BA"/>
    <w:rsid w:val="00EC475F"/>
    <w:rsid w:val="00EE3DEB"/>
    <w:rsid w:val="00EF6BD2"/>
    <w:rsid w:val="00F043B2"/>
    <w:rsid w:val="00F06251"/>
    <w:rsid w:val="00F50391"/>
    <w:rsid w:val="00F5599C"/>
    <w:rsid w:val="00F5776C"/>
    <w:rsid w:val="00F74807"/>
    <w:rsid w:val="00FB096F"/>
    <w:rsid w:val="00FB1FBE"/>
    <w:rsid w:val="00FB3E6E"/>
    <w:rsid w:val="00FB776E"/>
    <w:rsid w:val="00FC261C"/>
    <w:rsid w:val="00FE41F1"/>
    <w:rsid w:val="00FF3CC2"/>
    <w:rsid w:val="00FF66DD"/>
    <w:rsid w:val="0DC25A60"/>
    <w:rsid w:val="115265D0"/>
    <w:rsid w:val="122A67E7"/>
    <w:rsid w:val="1E1F3B81"/>
    <w:rsid w:val="2BD563C7"/>
    <w:rsid w:val="485074DF"/>
    <w:rsid w:val="4A7CD848"/>
    <w:rsid w:val="4DF84109"/>
    <w:rsid w:val="5B95CECD"/>
    <w:rsid w:val="5EFB9E01"/>
    <w:rsid w:val="5FA2E021"/>
    <w:rsid w:val="63BCA35D"/>
    <w:rsid w:val="68901480"/>
    <w:rsid w:val="77FE2ADC"/>
    <w:rsid w:val="7C685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E4F725"/>
  <w15:chartTrackingRefBased/>
  <w15:docId w15:val="{E0384A73-7D92-416B-B39E-4E28435D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14B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1"/>
    <w:qFormat/>
    <w:rsid w:val="00514B73"/>
    <w:pPr>
      <w:widowControl w:val="0"/>
      <w:spacing w:before="69" w:after="0" w:line="240" w:lineRule="auto"/>
      <w:ind w:left="120"/>
      <w:outlineLvl w:val="1"/>
    </w:pPr>
    <w:rPr>
      <w:rFonts w:ascii="Arial" w:eastAsia="Arial" w:hAnsi="Arial" w:cs="Times New Roman"/>
      <w:b/>
      <w:bCs/>
      <w:sz w:val="24"/>
      <w:szCs w:val="24"/>
      <w:u w:val="single"/>
      <w:lang w:val="en-US"/>
    </w:rPr>
  </w:style>
  <w:style w:type="paragraph" w:styleId="Heading3">
    <w:name w:val="heading 3"/>
    <w:basedOn w:val="Normal"/>
    <w:link w:val="Heading3Char"/>
    <w:uiPriority w:val="1"/>
    <w:qFormat/>
    <w:rsid w:val="00514B73"/>
    <w:pPr>
      <w:spacing w:after="100" w:afterAutospacing="1" w:line="240" w:lineRule="auto"/>
      <w:outlineLvl w:val="2"/>
    </w:pPr>
    <w:rPr>
      <w:rFonts w:ascii="var(--font-family)" w:eastAsia="Times New Roman" w:hAnsi="var(--font-family)" w:cs="Times New Roman"/>
      <w:b/>
      <w:bCs/>
      <w:sz w:val="27"/>
      <w:szCs w:val="27"/>
      <w:lang w:eastAsia="en-GB"/>
    </w:rPr>
  </w:style>
  <w:style w:type="paragraph" w:styleId="Heading4">
    <w:name w:val="heading 4"/>
    <w:basedOn w:val="Normal"/>
    <w:link w:val="Heading4Char"/>
    <w:uiPriority w:val="1"/>
    <w:qFormat/>
    <w:rsid w:val="00514B73"/>
    <w:pPr>
      <w:widowControl w:val="0"/>
      <w:spacing w:after="0" w:line="240" w:lineRule="auto"/>
      <w:ind w:left="100"/>
      <w:outlineLvl w:val="3"/>
    </w:pPr>
    <w:rPr>
      <w:rFonts w:ascii="Arial" w:eastAsia="Arial" w:hAnsi="Arial"/>
      <w:b/>
      <w:bCs/>
      <w:sz w:val="24"/>
      <w:szCs w:val="24"/>
      <w:lang w:val="en-US"/>
    </w:rPr>
  </w:style>
  <w:style w:type="paragraph" w:styleId="Heading5">
    <w:name w:val="heading 5"/>
    <w:basedOn w:val="Normal"/>
    <w:link w:val="Heading5Char"/>
    <w:uiPriority w:val="1"/>
    <w:qFormat/>
    <w:rsid w:val="00514B73"/>
    <w:pPr>
      <w:widowControl w:val="0"/>
      <w:spacing w:after="0" w:line="240" w:lineRule="auto"/>
      <w:ind w:left="100"/>
      <w:outlineLvl w:val="4"/>
    </w:pPr>
    <w:rPr>
      <w:rFonts w:ascii="Arial" w:eastAsia="Arial" w:hAnsi="Arial"/>
      <w:b/>
      <w:bCs/>
      <w:i/>
      <w:sz w:val="24"/>
      <w:szCs w:val="24"/>
      <w:lang w:val="en-US"/>
    </w:rPr>
  </w:style>
  <w:style w:type="paragraph" w:styleId="Heading6">
    <w:name w:val="heading 6"/>
    <w:basedOn w:val="Normal"/>
    <w:link w:val="Heading6Char"/>
    <w:uiPriority w:val="1"/>
    <w:qFormat/>
    <w:rsid w:val="00514B73"/>
    <w:pPr>
      <w:widowControl w:val="0"/>
      <w:spacing w:after="0" w:line="240" w:lineRule="auto"/>
      <w:ind w:left="100"/>
      <w:outlineLvl w:val="5"/>
    </w:pPr>
    <w:rPr>
      <w:rFonts w:ascii="Arial" w:eastAsia="Arial" w:hAnsi="Arial"/>
      <w:sz w:val="24"/>
      <w:szCs w:val="24"/>
      <w:lang w:val="en-US"/>
    </w:rPr>
  </w:style>
  <w:style w:type="paragraph" w:styleId="Heading7">
    <w:name w:val="heading 7"/>
    <w:basedOn w:val="Normal"/>
    <w:link w:val="Heading7Char"/>
    <w:uiPriority w:val="1"/>
    <w:qFormat/>
    <w:rsid w:val="00514B73"/>
    <w:pPr>
      <w:widowControl w:val="0"/>
      <w:spacing w:after="0" w:line="240" w:lineRule="auto"/>
      <w:ind w:left="100"/>
      <w:outlineLvl w:val="6"/>
    </w:pPr>
    <w:rPr>
      <w:rFonts w:ascii="Arial" w:eastAsia="Arial" w:hAnsi="Arial"/>
      <w:b/>
      <w:bCs/>
      <w:lang w:val="en-US"/>
    </w:rPr>
  </w:style>
  <w:style w:type="paragraph" w:styleId="Heading8">
    <w:name w:val="heading 8"/>
    <w:basedOn w:val="Normal"/>
    <w:link w:val="Heading8Char"/>
    <w:uiPriority w:val="1"/>
    <w:qFormat/>
    <w:rsid w:val="00514B73"/>
    <w:pPr>
      <w:widowControl w:val="0"/>
      <w:spacing w:after="0" w:line="240" w:lineRule="auto"/>
      <w:ind w:left="100"/>
      <w:outlineLvl w:val="7"/>
    </w:pPr>
    <w:rPr>
      <w:rFonts w:ascii="Arial" w:eastAsia="Arial" w:hAnsi="Arial"/>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Colorful List - Accent 11,Bullet 1,List Paragraph12,Bullet Points,Bullet Style,MAIN CONTENT,OBC Bullet,F5 List Paragraph,Normal numbered,列出段落"/>
    <w:basedOn w:val="Normal"/>
    <w:link w:val="ListParagraphChar"/>
    <w:uiPriority w:val="34"/>
    <w:qFormat/>
    <w:rsid w:val="007C59E1"/>
    <w:pPr>
      <w:spacing w:after="200" w:line="276" w:lineRule="auto"/>
      <w:ind w:left="720"/>
      <w:contextualSpacing/>
    </w:pPr>
    <w:rPr>
      <w:rFonts w:ascii="Calibri" w:eastAsia="Calibri" w:hAnsi="Calibri" w:cs="Times New Roman"/>
    </w:rPr>
  </w:style>
  <w:style w:type="paragraph" w:customStyle="1" w:styleId="Default">
    <w:name w:val="Default"/>
    <w:rsid w:val="007C59E1"/>
    <w:pPr>
      <w:autoSpaceDE w:val="0"/>
      <w:autoSpaceDN w:val="0"/>
      <w:adjustRightInd w:val="0"/>
      <w:spacing w:after="0" w:line="240" w:lineRule="auto"/>
    </w:pPr>
    <w:rPr>
      <w:rFonts w:ascii="Tahoma" w:eastAsia="Calibri" w:hAnsi="Tahoma" w:cs="Tahoma"/>
      <w:color w:val="000000"/>
      <w:sz w:val="24"/>
      <w:szCs w:val="24"/>
    </w:rPr>
  </w:style>
  <w:style w:type="table" w:styleId="TableGrid">
    <w:name w:val="Table Grid"/>
    <w:basedOn w:val="TableNormal"/>
    <w:uiPriority w:val="59"/>
    <w:rsid w:val="007C59E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14B7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1"/>
    <w:rsid w:val="00514B73"/>
    <w:rPr>
      <w:rFonts w:ascii="Arial" w:eastAsia="Arial" w:hAnsi="Arial" w:cs="Times New Roman"/>
      <w:b/>
      <w:bCs/>
      <w:sz w:val="24"/>
      <w:szCs w:val="24"/>
      <w:u w:val="single"/>
      <w:lang w:val="en-US"/>
    </w:rPr>
  </w:style>
  <w:style w:type="character" w:customStyle="1" w:styleId="Heading3Char">
    <w:name w:val="Heading 3 Char"/>
    <w:basedOn w:val="DefaultParagraphFont"/>
    <w:link w:val="Heading3"/>
    <w:uiPriority w:val="1"/>
    <w:rsid w:val="00514B73"/>
    <w:rPr>
      <w:rFonts w:ascii="var(--font-family)" w:eastAsia="Times New Roman" w:hAnsi="var(--font-family)" w:cs="Times New Roman"/>
      <w:b/>
      <w:bCs/>
      <w:sz w:val="27"/>
      <w:szCs w:val="27"/>
      <w:lang w:eastAsia="en-GB"/>
    </w:rPr>
  </w:style>
  <w:style w:type="character" w:customStyle="1" w:styleId="Heading4Char">
    <w:name w:val="Heading 4 Char"/>
    <w:basedOn w:val="DefaultParagraphFont"/>
    <w:link w:val="Heading4"/>
    <w:uiPriority w:val="1"/>
    <w:rsid w:val="00514B73"/>
    <w:rPr>
      <w:rFonts w:ascii="Arial" w:eastAsia="Arial" w:hAnsi="Arial"/>
      <w:b/>
      <w:bCs/>
      <w:sz w:val="24"/>
      <w:szCs w:val="24"/>
      <w:lang w:val="en-US"/>
    </w:rPr>
  </w:style>
  <w:style w:type="character" w:customStyle="1" w:styleId="Heading5Char">
    <w:name w:val="Heading 5 Char"/>
    <w:basedOn w:val="DefaultParagraphFont"/>
    <w:link w:val="Heading5"/>
    <w:uiPriority w:val="1"/>
    <w:rsid w:val="00514B73"/>
    <w:rPr>
      <w:rFonts w:ascii="Arial" w:eastAsia="Arial" w:hAnsi="Arial"/>
      <w:b/>
      <w:bCs/>
      <w:i/>
      <w:sz w:val="24"/>
      <w:szCs w:val="24"/>
      <w:lang w:val="en-US"/>
    </w:rPr>
  </w:style>
  <w:style w:type="character" w:customStyle="1" w:styleId="Heading6Char">
    <w:name w:val="Heading 6 Char"/>
    <w:basedOn w:val="DefaultParagraphFont"/>
    <w:link w:val="Heading6"/>
    <w:uiPriority w:val="1"/>
    <w:rsid w:val="00514B73"/>
    <w:rPr>
      <w:rFonts w:ascii="Arial" w:eastAsia="Arial" w:hAnsi="Arial"/>
      <w:sz w:val="24"/>
      <w:szCs w:val="24"/>
      <w:lang w:val="en-US"/>
    </w:rPr>
  </w:style>
  <w:style w:type="character" w:customStyle="1" w:styleId="Heading7Char">
    <w:name w:val="Heading 7 Char"/>
    <w:basedOn w:val="DefaultParagraphFont"/>
    <w:link w:val="Heading7"/>
    <w:uiPriority w:val="1"/>
    <w:rsid w:val="00514B73"/>
    <w:rPr>
      <w:rFonts w:ascii="Arial" w:eastAsia="Arial" w:hAnsi="Arial"/>
      <w:b/>
      <w:bCs/>
      <w:lang w:val="en-US"/>
    </w:rPr>
  </w:style>
  <w:style w:type="character" w:customStyle="1" w:styleId="Heading8Char">
    <w:name w:val="Heading 8 Char"/>
    <w:basedOn w:val="DefaultParagraphFont"/>
    <w:link w:val="Heading8"/>
    <w:uiPriority w:val="1"/>
    <w:rsid w:val="00514B73"/>
    <w:rPr>
      <w:rFonts w:ascii="Arial" w:eastAsia="Arial" w:hAnsi="Arial"/>
      <w:b/>
      <w:bCs/>
      <w:i/>
      <w:lang w:val="en-US"/>
    </w:rPr>
  </w:style>
  <w:style w:type="character" w:styleId="Hyperlink">
    <w:name w:val="Hyperlink"/>
    <w:basedOn w:val="DefaultParagraphFont"/>
    <w:uiPriority w:val="99"/>
    <w:unhideWhenUsed/>
    <w:rsid w:val="00514B73"/>
    <w:rPr>
      <w:color w:val="0563C1" w:themeColor="hyperlink"/>
      <w:u w:val="single"/>
    </w:rPr>
  </w:style>
  <w:style w:type="character" w:styleId="UnresolvedMention">
    <w:name w:val="Unresolved Mention"/>
    <w:basedOn w:val="DefaultParagraphFont"/>
    <w:uiPriority w:val="99"/>
    <w:unhideWhenUsed/>
    <w:rsid w:val="00514B73"/>
    <w:rPr>
      <w:color w:val="605E5C"/>
      <w:shd w:val="clear" w:color="auto" w:fill="E1DFDD"/>
    </w:rPr>
  </w:style>
  <w:style w:type="paragraph" w:styleId="BalloonText">
    <w:name w:val="Balloon Text"/>
    <w:basedOn w:val="Normal"/>
    <w:link w:val="BalloonTextChar"/>
    <w:uiPriority w:val="99"/>
    <w:semiHidden/>
    <w:unhideWhenUsed/>
    <w:rsid w:val="00514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B73"/>
    <w:rPr>
      <w:rFonts w:ascii="Segoe UI" w:hAnsi="Segoe UI" w:cs="Segoe UI"/>
      <w:sz w:val="18"/>
      <w:szCs w:val="18"/>
    </w:rPr>
  </w:style>
  <w:style w:type="character" w:styleId="FollowedHyperlink">
    <w:name w:val="FollowedHyperlink"/>
    <w:basedOn w:val="DefaultParagraphFont"/>
    <w:uiPriority w:val="99"/>
    <w:semiHidden/>
    <w:unhideWhenUsed/>
    <w:rsid w:val="00514B73"/>
    <w:rPr>
      <w:color w:val="954F72" w:themeColor="followedHyperlink"/>
      <w:u w:val="single"/>
    </w:rPr>
  </w:style>
  <w:style w:type="paragraph" w:styleId="NormalWeb">
    <w:name w:val="Normal (Web)"/>
    <w:basedOn w:val="Normal"/>
    <w:uiPriority w:val="99"/>
    <w:unhideWhenUsed/>
    <w:rsid w:val="00514B73"/>
    <w:rPr>
      <w:rFonts w:ascii="Times New Roman" w:hAnsi="Times New Roman" w:cs="Times New Roman"/>
      <w:sz w:val="24"/>
      <w:szCs w:val="24"/>
    </w:rPr>
  </w:style>
  <w:style w:type="paragraph" w:styleId="Header">
    <w:name w:val="header"/>
    <w:basedOn w:val="Normal"/>
    <w:link w:val="HeaderChar"/>
    <w:uiPriority w:val="99"/>
    <w:unhideWhenUsed/>
    <w:rsid w:val="00514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B73"/>
  </w:style>
  <w:style w:type="paragraph" w:styleId="Footer">
    <w:name w:val="footer"/>
    <w:basedOn w:val="Normal"/>
    <w:link w:val="FooterChar"/>
    <w:uiPriority w:val="99"/>
    <w:unhideWhenUsed/>
    <w:rsid w:val="00514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B73"/>
  </w:style>
  <w:style w:type="character" w:customStyle="1" w:styleId="ListParagraphChar">
    <w:name w:val="List Paragraph Char"/>
    <w:aliases w:val="Dot pt Char,No Spacing1 Char,List Paragraph Char Char Char Char,Indicator Text Char,List Paragraph1 Char,Numbered Para 1 Char,Colorful List - Accent 11 Char,Bullet 1 Char,List Paragraph12 Char,Bullet Points Char,Bullet Style Char"/>
    <w:basedOn w:val="DefaultParagraphFont"/>
    <w:link w:val="ListParagraph"/>
    <w:uiPriority w:val="34"/>
    <w:locked/>
    <w:rsid w:val="00514B73"/>
    <w:rPr>
      <w:rFonts w:ascii="Calibri" w:eastAsia="Calibri" w:hAnsi="Calibri" w:cs="Times New Roman"/>
    </w:rPr>
  </w:style>
  <w:style w:type="character" w:styleId="CommentReference">
    <w:name w:val="annotation reference"/>
    <w:basedOn w:val="DefaultParagraphFont"/>
    <w:uiPriority w:val="99"/>
    <w:semiHidden/>
    <w:unhideWhenUsed/>
    <w:rsid w:val="00514B73"/>
    <w:rPr>
      <w:sz w:val="16"/>
      <w:szCs w:val="16"/>
    </w:rPr>
  </w:style>
  <w:style w:type="paragraph" w:styleId="CommentText">
    <w:name w:val="annotation text"/>
    <w:basedOn w:val="Normal"/>
    <w:link w:val="CommentTextChar"/>
    <w:uiPriority w:val="99"/>
    <w:unhideWhenUsed/>
    <w:rsid w:val="00514B73"/>
    <w:pPr>
      <w:spacing w:line="240" w:lineRule="auto"/>
    </w:pPr>
    <w:rPr>
      <w:sz w:val="20"/>
      <w:szCs w:val="20"/>
    </w:rPr>
  </w:style>
  <w:style w:type="character" w:customStyle="1" w:styleId="CommentTextChar">
    <w:name w:val="Comment Text Char"/>
    <w:basedOn w:val="DefaultParagraphFont"/>
    <w:link w:val="CommentText"/>
    <w:uiPriority w:val="99"/>
    <w:rsid w:val="00514B73"/>
    <w:rPr>
      <w:sz w:val="20"/>
      <w:szCs w:val="20"/>
    </w:rPr>
  </w:style>
  <w:style w:type="paragraph" w:styleId="CommentSubject">
    <w:name w:val="annotation subject"/>
    <w:basedOn w:val="CommentText"/>
    <w:next w:val="CommentText"/>
    <w:link w:val="CommentSubjectChar"/>
    <w:uiPriority w:val="99"/>
    <w:semiHidden/>
    <w:unhideWhenUsed/>
    <w:rsid w:val="00514B73"/>
    <w:rPr>
      <w:b/>
      <w:bCs/>
    </w:rPr>
  </w:style>
  <w:style w:type="character" w:customStyle="1" w:styleId="CommentSubjectChar">
    <w:name w:val="Comment Subject Char"/>
    <w:basedOn w:val="CommentTextChar"/>
    <w:link w:val="CommentSubject"/>
    <w:uiPriority w:val="99"/>
    <w:semiHidden/>
    <w:rsid w:val="00514B73"/>
    <w:rPr>
      <w:b/>
      <w:bCs/>
      <w:sz w:val="20"/>
      <w:szCs w:val="20"/>
    </w:rPr>
  </w:style>
  <w:style w:type="paragraph" w:styleId="Revision">
    <w:name w:val="Revision"/>
    <w:hidden/>
    <w:uiPriority w:val="99"/>
    <w:semiHidden/>
    <w:rsid w:val="00514B73"/>
    <w:pPr>
      <w:spacing w:after="0" w:line="240" w:lineRule="auto"/>
    </w:pPr>
  </w:style>
  <w:style w:type="character" w:styleId="Mention">
    <w:name w:val="Mention"/>
    <w:basedOn w:val="DefaultParagraphFont"/>
    <w:uiPriority w:val="99"/>
    <w:unhideWhenUsed/>
    <w:rsid w:val="00514B73"/>
    <w:rPr>
      <w:color w:val="2B579A"/>
      <w:shd w:val="clear" w:color="auto" w:fill="E6E6E6"/>
    </w:rPr>
  </w:style>
  <w:style w:type="paragraph" w:customStyle="1" w:styleId="paragraph">
    <w:name w:val="paragraph"/>
    <w:basedOn w:val="Normal"/>
    <w:rsid w:val="00514B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4B73"/>
  </w:style>
  <w:style w:type="character" w:customStyle="1" w:styleId="eop">
    <w:name w:val="eop"/>
    <w:basedOn w:val="DefaultParagraphFont"/>
    <w:rsid w:val="00514B73"/>
  </w:style>
  <w:style w:type="paragraph" w:styleId="NoSpacing">
    <w:name w:val="No Spacing"/>
    <w:uiPriority w:val="1"/>
    <w:qFormat/>
    <w:rsid w:val="00514B73"/>
    <w:pPr>
      <w:spacing w:after="0" w:line="240" w:lineRule="auto"/>
    </w:pPr>
  </w:style>
  <w:style w:type="character" w:customStyle="1" w:styleId="nowrap">
    <w:name w:val="nowrap"/>
    <w:basedOn w:val="DefaultParagraphFont"/>
    <w:rsid w:val="00514B73"/>
  </w:style>
  <w:style w:type="paragraph" w:styleId="PlainText">
    <w:name w:val="Plain Text"/>
    <w:basedOn w:val="Normal"/>
    <w:link w:val="PlainTextChar"/>
    <w:uiPriority w:val="99"/>
    <w:unhideWhenUsed/>
    <w:rsid w:val="00514B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14B73"/>
    <w:rPr>
      <w:rFonts w:ascii="Calibri" w:hAnsi="Calibri"/>
      <w:szCs w:val="21"/>
    </w:rPr>
  </w:style>
  <w:style w:type="character" w:customStyle="1" w:styleId="e24kjd">
    <w:name w:val="e24kjd"/>
    <w:basedOn w:val="DefaultParagraphFont"/>
    <w:rsid w:val="00514B73"/>
  </w:style>
  <w:style w:type="character" w:customStyle="1" w:styleId="legds2">
    <w:name w:val="legds2"/>
    <w:basedOn w:val="DefaultParagraphFont"/>
    <w:rsid w:val="00514B73"/>
    <w:rPr>
      <w:vanish w:val="0"/>
      <w:webHidden w:val="0"/>
      <w:specVanish w:val="0"/>
    </w:rPr>
  </w:style>
  <w:style w:type="paragraph" w:customStyle="1" w:styleId="legclearfix2">
    <w:name w:val="legclearfix2"/>
    <w:basedOn w:val="Normal"/>
    <w:rsid w:val="00514B7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st1">
    <w:name w:val="st1"/>
    <w:basedOn w:val="DefaultParagraphFont"/>
    <w:rsid w:val="00514B73"/>
  </w:style>
  <w:style w:type="table" w:customStyle="1" w:styleId="TableGrid1">
    <w:name w:val="Table Grid1"/>
    <w:basedOn w:val="TableNormal"/>
    <w:next w:val="TableGrid"/>
    <w:uiPriority w:val="39"/>
    <w:rsid w:val="00514B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14B73"/>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apple-converted-space">
    <w:name w:val="apple-converted-space"/>
    <w:rsid w:val="00514B73"/>
  </w:style>
  <w:style w:type="table" w:customStyle="1" w:styleId="PlainTable21">
    <w:name w:val="Plain Table 21"/>
    <w:basedOn w:val="TableNormal"/>
    <w:uiPriority w:val="42"/>
    <w:rsid w:val="00514B73"/>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odyTextChar">
    <w:name w:val="Body Text Char"/>
    <w:link w:val="BodyText"/>
    <w:uiPriority w:val="1"/>
    <w:rsid w:val="00514B73"/>
    <w:rPr>
      <w:rFonts w:ascii="Arial" w:eastAsia="Arial" w:hAnsi="Arial"/>
      <w:sz w:val="24"/>
      <w:szCs w:val="24"/>
      <w:lang w:val="en-US"/>
    </w:rPr>
  </w:style>
  <w:style w:type="paragraph" w:styleId="BodyText">
    <w:name w:val="Body Text"/>
    <w:basedOn w:val="Normal"/>
    <w:link w:val="BodyTextChar"/>
    <w:uiPriority w:val="1"/>
    <w:qFormat/>
    <w:rsid w:val="00514B73"/>
    <w:pPr>
      <w:widowControl w:val="0"/>
      <w:spacing w:after="0" w:line="240" w:lineRule="auto"/>
      <w:ind w:left="120"/>
    </w:pPr>
    <w:rPr>
      <w:rFonts w:ascii="Arial" w:eastAsia="Arial" w:hAnsi="Arial"/>
      <w:sz w:val="24"/>
      <w:szCs w:val="24"/>
      <w:lang w:val="en-US"/>
    </w:rPr>
  </w:style>
  <w:style w:type="character" w:customStyle="1" w:styleId="BodyTextChar1">
    <w:name w:val="Body Text Char1"/>
    <w:basedOn w:val="DefaultParagraphFont"/>
    <w:uiPriority w:val="99"/>
    <w:semiHidden/>
    <w:rsid w:val="00514B73"/>
  </w:style>
  <w:style w:type="paragraph" w:customStyle="1" w:styleId="DefaultText">
    <w:name w:val="Default Text"/>
    <w:rsid w:val="00514B73"/>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5">
    <w:name w:val="Imported Style 5"/>
    <w:rsid w:val="00514B73"/>
    <w:pPr>
      <w:numPr>
        <w:numId w:val="4"/>
      </w:numPr>
    </w:pPr>
  </w:style>
  <w:style w:type="numbering" w:customStyle="1" w:styleId="ImportedStyle6">
    <w:name w:val="Imported Style 6"/>
    <w:rsid w:val="00514B73"/>
    <w:pPr>
      <w:numPr>
        <w:numId w:val="5"/>
      </w:numPr>
    </w:pPr>
  </w:style>
  <w:style w:type="character" w:customStyle="1" w:styleId="Hyperlink0">
    <w:name w:val="Hyperlink.0"/>
    <w:rsid w:val="00514B73"/>
    <w:rPr>
      <w:rFonts w:ascii="Calibri" w:eastAsia="Calibri" w:hAnsi="Calibri" w:cs="Calibri"/>
      <w:color w:val="0563C1"/>
      <w:u w:val="single" w:color="0563C1"/>
    </w:rPr>
  </w:style>
  <w:style w:type="numbering" w:customStyle="1" w:styleId="ImportedStyle7">
    <w:name w:val="Imported Style 7"/>
    <w:rsid w:val="00514B73"/>
    <w:pPr>
      <w:numPr>
        <w:numId w:val="6"/>
      </w:numPr>
    </w:pPr>
  </w:style>
  <w:style w:type="numbering" w:customStyle="1" w:styleId="ImportedStyle8">
    <w:name w:val="Imported Style 8"/>
    <w:rsid w:val="00514B73"/>
    <w:pPr>
      <w:numPr>
        <w:numId w:val="7"/>
      </w:numPr>
    </w:pPr>
  </w:style>
  <w:style w:type="paragraph" w:customStyle="1" w:styleId="AOAltHead2">
    <w:name w:val="AOAltHead2"/>
    <w:basedOn w:val="Normal"/>
    <w:next w:val="Normal"/>
    <w:rsid w:val="00514B73"/>
    <w:pPr>
      <w:numPr>
        <w:ilvl w:val="1"/>
        <w:numId w:val="8"/>
      </w:numPr>
      <w:spacing w:before="240" w:after="0" w:line="260" w:lineRule="atLeast"/>
      <w:jc w:val="both"/>
      <w:outlineLvl w:val="1"/>
    </w:pPr>
    <w:rPr>
      <w:rFonts w:ascii="Times New Roman" w:eastAsia="Calibri" w:hAnsi="Times New Roman" w:cs="Times New Roman"/>
    </w:rPr>
  </w:style>
  <w:style w:type="character" w:styleId="Emphasis">
    <w:name w:val="Emphasis"/>
    <w:uiPriority w:val="20"/>
    <w:qFormat/>
    <w:rsid w:val="00514B73"/>
    <w:rPr>
      <w:i/>
      <w:iCs/>
    </w:rPr>
  </w:style>
  <w:style w:type="paragraph" w:styleId="FootnoteText">
    <w:name w:val="footnote text"/>
    <w:basedOn w:val="Normal"/>
    <w:link w:val="FootnoteTextChar"/>
    <w:uiPriority w:val="99"/>
    <w:unhideWhenUsed/>
    <w:rsid w:val="00514B7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14B73"/>
    <w:rPr>
      <w:rFonts w:ascii="Calibri" w:eastAsia="Calibri" w:hAnsi="Calibri" w:cs="Times New Roman"/>
      <w:sz w:val="20"/>
      <w:szCs w:val="20"/>
    </w:rPr>
  </w:style>
  <w:style w:type="character" w:styleId="FootnoteReference">
    <w:name w:val="footnote reference"/>
    <w:uiPriority w:val="99"/>
    <w:semiHidden/>
    <w:unhideWhenUsed/>
    <w:rsid w:val="00514B73"/>
    <w:rPr>
      <w:vertAlign w:val="superscript"/>
    </w:rPr>
  </w:style>
  <w:style w:type="paragraph" w:customStyle="1" w:styleId="AODocTxtL1">
    <w:name w:val="AODocTxtL1"/>
    <w:basedOn w:val="Normal"/>
    <w:rsid w:val="00514B73"/>
    <w:pPr>
      <w:spacing w:before="240" w:after="0" w:line="260" w:lineRule="atLeast"/>
      <w:ind w:left="720"/>
      <w:jc w:val="both"/>
    </w:pPr>
    <w:rPr>
      <w:rFonts w:ascii="Times New Roman" w:eastAsia="Calibri" w:hAnsi="Times New Roman" w:cs="Times New Roman"/>
    </w:rPr>
  </w:style>
  <w:style w:type="paragraph" w:customStyle="1" w:styleId="AOGenNum2">
    <w:name w:val="AOGenNum2"/>
    <w:basedOn w:val="Normal"/>
    <w:next w:val="AOGenNum2Para"/>
    <w:rsid w:val="00514B73"/>
    <w:pPr>
      <w:keepNext/>
      <w:numPr>
        <w:numId w:val="9"/>
      </w:numPr>
      <w:spacing w:before="240" w:after="0" w:line="260" w:lineRule="atLeast"/>
      <w:jc w:val="both"/>
    </w:pPr>
    <w:rPr>
      <w:rFonts w:ascii="Times New Roman" w:eastAsia="Calibri" w:hAnsi="Times New Roman" w:cs="Times New Roman"/>
      <w:b/>
    </w:rPr>
  </w:style>
  <w:style w:type="paragraph" w:customStyle="1" w:styleId="AOGenNum2List">
    <w:name w:val="AOGenNum2List"/>
    <w:basedOn w:val="AOGenNum2"/>
    <w:rsid w:val="00514B73"/>
    <w:pPr>
      <w:keepNext w:val="0"/>
      <w:numPr>
        <w:ilvl w:val="2"/>
      </w:numPr>
    </w:pPr>
    <w:rPr>
      <w:b w:val="0"/>
    </w:rPr>
  </w:style>
  <w:style w:type="paragraph" w:customStyle="1" w:styleId="AOGenNum2Para">
    <w:name w:val="AOGenNum2Para"/>
    <w:basedOn w:val="AOGenNum2"/>
    <w:next w:val="AOGenNum2List"/>
    <w:rsid w:val="00514B73"/>
    <w:pPr>
      <w:keepNext w:val="0"/>
      <w:numPr>
        <w:ilvl w:val="1"/>
      </w:numPr>
    </w:pPr>
    <w:rPr>
      <w:b w:val="0"/>
    </w:rPr>
  </w:style>
  <w:style w:type="paragraph" w:customStyle="1" w:styleId="House1">
    <w:name w:val="House 1"/>
    <w:basedOn w:val="Normal"/>
    <w:rsid w:val="00514B73"/>
    <w:pPr>
      <w:tabs>
        <w:tab w:val="left" w:pos="720"/>
      </w:tabs>
      <w:suppressAutoHyphens/>
      <w:spacing w:after="240" w:line="240" w:lineRule="auto"/>
      <w:ind w:left="720" w:hanging="720"/>
      <w:jc w:val="both"/>
    </w:pPr>
    <w:rPr>
      <w:rFonts w:ascii="Times New Roman" w:eastAsia="Times New Roman" w:hAnsi="Times New Roman" w:cs="Times New Roman"/>
      <w:lang w:eastAsia="ar-SA"/>
    </w:rPr>
  </w:style>
  <w:style w:type="paragraph" w:customStyle="1" w:styleId="AODocTxt">
    <w:name w:val="AODocTxt"/>
    <w:basedOn w:val="Normal"/>
    <w:rsid w:val="00514B73"/>
    <w:pPr>
      <w:spacing w:before="240" w:after="0" w:line="260" w:lineRule="atLeast"/>
      <w:jc w:val="both"/>
    </w:pPr>
    <w:rPr>
      <w:rFonts w:ascii="Times New Roman" w:eastAsia="Calibri" w:hAnsi="Times New Roman" w:cs="Times New Roman"/>
    </w:rPr>
  </w:style>
  <w:style w:type="paragraph" w:customStyle="1" w:styleId="AOAltHead1">
    <w:name w:val="AOAltHead1"/>
    <w:basedOn w:val="Normal"/>
    <w:next w:val="AODocTxtL1"/>
    <w:rsid w:val="00514B73"/>
    <w:pPr>
      <w:spacing w:before="240" w:after="0" w:line="260" w:lineRule="atLeast"/>
      <w:ind w:left="360" w:hanging="360"/>
      <w:jc w:val="both"/>
      <w:outlineLvl w:val="0"/>
    </w:pPr>
    <w:rPr>
      <w:rFonts w:ascii="Times New Roman" w:eastAsia="Calibri" w:hAnsi="Times New Roman" w:cs="Times New Roman"/>
      <w:kern w:val="28"/>
    </w:rPr>
  </w:style>
  <w:style w:type="paragraph" w:customStyle="1" w:styleId="AOHead1">
    <w:name w:val="AOHead1"/>
    <w:basedOn w:val="Normal"/>
    <w:next w:val="Normal"/>
    <w:rsid w:val="00514B73"/>
    <w:pPr>
      <w:keepNext/>
      <w:numPr>
        <w:numId w:val="10"/>
      </w:numPr>
      <w:spacing w:before="240" w:after="0" w:line="260" w:lineRule="atLeast"/>
      <w:jc w:val="both"/>
      <w:outlineLvl w:val="0"/>
    </w:pPr>
    <w:rPr>
      <w:rFonts w:ascii="Times New Roman" w:eastAsia="Calibri" w:hAnsi="Times New Roman" w:cs="Times New Roman"/>
      <w:b/>
      <w:caps/>
      <w:kern w:val="28"/>
    </w:rPr>
  </w:style>
  <w:style w:type="paragraph" w:customStyle="1" w:styleId="AOHead2">
    <w:name w:val="AOHead2"/>
    <w:basedOn w:val="Normal"/>
    <w:next w:val="Normal"/>
    <w:rsid w:val="00514B73"/>
    <w:pPr>
      <w:keepNext/>
      <w:numPr>
        <w:ilvl w:val="1"/>
        <w:numId w:val="10"/>
      </w:numPr>
      <w:spacing w:before="240" w:after="0" w:line="260" w:lineRule="atLeast"/>
      <w:jc w:val="both"/>
      <w:outlineLvl w:val="1"/>
    </w:pPr>
    <w:rPr>
      <w:rFonts w:ascii="Times New Roman" w:eastAsia="Calibri" w:hAnsi="Times New Roman" w:cs="Times New Roman"/>
      <w:b/>
    </w:rPr>
  </w:style>
  <w:style w:type="paragraph" w:customStyle="1" w:styleId="AOHead4">
    <w:name w:val="AOHead4"/>
    <w:basedOn w:val="Normal"/>
    <w:next w:val="Normal"/>
    <w:rsid w:val="00514B73"/>
    <w:pPr>
      <w:numPr>
        <w:ilvl w:val="3"/>
        <w:numId w:val="10"/>
      </w:numPr>
      <w:spacing w:before="240" w:after="0" w:line="260" w:lineRule="atLeast"/>
      <w:jc w:val="both"/>
      <w:outlineLvl w:val="3"/>
    </w:pPr>
    <w:rPr>
      <w:rFonts w:ascii="Times New Roman" w:eastAsia="Calibri" w:hAnsi="Times New Roman" w:cs="Times New Roman"/>
    </w:rPr>
  </w:style>
  <w:style w:type="paragraph" w:customStyle="1" w:styleId="AOHead5">
    <w:name w:val="AOHead5"/>
    <w:basedOn w:val="Normal"/>
    <w:next w:val="Normal"/>
    <w:rsid w:val="00514B73"/>
    <w:pPr>
      <w:numPr>
        <w:ilvl w:val="4"/>
        <w:numId w:val="10"/>
      </w:numPr>
      <w:spacing w:before="240" w:after="0" w:line="260" w:lineRule="atLeast"/>
      <w:jc w:val="both"/>
      <w:outlineLvl w:val="4"/>
    </w:pPr>
    <w:rPr>
      <w:rFonts w:ascii="Times New Roman" w:eastAsia="Calibri" w:hAnsi="Times New Roman" w:cs="Times New Roman"/>
    </w:rPr>
  </w:style>
  <w:style w:type="paragraph" w:customStyle="1" w:styleId="AOHead6">
    <w:name w:val="AOHead6"/>
    <w:basedOn w:val="Normal"/>
    <w:next w:val="Normal"/>
    <w:rsid w:val="00514B73"/>
    <w:pPr>
      <w:numPr>
        <w:ilvl w:val="5"/>
        <w:numId w:val="10"/>
      </w:numPr>
      <w:spacing w:before="240" w:after="0" w:line="260" w:lineRule="atLeast"/>
      <w:jc w:val="both"/>
      <w:outlineLvl w:val="5"/>
    </w:pPr>
    <w:rPr>
      <w:rFonts w:ascii="Times New Roman" w:eastAsia="Calibri" w:hAnsi="Times New Roman" w:cs="Times New Roman"/>
    </w:rPr>
  </w:style>
  <w:style w:type="paragraph" w:styleId="EndnoteText">
    <w:name w:val="endnote text"/>
    <w:basedOn w:val="Normal"/>
    <w:link w:val="EndnoteTextChar"/>
    <w:uiPriority w:val="99"/>
    <w:semiHidden/>
    <w:unhideWhenUsed/>
    <w:rsid w:val="00514B73"/>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514B73"/>
    <w:rPr>
      <w:rFonts w:ascii="Calibri" w:eastAsia="Calibri" w:hAnsi="Calibri" w:cs="Times New Roman"/>
      <w:sz w:val="20"/>
      <w:szCs w:val="20"/>
    </w:rPr>
  </w:style>
  <w:style w:type="character" w:styleId="EndnoteReference">
    <w:name w:val="endnote reference"/>
    <w:uiPriority w:val="99"/>
    <w:semiHidden/>
    <w:unhideWhenUsed/>
    <w:rsid w:val="00514B73"/>
    <w:rPr>
      <w:vertAlign w:val="superscript"/>
    </w:rPr>
  </w:style>
  <w:style w:type="character" w:styleId="Strong">
    <w:name w:val="Strong"/>
    <w:uiPriority w:val="22"/>
    <w:qFormat/>
    <w:rsid w:val="00514B73"/>
    <w:rPr>
      <w:b/>
      <w:bCs/>
    </w:rPr>
  </w:style>
  <w:style w:type="character" w:customStyle="1" w:styleId="BodycopyCharChar">
    <w:name w:val="Body copy Char Char"/>
    <w:link w:val="Bodycopy"/>
    <w:rsid w:val="00514B73"/>
    <w:rPr>
      <w:rFonts w:ascii="Georgia" w:eastAsia="Times" w:hAnsi="Georgia"/>
    </w:rPr>
  </w:style>
  <w:style w:type="paragraph" w:customStyle="1" w:styleId="Bodycopy">
    <w:name w:val="Body copy"/>
    <w:basedOn w:val="Normal"/>
    <w:link w:val="BodycopyCharChar"/>
    <w:rsid w:val="00514B73"/>
    <w:pPr>
      <w:spacing w:after="0" w:line="320" w:lineRule="exact"/>
      <w:ind w:left="1701"/>
    </w:pPr>
    <w:rPr>
      <w:rFonts w:ascii="Georgia" w:eastAsia="Times" w:hAnsi="Georgia"/>
    </w:rPr>
  </w:style>
  <w:style w:type="paragraph" w:customStyle="1" w:styleId="HeaderFooter">
    <w:name w:val="Header &amp; Footer"/>
    <w:rsid w:val="00514B7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character" w:customStyle="1" w:styleId="Link">
    <w:name w:val="Link"/>
    <w:rsid w:val="00514B73"/>
    <w:rPr>
      <w:color w:val="0563C1"/>
      <w:u w:val="single" w:color="0563C1"/>
    </w:rPr>
  </w:style>
  <w:style w:type="numbering" w:customStyle="1" w:styleId="ImportedStyle9">
    <w:name w:val="Imported Style 9"/>
    <w:rsid w:val="00514B73"/>
    <w:pPr>
      <w:numPr>
        <w:numId w:val="11"/>
      </w:numPr>
    </w:pPr>
  </w:style>
  <w:style w:type="numbering" w:customStyle="1" w:styleId="ImportedStyle10">
    <w:name w:val="Imported Style 10"/>
    <w:rsid w:val="00514B73"/>
    <w:pPr>
      <w:numPr>
        <w:numId w:val="12"/>
      </w:numPr>
    </w:pPr>
  </w:style>
  <w:style w:type="numbering" w:customStyle="1" w:styleId="ImportedStyle11">
    <w:name w:val="Imported Style 11"/>
    <w:rsid w:val="00514B73"/>
    <w:pPr>
      <w:numPr>
        <w:numId w:val="13"/>
      </w:numPr>
    </w:pPr>
  </w:style>
  <w:style w:type="numbering" w:customStyle="1" w:styleId="List21">
    <w:name w:val="List 21"/>
    <w:basedOn w:val="NoList"/>
    <w:rsid w:val="00514B73"/>
    <w:pPr>
      <w:numPr>
        <w:numId w:val="14"/>
      </w:numPr>
    </w:pPr>
  </w:style>
  <w:style w:type="character" w:customStyle="1" w:styleId="tgc">
    <w:name w:val="_tgc"/>
    <w:rsid w:val="00514B73"/>
  </w:style>
  <w:style w:type="paragraph" w:customStyle="1" w:styleId="p1">
    <w:name w:val="p1"/>
    <w:basedOn w:val="Normal"/>
    <w:rsid w:val="00514B73"/>
    <w:pPr>
      <w:spacing w:after="0" w:line="240" w:lineRule="auto"/>
    </w:pPr>
    <w:rPr>
      <w:rFonts w:ascii="Arial" w:eastAsia="Calibri" w:hAnsi="Arial" w:cs="Arial"/>
      <w:sz w:val="18"/>
      <w:szCs w:val="18"/>
      <w:lang w:val="en-US"/>
    </w:rPr>
  </w:style>
  <w:style w:type="paragraph" w:customStyle="1" w:styleId="p2">
    <w:name w:val="p2"/>
    <w:basedOn w:val="Normal"/>
    <w:rsid w:val="00514B73"/>
    <w:pPr>
      <w:spacing w:after="0" w:line="240" w:lineRule="auto"/>
    </w:pPr>
    <w:rPr>
      <w:rFonts w:ascii="Arial" w:eastAsia="Calibri" w:hAnsi="Arial" w:cs="Arial"/>
      <w:sz w:val="17"/>
      <w:szCs w:val="17"/>
      <w:lang w:val="en-US"/>
    </w:rPr>
  </w:style>
  <w:style w:type="paragraph" w:customStyle="1" w:styleId="Pa6">
    <w:name w:val="Pa6"/>
    <w:basedOn w:val="Normal"/>
    <w:uiPriority w:val="99"/>
    <w:rsid w:val="00514B73"/>
    <w:pPr>
      <w:autoSpaceDE w:val="0"/>
      <w:autoSpaceDN w:val="0"/>
      <w:spacing w:after="0" w:line="201" w:lineRule="atLeast"/>
    </w:pPr>
    <w:rPr>
      <w:rFonts w:ascii="Avenir Next Demi Bold" w:eastAsia="Cambria" w:hAnsi="Avenir Next Demi Bold" w:cs="Times New Roman"/>
      <w:sz w:val="24"/>
      <w:szCs w:val="24"/>
    </w:rPr>
  </w:style>
  <w:style w:type="paragraph" w:styleId="Caption">
    <w:name w:val="caption"/>
    <w:basedOn w:val="Normal"/>
    <w:next w:val="Normal"/>
    <w:uiPriority w:val="35"/>
    <w:unhideWhenUsed/>
    <w:qFormat/>
    <w:rsid w:val="00514B73"/>
    <w:pPr>
      <w:spacing w:after="200" w:line="240" w:lineRule="auto"/>
    </w:pPr>
    <w:rPr>
      <w:rFonts w:ascii="Calibri" w:eastAsia="Calibri" w:hAnsi="Calibri" w:cs="Times New Roman"/>
      <w:i/>
      <w:iCs/>
      <w:color w:val="44546A"/>
      <w:sz w:val="18"/>
      <w:szCs w:val="18"/>
    </w:rPr>
  </w:style>
  <w:style w:type="table" w:customStyle="1" w:styleId="PlainTable22">
    <w:name w:val="Plain Table 22"/>
    <w:basedOn w:val="TableNormal"/>
    <w:uiPriority w:val="42"/>
    <w:rsid w:val="00514B73"/>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11">
    <w:name w:val="Grid Table 4 - Accent 11"/>
    <w:basedOn w:val="TableNormal"/>
    <w:uiPriority w:val="49"/>
    <w:rsid w:val="00514B73"/>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itle">
    <w:name w:val="Title"/>
    <w:basedOn w:val="Normal"/>
    <w:link w:val="TitleChar"/>
    <w:qFormat/>
    <w:rsid w:val="00514B73"/>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514B73"/>
    <w:rPr>
      <w:rFonts w:ascii="Arial" w:eastAsia="Times New Roman" w:hAnsi="Arial" w:cs="Arial"/>
      <w:b/>
      <w:bCs/>
      <w:sz w:val="24"/>
      <w:szCs w:val="24"/>
      <w:u w:val="single"/>
    </w:rPr>
  </w:style>
  <w:style w:type="table" w:customStyle="1" w:styleId="GridTable4-Accent12">
    <w:name w:val="Grid Table 4 - Accent 12"/>
    <w:basedOn w:val="TableNormal"/>
    <w:uiPriority w:val="49"/>
    <w:rsid w:val="00514B73"/>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2">
    <w:name w:val="Plain Table 2"/>
    <w:basedOn w:val="TableNormal"/>
    <w:uiPriority w:val="42"/>
    <w:rsid w:val="00514B73"/>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13">
    <w:name w:val="Grid Table 4 - Accent 13"/>
    <w:basedOn w:val="TableNormal"/>
    <w:uiPriority w:val="49"/>
    <w:rsid w:val="00514B73"/>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4">
    <w:name w:val="Grid Table 4 - Accent 14"/>
    <w:basedOn w:val="TableNormal"/>
    <w:uiPriority w:val="49"/>
    <w:rsid w:val="00514B73"/>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21">
    <w:name w:val="Table Grid21"/>
    <w:basedOn w:val="TableNormal"/>
    <w:next w:val="TableGrid"/>
    <w:uiPriority w:val="39"/>
    <w:rsid w:val="0051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14B73"/>
    <w:pPr>
      <w:widowControl w:val="0"/>
      <w:spacing w:after="0" w:line="240" w:lineRule="auto"/>
    </w:pPr>
    <w:rPr>
      <w:lang w:val="en-US"/>
    </w:rPr>
  </w:style>
  <w:style w:type="character" w:styleId="PlaceholderText">
    <w:name w:val="Placeholder Text"/>
    <w:basedOn w:val="DefaultParagraphFont"/>
    <w:uiPriority w:val="99"/>
    <w:semiHidden/>
    <w:rsid w:val="00514B73"/>
    <w:rPr>
      <w:color w:val="808080"/>
    </w:rPr>
  </w:style>
  <w:style w:type="character" w:customStyle="1" w:styleId="UnresolvedMention1">
    <w:name w:val="Unresolved Mention1"/>
    <w:basedOn w:val="DefaultParagraphFont"/>
    <w:uiPriority w:val="99"/>
    <w:unhideWhenUsed/>
    <w:rsid w:val="00514B73"/>
    <w:rPr>
      <w:color w:val="605E5C"/>
      <w:shd w:val="clear" w:color="auto" w:fill="E1DFDD"/>
    </w:rPr>
  </w:style>
  <w:style w:type="character" w:customStyle="1" w:styleId="Mention1">
    <w:name w:val="Mention1"/>
    <w:basedOn w:val="DefaultParagraphFont"/>
    <w:uiPriority w:val="99"/>
    <w:unhideWhenUsed/>
    <w:rsid w:val="00514B73"/>
    <w:rPr>
      <w:color w:val="2B579A"/>
      <w:shd w:val="clear" w:color="auto" w:fill="E6E6E6"/>
    </w:rPr>
  </w:style>
  <w:style w:type="character" w:customStyle="1" w:styleId="scxw162168400">
    <w:name w:val="scxw162168400"/>
    <w:basedOn w:val="DefaultParagraphFont"/>
    <w:rsid w:val="00514B73"/>
  </w:style>
  <w:style w:type="table" w:styleId="PlainTable4">
    <w:name w:val="Plain Table 4"/>
    <w:basedOn w:val="TableNormal"/>
    <w:uiPriority w:val="44"/>
    <w:rsid w:val="00514B73"/>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14B73"/>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ndNESC">
    <w:name w:val=") and NESC."/>
    <w:basedOn w:val="Header"/>
    <w:rsid w:val="00514B73"/>
    <w:pPr>
      <w:tabs>
        <w:tab w:val="clear" w:pos="4513"/>
        <w:tab w:val="clear" w:pos="9026"/>
      </w:tabs>
      <w:spacing w:line="340" w:lineRule="atLeast"/>
      <w:jc w:val="both"/>
    </w:pPr>
    <w:rPr>
      <w:rFonts w:ascii="Arial" w:eastAsia="Times New Roman" w:hAnsi="Arial" w:cs="Arial"/>
      <w:color w:val="000000"/>
      <w:sz w:val="24"/>
      <w:szCs w:val="20"/>
    </w:rPr>
  </w:style>
  <w:style w:type="paragraph" w:customStyle="1" w:styleId="xmsonormal">
    <w:name w:val="x_msonormal"/>
    <w:basedOn w:val="Normal"/>
    <w:rsid w:val="00514B73"/>
    <w:pPr>
      <w:spacing w:after="0" w:line="240" w:lineRule="auto"/>
    </w:pPr>
    <w:rPr>
      <w:rFonts w:ascii="Calibri" w:hAnsi="Calibri" w:cs="Calibri"/>
      <w:lang w:eastAsia="en-GB"/>
    </w:rPr>
  </w:style>
  <w:style w:type="paragraph" w:customStyle="1" w:styleId="xxxmsonormal">
    <w:name w:val="x_xxmsonormal"/>
    <w:basedOn w:val="Normal"/>
    <w:rsid w:val="00514B73"/>
    <w:pPr>
      <w:spacing w:before="100" w:beforeAutospacing="1" w:after="100" w:afterAutospacing="1" w:line="240" w:lineRule="auto"/>
    </w:pPr>
    <w:rPr>
      <w:rFonts w:ascii="Calibri" w:hAnsi="Calibri" w:cs="Calibri"/>
      <w:lang w:eastAsia="en-GB"/>
    </w:rPr>
  </w:style>
  <w:style w:type="character" w:customStyle="1" w:styleId="xxxapple-converted-space">
    <w:name w:val="x_xxapple-converted-space"/>
    <w:basedOn w:val="DefaultParagraphFont"/>
    <w:rsid w:val="0051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8950">
      <w:bodyDiv w:val="1"/>
      <w:marLeft w:val="0"/>
      <w:marRight w:val="0"/>
      <w:marTop w:val="0"/>
      <w:marBottom w:val="0"/>
      <w:divBdr>
        <w:top w:val="none" w:sz="0" w:space="0" w:color="auto"/>
        <w:left w:val="none" w:sz="0" w:space="0" w:color="auto"/>
        <w:bottom w:val="none" w:sz="0" w:space="0" w:color="auto"/>
        <w:right w:val="none" w:sz="0" w:space="0" w:color="auto"/>
      </w:divBdr>
    </w:div>
    <w:div w:id="133528381">
      <w:bodyDiv w:val="1"/>
      <w:marLeft w:val="0"/>
      <w:marRight w:val="0"/>
      <w:marTop w:val="0"/>
      <w:marBottom w:val="0"/>
      <w:divBdr>
        <w:top w:val="none" w:sz="0" w:space="0" w:color="auto"/>
        <w:left w:val="none" w:sz="0" w:space="0" w:color="auto"/>
        <w:bottom w:val="none" w:sz="0" w:space="0" w:color="auto"/>
        <w:right w:val="none" w:sz="0" w:space="0" w:color="auto"/>
      </w:divBdr>
    </w:div>
    <w:div w:id="231428648">
      <w:bodyDiv w:val="1"/>
      <w:marLeft w:val="0"/>
      <w:marRight w:val="0"/>
      <w:marTop w:val="0"/>
      <w:marBottom w:val="0"/>
      <w:divBdr>
        <w:top w:val="none" w:sz="0" w:space="0" w:color="auto"/>
        <w:left w:val="none" w:sz="0" w:space="0" w:color="auto"/>
        <w:bottom w:val="none" w:sz="0" w:space="0" w:color="auto"/>
        <w:right w:val="none" w:sz="0" w:space="0" w:color="auto"/>
      </w:divBdr>
    </w:div>
    <w:div w:id="236861606">
      <w:bodyDiv w:val="1"/>
      <w:marLeft w:val="0"/>
      <w:marRight w:val="0"/>
      <w:marTop w:val="0"/>
      <w:marBottom w:val="0"/>
      <w:divBdr>
        <w:top w:val="none" w:sz="0" w:space="0" w:color="auto"/>
        <w:left w:val="none" w:sz="0" w:space="0" w:color="auto"/>
        <w:bottom w:val="none" w:sz="0" w:space="0" w:color="auto"/>
        <w:right w:val="none" w:sz="0" w:space="0" w:color="auto"/>
      </w:divBdr>
    </w:div>
    <w:div w:id="350109146">
      <w:bodyDiv w:val="1"/>
      <w:marLeft w:val="0"/>
      <w:marRight w:val="0"/>
      <w:marTop w:val="0"/>
      <w:marBottom w:val="0"/>
      <w:divBdr>
        <w:top w:val="none" w:sz="0" w:space="0" w:color="auto"/>
        <w:left w:val="none" w:sz="0" w:space="0" w:color="auto"/>
        <w:bottom w:val="none" w:sz="0" w:space="0" w:color="auto"/>
        <w:right w:val="none" w:sz="0" w:space="0" w:color="auto"/>
      </w:divBdr>
    </w:div>
    <w:div w:id="361831787">
      <w:bodyDiv w:val="1"/>
      <w:marLeft w:val="0"/>
      <w:marRight w:val="0"/>
      <w:marTop w:val="0"/>
      <w:marBottom w:val="0"/>
      <w:divBdr>
        <w:top w:val="none" w:sz="0" w:space="0" w:color="auto"/>
        <w:left w:val="none" w:sz="0" w:space="0" w:color="auto"/>
        <w:bottom w:val="none" w:sz="0" w:space="0" w:color="auto"/>
        <w:right w:val="none" w:sz="0" w:space="0" w:color="auto"/>
      </w:divBdr>
    </w:div>
    <w:div w:id="484322123">
      <w:bodyDiv w:val="1"/>
      <w:marLeft w:val="0"/>
      <w:marRight w:val="0"/>
      <w:marTop w:val="0"/>
      <w:marBottom w:val="0"/>
      <w:divBdr>
        <w:top w:val="none" w:sz="0" w:space="0" w:color="auto"/>
        <w:left w:val="none" w:sz="0" w:space="0" w:color="auto"/>
        <w:bottom w:val="none" w:sz="0" w:space="0" w:color="auto"/>
        <w:right w:val="none" w:sz="0" w:space="0" w:color="auto"/>
      </w:divBdr>
    </w:div>
    <w:div w:id="535509005">
      <w:bodyDiv w:val="1"/>
      <w:marLeft w:val="0"/>
      <w:marRight w:val="0"/>
      <w:marTop w:val="0"/>
      <w:marBottom w:val="0"/>
      <w:divBdr>
        <w:top w:val="none" w:sz="0" w:space="0" w:color="auto"/>
        <w:left w:val="none" w:sz="0" w:space="0" w:color="auto"/>
        <w:bottom w:val="none" w:sz="0" w:space="0" w:color="auto"/>
        <w:right w:val="none" w:sz="0" w:space="0" w:color="auto"/>
      </w:divBdr>
    </w:div>
    <w:div w:id="658921895">
      <w:bodyDiv w:val="1"/>
      <w:marLeft w:val="0"/>
      <w:marRight w:val="0"/>
      <w:marTop w:val="0"/>
      <w:marBottom w:val="0"/>
      <w:divBdr>
        <w:top w:val="none" w:sz="0" w:space="0" w:color="auto"/>
        <w:left w:val="none" w:sz="0" w:space="0" w:color="auto"/>
        <w:bottom w:val="none" w:sz="0" w:space="0" w:color="auto"/>
        <w:right w:val="none" w:sz="0" w:space="0" w:color="auto"/>
      </w:divBdr>
    </w:div>
    <w:div w:id="701326254">
      <w:bodyDiv w:val="1"/>
      <w:marLeft w:val="0"/>
      <w:marRight w:val="0"/>
      <w:marTop w:val="0"/>
      <w:marBottom w:val="0"/>
      <w:divBdr>
        <w:top w:val="none" w:sz="0" w:space="0" w:color="auto"/>
        <w:left w:val="none" w:sz="0" w:space="0" w:color="auto"/>
        <w:bottom w:val="none" w:sz="0" w:space="0" w:color="auto"/>
        <w:right w:val="none" w:sz="0" w:space="0" w:color="auto"/>
      </w:divBdr>
    </w:div>
    <w:div w:id="750198257">
      <w:bodyDiv w:val="1"/>
      <w:marLeft w:val="0"/>
      <w:marRight w:val="0"/>
      <w:marTop w:val="0"/>
      <w:marBottom w:val="0"/>
      <w:divBdr>
        <w:top w:val="none" w:sz="0" w:space="0" w:color="auto"/>
        <w:left w:val="none" w:sz="0" w:space="0" w:color="auto"/>
        <w:bottom w:val="none" w:sz="0" w:space="0" w:color="auto"/>
        <w:right w:val="none" w:sz="0" w:space="0" w:color="auto"/>
      </w:divBdr>
    </w:div>
    <w:div w:id="818574408">
      <w:bodyDiv w:val="1"/>
      <w:marLeft w:val="0"/>
      <w:marRight w:val="0"/>
      <w:marTop w:val="0"/>
      <w:marBottom w:val="0"/>
      <w:divBdr>
        <w:top w:val="none" w:sz="0" w:space="0" w:color="auto"/>
        <w:left w:val="none" w:sz="0" w:space="0" w:color="auto"/>
        <w:bottom w:val="none" w:sz="0" w:space="0" w:color="auto"/>
        <w:right w:val="none" w:sz="0" w:space="0" w:color="auto"/>
      </w:divBdr>
    </w:div>
    <w:div w:id="870917158">
      <w:bodyDiv w:val="1"/>
      <w:marLeft w:val="0"/>
      <w:marRight w:val="0"/>
      <w:marTop w:val="0"/>
      <w:marBottom w:val="0"/>
      <w:divBdr>
        <w:top w:val="none" w:sz="0" w:space="0" w:color="auto"/>
        <w:left w:val="none" w:sz="0" w:space="0" w:color="auto"/>
        <w:bottom w:val="none" w:sz="0" w:space="0" w:color="auto"/>
        <w:right w:val="none" w:sz="0" w:space="0" w:color="auto"/>
      </w:divBdr>
    </w:div>
    <w:div w:id="881668702">
      <w:bodyDiv w:val="1"/>
      <w:marLeft w:val="0"/>
      <w:marRight w:val="0"/>
      <w:marTop w:val="0"/>
      <w:marBottom w:val="0"/>
      <w:divBdr>
        <w:top w:val="none" w:sz="0" w:space="0" w:color="auto"/>
        <w:left w:val="none" w:sz="0" w:space="0" w:color="auto"/>
        <w:bottom w:val="none" w:sz="0" w:space="0" w:color="auto"/>
        <w:right w:val="none" w:sz="0" w:space="0" w:color="auto"/>
      </w:divBdr>
    </w:div>
    <w:div w:id="937756642">
      <w:bodyDiv w:val="1"/>
      <w:marLeft w:val="0"/>
      <w:marRight w:val="0"/>
      <w:marTop w:val="0"/>
      <w:marBottom w:val="0"/>
      <w:divBdr>
        <w:top w:val="none" w:sz="0" w:space="0" w:color="auto"/>
        <w:left w:val="none" w:sz="0" w:space="0" w:color="auto"/>
        <w:bottom w:val="none" w:sz="0" w:space="0" w:color="auto"/>
        <w:right w:val="none" w:sz="0" w:space="0" w:color="auto"/>
      </w:divBdr>
    </w:div>
    <w:div w:id="1005742028">
      <w:bodyDiv w:val="1"/>
      <w:marLeft w:val="0"/>
      <w:marRight w:val="0"/>
      <w:marTop w:val="0"/>
      <w:marBottom w:val="0"/>
      <w:divBdr>
        <w:top w:val="none" w:sz="0" w:space="0" w:color="auto"/>
        <w:left w:val="none" w:sz="0" w:space="0" w:color="auto"/>
        <w:bottom w:val="none" w:sz="0" w:space="0" w:color="auto"/>
        <w:right w:val="none" w:sz="0" w:space="0" w:color="auto"/>
      </w:divBdr>
    </w:div>
    <w:div w:id="1054429426">
      <w:bodyDiv w:val="1"/>
      <w:marLeft w:val="0"/>
      <w:marRight w:val="0"/>
      <w:marTop w:val="0"/>
      <w:marBottom w:val="0"/>
      <w:divBdr>
        <w:top w:val="none" w:sz="0" w:space="0" w:color="auto"/>
        <w:left w:val="none" w:sz="0" w:space="0" w:color="auto"/>
        <w:bottom w:val="none" w:sz="0" w:space="0" w:color="auto"/>
        <w:right w:val="none" w:sz="0" w:space="0" w:color="auto"/>
      </w:divBdr>
    </w:div>
    <w:div w:id="1147479171">
      <w:bodyDiv w:val="1"/>
      <w:marLeft w:val="0"/>
      <w:marRight w:val="0"/>
      <w:marTop w:val="0"/>
      <w:marBottom w:val="0"/>
      <w:divBdr>
        <w:top w:val="none" w:sz="0" w:space="0" w:color="auto"/>
        <w:left w:val="none" w:sz="0" w:space="0" w:color="auto"/>
        <w:bottom w:val="none" w:sz="0" w:space="0" w:color="auto"/>
        <w:right w:val="none" w:sz="0" w:space="0" w:color="auto"/>
      </w:divBdr>
    </w:div>
    <w:div w:id="1157183417">
      <w:bodyDiv w:val="1"/>
      <w:marLeft w:val="0"/>
      <w:marRight w:val="0"/>
      <w:marTop w:val="0"/>
      <w:marBottom w:val="0"/>
      <w:divBdr>
        <w:top w:val="none" w:sz="0" w:space="0" w:color="auto"/>
        <w:left w:val="none" w:sz="0" w:space="0" w:color="auto"/>
        <w:bottom w:val="none" w:sz="0" w:space="0" w:color="auto"/>
        <w:right w:val="none" w:sz="0" w:space="0" w:color="auto"/>
      </w:divBdr>
    </w:div>
    <w:div w:id="1192956028">
      <w:bodyDiv w:val="1"/>
      <w:marLeft w:val="0"/>
      <w:marRight w:val="0"/>
      <w:marTop w:val="0"/>
      <w:marBottom w:val="0"/>
      <w:divBdr>
        <w:top w:val="none" w:sz="0" w:space="0" w:color="auto"/>
        <w:left w:val="none" w:sz="0" w:space="0" w:color="auto"/>
        <w:bottom w:val="none" w:sz="0" w:space="0" w:color="auto"/>
        <w:right w:val="none" w:sz="0" w:space="0" w:color="auto"/>
      </w:divBdr>
    </w:div>
    <w:div w:id="1210188040">
      <w:bodyDiv w:val="1"/>
      <w:marLeft w:val="0"/>
      <w:marRight w:val="0"/>
      <w:marTop w:val="0"/>
      <w:marBottom w:val="0"/>
      <w:divBdr>
        <w:top w:val="none" w:sz="0" w:space="0" w:color="auto"/>
        <w:left w:val="none" w:sz="0" w:space="0" w:color="auto"/>
        <w:bottom w:val="none" w:sz="0" w:space="0" w:color="auto"/>
        <w:right w:val="none" w:sz="0" w:space="0" w:color="auto"/>
      </w:divBdr>
    </w:div>
    <w:div w:id="1244798719">
      <w:bodyDiv w:val="1"/>
      <w:marLeft w:val="0"/>
      <w:marRight w:val="0"/>
      <w:marTop w:val="0"/>
      <w:marBottom w:val="0"/>
      <w:divBdr>
        <w:top w:val="none" w:sz="0" w:space="0" w:color="auto"/>
        <w:left w:val="none" w:sz="0" w:space="0" w:color="auto"/>
        <w:bottom w:val="none" w:sz="0" w:space="0" w:color="auto"/>
        <w:right w:val="none" w:sz="0" w:space="0" w:color="auto"/>
      </w:divBdr>
    </w:div>
    <w:div w:id="1264149793">
      <w:bodyDiv w:val="1"/>
      <w:marLeft w:val="0"/>
      <w:marRight w:val="0"/>
      <w:marTop w:val="0"/>
      <w:marBottom w:val="0"/>
      <w:divBdr>
        <w:top w:val="none" w:sz="0" w:space="0" w:color="auto"/>
        <w:left w:val="none" w:sz="0" w:space="0" w:color="auto"/>
        <w:bottom w:val="none" w:sz="0" w:space="0" w:color="auto"/>
        <w:right w:val="none" w:sz="0" w:space="0" w:color="auto"/>
      </w:divBdr>
    </w:div>
    <w:div w:id="1273052528">
      <w:bodyDiv w:val="1"/>
      <w:marLeft w:val="0"/>
      <w:marRight w:val="0"/>
      <w:marTop w:val="0"/>
      <w:marBottom w:val="0"/>
      <w:divBdr>
        <w:top w:val="none" w:sz="0" w:space="0" w:color="auto"/>
        <w:left w:val="none" w:sz="0" w:space="0" w:color="auto"/>
        <w:bottom w:val="none" w:sz="0" w:space="0" w:color="auto"/>
        <w:right w:val="none" w:sz="0" w:space="0" w:color="auto"/>
      </w:divBdr>
    </w:div>
    <w:div w:id="1318537320">
      <w:bodyDiv w:val="1"/>
      <w:marLeft w:val="0"/>
      <w:marRight w:val="0"/>
      <w:marTop w:val="0"/>
      <w:marBottom w:val="0"/>
      <w:divBdr>
        <w:top w:val="none" w:sz="0" w:space="0" w:color="auto"/>
        <w:left w:val="none" w:sz="0" w:space="0" w:color="auto"/>
        <w:bottom w:val="none" w:sz="0" w:space="0" w:color="auto"/>
        <w:right w:val="none" w:sz="0" w:space="0" w:color="auto"/>
      </w:divBdr>
    </w:div>
    <w:div w:id="1374816383">
      <w:bodyDiv w:val="1"/>
      <w:marLeft w:val="0"/>
      <w:marRight w:val="0"/>
      <w:marTop w:val="0"/>
      <w:marBottom w:val="0"/>
      <w:divBdr>
        <w:top w:val="none" w:sz="0" w:space="0" w:color="auto"/>
        <w:left w:val="none" w:sz="0" w:space="0" w:color="auto"/>
        <w:bottom w:val="none" w:sz="0" w:space="0" w:color="auto"/>
        <w:right w:val="none" w:sz="0" w:space="0" w:color="auto"/>
      </w:divBdr>
    </w:div>
    <w:div w:id="1421295161">
      <w:bodyDiv w:val="1"/>
      <w:marLeft w:val="0"/>
      <w:marRight w:val="0"/>
      <w:marTop w:val="0"/>
      <w:marBottom w:val="0"/>
      <w:divBdr>
        <w:top w:val="none" w:sz="0" w:space="0" w:color="auto"/>
        <w:left w:val="none" w:sz="0" w:space="0" w:color="auto"/>
        <w:bottom w:val="none" w:sz="0" w:space="0" w:color="auto"/>
        <w:right w:val="none" w:sz="0" w:space="0" w:color="auto"/>
      </w:divBdr>
    </w:div>
    <w:div w:id="1456757187">
      <w:bodyDiv w:val="1"/>
      <w:marLeft w:val="0"/>
      <w:marRight w:val="0"/>
      <w:marTop w:val="0"/>
      <w:marBottom w:val="0"/>
      <w:divBdr>
        <w:top w:val="none" w:sz="0" w:space="0" w:color="auto"/>
        <w:left w:val="none" w:sz="0" w:space="0" w:color="auto"/>
        <w:bottom w:val="none" w:sz="0" w:space="0" w:color="auto"/>
        <w:right w:val="none" w:sz="0" w:space="0" w:color="auto"/>
      </w:divBdr>
    </w:div>
    <w:div w:id="1530335149">
      <w:bodyDiv w:val="1"/>
      <w:marLeft w:val="0"/>
      <w:marRight w:val="0"/>
      <w:marTop w:val="0"/>
      <w:marBottom w:val="0"/>
      <w:divBdr>
        <w:top w:val="none" w:sz="0" w:space="0" w:color="auto"/>
        <w:left w:val="none" w:sz="0" w:space="0" w:color="auto"/>
        <w:bottom w:val="none" w:sz="0" w:space="0" w:color="auto"/>
        <w:right w:val="none" w:sz="0" w:space="0" w:color="auto"/>
      </w:divBdr>
    </w:div>
    <w:div w:id="1532373946">
      <w:bodyDiv w:val="1"/>
      <w:marLeft w:val="0"/>
      <w:marRight w:val="0"/>
      <w:marTop w:val="0"/>
      <w:marBottom w:val="0"/>
      <w:divBdr>
        <w:top w:val="none" w:sz="0" w:space="0" w:color="auto"/>
        <w:left w:val="none" w:sz="0" w:space="0" w:color="auto"/>
        <w:bottom w:val="none" w:sz="0" w:space="0" w:color="auto"/>
        <w:right w:val="none" w:sz="0" w:space="0" w:color="auto"/>
      </w:divBdr>
    </w:div>
    <w:div w:id="1544900494">
      <w:bodyDiv w:val="1"/>
      <w:marLeft w:val="0"/>
      <w:marRight w:val="0"/>
      <w:marTop w:val="0"/>
      <w:marBottom w:val="0"/>
      <w:divBdr>
        <w:top w:val="none" w:sz="0" w:space="0" w:color="auto"/>
        <w:left w:val="none" w:sz="0" w:space="0" w:color="auto"/>
        <w:bottom w:val="none" w:sz="0" w:space="0" w:color="auto"/>
        <w:right w:val="none" w:sz="0" w:space="0" w:color="auto"/>
      </w:divBdr>
    </w:div>
    <w:div w:id="1792627644">
      <w:bodyDiv w:val="1"/>
      <w:marLeft w:val="0"/>
      <w:marRight w:val="0"/>
      <w:marTop w:val="0"/>
      <w:marBottom w:val="0"/>
      <w:divBdr>
        <w:top w:val="none" w:sz="0" w:space="0" w:color="auto"/>
        <w:left w:val="none" w:sz="0" w:space="0" w:color="auto"/>
        <w:bottom w:val="none" w:sz="0" w:space="0" w:color="auto"/>
        <w:right w:val="none" w:sz="0" w:space="0" w:color="auto"/>
      </w:divBdr>
    </w:div>
    <w:div w:id="1919361893">
      <w:bodyDiv w:val="1"/>
      <w:marLeft w:val="0"/>
      <w:marRight w:val="0"/>
      <w:marTop w:val="0"/>
      <w:marBottom w:val="0"/>
      <w:divBdr>
        <w:top w:val="none" w:sz="0" w:space="0" w:color="auto"/>
        <w:left w:val="none" w:sz="0" w:space="0" w:color="auto"/>
        <w:bottom w:val="none" w:sz="0" w:space="0" w:color="auto"/>
        <w:right w:val="none" w:sz="0" w:space="0" w:color="auto"/>
      </w:divBdr>
    </w:div>
    <w:div w:id="1948273584">
      <w:bodyDiv w:val="1"/>
      <w:marLeft w:val="0"/>
      <w:marRight w:val="0"/>
      <w:marTop w:val="0"/>
      <w:marBottom w:val="0"/>
      <w:divBdr>
        <w:top w:val="none" w:sz="0" w:space="0" w:color="auto"/>
        <w:left w:val="none" w:sz="0" w:space="0" w:color="auto"/>
        <w:bottom w:val="none" w:sz="0" w:space="0" w:color="auto"/>
        <w:right w:val="none" w:sz="0" w:space="0" w:color="auto"/>
      </w:divBdr>
    </w:div>
    <w:div w:id="1948610189">
      <w:bodyDiv w:val="1"/>
      <w:marLeft w:val="0"/>
      <w:marRight w:val="0"/>
      <w:marTop w:val="0"/>
      <w:marBottom w:val="0"/>
      <w:divBdr>
        <w:top w:val="none" w:sz="0" w:space="0" w:color="auto"/>
        <w:left w:val="none" w:sz="0" w:space="0" w:color="auto"/>
        <w:bottom w:val="none" w:sz="0" w:space="0" w:color="auto"/>
        <w:right w:val="none" w:sz="0" w:space="0" w:color="auto"/>
      </w:divBdr>
    </w:div>
    <w:div w:id="1995907648">
      <w:bodyDiv w:val="1"/>
      <w:marLeft w:val="0"/>
      <w:marRight w:val="0"/>
      <w:marTop w:val="0"/>
      <w:marBottom w:val="0"/>
      <w:divBdr>
        <w:top w:val="none" w:sz="0" w:space="0" w:color="auto"/>
        <w:left w:val="none" w:sz="0" w:space="0" w:color="auto"/>
        <w:bottom w:val="none" w:sz="0" w:space="0" w:color="auto"/>
        <w:right w:val="none" w:sz="0" w:space="0" w:color="auto"/>
      </w:divBdr>
    </w:div>
    <w:div w:id="20111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voyle@headlandconsultancy.com" TargetMode="Externa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craig.noonan@coop.co.uk"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oplevyshare.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erine.turner@coop.co.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ivingwage.org.uk" TargetMode="External"/><Relationship Id="rId23" Type="http://schemas.openxmlformats.org/officeDocument/2006/relationships/footer" Target="footer3.xml"/><Relationship Id="rId10" Type="http://schemas.openxmlformats.org/officeDocument/2006/relationships/hyperlink" Target="mailto:russ.brady@coop.co.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op.co.uk/sho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ad4862f-1253-4f03-800d-4cceade833b4">
      <Terms xmlns="http://schemas.microsoft.com/office/infopath/2007/PartnerControls"/>
    </lcf76f155ced4ddcb4097134ff3c332f>
    <TaxCatchAll xmlns="ebc056c5-b983-4541-accb-745ebbbd6f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A7DBF8EB90354EB6D0878D9B2BC40F" ma:contentTypeVersion="20" ma:contentTypeDescription="Create a new document." ma:contentTypeScope="" ma:versionID="d31882f4fca2ca43bbf5b14640cdf918">
  <xsd:schema xmlns:xsd="http://www.w3.org/2001/XMLSchema" xmlns:xs="http://www.w3.org/2001/XMLSchema" xmlns:p="http://schemas.microsoft.com/office/2006/metadata/properties" xmlns:ns1="http://schemas.microsoft.com/sharepoint/v3" xmlns:ns2="ebc056c5-b983-4541-accb-745ebbbd6fa9" xmlns:ns3="8ad4862f-1253-4f03-800d-4cceade833b4" targetNamespace="http://schemas.microsoft.com/office/2006/metadata/properties" ma:root="true" ma:fieldsID="a2ce5e725b12783c71368765c818271a" ns1:_="" ns2:_="" ns3:_="">
    <xsd:import namespace="http://schemas.microsoft.com/sharepoint/v3"/>
    <xsd:import namespace="ebc056c5-b983-4541-accb-745ebbbd6fa9"/>
    <xsd:import namespace="8ad4862f-1253-4f03-800d-4cceade833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1:_ip_UnifiedCompliancePolicyProperties" minOccurs="0"/>
                <xsd:element ref="ns1:_ip_UnifiedCompliancePolicyUIAc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056c5-b983-4541-accb-745ebbbd6f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de39ec-d4e6-4694-a829-b99962e57df4}" ma:internalName="TaxCatchAll" ma:showField="CatchAllData" ma:web="ebc056c5-b983-4541-accb-745ebbbd6f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d4862f-1253-4f03-800d-4cceade833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b9ca7c4-3d60-4112-9586-c18b40cff00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1E742-57CD-46C8-B5E2-B531AAC2FB05}">
  <ds:schemaRefs>
    <ds:schemaRef ds:uri="http://schemas.microsoft.com/office/2006/metadata/properties"/>
    <ds:schemaRef ds:uri="http://schemas.microsoft.com/office/infopath/2007/PartnerControls"/>
    <ds:schemaRef ds:uri="http://schemas.microsoft.com/sharepoint/v3"/>
    <ds:schemaRef ds:uri="965deb80-0e31-432a-9166-8547504f226d"/>
    <ds:schemaRef ds:uri="e6028836-ca63-4cac-8601-d7341c70de38"/>
    <ds:schemaRef ds:uri="9da1b2ac-5172-4ebd-a8e8-510b32eeabf3"/>
  </ds:schemaRefs>
</ds:datastoreItem>
</file>

<file path=customXml/itemProps2.xml><?xml version="1.0" encoding="utf-8"?>
<ds:datastoreItem xmlns:ds="http://schemas.openxmlformats.org/officeDocument/2006/customXml" ds:itemID="{7FE65DB5-1575-489C-B2C2-9B012464A45E}"/>
</file>

<file path=customXml/itemProps3.xml><?xml version="1.0" encoding="utf-8"?>
<ds:datastoreItem xmlns:ds="http://schemas.openxmlformats.org/officeDocument/2006/customXml" ds:itemID="{8A0D4E5D-0ACA-4B67-86A8-0BA5A177EE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24467</Words>
  <Characters>139467</Characters>
  <Application>Microsoft Office Word</Application>
  <DocSecurity>0</DocSecurity>
  <Lines>1162</Lines>
  <Paragraphs>327</Paragraphs>
  <ScaleCrop>false</ScaleCrop>
  <Company/>
  <LinksUpToDate>false</LinksUpToDate>
  <CharactersWithSpaces>163607</CharactersWithSpaces>
  <SharedDoc>false</SharedDoc>
  <HLinks>
    <vt:vector size="42" baseType="variant">
      <vt:variant>
        <vt:i4>7078013</vt:i4>
      </vt:variant>
      <vt:variant>
        <vt:i4>18</vt:i4>
      </vt:variant>
      <vt:variant>
        <vt:i4>0</vt:i4>
      </vt:variant>
      <vt:variant>
        <vt:i4>5</vt:i4>
      </vt:variant>
      <vt:variant>
        <vt:lpwstr>http://www.cooplevyshare.co.uk/</vt:lpwstr>
      </vt:variant>
      <vt:variant>
        <vt:lpwstr/>
      </vt:variant>
      <vt:variant>
        <vt:i4>5636174</vt:i4>
      </vt:variant>
      <vt:variant>
        <vt:i4>15</vt:i4>
      </vt:variant>
      <vt:variant>
        <vt:i4>0</vt:i4>
      </vt:variant>
      <vt:variant>
        <vt:i4>5</vt:i4>
      </vt:variant>
      <vt:variant>
        <vt:lpwstr>http://www.livingwage.org.uk/</vt:lpwstr>
      </vt:variant>
      <vt:variant>
        <vt:lpwstr/>
      </vt:variant>
      <vt:variant>
        <vt:i4>2359413</vt:i4>
      </vt:variant>
      <vt:variant>
        <vt:i4>12</vt:i4>
      </vt:variant>
      <vt:variant>
        <vt:i4>0</vt:i4>
      </vt:variant>
      <vt:variant>
        <vt:i4>5</vt:i4>
      </vt:variant>
      <vt:variant>
        <vt:lpwstr>http://www.coop.co.uk/shop</vt:lpwstr>
      </vt:variant>
      <vt:variant>
        <vt:lpwstr/>
      </vt:variant>
      <vt:variant>
        <vt:i4>6619219</vt:i4>
      </vt:variant>
      <vt:variant>
        <vt:i4>9</vt:i4>
      </vt:variant>
      <vt:variant>
        <vt:i4>0</vt:i4>
      </vt:variant>
      <vt:variant>
        <vt:i4>5</vt:i4>
      </vt:variant>
      <vt:variant>
        <vt:lpwstr>mailto:svoyle@headlandconsultancy.com</vt:lpwstr>
      </vt:variant>
      <vt:variant>
        <vt:lpwstr/>
      </vt:variant>
      <vt:variant>
        <vt:i4>1966120</vt:i4>
      </vt:variant>
      <vt:variant>
        <vt:i4>6</vt:i4>
      </vt:variant>
      <vt:variant>
        <vt:i4>0</vt:i4>
      </vt:variant>
      <vt:variant>
        <vt:i4>5</vt:i4>
      </vt:variant>
      <vt:variant>
        <vt:lpwstr>mailto:craig.noonan@coop.co.uk</vt:lpwstr>
      </vt:variant>
      <vt:variant>
        <vt:lpwstr/>
      </vt:variant>
      <vt:variant>
        <vt:i4>393248</vt:i4>
      </vt:variant>
      <vt:variant>
        <vt:i4>3</vt:i4>
      </vt:variant>
      <vt:variant>
        <vt:i4>0</vt:i4>
      </vt:variant>
      <vt:variant>
        <vt:i4>5</vt:i4>
      </vt:variant>
      <vt:variant>
        <vt:lpwstr>mailto:catherine.turner@coop.co.uk</vt:lpwstr>
      </vt:variant>
      <vt:variant>
        <vt:lpwstr/>
      </vt:variant>
      <vt:variant>
        <vt:i4>2228238</vt:i4>
      </vt:variant>
      <vt:variant>
        <vt:i4>0</vt:i4>
      </vt:variant>
      <vt:variant>
        <vt:i4>0</vt:i4>
      </vt:variant>
      <vt:variant>
        <vt:i4>5</vt:i4>
      </vt:variant>
      <vt:variant>
        <vt:lpwstr>mailto:russ.brady@coop.co.uk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Cylna (777502 Financial Control - Financial Accounting Team)</dc:creator>
  <cp:keywords/>
  <dc:description/>
  <cp:lastModifiedBy>Beth Harrison (777155 Board Secretariat HO)</cp:lastModifiedBy>
  <cp:revision>2</cp:revision>
  <dcterms:created xsi:type="dcterms:W3CDTF">2022-09-29T06:56:00Z</dcterms:created>
  <dcterms:modified xsi:type="dcterms:W3CDTF">2022-09-29T06:56:00Z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0x0101003269D2A7994EDC4EBDE3F926EFD7B8C1</vt:lpwstr>
  </property>
  <property fmtid="{D5CDD505-2E9C-101B-9397-08002B2CF9AE}" pid="3" name="MediaServiceImageTags">
    <vt:lpwstr/>
  </property>
</Properties>
</file>