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word/theme/theme1.xml" ContentType="application/vnd.openxmlformats-officedocument.theme+xml"/>
  <Override PartName="/word/glossary/document.xml" ContentType="application/vnd.openxmlformats-officedocument.wordprocessingml.document.glossary+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ink="http://schemas.microsoft.com/office/drawing/2016/ink" xmlns:am3d="http://schemas.microsoft.com/office/drawing/2017/model3d" xmlns:c="http://schemas.openxmlformats.org/drawingml/2006/char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body>
    <w:p w:rsidR="00332FE7" w:rsidRDefault="003D29CE" w14:paraId="5F86B455" w14:textId="290B30C6" w:rsidP="00384AA2" w:rsidRPr="00CE7210">
      <w:pPr>
        <w:spacing w:after="0" w:line="480" w:lineRule="auto"/>
        <w:rPr>
          <w:bCs/>
          <w:b/>
          <w:rFonts w:ascii="Calibri" w:hAnsiTheme="minorHAnsi" w:cstheme="minorHAnsi"/>
          <w:szCs w:val="22"/>
        </w:rPr>
      </w:pPr>
    </w:p>
    <w:p w:rsidR="00332FE7" w:rsidRDefault="00332FE7" w14:paraId="0036CCD2" w14:textId="77777777" w:rsidP="00332FE7">
      <w:pPr>
        <w:jc w:val="both"/>
        <w:ind w:left="4320"/>
        <w:spacing w:after="0" w:line="480" w:lineRule="auto"/>
        <w:rPr>
          <w:rFonts w:ascii="Calibri" w:hAnsiTheme="minorHAnsi" w:cstheme="minorHAnsi"/>
          <w:szCs w:val="22"/>
        </w:rPr>
      </w:pPr>
      <w:r>
        <w:rPr>
          <w:rFonts w:ascii="Calibri"/>
          <w:sz w:val="22"/>
        </w:rPr>
        <w:t xml:space="preserve">Claim number: </w:t>
      </w:r>
    </w:p>
    <w:p w:rsidR="0082385E" w:rsidRDefault="004C2904" w14:paraId="58AC3ECD" w14:textId="77777777" w:rsidP="000861BF" w:rsidRPr="00077691">
      <w:pPr>
        <w:ind w:left="4320"/>
        <w:spacing w:after="0" w:line="480" w:lineRule="auto"/>
        <w:rPr>
          <w:rFonts w:ascii="Calibri" w:hAnsiTheme="minorHAnsi" w:cstheme="minorHAnsi"/>
          <w:szCs w:val="22"/>
        </w:rPr>
      </w:pPr>
      <w:r w:rsidRPr="00077691">
        <w:rPr>
          <w:rFonts w:ascii="Calibri" w:hAnsiTheme="minorHAnsi" w:cstheme="minorHAnsi"/>
          <w:szCs w:val="22"/>
        </w:rPr>
        <w:t>Defence and Counterclaim</w:t>
      </w:r>
    </w:p>
    <w:p w:rsidR="0082385E" w:rsidRDefault="0082385E" w14:paraId="62F21E27" w14:textId="515C4524" w:rsidP="000861BF" w:rsidRPr="00077691">
      <w:pPr>
        <w:ind w:left="4320"/>
        <w:spacing w:after="0" w:line="480" w:lineRule="auto"/>
        <w:rPr>
          <w:rFonts w:ascii="Calibri" w:hAnsiTheme="minorHAnsi" w:cstheme="minorHAnsi"/>
          <w:szCs w:val="22"/>
        </w:rPr>
      </w:pPr>
      <w:r w:rsidRPr="00077691">
        <w:rPr>
          <w:rFonts w:ascii="Calibri" w:hAnsiTheme="minorHAnsi" w:cstheme="minorHAnsi"/>
          <w:szCs w:val="22"/>
        </w:rPr>
        <w:t xml:space="preserve">Date: </w:t>
      </w:r>
    </w:p>
    <w:p w:rsidR="0082385E" w:rsidRDefault="0082385E" w14:paraId="7D7BBCA5" w14:textId="77777777" w:rsidP="000861BF" w:rsidRPr="00077691">
      <w:pPr>
        <w:ind w:left="360"/>
        <w:spacing w:line="480" w:lineRule="auto"/>
        <w:rPr>
          <w:rFonts w:ascii="Calibri" w:hAnsiTheme="minorHAnsi" w:cstheme="minorHAnsi"/>
          <w:szCs w:val="22"/>
        </w:rPr>
      </w:pPr>
    </w:p>
    <w:tbl>
      <w:tblPr>
        <w:tblW w:w="0" w:type="auto"/>
        <w:tblBorders>
          <w:top w:val="nil" w:sz="0" w:color="auto" w:space="0"/>
          <w:bottom w:val="nil" w:sz="0" w:color="auto" w:space="0"/>
          <w:left w:val="nil" w:sz="0" w:color="auto" w:space="0"/>
          <w:right w:val="nil" w:sz="0" w:color="auto" w:space="0"/>
          <w:insideH w:val="nil" w:sz="0" w:color="auto" w:space="0"/>
          <w:insideV w:val="nil" w:sz="0" w:color="auto" w:space="0"/>
        </w:tblBorders>
        <w:tblInd w:w="0" w:type="dxa"/>
        <w:tblStyle w:val="TableGrid"/>
        <w:tblLook w:val="4A0"/>
      </w:tblPr>
      <w:tblGrid>
        <w:gridCol w:w="1637"/>
        <w:gridCol w:w="5014"/>
        <w:gridCol w:w="1627"/>
      </w:tblGrid>
      <w:tr w14:paraId="3316A50E" w14:textId="77777777" w:rsidR="0082385E" w:rsidRPr="00077691" w:rsidTr="0082385E">
        <w:tc>
          <w:tcPr>
            <w:hideMark/>
            <w:gridSpan w:val="3"/>
            <w:tcW w:w="9016" w:type="dxa"/>
          </w:tcPr>
          <w:p w:rsidR="0082385E" w:rsidRDefault="0082385E" w14:paraId="0F00F729" w14:textId="4E183331" w:rsidP="000861BF" w:rsidRPr="00077691">
            <w:pPr>
              <w:spacing w:before="120" w:after="120" w:line="480" w:lineRule="auto"/>
              <w:rPr>
                <w:rFonts w:ascii="Calibri" w:hAnsiTheme="minorHAnsi" w:cstheme="minorHAnsi"/>
                <w:szCs w:val="22"/>
              </w:rPr>
            </w:pPr>
            <w:r w:rsidRPr="00077691">
              <w:rPr>
                <w:rFonts w:ascii="Calibri" w:hAnsiTheme="minorHAnsi" w:cstheme="minorHAnsi"/>
                <w:szCs w:val="22"/>
              </w:rPr>
              <w:t xml:space="preserve">IN THE </w:t>
            </w:r>
            <w:r w:rsidR="004C2904" w:rsidRPr="00077691">
              <w:rPr>
                <w:rFonts w:ascii="Calibri" w:hAnsiTheme="minorHAnsi" w:cstheme="minorHAnsi"/>
                <w:szCs w:val="22"/>
              </w:rPr>
              <w:t xml:space="preserve">County Court </w:t>
            </w:r>
            <w:r w:rsidR="00332FE7">
              <w:rPr>
                <w:rFonts w:ascii="Calibri" w:hAnsiTheme="minorHAnsi" w:cstheme="minorHAnsi"/>
                <w:szCs w:val="22"/>
              </w:rPr>
              <w:t xml:space="preserve">sitting </w:t>
            </w:r>
            <w:r w:rsidR="004C2904" w:rsidRPr="00077691">
              <w:rPr>
                <w:rFonts w:ascii="Calibri" w:hAnsiTheme="minorHAnsi" w:cstheme="minorHAnsi"/>
                <w:szCs w:val="22"/>
              </w:rPr>
              <w:t>at</w:t>
            </w:r>
            <w:r w:rsidR="00332FE7">
              <w:rPr>
                <w:rFonts w:ascii="Calibri" w:hAnsiTheme="minorHAnsi" w:cstheme="minorHAnsi"/>
                <w:szCs w:val="22"/>
              </w:rPr>
              <w:t xml:space="preserve"> </w:t>
            </w:r>
          </w:p>
        </w:tc>
      </w:tr>
      <w:tr w14:paraId="152603AA" w14:textId="77777777" w:rsidR="0082385E" w:rsidRPr="00077691" w:rsidTr="0082385E">
        <w:tc>
          <w:tcPr>
            <w:hideMark/>
            <w:gridSpan w:val="3"/>
            <w:tcW w:w="9016" w:type="dxa"/>
          </w:tcPr>
          <w:p w:rsidR="0082385E" w:rsidRDefault="0082385E" w14:paraId="06C6D6AB" w14:textId="77777777" w:rsidP="000861BF" w:rsidRPr="00077691">
            <w:pPr>
              <w:spacing w:before="120" w:after="120" w:line="480" w:lineRule="auto"/>
              <w:rPr>
                <w:rFonts w:ascii="Calibri" w:hAnsiTheme="minorHAnsi" w:cstheme="minorHAnsi"/>
                <w:szCs w:val="22"/>
              </w:rPr>
            </w:pPr>
            <w:r w:rsidRPr="00077691">
              <w:rPr>
                <w:rFonts w:ascii="Calibri" w:hAnsiTheme="minorHAnsi" w:cstheme="minorHAnsi"/>
                <w:szCs w:val="22"/>
              </w:rPr>
              <w:t>BETWEEN</w:t>
            </w:r>
          </w:p>
        </w:tc>
      </w:tr>
      <w:tr w14:paraId="3C43A0D9" w14:textId="77777777" w:rsidR="0082385E" w:rsidRPr="00077691" w:rsidTr="0082385E">
        <w:tc>
          <w:tcPr>
            <w:tcW w:w="1838" w:type="dxa"/>
          </w:tcPr>
          <w:p w:rsidR="0082385E" w:rsidRDefault="0082385E" w14:paraId="6E67444E" w14:textId="77777777" w:rsidP="000861BF" w:rsidRPr="00077691">
            <w:pPr>
              <w:spacing w:before="120" w:after="120" w:line="480" w:lineRule="auto"/>
              <w:rPr>
                <w:rFonts w:ascii="Calibri" w:hAnsiTheme="minorHAnsi" w:cstheme="minorHAnsi"/>
                <w:szCs w:val="22"/>
              </w:rPr>
            </w:pPr>
          </w:p>
        </w:tc>
        <w:tc>
          <w:tcPr>
            <w:hideMark/>
            <w:tcW w:w="5528" w:type="dxa"/>
          </w:tcPr>
          <w:p w:rsidR="0082385E" w:rsidRDefault="0067541A" w14:paraId="0AB46358" w14:textId="7A8332B2" w:rsidP="000861BF" w:rsidRPr="00E02B7C">
            <w:pPr>
              <w:jc w:val="center"/>
              <w:spacing w:before="120" w:after="120" w:line="480" w:lineRule="auto"/>
              <w:rPr>
                <w:color w:val="C00000"/>
                <w:rFonts w:ascii="Calibri" w:hAnsiTheme="minorHAnsi" w:cstheme="minorHAnsi"/>
                <w:szCs w:val="22"/>
              </w:rPr>
            </w:pPr>
            <w:r w:rsidRPr="002E526D">
              <w:rPr>
                <w:color w:val="FF0000"/>
                <w:rFonts w:ascii="Calibri" w:hAnsiTheme="minorHAnsi" w:cstheme="minorHAnsi"/>
                <w:szCs w:val="22"/>
              </w:rPr>
              <w:t>[C</w:t>
            </w:r>
            <w:r w:rsidR="00E02B7C" w:rsidRPr="002E526D">
              <w:rPr>
                <w:color w:val="FF0000"/>
                <w:rFonts w:ascii="Calibri" w:hAnsiTheme="minorHAnsi" w:cstheme="minorHAnsi"/>
                <w:szCs w:val="22"/>
              </w:rPr>
              <w:t xml:space="preserve">laimant </w:t>
            </w:r>
            <w:r w:rsidRPr="002E526D">
              <w:rPr>
                <w:color w:val="FF0000"/>
                <w:rFonts w:ascii="Calibri" w:hAnsiTheme="minorHAnsi" w:cstheme="minorHAnsi"/>
                <w:szCs w:val="22"/>
              </w:rPr>
              <w:t>Name]</w:t>
            </w:r>
          </w:p>
        </w:tc>
        <w:tc>
          <w:tcPr>
            <w:hideMark/>
            <w:tcW w:w="1650" w:type="dxa"/>
          </w:tcPr>
          <w:p w:rsidR="0082385E" w:rsidRDefault="004856EF" w14:paraId="4553D5F3" w14:textId="3B72A894" w:rsidP="000861BF" w:rsidRPr="00077691">
            <w:pPr>
              <w:spacing w:before="120" w:after="120" w:line="480" w:lineRule="auto"/>
              <w:rPr>
                <w:rFonts w:ascii="Calibri" w:hAnsiTheme="minorHAnsi" w:cstheme="minorHAnsi"/>
                <w:szCs w:val="22"/>
              </w:rPr>
            </w:pPr>
            <w:r>
              <w:rPr>
                <w:rFonts w:ascii="Calibri" w:hAnsiTheme="minorHAnsi" w:cstheme="minorHAnsi"/>
                <w:szCs w:val="22"/>
              </w:rPr>
              <w:t>(</w:t>
            </w:r>
            <w:r w:rsidR="003A732D" w:rsidRPr="00077691">
              <w:rPr>
                <w:rFonts w:ascii="Calibri" w:hAnsiTheme="minorHAnsi" w:cstheme="minorHAnsi"/>
                <w:szCs w:val="22"/>
              </w:rPr>
              <w:t>Claimant</w:t>
            </w:r>
            <w:r>
              <w:rPr>
                <w:rFonts w:ascii="Calibri" w:hAnsiTheme="minorHAnsi" w:cstheme="minorHAnsi"/>
                <w:szCs w:val="22"/>
              </w:rPr>
              <w:t>)</w:t>
            </w:r>
          </w:p>
        </w:tc>
      </w:tr>
      <w:tr w14:paraId="13ED3A29" w14:textId="77777777" w:rsidR="0082385E" w:rsidRPr="00077691" w:rsidTr="0082385E">
        <w:tc>
          <w:tcPr>
            <w:tcW w:w="1838" w:type="dxa"/>
          </w:tcPr>
          <w:p w:rsidR="0082385E" w:rsidRDefault="0082385E" w14:paraId="097E68F2" w14:textId="77777777" w:rsidP="000861BF" w:rsidRPr="00077691">
            <w:pPr>
              <w:spacing w:before="120" w:after="120" w:line="480" w:lineRule="auto"/>
              <w:rPr>
                <w:rFonts w:ascii="Calibri" w:hAnsiTheme="minorHAnsi" w:cstheme="minorHAnsi"/>
                <w:szCs w:val="22"/>
              </w:rPr>
            </w:pPr>
          </w:p>
        </w:tc>
        <w:tc>
          <w:tcPr>
            <w:hideMark/>
            <w:tcW w:w="5528" w:type="dxa"/>
          </w:tcPr>
          <w:p w:rsidR="0082385E" w:rsidRDefault="0082385E" w14:paraId="518CC3A9" w14:textId="77777777" w:rsidP="000861BF" w:rsidRPr="00077691">
            <w:pPr>
              <w:jc w:val="center"/>
              <w:spacing w:before="120" w:after="120" w:line="480" w:lineRule="auto"/>
              <w:rPr>
                <w:rFonts w:ascii="Calibri" w:hAnsiTheme="minorHAnsi" w:cstheme="minorHAnsi"/>
                <w:szCs w:val="22"/>
              </w:rPr>
            </w:pPr>
            <w:r w:rsidRPr="00077691">
              <w:rPr>
                <w:rFonts w:ascii="Calibri" w:hAnsiTheme="minorHAnsi" w:cstheme="minorHAnsi"/>
                <w:szCs w:val="22"/>
              </w:rPr>
              <w:t>AND</w:t>
            </w:r>
          </w:p>
        </w:tc>
        <w:tc>
          <w:tcPr>
            <w:tcW w:w="1650" w:type="dxa"/>
          </w:tcPr>
          <w:p w:rsidR="0082385E" w:rsidRDefault="0082385E" w14:paraId="203B09A1" w14:textId="77777777" w:rsidP="000861BF" w:rsidRPr="00077691">
            <w:pPr>
              <w:spacing w:before="120" w:after="120" w:line="480" w:lineRule="auto"/>
              <w:rPr>
                <w:rFonts w:ascii="Calibri" w:hAnsiTheme="minorHAnsi" w:cstheme="minorHAnsi"/>
                <w:szCs w:val="22"/>
              </w:rPr>
            </w:pPr>
          </w:p>
        </w:tc>
      </w:tr>
      <w:tr w14:paraId="04A5C1D2" w14:textId="77777777" w:rsidR="0082385E" w:rsidRPr="00077691" w:rsidTr="0082385E">
        <w:tc>
          <w:tcPr>
            <w:tcW w:w="1838" w:type="dxa"/>
          </w:tcPr>
          <w:p w:rsidR="0082385E" w:rsidRDefault="0082385E" w14:paraId="0EDCF41D" w14:textId="77777777" w:rsidP="000861BF" w:rsidRPr="00077691">
            <w:pPr>
              <w:spacing w:before="120" w:after="120" w:line="480" w:lineRule="auto"/>
              <w:rPr>
                <w:rFonts w:ascii="Calibri" w:hAnsiTheme="minorHAnsi" w:cstheme="minorHAnsi"/>
                <w:szCs w:val="22"/>
              </w:rPr>
            </w:pPr>
          </w:p>
        </w:tc>
        <w:tc>
          <w:tcPr>
            <w:hideMark/>
            <w:tcW w:w="5528" w:type="dxa"/>
          </w:tcPr>
          <w:p w:rsidR="0082385E" w:rsidRDefault="005E4F74" w14:paraId="4D8DBF5F" w14:textId="21A5302D" w:rsidP="005E4F74" w:rsidRPr="00077691">
            <w:pPr>
              <w:jc w:val="center"/>
              <w:spacing w:before="120" w:after="120" w:line="480" w:lineRule="auto"/>
              <w:rPr>
                <w:rFonts w:ascii="Calibri" w:hAnsiTheme="minorHAnsi" w:cstheme="minorHAnsi"/>
                <w:szCs w:val="22"/>
              </w:rPr>
            </w:pPr>
            <w:r w:rsidRPr="002E526D">
              <w:rPr>
                <w:color w:val="FF0000"/>
                <w:rFonts w:ascii="Calibri" w:hAnsiTheme="minorHAnsi" w:cstheme="minorHAnsi"/>
                <w:szCs w:val="22"/>
              </w:rPr>
              <w:t>[D</w:t>
            </w:r>
            <w:r w:rsidR="003A732D" w:rsidRPr="002E526D">
              <w:rPr>
                <w:color w:val="FF0000"/>
                <w:rFonts w:ascii="Calibri" w:hAnsiTheme="minorHAnsi" w:cstheme="minorHAnsi"/>
                <w:szCs w:val="22"/>
              </w:rPr>
              <w:t>efendant</w:t>
            </w:r>
            <w:r w:rsidRPr="002E526D">
              <w:rPr>
                <w:color w:val="FF0000"/>
                <w:rFonts w:ascii="Calibri" w:hAnsiTheme="minorHAnsi" w:cstheme="minorHAnsi"/>
                <w:szCs w:val="22"/>
              </w:rPr>
              <w:t>/</w:t>
            </w:r>
            <w:r w:rsidR="003A732D" w:rsidRPr="002E526D">
              <w:rPr>
                <w:color w:val="FF0000"/>
                <w:rFonts w:ascii="Calibri" w:hAnsiTheme="minorHAnsi" w:cstheme="minorHAnsi"/>
                <w:szCs w:val="22"/>
              </w:rPr>
              <w:t xml:space="preserve">s </w:t>
            </w:r>
            <w:r w:rsidRPr="002E526D">
              <w:rPr>
                <w:color w:val="FF0000"/>
                <w:rFonts w:ascii="Calibri" w:hAnsiTheme="minorHAnsi" w:cstheme="minorHAnsi"/>
                <w:szCs w:val="22"/>
              </w:rPr>
              <w:t>N</w:t>
            </w:r>
            <w:r w:rsidR="003A732D" w:rsidRPr="002E526D">
              <w:rPr>
                <w:color w:val="FF0000"/>
                <w:rFonts w:ascii="Calibri" w:hAnsiTheme="minorHAnsi" w:cstheme="minorHAnsi"/>
                <w:szCs w:val="22"/>
              </w:rPr>
              <w:t>ame</w:t>
            </w:r>
            <w:r w:rsidRPr="002E526D">
              <w:rPr>
                <w:color w:val="FF0000"/>
                <w:rFonts w:ascii="Calibri" w:hAnsiTheme="minorHAnsi" w:cstheme="minorHAnsi"/>
                <w:szCs w:val="22"/>
              </w:rPr>
              <w:t>]</w:t>
            </w:r>
          </w:p>
        </w:tc>
        <w:tc>
          <w:tcPr>
            <w:hideMark/>
            <w:tcW w:w="1650" w:type="dxa"/>
          </w:tcPr>
          <w:p w:rsidR="0082385E" w:rsidRDefault="004856EF" w14:paraId="51F37A40" w14:textId="6D55F925" w:rsidP="000861BF" w:rsidRPr="00077691">
            <w:pPr>
              <w:spacing w:before="120" w:after="120" w:line="480" w:lineRule="auto"/>
              <w:rPr>
                <w:rFonts w:ascii="Calibri" w:hAnsiTheme="minorHAnsi" w:cstheme="minorHAnsi"/>
                <w:szCs w:val="22"/>
              </w:rPr>
            </w:pPr>
            <w:r>
              <w:rPr>
                <w:rFonts w:ascii="Calibri" w:hAnsiTheme="minorHAnsi" w:cstheme="minorHAnsi"/>
                <w:szCs w:val="22"/>
              </w:rPr>
              <w:t>(</w:t>
            </w:r>
            <w:r w:rsidR="003A732D" w:rsidRPr="00077691">
              <w:rPr>
                <w:rFonts w:ascii="Calibri" w:hAnsiTheme="minorHAnsi" w:cstheme="minorHAnsi"/>
                <w:szCs w:val="22"/>
              </w:rPr>
              <w:t>Defendant</w:t>
            </w:r>
            <w:r>
              <w:rPr>
                <w:rFonts w:ascii="Calibri" w:hAnsiTheme="minorHAnsi" w:cstheme="minorHAnsi"/>
                <w:szCs w:val="22"/>
              </w:rPr>
              <w:t>/s)</w:t>
            </w:r>
          </w:p>
        </w:tc>
      </w:tr>
      <w:tr w14:paraId="42D88834" w14:textId="77777777" w:rsidR="0082385E" w:rsidRPr="00077691" w:rsidTr="0082385E">
        <w:tc>
          <w:tcPr>
            <w:tcBorders>
              <w:top w:val="nil" w:sz="0" w:color="auto" w:space="0"/>
              <w:bottom w:val="single" w:sz="4" w:color="auto" w:space="0"/>
              <w:left w:val="nil" w:sz="0" w:color="auto" w:space="0"/>
              <w:right w:val="nil" w:sz="0" w:color="auto" w:space="0"/>
            </w:tcBorders>
            <w:tcW w:w="1838" w:type="dxa"/>
          </w:tcPr>
          <w:p w:rsidR="0082385E" w:rsidRDefault="0082385E" w14:paraId="66093D39" w14:textId="77777777" w:rsidP="000861BF" w:rsidRPr="00077691">
            <w:pPr>
              <w:spacing w:before="120" w:after="120" w:line="480" w:lineRule="auto"/>
              <w:rPr>
                <w:rFonts w:ascii="Calibri" w:hAnsiTheme="minorHAnsi" w:cstheme="minorHAnsi"/>
                <w:szCs w:val="22"/>
              </w:rPr>
            </w:pPr>
          </w:p>
        </w:tc>
        <w:tc>
          <w:tcPr>
            <w:tcBorders>
              <w:top w:val="nil" w:sz="0" w:color="auto" w:space="0"/>
              <w:bottom w:val="single" w:sz="4" w:color="auto" w:space="0"/>
              <w:left w:val="nil" w:sz="0" w:color="auto" w:space="0"/>
              <w:right w:val="nil" w:sz="0" w:color="auto" w:space="0"/>
            </w:tcBorders>
            <w:tcW w:w="5528" w:type="dxa"/>
          </w:tcPr>
          <w:p w:rsidR="0082385E" w:rsidRDefault="0082385E" w14:paraId="0B7EACCB" w14:textId="77777777" w:rsidP="000861BF" w:rsidRPr="00077691">
            <w:pPr>
              <w:jc w:val="center"/>
              <w:spacing w:before="120" w:after="120" w:line="480" w:lineRule="auto"/>
              <w:rPr>
                <w:rFonts w:ascii="Calibri" w:hAnsiTheme="minorHAnsi" w:cstheme="minorHAnsi"/>
                <w:szCs w:val="22"/>
              </w:rPr>
            </w:pPr>
          </w:p>
        </w:tc>
        <w:tc>
          <w:tcPr>
            <w:tcBorders>
              <w:top w:val="nil" w:sz="0" w:color="auto" w:space="0"/>
              <w:bottom w:val="single" w:sz="4" w:color="auto" w:space="0"/>
              <w:left w:val="nil" w:sz="0" w:color="auto" w:space="0"/>
              <w:right w:val="nil" w:sz="0" w:color="auto" w:space="0"/>
            </w:tcBorders>
            <w:tcW w:w="1650" w:type="dxa"/>
          </w:tcPr>
          <w:p w:rsidR="0082385E" w:rsidRDefault="0082385E" w14:paraId="15B7AF9B" w14:textId="77777777" w:rsidP="000861BF" w:rsidRPr="00077691">
            <w:pPr>
              <w:spacing w:before="120" w:after="120" w:line="480" w:lineRule="auto"/>
              <w:rPr>
                <w:rFonts w:ascii="Calibri" w:hAnsiTheme="minorHAnsi" w:cstheme="minorHAnsi"/>
                <w:szCs w:val="22"/>
              </w:rPr>
            </w:pPr>
          </w:p>
        </w:tc>
      </w:tr>
      <w:tr w14:paraId="4F88AAD3" w14:textId="77777777" w:rsidR="0082385E" w:rsidRPr="00077691" w:rsidTr="0082385E">
        <w:tc>
          <w:tcPr>
            <w:hideMark/>
            <w:gridSpan w:val="3"/>
            <w:tcBorders>
              <w:top w:val="single" w:sz="4" w:color="auto" w:space="0"/>
              <w:bottom w:val="single" w:sz="4" w:color="auto" w:space="0"/>
              <w:left w:val="nil" w:sz="0" w:color="auto" w:space="0"/>
              <w:right w:val="nil" w:sz="0" w:color="auto" w:space="0"/>
            </w:tcBorders>
            <w:tcW w:w="9016" w:type="dxa"/>
          </w:tcPr>
          <w:p w:rsidR="004C2904" w:rsidRDefault="003A732D" w14:paraId="34B99B54" w14:textId="4B966E7D" w:rsidP="005E4F74" w:rsidRPr="00077691">
            <w:pPr>
              <w:jc w:val="center"/>
              <w:spacing w:before="120" w:after="120" w:line="480" w:lineRule="auto"/>
              <w:rPr>
                <w:rFonts w:ascii="Calibri" w:hAnsiTheme="minorHAnsi" w:cstheme="minorHAnsi"/>
                <w:szCs w:val="22"/>
              </w:rPr>
            </w:pPr>
            <w:r w:rsidRPr="00077691">
              <w:rPr>
                <w:rFonts w:ascii="Calibri" w:hAnsiTheme="minorHAnsi" w:cstheme="minorHAnsi"/>
                <w:szCs w:val="22"/>
              </w:rPr>
              <w:t>Defen</w:t>
            </w:r>
            <w:r w:rsidR="00553D86" w:rsidRPr="00077691">
              <w:rPr>
                <w:rFonts w:ascii="Calibri" w:hAnsiTheme="minorHAnsi" w:cstheme="minorHAnsi"/>
                <w:szCs w:val="22"/>
              </w:rPr>
              <w:t>ce and Counterclaim</w:t>
            </w:r>
          </w:p>
        </w:tc>
      </w:tr>
    </w:tbl>
    <w:p w:rsidR="003230D9" w:rsidRDefault="003230D9" w14:paraId="490E3B2A" w14:textId="77777777" w:rsidP="000861BF" w:rsidRPr="00077691">
      <w:pPr>
        <w:ind w:left="360"/>
        <w:spacing w:line="480" w:lineRule="auto"/>
        <w:rPr>
          <w:rFonts w:ascii="Calibri" w:hAnsiTheme="minorHAnsi" w:cstheme="minorHAnsi"/>
          <w:szCs w:val="22"/>
        </w:rPr>
      </w:pPr>
    </w:p>
    <w:p w:rsidR="003A732D" w:rsidRDefault="003230D9" w14:paraId="4200A448" w14:textId="428CD3E1" w:rsidP="000861BF" w:rsidRPr="00077691">
      <w:pPr>
        <w:ind w:left="360"/>
        <w:spacing w:line="480" w:lineRule="auto"/>
        <w:rPr>
          <w:rFonts w:ascii="Calibri" w:hAnsiTheme="minorHAnsi" w:cstheme="minorHAnsi"/>
          <w:szCs w:val="22"/>
        </w:rPr>
      </w:pPr>
      <w:r w:rsidRPr="00077691">
        <w:rPr>
          <w:rFonts w:ascii="Calibri" w:hAnsiTheme="minorHAnsi" w:cstheme="minorHAnsi"/>
          <w:szCs w:val="22"/>
        </w:rPr>
        <w:t>I,</w:t>
      </w:r>
      <w:r w:rsidR="0082385E" w:rsidRPr="00077691">
        <w:rPr>
          <w:rFonts w:ascii="Calibri" w:hAnsiTheme="minorHAnsi" w:cstheme="minorHAnsi"/>
          <w:szCs w:val="22"/>
        </w:rPr>
        <w:t xml:space="preserve"> </w:t>
      </w:r>
      <w:r w:rsidR="003A732D" w:rsidRPr="00077691">
        <w:rPr>
          <w:color w:val="FF0000"/>
          <w:rFonts w:ascii="Calibri" w:hAnsiTheme="minorHAnsi" w:cstheme="minorHAnsi"/>
          <w:szCs w:val="22"/>
        </w:rPr>
        <w:t>[</w:t>
      </w:r>
      <w:r w:rsidR="001F1381">
        <w:rPr>
          <w:color w:val="FF0000"/>
          <w:rFonts w:ascii="Calibri" w:hAnsiTheme="minorHAnsi" w:cstheme="minorHAnsi"/>
          <w:szCs w:val="22"/>
        </w:rPr>
        <w:t>name</w:t>
      </w:r>
      <w:r w:rsidR="003A732D" w:rsidRPr="00077691">
        <w:rPr>
          <w:color w:val="FF0000"/>
          <w:rFonts w:ascii="Calibri" w:hAnsiTheme="minorHAnsi" w:cstheme="minorHAnsi"/>
          <w:szCs w:val="22"/>
        </w:rPr>
        <w:t>]</w:t>
      </w:r>
      <w:r w:rsidR="0082385E" w:rsidRPr="00077691">
        <w:rPr>
          <w:rFonts w:ascii="Calibri" w:hAnsiTheme="minorHAnsi" w:cstheme="minorHAnsi"/>
          <w:szCs w:val="22"/>
        </w:rPr>
        <w:t xml:space="preserve"> of </w:t>
      </w:r>
      <w:r w:rsidR="003A732D" w:rsidRPr="00077691">
        <w:rPr>
          <w:color w:val="FF0000"/>
          <w:rFonts w:ascii="Calibri" w:hAnsiTheme="minorHAnsi" w:cstheme="minorHAnsi"/>
          <w:szCs w:val="22"/>
        </w:rPr>
        <w:t>[address]</w:t>
      </w:r>
      <w:r w:rsidR="0082385E" w:rsidRPr="00077691">
        <w:rPr>
          <w:rFonts w:ascii="Calibri" w:hAnsiTheme="minorHAnsi" w:cstheme="minorHAnsi"/>
          <w:szCs w:val="22"/>
        </w:rPr>
        <w:t xml:space="preserve">, currently </w:t>
      </w:r>
      <w:r w:rsidR="00CF753E" w:rsidRPr="002E526D">
        <w:rPr>
          <w:color w:val="FF0000"/>
          <w:rFonts w:ascii="Calibri" w:hAnsiTheme="minorHAnsi" w:cstheme="minorHAnsi"/>
          <w:szCs w:val="22"/>
        </w:rPr>
        <w:t>[occupation</w:t>
      </w:r>
      <w:r w:rsidR="00645359" w:rsidRPr="002E526D">
        <w:rPr>
          <w:color w:val="FF0000"/>
          <w:rFonts w:ascii="Calibri" w:hAnsiTheme="minorHAnsi" w:cstheme="minorHAnsi"/>
          <w:szCs w:val="22"/>
        </w:rPr>
        <w:t>, retired or unemployed]</w:t>
      </w:r>
      <w:r w:rsidR="0082385E" w:rsidRPr="00077691">
        <w:rPr>
          <w:rFonts w:ascii="Calibri" w:hAnsiTheme="minorHAnsi" w:cstheme="minorHAnsi"/>
          <w:szCs w:val="22"/>
        </w:rPr>
        <w:t xml:space="preserve"> and the </w:t>
      </w:r>
      <w:r w:rsidR="003A732D" w:rsidRPr="00077691">
        <w:rPr>
          <w:rFonts w:ascii="Calibri" w:hAnsiTheme="minorHAnsi" w:cstheme="minorHAnsi"/>
          <w:szCs w:val="22"/>
        </w:rPr>
        <w:t>defendant</w:t>
      </w:r>
      <w:r w:rsidR="0082385E" w:rsidRPr="00077691">
        <w:rPr>
          <w:rFonts w:ascii="Calibri" w:hAnsiTheme="minorHAnsi" w:cstheme="minorHAnsi"/>
          <w:szCs w:val="22"/>
        </w:rPr>
        <w:t xml:space="preserve"> in this matter, </w:t>
      </w:r>
      <w:r w:rsidRPr="00077691">
        <w:rPr>
          <w:rFonts w:ascii="Calibri" w:hAnsiTheme="minorHAnsi" w:cstheme="minorHAnsi"/>
          <w:szCs w:val="22"/>
        </w:rPr>
        <w:t>make this statement</w:t>
      </w:r>
      <w:r w:rsidR="003A732D" w:rsidRPr="00077691">
        <w:rPr>
          <w:rFonts w:ascii="Calibri" w:hAnsiTheme="minorHAnsi" w:cstheme="minorHAnsi"/>
          <w:szCs w:val="22"/>
        </w:rPr>
        <w:t xml:space="preserve"> of case</w:t>
      </w:r>
      <w:r w:rsidRPr="00077691">
        <w:rPr>
          <w:rFonts w:ascii="Calibri" w:hAnsiTheme="minorHAnsi" w:cstheme="minorHAnsi"/>
          <w:szCs w:val="22"/>
        </w:rPr>
        <w:t xml:space="preserve"> in support of my</w:t>
      </w:r>
      <w:r w:rsidR="003B7B50" w:rsidRPr="00077691">
        <w:rPr>
          <w:rFonts w:ascii="Calibri" w:hAnsiTheme="minorHAnsi" w:cstheme="minorHAnsi"/>
          <w:szCs w:val="22"/>
        </w:rPr>
        <w:t xml:space="preserve"> </w:t>
      </w:r>
      <w:r w:rsidR="003A732D" w:rsidRPr="00077691">
        <w:rPr>
          <w:rFonts w:ascii="Calibri" w:hAnsiTheme="minorHAnsi" w:cstheme="minorHAnsi"/>
          <w:szCs w:val="22"/>
        </w:rPr>
        <w:t>defence</w:t>
      </w:r>
      <w:r w:rsidR="00553D86" w:rsidRPr="00077691">
        <w:rPr>
          <w:rFonts w:ascii="Calibri" w:hAnsiTheme="minorHAnsi" w:cstheme="minorHAnsi"/>
          <w:szCs w:val="22"/>
        </w:rPr>
        <w:t xml:space="preserve"> form N11M</w:t>
      </w:r>
      <w:r w:rsidR="003A732D" w:rsidRPr="00077691">
        <w:rPr>
          <w:rFonts w:ascii="Calibri" w:hAnsiTheme="minorHAnsi" w:cstheme="minorHAnsi"/>
          <w:szCs w:val="22"/>
        </w:rPr>
        <w:t xml:space="preserve"> to the possession claim/money claim issued on </w:t>
      </w:r>
      <w:r w:rsidR="004856EF" w:rsidRPr="002847DA">
        <w:rPr>
          <w:color w:val="FF0000"/>
          <w:rFonts w:ascii="Calibri" w:hAnsiTheme="minorHAnsi" w:cstheme="minorHAnsi"/>
          <w:szCs w:val="22"/>
        </w:rPr>
        <w:t>[date</w:t>
      </w:r>
      <w:r w:rsidR="002847DA" w:rsidRPr="002847DA">
        <w:rPr>
          <w:color w:val="FF0000"/>
          <w:rFonts w:ascii="Calibri" w:hAnsiTheme="minorHAnsi" w:cstheme="minorHAnsi"/>
          <w:szCs w:val="22"/>
        </w:rPr>
        <w:t>]</w:t>
      </w:r>
      <w:r w:rsidR="00553D86" w:rsidRPr="002847DA">
        <w:rPr>
          <w:color w:val="FF0000"/>
          <w:rFonts w:ascii="Calibri" w:hAnsiTheme="minorHAnsi" w:cstheme="minorHAnsi"/>
          <w:szCs w:val="22"/>
        </w:rPr>
        <w:t xml:space="preserve"> </w:t>
      </w:r>
      <w:r w:rsidR="00553D86" w:rsidRPr="00077691">
        <w:rPr>
          <w:rFonts w:ascii="Calibri" w:hAnsiTheme="minorHAnsi" w:cstheme="minorHAnsi"/>
          <w:szCs w:val="22"/>
        </w:rPr>
        <w:t xml:space="preserve">and counterclaim for a time order under s129 Consumer Credit Act 1974. </w:t>
      </w:r>
    </w:p>
    <w:p w:rsidR="003878C2" w:rsidRDefault="003A732D" w14:paraId="2DAB38D2" w14:textId="14486C35" w:rsidP="000861BF" w:rsidRPr="00077691">
      <w:pPr>
        <w:ind w:left="360"/>
        <w:spacing w:line="480" w:lineRule="auto"/>
        <w:rPr>
          <w:color w:val="FF0000"/>
          <w:rFonts w:ascii="Calibri" w:hAnsiTheme="minorHAnsi" w:cstheme="minorHAnsi"/>
          <w:szCs w:val="22"/>
        </w:rPr>
      </w:pPr>
      <w:r w:rsidRPr="00077691">
        <w:rPr>
          <w:rFonts w:ascii="Calibri" w:hAnsiTheme="minorHAnsi" w:cstheme="minorHAnsi"/>
          <w:szCs w:val="22"/>
        </w:rPr>
        <w:t xml:space="preserve">An </w:t>
        <w:lastRenderedPageBreak/>
      </w:r>
      <w:r w:rsidRPr="00077691">
        <w:rPr>
          <w:color w:val="FF0000"/>
          <w:rFonts w:ascii="Calibri" w:hAnsiTheme="minorHAnsi" w:cstheme="minorHAnsi"/>
          <w:szCs w:val="22"/>
        </w:rPr>
        <w:t xml:space="preserve">N9B/N11M </w:t>
      </w:r>
      <w:r w:rsidRPr="00077691">
        <w:rPr>
          <w:rFonts w:ascii="Calibri" w:hAnsiTheme="minorHAnsi" w:cstheme="minorHAnsi"/>
          <w:szCs w:val="22"/>
        </w:rPr>
        <w:t xml:space="preserve">was filed with the court on </w:t>
      </w:r>
      <w:r w:rsidR="002F7A1A">
        <w:rPr>
          <w:color w:val="FF0000"/>
          <w:rFonts w:ascii="Calibri" w:hAnsiTheme="minorHAnsi" w:cstheme="minorHAnsi"/>
          <w:szCs w:val="22"/>
        </w:rPr>
        <w:t>[date</w:t>
      </w:r>
      <w:r w:rsidR="00382D02">
        <w:rPr>
          <w:color w:val="FF0000"/>
          <w:rFonts w:ascii="Calibri" w:hAnsiTheme="minorHAnsi" w:cstheme="minorHAnsi"/>
          <w:szCs w:val="22"/>
        </w:rPr>
        <w:t xml:space="preserve">, </w:t>
      </w:r>
      <w:r w:rsidR="000C192F" w:rsidRPr="00077691">
        <w:rPr>
          <w:color w:val="FF0000"/>
          <w:rFonts w:ascii="Calibri" w:hAnsiTheme="minorHAnsi" w:cstheme="minorHAnsi"/>
          <w:szCs w:val="22"/>
        </w:rPr>
        <w:t xml:space="preserve">or has been filed with this statement of case]. </w:t>
      </w:r>
    </w:p>
    <w:p w:rsidR="003230D9" w:rsidRDefault="009673E8" w14:paraId="1CAFA1E3" w14:textId="39ADD7E7" w:rsidP="000861BF" w:rsidRPr="00077691">
      <w:pPr>
        <w:ind w:left="360"/>
        <w:spacing w:line="480" w:lineRule="auto"/>
        <w:rPr>
          <w:rFonts w:ascii="Calibri" w:hAnsiTheme="minorHAnsi" w:cstheme="minorHAnsi"/>
          <w:szCs w:val="22"/>
        </w:rPr>
      </w:pPr>
      <w:r>
        <w:rPr>
          <w:rFonts w:ascii="Calibri" w:hAnsiTheme="minorHAnsi" w:cstheme="minorHAnsi"/>
          <w:szCs w:val="22"/>
        </w:rPr>
        <w:t xml:space="preserve">The </w:t>
      </w:r>
      <w:r w:rsidR="00851563">
        <w:rPr>
          <w:rFonts w:ascii="Calibri" w:hAnsiTheme="minorHAnsi" w:cstheme="minorHAnsi"/>
          <w:szCs w:val="22"/>
        </w:rPr>
        <w:t xml:space="preserve">defendant has </w:t>
      </w:r>
      <w:r w:rsidR="003230D9" w:rsidRPr="00077691">
        <w:rPr>
          <w:rFonts w:ascii="Calibri" w:hAnsiTheme="minorHAnsi" w:cstheme="minorHAnsi"/>
          <w:szCs w:val="22"/>
        </w:rPr>
        <w:t>received help in drafting th</w:t>
      </w:r>
      <w:r w:rsidR="00837C14">
        <w:rPr>
          <w:rFonts w:ascii="Calibri" w:hAnsiTheme="minorHAnsi" w:cstheme="minorHAnsi"/>
          <w:szCs w:val="22"/>
        </w:rPr>
        <w:t>is statement of case</w:t>
      </w:r>
      <w:r w:rsidR="003230D9" w:rsidRPr="00077691">
        <w:rPr>
          <w:rFonts w:ascii="Calibri" w:hAnsiTheme="minorHAnsi" w:cstheme="minorHAnsi"/>
          <w:szCs w:val="22"/>
        </w:rPr>
        <w:t xml:space="preserve"> from</w:t>
      </w:r>
      <w:r w:rsidR="004C2904" w:rsidRPr="00077691">
        <w:rPr>
          <w:rFonts w:ascii="Calibri" w:hAnsiTheme="minorHAnsi" w:cstheme="minorHAnsi"/>
          <w:szCs w:val="22"/>
        </w:rPr>
        <w:t xml:space="preserve"> </w:t>
      </w:r>
      <w:r w:rsidR="009D0C59" w:rsidRPr="009D0C59">
        <w:rPr>
          <w:color w:val="FF0000"/>
          <w:rFonts w:ascii="Calibri" w:hAnsiTheme="minorHAnsi" w:cstheme="minorHAnsi"/>
          <w:szCs w:val="22"/>
        </w:rPr>
        <w:t>[adviser name]</w:t>
      </w:r>
      <w:r w:rsidR="003A732D" w:rsidRPr="00077691">
        <w:rPr>
          <w:rFonts w:ascii="Calibri" w:hAnsiTheme="minorHAnsi" w:cstheme="minorHAnsi"/>
          <w:szCs w:val="22"/>
        </w:rPr>
        <w:t xml:space="preserve"> </w:t>
      </w:r>
      <w:r w:rsidR="00E32088" w:rsidRPr="00077691">
        <w:rPr>
          <w:rFonts w:ascii="Calibri" w:hAnsiTheme="minorHAnsi" w:cstheme="minorHAnsi"/>
          <w:szCs w:val="22"/>
        </w:rPr>
        <w:t xml:space="preserve">of </w:t>
      </w:r>
      <w:r w:rsidR="00E40E4D" w:rsidRPr="00E40E4D">
        <w:rPr>
          <w:color w:val="FF0000"/>
          <w:rFonts w:ascii="Calibri" w:hAnsiTheme="minorHAnsi" w:cstheme="minorHAnsi"/>
          <w:szCs w:val="22"/>
        </w:rPr>
        <w:t>[advice agency name]</w:t>
      </w:r>
      <w:r w:rsidR="00E32088" w:rsidRPr="00E40E4D">
        <w:rPr>
          <w:color w:val="FF0000"/>
          <w:rFonts w:ascii="Calibri" w:hAnsiTheme="minorHAnsi" w:cstheme="minorHAnsi"/>
          <w:szCs w:val="22"/>
        </w:rPr>
        <w:t xml:space="preserve"> </w:t>
      </w:r>
      <w:r w:rsidR="00E32088" w:rsidRPr="00077691">
        <w:rPr>
          <w:rFonts w:ascii="Calibri" w:hAnsiTheme="minorHAnsi" w:cstheme="minorHAnsi"/>
          <w:szCs w:val="22"/>
        </w:rPr>
        <w:t xml:space="preserve">and </w:t>
      </w:r>
      <w:r w:rsidR="003A732D" w:rsidRPr="00077691">
        <w:rPr>
          <w:rFonts w:ascii="Calibri" w:hAnsiTheme="minorHAnsi" w:cstheme="minorHAnsi"/>
          <w:szCs w:val="22"/>
        </w:rPr>
        <w:t xml:space="preserve">Shelter’s Specialist Debt Advice Service.  </w:t>
      </w:r>
      <w:r w:rsidR="003230D9" w:rsidRPr="00077691">
        <w:rPr>
          <w:rFonts w:ascii="Calibri" w:hAnsiTheme="minorHAnsi" w:cstheme="minorHAnsi"/>
          <w:szCs w:val="22"/>
        </w:rPr>
        <w:t xml:space="preserve">  </w:t>
      </w:r>
    </w:p>
    <w:p w:rsidR="00A809B3" w:rsidRDefault="00A809B3" w14:paraId="18E253E4" w14:textId="77777777" w:rsidP="000861BF" w:rsidRPr="00077691">
      <w:pPr>
        <w:spacing w:line="480" w:lineRule="auto"/>
        <w:rPr>
          <w:b/>
          <w:rFonts w:ascii="Calibri" w:hAnsiTheme="minorHAnsi" w:cstheme="minorHAnsi"/>
          <w:szCs w:val="22"/>
        </w:rPr>
      </w:pPr>
      <w:r w:rsidRPr="00077691">
        <w:rPr>
          <w:b/>
          <w:rFonts w:ascii="Calibri" w:hAnsiTheme="minorHAnsi" w:cstheme="minorHAnsi"/>
          <w:szCs w:val="22"/>
        </w:rPr>
        <w:t>Grounds of defence</w:t>
      </w:r>
    </w:p>
    <w:p w:rsidR="000A212F" w:rsidRDefault="000A212F" w14:paraId="3DB8FDD0" w14:textId="7F2F2C1A" w:rsidP="000861BF" w:rsidRPr="00077691">
      <w:pPr>
        <w:pStyle w:val="ListParagraph"/>
        <w:numPr>
          <w:ilvl w:val="0"/>
          <w:numId w:val="33"/>
        </w:numPr>
        <w:spacing w:line="480" w:lineRule="auto"/>
        <w:rPr>
          <w:rFonts w:ascii="Calibri" w:hAnsiTheme="minorHAnsi" w:cstheme="minorHAnsi"/>
        </w:rPr>
      </w:pPr>
      <w:r w:rsidRPr="00077691">
        <w:rPr>
          <w:rFonts w:ascii="Calibri" w:hAnsiTheme="minorHAnsi" w:cstheme="minorHAnsi"/>
        </w:rPr>
        <w:t xml:space="preserve">The defendant denies the claimant’s right to possession on the grounds stated below. </w:t>
      </w:r>
      <w:r w:rsidR="009B64FA" w:rsidRPr="00077691">
        <w:rPr>
          <w:color w:val="FF0000"/>
          <w:rFonts w:ascii="Calibri" w:hAnsiTheme="minorHAnsi" w:cstheme="minorHAnsi"/>
        </w:rPr>
        <w:t xml:space="preserve">Note that these are template pleadings, you </w:t>
      </w:r>
      <w:r w:rsidR="00800589">
        <w:rPr>
          <w:color w:val="FF0000"/>
          <w:rFonts w:ascii="Calibri" w:hAnsiTheme="minorHAnsi" w:cstheme="minorHAnsi"/>
        </w:rPr>
        <w:t>will need to amend details as appropriate to your case</w:t>
      </w:r>
      <w:r w:rsidR="009B64FA" w:rsidRPr="00077691">
        <w:rPr>
          <w:color w:val="FF0000"/>
          <w:rFonts w:ascii="Calibri" w:hAnsiTheme="minorHAnsi" w:cstheme="minorHAnsi"/>
        </w:rPr>
        <w:t>.</w:t>
      </w:r>
    </w:p>
    <w:p w:rsidR="000A212F" w:rsidRDefault="000A212F" w14:paraId="7CEDDFF0" w14:textId="52CF4033" w:rsidP="000861BF" w:rsidRPr="00077691">
      <w:pPr>
        <w:pStyle w:val="ListParagraph"/>
        <w:numPr>
          <w:ilvl w:val="0"/>
          <w:numId w:val="33"/>
        </w:numPr>
        <w:spacing w:line="480" w:lineRule="auto"/>
        <w:rPr>
          <w:rFonts w:ascii="Calibri" w:hAnsiTheme="minorHAnsi" w:cstheme="minorHAnsi"/>
        </w:rPr>
      </w:pPr>
      <w:r w:rsidRPr="00077691">
        <w:rPr>
          <w:rFonts w:ascii="Calibri" w:hAnsiTheme="minorHAnsi" w:cstheme="minorHAnsi"/>
        </w:rPr>
        <w:t>The defendant admits entering into a</w:t>
      </w:r>
      <w:r w:rsidR="00533372">
        <w:rPr>
          <w:rFonts w:ascii="Calibri" w:hAnsiTheme="minorHAnsi" w:cstheme="minorHAnsi"/>
        </w:rPr>
        <w:t xml:space="preserve"> </w:t>
      </w:r>
      <w:r w:rsidR="009B64FA" w:rsidRPr="00077691">
        <w:rPr>
          <w:rFonts w:ascii="Calibri" w:hAnsiTheme="minorHAnsi" w:cstheme="minorHAnsi"/>
        </w:rPr>
        <w:t xml:space="preserve">legal charge </w:t>
      </w:r>
      <w:r w:rsidR="00F66B70">
        <w:rPr>
          <w:rFonts w:ascii="Calibri" w:hAnsiTheme="minorHAnsi" w:cstheme="minorHAnsi"/>
        </w:rPr>
        <w:t>in respect of</w:t>
      </w:r>
      <w:r w:rsidRPr="00077691">
        <w:rPr>
          <w:rFonts w:ascii="Calibri" w:hAnsiTheme="minorHAnsi" w:cstheme="minorHAnsi"/>
        </w:rPr>
        <w:t xml:space="preserve"> the specified property on </w:t>
      </w:r>
      <w:r w:rsidR="00AA4467" w:rsidRPr="00AA4467">
        <w:rPr>
          <w:color w:val="FF0000"/>
          <w:rFonts w:ascii="Calibri" w:hAnsiTheme="minorHAnsi" w:cstheme="minorHAnsi"/>
        </w:rPr>
        <w:t>[date]</w:t>
      </w:r>
      <w:r w:rsidRPr="00077691">
        <w:rPr>
          <w:rFonts w:ascii="Calibri" w:hAnsiTheme="minorHAnsi" w:cstheme="minorHAnsi"/>
        </w:rPr>
        <w:t>.</w:t>
      </w:r>
    </w:p>
    <w:p w:rsidR="000A212F" w:rsidRDefault="000A212F" w14:paraId="4CB4F00D" w14:textId="77777777" w:rsidP="000861BF" w:rsidRPr="00077691">
      <w:pPr>
        <w:pStyle w:val="ListParagraph"/>
        <w:numPr>
          <w:ilvl w:val="0"/>
          <w:numId w:val="33"/>
        </w:numPr>
        <w:spacing w:line="480" w:lineRule="auto"/>
        <w:rPr>
          <w:rFonts w:ascii="Calibri" w:hAnsiTheme="minorHAnsi" w:cstheme="minorHAnsi"/>
        </w:rPr>
      </w:pPr>
      <w:r w:rsidRPr="00077691">
        <w:rPr>
          <w:rFonts w:ascii="Calibri" w:hAnsiTheme="minorHAnsi" w:cstheme="minorHAnsi"/>
        </w:rPr>
        <w:t>The defendant admits being in</w:t>
      </w:r>
      <w:r w:rsidR="004C2904" w:rsidRPr="00077691">
        <w:rPr>
          <w:rFonts w:ascii="Calibri" w:hAnsiTheme="minorHAnsi" w:cstheme="minorHAnsi"/>
        </w:rPr>
        <w:t xml:space="preserve"> sole</w:t>
      </w:r>
      <w:r w:rsidRPr="00077691">
        <w:rPr>
          <w:rFonts w:ascii="Calibri" w:hAnsiTheme="minorHAnsi" w:cstheme="minorHAnsi"/>
        </w:rPr>
        <w:t xml:space="preserve"> possession of the property.</w:t>
      </w:r>
    </w:p>
    <w:p w:rsidR="000A212F" w:rsidRDefault="000A212F" w14:paraId="5469F1EC" w14:textId="5A0DB117" w:rsidP="000861BF" w:rsidRPr="00077691">
      <w:pPr>
        <w:pStyle w:val="ListParagraph"/>
        <w:numPr>
          <w:ilvl w:val="0"/>
          <w:numId w:val="33"/>
        </w:numPr>
        <w:spacing w:line="480" w:lineRule="auto"/>
        <w:rPr>
          <w:rFonts w:ascii="Calibri" w:hAnsiTheme="minorHAnsi" w:cstheme="minorHAnsi"/>
        </w:rPr>
      </w:pPr>
      <w:r w:rsidRPr="00077691">
        <w:rPr>
          <w:rFonts w:ascii="Calibri" w:hAnsiTheme="minorHAnsi" w:cstheme="minorHAnsi"/>
        </w:rPr>
        <w:t>The defendant admits the loan secured on the property is not</w:t>
      </w:r>
      <w:r w:rsidR="009B64FA" w:rsidRPr="00077691">
        <w:rPr>
          <w:rFonts w:ascii="Calibri" w:hAnsiTheme="minorHAnsi" w:cstheme="minorHAnsi"/>
        </w:rPr>
        <w:t xml:space="preserve"> currently</w:t>
      </w:r>
      <w:r w:rsidRPr="00077691">
        <w:rPr>
          <w:rFonts w:ascii="Calibri" w:hAnsiTheme="minorHAnsi" w:cstheme="minorHAnsi"/>
        </w:rPr>
        <w:t xml:space="preserve"> a regulated consumer credit agreement. </w:t>
      </w:r>
    </w:p>
    <w:p w:rsidR="000A212F" w:rsidRDefault="000A212F" w14:paraId="5FEB2DB1" w14:textId="370553E5" w:rsidP="002E6B7A" w:rsidRPr="002E6B7A">
      <w:pPr>
        <w:pStyle w:val="ListParagraph"/>
        <w:numPr>
          <w:ilvl w:val="0"/>
          <w:numId w:val="33"/>
        </w:numPr>
        <w:spacing w:line="480" w:lineRule="auto"/>
        <w:rPr>
          <w:rFonts w:ascii="Calibri" w:hAnsiTheme="minorHAnsi" w:cstheme="minorHAnsi"/>
        </w:rPr>
      </w:pPr>
      <w:r w:rsidRPr="00077691">
        <w:rPr>
          <w:rFonts w:ascii="Calibri" w:hAnsiTheme="minorHAnsi" w:cstheme="minorHAnsi"/>
        </w:rPr>
        <w:t xml:space="preserve">The defendant admits the amounts of the loan </w:t>
      </w:r>
      <w:r w:rsidR="001332E6" w:rsidRPr="00077691">
        <w:rPr>
          <w:rFonts w:ascii="Calibri" w:hAnsiTheme="minorHAnsi" w:cstheme="minorHAnsi"/>
        </w:rPr>
        <w:t>and ne</w:t>
      </w:r>
      <w:r w:rsidR="00AE0D3D" w:rsidRPr="00077691">
        <w:rPr>
          <w:rFonts w:ascii="Calibri" w:hAnsiTheme="minorHAnsi" w:cstheme="minorHAnsi"/>
        </w:rPr>
        <w:t>i</w:t>
      </w:r>
      <w:r w:rsidR="001332E6" w:rsidRPr="00077691">
        <w:rPr>
          <w:rFonts w:ascii="Calibri" w:hAnsiTheme="minorHAnsi" w:cstheme="minorHAnsi"/>
        </w:rPr>
        <w:t xml:space="preserve">ther admits nor denies the </w:t>
      </w:r>
      <w:r w:rsidR="009B64FA" w:rsidRPr="00077691">
        <w:rPr>
          <w:rFonts w:ascii="Calibri" w:hAnsiTheme="minorHAnsi" w:cstheme="minorHAnsi"/>
        </w:rPr>
        <w:t>charge for credit</w:t>
      </w:r>
      <w:r w:rsidR="001332E6" w:rsidRPr="00077691">
        <w:rPr>
          <w:rFonts w:ascii="Calibri" w:hAnsiTheme="minorHAnsi" w:cstheme="minorHAnsi"/>
        </w:rPr>
        <w:t xml:space="preserve"> stated</w:t>
      </w:r>
      <w:r w:rsidRPr="00077691">
        <w:rPr>
          <w:rFonts w:ascii="Calibri" w:hAnsiTheme="minorHAnsi" w:cstheme="minorHAnsi"/>
        </w:rPr>
        <w:t xml:space="preserve">. </w:t>
      </w:r>
    </w:p>
    <w:p w:rsidR="00EC2B5F" w:rsidRDefault="00EC2B5F" w14:paraId="2A41D678" w14:textId="103C3111" w:rsidP="000861BF" w:rsidRPr="00077691">
      <w:pPr>
        <w:pStyle w:val="ListParagraph"/>
        <w:numPr>
          <w:ilvl w:val="0"/>
          <w:numId w:val="33"/>
        </w:numPr>
        <w:spacing w:line="480" w:lineRule="auto"/>
        <w:rPr>
          <w:rFonts w:ascii="Calibri" w:hAnsiTheme="minorHAnsi" w:cstheme="minorHAnsi"/>
        </w:rPr>
      </w:pPr>
      <w:r w:rsidRPr="00077691">
        <w:rPr>
          <w:rFonts w:ascii="Calibri" w:hAnsiTheme="minorHAnsi" w:cstheme="minorHAnsi"/>
        </w:rPr>
        <w:t xml:space="preserve">The defendant is in receipt of </w:t>
      </w:r>
      <w:r w:rsidR="004F1B76">
        <w:rPr>
          <w:color w:val="FF0000"/>
          <w:rFonts w:ascii="Calibri" w:hAnsiTheme="minorHAnsi" w:cstheme="minorHAnsi"/>
        </w:rPr>
        <w:t>[</w:t>
      </w:r>
      <w:r w:rsidR="006E1EB6">
        <w:rPr>
          <w:color w:val="FF0000"/>
          <w:rFonts w:ascii="Calibri" w:hAnsiTheme="minorHAnsi" w:cstheme="minorHAnsi"/>
        </w:rPr>
        <w:t>details</w:t>
      </w:r>
      <w:r w:rsidR="004F1B76">
        <w:rPr>
          <w:color w:val="FF0000"/>
          <w:rFonts w:ascii="Calibri" w:hAnsiTheme="minorHAnsi" w:cstheme="minorHAnsi"/>
        </w:rPr>
        <w:t xml:space="preserve"> of income]</w:t>
      </w:r>
      <w:r w:rsidR="004F1B76" w:rsidRPr="004F1B76">
        <w:rPr>
          <w:rFonts w:ascii="Calibri" w:hAnsiTheme="minorHAnsi" w:cstheme="minorHAnsi"/>
        </w:rPr>
        <w:t>.</w:t>
      </w:r>
      <w:r w:rsidRPr="004F1B76">
        <w:rPr>
          <w:rFonts w:ascii="Calibri" w:hAnsiTheme="minorHAnsi" w:cstheme="minorHAnsi"/>
        </w:rPr>
        <w:t xml:space="preserve"> </w:t>
      </w:r>
    </w:p>
    <w:p w:rsidR="006C5929" w:rsidRDefault="006C5929" w14:paraId="3ACD91B6" w14:textId="77777777" w:rsidP="000861BF" w:rsidRPr="00077691">
      <w:pPr>
        <w:pStyle w:val="ListParagraph"/>
        <w:spacing w:line="480" w:lineRule="auto"/>
        <w:rPr>
          <w:b/>
          <w:rFonts w:ascii="Calibri" w:hAnsiTheme="minorHAnsi" w:cstheme="minorHAnsi"/>
        </w:rPr>
      </w:pPr>
      <w:r w:rsidRPr="00077691">
        <w:rPr>
          <w:b/>
          <w:rFonts w:ascii="Calibri" w:hAnsiTheme="minorHAnsi" w:cstheme="minorHAnsi"/>
        </w:rPr>
        <w:t>Counterclaim</w:t>
      </w:r>
    </w:p>
    <w:p w:rsidR="009B64FA" w:rsidRDefault="009B64FA" w14:paraId="0401A042" w14:textId="77777777" w:rsidP="000861BF" w:rsidRPr="00077691">
      <w:pPr>
        <w:pStyle w:val="ListParagraph"/>
        <w:numPr>
          <w:ilvl w:val="0"/>
          <w:numId w:val="33"/>
        </w:numPr>
        <w:spacing w:line="480" w:lineRule="auto"/>
        <w:rPr>
          <w:rFonts w:ascii="Calibri" w:hAnsiTheme="minorHAnsi" w:cstheme="minorHAnsi"/>
        </w:rPr>
      </w:pPr>
      <w:r w:rsidRPr="00077691">
        <w:rPr>
          <w:rFonts w:ascii="Calibri" w:hAnsiTheme="minorHAnsi" w:cstheme="minorHAnsi"/>
        </w:rPr>
        <w:t>When the agreement was executed it was a Regulated Credit Agreement within the definition in the Consumer Credit Act 1974.</w:t>
      </w:r>
    </w:p>
    <w:p w:rsidR="009B64FA" w:rsidRDefault="009B64FA" w14:paraId="4D6DBB93" w14:textId="113AB5CB" w:rsidP="009B64FA" w:rsidRPr="00077691">
      <w:pPr>
        <w:pStyle w:val="ListParagraph"/>
        <w:numPr>
          <w:ilvl w:val="0"/>
          <w:numId w:val="33"/>
        </w:numPr>
        <w:spacing w:after="240" w:line="360" w:lineRule="auto"/>
        <w:rPr>
          <w:lang w:eastAsia="en-GB"/>
          <w:rFonts w:ascii="Calibri" w:hAnsiTheme="minorHAnsi" w:cstheme="minorHAnsi"/>
        </w:rPr>
      </w:pPr>
      <w:r w:rsidRPr="00077691">
        <w:rPr>
          <w:lang w:eastAsia="en-GB"/>
          <w:rFonts w:ascii="Calibri" w:hAnsiTheme="minorHAnsi" w:cstheme="minorHAnsi"/>
        </w:rPr>
        <w:t xml:space="preserve">The agreement became a </w:t>
      </w:r>
      <w:r w:rsidR="00077691" w:rsidRPr="00077691">
        <w:rPr>
          <w:lang w:eastAsia="en-GB"/>
          <w:rFonts w:ascii="Calibri" w:hAnsiTheme="minorHAnsi" w:cstheme="minorHAnsi"/>
        </w:rPr>
        <w:t>R</w:t>
      </w:r>
      <w:r w:rsidRPr="00077691">
        <w:rPr>
          <w:lang w:eastAsia="en-GB"/>
          <w:rFonts w:ascii="Calibri" w:hAnsiTheme="minorHAnsi" w:cstheme="minorHAnsi"/>
        </w:rPr>
        <w:t xml:space="preserve">egulated </w:t>
      </w:r>
      <w:r w:rsidR="00077691" w:rsidRPr="00077691">
        <w:rPr>
          <w:lang w:eastAsia="en-GB"/>
          <w:rFonts w:ascii="Calibri" w:hAnsiTheme="minorHAnsi" w:cstheme="minorHAnsi"/>
        </w:rPr>
        <w:t>M</w:t>
      </w:r>
      <w:r w:rsidRPr="00077691">
        <w:rPr>
          <w:lang w:eastAsia="en-GB"/>
          <w:rFonts w:ascii="Calibri" w:hAnsiTheme="minorHAnsi" w:cstheme="minorHAnsi"/>
        </w:rPr>
        <w:t xml:space="preserve">ortgage </w:t>
      </w:r>
      <w:r w:rsidR="00077691" w:rsidRPr="00077691">
        <w:rPr>
          <w:lang w:eastAsia="en-GB"/>
          <w:rFonts w:ascii="Calibri" w:hAnsiTheme="minorHAnsi" w:cstheme="minorHAnsi"/>
        </w:rPr>
        <w:t>C</w:t>
      </w:r>
      <w:r w:rsidRPr="00077691">
        <w:rPr>
          <w:lang w:eastAsia="en-GB"/>
          <w:rFonts w:ascii="Calibri" w:hAnsiTheme="minorHAnsi" w:cstheme="minorHAnsi"/>
        </w:rPr>
        <w:t xml:space="preserve">ontract on 21 May 2016 by virtue of the Mortgage Credit Directive Order 2015.  Certain Consumer Credit Act requirements were still to be enforced, including (but not limited to) the issue of statutory default notices, statutory notices of sums in arrears, and the time order provisions. </w:t>
      </w:r>
    </w:p>
    <w:p w:rsidR="009B64FA" w:rsidRDefault="009B64FA" w14:paraId="05C1C7B4" w14:textId="77777777" w:rsidP="009B64FA" w:rsidRPr="00077691">
      <w:pPr>
        <w:pStyle w:val="ListParagraph"/>
        <w:numPr>
          <w:ilvl w:val="0"/>
          <w:numId w:val="33"/>
        </w:numPr>
        <w:spacing w:after="240" w:line="360" w:lineRule="auto"/>
        <w:rPr>
          <w:lang w:eastAsia="en-GB"/>
          <w:rFonts w:ascii="Calibri" w:hAnsiTheme="minorHAnsi" w:cstheme="minorHAnsi"/>
        </w:rPr>
      </w:pPr>
      <w:r w:rsidRPr="00077691">
        <w:rPr>
          <w:lang w:eastAsia="en-GB"/>
          <w:rFonts w:ascii="Calibri" w:hAnsiTheme="minorHAnsi" w:cstheme="minorHAnsi"/>
        </w:rPr>
        <w:t xml:space="preserve">Consumer Credit Act regulation at the outset would allow the court to engage the Time Order provisions to </w:t>
        <w:lastRenderedPageBreak/>
      </w:r>
      <w:r w:rsidRPr="00077691">
        <w:rPr>
          <w:iCs/>
          <w:lang w:eastAsia="en-GB"/>
          <w:i/>
          <w:rFonts w:ascii="Calibri" w:hAnsiTheme="minorHAnsi" w:cstheme="minorHAnsi"/>
        </w:rPr>
        <w:t xml:space="preserve">amend the agreement in consequence of the order </w:t>
      </w:r>
      <w:r w:rsidRPr="00077691">
        <w:rPr>
          <w:lang w:eastAsia="en-GB"/>
          <w:rFonts w:ascii="Calibri" w:hAnsiTheme="minorHAnsi" w:cstheme="minorHAnsi"/>
        </w:rPr>
        <w:t>– s136.  This is not withstanding the transfer of regulation to the FCA, who have confirmed in their Perimeter Guidance Manual (PERG) at 4.17.</w:t>
      </w:r>
      <w:r w:rsidRPr="00077691">
        <w:rPr>
          <w:lang w:eastAsia="en-GB"/>
          <w:i/>
          <w:rFonts w:ascii="Calibri" w:hAnsiTheme="minorHAnsi" w:cstheme="minorHAnsi"/>
        </w:rPr>
        <w:t>2 “It therefore follows that, for example, the CCA provisions relating to time orders apply to regulated mortgage contracts”</w:t>
      </w:r>
      <w:r w:rsidRPr="00077691">
        <w:rPr>
          <w:lang w:eastAsia="en-GB"/>
          <w:rFonts w:ascii="Calibri" w:hAnsiTheme="minorHAnsi" w:cstheme="minorHAnsi"/>
        </w:rPr>
        <w:t>.</w:t>
      </w:r>
    </w:p>
    <w:p w:rsidR="00DB5D19" w:rsidRDefault="00134910" w14:paraId="7616FAEF" w14:textId="77777777" w:rsidP="000861BF" w:rsidRPr="00077691">
      <w:pPr>
        <w:pStyle w:val="ListParagraph"/>
        <w:numPr>
          <w:ilvl w:val="0"/>
          <w:numId w:val="33"/>
        </w:numPr>
        <w:spacing w:line="480" w:lineRule="auto"/>
        <w:rPr>
          <w:rFonts w:ascii="Calibri" w:hAnsiTheme="minorHAnsi" w:cstheme="minorHAnsi"/>
        </w:rPr>
      </w:pPr>
      <w:r w:rsidRPr="00077691">
        <w:rPr>
          <w:rFonts w:ascii="Calibri" w:hAnsiTheme="minorHAnsi" w:cstheme="minorHAnsi"/>
        </w:rPr>
        <w:t xml:space="preserve"> </w:t>
      </w:r>
      <w:r w:rsidR="00EC2B5F" w:rsidRPr="00077691">
        <w:rPr>
          <w:rFonts w:ascii="Calibri" w:hAnsiTheme="minorHAnsi" w:cstheme="minorHAnsi"/>
        </w:rPr>
        <w:t>The mortgage is a Regulated Mortgage Contract</w:t>
      </w:r>
      <w:r w:rsidR="004C2904" w:rsidRPr="00077691">
        <w:rPr>
          <w:rFonts w:ascii="Calibri" w:hAnsiTheme="minorHAnsi" w:cstheme="minorHAnsi"/>
        </w:rPr>
        <w:t xml:space="preserve"> (hereafter RMC)</w:t>
      </w:r>
      <w:r w:rsidR="00EC2B5F" w:rsidRPr="00077691">
        <w:rPr>
          <w:rFonts w:ascii="Calibri" w:hAnsiTheme="minorHAnsi" w:cstheme="minorHAnsi"/>
        </w:rPr>
        <w:t xml:space="preserve"> within the meaning of Article 61(3)(a) Financial Services</w:t>
      </w:r>
      <w:r w:rsidR="004C2904" w:rsidRPr="00077691">
        <w:rPr>
          <w:rFonts w:ascii="Calibri" w:hAnsiTheme="minorHAnsi" w:cstheme="minorHAnsi"/>
        </w:rPr>
        <w:t xml:space="preserve"> and Markets Act 2000</w:t>
      </w:r>
      <w:r w:rsidR="00EC2B5F" w:rsidRPr="00077691">
        <w:rPr>
          <w:rFonts w:ascii="Calibri" w:hAnsiTheme="minorHAnsi" w:cstheme="minorHAnsi"/>
        </w:rPr>
        <w:t xml:space="preserve"> </w:t>
      </w:r>
      <w:r w:rsidR="004C2904" w:rsidRPr="00077691">
        <w:rPr>
          <w:rFonts w:ascii="Calibri" w:hAnsiTheme="minorHAnsi" w:cstheme="minorHAnsi"/>
        </w:rPr>
        <w:t>(</w:t>
      </w:r>
      <w:r w:rsidR="00EC2B5F" w:rsidRPr="00077691">
        <w:rPr>
          <w:rFonts w:ascii="Calibri" w:hAnsiTheme="minorHAnsi" w:cstheme="minorHAnsi"/>
        </w:rPr>
        <w:t>Regulated Activities</w:t>
      </w:r>
      <w:r w:rsidR="004C2904" w:rsidRPr="00077691">
        <w:rPr>
          <w:rFonts w:ascii="Calibri" w:hAnsiTheme="minorHAnsi" w:cstheme="minorHAnsi"/>
        </w:rPr>
        <w:t>)</w:t>
      </w:r>
      <w:r w:rsidR="00EC2B5F" w:rsidRPr="00077691">
        <w:rPr>
          <w:rFonts w:ascii="Calibri" w:hAnsiTheme="minorHAnsi" w:cstheme="minorHAnsi"/>
        </w:rPr>
        <w:t xml:space="preserve"> Order</w:t>
      </w:r>
      <w:r w:rsidR="004C2904" w:rsidRPr="00077691">
        <w:rPr>
          <w:rFonts w:ascii="Calibri" w:hAnsiTheme="minorHAnsi" w:cstheme="minorHAnsi"/>
        </w:rPr>
        <w:t xml:space="preserve"> 2001/544</w:t>
      </w:r>
      <w:r w:rsidR="00EC2B5F" w:rsidRPr="00077691">
        <w:rPr>
          <w:rFonts w:ascii="Calibri" w:hAnsiTheme="minorHAnsi" w:cstheme="minorHAnsi"/>
        </w:rPr>
        <w:t xml:space="preserve"> and the FCA Perimeter Guidance Manual at PERG 4.4 </w:t>
      </w:r>
      <w:r w:rsidR="00EC2B5F" w:rsidRPr="00077691">
        <w:rPr>
          <w:i/>
          <w:rFonts w:ascii="Calibri" w:hAnsiTheme="minorHAnsi" w:cstheme="minorHAnsi"/>
        </w:rPr>
        <w:t xml:space="preserve">What is a regulated mortgage contract? </w:t>
      </w:r>
      <w:r w:rsidR="00EC2B5F" w:rsidRPr="00077691">
        <w:rPr>
          <w:rFonts w:ascii="Calibri" w:hAnsiTheme="minorHAnsi" w:cstheme="minorHAnsi"/>
        </w:rPr>
        <w:t>This mortgage meets the definition because:</w:t>
      </w:r>
    </w:p>
    <w:p w:rsidR="00EC2B5F" w:rsidRDefault="004C2904" w14:paraId="6AA5AC04" w14:textId="77777777" w:rsidP="000861BF" w:rsidRPr="00077691">
      <w:pPr>
        <w:pStyle w:val="ListParagraph"/>
        <w:numPr>
          <w:ilvl w:val="0"/>
          <w:numId w:val="34"/>
        </w:numPr>
        <w:spacing w:line="480" w:lineRule="auto"/>
        <w:rPr>
          <w:rFonts w:ascii="Calibri" w:hAnsiTheme="minorHAnsi" w:cstheme="minorHAnsi"/>
        </w:rPr>
      </w:pPr>
      <w:r w:rsidRPr="00077691">
        <w:rPr>
          <w:rFonts w:ascii="Calibri" w:hAnsiTheme="minorHAnsi" w:cstheme="minorHAnsi"/>
        </w:rPr>
        <w:t>t</w:t>
      </w:r>
      <w:r w:rsidR="00EC2B5F" w:rsidRPr="00077691">
        <w:rPr>
          <w:rFonts w:ascii="Calibri" w:hAnsiTheme="minorHAnsi" w:cstheme="minorHAnsi"/>
        </w:rPr>
        <w:t>he contract is one where a lender provides credit to an individual</w:t>
      </w:r>
    </w:p>
    <w:p w:rsidR="00EC2B5F" w:rsidRDefault="004C2904" w14:paraId="70C505C5" w14:textId="77777777" w:rsidP="000861BF" w:rsidRPr="00077691">
      <w:pPr>
        <w:pStyle w:val="ListParagraph"/>
        <w:numPr>
          <w:ilvl w:val="0"/>
          <w:numId w:val="34"/>
        </w:numPr>
        <w:spacing w:line="480" w:lineRule="auto"/>
        <w:rPr>
          <w:rFonts w:ascii="Calibri" w:hAnsiTheme="minorHAnsi" w:cstheme="minorHAnsi"/>
        </w:rPr>
      </w:pPr>
      <w:r w:rsidRPr="00077691">
        <w:rPr>
          <w:rFonts w:ascii="Calibri" w:hAnsiTheme="minorHAnsi" w:cstheme="minorHAnsi"/>
        </w:rPr>
        <w:t>the contract provides for the obligation of the borrower to repay to be secured on land in the EEA</w:t>
      </w:r>
    </w:p>
    <w:p w:rsidR="004C2904" w:rsidRDefault="004C2904" w14:paraId="517B3B1F" w14:textId="77777777" w:rsidP="000861BF" w:rsidRPr="00077691">
      <w:pPr>
        <w:pStyle w:val="ListParagraph"/>
        <w:numPr>
          <w:ilvl w:val="0"/>
          <w:numId w:val="34"/>
        </w:numPr>
        <w:spacing w:line="480" w:lineRule="auto"/>
        <w:rPr>
          <w:rFonts w:ascii="Calibri" w:hAnsiTheme="minorHAnsi" w:cstheme="minorHAnsi"/>
        </w:rPr>
      </w:pPr>
      <w:r w:rsidRPr="00077691">
        <w:rPr>
          <w:rFonts w:ascii="Calibri" w:hAnsiTheme="minorHAnsi" w:cstheme="minorHAnsi"/>
        </w:rPr>
        <w:t>at least 40% of that land is used as a dwelling</w:t>
      </w:r>
    </w:p>
    <w:p w:rsidR="004C2904" w:rsidRDefault="004C2904" w14:paraId="7F97E51B" w14:textId="77777777" w:rsidP="000861BF" w:rsidRPr="00077691">
      <w:pPr>
        <w:pStyle w:val="ListParagraph"/>
        <w:numPr>
          <w:ilvl w:val="0"/>
          <w:numId w:val="34"/>
        </w:numPr>
        <w:spacing w:line="480" w:lineRule="auto"/>
        <w:rPr>
          <w:rFonts w:ascii="Calibri" w:hAnsiTheme="minorHAnsi" w:cstheme="minorHAnsi"/>
        </w:rPr>
      </w:pPr>
      <w:r w:rsidRPr="00077691">
        <w:rPr>
          <w:rFonts w:ascii="Calibri" w:hAnsiTheme="minorHAnsi" w:cstheme="minorHAnsi"/>
        </w:rPr>
        <w:t>it is not exempt by virtue of being a loan to a commercial borrower, a second charge loan by a credit union, a second charge bridging loan excluded under PERG 4.4.27 G or a consumer buy to let loan</w:t>
      </w:r>
    </w:p>
    <w:p w:rsidR="004C2904" w:rsidRDefault="004C2904" w14:paraId="013D3CA4" w14:textId="77777777" w:rsidP="000861BF" w:rsidRPr="00077691">
      <w:pPr>
        <w:pStyle w:val="ListParagraph"/>
        <w:numPr>
          <w:ilvl w:val="0"/>
          <w:numId w:val="34"/>
        </w:numPr>
        <w:spacing w:line="480" w:lineRule="auto"/>
        <w:rPr>
          <w:rFonts w:ascii="Calibri" w:hAnsiTheme="minorHAnsi" w:cstheme="minorHAnsi"/>
        </w:rPr>
      </w:pPr>
      <w:r w:rsidRPr="00077691">
        <w:rPr>
          <w:rFonts w:ascii="Calibri" w:hAnsiTheme="minorHAnsi" w:cstheme="minorHAnsi"/>
        </w:rPr>
        <w:t>PERG 4.4.10 confirms the purpose of the loan is irrelevant</w:t>
      </w:r>
    </w:p>
    <w:p w:rsidR="0065182C" w:rsidRDefault="00A63989" w14:paraId="254C0E8F" w14:textId="73024A4A" w:rsidP="0065182C" w:rsidRPr="00077691">
      <w:pPr>
        <w:pStyle w:val="ListParagraph"/>
        <w:numPr>
          <w:ilvl w:val="0"/>
          <w:numId w:val="33"/>
        </w:numPr>
        <w:spacing w:line="480" w:lineRule="auto"/>
        <w:rPr>
          <w:rFonts w:ascii="Calibri" w:hAnsiTheme="minorHAnsi" w:cstheme="minorHAnsi"/>
        </w:rPr>
      </w:pPr>
      <w:r w:rsidRPr="00077691">
        <w:rPr>
          <w:rFonts w:ascii="Calibri" w:hAnsiTheme="minorHAnsi" w:cstheme="minorHAnsi"/>
        </w:rPr>
        <w:t xml:space="preserve">The Administration of Justice Acts 1970 (s36) and 1973 (s8) (hereafter AJAs) provide the court with a power to suspend possession on payment terms. However, </w:t>
      </w:r>
      <w:r w:rsidR="00BC7B4A">
        <w:rPr>
          <w:rFonts w:ascii="Calibri" w:hAnsiTheme="minorHAnsi" w:cstheme="minorHAnsi"/>
        </w:rPr>
        <w:t>I am</w:t>
      </w:r>
      <w:r w:rsidRPr="00077691">
        <w:rPr>
          <w:rFonts w:ascii="Calibri" w:hAnsiTheme="minorHAnsi" w:cstheme="minorHAnsi"/>
        </w:rPr>
        <w:t xml:space="preserve"> not able to make a proposal to pay the balance within a “reasonable period” as required by s36 AJA. </w:t>
      </w:r>
    </w:p>
    <w:p w:rsidR="00EC2B5F" w:rsidRDefault="006C5929" w14:paraId="71D75984" w14:textId="77777777" w:rsidP="000861BF" w:rsidRPr="00077691">
      <w:pPr>
        <w:pStyle w:val="ListParagraph"/>
        <w:numPr>
          <w:ilvl w:val="0"/>
          <w:numId w:val="33"/>
        </w:numPr>
        <w:spacing w:line="480" w:lineRule="auto"/>
        <w:rPr>
          <w:rFonts w:ascii="Calibri" w:hAnsiTheme="minorHAnsi" w:cstheme="minorHAnsi"/>
        </w:rPr>
      </w:pPr>
      <w:r w:rsidRPr="00077691">
        <w:rPr>
          <w:rFonts w:ascii="Calibri" w:hAnsiTheme="minorHAnsi" w:cstheme="minorHAnsi"/>
        </w:rPr>
        <w:t>The Consumer Credit Act 1974, s126 Enforcement of Land Mortgages was amended by the Financial Services and Markets Act 2000 (Regulated Activities) (Amendment) (No 2) Order 2013 Article 5(4) to include RMCs</w:t>
        <w:lastRenderedPageBreak/>
      </w:r>
      <w:r w:rsidR="00CA45BF" w:rsidRPr="00077691">
        <w:rPr>
          <w:rFonts w:ascii="Calibri" w:hAnsiTheme="minorHAnsi" w:cstheme="minorHAnsi"/>
        </w:rPr>
        <w:t xml:space="preserve"> as follows:</w:t>
      </w:r>
    </w:p>
    <w:p w:rsidR="00CA45BF" w:rsidRDefault="00CA45BF" w14:paraId="6D9212ED" w14:textId="77777777" w:rsidP="000861BF" w:rsidRPr="00077691">
      <w:pPr>
        <w:textAlignment w:val="baseline"/>
        <w:ind w:left="360"/>
        <w:spacing w:after="270" w:line="480" w:lineRule="auto"/>
        <w:rPr>
          <w:lang w:eastAsia="en-GB"/>
          <w:i/>
          <w:color w:val="333335"/>
          <w:rFonts w:ascii="Calibri" w:hAnsiTheme="minorHAnsi" w:cstheme="minorHAnsi"/>
          <w:szCs w:val="22"/>
        </w:rPr>
      </w:pPr>
      <w:r w:rsidRPr="00077691">
        <w:rPr>
          <w:lang w:eastAsia="en-GB"/>
          <w:i/>
          <w:color w:val="333335"/>
          <w:rFonts w:ascii="Calibri" w:hAnsiTheme="minorHAnsi" w:cstheme="minorHAnsi"/>
          <w:szCs w:val="22"/>
        </w:rPr>
        <w:t>“For section 126 (enforcement of land mortgages) substitute—</w:t>
      </w:r>
    </w:p>
    <w:p w:rsidR="00CA45BF" w:rsidRDefault="00CA45BF" w14:paraId="17ECFAF9" w14:textId="77777777" w:rsidP="000861BF" w:rsidRPr="00077691">
      <w:pPr>
        <w:textAlignment w:val="baseline"/>
        <w:pStyle w:val="ListParagraph"/>
        <w:spacing w:after="270" w:line="480" w:lineRule="auto"/>
        <w:rPr>
          <w:lang w:eastAsia="en-GB"/>
          <w:i/>
          <w:color w:val="333335"/>
          <w:rFonts w:ascii="Calibri" w:hAnsiTheme="minorHAnsi" w:cstheme="minorHAnsi"/>
        </w:rPr>
      </w:pPr>
      <w:r w:rsidRPr="00077691">
        <w:rPr>
          <w:lang w:eastAsia="en-GB"/>
          <w:i/>
          <w:color w:val="333335"/>
          <w:rFonts w:ascii="Calibri" w:hAnsiTheme="minorHAnsi" w:cstheme="minorHAnsi"/>
        </w:rPr>
        <w:t>“(1)     A land mortgage securing an agreement of one the following types is enforceable (so far as is provided in relation to the agreement) on an order of the court only—</w:t>
      </w:r>
    </w:p>
    <w:p w:rsidR="00CA45BF" w:rsidRDefault="00CA45BF" w14:paraId="7964D315" w14:textId="77777777" w:rsidP="000861BF" w:rsidRPr="00077691">
      <w:pPr>
        <w:textAlignment w:val="baseline"/>
        <w:pStyle w:val="ListParagraph"/>
        <w:spacing w:after="270" w:line="480" w:lineRule="auto"/>
        <w:rPr>
          <w:lang w:eastAsia="en-GB"/>
          <w:i/>
          <w:color w:val="333335"/>
          <w:rFonts w:ascii="Calibri" w:hAnsiTheme="minorHAnsi" w:cstheme="minorHAnsi"/>
        </w:rPr>
      </w:pPr>
      <w:r w:rsidRPr="00077691">
        <w:rPr>
          <w:lang w:eastAsia="en-GB"/>
          <w:i/>
          <w:color w:val="333335"/>
          <w:rFonts w:ascii="Calibri" w:hAnsiTheme="minorHAnsi" w:cstheme="minorHAnsi"/>
        </w:rPr>
        <w:t>(a)     a regulated agreement;</w:t>
      </w:r>
    </w:p>
    <w:p w:rsidR="00CA45BF" w:rsidRDefault="00CA45BF" w14:paraId="2C02C869" w14:textId="77777777" w:rsidP="000861BF" w:rsidRPr="00077691">
      <w:pPr>
        <w:textAlignment w:val="baseline"/>
        <w:pStyle w:val="ListParagraph"/>
        <w:spacing w:after="270" w:line="480" w:lineRule="auto"/>
        <w:rPr>
          <w:lang w:eastAsia="en-GB"/>
          <w:i/>
          <w:color w:val="333335"/>
          <w:rFonts w:ascii="Calibri" w:hAnsiTheme="minorHAnsi" w:cstheme="minorHAnsi"/>
        </w:rPr>
      </w:pPr>
      <w:r w:rsidRPr="00077691">
        <w:rPr>
          <w:lang w:eastAsia="en-GB"/>
          <w:i/>
          <w:color w:val="333335"/>
          <w:rFonts w:ascii="Calibri" w:hAnsiTheme="minorHAnsi" w:cstheme="minorHAnsi"/>
        </w:rPr>
        <w:t>(b)     a regulated mortgage contract;</w:t>
      </w:r>
    </w:p>
    <w:p w:rsidR="00CA45BF" w:rsidRDefault="00CA45BF" w14:paraId="01CF40AF" w14:textId="77777777" w:rsidP="000861BF" w:rsidRPr="00077691">
      <w:pPr>
        <w:textAlignment w:val="baseline"/>
        <w:pStyle w:val="ListParagraph"/>
        <w:spacing w:after="270" w:line="480" w:lineRule="auto"/>
        <w:rPr>
          <w:lang w:eastAsia="en-GB"/>
          <w:i/>
          <w:color w:val="333335"/>
          <w:rFonts w:ascii="Calibri" w:hAnsiTheme="minorHAnsi" w:cstheme="minorHAnsi"/>
        </w:rPr>
      </w:pPr>
      <w:r w:rsidRPr="00077691">
        <w:rPr>
          <w:lang w:eastAsia="en-GB"/>
          <w:i/>
          <w:color w:val="333335"/>
          <w:rFonts w:ascii="Calibri" w:hAnsiTheme="minorHAnsi" w:cstheme="minorHAnsi"/>
        </w:rPr>
        <w:t>(c)     a consumer credit agreement which would, but for article 60D of the Regulated Activities Order (exempt agreements: exemption relating to the purchase of land for non-residential purposes), be a regulated agreement.</w:t>
      </w:r>
    </w:p>
    <w:p w:rsidR="00870D1C" w:rsidRDefault="00870D1C" w14:paraId="06F13991" w14:textId="77777777" w:rsidP="000861BF" w:rsidRPr="00077691">
      <w:pPr>
        <w:textAlignment w:val="baseline"/>
        <w:shd w:fill="FFFFFF" w:color="auto" w:val="clear"/>
        <w:ind w:left="720"/>
        <w:spacing w:after="270" w:line="480" w:lineRule="auto"/>
        <w:rPr>
          <w:lang w:eastAsia="en-GB"/>
          <w:i/>
          <w:color w:val="333335"/>
          <w:rFonts w:ascii="Calibri" w:hAnsiTheme="minorHAnsi" w:cstheme="minorHAnsi"/>
          <w:szCs w:val="22"/>
        </w:rPr>
      </w:pPr>
      <w:r w:rsidRPr="00077691">
        <w:rPr>
          <w:lang w:eastAsia="en-GB"/>
          <w:i/>
          <w:color w:val="333335"/>
          <w:rFonts w:ascii="Calibri" w:hAnsiTheme="minorHAnsi" w:cstheme="minorHAnsi"/>
          <w:szCs w:val="22"/>
        </w:rPr>
        <w:t>(2)     Subject to section 140A(5) (unfair relationships between creditors and debtors), a regulated mortgage contract which would, but for article 60C(2) of the Regulated Activities Order (exempt agreements: exemption relating to the nature of the agreement), be a regulated agreement is to be treated for the purposes of Part 9 (judicial control) as if it were a regulated agreement.</w:t>
      </w:r>
    </w:p>
    <w:p w:rsidR="00870D1C" w:rsidRDefault="00870D1C" w14:paraId="6F3A27CC" w14:textId="77777777" w:rsidP="000861BF" w:rsidRPr="00077691">
      <w:pPr>
        <w:textAlignment w:val="baseline"/>
        <w:shd w:fill="FFFFFF" w:color="auto" w:val="clear"/>
        <w:ind w:left="720"/>
        <w:spacing w:after="270" w:line="480" w:lineRule="auto"/>
        <w:rPr>
          <w:lang w:eastAsia="en-GB"/>
          <w:i/>
          <w:color w:val="333335"/>
          <w:rFonts w:ascii="Calibri" w:hAnsiTheme="minorHAnsi" w:cstheme="minorHAnsi"/>
          <w:szCs w:val="22"/>
        </w:rPr>
      </w:pPr>
      <w:r w:rsidRPr="00077691">
        <w:rPr>
          <w:lang w:eastAsia="en-GB"/>
          <w:i/>
          <w:color w:val="333335"/>
          <w:rFonts w:ascii="Calibri" w:hAnsiTheme="minorHAnsi" w:cstheme="minorHAnsi"/>
          <w:szCs w:val="22"/>
        </w:rPr>
        <w:t>(3)     In this section, “regulated mortgage contract” has the meaning given by article 61(3) of the Regulated Activities Order (regulated mortgage contracts)).”.</w:t>
      </w:r>
    </w:p>
    <w:p w:rsidR="00870D1C" w:rsidRDefault="00870D1C" w14:paraId="2515AFD1" w14:textId="77777777" w:rsidP="000861BF" w:rsidRPr="00077691">
      <w:pPr>
        <w:pStyle w:val="ListParagraph"/>
        <w:numPr>
          <w:ilvl w:val="0"/>
          <w:numId w:val="33"/>
        </w:numPr>
        <w:spacing w:line="480" w:lineRule="auto"/>
        <w:rPr>
          <w:rFonts w:ascii="Calibri" w:hAnsiTheme="minorHAnsi" w:cstheme="minorHAnsi"/>
        </w:rPr>
      </w:pPr>
      <w:r w:rsidRPr="00077691">
        <w:rPr>
          <w:rFonts w:ascii="Calibri" w:hAnsiTheme="minorHAnsi" w:cstheme="minorHAnsi"/>
        </w:rPr>
        <w:t>Article 60C(2) of the Regulated Activities Order exempts RMCs from the Consumer Credit Act 1974 (hereafter CCA) except as specified above.</w:t>
      </w:r>
    </w:p>
    <w:p w:rsidR="00CA45BF" w:rsidRDefault="00870D1C" w14:paraId="4C06B313" w14:textId="0AD8CD51" w:rsidP="000861BF" w:rsidRPr="00077691">
      <w:pPr>
        <w:pStyle w:val="ListParagraph"/>
        <w:numPr>
          <w:ilvl w:val="0"/>
          <w:numId w:val="33"/>
        </w:numPr>
        <w:spacing w:line="480" w:lineRule="auto"/>
        <w:rPr>
          <w:rFonts w:ascii="Calibri" w:hAnsiTheme="minorHAnsi" w:cstheme="minorHAnsi"/>
        </w:rPr>
      </w:pPr>
      <w:r w:rsidRPr="00077691">
        <w:rPr>
          <w:rFonts w:ascii="Calibri" w:hAnsiTheme="minorHAnsi" w:cstheme="minorHAnsi"/>
        </w:rPr>
        <w:t>Part 9 (judicial control) C</w:t>
        <w:lastRenderedPageBreak/>
      </w:r>
      <w:r w:rsidR="00AA5352">
        <w:rPr>
          <w:rFonts w:ascii="Calibri" w:hAnsiTheme="minorHAnsi" w:cstheme="minorHAnsi"/>
        </w:rPr>
        <w:t>onsumer Credit Act 1974</w:t>
      </w:r>
      <w:r w:rsidRPr="00077691">
        <w:rPr>
          <w:rFonts w:ascii="Calibri" w:hAnsiTheme="minorHAnsi" w:cstheme="minorHAnsi"/>
        </w:rPr>
        <w:t xml:space="preserve"> contains the time order provisions. Therefore</w:t>
      </w:r>
      <w:r w:rsidR="00AA5352">
        <w:rPr>
          <w:rFonts w:ascii="Calibri" w:hAnsiTheme="minorHAnsi" w:cstheme="minorHAnsi"/>
        </w:rPr>
        <w:t>,</w:t>
      </w:r>
      <w:r w:rsidRPr="00077691">
        <w:rPr>
          <w:rFonts w:ascii="Calibri" w:hAnsiTheme="minorHAnsi" w:cstheme="minorHAnsi"/>
        </w:rPr>
        <w:t xml:space="preserve"> the provisions to be relied upon by the defendant in s129</w:t>
      </w:r>
      <w:r w:rsidR="000861BF" w:rsidRPr="00077691">
        <w:rPr>
          <w:rFonts w:ascii="Calibri" w:hAnsiTheme="minorHAnsi" w:cstheme="minorHAnsi"/>
        </w:rPr>
        <w:t xml:space="preserve"> (Time </w:t>
      </w:r>
      <w:r w:rsidR="00AA5352">
        <w:rPr>
          <w:rFonts w:ascii="Calibri" w:hAnsiTheme="minorHAnsi" w:cstheme="minorHAnsi"/>
        </w:rPr>
        <w:t>O</w:t>
      </w:r>
      <w:r w:rsidR="000861BF" w:rsidRPr="00077691">
        <w:rPr>
          <w:rFonts w:ascii="Calibri" w:hAnsiTheme="minorHAnsi" w:cstheme="minorHAnsi"/>
        </w:rPr>
        <w:t>rders)</w:t>
      </w:r>
      <w:r w:rsidRPr="00077691">
        <w:rPr>
          <w:rFonts w:ascii="Calibri" w:hAnsiTheme="minorHAnsi" w:cstheme="minorHAnsi"/>
        </w:rPr>
        <w:t xml:space="preserve"> and s136</w:t>
      </w:r>
      <w:r w:rsidR="000861BF" w:rsidRPr="00077691">
        <w:rPr>
          <w:rFonts w:ascii="Calibri" w:hAnsiTheme="minorHAnsi" w:cstheme="minorHAnsi"/>
        </w:rPr>
        <w:t xml:space="preserve"> (Power to vary agreements and securities)</w:t>
      </w:r>
      <w:r w:rsidRPr="00077691">
        <w:rPr>
          <w:rFonts w:ascii="Calibri" w:hAnsiTheme="minorHAnsi" w:cstheme="minorHAnsi"/>
        </w:rPr>
        <w:t xml:space="preserve"> apply to this agreement as it is an RMC. </w:t>
      </w:r>
    </w:p>
    <w:p w:rsidR="000861BF" w:rsidRDefault="000861BF" w14:paraId="3810CB0D" w14:textId="77777777" w:rsidP="000861BF" w:rsidRPr="00077691">
      <w:pPr>
        <w:pStyle w:val="ListParagraph"/>
        <w:numPr>
          <w:ilvl w:val="0"/>
          <w:numId w:val="33"/>
        </w:numPr>
        <w:spacing w:line="480" w:lineRule="auto"/>
        <w:rPr>
          <w:rFonts w:ascii="Calibri" w:hAnsiTheme="minorHAnsi" w:cstheme="minorHAnsi"/>
        </w:rPr>
      </w:pPr>
      <w:r w:rsidRPr="00077691">
        <w:rPr>
          <w:rFonts w:ascii="Calibri" w:hAnsiTheme="minorHAnsi" w:cstheme="minorHAnsi"/>
        </w:rPr>
        <w:t>This is confirmed in the FCA Perimeter Guidance Manual PERG 4.17.2 as follows:</w:t>
      </w:r>
    </w:p>
    <w:p w:rsidR="000861BF" w:rsidRDefault="000861BF" w14:paraId="774A81D1" w14:textId="77777777" w:rsidP="000861BF" w:rsidRPr="00077691">
      <w:pPr>
        <w:pStyle w:val="ListParagraph"/>
        <w:spacing w:line="480" w:lineRule="auto"/>
        <w:rPr>
          <w:i/>
          <w:rFonts w:ascii="Calibri" w:hAnsiTheme="minorHAnsi" w:cstheme="minorHAnsi"/>
        </w:rPr>
      </w:pPr>
      <w:r w:rsidRPr="00077691">
        <w:rPr>
          <w:i/>
          <w:color w:val="333333"/>
          <w:rFonts w:ascii="Calibri" w:eastAsia="Times New Roman" w:hAnsiTheme="minorHAnsi" w:cstheme="minorHAnsi"/>
          <w:shd w:fill="FFFFFF" w:color="auto" w:val="clear"/>
        </w:rPr>
        <w:t>Section 126(2) of the </w:t>
      </w:r>
      <w:hyperlink w:history="1" r:id="rId18">
        <w:r w:rsidRPr="00077691">
          <w:rPr>
            <w:iCs/>
            <w:bdr w:val="none" w:color="auto" w:sz="0" w:space="0" w:frame="1"/>
            <w:i/>
            <w:u w:val="single"/>
            <w:color w:val="8B2342"/>
            <w:rFonts w:ascii="Calibri" w:eastAsia="Times New Roman" w:hAnsiTheme="minorHAnsi" w:cstheme="minorHAnsi"/>
            <w:shd w:fill="FFFFFF" w:color="auto" w:val="clear"/>
          </w:rPr>
          <w:t>CCA</w:t>
        </w:r>
      </w:hyperlink>
      <w:r w:rsidRPr="00077691">
        <w:rPr>
          <w:i/>
          <w:color w:val="333333"/>
          <w:rFonts w:ascii="Calibri" w:eastAsia="Times New Roman" w:hAnsiTheme="minorHAnsi" w:cstheme="minorHAnsi"/>
          <w:shd w:fill="FFFFFF" w:color="auto" w:val="clear"/>
        </w:rPr>
        <w:t> (as inserted by the </w:t>
      </w:r>
      <w:hyperlink w:history="1" w:tgtFrame="_blank" r:id="rId11">
        <w:r w:rsidRPr="00077691">
          <w:rPr>
            <w:iCs/>
            <w:bdr w:val="none" w:color="auto" w:sz="0" w:space="0" w:frame="1"/>
            <w:i/>
            <w:u w:val="single"/>
            <w:color w:val="8B2342"/>
            <w:rFonts w:ascii="Calibri" w:eastAsia="Times New Roman" w:hAnsiTheme="minorHAnsi" w:cstheme="minorHAnsi"/>
            <w:shd w:fill="FFFFFF" w:color="auto" w:val="clear"/>
          </w:rPr>
          <w:t>Financial Services and Markets Act 2000 (Regulated Activities) (Amendment) Order 2014)</w:t>
        </w:r>
      </w:hyperlink>
      <w:r w:rsidRPr="00077691">
        <w:rPr>
          <w:i/>
          <w:color w:val="333333"/>
          <w:rFonts w:ascii="Calibri" w:eastAsia="Times New Roman" w:hAnsiTheme="minorHAnsi" w:cstheme="minorHAnsi"/>
          <w:shd w:fill="FFFFFF" w:color="auto" w:val="clear"/>
        </w:rPr>
        <w:t> provides, however, that for the purposes of section 126(1) of the </w:t>
      </w:r>
      <w:hyperlink w:history="1" r:id="rId12">
        <w:r w:rsidRPr="00077691">
          <w:rPr>
            <w:iCs/>
            <w:bdr w:val="none" w:color="auto" w:sz="0" w:space="0" w:frame="1"/>
            <w:i/>
            <w:u w:val="single"/>
            <w:color w:val="8B2342"/>
            <w:rFonts w:ascii="Calibri" w:eastAsia="Times New Roman" w:hAnsiTheme="minorHAnsi" w:cstheme="minorHAnsi"/>
            <w:shd w:fill="FFFFFF" w:color="auto" w:val="clear"/>
          </w:rPr>
          <w:t>CCA</w:t>
        </w:r>
      </w:hyperlink>
      <w:r w:rsidRPr="00077691">
        <w:rPr>
          <w:i/>
          <w:color w:val="333333"/>
          <w:rFonts w:ascii="Calibri" w:eastAsia="Times New Roman" w:hAnsiTheme="minorHAnsi" w:cstheme="minorHAnsi"/>
          <w:shd w:fill="FFFFFF" w:color="auto" w:val="clear"/>
        </w:rPr>
        <w:t> (a land mortgage securing a </w:t>
      </w:r>
      <w:hyperlink w:history="1" r:id="rId13">
        <w:r w:rsidRPr="00077691">
          <w:rPr>
            <w:iCs/>
            <w:bdr w:val="none" w:color="auto" w:sz="0" w:space="0" w:frame="1"/>
            <w:i/>
            <w:u w:val="single"/>
            <w:color w:val="8B2342"/>
            <w:rFonts w:ascii="Calibri" w:eastAsia="Times New Roman" w:hAnsiTheme="minorHAnsi" w:cstheme="minorHAnsi"/>
            <w:shd w:fill="FFFFFF" w:color="auto" w:val="clear"/>
          </w:rPr>
          <w:t>regulated credit agreement</w:t>
        </w:r>
      </w:hyperlink>
      <w:r w:rsidRPr="00077691">
        <w:rPr>
          <w:i/>
          <w:color w:val="333333"/>
          <w:rFonts w:ascii="Calibri" w:eastAsia="Times New Roman" w:hAnsiTheme="minorHAnsi" w:cstheme="minorHAnsi"/>
          <w:shd w:fill="FFFFFF" w:color="auto" w:val="clear"/>
        </w:rPr>
        <w:t> is enforceable (so far as provided in relation to the agreement) on an order of the court only) and Part 9 of the </w:t>
      </w:r>
      <w:hyperlink w:history="1" r:id="rId10">
        <w:r w:rsidRPr="00077691">
          <w:rPr>
            <w:iCs/>
            <w:bdr w:val="none" w:color="auto" w:sz="0" w:space="0" w:frame="1"/>
            <w:i/>
            <w:u w:val="single"/>
            <w:color w:val="8B2342"/>
            <w:rFonts w:ascii="Calibri" w:eastAsia="Times New Roman" w:hAnsiTheme="minorHAnsi" w:cstheme="minorHAnsi"/>
            <w:shd w:fill="FFFFFF" w:color="auto" w:val="clear"/>
          </w:rPr>
          <w:t>CCA</w:t>
        </w:r>
      </w:hyperlink>
      <w:r w:rsidRPr="00077691">
        <w:rPr>
          <w:i/>
          <w:color w:val="333333"/>
          <w:rFonts w:ascii="Calibri" w:eastAsia="Times New Roman" w:hAnsiTheme="minorHAnsi" w:cstheme="minorHAnsi"/>
          <w:shd w:fill="FFFFFF" w:color="auto" w:val="clear"/>
        </w:rPr>
        <w:t> (judicial control) a </w:t>
      </w:r>
      <w:hyperlink w:history="1" r:id="rId15">
        <w:r w:rsidRPr="00077691">
          <w:rPr>
            <w:iCs/>
            <w:bdr w:val="none" w:color="auto" w:sz="0" w:space="0" w:frame="1"/>
            <w:i/>
            <w:u w:val="single"/>
            <w:color w:val="8B2342"/>
            <w:rFonts w:ascii="Calibri" w:eastAsia="Times New Roman" w:hAnsiTheme="minorHAnsi" w:cstheme="minorHAnsi"/>
            <w:shd w:fill="FFFFFF" w:color="auto" w:val="clear"/>
          </w:rPr>
          <w:t>regulated mortgage contract</w:t>
        </w:r>
      </w:hyperlink>
      <w:r w:rsidRPr="00077691">
        <w:rPr>
          <w:i/>
          <w:color w:val="333333"/>
          <w:rFonts w:ascii="Calibri" w:eastAsia="Times New Roman" w:hAnsiTheme="minorHAnsi" w:cstheme="minorHAnsi"/>
          <w:shd w:fill="FFFFFF" w:color="auto" w:val="clear"/>
        </w:rPr>
        <w:t> which would, but for the exemption in PERG 2.7.19CG(1), be a </w:t>
      </w:r>
      <w:hyperlink w:history="1" r:id="rId17">
        <w:r w:rsidRPr="00077691">
          <w:rPr>
            <w:iCs/>
            <w:bdr w:val="none" w:color="auto" w:sz="0" w:space="0" w:frame="1"/>
            <w:i/>
            <w:u w:val="single"/>
            <w:color w:val="8B2342"/>
            <w:rFonts w:ascii="Calibri" w:eastAsia="Times New Roman" w:hAnsiTheme="minorHAnsi" w:cstheme="minorHAnsi"/>
            <w:shd w:fill="FFFFFF" w:color="auto" w:val="clear"/>
          </w:rPr>
          <w:t>regulated credit agreement</w:t>
        </w:r>
      </w:hyperlink>
      <w:r w:rsidRPr="00077691">
        <w:rPr>
          <w:i/>
          <w:color w:val="333333"/>
          <w:rFonts w:ascii="Calibri" w:eastAsia="Times New Roman" w:hAnsiTheme="minorHAnsi" w:cstheme="minorHAnsi"/>
          <w:shd w:fill="FFFFFF" w:color="auto" w:val="clear"/>
        </w:rPr>
        <w:t> is to be treated as if it were a </w:t>
      </w:r>
      <w:hyperlink w:history="1" r:id="rId16">
        <w:r w:rsidRPr="00077691">
          <w:rPr>
            <w:iCs/>
            <w:bdr w:val="none" w:color="auto" w:sz="0" w:space="0" w:frame="1"/>
            <w:i/>
            <w:u w:val="single"/>
            <w:color w:val="8B2342"/>
            <w:rFonts w:ascii="Calibri" w:eastAsia="Times New Roman" w:hAnsiTheme="minorHAnsi" w:cstheme="minorHAnsi"/>
            <w:shd w:fill="FFFFFF" w:color="auto" w:val="clear"/>
          </w:rPr>
          <w:t>regulated credit agreement</w:t>
        </w:r>
      </w:hyperlink>
      <w:r w:rsidRPr="00077691">
        <w:rPr>
          <w:i/>
          <w:color w:val="333333"/>
          <w:rFonts w:ascii="Calibri" w:eastAsia="Times New Roman" w:hAnsiTheme="minorHAnsi" w:cstheme="minorHAnsi"/>
          <w:shd w:fill="FFFFFF" w:color="auto" w:val="clear"/>
        </w:rPr>
        <w:t>. This is subject to section 140A(5) of the </w:t>
      </w:r>
      <w:hyperlink w:history="1" r:id="rId19">
        <w:r w:rsidRPr="00077691">
          <w:rPr>
            <w:iCs/>
            <w:bdr w:val="none" w:color="auto" w:sz="0" w:space="0" w:frame="1"/>
            <w:i/>
            <w:u w:val="single"/>
            <w:color w:val="8B2342"/>
            <w:rFonts w:ascii="Calibri" w:eastAsia="Times New Roman" w:hAnsiTheme="minorHAnsi" w:cstheme="minorHAnsi"/>
            <w:shd w:fill="FFFFFF" w:color="auto" w:val="clear"/>
          </w:rPr>
          <w:t>CCA</w:t>
        </w:r>
      </w:hyperlink>
      <w:r w:rsidRPr="00077691">
        <w:rPr>
          <w:i/>
          <w:color w:val="333333"/>
          <w:rFonts w:ascii="Calibri" w:eastAsia="Times New Roman" w:hAnsiTheme="minorHAnsi" w:cstheme="minorHAnsi"/>
          <w:shd w:fill="FFFFFF" w:color="auto" w:val="clear"/>
        </w:rPr>
        <w:t> (unfair relationships between creditors and debtors), which provides that an order under section 140B of the </w:t>
      </w:r>
      <w:hyperlink w:history="1" r:id="rId14">
        <w:r w:rsidRPr="00077691">
          <w:rPr>
            <w:iCs/>
            <w:bdr w:val="none" w:color="auto" w:sz="0" w:space="0" w:frame="1"/>
            <w:i/>
            <w:u w:val="single"/>
            <w:color w:val="8B2342"/>
            <w:rFonts w:ascii="Calibri" w:eastAsia="Times New Roman" w:hAnsiTheme="minorHAnsi" w:cstheme="minorHAnsi"/>
            <w:shd w:fill="FFFFFF" w:color="auto" w:val="clear"/>
          </w:rPr>
          <w:t>CCA</w:t>
        </w:r>
      </w:hyperlink>
      <w:r w:rsidRPr="00077691">
        <w:rPr>
          <w:i/>
          <w:color w:val="333333"/>
          <w:rFonts w:ascii="Calibri" w:eastAsia="Times New Roman" w:hAnsiTheme="minorHAnsi" w:cstheme="minorHAnsi"/>
          <w:shd w:fill="FFFFFF" w:color="auto" w:val="clear"/>
        </w:rPr>
        <w:t> (powers of court in relation to unfair relationships) shall not be made in connection with a </w:t>
      </w:r>
      <w:hyperlink w:history="1" r:id="rId20">
        <w:r w:rsidRPr="00077691">
          <w:rPr>
            <w:iCs/>
            <w:bdr w:val="none" w:color="auto" w:sz="0" w:space="0" w:frame="1"/>
            <w:i/>
            <w:u w:val="single"/>
            <w:color w:val="8B2342"/>
            <w:rFonts w:ascii="Calibri" w:eastAsia="Times New Roman" w:hAnsiTheme="minorHAnsi" w:cstheme="minorHAnsi"/>
            <w:shd w:fill="FFFFFF" w:color="auto" w:val="clear"/>
          </w:rPr>
          <w:t>credit agreement</w:t>
        </w:r>
      </w:hyperlink>
      <w:r w:rsidRPr="00077691">
        <w:rPr>
          <w:i/>
          <w:color w:val="333333"/>
          <w:rFonts w:ascii="Calibri" w:eastAsia="Times New Roman" w:hAnsiTheme="minorHAnsi" w:cstheme="minorHAnsi"/>
          <w:shd w:fill="FFFFFF" w:color="auto" w:val="clear"/>
        </w:rPr>
        <w:t> which is an exempt agreement under </w:t>
      </w:r>
      <w:hyperlink w:anchor="DES1248" w:history="1" r:id="rId21">
        <w:r w:rsidRPr="00077691">
          <w:rPr>
            <w:iCs/>
            <w:bdr w:val="none" w:color="auto" w:sz="0" w:space="0" w:frame="1"/>
            <w:i/>
            <w:u w:val="single"/>
            <w:color w:val="8B2342"/>
            <w:rFonts w:ascii="Calibri" w:eastAsia="Times New Roman" w:hAnsiTheme="minorHAnsi" w:cstheme="minorHAnsi"/>
            <w:shd w:fill="FFFFFF" w:color="auto" w:val="clear"/>
          </w:rPr>
          <w:t>PERG 2.7.19C G</w:t>
        </w:r>
      </w:hyperlink>
      <w:r w:rsidRPr="00077691">
        <w:rPr>
          <w:i/>
          <w:color w:val="333333"/>
          <w:rFonts w:ascii="Calibri" w:eastAsia="Times New Roman" w:hAnsiTheme="minorHAnsi" w:cstheme="minorHAnsi"/>
          <w:shd w:fill="FFFFFF" w:color="auto" w:val="clear"/>
        </w:rPr>
        <w:t>. It therefore follows that, for example, the CCA provisions relating to time orders apply to </w:t>
      </w:r>
      <w:hyperlink w:history="1" r:id="rId22">
        <w:r w:rsidRPr="00077691">
          <w:rPr>
            <w:iCs/>
            <w:bdr w:val="none" w:color="auto" w:sz="0" w:space="0" w:frame="1"/>
            <w:i/>
            <w:u w:val="single"/>
            <w:color w:val="8B2342"/>
            <w:rFonts w:ascii="Calibri" w:eastAsia="Times New Roman" w:hAnsiTheme="minorHAnsi" w:cstheme="minorHAnsi"/>
            <w:shd w:fill="FFFFFF" w:color="auto" w:val="clear"/>
          </w:rPr>
          <w:t>regulated mortgage contracts</w:t>
        </w:r>
      </w:hyperlink>
      <w:r w:rsidRPr="00077691">
        <w:rPr>
          <w:i/>
          <w:color w:val="333333"/>
          <w:rFonts w:ascii="Calibri" w:eastAsia="Times New Roman" w:hAnsiTheme="minorHAnsi" w:cstheme="minorHAnsi"/>
          <w:shd w:fill="FFFFFF" w:color="auto" w:val="clear"/>
        </w:rPr>
        <w:t>.</w:t>
      </w:r>
    </w:p>
    <w:p w:rsidR="00D6394E" w:rsidRDefault="00870D1C" w14:paraId="006335CD" w14:textId="77777777" w:rsidP="000861BF" w:rsidRPr="00077691">
      <w:pPr>
        <w:pStyle w:val="ListParagraph"/>
        <w:numPr>
          <w:ilvl w:val="0"/>
          <w:numId w:val="33"/>
        </w:numPr>
        <w:spacing w:line="480" w:lineRule="auto"/>
        <w:rPr>
          <w:rFonts w:ascii="Calibri" w:hAnsiTheme="minorHAnsi" w:cstheme="minorHAnsi"/>
        </w:rPr>
      </w:pPr>
      <w:r w:rsidRPr="00077691">
        <w:rPr>
          <w:rFonts w:ascii="Calibri" w:hAnsiTheme="minorHAnsi" w:cstheme="minorHAnsi"/>
        </w:rPr>
        <w:t>The defendant relies on s129(2) CCA to request the court consider whether it is just to make a time order</w:t>
      </w:r>
      <w:r w:rsidR="00D6394E" w:rsidRPr="00077691">
        <w:rPr>
          <w:rFonts w:ascii="Calibri" w:hAnsiTheme="minorHAnsi" w:cstheme="minorHAnsi"/>
        </w:rPr>
        <w:t>:</w:t>
      </w:r>
    </w:p>
    <w:p w:rsidR="00D6394E" w:rsidRDefault="00D6394E" w14:paraId="7913AB26" w14:textId="77777777" w:rsidP="00082BBB" w:rsidRPr="00077691">
      <w:pPr>
        <w:shd w:fill="FFFFFF" w:color="auto" w:val="clear"/>
        <w:pStyle w:val="legclearfix"/>
        <w:ind w:left="720"/>
        <w:spacing w:before="0" w:beforeAutospacing="0" w:after="120" w:afterAutospacing="0" w:line="480" w:lineRule="auto"/>
        <w:rPr>
          <w:i/>
          <w:color w:val="000000"/>
          <w:rFonts w:ascii="Calibri" w:hAnsiTheme="minorHAnsi" w:cstheme="minorHAnsi"/>
          <w:sz w:val="22"/>
          <w:szCs w:val="22"/>
        </w:rPr>
      </w:pPr>
      <w:r w:rsidRPr="00077691">
        <w:rPr>
          <w:rStyle w:val="legds"/>
          <w:i/>
          <w:color w:val="000000"/>
          <w:rFonts w:ascii="Calibri" w:hAnsiTheme="minorHAnsi" w:cstheme="minorHAnsi"/>
          <w:sz w:val="22"/>
          <w:szCs w:val="22"/>
        </w:rPr>
        <w:t>(2)</w:t>
      </w:r>
      <w:r w:rsidR="00082BBB" w:rsidRPr="00077691">
        <w:rPr>
          <w:rStyle w:val="legds"/>
          <w:i/>
          <w:color w:val="000000"/>
          <w:rFonts w:ascii="Calibri" w:hAnsiTheme="minorHAnsi" w:cstheme="minorHAnsi"/>
          <w:sz w:val="22"/>
          <w:szCs w:val="22"/>
        </w:rPr>
        <w:t xml:space="preserve"> </w:t>
      </w:r>
      <w:r w:rsidRPr="00077691">
        <w:rPr>
          <w:rStyle w:val="legds"/>
          <w:i/>
          <w:color w:val="000000"/>
          <w:rFonts w:ascii="Calibri" w:hAnsiTheme="minorHAnsi" w:cstheme="minorHAnsi"/>
          <w:sz w:val="22"/>
          <w:szCs w:val="22"/>
        </w:rPr>
        <w:t>A time order shall provide for one or both of the following, as the court considers just—</w:t>
      </w:r>
    </w:p>
    <w:p w:rsidR="00D6394E" w:rsidRDefault="00D6394E" w14:paraId="0299BB0F" w14:textId="77777777" w:rsidP="00082BBB" w:rsidRPr="00077691">
      <w:pPr>
        <w:shd w:fill="FFFFFF" w:color="auto" w:val="clear"/>
        <w:pStyle w:val="legclearfix"/>
        <w:ind w:left="720"/>
        <w:spacing w:before="0" w:beforeAutospacing="0" w:after="120" w:afterAutospacing="0" w:line="480" w:lineRule="auto"/>
        <w:rPr>
          <w:i/>
          <w:color w:val="000000"/>
          <w:rFonts w:ascii="Calibri" w:hAnsiTheme="minorHAnsi" w:cstheme="minorHAnsi"/>
          <w:sz w:val="22"/>
          <w:szCs w:val="22"/>
        </w:rPr>
      </w:pPr>
      <w:r w:rsidRPr="00077691">
        <w:rPr>
          <w:rStyle w:val="legds"/>
          <w:i/>
          <w:color w:val="000000"/>
          <w:rFonts w:ascii="Calibri" w:hAnsiTheme="minorHAnsi" w:cstheme="minorHAnsi"/>
          <w:sz w:val="22"/>
          <w:szCs w:val="22"/>
        </w:rPr>
        <w:t>(a)</w:t>
      </w:r>
      <w:r w:rsidR="00082BBB" w:rsidRPr="00077691">
        <w:rPr>
          <w:rStyle w:val="legds"/>
          <w:i/>
          <w:color w:val="000000"/>
          <w:rFonts w:ascii="Calibri" w:hAnsiTheme="minorHAnsi" w:cstheme="minorHAnsi"/>
          <w:sz w:val="22"/>
          <w:szCs w:val="22"/>
        </w:rPr>
        <w:t xml:space="preserve"> </w:t>
      </w:r>
      <w:r w:rsidRPr="00077691">
        <w:rPr>
          <w:rStyle w:val="legds"/>
          <w:i/>
          <w:color w:val="000000"/>
          <w:rFonts w:ascii="Calibri" w:hAnsiTheme="minorHAnsi" w:cstheme="minorHAnsi"/>
          <w:sz w:val="22"/>
          <w:szCs w:val="22"/>
        </w:rPr>
        <w:t xml:space="preserve">the payment by the debtor or hirer or any surety of any sum owed under a regulated agreement or a security by such instalments, payable at such times, as the </w:t>
      </w:r>
      <w:r w:rsidRPr="00077691">
        <w:rPr>
          <w:rStyle w:val="legds"/>
          <w:i/>
          <w:color w:val="000000"/>
          <w:rFonts w:ascii="Calibri" w:hAnsiTheme="minorHAnsi" w:cstheme="minorHAnsi"/>
          <w:sz w:val="22"/>
          <w:szCs w:val="22"/>
        </w:rPr>
        <w:t>court, having regard to the means of the debtor or hirer and any surety, considers reasonable;</w:t>
        <w:lastRenderedPageBreak/>
      </w:r>
    </w:p>
    <w:p w:rsidR="00D6394E" w:rsidRDefault="00D6394E" w14:paraId="5EA9DFAD" w14:textId="77777777" w:rsidP="00082BBB" w:rsidRPr="00077691">
      <w:pPr>
        <w:shd w:fill="FFFFFF" w:color="auto" w:val="clear"/>
        <w:pStyle w:val="legclearfix"/>
        <w:ind w:left="720"/>
        <w:spacing w:before="0" w:beforeAutospacing="0" w:after="120" w:afterAutospacing="0" w:line="480" w:lineRule="auto"/>
        <w:rPr>
          <w:i/>
          <w:color w:val="000000"/>
          <w:rFonts w:ascii="Calibri" w:hAnsiTheme="minorHAnsi" w:cstheme="minorHAnsi"/>
          <w:sz w:val="22"/>
          <w:szCs w:val="22"/>
        </w:rPr>
      </w:pPr>
      <w:r w:rsidRPr="00077691">
        <w:rPr>
          <w:rStyle w:val="legds"/>
          <w:i/>
          <w:color w:val="000000"/>
          <w:rFonts w:ascii="Calibri" w:hAnsiTheme="minorHAnsi" w:cstheme="minorHAnsi"/>
          <w:sz w:val="22"/>
          <w:szCs w:val="22"/>
        </w:rPr>
        <w:t>(b)</w:t>
      </w:r>
      <w:r w:rsidR="00082BBB" w:rsidRPr="00077691">
        <w:rPr>
          <w:rStyle w:val="legds"/>
          <w:i/>
          <w:color w:val="000000"/>
          <w:rFonts w:ascii="Calibri" w:hAnsiTheme="minorHAnsi" w:cstheme="minorHAnsi"/>
          <w:sz w:val="22"/>
          <w:szCs w:val="22"/>
        </w:rPr>
        <w:t xml:space="preserve"> </w:t>
      </w:r>
      <w:r w:rsidRPr="00077691">
        <w:rPr>
          <w:rStyle w:val="legds"/>
          <w:i/>
          <w:color w:val="000000"/>
          <w:rFonts w:ascii="Calibri" w:hAnsiTheme="minorHAnsi" w:cstheme="minorHAnsi"/>
          <w:sz w:val="22"/>
          <w:szCs w:val="22"/>
        </w:rPr>
        <w:t>the remedying by the debtor or hirer of any breach of a regulated agreement (other than non-payment of money) within such period as the court may specify</w:t>
      </w:r>
    </w:p>
    <w:p w:rsidR="00870D1C" w:rsidRDefault="00870D1C" w14:paraId="35F6D6A7" w14:textId="55AE19D6" w:rsidP="000861BF" w:rsidRPr="00077691">
      <w:pPr>
        <w:pStyle w:val="ListParagraph"/>
        <w:numPr>
          <w:ilvl w:val="0"/>
          <w:numId w:val="33"/>
        </w:numPr>
        <w:spacing w:line="480" w:lineRule="auto"/>
        <w:rPr>
          <w:rFonts w:ascii="Calibri" w:hAnsiTheme="minorHAnsi" w:cstheme="minorHAnsi"/>
        </w:rPr>
      </w:pPr>
      <w:r w:rsidRPr="00077691">
        <w:rPr>
          <w:rFonts w:ascii="Calibri" w:hAnsiTheme="minorHAnsi" w:cstheme="minorHAnsi"/>
        </w:rPr>
        <w:t xml:space="preserve">The defendant </w:t>
      </w:r>
      <w:r w:rsidR="000803D0">
        <w:rPr>
          <w:color w:val="FF0000"/>
          <w:rFonts w:ascii="Calibri" w:hAnsiTheme="minorHAnsi" w:cstheme="minorHAnsi"/>
        </w:rPr>
        <w:t>[has filed, or will file]</w:t>
      </w:r>
      <w:r w:rsidRPr="00077691">
        <w:rPr>
          <w:color w:val="FF0000"/>
          <w:rFonts w:ascii="Calibri" w:hAnsiTheme="minorHAnsi" w:cstheme="minorHAnsi"/>
        </w:rPr>
        <w:t xml:space="preserve"> </w:t>
      </w:r>
      <w:r w:rsidRPr="00077691">
        <w:rPr>
          <w:rFonts w:ascii="Calibri" w:hAnsiTheme="minorHAnsi" w:cstheme="minorHAnsi"/>
        </w:rPr>
        <w:t>a witness statement that supports the assertion that it would be just to make a time order, and to amend the agreement in consequence of the order under s136 C</w:t>
      </w:r>
      <w:r w:rsidR="00422A33">
        <w:rPr>
          <w:rFonts w:ascii="Calibri" w:hAnsiTheme="minorHAnsi" w:cstheme="minorHAnsi"/>
        </w:rPr>
        <w:t>onsumer Credit Act</w:t>
      </w:r>
      <w:r w:rsidRPr="00077691">
        <w:rPr>
          <w:rFonts w:ascii="Calibri" w:hAnsiTheme="minorHAnsi" w:cstheme="minorHAnsi"/>
        </w:rPr>
        <w:t xml:space="preserve"> (also contained in part 9, judicial control)</w:t>
      </w:r>
      <w:r w:rsidR="00082BBB" w:rsidRPr="00077691">
        <w:rPr>
          <w:rFonts w:ascii="Calibri" w:hAnsiTheme="minorHAnsi" w:cstheme="minorHAnsi"/>
        </w:rPr>
        <w:t>:</w:t>
      </w:r>
    </w:p>
    <w:p w:rsidR="00082BBB" w:rsidRDefault="00082BBB" w14:paraId="5995973D" w14:textId="77777777" w:rsidP="00082BBB" w:rsidRPr="00077691">
      <w:pPr>
        <w:outlineLvl w:val="3"/>
        <w:shd w:fill="FFFFFF" w:color="auto" w:val="clear"/>
        <w:pStyle w:val="ListParagraph"/>
        <w:spacing w:after="120" w:line="480" w:lineRule="auto"/>
        <w:rPr>
          <w:bCs/>
          <w:lang w:eastAsia="en-GB"/>
          <w:b/>
          <w:i/>
          <w:color w:val="000000"/>
          <w:rFonts w:ascii="Calibri" w:hAnsiTheme="minorHAnsi" w:cstheme="minorHAnsi"/>
        </w:rPr>
      </w:pPr>
      <w:r w:rsidRPr="00077691">
        <w:rPr>
          <w:bCs/>
          <w:lang w:eastAsia="en-GB"/>
          <w:b/>
          <w:i/>
          <w:color w:val="000000"/>
          <w:rFonts w:ascii="Calibri" w:hAnsiTheme="minorHAnsi" w:cstheme="minorHAnsi"/>
        </w:rPr>
        <w:t>136 Power to vary agreements and securities.</w:t>
      </w:r>
    </w:p>
    <w:p w:rsidR="00082BBB" w:rsidRDefault="00082BBB" w14:paraId="5AD7DF71" w14:textId="77777777" w:rsidP="00082BBB" w:rsidRPr="00077691">
      <w:pPr>
        <w:shd w:fill="FFFFFF" w:color="auto" w:val="clear"/>
        <w:pStyle w:val="ListParagraph"/>
        <w:jc w:val="both"/>
        <w:spacing w:after="120" w:line="480" w:lineRule="auto"/>
        <w:rPr>
          <w:lang w:eastAsia="en-GB"/>
          <w:i/>
          <w:color w:val="000000"/>
          <w:rFonts w:ascii="Calibri" w:hAnsiTheme="minorHAnsi" w:cstheme="minorHAnsi"/>
        </w:rPr>
      </w:pPr>
      <w:r w:rsidRPr="00077691">
        <w:rPr>
          <w:lang w:eastAsia="en-GB"/>
          <w:i/>
          <w:color w:val="000000"/>
          <w:rFonts w:ascii="Calibri" w:hAnsiTheme="minorHAnsi" w:cstheme="minorHAnsi"/>
        </w:rPr>
        <w:t>The court may in an order made by it under this Act include such provision as it considers just for amending any agreement or security in consequence of a term of the order.</w:t>
      </w:r>
    </w:p>
    <w:p w:rsidR="00AD473C" w:rsidRDefault="00077691" w14:paraId="348F6A0A" w14:textId="249299BF" w:rsidP="000861BF" w:rsidRPr="002950ED">
      <w:pPr>
        <w:pStyle w:val="ListParagraph"/>
        <w:numPr>
          <w:ilvl w:val="0"/>
          <w:numId w:val="33"/>
        </w:numPr>
        <w:spacing w:line="480" w:lineRule="auto"/>
        <w:rPr>
          <w:rFonts w:ascii="Calibri" w:hAnsiTheme="minorHAnsi" w:cstheme="minorHAnsi"/>
        </w:rPr>
      </w:pPr>
      <w:r w:rsidRPr="002950ED">
        <w:rPr>
          <w:rFonts w:ascii="Calibri" w:hAnsiTheme="minorHAnsi" w:cstheme="minorHAnsi"/>
        </w:rPr>
        <w:t xml:space="preserve">The defendant can make an offer which would clear the loan in full in </w:t>
      </w:r>
      <w:r w:rsidR="002950ED" w:rsidRPr="009F0A8E">
        <w:rPr>
          <w:color w:val="FF0000"/>
          <w:rFonts w:ascii="Calibri" w:hAnsiTheme="minorHAnsi" w:cstheme="minorHAnsi"/>
        </w:rPr>
        <w:t>[</w:t>
      </w:r>
      <w:r w:rsidRPr="009F0A8E">
        <w:rPr>
          <w:color w:val="FF0000"/>
          <w:rFonts w:ascii="Calibri" w:hAnsiTheme="minorHAnsi" w:cstheme="minorHAnsi"/>
        </w:rPr>
        <w:t>x years</w:t>
      </w:r>
      <w:r w:rsidR="009F0A8E" w:rsidRPr="009F0A8E">
        <w:rPr>
          <w:color w:val="FF0000"/>
          <w:rFonts w:ascii="Calibri" w:hAnsiTheme="minorHAnsi" w:cstheme="minorHAnsi"/>
        </w:rPr>
        <w:t>]</w:t>
      </w:r>
      <w:r w:rsidRPr="002950ED">
        <w:rPr>
          <w:rFonts w:ascii="Calibri" w:hAnsiTheme="minorHAnsi" w:cstheme="minorHAnsi"/>
        </w:rPr>
        <w:t xml:space="preserve"> and is willing to pay a market rate of interest on the outstanding balance. </w:t>
      </w:r>
    </w:p>
    <w:p w:rsidR="00AD473C" w:rsidRDefault="00AD473C" w14:paraId="7CE3D194" w14:textId="2E8ABE86" w:rsidP="000861BF" w:rsidRPr="00077691">
      <w:pPr>
        <w:pStyle w:val="ListParagraph"/>
        <w:numPr>
          <w:ilvl w:val="0"/>
          <w:numId w:val="33"/>
        </w:numPr>
        <w:spacing w:line="480" w:lineRule="auto"/>
        <w:rPr>
          <w:rFonts w:ascii="Calibri" w:hAnsiTheme="minorHAnsi" w:cstheme="minorHAnsi"/>
        </w:rPr>
      </w:pPr>
      <w:r w:rsidRPr="00077691">
        <w:rPr>
          <w:rFonts w:ascii="Calibri" w:hAnsiTheme="minorHAnsi" w:cstheme="minorHAnsi"/>
        </w:rPr>
        <w:t xml:space="preserve">The defendant would suffer undue hardship if a possession order were made against </w:t>
      </w:r>
      <w:r w:rsidR="00212901">
        <w:rPr>
          <w:rFonts w:ascii="Calibri" w:hAnsiTheme="minorHAnsi" w:cstheme="minorHAnsi"/>
        </w:rPr>
        <w:t>them</w:t>
      </w:r>
      <w:r w:rsidRPr="00077691">
        <w:rPr>
          <w:rFonts w:ascii="Calibri" w:hAnsiTheme="minorHAnsi" w:cstheme="minorHAnsi"/>
        </w:rPr>
        <w:t xml:space="preserve">. </w:t>
      </w:r>
      <w:r w:rsidR="00212901">
        <w:rPr>
          <w:rFonts w:ascii="Calibri" w:hAnsiTheme="minorHAnsi" w:cstheme="minorHAnsi"/>
        </w:rPr>
        <w:t xml:space="preserve"> They</w:t>
      </w:r>
      <w:r w:rsidRPr="00077691">
        <w:rPr>
          <w:rFonts w:ascii="Calibri" w:hAnsiTheme="minorHAnsi" w:cstheme="minorHAnsi"/>
        </w:rPr>
        <w:t xml:space="preserve"> ha</w:t>
      </w:r>
      <w:r w:rsidR="00212901">
        <w:rPr>
          <w:rFonts w:ascii="Calibri" w:hAnsiTheme="minorHAnsi" w:cstheme="minorHAnsi"/>
        </w:rPr>
        <w:t>ve</w:t>
      </w:r>
      <w:r w:rsidRPr="00077691">
        <w:rPr>
          <w:rFonts w:ascii="Calibri" w:hAnsiTheme="minorHAnsi" w:cstheme="minorHAnsi"/>
        </w:rPr>
        <w:t xml:space="preserve"> no alternative accommodation. </w:t>
      </w:r>
    </w:p>
    <w:p w:rsidR="005032B4" w:rsidRDefault="005032B4" w14:paraId="4AEC13B3" w14:textId="3C005478" w:rsidP="000861BF" w:rsidRPr="00077691">
      <w:pPr>
        <w:pStyle w:val="ListParagraph"/>
        <w:numPr>
          <w:ilvl w:val="0"/>
          <w:numId w:val="33"/>
        </w:numPr>
        <w:spacing w:line="480" w:lineRule="auto"/>
        <w:rPr>
          <w:rFonts w:ascii="Calibri" w:hAnsiTheme="minorHAnsi" w:cstheme="minorHAnsi"/>
        </w:rPr>
      </w:pPr>
      <w:r w:rsidRPr="00077691">
        <w:rPr>
          <w:rFonts w:ascii="Calibri" w:hAnsiTheme="minorHAnsi" w:cstheme="minorHAnsi"/>
        </w:rPr>
        <w:t xml:space="preserve">The defendant </w:t>
      </w:r>
      <w:r w:rsidR="002E08F7" w:rsidRPr="00077691">
        <w:rPr>
          <w:rFonts w:ascii="Calibri" w:hAnsiTheme="minorHAnsi" w:cstheme="minorHAnsi"/>
        </w:rPr>
        <w:t xml:space="preserve">pleads the leading cases of </w:t>
      </w:r>
      <w:r w:rsidR="002E08F7" w:rsidRPr="00077691">
        <w:rPr>
          <w:i/>
          <w:rFonts w:ascii="Calibri" w:hAnsiTheme="minorHAnsi" w:cstheme="minorHAnsi"/>
        </w:rPr>
        <w:t>Equity Home Loans v Lewis and Southern District Finance v Barnes</w:t>
      </w:r>
      <w:r w:rsidR="002E08F7" w:rsidRPr="00077691">
        <w:rPr>
          <w:rFonts w:ascii="Calibri" w:hAnsiTheme="minorHAnsi" w:cstheme="minorHAnsi"/>
        </w:rPr>
        <w:t xml:space="preserve">  [1995] 27 HLR 691 in which the Court of Appeal held that a time order could be made for a period of 15 years in one case (Barnes) and the lifetime of a loan</w:t>
      </w:r>
      <w:r w:rsidR="00212901">
        <w:rPr>
          <w:rFonts w:ascii="Calibri" w:hAnsiTheme="minorHAnsi" w:cstheme="minorHAnsi"/>
        </w:rPr>
        <w:t xml:space="preserve"> in another</w:t>
      </w:r>
      <w:r w:rsidR="002E08F7" w:rsidRPr="00077691">
        <w:rPr>
          <w:rFonts w:ascii="Calibri" w:hAnsiTheme="minorHAnsi" w:cstheme="minorHAnsi"/>
        </w:rPr>
        <w:t xml:space="preserve"> (Lewis). </w:t>
      </w:r>
    </w:p>
    <w:p w:rsidR="00AD473C" w:rsidRDefault="00AD473C" w14:paraId="5DBC9A75" w14:textId="3B3904C2" w:rsidP="000861BF" w:rsidRPr="00077691">
      <w:pPr>
        <w:pStyle w:val="ListParagraph"/>
        <w:numPr>
          <w:ilvl w:val="0"/>
          <w:numId w:val="33"/>
        </w:numPr>
        <w:spacing w:line="480" w:lineRule="auto"/>
        <w:rPr>
          <w:rFonts w:ascii="Calibri" w:hAnsiTheme="minorHAnsi" w:cstheme="minorHAnsi"/>
        </w:rPr>
      </w:pPr>
      <w:r w:rsidRPr="00077691">
        <w:rPr>
          <w:rFonts w:ascii="Calibri" w:hAnsiTheme="minorHAnsi" w:cstheme="minorHAnsi"/>
        </w:rPr>
        <w:t xml:space="preserve">The defendant request the court make a time order suspending possession on the same terms allowing </w:t>
      </w:r>
      <w:r w:rsidR="00212901">
        <w:rPr>
          <w:rFonts w:ascii="Calibri" w:hAnsiTheme="minorHAnsi" w:cstheme="minorHAnsi"/>
        </w:rPr>
        <w:t>the</w:t>
      </w:r>
      <w:r w:rsidR="00444C89">
        <w:rPr>
          <w:rFonts w:ascii="Calibri" w:hAnsiTheme="minorHAnsi" w:cstheme="minorHAnsi"/>
        </w:rPr>
        <w:t>m</w:t>
      </w:r>
      <w:r w:rsidRPr="00077691">
        <w:rPr>
          <w:rFonts w:ascii="Calibri" w:hAnsiTheme="minorHAnsi" w:cstheme="minorHAnsi"/>
        </w:rPr>
        <w:t xml:space="preserve"> to remain in </w:t>
      </w:r>
      <w:r w:rsidR="00444C89">
        <w:rPr>
          <w:rFonts w:ascii="Calibri" w:hAnsiTheme="minorHAnsi" w:cstheme="minorHAnsi"/>
        </w:rPr>
        <w:t>their</w:t>
      </w:r>
      <w:r w:rsidRPr="00077691">
        <w:rPr>
          <w:rFonts w:ascii="Calibri" w:hAnsiTheme="minorHAnsi" w:cstheme="minorHAnsi"/>
        </w:rPr>
        <w:t xml:space="preserve"> home.</w:t>
      </w:r>
    </w:p>
    <w:p w:rsidR="00AD473C" w:rsidRDefault="00AD473C" w14:paraId="277E71F1" w14:textId="77777777" w:rsidP="000861BF" w:rsidRPr="00077691">
      <w:pPr>
        <w:pStyle w:val="ListParagraph"/>
        <w:numPr>
          <w:ilvl w:val="0"/>
          <w:numId w:val="33"/>
        </w:numPr>
        <w:spacing w:line="480" w:lineRule="auto"/>
        <w:rPr>
          <w:rFonts w:ascii="Calibri" w:hAnsiTheme="minorHAnsi" w:cstheme="minorHAnsi"/>
        </w:rPr>
      </w:pPr>
      <w:r w:rsidRPr="00077691">
        <w:rPr>
          <w:rFonts w:ascii="Calibri" w:hAnsiTheme="minorHAnsi" w:cstheme="minorHAnsi"/>
        </w:rPr>
        <w:t xml:space="preserve">The defendant proposes to pay </w:t>
        <w:lastRenderedPageBreak/>
      </w:r>
      <w:r w:rsidRPr="00077691">
        <w:rPr>
          <w:color w:val="FF0000"/>
          <w:rFonts w:ascii="Calibri" w:hAnsiTheme="minorHAnsi" w:cstheme="minorHAnsi"/>
        </w:rPr>
        <w:t>£suggest an amount based on the financial statement</w:t>
      </w:r>
      <w:r w:rsidR="00077691">
        <w:rPr>
          <w:color w:val="FF0000"/>
          <w:rFonts w:ascii="Calibri" w:hAnsiTheme="minorHAnsi" w:cstheme="minorHAnsi"/>
        </w:rPr>
        <w:t>.</w:t>
      </w:r>
      <w:r w:rsidRPr="00077691">
        <w:rPr>
          <w:color w:val="FF0000"/>
          <w:rFonts w:ascii="Calibri" w:hAnsiTheme="minorHAnsi" w:cstheme="minorHAnsi"/>
        </w:rPr>
        <w:t xml:space="preserve"> </w:t>
      </w:r>
    </w:p>
    <w:p w:rsidR="00AD473C" w:rsidRDefault="00AD473C" w14:paraId="38E5F28F" w14:textId="77777777" w:rsidP="00AD473C" w:rsidRPr="00077691">
      <w:pPr>
        <w:pStyle w:val="ListParagraph"/>
        <w:spacing w:line="480" w:lineRule="auto"/>
        <w:rPr>
          <w:rFonts w:ascii="Calibri" w:hAnsiTheme="minorHAnsi" w:cstheme="minorHAnsi"/>
        </w:rPr>
      </w:pPr>
    </w:p>
    <w:p w:rsidR="2F2F9660" w:rsidRDefault="2F2F9660" w14:paraId="1BEBCF12" w14:textId="456C07E0" w:rsidP="67EFE271">
      <w:pPr>
        <w:pStyle w:val="Normal"/>
        <w:spacing w:line="480" w:lineRule="auto"/>
        <w:rPr>
          <w:rFonts w:ascii="Calibri" w:cs="Calibri" w:hAnsi="Calibri" w:hAnsiTheme="minorAscii" w:cstheme="minorAscii"/>
        </w:rPr>
      </w:pPr>
      <w:r w:rsidR="2F2F9660" w:rsidRPr="67EFE271">
        <w:rPr>
          <w:rFonts w:ascii="Calibri" w:cs="Calibri" w:hAnsi="Calibri" w:hAnsiTheme="minorAscii" w:cstheme="minorAscii"/>
        </w:rPr>
        <w:t>I believe that the facts stated in this defence and counterclaim are true.  I understand that proceedings for contempt of court may be brought against anyone who makes, or causes to be made, a false statement in a document verified by a statement of truth without an honest belief in its truth.</w:t>
      </w:r>
    </w:p>
    <w:p w:rsidR="00EE0F30" w:rsidRDefault="00EE0F30" w14:paraId="6392E14B" w14:textId="77777777" w:rsidP="000861BF" w:rsidRPr="00077691">
      <w:pPr>
        <w:ind w:left="360"/>
        <w:spacing w:line="480" w:lineRule="auto"/>
        <w:rPr>
          <w:rFonts w:ascii="Calibri" w:hAnsiTheme="minorHAnsi" w:cstheme="minorHAnsi"/>
          <w:szCs w:val="22"/>
        </w:rPr>
      </w:pPr>
      <w:r w:rsidRPr="00077691">
        <w:rPr>
          <w:rFonts w:ascii="Calibri" w:hAnsiTheme="minorHAnsi" w:cstheme="minorHAnsi"/>
          <w:szCs w:val="22"/>
        </w:rPr>
        <w:t xml:space="preserve">Dated: ……………………………… </w:t>
      </w:r>
    </w:p>
    <w:p w:rsidR="00EE0F30" w:rsidRDefault="00EE0F30" w14:paraId="14D9E685" w14:textId="77777777" w:rsidP="000861BF" w:rsidRPr="00077691">
      <w:pPr>
        <w:ind w:left="360"/>
        <w:spacing w:line="480" w:lineRule="auto"/>
        <w:rPr>
          <w:rFonts w:ascii="Calibri" w:hAnsiTheme="minorHAnsi" w:cstheme="minorHAnsi"/>
          <w:szCs w:val="22"/>
        </w:rPr>
      </w:pPr>
      <w:r w:rsidRPr="00077691">
        <w:rPr>
          <w:rFonts w:ascii="Calibri" w:hAnsiTheme="minorHAnsi" w:cstheme="minorHAnsi"/>
          <w:szCs w:val="22"/>
        </w:rPr>
        <w:t xml:space="preserve">Signed: ……………………………  </w:t>
      </w:r>
    </w:p>
    <w:p w:rsidR="00EE0F30" w:rsidRDefault="0087433D" w14:paraId="066D41DB" w14:textId="2595A37E" w:rsidP="000861BF" w:rsidRPr="00077691">
      <w:pPr>
        <w:ind w:left="360"/>
        <w:spacing w:line="480" w:lineRule="auto"/>
        <w:rPr>
          <w:rFonts w:ascii="Calibri" w:hAnsiTheme="minorHAnsi" w:cstheme="minorHAnsi"/>
          <w:szCs w:val="22"/>
        </w:rPr>
      </w:pPr>
      <w:r>
        <w:rPr>
          <w:rFonts w:ascii="Calibri" w:hAnsiTheme="minorHAnsi" w:cstheme="minorHAnsi"/>
          <w:szCs w:val="22"/>
        </w:rPr>
        <w:t>N</w:t>
      </w:r>
      <w:r w:rsidR="000861BF" w:rsidRPr="00077691">
        <w:rPr>
          <w:rFonts w:ascii="Calibri" w:hAnsiTheme="minorHAnsi" w:cstheme="minorHAnsi"/>
          <w:szCs w:val="22"/>
        </w:rPr>
        <w:t>ame</w:t>
      </w:r>
    </w:p>
    <w:p w:rsidR="000861BF" w:rsidRDefault="000861BF" w14:paraId="28841141" w14:textId="77777777" w:rsidP="000861BF" w:rsidRPr="00077691">
      <w:pPr>
        <w:ind w:left="360"/>
        <w:spacing w:line="480" w:lineRule="auto"/>
        <w:rPr>
          <w:rFonts w:ascii="Calibri" w:hAnsiTheme="minorHAnsi" w:cstheme="minorHAnsi"/>
          <w:szCs w:val="22"/>
        </w:rPr>
      </w:pPr>
      <w:r w:rsidRPr="00077691">
        <w:rPr>
          <w:rFonts w:ascii="Calibri" w:hAnsiTheme="minorHAnsi" w:cstheme="minorHAnsi"/>
          <w:szCs w:val="22"/>
        </w:rPr>
        <w:t>Defendant</w:t>
      </w:r>
    </w:p>
    <w:p w:rsidR="00E32088" w:rsidRDefault="00EE0F30" w14:paraId="6D96A1E8" w14:textId="77777777" w:rsidP="000861BF" w:rsidRPr="00077691">
      <w:pPr>
        <w:ind w:left="360"/>
        <w:spacing w:line="480" w:lineRule="auto"/>
        <w:rPr>
          <w:rFonts w:ascii="Calibri" w:hAnsiTheme="minorHAnsi" w:cstheme="minorHAnsi"/>
          <w:szCs w:val="22"/>
        </w:rPr>
      </w:pPr>
      <w:r w:rsidRPr="00077691">
        <w:rPr>
          <w:rFonts w:ascii="Calibri" w:hAnsiTheme="minorHAnsi" w:cstheme="minorHAnsi"/>
          <w:szCs w:val="22"/>
        </w:rPr>
        <w:t>To the court and to the claimant</w:t>
      </w:r>
    </w:p>
    <w:p>
      <w:pPr>
        <w:ind w:left="360"/>
        <w:spacing w:line="480" w:lineRule="auto"/>
      </w:pPr>
      <w:r>
        <w:rPr>
          <w:rFonts w:ascii="Calibri"/>
          <w:sz w:val="22"/>
        </w:rPr>
      </w:r>
    </w:p>
    <w:p>
      <w:pPr>
        <w:ind w:left="360"/>
        <w:spacing w:line="480" w:lineRule="auto"/>
      </w:pPr>
      <w:r>
        <w:rPr>
          <w:rFonts w:ascii="Calibri"/>
          <w:sz w:val="22"/>
        </w:rPr>
      </w:r>
    </w:p>
    <w:p>
      <w:pPr>
        <w:ind w:left="360"/>
        <w:spacing w:line="480" w:lineRule="auto"/>
      </w:pPr>
      <w:r>
        <w:rPr>
          <w:rFonts w:ascii="Calibri"/>
          <w:sz w:val="22"/>
        </w:rPr>
      </w:r>
    </w:p>
    <w:p>
      <w:pPr>
        <w:ind w:left="360"/>
        <w:spacing w:line="480" w:lineRule="auto"/>
      </w:pPr>
      <w:r>
        <w:rPr>
          <w:rFonts w:ascii="Calibri"/>
          <w:sz w:val="22"/>
        </w:rPr>
      </w:r>
    </w:p>
    <w:p>
      <w:pPr>
        <w:ind w:left="360"/>
        <w:spacing w:line="480" w:lineRule="auto"/>
      </w:pPr>
      <w:r>
        <w:rPr>
          <w:rFonts w:ascii="Calibri"/>
          <w:sz w:val="22"/>
        </w:rPr>
      </w:r>
    </w:p>
    <w:p>
      <w:pPr>
        <w:ind w:left="360"/>
        <w:spacing w:line="480" w:lineRule="auto"/>
      </w:pPr>
      <w:r>
        <w:rPr>
          <w:rFonts w:ascii="Calibri"/>
          <w:sz w:val="22"/>
        </w:rPr>
      </w:r>
    </w:p>
    <w:p>
      <w:pPr>
        <w:ind w:left="360"/>
        <w:spacing w:line="480" w:lineRule="auto"/>
      </w:pPr>
      <w:r>
        <w:rPr>
          <w:rFonts w:ascii="Calibri"/>
          <w:sz w:val="22"/>
        </w:rPr>
      </w:r>
    </w:p>
    <w:p>
      <w:pPr>
        <w:ind w:left="360"/>
        <w:spacing w:line="480" w:lineRule="auto"/>
      </w:pPr>
      <w:r>
        <w:rPr>
          <w:rFonts w:ascii="Calibri"/>
          <w:sz w:val="22"/>
        </w:rPr>
      </w:r>
    </w:p>
    <w:p>
      <w:pPr>
        <w:ind w:left="360"/>
        <w:spacing w:line="480" w:lineRule="auto"/>
      </w:pPr>
      <w:r>
        <w:rPr>
          <w:rFonts w:ascii="Calibri"/>
          <w:sz w:val="22"/>
        </w:rPr>
      </w:r>
    </w:p>
    <w:p>
      <w:pPr>
        <w:ind w:left="360"/>
        <w:spacing w:line="480" w:lineRule="auto"/>
      </w:pPr>
      <w:r>
        <w:rPr>
          <w:rFonts w:ascii="Calibri"/>
          <w:sz w:val="22"/>
        </w:rPr>
      </w:r>
    </w:p>
    <w:p>
      <w:pPr>
        <w:ind w:left="360"/>
        <w:spacing w:line="480" w:lineRule="auto"/>
      </w:pPr>
      <w:r>
        <w:rPr>
          <w:rFonts w:ascii="Calibri"/>
          <w:sz w:val="22"/>
        </w:rPr>
      </w:r>
    </w:p>
    <w:p>
      <w:pPr>
        <w:ind w:left="360"/>
        <w:spacing w:line="480" w:lineRule="auto"/>
      </w:pPr>
      <w:r>
        <w:rPr>
          <w:rFonts w:ascii="Calibri"/>
          <w:sz w:val="22"/>
        </w:rPr>
      </w:r>
    </w:p>
    <w:p>
      <w:pPr>
        <w:ind w:left="360"/>
        <w:spacing w:line="480" w:lineRule="auto"/>
      </w:pPr>
      <w:r>
        <w:rPr>
          <w:rFonts w:ascii="Calibri"/>
          <w:sz w:val="22"/>
        </w:rPr>
      </w:r>
    </w:p>
    <w:p>
      <w:pPr>
        <w:ind w:left="360"/>
        <w:spacing w:line="480" w:lineRule="auto"/>
      </w:pPr>
      <w:r>
        <w:rPr>
          <w:rFonts w:ascii="Calibri"/>
          <w:sz w:val="22"/>
        </w:rPr>
      </w:r>
    </w:p>
    <w:p>
      <w:pPr>
        <w:ind w:left="360"/>
        <w:spacing w:line="480" w:lineRule="auto"/>
      </w:pPr>
      <w:r>
        <w:rPr>
          <w:rFonts w:ascii="Calibri"/>
          <w:sz w:val="22"/>
        </w:rPr>
      </w:r>
    </w:p>
    <w:sectPr w:rsidR="00E32088" w:rsidRPr="00077691" w:rsidSect="00C40DFF">
      <w:docGrid w:linePitch="360"/>
      <w:footerReference r:id="rId23" w:type="default"/>
      <w:pgSz w:w="11906" w:h="16838" w:orient="portrait"/>
      <w:pgMar w:left="1814" w:right="1814" w:top="1814" w:bottom="1985" w:header="397" w:footer="97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7E47" w:rsidP="0047486C" w:rsidRDefault="00547E47" w14:paraId="49D88503" w14:textId="77777777">
      <w:pPr>
        <w:spacing w:after="0" w:line="240" w:lineRule="auto"/>
      </w:pPr>
      <w:r>
        <w:separator/>
      </w:r>
    </w:p>
  </w:endnote>
  <w:endnote w:type="continuationSeparator" w:id="0">
    <w:p w:rsidR="00547E47" w:rsidP="0047486C" w:rsidRDefault="00547E47" w14:paraId="7830E89F" w14:textId="77777777">
      <w:pPr>
        <w:spacing w:after="0" w:line="240" w:lineRule="auto"/>
      </w:pPr>
      <w:r>
        <w:continuationSeparator/>
      </w:r>
    </w:p>
  </w:endnote>
</w:endnotes>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5084204"/>
      <w:docPartObj>
        <w:docPartGallery w:val="Page Numbers (Bottom of Page)"/>
        <w:docPartUnique/>
      </w:docPartObj>
    </w:sdtPr>
    <w:sdtEndPr>
      <w:rPr>
        <w:noProof/>
      </w:rPr>
    </w:sdtEndPr>
    <w:sdtContent>
      <w:p w:rsidR="007F502D" w:rsidRDefault="007F502D" w14:paraId="7DB99861"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47486C" w:rsidRDefault="0047486C" w14:paraId="5417B15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7E47" w:rsidP="0047486C" w:rsidRDefault="00547E47" w14:paraId="33CF9A7C" w14:textId="77777777">
      <w:pPr>
        <w:spacing w:after="0" w:line="240" w:lineRule="auto"/>
      </w:pPr>
      <w:r>
        <w:separator/>
      </w:r>
    </w:p>
  </w:footnote>
  <w:footnote w:type="continuationSeparator" w:id="0">
    <w:p w:rsidR="00547E47" w:rsidP="0047486C" w:rsidRDefault="00547E47" w14:paraId="75CB56B9" w14:textId="7777777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singleLevel"/>
    <w:nsid w:val="FFFFFF89"/>
    <w:tmpl w:val="C7A46790"/>
    <w:lvl w:ilvl="0">
      <w:numFmt w:val="bullet"/>
      <w:lvlText w:val=""/>
      <w:start w:val="1"/>
      <w:rPr>
        <w:rFonts w:ascii="Symbol" w:hAnsi="Symbol" w:hint="default"/>
      </w:rPr>
      <w:pPr>
        <w:ind w:left="360"/>
        <w:ind w:hanging="360"/>
        <w:tabs>
          <w:tab w:val="num" w:pos="360"/>
        </w:tabs>
      </w:pPr>
      <w:pStyle w:val="ListBullet"/>
      <w:lvlJc w:val="left"/>
    </w:lvl>
  </w:abstractNum>
  <w:abstractNum w:abstractNumId="1">
    <w:multiLevelType w:val="hybridMultilevel"/>
    <w:nsid w:val="004F1318"/>
    <w:tmpl w:val="8BBAC102"/>
    <w:lvl w:ilvl="0" w:tplc="08090017">
      <w:numFmt w:val="lowerLetter"/>
      <w:lvlText w:val="%1)"/>
      <w:start w:val="1"/>
      <w:pPr>
        <w:ind w:left="1440"/>
        <w:ind w:hanging="360"/>
      </w:pPr>
      <w:lvlJc w:val="left"/>
    </w:lvl>
    <w:lvl w:ilvl="1" w:tentative="1" w:tplc="08090019">
      <w:numFmt w:val="lowerLetter"/>
      <w:lvlText w:val="%2."/>
      <w:start w:val="1"/>
      <w:pPr>
        <w:ind w:left="2160"/>
        <w:ind w:hanging="360"/>
      </w:pPr>
      <w:lvlJc w:val="left"/>
    </w:lvl>
    <w:lvl w:ilvl="2" w:tentative="1" w:tplc="0809001B">
      <w:numFmt w:val="lowerRoman"/>
      <w:lvlText w:val="%3."/>
      <w:start w:val="1"/>
      <w:pPr>
        <w:ind w:left="2880"/>
        <w:ind w:hanging="180"/>
      </w:pPr>
      <w:lvlJc w:val="right"/>
    </w:lvl>
    <w:lvl w:ilvl="3" w:tentative="1" w:tplc="0809000F">
      <w:numFmt w:val="decimal"/>
      <w:lvlText w:val="%4."/>
      <w:start w:val="1"/>
      <w:pPr>
        <w:ind w:left="3600"/>
        <w:ind w:hanging="360"/>
      </w:pPr>
      <w:lvlJc w:val="left"/>
    </w:lvl>
    <w:lvl w:ilvl="4" w:tentative="1" w:tplc="08090019">
      <w:numFmt w:val="lowerLetter"/>
      <w:lvlText w:val="%5."/>
      <w:start w:val="1"/>
      <w:pPr>
        <w:ind w:left="4320"/>
        <w:ind w:hanging="360"/>
      </w:pPr>
      <w:lvlJc w:val="left"/>
    </w:lvl>
    <w:lvl w:ilvl="5" w:tentative="1" w:tplc="0809001B">
      <w:numFmt w:val="lowerRoman"/>
      <w:lvlText w:val="%6."/>
      <w:start w:val="1"/>
      <w:pPr>
        <w:ind w:left="5040"/>
        <w:ind w:hanging="180"/>
      </w:pPr>
      <w:lvlJc w:val="right"/>
    </w:lvl>
    <w:lvl w:ilvl="6" w:tentative="1" w:tplc="0809000F">
      <w:numFmt w:val="decimal"/>
      <w:lvlText w:val="%7."/>
      <w:start w:val="1"/>
      <w:pPr>
        <w:ind w:left="5760"/>
        <w:ind w:hanging="360"/>
      </w:pPr>
      <w:lvlJc w:val="left"/>
    </w:lvl>
    <w:lvl w:ilvl="7" w:tentative="1" w:tplc="08090019">
      <w:numFmt w:val="lowerLetter"/>
      <w:lvlText w:val="%8."/>
      <w:start w:val="1"/>
      <w:pPr>
        <w:ind w:left="6480"/>
        <w:ind w:hanging="360"/>
      </w:pPr>
      <w:lvlJc w:val="left"/>
    </w:lvl>
    <w:lvl w:ilvl="8" w:tentative="1" w:tplc="0809001B">
      <w:numFmt w:val="lowerRoman"/>
      <w:lvlText w:val="%9."/>
      <w:start w:val="1"/>
      <w:pPr>
        <w:ind w:left="7200"/>
        <w:ind w:hanging="180"/>
      </w:pPr>
      <w:lvlJc w:val="right"/>
    </w:lvl>
  </w:abstractNum>
  <w:abstractNum w:abstractNumId="2">
    <w:multiLevelType w:val="hybridMultilevel"/>
    <w:nsid w:val="0DB161E8"/>
    <w:tmpl w:val="0898E89E"/>
    <w:lvl w:ilvl="0" w:tplc="0809000F">
      <w:numFmt w:val="decimal"/>
      <w:lvlText w:val="%1."/>
      <w:start w:val="8"/>
      <w:rPr>
        <w:rFonts w:hint="default"/>
      </w:rPr>
      <w:pPr>
        <w:ind w:left="720"/>
        <w:ind w:hanging="360"/>
      </w:pPr>
      <w:lvlJc w:val="left"/>
    </w:lvl>
    <w:lvl w:ilvl="1" w:tentative="1" w:tplc="08090019">
      <w:numFmt w:val="lowerLetter"/>
      <w:lvlText w:val="%2."/>
      <w:start w:val="1"/>
      <w:pPr>
        <w:ind w:left="1440"/>
        <w:ind w:hanging="360"/>
      </w:pPr>
      <w:lvlJc w:val="left"/>
    </w:lvl>
    <w:lvl w:ilvl="2" w:tentative="1" w:tplc="0809001B">
      <w:numFmt w:val="lowerRoman"/>
      <w:lvlText w:val="%3."/>
      <w:start w:val="1"/>
      <w:pPr>
        <w:ind w:left="2160"/>
        <w:ind w:hanging="180"/>
      </w:pPr>
      <w:lvlJc w:val="right"/>
    </w:lvl>
    <w:lvl w:ilvl="3" w:tentative="1" w:tplc="0809000F">
      <w:numFmt w:val="decimal"/>
      <w:lvlText w:val="%4."/>
      <w:start w:val="1"/>
      <w:pPr>
        <w:ind w:left="2880"/>
        <w:ind w:hanging="360"/>
      </w:pPr>
      <w:lvlJc w:val="left"/>
    </w:lvl>
    <w:lvl w:ilvl="4" w:tentative="1" w:tplc="08090019">
      <w:numFmt w:val="lowerLetter"/>
      <w:lvlText w:val="%5."/>
      <w:start w:val="1"/>
      <w:pPr>
        <w:ind w:left="3600"/>
        <w:ind w:hanging="360"/>
      </w:pPr>
      <w:lvlJc w:val="left"/>
    </w:lvl>
    <w:lvl w:ilvl="5" w:tentative="1" w:tplc="0809001B">
      <w:numFmt w:val="lowerRoman"/>
      <w:lvlText w:val="%6."/>
      <w:start w:val="1"/>
      <w:pPr>
        <w:ind w:left="4320"/>
        <w:ind w:hanging="180"/>
      </w:pPr>
      <w:lvlJc w:val="right"/>
    </w:lvl>
    <w:lvl w:ilvl="6" w:tentative="1" w:tplc="0809000F">
      <w:numFmt w:val="decimal"/>
      <w:lvlText w:val="%7."/>
      <w:start w:val="1"/>
      <w:pPr>
        <w:ind w:left="5040"/>
        <w:ind w:hanging="360"/>
      </w:pPr>
      <w:lvlJc w:val="left"/>
    </w:lvl>
    <w:lvl w:ilvl="7" w:tentative="1" w:tplc="08090019">
      <w:numFmt w:val="lowerLetter"/>
      <w:lvlText w:val="%8."/>
      <w:start w:val="1"/>
      <w:pPr>
        <w:ind w:left="5760"/>
        <w:ind w:hanging="360"/>
      </w:pPr>
      <w:lvlJc w:val="left"/>
    </w:lvl>
    <w:lvl w:ilvl="8" w:tentative="1" w:tplc="0809001B">
      <w:numFmt w:val="lowerRoman"/>
      <w:lvlText w:val="%9."/>
      <w:start w:val="1"/>
      <w:pPr>
        <w:ind w:left="6480"/>
        <w:ind w:hanging="180"/>
      </w:pPr>
      <w:lvlJc w:val="right"/>
    </w:lvl>
  </w:abstractNum>
  <w:abstractNum w:abstractNumId="3">
    <w:multiLevelType w:val="hybridMultilevel"/>
    <w:nsid w:val="0DFB0356"/>
    <w:tmpl w:val="D6FAD940"/>
    <w:lvl w:ilvl="0" w:tplc="0809000F">
      <w:numFmt w:val="decimal"/>
      <w:lvlText w:val="%1."/>
      <w:start w:val="1"/>
      <w:rPr>
        <w:rFonts w:hint="default"/>
      </w:rPr>
      <w:pPr>
        <w:ind w:left="720"/>
        <w:ind w:hanging="360"/>
      </w:pPr>
      <w:lvlJc w:val="left"/>
    </w:lvl>
    <w:lvl w:ilvl="1" w:tentative="1" w:tplc="08090019">
      <w:numFmt w:val="lowerLetter"/>
      <w:lvlText w:val="%2."/>
      <w:start w:val="1"/>
      <w:pPr>
        <w:ind w:left="1440"/>
        <w:ind w:hanging="360"/>
      </w:pPr>
      <w:lvlJc w:val="left"/>
    </w:lvl>
    <w:lvl w:ilvl="2" w:tentative="1" w:tplc="0809001B">
      <w:numFmt w:val="lowerRoman"/>
      <w:lvlText w:val="%3."/>
      <w:start w:val="1"/>
      <w:pPr>
        <w:ind w:left="2160"/>
        <w:ind w:hanging="180"/>
      </w:pPr>
      <w:lvlJc w:val="right"/>
    </w:lvl>
    <w:lvl w:ilvl="3" w:tentative="1" w:tplc="0809000F">
      <w:numFmt w:val="decimal"/>
      <w:lvlText w:val="%4."/>
      <w:start w:val="1"/>
      <w:pPr>
        <w:ind w:left="2880"/>
        <w:ind w:hanging="360"/>
      </w:pPr>
      <w:lvlJc w:val="left"/>
    </w:lvl>
    <w:lvl w:ilvl="4" w:tentative="1" w:tplc="08090019">
      <w:numFmt w:val="lowerLetter"/>
      <w:lvlText w:val="%5."/>
      <w:start w:val="1"/>
      <w:pPr>
        <w:ind w:left="3600"/>
        <w:ind w:hanging="360"/>
      </w:pPr>
      <w:lvlJc w:val="left"/>
    </w:lvl>
    <w:lvl w:ilvl="5" w:tentative="1" w:tplc="0809001B">
      <w:numFmt w:val="lowerRoman"/>
      <w:lvlText w:val="%6."/>
      <w:start w:val="1"/>
      <w:pPr>
        <w:ind w:left="4320"/>
        <w:ind w:hanging="180"/>
      </w:pPr>
      <w:lvlJc w:val="right"/>
    </w:lvl>
    <w:lvl w:ilvl="6" w:tentative="1" w:tplc="0809000F">
      <w:numFmt w:val="decimal"/>
      <w:lvlText w:val="%7."/>
      <w:start w:val="1"/>
      <w:pPr>
        <w:ind w:left="5040"/>
        <w:ind w:hanging="360"/>
      </w:pPr>
      <w:lvlJc w:val="left"/>
    </w:lvl>
    <w:lvl w:ilvl="7" w:tentative="1" w:tplc="08090019">
      <w:numFmt w:val="lowerLetter"/>
      <w:lvlText w:val="%8."/>
      <w:start w:val="1"/>
      <w:pPr>
        <w:ind w:left="5760"/>
        <w:ind w:hanging="360"/>
      </w:pPr>
      <w:lvlJc w:val="left"/>
    </w:lvl>
    <w:lvl w:ilvl="8" w:tentative="1" w:tplc="0809001B">
      <w:numFmt w:val="lowerRoman"/>
      <w:lvlText w:val="%9."/>
      <w:start w:val="1"/>
      <w:pPr>
        <w:ind w:left="6480"/>
        <w:ind w:hanging="180"/>
      </w:pPr>
      <w:lvlJc w:val="right"/>
    </w:lvl>
  </w:abstractNum>
  <w:abstractNum w:abstractNumId="4">
    <w:multiLevelType w:val="hybridMultilevel"/>
    <w:nsid w:val="10D31EAF"/>
    <w:tmpl w:val="9EF6CEB0"/>
    <w:lvl w:ilvl="0" w:tplc="08090017">
      <w:numFmt w:val="lowerLetter"/>
      <w:lvlText w:val="%1)"/>
      <w:start w:val="1"/>
      <w:pPr>
        <w:ind w:left="1440"/>
        <w:ind w:hanging="360"/>
      </w:pPr>
      <w:lvlJc w:val="left"/>
    </w:lvl>
    <w:lvl w:ilvl="1" w:tentative="1" w:tplc="08090019">
      <w:numFmt w:val="lowerLetter"/>
      <w:lvlText w:val="%2."/>
      <w:start w:val="1"/>
      <w:pPr>
        <w:ind w:left="2160"/>
        <w:ind w:hanging="360"/>
      </w:pPr>
      <w:lvlJc w:val="left"/>
    </w:lvl>
    <w:lvl w:ilvl="2" w:tentative="1" w:tplc="0809001B">
      <w:numFmt w:val="lowerRoman"/>
      <w:lvlText w:val="%3."/>
      <w:start w:val="1"/>
      <w:pPr>
        <w:ind w:left="2880"/>
        <w:ind w:hanging="180"/>
      </w:pPr>
      <w:lvlJc w:val="right"/>
    </w:lvl>
    <w:lvl w:ilvl="3" w:tentative="1" w:tplc="0809000F">
      <w:numFmt w:val="decimal"/>
      <w:lvlText w:val="%4."/>
      <w:start w:val="1"/>
      <w:pPr>
        <w:ind w:left="3600"/>
        <w:ind w:hanging="360"/>
      </w:pPr>
      <w:lvlJc w:val="left"/>
    </w:lvl>
    <w:lvl w:ilvl="4" w:tentative="1" w:tplc="08090019">
      <w:numFmt w:val="lowerLetter"/>
      <w:lvlText w:val="%5."/>
      <w:start w:val="1"/>
      <w:pPr>
        <w:ind w:left="4320"/>
        <w:ind w:hanging="360"/>
      </w:pPr>
      <w:lvlJc w:val="left"/>
    </w:lvl>
    <w:lvl w:ilvl="5" w:tentative="1" w:tplc="0809001B">
      <w:numFmt w:val="lowerRoman"/>
      <w:lvlText w:val="%6."/>
      <w:start w:val="1"/>
      <w:pPr>
        <w:ind w:left="5040"/>
        <w:ind w:hanging="180"/>
      </w:pPr>
      <w:lvlJc w:val="right"/>
    </w:lvl>
    <w:lvl w:ilvl="6" w:tentative="1" w:tplc="0809000F">
      <w:numFmt w:val="decimal"/>
      <w:lvlText w:val="%7."/>
      <w:start w:val="1"/>
      <w:pPr>
        <w:ind w:left="5760"/>
        <w:ind w:hanging="360"/>
      </w:pPr>
      <w:lvlJc w:val="left"/>
    </w:lvl>
    <w:lvl w:ilvl="7" w:tentative="1" w:tplc="08090019">
      <w:numFmt w:val="lowerLetter"/>
      <w:lvlText w:val="%8."/>
      <w:start w:val="1"/>
      <w:pPr>
        <w:ind w:left="6480"/>
        <w:ind w:hanging="360"/>
      </w:pPr>
      <w:lvlJc w:val="left"/>
    </w:lvl>
    <w:lvl w:ilvl="8" w:tentative="1" w:tplc="0809001B">
      <w:numFmt w:val="lowerRoman"/>
      <w:lvlText w:val="%9."/>
      <w:start w:val="1"/>
      <w:pPr>
        <w:ind w:left="7200"/>
        <w:ind w:hanging="180"/>
      </w:pPr>
      <w:lvlJc w:val="right"/>
    </w:lvl>
  </w:abstractNum>
  <w:abstractNum w:abstractNumId="5">
    <w:multiLevelType w:val="hybridMultilevel"/>
    <w:nsid w:val="1C4702F6"/>
    <w:tmpl w:val="D41E3700"/>
    <w:lvl w:ilvl="0" w:tplc="08090001">
      <w:numFmt w:val="bullet"/>
      <w:lvlText w:val=""/>
      <w:start w:val="1"/>
      <w:rPr>
        <w:rFonts w:ascii="Symbol" w:hAnsi="Symbol" w:hint="default"/>
      </w:rPr>
      <w:pPr>
        <w:ind w:left="720"/>
        <w:ind w:hanging="360"/>
      </w:pPr>
      <w:lvlJc w:val="left"/>
    </w:lvl>
    <w:lvl w:ilvl="1" w:tplc="08090003">
      <w:numFmt w:val="bullet"/>
      <w:lvlText w:val="o"/>
      <w:start w:val="1"/>
      <w:rPr>
        <w:rFonts w:ascii="Courier New" w:cs="Courier New" w:hAnsi="Courier New" w:hint="default"/>
      </w:rPr>
      <w:pPr>
        <w:ind w:left="1440"/>
        <w:ind w:hanging="360"/>
      </w:pPr>
      <w:lvlJc w:val="left"/>
    </w:lvl>
    <w:lvl w:ilvl="2" w:tplc="08090005">
      <w:numFmt w:val="bullet"/>
      <w:lvlText w:val=""/>
      <w:start w:val="1"/>
      <w:rPr>
        <w:rFonts w:ascii="Wingdings" w:hAnsi="Wingdings" w:hint="default"/>
      </w:rPr>
      <w:pPr>
        <w:ind w:left="2160"/>
        <w:ind w:hanging="360"/>
      </w:pPr>
      <w:lvlJc w:val="left"/>
    </w:lvl>
    <w:lvl w:ilvl="3" w:tplc="08090001">
      <w:numFmt w:val="bullet"/>
      <w:lvlText w:val=""/>
      <w:start w:val="1"/>
      <w:rPr>
        <w:rFonts w:ascii="Symbol" w:hAnsi="Symbol" w:hint="default"/>
      </w:rPr>
      <w:pPr>
        <w:ind w:left="2880"/>
        <w:ind w:hanging="360"/>
      </w:pPr>
      <w:lvlJc w:val="left"/>
    </w:lvl>
    <w:lvl w:ilvl="4" w:tplc="08090003">
      <w:numFmt w:val="bullet"/>
      <w:lvlText w:val="o"/>
      <w:start w:val="1"/>
      <w:rPr>
        <w:rFonts w:ascii="Courier New" w:cs="Courier New" w:hAnsi="Courier New" w:hint="default"/>
      </w:rPr>
      <w:pPr>
        <w:ind w:left="3600"/>
        <w:ind w:hanging="360"/>
      </w:pPr>
      <w:lvlJc w:val="left"/>
    </w:lvl>
    <w:lvl w:ilvl="5" w:tplc="08090005">
      <w:numFmt w:val="bullet"/>
      <w:lvlText w:val=""/>
      <w:start w:val="1"/>
      <w:rPr>
        <w:rFonts w:ascii="Wingdings" w:hAnsi="Wingdings" w:hint="default"/>
      </w:rPr>
      <w:pPr>
        <w:ind w:left="4320"/>
        <w:ind w:hanging="360"/>
      </w:pPr>
      <w:lvlJc w:val="left"/>
    </w:lvl>
    <w:lvl w:ilvl="6" w:tplc="08090001">
      <w:numFmt w:val="bullet"/>
      <w:lvlText w:val=""/>
      <w:start w:val="1"/>
      <w:rPr>
        <w:rFonts w:ascii="Symbol" w:hAnsi="Symbol" w:hint="default"/>
      </w:rPr>
      <w:pPr>
        <w:ind w:left="5040"/>
        <w:ind w:hanging="360"/>
      </w:pPr>
      <w:lvlJc w:val="left"/>
    </w:lvl>
    <w:lvl w:ilvl="7" w:tplc="08090003">
      <w:numFmt w:val="bullet"/>
      <w:lvlText w:val="o"/>
      <w:start w:val="1"/>
      <w:rPr>
        <w:rFonts w:ascii="Courier New" w:cs="Courier New" w:hAnsi="Courier New" w:hint="default"/>
      </w:rPr>
      <w:pPr>
        <w:ind w:left="5760"/>
        <w:ind w:hanging="360"/>
      </w:pPr>
      <w:lvlJc w:val="left"/>
    </w:lvl>
    <w:lvl w:ilvl="8" w:tplc="08090005">
      <w:numFmt w:val="bullet"/>
      <w:lvlText w:val=""/>
      <w:start w:val="1"/>
      <w:rPr>
        <w:rFonts w:ascii="Wingdings" w:hAnsi="Wingdings" w:hint="default"/>
      </w:rPr>
      <w:pPr>
        <w:ind w:left="6480"/>
        <w:ind w:hanging="360"/>
      </w:pPr>
      <w:lvlJc w:val="left"/>
    </w:lvl>
  </w:abstractNum>
  <w:abstractNum w:abstractNumId="6">
    <w:multiLevelType w:val="hybridMultilevel"/>
    <w:nsid w:val="1CD13121"/>
    <w:tmpl w:val="367EFAFC"/>
    <w:lvl w:ilvl="0" w:tplc="FFFFFFFF">
      <w:numFmt w:val="decimal"/>
      <w:lvlText w:val="%1."/>
      <w:start w:val="1"/>
      <w:rPr>
        <w:i w:val="0"/>
      </w:rPr>
      <w:pPr>
        <w:ind w:left="720"/>
        <w:ind w:hanging="360"/>
      </w:pPr>
      <w:lvlJc w:val="left"/>
    </w:lvl>
    <w:lvl w:ilvl="1" w:tplc="08090019">
      <w:numFmt w:val="lowerLetter"/>
      <w:lvlText w:val="%2."/>
      <w:start w:val="1"/>
      <w:pPr>
        <w:ind w:left="1440"/>
        <w:ind w:hanging="360"/>
      </w:pPr>
      <w:lvlJc w:val="left"/>
    </w:lvl>
    <w:lvl w:ilvl="2" w:tentative="1" w:tplc="0809001B">
      <w:numFmt w:val="lowerRoman"/>
      <w:lvlText w:val="%3."/>
      <w:start w:val="1"/>
      <w:pPr>
        <w:ind w:left="2160"/>
        <w:ind w:hanging="180"/>
      </w:pPr>
      <w:lvlJc w:val="right"/>
    </w:lvl>
    <w:lvl w:ilvl="3" w:tentative="1" w:tplc="0809000F">
      <w:numFmt w:val="decimal"/>
      <w:lvlText w:val="%4."/>
      <w:start w:val="1"/>
      <w:pPr>
        <w:ind w:left="2880"/>
        <w:ind w:hanging="360"/>
      </w:pPr>
      <w:lvlJc w:val="left"/>
    </w:lvl>
    <w:lvl w:ilvl="4" w:tentative="1" w:tplc="08090019">
      <w:numFmt w:val="lowerLetter"/>
      <w:lvlText w:val="%5."/>
      <w:start w:val="1"/>
      <w:pPr>
        <w:ind w:left="3600"/>
        <w:ind w:hanging="360"/>
      </w:pPr>
      <w:lvlJc w:val="left"/>
    </w:lvl>
    <w:lvl w:ilvl="5" w:tentative="1" w:tplc="0809001B">
      <w:numFmt w:val="lowerRoman"/>
      <w:lvlText w:val="%6."/>
      <w:start w:val="1"/>
      <w:pPr>
        <w:ind w:left="4320"/>
        <w:ind w:hanging="180"/>
      </w:pPr>
      <w:lvlJc w:val="right"/>
    </w:lvl>
    <w:lvl w:ilvl="6" w:tentative="1" w:tplc="0809000F">
      <w:numFmt w:val="decimal"/>
      <w:lvlText w:val="%7."/>
      <w:start w:val="1"/>
      <w:pPr>
        <w:ind w:left="5040"/>
        <w:ind w:hanging="360"/>
      </w:pPr>
      <w:lvlJc w:val="left"/>
    </w:lvl>
    <w:lvl w:ilvl="7" w:tentative="1" w:tplc="08090019">
      <w:numFmt w:val="lowerLetter"/>
      <w:lvlText w:val="%8."/>
      <w:start w:val="1"/>
      <w:pPr>
        <w:ind w:left="5760"/>
        <w:ind w:hanging="360"/>
      </w:pPr>
      <w:lvlJc w:val="left"/>
    </w:lvl>
    <w:lvl w:ilvl="8" w:tentative="1" w:tplc="0809001B">
      <w:numFmt w:val="lowerRoman"/>
      <w:lvlText w:val="%9."/>
      <w:start w:val="1"/>
      <w:pPr>
        <w:ind w:left="6480"/>
        <w:ind w:hanging="180"/>
      </w:pPr>
      <w:lvlJc w:val="right"/>
    </w:lvl>
  </w:abstractNum>
  <w:abstractNum w:abstractNumId="7">
    <w:multiLevelType w:val="hybridMultilevel"/>
    <w:nsid w:val="26CA46B3"/>
    <w:tmpl w:val="0044A89A"/>
    <w:lvl w:ilvl="0" w:tplc="08090001">
      <w:numFmt w:val="bullet"/>
      <w:lvlText w:val=""/>
      <w:start w:val="1"/>
      <w:rPr>
        <w:rFonts w:ascii="Symbol" w:hAnsi="Symbol" w:hint="default"/>
      </w:rPr>
      <w:pPr>
        <w:ind w:left="720"/>
        <w:ind w:hanging="360"/>
      </w:pPr>
      <w:lvlJc w:val="left"/>
    </w:lvl>
    <w:lvl w:ilvl="1" w:tplc="08090003">
      <w:numFmt w:val="bullet"/>
      <w:lvlText w:val="o"/>
      <w:start w:val="1"/>
      <w:rPr>
        <w:rFonts w:ascii="Courier New" w:cs="Courier New" w:hAnsi="Courier New" w:hint="default"/>
      </w:rPr>
      <w:pPr>
        <w:ind w:left="1440"/>
        <w:ind w:hanging="360"/>
      </w:pPr>
      <w:lvlJc w:val="left"/>
    </w:lvl>
    <w:lvl w:ilvl="2" w:tplc="08090005">
      <w:numFmt w:val="bullet"/>
      <w:lvlText w:val=""/>
      <w:start w:val="1"/>
      <w:rPr>
        <w:rFonts w:ascii="Wingdings" w:hAnsi="Wingdings" w:hint="default"/>
      </w:rPr>
      <w:pPr>
        <w:ind w:left="2160"/>
        <w:ind w:hanging="360"/>
      </w:pPr>
      <w:lvlJc w:val="left"/>
    </w:lvl>
    <w:lvl w:ilvl="3" w:tplc="08090001">
      <w:numFmt w:val="bullet"/>
      <w:lvlText w:val=""/>
      <w:start w:val="1"/>
      <w:rPr>
        <w:rFonts w:ascii="Symbol" w:hAnsi="Symbol" w:hint="default"/>
      </w:rPr>
      <w:pPr>
        <w:ind w:left="2880"/>
        <w:ind w:hanging="360"/>
      </w:pPr>
      <w:lvlJc w:val="left"/>
    </w:lvl>
    <w:lvl w:ilvl="4" w:tplc="08090003">
      <w:numFmt w:val="bullet"/>
      <w:lvlText w:val="o"/>
      <w:start w:val="1"/>
      <w:rPr>
        <w:rFonts w:ascii="Courier New" w:cs="Courier New" w:hAnsi="Courier New" w:hint="default"/>
      </w:rPr>
      <w:pPr>
        <w:ind w:left="3600"/>
        <w:ind w:hanging="360"/>
      </w:pPr>
      <w:lvlJc w:val="left"/>
    </w:lvl>
    <w:lvl w:ilvl="5" w:tplc="08090005">
      <w:numFmt w:val="bullet"/>
      <w:lvlText w:val=""/>
      <w:start w:val="1"/>
      <w:rPr>
        <w:rFonts w:ascii="Wingdings" w:hAnsi="Wingdings" w:hint="default"/>
      </w:rPr>
      <w:pPr>
        <w:ind w:left="4320"/>
        <w:ind w:hanging="360"/>
      </w:pPr>
      <w:lvlJc w:val="left"/>
    </w:lvl>
    <w:lvl w:ilvl="6" w:tplc="08090001">
      <w:numFmt w:val="bullet"/>
      <w:lvlText w:val=""/>
      <w:start w:val="1"/>
      <w:rPr>
        <w:rFonts w:ascii="Symbol" w:hAnsi="Symbol" w:hint="default"/>
      </w:rPr>
      <w:pPr>
        <w:ind w:left="5040"/>
        <w:ind w:hanging="360"/>
      </w:pPr>
      <w:lvlJc w:val="left"/>
    </w:lvl>
    <w:lvl w:ilvl="7" w:tplc="08090003">
      <w:numFmt w:val="bullet"/>
      <w:lvlText w:val="o"/>
      <w:start w:val="1"/>
      <w:rPr>
        <w:rFonts w:ascii="Courier New" w:cs="Courier New" w:hAnsi="Courier New" w:hint="default"/>
      </w:rPr>
      <w:pPr>
        <w:ind w:left="5760"/>
        <w:ind w:hanging="360"/>
      </w:pPr>
      <w:lvlJc w:val="left"/>
    </w:lvl>
    <w:lvl w:ilvl="8" w:tplc="08090005">
      <w:numFmt w:val="bullet"/>
      <w:lvlText w:val=""/>
      <w:start w:val="1"/>
      <w:rPr>
        <w:rFonts w:ascii="Wingdings" w:hAnsi="Wingdings" w:hint="default"/>
      </w:rPr>
      <w:pPr>
        <w:ind w:left="6480"/>
        <w:ind w:hanging="360"/>
      </w:pPr>
      <w:lvlJc w:val="left"/>
    </w:lvl>
  </w:abstractNum>
  <w:abstractNum w:abstractNumId="8">
    <w:multiLevelType w:val="hybridMultilevel"/>
    <w:nsid w:val="2713499C"/>
    <w:tmpl w:val="3CACEA2E"/>
    <w:lvl w:ilvl="0" w:tplc="0809000F">
      <w:numFmt w:val="decimal"/>
      <w:lvlText w:val="%1."/>
      <w:start w:val="9"/>
      <w:rPr>
        <w:rFonts w:hint="default"/>
      </w:rPr>
      <w:pPr>
        <w:ind w:left="720"/>
        <w:ind w:hanging="360"/>
      </w:pPr>
      <w:lvlJc w:val="left"/>
    </w:lvl>
    <w:lvl w:ilvl="1" w:tentative="1" w:tplc="08090019">
      <w:numFmt w:val="lowerLetter"/>
      <w:lvlText w:val="%2."/>
      <w:start w:val="1"/>
      <w:pPr>
        <w:ind w:left="1440"/>
        <w:ind w:hanging="360"/>
      </w:pPr>
      <w:lvlJc w:val="left"/>
    </w:lvl>
    <w:lvl w:ilvl="2" w:tentative="1" w:tplc="0809001B">
      <w:numFmt w:val="lowerRoman"/>
      <w:lvlText w:val="%3."/>
      <w:start w:val="1"/>
      <w:pPr>
        <w:ind w:left="2160"/>
        <w:ind w:hanging="180"/>
      </w:pPr>
      <w:lvlJc w:val="right"/>
    </w:lvl>
    <w:lvl w:ilvl="3" w:tentative="1" w:tplc="0809000F">
      <w:numFmt w:val="decimal"/>
      <w:lvlText w:val="%4."/>
      <w:start w:val="1"/>
      <w:pPr>
        <w:ind w:left="2880"/>
        <w:ind w:hanging="360"/>
      </w:pPr>
      <w:lvlJc w:val="left"/>
    </w:lvl>
    <w:lvl w:ilvl="4" w:tentative="1" w:tplc="08090019">
      <w:numFmt w:val="lowerLetter"/>
      <w:lvlText w:val="%5."/>
      <w:start w:val="1"/>
      <w:pPr>
        <w:ind w:left="3600"/>
        <w:ind w:hanging="360"/>
      </w:pPr>
      <w:lvlJc w:val="left"/>
    </w:lvl>
    <w:lvl w:ilvl="5" w:tentative="1" w:tplc="0809001B">
      <w:numFmt w:val="lowerRoman"/>
      <w:lvlText w:val="%6."/>
      <w:start w:val="1"/>
      <w:pPr>
        <w:ind w:left="4320"/>
        <w:ind w:hanging="180"/>
      </w:pPr>
      <w:lvlJc w:val="right"/>
    </w:lvl>
    <w:lvl w:ilvl="6" w:tentative="1" w:tplc="0809000F">
      <w:numFmt w:val="decimal"/>
      <w:lvlText w:val="%7."/>
      <w:start w:val="1"/>
      <w:pPr>
        <w:ind w:left="5040"/>
        <w:ind w:hanging="360"/>
      </w:pPr>
      <w:lvlJc w:val="left"/>
    </w:lvl>
    <w:lvl w:ilvl="7" w:tentative="1" w:tplc="08090019">
      <w:numFmt w:val="lowerLetter"/>
      <w:lvlText w:val="%8."/>
      <w:start w:val="1"/>
      <w:pPr>
        <w:ind w:left="5760"/>
        <w:ind w:hanging="360"/>
      </w:pPr>
      <w:lvlJc w:val="left"/>
    </w:lvl>
    <w:lvl w:ilvl="8" w:tentative="1" w:tplc="0809001B">
      <w:numFmt w:val="lowerRoman"/>
      <w:lvlText w:val="%9."/>
      <w:start w:val="1"/>
      <w:pPr>
        <w:ind w:left="6480"/>
        <w:ind w:hanging="180"/>
      </w:pPr>
      <w:lvlJc w:val="right"/>
    </w:lvl>
  </w:abstractNum>
  <w:abstractNum w:abstractNumId="9">
    <w:multiLevelType w:val="hybridMultilevel"/>
    <w:nsid w:val="29E15AA3"/>
    <w:tmpl w:val="A3CEC276"/>
    <w:lvl w:ilvl="0" w:tplc="08090001">
      <w:numFmt w:val="bullet"/>
      <w:lvlText w:val=""/>
      <w:start w:val="1"/>
      <w:rPr>
        <w:rFonts w:ascii="Symbol" w:hAnsi="Symbol" w:hint="default"/>
      </w:rPr>
      <w:pPr>
        <w:ind w:left="720"/>
        <w:ind w:hanging="360"/>
      </w:pPr>
      <w:lvlJc w:val="left"/>
    </w:lvl>
    <w:lvl w:ilvl="1" w:tentative="1" w:tplc="08090003">
      <w:numFmt w:val="bullet"/>
      <w:lvlText w:val="o"/>
      <w:start w:val="1"/>
      <w:rPr>
        <w:rFonts w:ascii="Courier New" w:cs="Courier New" w:hAnsi="Courier New" w:hint="default"/>
      </w:rPr>
      <w:pPr>
        <w:ind w:left="1440"/>
        <w:ind w:hanging="360"/>
      </w:pPr>
      <w:lvlJc w:val="left"/>
    </w:lvl>
    <w:lvl w:ilvl="2" w:tentative="1" w:tplc="08090005">
      <w:numFmt w:val="bullet"/>
      <w:lvlText w:val=""/>
      <w:start w:val="1"/>
      <w:rPr>
        <w:rFonts w:ascii="Wingdings" w:hAnsi="Wingdings" w:hint="default"/>
      </w:rPr>
      <w:pPr>
        <w:ind w:left="2160"/>
        <w:ind w:hanging="360"/>
      </w:pPr>
      <w:lvlJc w:val="left"/>
    </w:lvl>
    <w:lvl w:ilvl="3" w:tentative="1" w:tplc="08090001">
      <w:numFmt w:val="bullet"/>
      <w:lvlText w:val=""/>
      <w:start w:val="1"/>
      <w:rPr>
        <w:rFonts w:ascii="Symbol" w:hAnsi="Symbol" w:hint="default"/>
      </w:rPr>
      <w:pPr>
        <w:ind w:left="2880"/>
        <w:ind w:hanging="360"/>
      </w:pPr>
      <w:lvlJc w:val="left"/>
    </w:lvl>
    <w:lvl w:ilvl="4" w:tentative="1" w:tplc="08090003">
      <w:numFmt w:val="bullet"/>
      <w:lvlText w:val="o"/>
      <w:start w:val="1"/>
      <w:rPr>
        <w:rFonts w:ascii="Courier New" w:cs="Courier New" w:hAnsi="Courier New" w:hint="default"/>
      </w:rPr>
      <w:pPr>
        <w:ind w:left="3600"/>
        <w:ind w:hanging="360"/>
      </w:pPr>
      <w:lvlJc w:val="left"/>
    </w:lvl>
    <w:lvl w:ilvl="5" w:tentative="1" w:tplc="08090005">
      <w:numFmt w:val="bullet"/>
      <w:lvlText w:val=""/>
      <w:start w:val="1"/>
      <w:rPr>
        <w:rFonts w:ascii="Wingdings" w:hAnsi="Wingdings" w:hint="default"/>
      </w:rPr>
      <w:pPr>
        <w:ind w:left="4320"/>
        <w:ind w:hanging="360"/>
      </w:pPr>
      <w:lvlJc w:val="left"/>
    </w:lvl>
    <w:lvl w:ilvl="6" w:tentative="1" w:tplc="08090001">
      <w:numFmt w:val="bullet"/>
      <w:lvlText w:val=""/>
      <w:start w:val="1"/>
      <w:rPr>
        <w:rFonts w:ascii="Symbol" w:hAnsi="Symbol" w:hint="default"/>
      </w:rPr>
      <w:pPr>
        <w:ind w:left="5040"/>
        <w:ind w:hanging="360"/>
      </w:pPr>
      <w:lvlJc w:val="left"/>
    </w:lvl>
    <w:lvl w:ilvl="7" w:tentative="1" w:tplc="08090003">
      <w:numFmt w:val="bullet"/>
      <w:lvlText w:val="o"/>
      <w:start w:val="1"/>
      <w:rPr>
        <w:rFonts w:ascii="Courier New" w:cs="Courier New" w:hAnsi="Courier New" w:hint="default"/>
      </w:rPr>
      <w:pPr>
        <w:ind w:left="5760"/>
        <w:ind w:hanging="360"/>
      </w:pPr>
      <w:lvlJc w:val="left"/>
    </w:lvl>
    <w:lvl w:ilvl="8" w:tentative="1" w:tplc="08090005">
      <w:numFmt w:val="bullet"/>
      <w:lvlText w:val=""/>
      <w:start w:val="1"/>
      <w:rPr>
        <w:rFonts w:ascii="Wingdings" w:hAnsi="Wingdings" w:hint="default"/>
      </w:rPr>
      <w:pPr>
        <w:ind w:left="6480"/>
        <w:ind w:hanging="360"/>
      </w:pPr>
      <w:lvlJc w:val="left"/>
    </w:lvl>
  </w:abstractNum>
  <w:abstractNum w:abstractNumId="10">
    <w:multiLevelType w:val="hybridMultilevel"/>
    <w:nsid w:val="2E4C6082"/>
    <w:tmpl w:val="52248DDA"/>
    <w:lvl w:ilvl="0" w:tplc="00DAEE16">
      <w:numFmt w:val="lowerLetter"/>
      <w:lvlText w:val="(%1)"/>
      <w:start w:val="9"/>
      <w:rPr>
        <w:rFonts w:hint="default"/>
      </w:rPr>
      <w:pPr>
        <w:ind w:left="720"/>
        <w:ind w:hanging="360"/>
      </w:pPr>
      <w:lvlJc w:val="left"/>
    </w:lvl>
    <w:lvl w:ilvl="1" w:tplc="08090019">
      <w:numFmt w:val="lowerLetter"/>
      <w:lvlText w:val="%2."/>
      <w:start w:val="1"/>
      <w:pPr>
        <w:ind w:left="1440"/>
        <w:ind w:hanging="360"/>
      </w:pPr>
      <w:lvlJc w:val="left"/>
    </w:lvl>
    <w:lvl w:ilvl="2" w:tentative="1" w:tplc="0809001B">
      <w:numFmt w:val="lowerRoman"/>
      <w:lvlText w:val="%3."/>
      <w:start w:val="1"/>
      <w:pPr>
        <w:ind w:left="2160"/>
        <w:ind w:hanging="180"/>
      </w:pPr>
      <w:lvlJc w:val="right"/>
    </w:lvl>
    <w:lvl w:ilvl="3" w:tentative="1" w:tplc="0809000F">
      <w:numFmt w:val="decimal"/>
      <w:lvlText w:val="%4."/>
      <w:start w:val="1"/>
      <w:pPr>
        <w:ind w:left="2880"/>
        <w:ind w:hanging="360"/>
      </w:pPr>
      <w:lvlJc w:val="left"/>
    </w:lvl>
    <w:lvl w:ilvl="4" w:tentative="1" w:tplc="08090019">
      <w:numFmt w:val="lowerLetter"/>
      <w:lvlText w:val="%5."/>
      <w:start w:val="1"/>
      <w:pPr>
        <w:ind w:left="3600"/>
        <w:ind w:hanging="360"/>
      </w:pPr>
      <w:lvlJc w:val="left"/>
    </w:lvl>
    <w:lvl w:ilvl="5" w:tentative="1" w:tplc="0809001B">
      <w:numFmt w:val="lowerRoman"/>
      <w:lvlText w:val="%6."/>
      <w:start w:val="1"/>
      <w:pPr>
        <w:ind w:left="4320"/>
        <w:ind w:hanging="180"/>
      </w:pPr>
      <w:lvlJc w:val="right"/>
    </w:lvl>
    <w:lvl w:ilvl="6" w:tentative="1" w:tplc="0809000F">
      <w:numFmt w:val="decimal"/>
      <w:lvlText w:val="%7."/>
      <w:start w:val="1"/>
      <w:pPr>
        <w:ind w:left="5040"/>
        <w:ind w:hanging="360"/>
      </w:pPr>
      <w:lvlJc w:val="left"/>
    </w:lvl>
    <w:lvl w:ilvl="7" w:tentative="1" w:tplc="08090019">
      <w:numFmt w:val="lowerLetter"/>
      <w:lvlText w:val="%8."/>
      <w:start w:val="1"/>
      <w:pPr>
        <w:ind w:left="5760"/>
        <w:ind w:hanging="360"/>
      </w:pPr>
      <w:lvlJc w:val="left"/>
    </w:lvl>
    <w:lvl w:ilvl="8" w:tentative="1" w:tplc="0809001B">
      <w:numFmt w:val="lowerRoman"/>
      <w:lvlText w:val="%9."/>
      <w:start w:val="1"/>
      <w:pPr>
        <w:ind w:left="6480"/>
        <w:ind w:hanging="180"/>
      </w:pPr>
      <w:lvlJc w:val="right"/>
    </w:lvl>
  </w:abstractNum>
  <w:abstractNum w:abstractNumId="11">
    <w:multiLevelType w:val="hybridMultilevel"/>
    <w:nsid w:val="2E5E1460"/>
    <w:tmpl w:val="25FA4D82"/>
    <w:lvl w:ilvl="0" w:tplc="0809000F">
      <w:numFmt w:val="decimal"/>
      <w:lvlText w:val="%1."/>
      <w:start w:val="1"/>
      <w:rPr>
        <w:rFonts w:hint="default"/>
      </w:rPr>
      <w:pPr>
        <w:ind w:left="720"/>
        <w:ind w:hanging="360"/>
      </w:pPr>
      <w:lvlJc w:val="left"/>
    </w:lvl>
    <w:lvl w:ilvl="1" w:tentative="1" w:tplc="08090019">
      <w:numFmt w:val="lowerLetter"/>
      <w:lvlText w:val="%2."/>
      <w:start w:val="1"/>
      <w:pPr>
        <w:ind w:left="1440"/>
        <w:ind w:hanging="360"/>
      </w:pPr>
      <w:lvlJc w:val="left"/>
    </w:lvl>
    <w:lvl w:ilvl="2" w:tentative="1" w:tplc="0809001B">
      <w:numFmt w:val="lowerRoman"/>
      <w:lvlText w:val="%3."/>
      <w:start w:val="1"/>
      <w:pPr>
        <w:ind w:left="2160"/>
        <w:ind w:hanging="180"/>
      </w:pPr>
      <w:lvlJc w:val="right"/>
    </w:lvl>
    <w:lvl w:ilvl="3" w:tentative="1" w:tplc="0809000F">
      <w:numFmt w:val="decimal"/>
      <w:lvlText w:val="%4."/>
      <w:start w:val="1"/>
      <w:pPr>
        <w:ind w:left="2880"/>
        <w:ind w:hanging="360"/>
      </w:pPr>
      <w:lvlJc w:val="left"/>
    </w:lvl>
    <w:lvl w:ilvl="4" w:tentative="1" w:tplc="08090019">
      <w:numFmt w:val="lowerLetter"/>
      <w:lvlText w:val="%5."/>
      <w:start w:val="1"/>
      <w:pPr>
        <w:ind w:left="3600"/>
        <w:ind w:hanging="360"/>
      </w:pPr>
      <w:lvlJc w:val="left"/>
    </w:lvl>
    <w:lvl w:ilvl="5" w:tentative="1" w:tplc="0809001B">
      <w:numFmt w:val="lowerRoman"/>
      <w:lvlText w:val="%6."/>
      <w:start w:val="1"/>
      <w:pPr>
        <w:ind w:left="4320"/>
        <w:ind w:hanging="180"/>
      </w:pPr>
      <w:lvlJc w:val="right"/>
    </w:lvl>
    <w:lvl w:ilvl="6" w:tentative="1" w:tplc="0809000F">
      <w:numFmt w:val="decimal"/>
      <w:lvlText w:val="%7."/>
      <w:start w:val="1"/>
      <w:pPr>
        <w:ind w:left="5040"/>
        <w:ind w:hanging="360"/>
      </w:pPr>
      <w:lvlJc w:val="left"/>
    </w:lvl>
    <w:lvl w:ilvl="7" w:tentative="1" w:tplc="08090019">
      <w:numFmt w:val="lowerLetter"/>
      <w:lvlText w:val="%8."/>
      <w:start w:val="1"/>
      <w:pPr>
        <w:ind w:left="5760"/>
        <w:ind w:hanging="360"/>
      </w:pPr>
      <w:lvlJc w:val="left"/>
    </w:lvl>
    <w:lvl w:ilvl="8" w:tentative="1" w:tplc="0809001B">
      <w:numFmt w:val="lowerRoman"/>
      <w:lvlText w:val="%9."/>
      <w:start w:val="1"/>
      <w:pPr>
        <w:ind w:left="6480"/>
        <w:ind w:hanging="180"/>
      </w:pPr>
      <w:lvlJc w:val="right"/>
    </w:lvl>
  </w:abstractNum>
  <w:abstractNum w:abstractNumId="12">
    <w:multiLevelType w:val="hybridMultilevel"/>
    <w:nsid w:val="322F7CE6"/>
    <w:tmpl w:val="FB2E9A14"/>
    <w:lvl w:ilvl="0" w:tplc="0809000F">
      <w:numFmt w:val="decimal"/>
      <w:lvlText w:val="%1."/>
      <w:start w:val="1"/>
      <w:rPr>
        <w:rFonts w:hint="default"/>
      </w:rPr>
      <w:pPr>
        <w:ind w:left="720"/>
        <w:ind w:hanging="360"/>
      </w:pPr>
      <w:lvlJc w:val="left"/>
    </w:lvl>
    <w:lvl w:ilvl="1" w:tplc="05B690C2">
      <w:numFmt w:val="decimal"/>
      <w:lvlText w:val="(%2)"/>
      <w:start w:val="1"/>
      <w:rPr>
        <w:rFonts w:hint="default"/>
      </w:rPr>
      <w:pPr>
        <w:ind w:left="1125"/>
        <w:ind w:hanging="45"/>
      </w:pPr>
      <w:lvlJc w:val="left"/>
    </w:lvl>
    <w:lvl w:ilvl="2" w:tplc="9EC8C8A2">
      <w:numFmt w:val="lowerLetter"/>
      <w:lvlText w:val="(%3)"/>
      <w:start w:val="1"/>
      <w:rPr>
        <w:rFonts w:hint="default"/>
      </w:rPr>
      <w:pPr>
        <w:ind w:left="2040"/>
        <w:ind w:hanging="60"/>
      </w:pPr>
      <w:lvlJc w:val="left"/>
    </w:lvl>
    <w:lvl w:ilvl="3" w:tentative="1" w:tplc="0809000F">
      <w:numFmt w:val="decimal"/>
      <w:lvlText w:val="%4."/>
      <w:start w:val="1"/>
      <w:pPr>
        <w:ind w:left="2880"/>
        <w:ind w:hanging="360"/>
      </w:pPr>
      <w:lvlJc w:val="left"/>
    </w:lvl>
    <w:lvl w:ilvl="4" w:tentative="1" w:tplc="08090019">
      <w:numFmt w:val="lowerLetter"/>
      <w:lvlText w:val="%5."/>
      <w:start w:val="1"/>
      <w:pPr>
        <w:ind w:left="3600"/>
        <w:ind w:hanging="360"/>
      </w:pPr>
      <w:lvlJc w:val="left"/>
    </w:lvl>
    <w:lvl w:ilvl="5" w:tentative="1" w:tplc="0809001B">
      <w:numFmt w:val="lowerRoman"/>
      <w:lvlText w:val="%6."/>
      <w:start w:val="1"/>
      <w:pPr>
        <w:ind w:left="4320"/>
        <w:ind w:hanging="180"/>
      </w:pPr>
      <w:lvlJc w:val="right"/>
    </w:lvl>
    <w:lvl w:ilvl="6" w:tentative="1" w:tplc="0809000F">
      <w:numFmt w:val="decimal"/>
      <w:lvlText w:val="%7."/>
      <w:start w:val="1"/>
      <w:pPr>
        <w:ind w:left="5040"/>
        <w:ind w:hanging="360"/>
      </w:pPr>
      <w:lvlJc w:val="left"/>
    </w:lvl>
    <w:lvl w:ilvl="7" w:tentative="1" w:tplc="08090019">
      <w:numFmt w:val="lowerLetter"/>
      <w:lvlText w:val="%8."/>
      <w:start w:val="1"/>
      <w:pPr>
        <w:ind w:left="5760"/>
        <w:ind w:hanging="360"/>
      </w:pPr>
      <w:lvlJc w:val="left"/>
    </w:lvl>
    <w:lvl w:ilvl="8" w:tentative="1" w:tplc="0809001B">
      <w:numFmt w:val="lowerRoman"/>
      <w:lvlText w:val="%9."/>
      <w:start w:val="1"/>
      <w:pPr>
        <w:ind w:left="6480"/>
        <w:ind w:hanging="180"/>
      </w:pPr>
      <w:lvlJc w:val="right"/>
    </w:lvl>
  </w:abstractNum>
  <w:abstractNum w:abstractNumId="13">
    <w:multiLevelType w:val="hybridMultilevel"/>
    <w:nsid w:val="36A7504A"/>
    <w:tmpl w:val="6A98B59C"/>
    <w:lvl w:ilvl="0" w:tplc="00DAEE16">
      <w:numFmt w:val="lowerLetter"/>
      <w:lvlText w:val="(%1)"/>
      <w:start w:val="9"/>
      <w:rPr>
        <w:rFonts w:hint="default"/>
      </w:rPr>
      <w:pPr>
        <w:ind w:left="720"/>
        <w:ind w:hanging="360"/>
      </w:pPr>
      <w:lvlJc w:val="left"/>
    </w:lvl>
    <w:lvl w:ilvl="1" w:tentative="1" w:tplc="08090019">
      <w:numFmt w:val="lowerLetter"/>
      <w:lvlText w:val="%2."/>
      <w:start w:val="1"/>
      <w:pPr>
        <w:ind w:left="1440"/>
        <w:ind w:hanging="360"/>
      </w:pPr>
      <w:lvlJc w:val="left"/>
    </w:lvl>
    <w:lvl w:ilvl="2" w:tentative="1" w:tplc="0809001B">
      <w:numFmt w:val="lowerRoman"/>
      <w:lvlText w:val="%3."/>
      <w:start w:val="1"/>
      <w:pPr>
        <w:ind w:left="2160"/>
        <w:ind w:hanging="180"/>
      </w:pPr>
      <w:lvlJc w:val="right"/>
    </w:lvl>
    <w:lvl w:ilvl="3" w:tentative="1" w:tplc="0809000F">
      <w:numFmt w:val="decimal"/>
      <w:lvlText w:val="%4."/>
      <w:start w:val="1"/>
      <w:pPr>
        <w:ind w:left="2880"/>
        <w:ind w:hanging="360"/>
      </w:pPr>
      <w:lvlJc w:val="left"/>
    </w:lvl>
    <w:lvl w:ilvl="4" w:tentative="1" w:tplc="08090019">
      <w:numFmt w:val="lowerLetter"/>
      <w:lvlText w:val="%5."/>
      <w:start w:val="1"/>
      <w:pPr>
        <w:ind w:left="3600"/>
        <w:ind w:hanging="360"/>
      </w:pPr>
      <w:lvlJc w:val="left"/>
    </w:lvl>
    <w:lvl w:ilvl="5" w:tentative="1" w:tplc="0809001B">
      <w:numFmt w:val="lowerRoman"/>
      <w:lvlText w:val="%6."/>
      <w:start w:val="1"/>
      <w:pPr>
        <w:ind w:left="4320"/>
        <w:ind w:hanging="180"/>
      </w:pPr>
      <w:lvlJc w:val="right"/>
    </w:lvl>
    <w:lvl w:ilvl="6" w:tentative="1" w:tplc="0809000F">
      <w:numFmt w:val="decimal"/>
      <w:lvlText w:val="%7."/>
      <w:start w:val="1"/>
      <w:pPr>
        <w:ind w:left="5040"/>
        <w:ind w:hanging="360"/>
      </w:pPr>
      <w:lvlJc w:val="left"/>
    </w:lvl>
    <w:lvl w:ilvl="7" w:tentative="1" w:tplc="08090019">
      <w:numFmt w:val="lowerLetter"/>
      <w:lvlText w:val="%8."/>
      <w:start w:val="1"/>
      <w:pPr>
        <w:ind w:left="5760"/>
        <w:ind w:hanging="360"/>
      </w:pPr>
      <w:lvlJc w:val="left"/>
    </w:lvl>
    <w:lvl w:ilvl="8" w:tentative="1" w:tplc="0809001B">
      <w:numFmt w:val="lowerRoman"/>
      <w:lvlText w:val="%9."/>
      <w:start w:val="1"/>
      <w:pPr>
        <w:ind w:left="6480"/>
        <w:ind w:hanging="180"/>
      </w:pPr>
      <w:lvlJc w:val="right"/>
    </w:lvl>
  </w:abstractNum>
  <w:abstractNum w:abstractNumId="14">
    <w:multiLevelType w:val="hybridMultilevel"/>
    <w:nsid w:val="370D2634"/>
    <w:tmpl w:val="6F2C65C2"/>
    <w:lvl w:ilvl="0" w:tplc="0809000F">
      <w:numFmt w:val="decimal"/>
      <w:lvlText w:val="%1."/>
      <w:start w:val="1"/>
      <w:rPr>
        <w:rFonts w:hint="default"/>
      </w:rPr>
      <w:pPr>
        <w:ind w:left="720"/>
        <w:ind w:hanging="360"/>
      </w:pPr>
      <w:lvlJc w:val="left"/>
    </w:lvl>
    <w:lvl w:ilvl="1" w:tentative="1" w:tplc="08090019">
      <w:numFmt w:val="lowerLetter"/>
      <w:lvlText w:val="%2."/>
      <w:start w:val="1"/>
      <w:pPr>
        <w:ind w:left="1440"/>
        <w:ind w:hanging="360"/>
      </w:pPr>
      <w:lvlJc w:val="left"/>
    </w:lvl>
    <w:lvl w:ilvl="2" w:tentative="1" w:tplc="0809001B">
      <w:numFmt w:val="lowerRoman"/>
      <w:lvlText w:val="%3."/>
      <w:start w:val="1"/>
      <w:pPr>
        <w:ind w:left="2160"/>
        <w:ind w:hanging="180"/>
      </w:pPr>
      <w:lvlJc w:val="right"/>
    </w:lvl>
    <w:lvl w:ilvl="3" w:tentative="1" w:tplc="0809000F">
      <w:numFmt w:val="decimal"/>
      <w:lvlText w:val="%4."/>
      <w:start w:val="1"/>
      <w:pPr>
        <w:ind w:left="2880"/>
        <w:ind w:hanging="360"/>
      </w:pPr>
      <w:lvlJc w:val="left"/>
    </w:lvl>
    <w:lvl w:ilvl="4" w:tentative="1" w:tplc="08090019">
      <w:numFmt w:val="lowerLetter"/>
      <w:lvlText w:val="%5."/>
      <w:start w:val="1"/>
      <w:pPr>
        <w:ind w:left="3600"/>
        <w:ind w:hanging="360"/>
      </w:pPr>
      <w:lvlJc w:val="left"/>
    </w:lvl>
    <w:lvl w:ilvl="5" w:tentative="1" w:tplc="0809001B">
      <w:numFmt w:val="lowerRoman"/>
      <w:lvlText w:val="%6."/>
      <w:start w:val="1"/>
      <w:pPr>
        <w:ind w:left="4320"/>
        <w:ind w:hanging="180"/>
      </w:pPr>
      <w:lvlJc w:val="right"/>
    </w:lvl>
    <w:lvl w:ilvl="6" w:tentative="1" w:tplc="0809000F">
      <w:numFmt w:val="decimal"/>
      <w:lvlText w:val="%7."/>
      <w:start w:val="1"/>
      <w:pPr>
        <w:ind w:left="5040"/>
        <w:ind w:hanging="360"/>
      </w:pPr>
      <w:lvlJc w:val="left"/>
    </w:lvl>
    <w:lvl w:ilvl="7" w:tentative="1" w:tplc="08090019">
      <w:numFmt w:val="lowerLetter"/>
      <w:lvlText w:val="%8."/>
      <w:start w:val="1"/>
      <w:pPr>
        <w:ind w:left="5760"/>
        <w:ind w:hanging="360"/>
      </w:pPr>
      <w:lvlJc w:val="left"/>
    </w:lvl>
    <w:lvl w:ilvl="8" w:tentative="1" w:tplc="0809001B">
      <w:numFmt w:val="lowerRoman"/>
      <w:lvlText w:val="%9."/>
      <w:start w:val="1"/>
      <w:pPr>
        <w:ind w:left="6480"/>
        <w:ind w:hanging="180"/>
      </w:pPr>
      <w:lvlJc w:val="right"/>
    </w:lvl>
  </w:abstractNum>
  <w:abstractNum w:abstractNumId="15">
    <w:multiLevelType w:val="hybridMultilevel"/>
    <w:nsid w:val="384B4E40"/>
    <w:tmpl w:val="4992F44C"/>
    <w:lvl w:ilvl="0">
      <w:numFmt w:val="decimal"/>
      <w:lvlText w:val="%1."/>
      <w:start w:val="1"/>
      <w:pPr>
        <w:ind w:left="720"/>
        <w:ind w:hanging="360"/>
        <w:tabs>
          <w:tab w:val="num" w:pos="720"/>
        </w:tabs>
      </w:pPr>
      <w:lvlJc w:val="left"/>
    </w:lvl>
    <w:lvl w:ilvl="1" w:tentative="1">
      <w:numFmt w:val="decimal"/>
      <w:lvlText w:val="%2."/>
      <w:start w:val="1"/>
      <w:pPr>
        <w:ind w:left="1440"/>
        <w:ind w:hanging="360"/>
        <w:tabs>
          <w:tab w:val="num" w:pos="1440"/>
        </w:tabs>
      </w:pPr>
      <w:lvlJc w:val="left"/>
    </w:lvl>
    <w:lvl w:ilvl="2" w:tentative="1">
      <w:numFmt w:val="decimal"/>
      <w:lvlText w:val="%3."/>
      <w:start w:val="1"/>
      <w:pPr>
        <w:ind w:left="2160"/>
        <w:ind w:hanging="360"/>
        <w:tabs>
          <w:tab w:val="num" w:pos="2160"/>
        </w:tabs>
      </w:pPr>
      <w:lvlJc w:val="left"/>
    </w:lvl>
    <w:lvl w:ilvl="3" w:tentative="1">
      <w:numFmt w:val="decimal"/>
      <w:lvlText w:val="%4."/>
      <w:start w:val="1"/>
      <w:pPr>
        <w:ind w:left="2880"/>
        <w:ind w:hanging="360"/>
        <w:tabs>
          <w:tab w:val="num" w:pos="2880"/>
        </w:tabs>
      </w:pPr>
      <w:lvlJc w:val="left"/>
    </w:lvl>
    <w:lvl w:ilvl="4" w:tentative="1">
      <w:numFmt w:val="decimal"/>
      <w:lvlText w:val="%5."/>
      <w:start w:val="1"/>
      <w:pPr>
        <w:ind w:left="3600"/>
        <w:ind w:hanging="360"/>
        <w:tabs>
          <w:tab w:val="num" w:pos="3600"/>
        </w:tabs>
      </w:pPr>
      <w:lvlJc w:val="left"/>
    </w:lvl>
    <w:lvl w:ilvl="5" w:tentative="1">
      <w:numFmt w:val="decimal"/>
      <w:lvlText w:val="%6."/>
      <w:start w:val="1"/>
      <w:pPr>
        <w:ind w:left="4320"/>
        <w:ind w:hanging="360"/>
        <w:tabs>
          <w:tab w:val="num" w:pos="4320"/>
        </w:tabs>
      </w:pPr>
      <w:lvlJc w:val="left"/>
    </w:lvl>
    <w:lvl w:ilvl="6" w:tentative="1">
      <w:numFmt w:val="decimal"/>
      <w:lvlText w:val="%7."/>
      <w:start w:val="1"/>
      <w:pPr>
        <w:ind w:left="5040"/>
        <w:ind w:hanging="360"/>
        <w:tabs>
          <w:tab w:val="num" w:pos="5040"/>
        </w:tabs>
      </w:pPr>
      <w:lvlJc w:val="left"/>
    </w:lvl>
    <w:lvl w:ilvl="7" w:tentative="1">
      <w:numFmt w:val="decimal"/>
      <w:lvlText w:val="%8."/>
      <w:start w:val="1"/>
      <w:pPr>
        <w:ind w:left="5760"/>
        <w:ind w:hanging="360"/>
        <w:tabs>
          <w:tab w:val="num" w:pos="5760"/>
        </w:tabs>
      </w:pPr>
      <w:lvlJc w:val="left"/>
    </w:lvl>
    <w:lvl w:ilvl="8" w:tentative="1">
      <w:numFmt w:val="decimal"/>
      <w:lvlText w:val="%9."/>
      <w:start w:val="1"/>
      <w:pPr>
        <w:ind w:left="6480"/>
        <w:ind w:hanging="360"/>
        <w:tabs>
          <w:tab w:val="num" w:pos="6480"/>
        </w:tabs>
      </w:pPr>
      <w:lvlJc w:val="left"/>
    </w:lvl>
  </w:abstractNum>
  <w:abstractNum w:abstractNumId="16">
    <w:multiLevelType w:val="hybridMultilevel"/>
    <w:nsid w:val="40BA6716"/>
    <w:tmpl w:val="F2CE824C"/>
    <w:lvl w:ilvl="0" w:tplc="08090001">
      <w:numFmt w:val="bullet"/>
      <w:lvlText w:val=""/>
      <w:start w:val="1"/>
      <w:rPr>
        <w:rFonts w:ascii="Symbol" w:hAnsi="Symbol" w:hint="default"/>
      </w:rPr>
      <w:pPr>
        <w:ind w:left="720"/>
        <w:ind w:hanging="360"/>
      </w:pPr>
      <w:lvlJc w:val="left"/>
    </w:lvl>
    <w:lvl w:ilvl="1" w:tplc="08090003">
      <w:numFmt w:val="bullet"/>
      <w:lvlText w:val="o"/>
      <w:start w:val="1"/>
      <w:rPr>
        <w:rFonts w:ascii="Courier New" w:cs="Courier New" w:hAnsi="Courier New" w:hint="default"/>
      </w:rPr>
      <w:pPr>
        <w:ind w:left="1440"/>
        <w:ind w:hanging="360"/>
      </w:pPr>
      <w:lvlJc w:val="left"/>
    </w:lvl>
    <w:lvl w:ilvl="2" w:tplc="08090005">
      <w:numFmt w:val="bullet"/>
      <w:lvlText w:val=""/>
      <w:start w:val="1"/>
      <w:rPr>
        <w:rFonts w:ascii="Wingdings" w:hAnsi="Wingdings" w:hint="default"/>
      </w:rPr>
      <w:pPr>
        <w:ind w:left="2160"/>
        <w:ind w:hanging="360"/>
      </w:pPr>
      <w:lvlJc w:val="left"/>
    </w:lvl>
    <w:lvl w:ilvl="3" w:tplc="08090001">
      <w:numFmt w:val="bullet"/>
      <w:lvlText w:val=""/>
      <w:start w:val="1"/>
      <w:rPr>
        <w:rFonts w:ascii="Symbol" w:hAnsi="Symbol" w:hint="default"/>
      </w:rPr>
      <w:pPr>
        <w:ind w:left="2880"/>
        <w:ind w:hanging="360"/>
      </w:pPr>
      <w:lvlJc w:val="left"/>
    </w:lvl>
    <w:lvl w:ilvl="4" w:tplc="08090003">
      <w:numFmt w:val="bullet"/>
      <w:lvlText w:val="o"/>
      <w:start w:val="1"/>
      <w:rPr>
        <w:rFonts w:ascii="Courier New" w:cs="Courier New" w:hAnsi="Courier New" w:hint="default"/>
      </w:rPr>
      <w:pPr>
        <w:ind w:left="3600"/>
        <w:ind w:hanging="360"/>
      </w:pPr>
      <w:lvlJc w:val="left"/>
    </w:lvl>
    <w:lvl w:ilvl="5" w:tplc="08090005">
      <w:numFmt w:val="bullet"/>
      <w:lvlText w:val=""/>
      <w:start w:val="1"/>
      <w:rPr>
        <w:rFonts w:ascii="Wingdings" w:hAnsi="Wingdings" w:hint="default"/>
      </w:rPr>
      <w:pPr>
        <w:ind w:left="4320"/>
        <w:ind w:hanging="360"/>
      </w:pPr>
      <w:lvlJc w:val="left"/>
    </w:lvl>
    <w:lvl w:ilvl="6" w:tplc="08090001">
      <w:numFmt w:val="bullet"/>
      <w:lvlText w:val=""/>
      <w:start w:val="1"/>
      <w:rPr>
        <w:rFonts w:ascii="Symbol" w:hAnsi="Symbol" w:hint="default"/>
      </w:rPr>
      <w:pPr>
        <w:ind w:left="5040"/>
        <w:ind w:hanging="360"/>
      </w:pPr>
      <w:lvlJc w:val="left"/>
    </w:lvl>
    <w:lvl w:ilvl="7" w:tplc="08090003">
      <w:numFmt w:val="bullet"/>
      <w:lvlText w:val="o"/>
      <w:start w:val="1"/>
      <w:rPr>
        <w:rFonts w:ascii="Courier New" w:cs="Courier New" w:hAnsi="Courier New" w:hint="default"/>
      </w:rPr>
      <w:pPr>
        <w:ind w:left="5760"/>
        <w:ind w:hanging="360"/>
      </w:pPr>
      <w:lvlJc w:val="left"/>
    </w:lvl>
    <w:lvl w:ilvl="8" w:tplc="08090005">
      <w:numFmt w:val="bullet"/>
      <w:lvlText w:val=""/>
      <w:start w:val="1"/>
      <w:rPr>
        <w:rFonts w:ascii="Wingdings" w:hAnsi="Wingdings" w:hint="default"/>
      </w:rPr>
      <w:pPr>
        <w:ind w:left="6480"/>
        <w:ind w:hanging="360"/>
      </w:pPr>
      <w:lvlJc w:val="left"/>
    </w:lvl>
  </w:abstractNum>
  <w:abstractNum w:abstractNumId="17">
    <w:multiLevelType w:val="hybridMultilevel"/>
    <w:nsid w:val="428954D7"/>
    <w:tmpl w:val="53F65FA6"/>
    <w:lvl w:ilvl="0" w:tplc="0809000F">
      <w:numFmt w:val="decimal"/>
      <w:lvlText w:val="%1."/>
      <w:start w:val="1"/>
      <w:pPr>
        <w:ind w:left="720"/>
        <w:ind w:hanging="360"/>
      </w:pPr>
      <w:lvlJc w:val="left"/>
    </w:lvl>
    <w:lvl w:ilvl="1" w:tentative="1" w:tplc="08090019">
      <w:numFmt w:val="lowerLetter"/>
      <w:lvlText w:val="%2."/>
      <w:start w:val="1"/>
      <w:pPr>
        <w:ind w:left="1440"/>
        <w:ind w:hanging="360"/>
      </w:pPr>
      <w:lvlJc w:val="left"/>
    </w:lvl>
    <w:lvl w:ilvl="2" w:tentative="1" w:tplc="0809001B">
      <w:numFmt w:val="lowerRoman"/>
      <w:lvlText w:val="%3."/>
      <w:start w:val="1"/>
      <w:pPr>
        <w:ind w:left="2160"/>
        <w:ind w:hanging="180"/>
      </w:pPr>
      <w:lvlJc w:val="right"/>
    </w:lvl>
    <w:lvl w:ilvl="3" w:tentative="1" w:tplc="0809000F">
      <w:numFmt w:val="decimal"/>
      <w:lvlText w:val="%4."/>
      <w:start w:val="1"/>
      <w:pPr>
        <w:ind w:left="2880"/>
        <w:ind w:hanging="360"/>
      </w:pPr>
      <w:lvlJc w:val="left"/>
    </w:lvl>
    <w:lvl w:ilvl="4" w:tentative="1" w:tplc="08090019">
      <w:numFmt w:val="lowerLetter"/>
      <w:lvlText w:val="%5."/>
      <w:start w:val="1"/>
      <w:pPr>
        <w:ind w:left="3600"/>
        <w:ind w:hanging="360"/>
      </w:pPr>
      <w:lvlJc w:val="left"/>
    </w:lvl>
    <w:lvl w:ilvl="5" w:tentative="1" w:tplc="0809001B">
      <w:numFmt w:val="lowerRoman"/>
      <w:lvlText w:val="%6."/>
      <w:start w:val="1"/>
      <w:pPr>
        <w:ind w:left="4320"/>
        <w:ind w:hanging="180"/>
      </w:pPr>
      <w:lvlJc w:val="right"/>
    </w:lvl>
    <w:lvl w:ilvl="6" w:tentative="1" w:tplc="0809000F">
      <w:numFmt w:val="decimal"/>
      <w:lvlText w:val="%7."/>
      <w:start w:val="1"/>
      <w:pPr>
        <w:ind w:left="5040"/>
        <w:ind w:hanging="360"/>
      </w:pPr>
      <w:lvlJc w:val="left"/>
    </w:lvl>
    <w:lvl w:ilvl="7" w:tentative="1" w:tplc="08090019">
      <w:numFmt w:val="lowerLetter"/>
      <w:lvlText w:val="%8."/>
      <w:start w:val="1"/>
      <w:pPr>
        <w:ind w:left="5760"/>
        <w:ind w:hanging="360"/>
      </w:pPr>
      <w:lvlJc w:val="left"/>
    </w:lvl>
    <w:lvl w:ilvl="8" w:tentative="1" w:tplc="0809001B">
      <w:numFmt w:val="lowerRoman"/>
      <w:lvlText w:val="%9."/>
      <w:start w:val="1"/>
      <w:pPr>
        <w:ind w:left="6480"/>
        <w:ind w:hanging="180"/>
      </w:pPr>
      <w:lvlJc w:val="right"/>
    </w:lvl>
  </w:abstractNum>
  <w:abstractNum w:abstractNumId="18">
    <w:multiLevelType w:val="hybridMultilevel"/>
    <w:nsid w:val="45A91AED"/>
    <w:tmpl w:val="4628FD14"/>
    <w:lvl w:ilvl="0" w:tplc="08090001">
      <w:numFmt w:val="bullet"/>
      <w:lvlText w:val=""/>
      <w:start w:val="1"/>
      <w:rPr>
        <w:rFonts w:ascii="Symbol" w:hAnsi="Symbol" w:hint="default"/>
      </w:rPr>
      <w:pPr>
        <w:ind w:left="720"/>
        <w:ind w:hanging="360"/>
      </w:pPr>
      <w:lvlJc w:val="left"/>
    </w:lvl>
    <w:lvl w:ilvl="1" w:tentative="1" w:tplc="08090003">
      <w:numFmt w:val="bullet"/>
      <w:lvlText w:val="o"/>
      <w:start w:val="1"/>
      <w:rPr>
        <w:rFonts w:ascii="Courier New" w:cs="Courier New" w:hAnsi="Courier New" w:hint="default"/>
      </w:rPr>
      <w:pPr>
        <w:ind w:left="1440"/>
        <w:ind w:hanging="360"/>
      </w:pPr>
      <w:lvlJc w:val="left"/>
    </w:lvl>
    <w:lvl w:ilvl="2" w:tentative="1" w:tplc="08090005">
      <w:numFmt w:val="bullet"/>
      <w:lvlText w:val=""/>
      <w:start w:val="1"/>
      <w:rPr>
        <w:rFonts w:ascii="Wingdings" w:hAnsi="Wingdings" w:hint="default"/>
      </w:rPr>
      <w:pPr>
        <w:ind w:left="2160"/>
        <w:ind w:hanging="360"/>
      </w:pPr>
      <w:lvlJc w:val="left"/>
    </w:lvl>
    <w:lvl w:ilvl="3" w:tentative="1" w:tplc="08090001">
      <w:numFmt w:val="bullet"/>
      <w:lvlText w:val=""/>
      <w:start w:val="1"/>
      <w:rPr>
        <w:rFonts w:ascii="Symbol" w:hAnsi="Symbol" w:hint="default"/>
      </w:rPr>
      <w:pPr>
        <w:ind w:left="2880"/>
        <w:ind w:hanging="360"/>
      </w:pPr>
      <w:lvlJc w:val="left"/>
    </w:lvl>
    <w:lvl w:ilvl="4" w:tentative="1" w:tplc="08090003">
      <w:numFmt w:val="bullet"/>
      <w:lvlText w:val="o"/>
      <w:start w:val="1"/>
      <w:rPr>
        <w:rFonts w:ascii="Courier New" w:cs="Courier New" w:hAnsi="Courier New" w:hint="default"/>
      </w:rPr>
      <w:pPr>
        <w:ind w:left="3600"/>
        <w:ind w:hanging="360"/>
      </w:pPr>
      <w:lvlJc w:val="left"/>
    </w:lvl>
    <w:lvl w:ilvl="5" w:tentative="1" w:tplc="08090005">
      <w:numFmt w:val="bullet"/>
      <w:lvlText w:val=""/>
      <w:start w:val="1"/>
      <w:rPr>
        <w:rFonts w:ascii="Wingdings" w:hAnsi="Wingdings" w:hint="default"/>
      </w:rPr>
      <w:pPr>
        <w:ind w:left="4320"/>
        <w:ind w:hanging="360"/>
      </w:pPr>
      <w:lvlJc w:val="left"/>
    </w:lvl>
    <w:lvl w:ilvl="6" w:tentative="1" w:tplc="08090001">
      <w:numFmt w:val="bullet"/>
      <w:lvlText w:val=""/>
      <w:start w:val="1"/>
      <w:rPr>
        <w:rFonts w:ascii="Symbol" w:hAnsi="Symbol" w:hint="default"/>
      </w:rPr>
      <w:pPr>
        <w:ind w:left="5040"/>
        <w:ind w:hanging="360"/>
      </w:pPr>
      <w:lvlJc w:val="left"/>
    </w:lvl>
    <w:lvl w:ilvl="7" w:tentative="1" w:tplc="08090003">
      <w:numFmt w:val="bullet"/>
      <w:lvlText w:val="o"/>
      <w:start w:val="1"/>
      <w:rPr>
        <w:rFonts w:ascii="Courier New" w:cs="Courier New" w:hAnsi="Courier New" w:hint="default"/>
      </w:rPr>
      <w:pPr>
        <w:ind w:left="5760"/>
        <w:ind w:hanging="360"/>
      </w:pPr>
      <w:lvlJc w:val="left"/>
    </w:lvl>
    <w:lvl w:ilvl="8" w:tentative="1" w:tplc="08090005">
      <w:numFmt w:val="bullet"/>
      <w:lvlText w:val=""/>
      <w:start w:val="1"/>
      <w:rPr>
        <w:rFonts w:ascii="Wingdings" w:hAnsi="Wingdings" w:hint="default"/>
      </w:rPr>
      <w:pPr>
        <w:ind w:left="6480"/>
        <w:ind w:hanging="360"/>
      </w:pPr>
      <w:lvlJc w:val="left"/>
    </w:lvl>
  </w:abstractNum>
  <w:abstractNum w:abstractNumId="19">
    <w:multiLevelType w:val="hybridMultilevel"/>
    <w:nsid w:val="45CF4AB4"/>
    <w:tmpl w:val="00680BFE"/>
    <w:lvl w:ilvl="0" w:tplc="0809000F">
      <w:numFmt w:val="decimal"/>
      <w:lvlText w:val="%1."/>
      <w:start w:val="1"/>
      <w:pPr>
        <w:ind w:left="720"/>
        <w:ind w:hanging="360"/>
      </w:pPr>
      <w:lvlJc w:val="left"/>
    </w:lvl>
    <w:lvl w:ilvl="1" w:tplc="5712B91E">
      <w:numFmt w:val="lowerLetter"/>
      <w:lvlText w:val="(%2)"/>
      <w:start w:val="1"/>
      <w:rPr>
        <w:rFonts w:hint="default"/>
      </w:rPr>
      <w:pPr>
        <w:ind w:left="1440"/>
        <w:ind w:hanging="360"/>
      </w:pPr>
      <w:lvlJc w:val="left"/>
    </w:lvl>
    <w:lvl w:ilvl="2" w:tentative="1" w:tplc="0809001B">
      <w:numFmt w:val="lowerRoman"/>
      <w:lvlText w:val="%3."/>
      <w:start w:val="1"/>
      <w:pPr>
        <w:ind w:left="2160"/>
        <w:ind w:hanging="180"/>
      </w:pPr>
      <w:lvlJc w:val="right"/>
    </w:lvl>
    <w:lvl w:ilvl="3" w:tentative="1" w:tplc="0809000F">
      <w:numFmt w:val="decimal"/>
      <w:lvlText w:val="%4."/>
      <w:start w:val="1"/>
      <w:pPr>
        <w:ind w:left="2880"/>
        <w:ind w:hanging="360"/>
      </w:pPr>
      <w:lvlJc w:val="left"/>
    </w:lvl>
    <w:lvl w:ilvl="4" w:tentative="1" w:tplc="08090019">
      <w:numFmt w:val="lowerLetter"/>
      <w:lvlText w:val="%5."/>
      <w:start w:val="1"/>
      <w:pPr>
        <w:ind w:left="3600"/>
        <w:ind w:hanging="360"/>
      </w:pPr>
      <w:lvlJc w:val="left"/>
    </w:lvl>
    <w:lvl w:ilvl="5" w:tentative="1" w:tplc="0809001B">
      <w:numFmt w:val="lowerRoman"/>
      <w:lvlText w:val="%6."/>
      <w:start w:val="1"/>
      <w:pPr>
        <w:ind w:left="4320"/>
        <w:ind w:hanging="180"/>
      </w:pPr>
      <w:lvlJc w:val="right"/>
    </w:lvl>
    <w:lvl w:ilvl="6" w:tentative="1" w:tplc="0809000F">
      <w:numFmt w:val="decimal"/>
      <w:lvlText w:val="%7."/>
      <w:start w:val="1"/>
      <w:pPr>
        <w:ind w:left="5040"/>
        <w:ind w:hanging="360"/>
      </w:pPr>
      <w:lvlJc w:val="left"/>
    </w:lvl>
    <w:lvl w:ilvl="7" w:tentative="1" w:tplc="08090019">
      <w:numFmt w:val="lowerLetter"/>
      <w:lvlText w:val="%8."/>
      <w:start w:val="1"/>
      <w:pPr>
        <w:ind w:left="5760"/>
        <w:ind w:hanging="360"/>
      </w:pPr>
      <w:lvlJc w:val="left"/>
    </w:lvl>
    <w:lvl w:ilvl="8" w:tentative="1" w:tplc="0809001B">
      <w:numFmt w:val="lowerRoman"/>
      <w:lvlText w:val="%9."/>
      <w:start w:val="1"/>
      <w:pPr>
        <w:ind w:left="6480"/>
        <w:ind w:hanging="180"/>
      </w:pPr>
      <w:lvlJc w:val="right"/>
    </w:lvl>
  </w:abstractNum>
  <w:abstractNum w:abstractNumId="20">
    <w:multiLevelType w:val="hybridMultilevel"/>
    <w:nsid w:val="499E772A"/>
    <w:tmpl w:val="DE505EF4"/>
    <w:lvl w:ilvl="0" w:tplc="0809000F">
      <w:numFmt w:val="decimal"/>
      <w:lvlText w:val="%1."/>
      <w:start w:val="9"/>
      <w:rPr>
        <w:rFonts w:hint="default"/>
      </w:rPr>
      <w:pPr>
        <w:ind w:left="720"/>
        <w:ind w:hanging="360"/>
      </w:pPr>
      <w:lvlJc w:val="left"/>
    </w:lvl>
    <w:lvl w:ilvl="1" w:tentative="1" w:tplc="08090019">
      <w:numFmt w:val="lowerLetter"/>
      <w:lvlText w:val="%2."/>
      <w:start w:val="1"/>
      <w:pPr>
        <w:ind w:left="1440"/>
        <w:ind w:hanging="360"/>
      </w:pPr>
      <w:lvlJc w:val="left"/>
    </w:lvl>
    <w:lvl w:ilvl="2" w:tentative="1" w:tplc="0809001B">
      <w:numFmt w:val="lowerRoman"/>
      <w:lvlText w:val="%3."/>
      <w:start w:val="1"/>
      <w:pPr>
        <w:ind w:left="2160"/>
        <w:ind w:hanging="180"/>
      </w:pPr>
      <w:lvlJc w:val="right"/>
    </w:lvl>
    <w:lvl w:ilvl="3" w:tentative="1" w:tplc="0809000F">
      <w:numFmt w:val="decimal"/>
      <w:lvlText w:val="%4."/>
      <w:start w:val="1"/>
      <w:pPr>
        <w:ind w:left="2880"/>
        <w:ind w:hanging="360"/>
      </w:pPr>
      <w:lvlJc w:val="left"/>
    </w:lvl>
    <w:lvl w:ilvl="4" w:tentative="1" w:tplc="08090019">
      <w:numFmt w:val="lowerLetter"/>
      <w:lvlText w:val="%5."/>
      <w:start w:val="1"/>
      <w:pPr>
        <w:ind w:left="3600"/>
        <w:ind w:hanging="360"/>
      </w:pPr>
      <w:lvlJc w:val="left"/>
    </w:lvl>
    <w:lvl w:ilvl="5" w:tentative="1" w:tplc="0809001B">
      <w:numFmt w:val="lowerRoman"/>
      <w:lvlText w:val="%6."/>
      <w:start w:val="1"/>
      <w:pPr>
        <w:ind w:left="4320"/>
        <w:ind w:hanging="180"/>
      </w:pPr>
      <w:lvlJc w:val="right"/>
    </w:lvl>
    <w:lvl w:ilvl="6" w:tentative="1" w:tplc="0809000F">
      <w:numFmt w:val="decimal"/>
      <w:lvlText w:val="%7."/>
      <w:start w:val="1"/>
      <w:pPr>
        <w:ind w:left="5040"/>
        <w:ind w:hanging="360"/>
      </w:pPr>
      <w:lvlJc w:val="left"/>
    </w:lvl>
    <w:lvl w:ilvl="7" w:tentative="1" w:tplc="08090019">
      <w:numFmt w:val="lowerLetter"/>
      <w:lvlText w:val="%8."/>
      <w:start w:val="1"/>
      <w:pPr>
        <w:ind w:left="5760"/>
        <w:ind w:hanging="360"/>
      </w:pPr>
      <w:lvlJc w:val="left"/>
    </w:lvl>
    <w:lvl w:ilvl="8" w:tentative="1" w:tplc="0809001B">
      <w:numFmt w:val="lowerRoman"/>
      <w:lvlText w:val="%9."/>
      <w:start w:val="1"/>
      <w:pPr>
        <w:ind w:left="6480"/>
        <w:ind w:hanging="180"/>
      </w:pPr>
      <w:lvlJc w:val="right"/>
    </w:lvl>
  </w:abstractNum>
  <w:abstractNum w:abstractNumId="21">
    <w:multiLevelType w:val="hybridMultilevel"/>
    <w:nsid w:val="51253337"/>
    <w:tmpl w:val="256E7894"/>
    <w:lvl w:ilvl="0" w:tplc="0809000F">
      <w:numFmt w:val="decimal"/>
      <w:lvlText w:val="%1."/>
      <w:start w:val="1"/>
      <w:rPr>
        <w:rFonts w:hint="default"/>
      </w:rPr>
      <w:pPr>
        <w:ind w:left="720"/>
        <w:ind w:hanging="360"/>
      </w:pPr>
      <w:lvlJc w:val="left"/>
    </w:lvl>
    <w:lvl w:ilvl="1" w:tentative="1" w:tplc="08090019">
      <w:numFmt w:val="lowerLetter"/>
      <w:lvlText w:val="%2."/>
      <w:start w:val="1"/>
      <w:pPr>
        <w:ind w:left="1440"/>
        <w:ind w:hanging="360"/>
      </w:pPr>
      <w:lvlJc w:val="left"/>
    </w:lvl>
    <w:lvl w:ilvl="2" w:tentative="1" w:tplc="0809001B">
      <w:numFmt w:val="lowerRoman"/>
      <w:lvlText w:val="%3."/>
      <w:start w:val="1"/>
      <w:pPr>
        <w:ind w:left="2160"/>
        <w:ind w:hanging="180"/>
      </w:pPr>
      <w:lvlJc w:val="right"/>
    </w:lvl>
    <w:lvl w:ilvl="3" w:tentative="1" w:tplc="0809000F">
      <w:numFmt w:val="decimal"/>
      <w:lvlText w:val="%4."/>
      <w:start w:val="1"/>
      <w:pPr>
        <w:ind w:left="2880"/>
        <w:ind w:hanging="360"/>
      </w:pPr>
      <w:lvlJc w:val="left"/>
    </w:lvl>
    <w:lvl w:ilvl="4" w:tentative="1" w:tplc="08090019">
      <w:numFmt w:val="lowerLetter"/>
      <w:lvlText w:val="%5."/>
      <w:start w:val="1"/>
      <w:pPr>
        <w:ind w:left="3600"/>
        <w:ind w:hanging="360"/>
      </w:pPr>
      <w:lvlJc w:val="left"/>
    </w:lvl>
    <w:lvl w:ilvl="5" w:tentative="1" w:tplc="0809001B">
      <w:numFmt w:val="lowerRoman"/>
      <w:lvlText w:val="%6."/>
      <w:start w:val="1"/>
      <w:pPr>
        <w:ind w:left="4320"/>
        <w:ind w:hanging="180"/>
      </w:pPr>
      <w:lvlJc w:val="right"/>
    </w:lvl>
    <w:lvl w:ilvl="6" w:tentative="1" w:tplc="0809000F">
      <w:numFmt w:val="decimal"/>
      <w:lvlText w:val="%7."/>
      <w:start w:val="1"/>
      <w:pPr>
        <w:ind w:left="5040"/>
        <w:ind w:hanging="360"/>
      </w:pPr>
      <w:lvlJc w:val="left"/>
    </w:lvl>
    <w:lvl w:ilvl="7" w:tentative="1" w:tplc="08090019">
      <w:numFmt w:val="lowerLetter"/>
      <w:lvlText w:val="%8."/>
      <w:start w:val="1"/>
      <w:pPr>
        <w:ind w:left="5760"/>
        <w:ind w:hanging="360"/>
      </w:pPr>
      <w:lvlJc w:val="left"/>
    </w:lvl>
    <w:lvl w:ilvl="8" w:tentative="1" w:tplc="0809001B">
      <w:numFmt w:val="lowerRoman"/>
      <w:lvlText w:val="%9."/>
      <w:start w:val="1"/>
      <w:pPr>
        <w:ind w:left="6480"/>
        <w:ind w:hanging="180"/>
      </w:pPr>
      <w:lvlJc w:val="right"/>
    </w:lvl>
  </w:abstractNum>
  <w:abstractNum w:abstractNumId="22">
    <w:multiLevelType w:val="hybridMultilevel"/>
    <w:nsid w:val="51F74042"/>
    <w:tmpl w:val="727EB79E"/>
    <w:lvl w:ilvl="0" w:tplc="0809000F">
      <w:numFmt w:val="decimal"/>
      <w:lvlText w:val="%1."/>
      <w:start w:val="9"/>
      <w:rPr>
        <w:rFonts w:hint="default"/>
      </w:rPr>
      <w:pPr>
        <w:ind w:left="720"/>
        <w:ind w:hanging="360"/>
      </w:pPr>
      <w:lvlJc w:val="left"/>
    </w:lvl>
    <w:lvl w:ilvl="1" w:tentative="1" w:tplc="08090019">
      <w:numFmt w:val="lowerLetter"/>
      <w:lvlText w:val="%2."/>
      <w:start w:val="1"/>
      <w:pPr>
        <w:ind w:left="1440"/>
        <w:ind w:hanging="360"/>
      </w:pPr>
      <w:lvlJc w:val="left"/>
    </w:lvl>
    <w:lvl w:ilvl="2" w:tentative="1" w:tplc="0809001B">
      <w:numFmt w:val="lowerRoman"/>
      <w:lvlText w:val="%3."/>
      <w:start w:val="1"/>
      <w:pPr>
        <w:ind w:left="2160"/>
        <w:ind w:hanging="180"/>
      </w:pPr>
      <w:lvlJc w:val="right"/>
    </w:lvl>
    <w:lvl w:ilvl="3" w:tentative="1" w:tplc="0809000F">
      <w:numFmt w:val="decimal"/>
      <w:lvlText w:val="%4."/>
      <w:start w:val="1"/>
      <w:pPr>
        <w:ind w:left="2880"/>
        <w:ind w:hanging="360"/>
      </w:pPr>
      <w:lvlJc w:val="left"/>
    </w:lvl>
    <w:lvl w:ilvl="4" w:tentative="1" w:tplc="08090019">
      <w:numFmt w:val="lowerLetter"/>
      <w:lvlText w:val="%5."/>
      <w:start w:val="1"/>
      <w:pPr>
        <w:ind w:left="3600"/>
        <w:ind w:hanging="360"/>
      </w:pPr>
      <w:lvlJc w:val="left"/>
    </w:lvl>
    <w:lvl w:ilvl="5" w:tentative="1" w:tplc="0809001B">
      <w:numFmt w:val="lowerRoman"/>
      <w:lvlText w:val="%6."/>
      <w:start w:val="1"/>
      <w:pPr>
        <w:ind w:left="4320"/>
        <w:ind w:hanging="180"/>
      </w:pPr>
      <w:lvlJc w:val="right"/>
    </w:lvl>
    <w:lvl w:ilvl="6" w:tentative="1" w:tplc="0809000F">
      <w:numFmt w:val="decimal"/>
      <w:lvlText w:val="%7."/>
      <w:start w:val="1"/>
      <w:pPr>
        <w:ind w:left="5040"/>
        <w:ind w:hanging="360"/>
      </w:pPr>
      <w:lvlJc w:val="left"/>
    </w:lvl>
    <w:lvl w:ilvl="7" w:tentative="1" w:tplc="08090019">
      <w:numFmt w:val="lowerLetter"/>
      <w:lvlText w:val="%8."/>
      <w:start w:val="1"/>
      <w:pPr>
        <w:ind w:left="5760"/>
        <w:ind w:hanging="360"/>
      </w:pPr>
      <w:lvlJc w:val="left"/>
    </w:lvl>
    <w:lvl w:ilvl="8" w:tentative="1" w:tplc="0809001B">
      <w:numFmt w:val="lowerRoman"/>
      <w:lvlText w:val="%9."/>
      <w:start w:val="1"/>
      <w:pPr>
        <w:ind w:left="6480"/>
        <w:ind w:hanging="180"/>
      </w:pPr>
      <w:lvlJc w:val="right"/>
    </w:lvl>
  </w:abstractNum>
  <w:abstractNum w:abstractNumId="23">
    <w:multiLevelType w:val="hybridMultilevel"/>
    <w:nsid w:val="55637400"/>
    <w:tmpl w:val="49BC456C"/>
    <w:lvl w:ilvl="0" w:tplc="2F6223CA">
      <w:numFmt w:val="lowerLetter"/>
      <w:lvlText w:val="%1)"/>
      <w:start w:val="1"/>
      <w:rPr>
        <w:rFonts w:hint="default"/>
      </w:rPr>
      <w:pPr>
        <w:ind w:left="1080"/>
        <w:ind w:hanging="360"/>
      </w:pPr>
      <w:lvlJc w:val="left"/>
    </w:lvl>
    <w:lvl w:ilvl="1" w:tentative="1" w:tplc="08090019">
      <w:numFmt w:val="lowerLetter"/>
      <w:lvlText w:val="%2."/>
      <w:start w:val="1"/>
      <w:pPr>
        <w:ind w:left="1800"/>
        <w:ind w:hanging="360"/>
      </w:pPr>
      <w:lvlJc w:val="left"/>
    </w:lvl>
    <w:lvl w:ilvl="2" w:tentative="1" w:tplc="0809001B">
      <w:numFmt w:val="lowerRoman"/>
      <w:lvlText w:val="%3."/>
      <w:start w:val="1"/>
      <w:pPr>
        <w:ind w:left="2520"/>
        <w:ind w:hanging="180"/>
      </w:pPr>
      <w:lvlJc w:val="right"/>
    </w:lvl>
    <w:lvl w:ilvl="3" w:tentative="1" w:tplc="0809000F">
      <w:numFmt w:val="decimal"/>
      <w:lvlText w:val="%4."/>
      <w:start w:val="1"/>
      <w:pPr>
        <w:ind w:left="3240"/>
        <w:ind w:hanging="360"/>
      </w:pPr>
      <w:lvlJc w:val="left"/>
    </w:lvl>
    <w:lvl w:ilvl="4" w:tentative="1" w:tplc="08090019">
      <w:numFmt w:val="lowerLetter"/>
      <w:lvlText w:val="%5."/>
      <w:start w:val="1"/>
      <w:pPr>
        <w:ind w:left="3960"/>
        <w:ind w:hanging="360"/>
      </w:pPr>
      <w:lvlJc w:val="left"/>
    </w:lvl>
    <w:lvl w:ilvl="5" w:tentative="1" w:tplc="0809001B">
      <w:numFmt w:val="lowerRoman"/>
      <w:lvlText w:val="%6."/>
      <w:start w:val="1"/>
      <w:pPr>
        <w:ind w:left="4680"/>
        <w:ind w:hanging="180"/>
      </w:pPr>
      <w:lvlJc w:val="right"/>
    </w:lvl>
    <w:lvl w:ilvl="6" w:tentative="1" w:tplc="0809000F">
      <w:numFmt w:val="decimal"/>
      <w:lvlText w:val="%7."/>
      <w:start w:val="1"/>
      <w:pPr>
        <w:ind w:left="5400"/>
        <w:ind w:hanging="360"/>
      </w:pPr>
      <w:lvlJc w:val="left"/>
    </w:lvl>
    <w:lvl w:ilvl="7" w:tentative="1" w:tplc="08090019">
      <w:numFmt w:val="lowerLetter"/>
      <w:lvlText w:val="%8."/>
      <w:start w:val="1"/>
      <w:pPr>
        <w:ind w:left="6120"/>
        <w:ind w:hanging="360"/>
      </w:pPr>
      <w:lvlJc w:val="left"/>
    </w:lvl>
    <w:lvl w:ilvl="8" w:tentative="1" w:tplc="0809001B">
      <w:numFmt w:val="lowerRoman"/>
      <w:lvlText w:val="%9."/>
      <w:start w:val="1"/>
      <w:pPr>
        <w:ind w:left="6840"/>
        <w:ind w:hanging="180"/>
      </w:pPr>
      <w:lvlJc w:val="right"/>
    </w:lvl>
  </w:abstractNum>
  <w:abstractNum w:abstractNumId="24">
    <w:multiLevelType w:val="hybridMultilevel"/>
    <w:nsid w:val="5C7A063D"/>
    <w:tmpl w:val="44D8A3BC"/>
    <w:lvl w:ilvl="0" w:tplc="0809000F">
      <w:numFmt w:val="decimal"/>
      <w:lvlText w:val="%1."/>
      <w:start w:val="1"/>
      <w:pPr>
        <w:ind w:left="720"/>
        <w:ind w:hanging="360"/>
      </w:pPr>
      <w:lvlJc w:val="left"/>
    </w:lvl>
    <w:lvl w:ilvl="1" w:tplc="08090019">
      <w:numFmt w:val="lowerLetter"/>
      <w:lvlText w:val="%2."/>
      <w:start w:val="1"/>
      <w:pPr>
        <w:ind w:left="1440"/>
        <w:ind w:hanging="360"/>
      </w:pPr>
      <w:lvlJc w:val="left"/>
    </w:lvl>
    <w:lvl w:ilvl="2" w:tplc="0809001B">
      <w:numFmt w:val="lowerRoman"/>
      <w:lvlText w:val="%3."/>
      <w:start w:val="1"/>
      <w:pPr>
        <w:ind w:left="2160"/>
        <w:ind w:hanging="180"/>
      </w:pPr>
      <w:lvlJc w:val="right"/>
    </w:lvl>
    <w:lvl w:ilvl="3" w:tentative="1" w:tplc="0809000F">
      <w:numFmt w:val="decimal"/>
      <w:lvlText w:val="%4."/>
      <w:start w:val="1"/>
      <w:pPr>
        <w:ind w:left="2880"/>
        <w:ind w:hanging="360"/>
      </w:pPr>
      <w:lvlJc w:val="left"/>
    </w:lvl>
    <w:lvl w:ilvl="4" w:tplc="08090019">
      <w:numFmt w:val="lowerLetter"/>
      <w:lvlText w:val="%5."/>
      <w:start w:val="1"/>
      <w:pPr>
        <w:ind w:left="3600"/>
        <w:ind w:hanging="360"/>
      </w:pPr>
      <w:lvlJc w:val="left"/>
    </w:lvl>
    <w:lvl w:ilvl="5" w:tentative="1" w:tplc="0809001B">
      <w:numFmt w:val="lowerRoman"/>
      <w:lvlText w:val="%6."/>
      <w:start w:val="1"/>
      <w:pPr>
        <w:ind w:left="4320"/>
        <w:ind w:hanging="180"/>
      </w:pPr>
      <w:lvlJc w:val="right"/>
    </w:lvl>
    <w:lvl w:ilvl="6" w:tentative="1" w:tplc="0809000F">
      <w:numFmt w:val="decimal"/>
      <w:lvlText w:val="%7."/>
      <w:start w:val="1"/>
      <w:pPr>
        <w:ind w:left="5040"/>
        <w:ind w:hanging="360"/>
      </w:pPr>
      <w:lvlJc w:val="left"/>
    </w:lvl>
    <w:lvl w:ilvl="7" w:tentative="1" w:tplc="08090019">
      <w:numFmt w:val="lowerLetter"/>
      <w:lvlText w:val="%8."/>
      <w:start w:val="1"/>
      <w:pPr>
        <w:ind w:left="5760"/>
        <w:ind w:hanging="360"/>
      </w:pPr>
      <w:lvlJc w:val="left"/>
    </w:lvl>
    <w:lvl w:ilvl="8" w:tentative="1" w:tplc="0809001B">
      <w:numFmt w:val="lowerRoman"/>
      <w:lvlText w:val="%9."/>
      <w:start w:val="1"/>
      <w:pPr>
        <w:ind w:left="6480"/>
        <w:ind w:hanging="180"/>
      </w:pPr>
      <w:lvlJc w:val="right"/>
    </w:lvl>
  </w:abstractNum>
  <w:abstractNum w:abstractNumId="25">
    <w:multiLevelType w:val="hybridMultilevel"/>
    <w:nsid w:val="5F7306BA"/>
    <w:tmpl w:val="623878C6"/>
    <w:lvl w:ilvl="0" w:tplc="08090001">
      <w:numFmt w:val="bullet"/>
      <w:lvlText w:val=""/>
      <w:start w:val="1"/>
      <w:rPr>
        <w:rFonts w:ascii="Symbol" w:hAnsi="Symbol" w:hint="default"/>
      </w:rPr>
      <w:pPr>
        <w:ind w:left="720"/>
        <w:ind w:hanging="360"/>
      </w:pPr>
      <w:lvlJc w:val="left"/>
    </w:lvl>
    <w:lvl w:ilvl="1" w:tplc="08090003">
      <w:numFmt w:val="bullet"/>
      <w:lvlText w:val="o"/>
      <w:start w:val="1"/>
      <w:rPr>
        <w:rFonts w:ascii="Courier New" w:cs="Courier New" w:hAnsi="Courier New" w:hint="default"/>
      </w:rPr>
      <w:pPr>
        <w:ind w:left="1440"/>
        <w:ind w:hanging="360"/>
      </w:pPr>
      <w:lvlJc w:val="left"/>
    </w:lvl>
    <w:lvl w:ilvl="2" w:tplc="08090005">
      <w:numFmt w:val="bullet"/>
      <w:lvlText w:val=""/>
      <w:start w:val="1"/>
      <w:rPr>
        <w:rFonts w:ascii="Wingdings" w:hAnsi="Wingdings" w:hint="default"/>
      </w:rPr>
      <w:pPr>
        <w:ind w:left="2160"/>
        <w:ind w:hanging="360"/>
      </w:pPr>
      <w:lvlJc w:val="left"/>
    </w:lvl>
    <w:lvl w:ilvl="3" w:tplc="08090001">
      <w:numFmt w:val="bullet"/>
      <w:lvlText w:val=""/>
      <w:start w:val="1"/>
      <w:rPr>
        <w:rFonts w:ascii="Symbol" w:hAnsi="Symbol" w:hint="default"/>
      </w:rPr>
      <w:pPr>
        <w:ind w:left="2880"/>
        <w:ind w:hanging="360"/>
      </w:pPr>
      <w:lvlJc w:val="left"/>
    </w:lvl>
    <w:lvl w:ilvl="4" w:tplc="08090003">
      <w:numFmt w:val="bullet"/>
      <w:lvlText w:val="o"/>
      <w:start w:val="1"/>
      <w:rPr>
        <w:rFonts w:ascii="Courier New" w:cs="Courier New" w:hAnsi="Courier New" w:hint="default"/>
      </w:rPr>
      <w:pPr>
        <w:ind w:left="3600"/>
        <w:ind w:hanging="360"/>
      </w:pPr>
      <w:lvlJc w:val="left"/>
    </w:lvl>
    <w:lvl w:ilvl="5" w:tplc="08090005">
      <w:numFmt w:val="bullet"/>
      <w:lvlText w:val=""/>
      <w:start w:val="1"/>
      <w:rPr>
        <w:rFonts w:ascii="Wingdings" w:hAnsi="Wingdings" w:hint="default"/>
      </w:rPr>
      <w:pPr>
        <w:ind w:left="4320"/>
        <w:ind w:hanging="360"/>
      </w:pPr>
      <w:lvlJc w:val="left"/>
    </w:lvl>
    <w:lvl w:ilvl="6" w:tplc="08090001">
      <w:numFmt w:val="bullet"/>
      <w:lvlText w:val=""/>
      <w:start w:val="1"/>
      <w:rPr>
        <w:rFonts w:ascii="Symbol" w:hAnsi="Symbol" w:hint="default"/>
      </w:rPr>
      <w:pPr>
        <w:ind w:left="5040"/>
        <w:ind w:hanging="360"/>
      </w:pPr>
      <w:lvlJc w:val="left"/>
    </w:lvl>
    <w:lvl w:ilvl="7" w:tplc="08090003">
      <w:numFmt w:val="bullet"/>
      <w:lvlText w:val="o"/>
      <w:start w:val="1"/>
      <w:rPr>
        <w:rFonts w:ascii="Courier New" w:cs="Courier New" w:hAnsi="Courier New" w:hint="default"/>
      </w:rPr>
      <w:pPr>
        <w:ind w:left="5760"/>
        <w:ind w:hanging="360"/>
      </w:pPr>
      <w:lvlJc w:val="left"/>
    </w:lvl>
    <w:lvl w:ilvl="8" w:tplc="08090005">
      <w:numFmt w:val="bullet"/>
      <w:lvlText w:val=""/>
      <w:start w:val="1"/>
      <w:rPr>
        <w:rFonts w:ascii="Wingdings" w:hAnsi="Wingdings" w:hint="default"/>
      </w:rPr>
      <w:pPr>
        <w:ind w:left="6480"/>
        <w:ind w:hanging="360"/>
      </w:pPr>
      <w:lvlJc w:val="left"/>
    </w:lvl>
  </w:abstractNum>
  <w:abstractNum w:abstractNumId="26">
    <w:multiLevelType w:val="hybridMultilevel"/>
    <w:nsid w:val="69290966"/>
    <w:tmpl w:val="5B66BFBE"/>
    <w:lvl w:ilvl="0" w:tplc="0809000F">
      <w:numFmt w:val="decimal"/>
      <w:lvlText w:val="%1."/>
      <w:start w:val="6"/>
      <w:rPr>
        <w:rFonts w:hint="default"/>
      </w:rPr>
      <w:pPr>
        <w:ind w:left="720"/>
        <w:ind w:hanging="360"/>
      </w:pPr>
      <w:lvlJc w:val="left"/>
    </w:lvl>
    <w:lvl w:ilvl="1" w:tentative="1" w:tplc="08090019">
      <w:numFmt w:val="lowerLetter"/>
      <w:lvlText w:val="%2."/>
      <w:start w:val="1"/>
      <w:pPr>
        <w:ind w:left="1440"/>
        <w:ind w:hanging="360"/>
      </w:pPr>
      <w:lvlJc w:val="left"/>
    </w:lvl>
    <w:lvl w:ilvl="2" w:tentative="1" w:tplc="0809001B">
      <w:numFmt w:val="lowerRoman"/>
      <w:lvlText w:val="%3."/>
      <w:start w:val="1"/>
      <w:pPr>
        <w:ind w:left="2160"/>
        <w:ind w:hanging="180"/>
      </w:pPr>
      <w:lvlJc w:val="right"/>
    </w:lvl>
    <w:lvl w:ilvl="3" w:tentative="1" w:tplc="0809000F">
      <w:numFmt w:val="decimal"/>
      <w:lvlText w:val="%4."/>
      <w:start w:val="1"/>
      <w:pPr>
        <w:ind w:left="2880"/>
        <w:ind w:hanging="360"/>
      </w:pPr>
      <w:lvlJc w:val="left"/>
    </w:lvl>
    <w:lvl w:ilvl="4" w:tentative="1" w:tplc="08090019">
      <w:numFmt w:val="lowerLetter"/>
      <w:lvlText w:val="%5."/>
      <w:start w:val="1"/>
      <w:pPr>
        <w:ind w:left="3600"/>
        <w:ind w:hanging="360"/>
      </w:pPr>
      <w:lvlJc w:val="left"/>
    </w:lvl>
    <w:lvl w:ilvl="5" w:tentative="1" w:tplc="0809001B">
      <w:numFmt w:val="lowerRoman"/>
      <w:lvlText w:val="%6."/>
      <w:start w:val="1"/>
      <w:pPr>
        <w:ind w:left="4320"/>
        <w:ind w:hanging="180"/>
      </w:pPr>
      <w:lvlJc w:val="right"/>
    </w:lvl>
    <w:lvl w:ilvl="6" w:tentative="1" w:tplc="0809000F">
      <w:numFmt w:val="decimal"/>
      <w:lvlText w:val="%7."/>
      <w:start w:val="1"/>
      <w:pPr>
        <w:ind w:left="5040"/>
        <w:ind w:hanging="360"/>
      </w:pPr>
      <w:lvlJc w:val="left"/>
    </w:lvl>
    <w:lvl w:ilvl="7" w:tentative="1" w:tplc="08090019">
      <w:numFmt w:val="lowerLetter"/>
      <w:lvlText w:val="%8."/>
      <w:start w:val="1"/>
      <w:pPr>
        <w:ind w:left="5760"/>
        <w:ind w:hanging="360"/>
      </w:pPr>
      <w:lvlJc w:val="left"/>
    </w:lvl>
    <w:lvl w:ilvl="8" w:tentative="1" w:tplc="0809001B">
      <w:numFmt w:val="lowerRoman"/>
      <w:lvlText w:val="%9."/>
      <w:start w:val="1"/>
      <w:pPr>
        <w:ind w:left="6480"/>
        <w:ind w:hanging="180"/>
      </w:pPr>
      <w:lvlJc w:val="right"/>
    </w:lvl>
  </w:abstractNum>
  <w:abstractNum w:abstractNumId="27">
    <w:multiLevelType w:val="hybridMultilevel"/>
    <w:nsid w:val="6E7311A7"/>
    <w:tmpl w:val="F3E40668"/>
    <w:lvl w:ilvl="0" w:tplc="08090001">
      <w:numFmt w:val="bullet"/>
      <w:lvlText w:val=""/>
      <w:start w:val="1"/>
      <w:rPr>
        <w:rFonts w:ascii="Symbol" w:hAnsi="Symbol" w:hint="default"/>
      </w:rPr>
      <w:pPr>
        <w:ind w:left="720"/>
        <w:ind w:hanging="360"/>
      </w:pPr>
      <w:lvlJc w:val="left"/>
    </w:lvl>
    <w:lvl w:ilvl="1" w:tplc="08090003">
      <w:numFmt w:val="bullet"/>
      <w:lvlText w:val="o"/>
      <w:start w:val="1"/>
      <w:rPr>
        <w:rFonts w:ascii="Courier New" w:cs="Courier New" w:hAnsi="Courier New" w:hint="default"/>
      </w:rPr>
      <w:pPr>
        <w:ind w:left="1440"/>
        <w:ind w:hanging="360"/>
      </w:pPr>
      <w:lvlJc w:val="left"/>
    </w:lvl>
    <w:lvl w:ilvl="2" w:tplc="08090005">
      <w:numFmt w:val="bullet"/>
      <w:lvlText w:val=""/>
      <w:start w:val="1"/>
      <w:rPr>
        <w:rFonts w:ascii="Wingdings" w:hAnsi="Wingdings" w:hint="default"/>
      </w:rPr>
      <w:pPr>
        <w:ind w:left="2160"/>
        <w:ind w:hanging="360"/>
      </w:pPr>
      <w:lvlJc w:val="left"/>
    </w:lvl>
    <w:lvl w:ilvl="3" w:tplc="08090001">
      <w:numFmt w:val="bullet"/>
      <w:lvlText w:val=""/>
      <w:start w:val="1"/>
      <w:rPr>
        <w:rFonts w:ascii="Symbol" w:hAnsi="Symbol" w:hint="default"/>
      </w:rPr>
      <w:pPr>
        <w:ind w:left="2880"/>
        <w:ind w:hanging="360"/>
      </w:pPr>
      <w:lvlJc w:val="left"/>
    </w:lvl>
    <w:lvl w:ilvl="4" w:tplc="08090003">
      <w:numFmt w:val="bullet"/>
      <w:lvlText w:val="o"/>
      <w:start w:val="1"/>
      <w:rPr>
        <w:rFonts w:ascii="Courier New" w:cs="Courier New" w:hAnsi="Courier New" w:hint="default"/>
      </w:rPr>
      <w:pPr>
        <w:ind w:left="3600"/>
        <w:ind w:hanging="360"/>
      </w:pPr>
      <w:lvlJc w:val="left"/>
    </w:lvl>
    <w:lvl w:ilvl="5" w:tplc="08090005">
      <w:numFmt w:val="bullet"/>
      <w:lvlText w:val=""/>
      <w:start w:val="1"/>
      <w:rPr>
        <w:rFonts w:ascii="Wingdings" w:hAnsi="Wingdings" w:hint="default"/>
      </w:rPr>
      <w:pPr>
        <w:ind w:left="4320"/>
        <w:ind w:hanging="360"/>
      </w:pPr>
      <w:lvlJc w:val="left"/>
    </w:lvl>
    <w:lvl w:ilvl="6" w:tplc="08090001">
      <w:numFmt w:val="bullet"/>
      <w:lvlText w:val=""/>
      <w:start w:val="1"/>
      <w:rPr>
        <w:rFonts w:ascii="Symbol" w:hAnsi="Symbol" w:hint="default"/>
      </w:rPr>
      <w:pPr>
        <w:ind w:left="5040"/>
        <w:ind w:hanging="360"/>
      </w:pPr>
      <w:lvlJc w:val="left"/>
    </w:lvl>
    <w:lvl w:ilvl="7" w:tplc="08090003">
      <w:numFmt w:val="bullet"/>
      <w:lvlText w:val="o"/>
      <w:start w:val="1"/>
      <w:rPr>
        <w:rFonts w:ascii="Courier New" w:cs="Courier New" w:hAnsi="Courier New" w:hint="default"/>
      </w:rPr>
      <w:pPr>
        <w:ind w:left="5760"/>
        <w:ind w:hanging="360"/>
      </w:pPr>
      <w:lvlJc w:val="left"/>
    </w:lvl>
    <w:lvl w:ilvl="8" w:tplc="08090005">
      <w:numFmt w:val="bullet"/>
      <w:lvlText w:val=""/>
      <w:start w:val="1"/>
      <w:rPr>
        <w:rFonts w:ascii="Wingdings" w:hAnsi="Wingdings" w:hint="default"/>
      </w:rPr>
      <w:pPr>
        <w:ind w:left="6480"/>
        <w:ind w:hanging="360"/>
      </w:pPr>
      <w:lvlJc w:val="left"/>
    </w:lvl>
  </w:abstractNum>
  <w:abstractNum w:abstractNumId="28">
    <w:multiLevelType w:val="hybridMultilevel"/>
    <w:nsid w:val="72CA74CA"/>
    <w:tmpl w:val="3A902370"/>
    <w:lvl w:ilvl="0" w:tplc="0809000F">
      <w:numFmt w:val="decimal"/>
      <w:lvlText w:val="%1."/>
      <w:start w:val="1"/>
      <w:rPr>
        <w:rFonts w:hint="default"/>
      </w:rPr>
      <w:pPr>
        <w:ind w:left="720"/>
        <w:ind w:hanging="360"/>
      </w:pPr>
      <w:lvlJc w:val="left"/>
    </w:lvl>
    <w:lvl w:ilvl="1" w:tplc="08090019">
      <w:numFmt w:val="lowerLetter"/>
      <w:lvlText w:val="%2."/>
      <w:start w:val="1"/>
      <w:pPr>
        <w:ind w:left="1440"/>
        <w:ind w:hanging="360"/>
      </w:pPr>
      <w:lvlJc w:val="left"/>
    </w:lvl>
    <w:lvl w:ilvl="2" w:tentative="1" w:tplc="0809001B">
      <w:numFmt w:val="lowerRoman"/>
      <w:lvlText w:val="%3."/>
      <w:start w:val="1"/>
      <w:pPr>
        <w:ind w:left="2160"/>
        <w:ind w:hanging="180"/>
      </w:pPr>
      <w:lvlJc w:val="right"/>
    </w:lvl>
    <w:lvl w:ilvl="3" w:tentative="1" w:tplc="0809000F">
      <w:numFmt w:val="decimal"/>
      <w:lvlText w:val="%4."/>
      <w:start w:val="1"/>
      <w:pPr>
        <w:ind w:left="2880"/>
        <w:ind w:hanging="360"/>
      </w:pPr>
      <w:lvlJc w:val="left"/>
    </w:lvl>
    <w:lvl w:ilvl="4" w:tentative="1" w:tplc="08090019">
      <w:numFmt w:val="lowerLetter"/>
      <w:lvlText w:val="%5."/>
      <w:start w:val="1"/>
      <w:pPr>
        <w:ind w:left="3600"/>
        <w:ind w:hanging="360"/>
      </w:pPr>
      <w:lvlJc w:val="left"/>
    </w:lvl>
    <w:lvl w:ilvl="5" w:tentative="1" w:tplc="0809001B">
      <w:numFmt w:val="lowerRoman"/>
      <w:lvlText w:val="%6."/>
      <w:start w:val="1"/>
      <w:pPr>
        <w:ind w:left="4320"/>
        <w:ind w:hanging="180"/>
      </w:pPr>
      <w:lvlJc w:val="right"/>
    </w:lvl>
    <w:lvl w:ilvl="6" w:tentative="1" w:tplc="0809000F">
      <w:numFmt w:val="decimal"/>
      <w:lvlText w:val="%7."/>
      <w:start w:val="1"/>
      <w:pPr>
        <w:ind w:left="5040"/>
        <w:ind w:hanging="360"/>
      </w:pPr>
      <w:lvlJc w:val="left"/>
    </w:lvl>
    <w:lvl w:ilvl="7" w:tentative="1" w:tplc="08090019">
      <w:numFmt w:val="lowerLetter"/>
      <w:lvlText w:val="%8."/>
      <w:start w:val="1"/>
      <w:pPr>
        <w:ind w:left="5760"/>
        <w:ind w:hanging="360"/>
      </w:pPr>
      <w:lvlJc w:val="left"/>
    </w:lvl>
    <w:lvl w:ilvl="8" w:tentative="1" w:tplc="0809001B">
      <w:numFmt w:val="lowerRoman"/>
      <w:lvlText w:val="%9."/>
      <w:start w:val="1"/>
      <w:pPr>
        <w:ind w:left="6480"/>
        <w:ind w:hanging="180"/>
      </w:pPr>
      <w:lvlJc w:val="right"/>
    </w:lvl>
  </w:abstractNum>
  <w:abstractNum w:abstractNumId="29">
    <w:multiLevelType w:val="hybridMultilevel"/>
    <w:nsid w:val="770130BE"/>
    <w:tmpl w:val="EE68927C"/>
    <w:lvl w:ilvl="0" w:tplc="0809000F">
      <w:numFmt w:val="decimal"/>
      <w:lvlText w:val="%1."/>
      <w:start w:val="1"/>
      <w:rPr>
        <w:rFonts w:hint="default"/>
      </w:rPr>
      <w:pPr>
        <w:ind w:left="720"/>
        <w:ind w:hanging="360"/>
      </w:pPr>
      <w:lvlJc w:val="left"/>
    </w:lvl>
    <w:lvl w:ilvl="1" w:tentative="1" w:tplc="08090019">
      <w:numFmt w:val="lowerLetter"/>
      <w:lvlText w:val="%2."/>
      <w:start w:val="1"/>
      <w:pPr>
        <w:ind w:left="1440"/>
        <w:ind w:hanging="360"/>
      </w:pPr>
      <w:lvlJc w:val="left"/>
    </w:lvl>
    <w:lvl w:ilvl="2" w:tentative="1" w:tplc="0809001B">
      <w:numFmt w:val="lowerRoman"/>
      <w:lvlText w:val="%3."/>
      <w:start w:val="1"/>
      <w:pPr>
        <w:ind w:left="2160"/>
        <w:ind w:hanging="180"/>
      </w:pPr>
      <w:lvlJc w:val="right"/>
    </w:lvl>
    <w:lvl w:ilvl="3" w:tentative="1" w:tplc="0809000F">
      <w:numFmt w:val="decimal"/>
      <w:lvlText w:val="%4."/>
      <w:start w:val="1"/>
      <w:pPr>
        <w:ind w:left="2880"/>
        <w:ind w:hanging="360"/>
      </w:pPr>
      <w:lvlJc w:val="left"/>
    </w:lvl>
    <w:lvl w:ilvl="4" w:tentative="1" w:tplc="08090019">
      <w:numFmt w:val="lowerLetter"/>
      <w:lvlText w:val="%5."/>
      <w:start w:val="1"/>
      <w:pPr>
        <w:ind w:left="3600"/>
        <w:ind w:hanging="360"/>
      </w:pPr>
      <w:lvlJc w:val="left"/>
    </w:lvl>
    <w:lvl w:ilvl="5" w:tentative="1" w:tplc="0809001B">
      <w:numFmt w:val="lowerRoman"/>
      <w:lvlText w:val="%6."/>
      <w:start w:val="1"/>
      <w:pPr>
        <w:ind w:left="4320"/>
        <w:ind w:hanging="180"/>
      </w:pPr>
      <w:lvlJc w:val="right"/>
    </w:lvl>
    <w:lvl w:ilvl="6" w:tentative="1" w:tplc="0809000F">
      <w:numFmt w:val="decimal"/>
      <w:lvlText w:val="%7."/>
      <w:start w:val="1"/>
      <w:pPr>
        <w:ind w:left="5040"/>
        <w:ind w:hanging="360"/>
      </w:pPr>
      <w:lvlJc w:val="left"/>
    </w:lvl>
    <w:lvl w:ilvl="7" w:tentative="1" w:tplc="08090019">
      <w:numFmt w:val="lowerLetter"/>
      <w:lvlText w:val="%8."/>
      <w:start w:val="1"/>
      <w:pPr>
        <w:ind w:left="5760"/>
        <w:ind w:hanging="360"/>
      </w:pPr>
      <w:lvlJc w:val="left"/>
    </w:lvl>
    <w:lvl w:ilvl="8" w:tentative="1" w:tplc="0809001B">
      <w:numFmt w:val="lowerRoman"/>
      <w:lvlText w:val="%9."/>
      <w:start w:val="1"/>
      <w:pPr>
        <w:ind w:left="6480"/>
        <w:ind w:hanging="180"/>
      </w:pPr>
      <w:lvlJc w:val="right"/>
    </w:lvl>
  </w:abstractNum>
  <w:abstractNum w:abstractNumId="30">
    <w:multiLevelType w:val="hybridMultilevel"/>
    <w:nsid w:val="7BA65CED"/>
    <w:tmpl w:val="9BE4FA96"/>
    <w:lvl w:ilvl="0" w:tplc="FBC6634C">
      <w:numFmt w:val="bullet"/>
      <w:lvlText w:val="o"/>
      <w:start w:val="1"/>
      <w:rPr>
        <w:rFonts w:ascii="Courier New" w:hAnsi="Courier New" w:hint="default"/>
      </w:rPr>
      <w:pPr>
        <w:ind w:left="690"/>
        <w:ind w:hanging="360"/>
        <w:tabs>
          <w:tab w:val="num" w:pos="690"/>
        </w:tabs>
      </w:pPr>
      <w:pStyle w:val="ListBullet21"/>
      <w:lvlJc w:val="left"/>
    </w:lvl>
    <w:lvl w:ilvl="1" w:tplc="1AAED61E">
      <w:numFmt w:val="bullet"/>
      <w:lvlText w:val="o"/>
      <w:start w:val="1"/>
      <w:rPr>
        <w:rFonts w:ascii="Courier New" w:hAnsi="Courier New" w:hint="default"/>
      </w:rPr>
      <w:pPr>
        <w:ind w:left="1080"/>
        <w:ind w:hanging="360"/>
        <w:tabs>
          <w:tab w:val="num" w:pos="1080"/>
        </w:tabs>
      </w:pPr>
      <w:lvlJc w:val="left"/>
    </w:lvl>
    <w:lvl w:ilvl="2" w:tentative="1" w:tplc="0409001B">
      <w:numFmt w:val="lowerRoman"/>
      <w:lvlText w:val="%3."/>
      <w:start w:val="1"/>
      <w:pPr>
        <w:ind w:left="1800"/>
        <w:ind w:hanging="180"/>
        <w:tabs>
          <w:tab w:val="num" w:pos="1800"/>
        </w:tabs>
      </w:pPr>
      <w:lvlJc w:val="right"/>
    </w:lvl>
    <w:lvl w:ilvl="3" w:tentative="1" w:tplc="0409000F">
      <w:numFmt w:val="decimal"/>
      <w:lvlText w:val="%4."/>
      <w:start w:val="1"/>
      <w:pPr>
        <w:ind w:left="2520"/>
        <w:ind w:hanging="360"/>
        <w:tabs>
          <w:tab w:val="num" w:pos="2520"/>
        </w:tabs>
      </w:pPr>
      <w:lvlJc w:val="left"/>
    </w:lvl>
    <w:lvl w:ilvl="4" w:tentative="1" w:tplc="04090019">
      <w:numFmt w:val="lowerLetter"/>
      <w:lvlText w:val="%5."/>
      <w:start w:val="1"/>
      <w:pPr>
        <w:ind w:left="3240"/>
        <w:ind w:hanging="360"/>
        <w:tabs>
          <w:tab w:val="num" w:pos="3240"/>
        </w:tabs>
      </w:pPr>
      <w:lvlJc w:val="left"/>
    </w:lvl>
    <w:lvl w:ilvl="5" w:tentative="1" w:tplc="0409001B">
      <w:numFmt w:val="lowerRoman"/>
      <w:lvlText w:val="%6."/>
      <w:start w:val="1"/>
      <w:pPr>
        <w:ind w:left="3960"/>
        <w:ind w:hanging="180"/>
        <w:tabs>
          <w:tab w:val="num" w:pos="3960"/>
        </w:tabs>
      </w:pPr>
      <w:lvlJc w:val="right"/>
    </w:lvl>
    <w:lvl w:ilvl="6" w:tentative="1" w:tplc="0409000F">
      <w:numFmt w:val="decimal"/>
      <w:lvlText w:val="%7."/>
      <w:start w:val="1"/>
      <w:pPr>
        <w:ind w:left="4680"/>
        <w:ind w:hanging="360"/>
        <w:tabs>
          <w:tab w:val="num" w:pos="4680"/>
        </w:tabs>
      </w:pPr>
      <w:lvlJc w:val="left"/>
    </w:lvl>
    <w:lvl w:ilvl="7" w:tentative="1" w:tplc="04090019">
      <w:numFmt w:val="lowerLetter"/>
      <w:lvlText w:val="%8."/>
      <w:start w:val="1"/>
      <w:pPr>
        <w:ind w:left="5400"/>
        <w:ind w:hanging="360"/>
        <w:tabs>
          <w:tab w:val="num" w:pos="5400"/>
        </w:tabs>
      </w:pPr>
      <w:lvlJc w:val="left"/>
    </w:lvl>
    <w:lvl w:ilvl="8" w:tentative="1" w:tplc="0409001B">
      <w:numFmt w:val="lowerRoman"/>
      <w:lvlText w:val="%9."/>
      <w:start w:val="1"/>
      <w:pPr>
        <w:ind w:left="6120"/>
        <w:ind w:hanging="180"/>
        <w:tabs>
          <w:tab w:val="num" w:pos="6120"/>
        </w:tabs>
      </w:pPr>
      <w:lvlJc w:val="right"/>
    </w:lvl>
  </w:abstractNum>
  <w:num w:numId="1">
    <w:abstractNumId w:val="0"/>
  </w:num>
  <w:num w:numId="2">
    <w:abstractNumId w:val="0"/>
  </w:num>
  <w:num w:numId="3">
    <w:abstractNumId w:val="0"/>
  </w:num>
  <w:num w:numId="4">
    <w:abstractNumId w:val="30"/>
  </w:num>
  <w:num w:numId="5">
    <w:abstractNumId w:val="5"/>
  </w:num>
  <w:num w:numId="6">
    <w:abstractNumId w:val="27"/>
  </w:num>
  <w:num w:numId="7">
    <w:abstractNumId w:val="7"/>
  </w:num>
  <w:num w:numId="8">
    <w:abstractNumId w:val="16"/>
  </w:num>
  <w:num w:numId="9">
    <w:abstractNumId w:val="25"/>
  </w:num>
  <w:num w:numId="10">
    <w:abstractNumId w:val="5"/>
  </w:num>
  <w:num w:numId="11">
    <w:abstractNumId w:val="9"/>
  </w:num>
  <w:num w:numId="12">
    <w:abstractNumId w:val="18"/>
  </w:num>
  <w:num w:numId="13">
    <w:abstractNumId w:val="19"/>
  </w:num>
  <w:num w:numId="14">
    <w:abstractNumId w:val="13"/>
  </w:num>
  <w:num w:numId="15">
    <w:abstractNumId w:val="10"/>
  </w:num>
  <w:num w:numId="16">
    <w:abstractNumId w:val="28"/>
  </w:num>
  <w:num w:numId="17">
    <w:abstractNumId w:val="2"/>
  </w:num>
  <w:num w:numId="18">
    <w:abstractNumId w:val="14"/>
  </w:num>
  <w:num w:numId="19">
    <w:abstractNumId w:val="3"/>
  </w:num>
  <w:num w:numId="20">
    <w:abstractNumId w:val="29"/>
  </w:num>
  <w:num w:numId="21">
    <w:abstractNumId w:val="21"/>
  </w:num>
  <w:num w:numId="22">
    <w:abstractNumId w:val="6"/>
  </w:num>
  <w:num w:numId="23">
    <w:abstractNumId w:val="24"/>
  </w:num>
  <w:num w:numId="24">
    <w:abstractNumId w:val="12"/>
  </w:num>
  <w:num w:numId="25">
    <w:abstractNumId w:val="11"/>
  </w:num>
  <w:num w:numId="26">
    <w:abstractNumId w:val="8"/>
  </w:num>
  <w:num w:numId="27">
    <w:abstractNumId w:val="20"/>
  </w:num>
  <w:num w:numId="28">
    <w:abstractNumId w:val="22"/>
  </w:num>
  <w:num w:numId="29">
    <w:abstractNumId w:val="4"/>
  </w:num>
  <w:num w:numId="30">
    <w:abstractNumId w:val="1"/>
  </w:num>
  <w:num w:numId="31">
    <w:abstractNumId w:val="15"/>
  </w:num>
  <w:num w:numId="32">
    <w:abstractNumId w:val="26"/>
  </w:num>
  <w:num w:numId="33">
    <w:abstractNumId w:val="17"/>
  </w:num>
  <w:num w:numId="34">
    <w:abstractNumId w:val="2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zoom w:val="bestFit" w:percent="228"/>
  <w:trackRevisions w:val="false"/>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18D29E"/>
  <w15:chartTrackingRefBased/>
  <w15:docId w15:val="{ECCDBE4F-E331-43CC-80A3-F88679BFE4D7}"/>
  <w:rsids>
    <w:rsidRoot val="002770A5"/>
    <w:rsid val="00031FF5"/>
    <w:rsid val="00037827"/>
    <w:rsid val="00045643"/>
    <w:rsid val="00075A5A"/>
    <w:rsid val="00077691"/>
    <w:rsid val="000803D0"/>
    <w:rsid val="00082BBB"/>
    <w:rsid val="000861BF"/>
    <w:rsid val="000A149C"/>
    <w:rsid val="000A212F"/>
    <w:rsid val="000C192F"/>
    <w:rsid val="000D0578"/>
    <w:rsid val="000D5530"/>
    <w:rsid val="00100299"/>
    <w:rsid val="0011366F"/>
    <w:rsid val="00113CA2"/>
    <w:rsid val="001258F3"/>
    <w:rsid val="001332E6"/>
    <w:rsid val="00134910"/>
    <w:rsid val="00190932"/>
    <w:rsid val="001B2168"/>
    <w:rsid val="001F1381"/>
    <w:rsid val="00212901"/>
    <w:rsid val="002770A5"/>
    <w:rsid val="002832FA"/>
    <w:rsid val="002847DA"/>
    <w:rsid val="00291C1C"/>
    <w:rsid val="002950ED"/>
    <w:rsid val="002A1A10"/>
    <w:rsid val="002E08F7"/>
    <w:rsid val="002E526D"/>
    <w:rsid val="002E6B7A"/>
    <w:rsid val="002F7A1A"/>
    <w:rsid val="003230D9"/>
    <w:rsid val="00332FE7"/>
    <w:rsid val="003375B4"/>
    <w:rsid val="00342FA6"/>
    <w:rsid val="00382D02"/>
    <w:rsid val="00384AA2"/>
    <w:rsid val="003878C2"/>
    <w:rsid val="00387F5B"/>
    <w:rsid val="003A732D"/>
    <w:rsid val="003B7B50"/>
    <w:rsid val="003C54D3"/>
    <w:rsid val="003D29CE"/>
    <w:rsid val="003E0656"/>
    <w:rsid val="00422A33"/>
    <w:rsid val="00444C89"/>
    <w:rsid val="0047486C"/>
    <w:rsid val="004856EF"/>
    <w:rsid val="004A0DBD"/>
    <w:rsid val="004A6532"/>
    <w:rsid val="004C2904"/>
    <w:rsid val="004D319F"/>
    <w:rsid val="004D4C05"/>
    <w:rsid val="004D5F68"/>
    <w:rsid val="004E1D00"/>
    <w:rsid val="004F1B76"/>
    <w:rsid val="00502526"/>
    <w:rsid val="005032B4"/>
    <w:rsid val="005043E5"/>
    <w:rsid val="00520D80"/>
    <w:rsid val="00525038"/>
    <w:rsid val="00533372"/>
    <w:rsid val="005377F0"/>
    <w:rsid val="00547E47"/>
    <w:rsid val="00553D86"/>
    <w:rsid val="005740B2"/>
    <w:rsid val="005A77C9"/>
    <w:rsid val="005E4F74"/>
    <w:rsid val="005F67E2"/>
    <w:rsid val="00612241"/>
    <w:rsid val="006375A5"/>
    <w:rsid val="00645359"/>
    <w:rsid val="0065182C"/>
    <w:rsid val="0067541A"/>
    <w:rsid val="00675745"/>
    <w:rsid val="006A1F4C"/>
    <w:rsid val="006C5929"/>
    <w:rsid val="006E1EB6"/>
    <w:rsid val="00742116"/>
    <w:rsid val="007433DF"/>
    <w:rsid val="007503D9"/>
    <w:rsid val="00761C04"/>
    <w:rsid val="00792BB1"/>
    <w:rsid val="007C6C81"/>
    <w:rsid val="007F502D"/>
    <w:rsid val="00800589"/>
    <w:rsid val="0082385E"/>
    <w:rsid val="00837C14"/>
    <w:rsid val="008435A4"/>
    <w:rsid val="00845F20"/>
    <w:rsid val="00851563"/>
    <w:rsid val="00865D2A"/>
    <w:rsid val="00870D1C"/>
    <w:rsid val="0087433D"/>
    <w:rsid val="008A04B2"/>
    <w:rsid val="008C1256"/>
    <w:rsid val="008E10CF"/>
    <w:rsid val="00906DDF"/>
    <w:rsid val="00920BFB"/>
    <w:rsid val="00954302"/>
    <w:rsid val="009673E8"/>
    <w:rsid val="00980BD4"/>
    <w:rsid val="009A7573"/>
    <w:rsid val="009B64FA"/>
    <w:rsid val="009C522D"/>
    <w:rsid val="009D0C59"/>
    <w:rsid val="009D5668"/>
    <w:rsid val="009F0A8E"/>
    <w:rsid val="009F755D"/>
    <w:rsid val="00A050E9"/>
    <w:rsid val="00A05C30"/>
    <w:rsid val="00A2123E"/>
    <w:rsid val="00A63989"/>
    <w:rsid val="00A65E0A"/>
    <w:rsid val="00A768B6"/>
    <w:rsid val="00A809B3"/>
    <w:rsid val="00A8399A"/>
    <w:rsid val="00A90A35"/>
    <w:rsid val="00A93D01"/>
    <w:rsid val="00AA4230"/>
    <w:rsid val="00AA4467"/>
    <w:rsid val="00AA5352"/>
    <w:rsid val="00AD473C"/>
    <w:rsid val="00AE0D3D"/>
    <w:rsid val="00AE6AFC"/>
    <w:rsid val="00B051B1"/>
    <w:rsid val="00B32BED"/>
    <w:rsid val="00B64B40"/>
    <w:rsid val="00BC4C9B"/>
    <w:rsid val="00BC7B4A"/>
    <w:rsid val="00BF609F"/>
    <w:rsid val="00C40DFF"/>
    <w:rsid val="00C43784"/>
    <w:rsid val="00C57A0A"/>
    <w:rsid val="00C60B23"/>
    <w:rsid val="00C80FF5"/>
    <w:rsid val="00CA45BF"/>
    <w:rsid val="00CB5DEB"/>
    <w:rsid val="00CE7210"/>
    <w:rsid val="00CF753E"/>
    <w:rsid val="00CF7998"/>
    <w:rsid val="00D2430F"/>
    <w:rsid val="00D55868"/>
    <w:rsid val="00D6394E"/>
    <w:rsid val="00D830D6"/>
    <w:rsid val="00D86623"/>
    <w:rsid val="00DB5D19"/>
    <w:rsid val="00DC169C"/>
    <w:rsid val="00DD0D07"/>
    <w:rsid val="00DF37FB"/>
    <w:rsid val="00E02B7C"/>
    <w:rsid val="00E03890"/>
    <w:rsid val="00E32088"/>
    <w:rsid val="00E34D7E"/>
    <w:rsid val="00E40E4D"/>
    <w:rsid val="00E43E54"/>
    <w:rsid val="00E55389"/>
    <w:rsid val="00E673FF"/>
    <w:rsid val="00EC2B5F"/>
    <w:rsid val="00EE0441"/>
    <w:rsid val="00EE0F30"/>
    <w:rsid val="00EF23A8"/>
    <w:rsid val="00F35E85"/>
    <w:rsid val="00F50888"/>
    <w:rsid val="00F66B70"/>
    <w:rsid val="00F806B1"/>
    <w:rsid val="00F867DE"/>
    <w:rsid val="00FA67EB"/>
    <w:rsid val="00FC3271"/>
    <w:rsid val="00FC62D6"/>
    <w:rsid val="00FE4AFE"/>
    <w:rsid val="2F2F9660"/>
    <w:rsid val="67EFE271"/>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docDefaults>
    <w:rPrDefault>
      <w:rPr>
        <w:lang w:val="en-GB" w:eastAsia="en-GB" w:bidi="ar-SA"/>
        <w:rFonts w:ascii="Times New Roman" w:cs="Times New Roman" w:eastAsia="Times New Roman" w:hAnsi="Times New Roma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DEB"/>
    <w:pPr>
      <w:spacing w:after="240" w:line="312" w:lineRule="auto"/>
    </w:pPr>
    <w:rPr>
      <w:lang w:eastAsia="en-US"/>
      <w:rFonts w:ascii="Arial" w:hAnsi="Arial"/>
      <w:sz w:val="22"/>
      <w:szCs w:val="24"/>
    </w:rPr>
  </w:style>
  <w:style w:type="paragraph" w:styleId="Heading1">
    <w:name w:val="Heading 1"/>
    <w:qFormat/>
    <w:basedOn w:val="Normal"/>
    <w:next w:val="Normal"/>
    <w:rsid w:val="00CB5DEB"/>
    <w:pPr>
      <w:keepNext/>
      <w:outlineLvl w:val="0"/>
      <w:spacing w:before="240" w:after="360"/>
    </w:pPr>
    <w:rPr>
      <w:kern w:val="32"/>
      <w:rFonts w:cs="Arial"/>
      <w:sz w:val="36"/>
      <w:szCs w:val="32"/>
    </w:rPr>
  </w:style>
  <w:style w:type="paragraph" w:styleId="Heading2">
    <w:name w:val="Heading 2"/>
    <w:qFormat/>
    <w:basedOn w:val="Normal"/>
    <w:next w:val="Normal"/>
    <w:rsid w:val="00CB5DEB"/>
    <w:pPr>
      <w:keepNext/>
      <w:outlineLvl w:val="1"/>
      <w:spacing w:before="240" w:after="0"/>
    </w:pPr>
    <w:rPr>
      <w:bCs/>
      <w:b/>
      <w:rFonts w:cs="Arial"/>
      <w:sz w:val="26"/>
      <w:szCs w:val="28"/>
    </w:rPr>
  </w:style>
  <w:style w:type="paragraph" w:styleId="Heading3">
    <w:name w:val="Heading 3"/>
    <w:qFormat/>
    <w:basedOn w:val="Normal"/>
    <w:next w:val="Normal"/>
    <w:rsid w:val="00CB5DEB"/>
    <w:pPr>
      <w:keepNext/>
      <w:outlineLvl w:val="2"/>
      <w:spacing w:before="240" w:after="60"/>
    </w:pPr>
    <w:rPr>
      <w:bCs/>
      <w:b/>
      <w:rFonts w:cs="Arial"/>
      <w:szCs w:val="26"/>
    </w:rPr>
  </w:style>
  <w:style w:type="paragraph" w:styleId="Heading4">
    <w:name w:val="Heading 4"/>
    <w:qFormat/>
    <w:basedOn w:val="Normal"/>
    <w:link w:val="Heading4Char"/>
    <w:uiPriority w:val="9"/>
    <w:rsid w:val="00082BBB"/>
    <w:pPr>
      <w:outlineLvl w:val="3"/>
      <w:spacing w:before="100" w:beforeAutospacing="1" w:after="100" w:afterAutospacing="1" w:line="240" w:lineRule="auto"/>
    </w:pPr>
    <w:rPr>
      <w:bCs/>
      <w:lang w:eastAsia="en-GB"/>
      <w:b/>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tblPr>
      <w:tblCellMar>
        <w:top w:w="0" w:type="dxa"/>
        <w:left w:w="108" w:type="dxa"/>
        <w:bottom w:w="0" w:type="dxa"/>
        <w:right w:w="108" w:type="dxa"/>
      </w:tblCellMar>
      <w:tblInd w:w="0" w:type="dxa"/>
    </w:tblPr>
    <w:uiPriority w:val="99"/>
    <w:semiHidden/>
    <w:unhideWhenUsed/>
  </w:style>
  <w:style w:type="numbering" w:default="1" w:styleId="NoList">
    <w:name w:val="No List"/>
    <w:uiPriority w:val="99"/>
    <w:semiHidden/>
    <w:unhideWhenUsed/>
  </w:style>
  <w:style w:type="paragraph" w:styleId="Bodyheader">
    <w:name w:val="Body header"/>
    <w:basedOn w:val="Normal"/>
    <w:next w:val="Normal"/>
    <w:rsid w:val="00CB5DEB"/>
    <w:pPr>
      <w:pBdr>
        <w:bottom w:val="single" w:sz="4" w:color="auto" w:space="1"/>
      </w:pBdr>
      <w:spacing w:before="1920" w:after="360" w:line="240" w:lineRule="auto"/>
    </w:pPr>
    <w:rPr>
      <w:bCs/>
      <w:sz w:val="56"/>
    </w:rPr>
  </w:style>
  <w:style w:type="paragraph" w:styleId="Date">
    <w:name w:val="Date"/>
    <w:basedOn w:val="Normal"/>
    <w:next w:val="Normal"/>
    <w:semiHidden/>
    <w:rsid w:val="00CB5DEB"/>
    <w:pPr>
      <w:spacing w:before="480" w:after="0" w:line="240" w:lineRule="auto"/>
    </w:pPr>
  </w:style>
  <w:style w:type="paragraph" w:styleId="Footer">
    <w:name w:val="footer"/>
    <w:basedOn w:val="Normal"/>
    <w:link w:val="FooterChar"/>
    <w:uiPriority w:val="99"/>
    <w:rsid w:val="00CB5DEB"/>
    <w:pPr>
      <w:tabs>
        <w:tab w:val="center" w:pos="4500"/>
        <w:tab w:val="right" w:pos="8820"/>
      </w:tabs>
    </w:pPr>
    <w:rPr>
      <w:sz w:val="18"/>
    </w:rPr>
  </w:style>
  <w:style w:type="paragraph" w:styleId="Header">
    <w:name w:val="header"/>
    <w:basedOn w:val="Normal"/>
    <w:semiHidden/>
    <w:rsid w:val="00CB5DEB"/>
    <w:pPr>
      <w:tabs>
        <w:tab w:val="center" w:pos="4153"/>
        <w:tab w:val="right" w:pos="8306"/>
      </w:tabs>
    </w:pPr>
  </w:style>
  <w:style w:type="character" w:styleId="Hyperlink">
    <w:name w:val="Hyperlink"/>
    <w:basedOn w:val="DefaultParagraphFont"/>
    <w:uiPriority w:val="99"/>
    <w:semiHidden/>
    <w:rsid w:val="00CB5DEB"/>
    <w:rPr>
      <w:u w:val="single"/>
      <w:color w:val="0000FF"/>
    </w:rPr>
  </w:style>
  <w:style w:type="paragraph" w:styleId="InvoiceBodyHeader">
    <w:name w:val="Invoice Body Header"/>
    <w:basedOn w:val="Normal"/>
    <w:rsid w:val="00CB5DEB"/>
    <w:pPr>
      <w:pBdr>
        <w:bottom w:val="single" w:sz="4" w:color="auto" w:space="1"/>
      </w:pBdr>
      <w:spacing w:after="360"/>
    </w:pPr>
    <w:rPr>
      <w:sz w:val="56"/>
    </w:rPr>
  </w:style>
  <w:style w:type="paragraph" w:styleId="Invoiceconditions">
    <w:name w:val="Invoice conditions"/>
    <w:basedOn w:val="Normal"/>
    <w:rsid w:val="00CB5DEB"/>
    <w:pPr>
      <w:keepNext/>
      <w:keepLines/>
      <w:ind w:right="1055"/>
      <w:spacing w:after="120" w:line="240" w:lineRule="auto"/>
    </w:pPr>
    <w:rPr>
      <w:bCs/>
      <w:sz w:val="14"/>
    </w:rPr>
  </w:style>
  <w:style w:type="paragraph" w:styleId="InvoiceReturnAddress">
    <w:name w:val="Invoice Return Address"/>
    <w:basedOn w:val="Normal"/>
    <w:rsid w:val="00CB5DEB"/>
    <w:pPr>
      <w:spacing w:after="0" w:line="288" w:lineRule="auto"/>
    </w:pPr>
    <w:rPr>
      <w:sz w:val="18"/>
    </w:rPr>
  </w:style>
  <w:style w:type="paragraph" w:styleId="InvoiceDate">
    <w:name w:val="Invoice Date"/>
    <w:basedOn w:val="InvoiceReturnAddress"/>
    <w:next w:val="InvoiceReturnAddress"/>
    <w:rsid w:val="00CB5DEB"/>
    <w:pPr>
      <w:spacing w:before="360"/>
    </w:pPr>
  </w:style>
  <w:style w:type="paragraph" w:styleId="Invoiceheading">
    <w:name w:val="Invoice heading"/>
    <w:basedOn w:val="Normal"/>
    <w:rsid w:val="00CB5DEB"/>
    <w:pPr>
      <w:spacing w:after="0"/>
    </w:pPr>
    <w:rPr>
      <w:b/>
      <w:sz w:val="16"/>
    </w:rPr>
  </w:style>
  <w:style w:type="paragraph" w:styleId="Invoiceitem">
    <w:name w:val="Invoice item"/>
    <w:basedOn w:val="Normal"/>
    <w:rsid w:val="00CB5DEB"/>
    <w:pPr>
      <w:spacing w:after="0"/>
    </w:pPr>
    <w:rPr>
      <w:bCs/>
      <w:sz w:val="16"/>
    </w:rPr>
  </w:style>
  <w:style w:type="paragraph" w:styleId="List">
    <w:name w:val="List"/>
    <w:basedOn w:val="Normal"/>
    <w:semiHidden/>
    <w:rsid w:val="00CB5DEB"/>
    <w:pPr>
      <w:ind w:left="283"/>
      <w:ind w:hanging="283"/>
    </w:pPr>
  </w:style>
  <w:style w:type="paragraph" w:styleId="List5">
    <w:name w:val="List 5"/>
    <w:basedOn w:val="Normal"/>
    <w:semiHidden/>
    <w:rsid w:val="00CB5DEB"/>
    <w:pPr>
      <w:ind w:left="1415"/>
      <w:ind w:hanging="283"/>
    </w:pPr>
  </w:style>
  <w:style w:type="paragraph" w:styleId="ListBullet">
    <w:name w:val="List Bullet"/>
    <w:basedOn w:val="Normal"/>
    <w:autoRedefine/>
    <w:semiHidden/>
    <w:rsid w:val="00CB5DEB"/>
    <w:pPr>
      <w:ind w:left="357"/>
      <w:ind w:hanging="357"/>
      <w:spacing w:after="0"/>
    </w:pPr>
  </w:style>
  <w:style w:type="paragraph" w:styleId="Normalnospaceafter">
    <w:name w:val="Normal no space after"/>
    <w:basedOn w:val="Normal"/>
    <w:rsid w:val="00CB5DEB"/>
    <w:pPr>
      <w:spacing w:after="0"/>
    </w:pPr>
  </w:style>
  <w:style w:type="paragraph" w:styleId="OutwardAddressLast">
    <w:name w:val="Outward Address Last"/>
    <w:basedOn w:val="Normal"/>
    <w:rsid w:val="00CB5DEB"/>
    <w:pPr>
      <w:spacing w:after="480"/>
    </w:pPr>
  </w:style>
  <w:style w:type="paragraph" w:styleId="ReturnAddress">
    <w:name w:val="Return Address"/>
    <w:basedOn w:val="Normal"/>
    <w:rsid w:val="00CB5DEB"/>
    <w:pPr>
      <w:spacing w:after="0"/>
    </w:pPr>
    <w:rPr>
      <w:noProof/>
      <w:sz w:val="18"/>
    </w:rPr>
  </w:style>
  <w:style w:type="paragraph" w:styleId="Salutation">
    <w:name w:val="Salutation"/>
    <w:basedOn w:val="Normal"/>
    <w:next w:val="Normal"/>
    <w:semiHidden/>
    <w:rsid w:val="00CB5DEB"/>
    <w:pPr>
      <w:spacing w:after="1200"/>
    </w:pPr>
  </w:style>
  <w:style w:type="paragraph" w:styleId="Training">
    <w:name w:val="Training"/>
    <w:basedOn w:val="Normal"/>
    <w:rsid w:val="00CB5DEB"/>
    <w:pPr>
      <w:spacing w:after="120"/>
    </w:pPr>
    <w:rPr>
      <w:iCs/>
      <w:i/>
      <w:sz w:val="12"/>
    </w:rPr>
  </w:style>
  <w:style w:type="paragraph" w:styleId="Label">
    <w:name w:val="Label"/>
    <w:basedOn w:val="Normal"/>
    <w:rsid w:val="00CB5DEB"/>
    <w:pPr>
      <w:spacing w:after="0" w:line="240" w:lineRule="auto"/>
    </w:pPr>
  </w:style>
  <w:style w:type="paragraph" w:styleId="Caption">
    <w:name w:val="caption"/>
    <w:qFormat/>
    <w:basedOn w:val="Normal"/>
    <w:next w:val="Normal"/>
    <w:rsid w:val="00CB5DEB"/>
    <w:pPr>
      <w:spacing w:before="120" w:after="120"/>
    </w:pPr>
    <w:rPr>
      <w:bCs/>
      <w:b/>
      <w:sz w:val="20"/>
      <w:szCs w:val="20"/>
    </w:rPr>
  </w:style>
  <w:style w:type="paragraph" w:styleId="EnvelopeAddress">
    <w:name w:val="envelope address"/>
    <w:basedOn w:val="Normal"/>
    <w:semiHidden/>
    <w:rsid w:val="00CB5DEB"/>
    <w:pPr>
      <w:framePr w:w="7920" w:h="1980" w:hSpace="180" w:wrap="auto" w:hAnchor="page" w:xAlign="center" w:yAlign="bottom" w:hRule="exact"/>
      <w:ind w:left="2880"/>
    </w:pPr>
    <w:rPr>
      <w:rFonts w:cs="Arial"/>
      <w:sz w:val="24"/>
    </w:rPr>
  </w:style>
  <w:style w:type="paragraph" w:styleId="LargeHeader">
    <w:name w:val="Large Header"/>
    <w:basedOn w:val="Normal"/>
    <w:next w:val="Normal"/>
    <w:rsid w:val="00CB5DEB"/>
    <w:pPr>
      <w:spacing w:after="480" w:line="264" w:lineRule="auto"/>
    </w:pPr>
    <w:rPr>
      <w:sz w:val="56"/>
    </w:rPr>
  </w:style>
  <w:style w:type="paragraph" w:styleId="LargeNormal">
    <w:name w:val="Large Normal"/>
    <w:basedOn w:val="Normal"/>
    <w:rsid w:val="00CB5DEB"/>
    <w:rPr>
      <w:sz w:val="28"/>
    </w:rPr>
  </w:style>
  <w:style w:type="paragraph" w:styleId="ListBullet21">
    <w:name w:val="List Bullet 21"/>
    <w:basedOn w:val="Normal"/>
    <w:rsid w:val="00CB5DEB"/>
    <w:pPr>
      <w:spacing w:after="0"/>
    </w:pPr>
    <w:rPr>
      <w:rFonts w:cs="Arial"/>
    </w:rPr>
  </w:style>
  <w:style w:type="paragraph" w:styleId="NormalWeb">
    <w:name w:val="Normal (Web)"/>
    <w:basedOn w:val="Normal"/>
    <w:uiPriority w:val="99"/>
    <w:semiHidden/>
    <w:unhideWhenUsed/>
    <w:rsid w:val="00F806B1"/>
    <w:pPr>
      <w:spacing w:before="100" w:beforeAutospacing="1" w:after="100" w:afterAutospacing="1" w:line="240" w:lineRule="auto"/>
    </w:pPr>
    <w:rPr>
      <w:lang w:eastAsia="en-GB"/>
      <w:rFonts w:ascii="Calibri" w:cs="Calibri" w:hAnsi="Calibri" w:eastAsiaTheme="minorHAnsi"/>
      <w:szCs w:val="22"/>
    </w:rPr>
  </w:style>
  <w:style w:type="paragraph" w:styleId="ListParagraph">
    <w:name w:val="List Paragraph"/>
    <w:qFormat/>
    <w:basedOn w:val="Normal"/>
    <w:uiPriority w:val="34"/>
    <w:rsid w:val="00F806B1"/>
    <w:pPr>
      <w:ind w:left="720"/>
      <w:spacing w:after="0" w:line="240" w:lineRule="auto"/>
    </w:pPr>
    <w:rPr>
      <w:rFonts w:ascii="Calibri" w:cs="Calibri" w:hAnsi="Calibri" w:eastAsiaTheme="minorHAnsi"/>
      <w:szCs w:val="22"/>
    </w:rPr>
  </w:style>
  <w:style w:type="paragraph" w:styleId="legclearfix">
    <w:name w:val="legclearfix"/>
    <w:basedOn w:val="Normal"/>
    <w:rsid w:val="006A1F4C"/>
    <w:pPr>
      <w:spacing w:before="100" w:beforeAutospacing="1" w:after="100" w:afterAutospacing="1" w:line="240" w:lineRule="auto"/>
    </w:pPr>
    <w:rPr>
      <w:lang w:eastAsia="en-GB"/>
      <w:rFonts w:ascii="Times New Roman" w:hAnsi="Times New Roman"/>
      <w:sz w:val="24"/>
    </w:rPr>
  </w:style>
  <w:style w:type="character" w:styleId="legaddition">
    <w:name w:val="legaddition"/>
    <w:basedOn w:val="DefaultParagraphFont"/>
    <w:rsid w:val="006A1F4C"/>
  </w:style>
  <w:style w:type="paragraph" w:styleId="BalloonText">
    <w:name w:val="Balloon Text"/>
    <w:basedOn w:val="Normal"/>
    <w:link w:val="BalloonTextChar"/>
    <w:uiPriority w:val="99"/>
    <w:semiHidden/>
    <w:unhideWhenUsed/>
    <w:rsid w:val="00EF23A8"/>
    <w:pPr>
      <w:spacing w:after="0" w:line="240" w:lineRule="auto"/>
    </w:pPr>
    <w:rPr>
      <w:rFonts w:ascii="Segoe UI" w:cs="Segoe UI" w:hAnsi="Segoe UI"/>
      <w:sz w:val="18"/>
      <w:szCs w:val="18"/>
    </w:rPr>
  </w:style>
  <w:style w:type="character" w:styleId="BalloonTextChar">
    <w:name w:val="Balloon Text Char"/>
    <w:basedOn w:val="DefaultParagraphFont"/>
    <w:link w:val="BalloonText"/>
    <w:uiPriority w:val="99"/>
    <w:semiHidden/>
    <w:rsid w:val="00EF23A8"/>
    <w:rPr>
      <w:lang w:eastAsia="en-US"/>
      <w:rFonts w:ascii="Segoe UI" w:cs="Segoe UI" w:hAnsi="Segoe UI"/>
      <w:sz w:val="18"/>
      <w:szCs w:val="18"/>
    </w:rPr>
  </w:style>
  <w:style w:type="character" w:styleId="Emphasis">
    <w:name w:val="Emphasis"/>
    <w:qFormat/>
    <w:basedOn w:val="DefaultParagraphFont"/>
    <w:uiPriority w:val="20"/>
    <w:rsid w:val="004D319F"/>
    <w:rPr>
      <w:iCs/>
      <w:i/>
    </w:rPr>
  </w:style>
  <w:style w:type="character" w:styleId="legds">
    <w:name w:val="legds"/>
    <w:basedOn w:val="DefaultParagraphFont"/>
    <w:rsid w:val="00DC169C"/>
  </w:style>
  <w:style w:type="character" w:styleId="FooterChar">
    <w:name w:val="Footer Char"/>
    <w:basedOn w:val="DefaultParagraphFont"/>
    <w:link w:val="Footer"/>
    <w:uiPriority w:val="99"/>
    <w:rsid w:val="0047486C"/>
    <w:rPr>
      <w:lang w:eastAsia="en-US"/>
      <w:rFonts w:ascii="Arial" w:hAnsi="Arial"/>
      <w:sz w:val="18"/>
      <w:szCs w:val="24"/>
    </w:rPr>
  </w:style>
  <w:style w:type="table" w:styleId="TableGrid">
    <w:name w:val="Table Grid"/>
    <w:basedOn w:val="TableNormal"/>
    <w:tblPr>
      <w:tblBorders>
        <w:top w:val="single" w:sz="4" w:color="auto" w:space="0"/>
        <w:bottom w:val="single" w:sz="4" w:color="auto" w:space="0"/>
        <w:left w:val="single" w:sz="4" w:color="auto" w:space="0"/>
        <w:right w:val="single" w:sz="4" w:color="auto" w:space="0"/>
        <w:insideH w:val="single" w:sz="4" w:color="auto" w:space="0"/>
        <w:insideV w:val="single" w:sz="4" w:color="auto" w:space="0"/>
      </w:tblBorders>
    </w:tblPr>
    <w:uiPriority w:val="59"/>
    <w:rsid w:val="0082385E"/>
    <w:tblInd w:w="0" w:type="nil"/>
  </w:style>
  <w:style w:type="paragraph" w:styleId="subpara1">
    <w:name w:val="subpara1"/>
    <w:basedOn w:val="Normal"/>
    <w:rsid w:val="00113CA2"/>
    <w:pPr>
      <w:spacing w:before="100" w:beforeAutospacing="1" w:after="100" w:afterAutospacing="1" w:line="240" w:lineRule="auto"/>
    </w:pPr>
    <w:rPr>
      <w:lang w:eastAsia="en-GB"/>
      <w:rFonts w:ascii="Times New Roman" w:hAnsi="Times New Roman"/>
      <w:sz w:val="24"/>
    </w:rPr>
  </w:style>
  <w:style w:type="character" w:styleId="xrefout">
    <w:name w:val="xrefout"/>
    <w:basedOn w:val="DefaultParagraphFont"/>
    <w:rsid w:val="000861BF"/>
  </w:style>
  <w:style w:type="character" w:styleId="Heading4Char">
    <w:name w:val="Heading 4 Char"/>
    <w:basedOn w:val="DefaultParagraphFont"/>
    <w:link w:val="Heading4"/>
    <w:uiPriority w:val="9"/>
    <w:rsid w:val="00082BBB"/>
    <w:rPr>
      <w:bCs/>
      <w:b/>
      <w:sz w:val="24"/>
      <w:szCs w:val="24"/>
    </w:rPr>
  </w:style>
  <w:style w:type="paragraph" w:styleId="legrhs">
    <w:name w:val="legrhs"/>
    <w:basedOn w:val="Normal"/>
    <w:rsid w:val="00082BBB"/>
    <w:pPr>
      <w:spacing w:before="100" w:beforeAutospacing="1" w:after="100" w:afterAutospacing="1" w:line="240" w:lineRule="auto"/>
    </w:pPr>
    <w:rPr>
      <w:lang w:eastAsia="en-GB"/>
      <w:rFonts w:ascii="Times New Roman" w:hAnsi="Times New Roman"/>
      <w:sz w:val="24"/>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581437">
      <w:bodyDiv w:val="1"/>
      <w:marLeft w:val="0"/>
      <w:marRight w:val="0"/>
      <w:marTop w:val="0"/>
      <w:marBottom w:val="0"/>
      <w:divBdr>
        <w:top w:val="none" w:sz="0" w:space="0" w:color="auto"/>
        <w:left w:val="none" w:sz="0" w:space="0" w:color="auto"/>
        <w:bottom w:val="none" w:sz="0" w:space="0" w:color="auto"/>
        <w:right w:val="none" w:sz="0" w:space="0" w:color="auto"/>
      </w:divBdr>
      <w:divsChild>
        <w:div w:id="547843975">
          <w:marLeft w:val="105"/>
          <w:marRight w:val="0"/>
          <w:marTop w:val="0"/>
          <w:marBottom w:val="0"/>
          <w:divBdr>
            <w:top w:val="none" w:sz="0" w:space="0" w:color="auto"/>
            <w:left w:val="none" w:sz="0" w:space="0" w:color="auto"/>
            <w:bottom w:val="none" w:sz="0" w:space="0" w:color="auto"/>
            <w:right w:val="none" w:sz="0" w:space="0" w:color="auto"/>
          </w:divBdr>
          <w:divsChild>
            <w:div w:id="905258484">
              <w:marLeft w:val="105"/>
              <w:marRight w:val="0"/>
              <w:marTop w:val="0"/>
              <w:marBottom w:val="0"/>
              <w:divBdr>
                <w:top w:val="none" w:sz="0" w:space="0" w:color="auto"/>
                <w:left w:val="none" w:sz="0" w:space="0" w:color="auto"/>
                <w:bottom w:val="none" w:sz="0" w:space="0" w:color="auto"/>
                <w:right w:val="none" w:sz="0" w:space="0" w:color="auto"/>
              </w:divBdr>
              <w:divsChild>
                <w:div w:id="1449009763">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2009361696">
          <w:marLeft w:val="105"/>
          <w:marRight w:val="0"/>
          <w:marTop w:val="0"/>
          <w:marBottom w:val="0"/>
          <w:divBdr>
            <w:top w:val="none" w:sz="0" w:space="0" w:color="auto"/>
            <w:left w:val="none" w:sz="0" w:space="0" w:color="auto"/>
            <w:bottom w:val="none" w:sz="0" w:space="0" w:color="auto"/>
            <w:right w:val="none" w:sz="0" w:space="0" w:color="auto"/>
          </w:divBdr>
          <w:divsChild>
            <w:div w:id="592009148">
              <w:marLeft w:val="105"/>
              <w:marRight w:val="0"/>
              <w:marTop w:val="0"/>
              <w:marBottom w:val="0"/>
              <w:divBdr>
                <w:top w:val="none" w:sz="0" w:space="0" w:color="auto"/>
                <w:left w:val="none" w:sz="0" w:space="0" w:color="auto"/>
                <w:bottom w:val="none" w:sz="0" w:space="0" w:color="auto"/>
                <w:right w:val="none" w:sz="0" w:space="0" w:color="auto"/>
              </w:divBdr>
              <w:divsChild>
                <w:div w:id="1776632527">
                  <w:marLeft w:val="105"/>
                  <w:marRight w:val="0"/>
                  <w:marTop w:val="0"/>
                  <w:marBottom w:val="0"/>
                  <w:divBdr>
                    <w:top w:val="none" w:sz="0" w:space="0" w:color="auto"/>
                    <w:left w:val="none" w:sz="0" w:space="0" w:color="auto"/>
                    <w:bottom w:val="none" w:sz="0" w:space="0" w:color="auto"/>
                    <w:right w:val="none" w:sz="0" w:space="0" w:color="auto"/>
                  </w:divBdr>
                  <w:divsChild>
                    <w:div w:id="1019310888">
                      <w:marLeft w:val="105"/>
                      <w:marRight w:val="0"/>
                      <w:marTop w:val="0"/>
                      <w:marBottom w:val="0"/>
                      <w:divBdr>
                        <w:top w:val="none" w:sz="0" w:space="0" w:color="auto"/>
                        <w:left w:val="none" w:sz="0" w:space="0" w:color="auto"/>
                        <w:bottom w:val="none" w:sz="0" w:space="0" w:color="auto"/>
                        <w:right w:val="none" w:sz="0" w:space="0" w:color="auto"/>
                      </w:divBdr>
                      <w:divsChild>
                        <w:div w:id="161698940">
                          <w:marLeft w:val="105"/>
                          <w:marRight w:val="0"/>
                          <w:marTop w:val="0"/>
                          <w:marBottom w:val="0"/>
                          <w:divBdr>
                            <w:top w:val="none" w:sz="0" w:space="0" w:color="auto"/>
                            <w:left w:val="none" w:sz="0" w:space="0" w:color="auto"/>
                            <w:bottom w:val="none" w:sz="0" w:space="0" w:color="auto"/>
                            <w:right w:val="none" w:sz="0" w:space="0" w:color="auto"/>
                          </w:divBdr>
                          <w:divsChild>
                            <w:div w:id="1102989647">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7103728">
      <w:bodyDiv w:val="1"/>
      <w:marLeft w:val="0"/>
      <w:marRight w:val="0"/>
      <w:marTop w:val="0"/>
      <w:marBottom w:val="0"/>
      <w:divBdr>
        <w:top w:val="none" w:sz="0" w:space="0" w:color="auto"/>
        <w:left w:val="none" w:sz="0" w:space="0" w:color="auto"/>
        <w:bottom w:val="none" w:sz="0" w:space="0" w:color="auto"/>
        <w:right w:val="none" w:sz="0" w:space="0" w:color="auto"/>
      </w:divBdr>
    </w:div>
    <w:div w:id="639072344">
      <w:bodyDiv w:val="1"/>
      <w:marLeft w:val="0"/>
      <w:marRight w:val="0"/>
      <w:marTop w:val="0"/>
      <w:marBottom w:val="0"/>
      <w:divBdr>
        <w:top w:val="none" w:sz="0" w:space="0" w:color="auto"/>
        <w:left w:val="none" w:sz="0" w:space="0" w:color="auto"/>
        <w:bottom w:val="none" w:sz="0" w:space="0" w:color="auto"/>
        <w:right w:val="none" w:sz="0" w:space="0" w:color="auto"/>
      </w:divBdr>
    </w:div>
    <w:div w:id="742145121">
      <w:bodyDiv w:val="1"/>
      <w:marLeft w:val="0"/>
      <w:marRight w:val="0"/>
      <w:marTop w:val="0"/>
      <w:marBottom w:val="0"/>
      <w:divBdr>
        <w:top w:val="none" w:sz="0" w:space="0" w:color="auto"/>
        <w:left w:val="none" w:sz="0" w:space="0" w:color="auto"/>
        <w:bottom w:val="none" w:sz="0" w:space="0" w:color="auto"/>
        <w:right w:val="none" w:sz="0" w:space="0" w:color="auto"/>
      </w:divBdr>
    </w:div>
    <w:div w:id="1091193682">
      <w:bodyDiv w:val="1"/>
      <w:marLeft w:val="0"/>
      <w:marRight w:val="0"/>
      <w:marTop w:val="0"/>
      <w:marBottom w:val="0"/>
      <w:divBdr>
        <w:top w:val="none" w:sz="0" w:space="0" w:color="auto"/>
        <w:left w:val="none" w:sz="0" w:space="0" w:color="auto"/>
        <w:bottom w:val="none" w:sz="0" w:space="0" w:color="auto"/>
        <w:right w:val="none" w:sz="0" w:space="0" w:color="auto"/>
      </w:divBdr>
    </w:div>
    <w:div w:id="1135563081">
      <w:bodyDiv w:val="1"/>
      <w:marLeft w:val="0"/>
      <w:marRight w:val="0"/>
      <w:marTop w:val="0"/>
      <w:marBottom w:val="0"/>
      <w:divBdr>
        <w:top w:val="none" w:sz="0" w:space="0" w:color="auto"/>
        <w:left w:val="none" w:sz="0" w:space="0" w:color="auto"/>
        <w:bottom w:val="none" w:sz="0" w:space="0" w:color="auto"/>
        <w:right w:val="none" w:sz="0" w:space="0" w:color="auto"/>
      </w:divBdr>
    </w:div>
    <w:div w:id="1138379191">
      <w:bodyDiv w:val="1"/>
      <w:marLeft w:val="0"/>
      <w:marRight w:val="0"/>
      <w:marTop w:val="0"/>
      <w:marBottom w:val="0"/>
      <w:divBdr>
        <w:top w:val="none" w:sz="0" w:space="0" w:color="auto"/>
        <w:left w:val="none" w:sz="0" w:space="0" w:color="auto"/>
        <w:bottom w:val="none" w:sz="0" w:space="0" w:color="auto"/>
        <w:right w:val="none" w:sz="0" w:space="0" w:color="auto"/>
      </w:divBdr>
    </w:div>
    <w:div w:id="1191337947">
      <w:bodyDiv w:val="1"/>
      <w:marLeft w:val="0"/>
      <w:marRight w:val="0"/>
      <w:marTop w:val="0"/>
      <w:marBottom w:val="0"/>
      <w:divBdr>
        <w:top w:val="none" w:sz="0" w:space="0" w:color="auto"/>
        <w:left w:val="none" w:sz="0" w:space="0" w:color="auto"/>
        <w:bottom w:val="none" w:sz="0" w:space="0" w:color="auto"/>
        <w:right w:val="none" w:sz="0" w:space="0" w:color="auto"/>
      </w:divBdr>
    </w:div>
    <w:div w:id="1289891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handbook.fca.org.uk/handbook/glossary/G3184.html" TargetMode="External"/><Relationship Id="rId18" Type="http://schemas.openxmlformats.org/officeDocument/2006/relationships/hyperlink" Target="https://www.handbook.fca.org.uk/handbook/glossary/G3159.html" TargetMode="External"/><Relationship Id="rId26" Type="http://schemas.openxmlformats.org/officeDocument/2006/relationships/customXml" Target="../customXml/item4.xml"/><Relationship Id="rId3" Type="http://schemas.openxmlformats.org/officeDocument/2006/relationships/customXml" Target="../customXml/item3.xml"/><Relationship Id="rId21" Type="http://schemas.openxmlformats.org/officeDocument/2006/relationships/hyperlink" Target="https://www.handbook.fca.org.uk/handbook/PERG/2/7.html" TargetMode="External"/><Relationship Id="rId7" Type="http://schemas.openxmlformats.org/officeDocument/2006/relationships/webSettings" Target="webSettings.xml"/><Relationship Id="rId12" Type="http://schemas.openxmlformats.org/officeDocument/2006/relationships/hyperlink" Target="https://www.handbook.fca.org.uk/handbook/glossary/G3159.html" TargetMode="External"/><Relationship Id="rId17" Type="http://schemas.openxmlformats.org/officeDocument/2006/relationships/hyperlink" Target="https://www.handbook.fca.org.uk/handbook/glossary/G3184.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handbook.fca.org.uk/handbook/glossary/G3184.html" TargetMode="External"/><Relationship Id="rId20" Type="http://schemas.openxmlformats.org/officeDocument/2006/relationships/hyperlink" Target="https://www.handbook.fca.org.uk/handbook/glossary/G3163.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egislation.gov.uk/uksi/2014/366"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handbook.fca.org.uk/handbook/glossary/G1321.html" TargetMode="External"/><Relationship Id="rId23" Type="http://schemas.openxmlformats.org/officeDocument/2006/relationships/footer" Target="footer1.xml"/><Relationship Id="rId10" Type="http://schemas.openxmlformats.org/officeDocument/2006/relationships/hyperlink" Target="https://www.handbook.fca.org.uk/handbook/glossary/G3159.html" TargetMode="External"/><Relationship Id="rId19" Type="http://schemas.openxmlformats.org/officeDocument/2006/relationships/hyperlink" Target="https://www.handbook.fca.org.uk/handbook/glossary/G3159.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handbook.fca.org.uk/handbook/glossary/G3159.html" TargetMode="External"/><Relationship Id="rId22" Type="http://schemas.openxmlformats.org/officeDocument/2006/relationships/hyperlink" Target="https://www.handbook.fca.org.uk/handbook/glossary/G1321.html" TargetMode="External"/><Relationship Id="Rcc0f50e3168d4d91" Type="http://schemas.openxmlformats.org/officeDocument/2006/relationships/glossaryDocument" Target="glossary/document.xm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c53e06f-4eaa-41a4-95bf-af4045af587d}"/>
      </w:docPartPr>
      <w:docPartBody>
        <w:p w14:paraId="7BD277EE">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5a7afdb188b450a8ef2cb924f4de416 xmlns="12ee97e6-1679-489f-91fd-f970f4f978a4">
      <Terms xmlns="http://schemas.microsoft.com/office/infopath/2007/PartnerControls"/>
    </p5a7afdb188b450a8ef2cb924f4de416>
    <b91e79f8b634474f8a56f3c1a67ed353 xmlns="12ee97e6-1679-489f-91fd-f970f4f978a4">
      <Terms xmlns="http://schemas.microsoft.com/office/infopath/2007/PartnerControls">
        <TermInfo xmlns="http://schemas.microsoft.com/office/infopath/2007/PartnerControls">
          <TermName xmlns="http://schemas.microsoft.com/office/infopath/2007/PartnerControls">National Contracts</TermName>
          <TermId xmlns="http://schemas.microsoft.com/office/infopath/2007/PartnerControls">12499387-1e80-4ae3-97df-772d3e8aaab2</TermId>
        </TermInfo>
      </Terms>
    </b91e79f8b634474f8a56f3c1a67ed353>
    <Sensitivity_x0020_Level xmlns="12ee97e6-1679-489f-91fd-f970f4f978a4">Not sensitive</Sensitivity_x0020_Level>
    <Retention_x0020_Rule xmlns="12ee97e6-1679-489f-91fd-f970f4f978a4">7 years</Retention_x0020_Rule>
    <Retention_x0020_value xmlns="12ee97e6-1679-489f-91fd-f970f4f978a4" xsi:nil="true"/>
    <TaxCatchAll xmlns="12ee97e6-1679-489f-91fd-f970f4f978a4">
      <Value>34</Value>
    </TaxCatchAll>
  </documentManagement>
</p:properties>
</file>

<file path=customXml/item3.xml><?xml version="1.0" encoding="utf-8"?>
<ct:contentTypeSchema xmlns:ct="http://schemas.microsoft.com/office/2006/metadata/contentType" xmlns:ma="http://schemas.microsoft.com/office/2006/metadata/properties/metaAttributes" ct:_="" ma:_="" ma:contentTypeName="Word Document" ma:contentTypeID="0x010100698C55C253238848BDB371B0232FBFE1005F66DDC3A95CB94E8450CB333E6E110400781186E85867754CBD21919C5BB8D8DD" ma:contentTypeVersion="50" ma:contentTypeDescription="" ma:contentTypeScope="" ma:versionID="282505f7df259849b1f275a44f476589">
  <xsd:schema xmlns:xsd="http://www.w3.org/2001/XMLSchema" xmlns:xs="http://www.w3.org/2001/XMLSchema" xmlns:p="http://schemas.microsoft.com/office/2006/metadata/properties" xmlns:ns2="12ee97e6-1679-489f-91fd-f970f4f978a4" xmlns:ns3="bc67af21-eae6-44b9-8fd2-9e39f5ecd9e4" xmlns:ns4="3ab2b40b-5cb8-4517-ad55-dd437ad3a67d" targetNamespace="http://schemas.microsoft.com/office/2006/metadata/properties" ma:root="true" ma:fieldsID="3002b1b7f7d6f72990a6f56fdedb7eb5" ns2:_="" ns3:_="" ns4:_="">
    <xsd:import namespace="12ee97e6-1679-489f-91fd-f970f4f978a4"/>
    <xsd:import namespace="bc67af21-eae6-44b9-8fd2-9e39f5ecd9e4"/>
    <xsd:import namespace="3ab2b40b-5cb8-4517-ad55-dd437ad3a67d"/>
    <xsd:element name="properties">
      <xsd:complexType>
        <xsd:sequence>
          <xsd:element name="documentManagement">
            <xsd:complexType>
              <xsd:all>
                <xsd:element ref="ns2:b91e79f8b634474f8a56f3c1a67ed353" minOccurs="0"/>
                <xsd:element ref="ns2:TaxCatchAll" minOccurs="0"/>
                <xsd:element ref="ns2:TaxCatchAllLabel" minOccurs="0"/>
                <xsd:element ref="ns2:Sensitivity_x0020_Level" minOccurs="0"/>
                <xsd:element ref="ns2:Retention_x0020_Rule" minOccurs="0"/>
                <xsd:element ref="ns2:p5a7afdb188b450a8ef2cb924f4de416" minOccurs="0"/>
                <xsd:element ref="ns2:Retention_x0020_value" minOccurs="0"/>
                <xsd:element ref="ns3:MediaServiceMetadata" minOccurs="0"/>
                <xsd:element ref="ns3:MediaServiceFastMetadata" minOccurs="0"/>
                <xsd:element ref="ns3:MediaServiceLocation" minOccurs="0"/>
                <xsd:element ref="ns4:SharedWithUsers" minOccurs="0"/>
                <xsd:element ref="ns4:SharedWithDetail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ee97e6-1679-489f-91fd-f970f4f978a4" elementFormDefault="qualified">
    <xsd:import namespace="http://schemas.microsoft.com/office/2006/documentManagement/types"/>
    <xsd:import namespace="http://schemas.microsoft.com/office/infopath/2007/PartnerControls"/>
    <xsd:element name="b91e79f8b634474f8a56f3c1a67ed353" ma:index="8" nillable="true" ma:taxonomy="true" ma:internalName="b91e79f8b634474f8a56f3c1a67ed353" ma:taxonomyFieldName="Shelter_x0020_Division" ma:displayName="Shelter Directorate" ma:default="" ma:fieldId="{b91e79f8-b634-474f-8a56-f3c1a67ed353}" ma:sspId="2f29b7ba-3ce4-4ca7-981f-8b267a953af3" ma:termSetId="4f8e7152-0182-4789-b915-7f1b7838bc32"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5dec323f-1aa0-4480-8248-9afdd831a5fd}" ma:internalName="TaxCatchAll" ma:showField="CatchAllData" ma:web="910bcd40-0090-4ab5-91b7-b077f0430a2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dec323f-1aa0-4480-8248-9afdd831a5fd}" ma:internalName="TaxCatchAllLabel" ma:readOnly="true" ma:showField="CatchAllDataLabel" ma:web="910bcd40-0090-4ab5-91b7-b077f0430a21">
      <xsd:complexType>
        <xsd:complexContent>
          <xsd:extension base="dms:MultiChoiceLookup">
            <xsd:sequence>
              <xsd:element name="Value" type="dms:Lookup" maxOccurs="unbounded" minOccurs="0" nillable="true"/>
            </xsd:sequence>
          </xsd:extension>
        </xsd:complexContent>
      </xsd:complexType>
    </xsd:element>
    <xsd:element name="Sensitivity_x0020_Level" ma:index="12" nillable="true" ma:displayName="Sensitivity Level" ma:default="Not sensitive" ma:description="Data classification" ma:format="Dropdown" ma:indexed="true" ma:internalName="Sensitivity_x0020_Level">
      <xsd:simpleType>
        <xsd:restriction base="dms:Choice">
          <xsd:enumeration value="Not sensitive"/>
          <xsd:enumeration value="Confidential"/>
          <xsd:enumeration value="Personal"/>
          <xsd:enumeration value="Confidential and Personal"/>
        </xsd:restriction>
      </xsd:simpleType>
    </xsd:element>
    <xsd:element name="Retention_x0020_Rule" ma:index="13" nillable="true" ma:displayName="Retention Rule" ma:default="7 years" ma:format="Dropdown" ma:hidden="true" ma:internalName="Retention_x0020_Rule" ma:readOnly="false">
      <xsd:simpleType>
        <xsd:restriction base="dms:Choice">
          <xsd:enumeration value="6 months"/>
          <xsd:enumeration value="12 months"/>
          <xsd:enumeration value="2 years"/>
          <xsd:enumeration value="3 years"/>
          <xsd:enumeration value="4 years"/>
          <xsd:enumeration value="5 years"/>
          <xsd:enumeration value="6 years"/>
          <xsd:enumeration value="7 years"/>
          <xsd:enumeration value="8 years"/>
          <xsd:enumeration value="9 years"/>
          <xsd:enumeration value="13 years"/>
          <xsd:enumeration value="25 years"/>
          <xsd:enumeration value="40 years"/>
        </xsd:restriction>
      </xsd:simpleType>
    </xsd:element>
    <xsd:element name="p5a7afdb188b450a8ef2cb924f4de416" ma:index="14" nillable="true" ma:taxonomy="true" ma:internalName="p5a7afdb188b450a8ef2cb924f4de416" ma:taxonomyFieldName="Retention_x0020_Category" ma:displayName="Retention Category" ma:indexed="true" ma:default="" ma:fieldId="{95a7afdb-188b-450a-8ef2-cb924f4de416}" ma:sspId="2f29b7ba-3ce4-4ca7-981f-8b267a953af3" ma:termSetId="627a8c64-a5d1-4e2e-9cfa-0eff2a841804" ma:anchorId="00000000-0000-0000-0000-000000000000" ma:open="false" ma:isKeyword="false">
      <xsd:complexType>
        <xsd:sequence>
          <xsd:element ref="pc:Terms" minOccurs="0" maxOccurs="1"/>
        </xsd:sequence>
      </xsd:complexType>
    </xsd:element>
    <xsd:element name="Retention_x0020_value" ma:index="19" nillable="true" ma:displayName="Retention value" ma:description="Get the label of the Retention Category column" ma:hidden="true" ma:internalName="Retention_x0020_valu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67af21-eae6-44b9-8fd2-9e39f5ecd9e4"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Location" ma:index="23" nillable="true" ma:displayName="MediaServiceLocation" ma:internalName="MediaServiceLocation" ma:readOnly="true">
      <xsd:simpleType>
        <xsd:restriction base="dms:Text"/>
      </xsd:simpleType>
    </xsd:element>
    <xsd:element name="MediaServiceDateTaken" ma:index="26" nillable="true" ma:displayName="MediaServiceDateTaken" ma:hidden="true" ma:internalName="MediaServiceDateTaken" ma:readOnly="true">
      <xsd:simpleType>
        <xsd:restriction base="dms:Text"/>
      </xsd:simpleType>
    </xsd:element>
    <xsd:element name="MediaServiceAutoTags" ma:index="27" nillable="true" ma:displayName="MediaServiceAutoTags" ma:internalName="MediaServiceAutoTags" ma:readOnly="true">
      <xsd:simpleType>
        <xsd:restriction base="dms:Text"/>
      </xsd:simpleType>
    </xsd:element>
    <xsd:element name="MediaServiceOCR" ma:index="28" nillable="true" ma:displayName="MediaServiceOCR"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b2b40b-5cb8-4517-ad55-dd437ad3a67d" elementFormDefault="qualified">
    <xsd:import namespace="http://schemas.microsoft.com/office/2006/documentManagement/types"/>
    <xsd:import namespace="http://schemas.microsoft.com/office/infopath/2007/PartnerControls"/>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2f29b7ba-3ce4-4ca7-981f-8b267a953af3" ContentTypeId="0x010100698C55C253238848BDB371B0232FBFE1" PreviousValue="false"/>
</file>

<file path=customXml/itemProps1.xml><?xml version="1.0" encoding="utf-8"?>
<ds:datastoreItem xmlns:ds="http://schemas.openxmlformats.org/officeDocument/2006/customXml" ds:itemID="{D853FE37-F971-432F-B6C9-7AF94C5D7088}">
  <ds:schemaRefs>
    <ds:schemaRef ds:uri="http://schemas.microsoft.com/sharepoint/v3/contenttype/forms"/>
  </ds:schemaRefs>
</ds:datastoreItem>
</file>

<file path=customXml/itemProps2.xml><?xml version="1.0" encoding="utf-8"?>
<ds:datastoreItem xmlns:ds="http://schemas.openxmlformats.org/officeDocument/2006/customXml" ds:itemID="{8AB128B9-2B7C-4D8A-9A1E-C48999B89AA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B86A10-BA24-4071-8BC4-540B7569E845}"/>
</file>

<file path=customXml/itemProps4.xml><?xml version="1.0" encoding="utf-8"?>
<ds:datastoreItem xmlns:ds="http://schemas.openxmlformats.org/officeDocument/2006/customXml" ds:itemID="{B4082F16-93AE-48F9-A609-5CFCB76642F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 Walker</dc:creator>
  <cp:keywords/>
  <dc:description/>
  <cp:lastModifiedBy>Alexa Walker</cp:lastModifiedBy>
  <cp:revision>51</cp:revision>
  <cp:lastPrinted>2019-12-31T13:03:00Z</cp:lastPrinted>
  <dcterms:created xsi:type="dcterms:W3CDTF">2022-11-02T08:39:00Z</dcterms:created>
  <dcterms:modified xsi:type="dcterms:W3CDTF">2023-03-27T13:55:01Z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0x010100698C55C253238848BDB371B0232FBFE1005F66DDC3A95CB94E8450CB333E6E110400781186E85867754CBD21919C5BB8D8DD</vt:lpwstr>
  </property>
  <property fmtid="{D5CDD505-2E9C-101B-9397-08002B2CF9AE}" pid="3" name="Shelter Division">
    <vt:lpwstr>34;#National Contracts|12499387-1e80-4ae3-97df-772d3e8aaab2</vt:lpwstr>
  </property>
  <property fmtid="{D5CDD505-2E9C-101B-9397-08002B2CF9AE}" pid="4" name="Retention Category">
    <vt:lpwstr/>
  </property>
  <property fmtid="{D5CDD505-2E9C-101B-9397-08002B2CF9AE}" pid="5" name="Campaign">
    <vt:lpwstr/>
  </property>
  <property fmtid="{D5CDD505-2E9C-101B-9397-08002B2CF9AE}" pid="6" name="l3b48ff7cc884ad4b8267ea9ec65a3b3">
    <vt:lpwstr/>
  </property>
</Properties>
</file>