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尊敬的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b0007"/>
              <w:rtl w:val="0"/>
            </w:rPr>
            <w:t xml:space="preserve">【领导】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：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您好！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我是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b0007"/>
              <w:rtl w:val="0"/>
            </w:rPr>
            <w:t xml:space="preserve">【您的个人信息】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，希望得到您的批准参加2025年4月22至24日在曼谷举行的</w:t>
          </w:r>
        </w:sdtContent>
      </w:sdt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Money20/20亚洲金融科技峰会</w:t>
        </w:r>
      </w:hyperlink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。这次活动机会宝贵，对我们在亚洲及全球市场的业务发展有很大帮助。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该活动是亚太地区最有影响力的金融系统峰会，有助于我们联络周边国家知名企业，发展商务合作。我们有机会一次接触到银行、支付、科技、零售、金融科技和金融服务等行业领导乃至政界人物，有助于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b0007"/>
              <w:rtl w:val="0"/>
            </w:rPr>
            <w:t xml:space="preserve">【您的企业当前在提升绩效，发展客户，建立合作等方面的项目】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。这场活动也吸引了一批业内同行，我们参会能有效避免产生信息差。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Money20/20亚洲峰会对我们的帮助：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left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促成签约：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活动三分之一的参会者为高管，为我们创造直接联系决策层，达成商务合作的机会。2024年参会的中国企业包括支付平台连连国际，他们的总经理上午九点半在会场签下了一份合同。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建立合作：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该活动是联络行业领袖和新星的优势平台，有利于我们建立新的商务合作，创造融资机会。我们有机会一站式和不同合作方交流，节约联络成本，打造我们顺应“走出去”号召的企业面貌。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提升形象：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我们能够在业内巨头面前展示公司名片，和对我们有真正助益的人物面对面交流。50%的参会者职位不低于副总裁级别，有利于牵头高效高质会面。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实现突破：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活动聚集世界顶级的业内专业人士，去年的主讲人包括滴灌通创始人和泰国银行的助理总监。嘉宾发言环节的前沿视角有助于我们把握全球金融领域潮流，占领行业先机。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2024年Money20/20亚洲峰会数据概览：</w:t>
          </w:r>
        </w:sdtContent>
      </w:sdt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超3000人参加</w:t>
            <w:tab/>
            <w:tab/>
            <w:tab/>
            <w:tab/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b004f"/>
          <w:rtl w:val="0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1000余名高管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  <w:color w:val="0a0a0a"/>
        </w:rPr>
      </w:pPr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1500余名副总裁及以上参会者</w:t>
            <w:tab/>
            <w:tab/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b004f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a0a0a"/>
              <w:rtl w:val="0"/>
            </w:rPr>
            <w:t xml:space="preserve">1100余家领军企业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超120家赞助商</w:t>
            <w:tab/>
            <w:tab/>
            <w:tab/>
            <w:tab/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来自85个国家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300余名发言专家</w:t>
            <w:tab/>
            <w:tab/>
            <w:tab/>
            <w:tab/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fb004f"/>
          <w:rtl w:val="0"/>
        </w:rPr>
        <w:t xml:space="preserve">/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超200家媒体参会</w:t>
          </w:r>
        </w:sdtContent>
      </w:sdt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2025年1月10日前购票每人可省1175美元，团体票优惠力度更大（低至75折）。若能代表公司参会，我将及时向公司汇报峰会关键要点、潜在机遇及对公司当前业务和未来规划有利的相关信息。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感谢您考虑这次机会，望您批准，谢谢！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0" w:line="360" w:lineRule="auto"/>
        <w:ind w:left="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b0007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b0007"/>
              <w:highlight w:val="white"/>
              <w:rtl w:val="0"/>
            </w:rPr>
            <w:t xml:space="preserve">【您的落款】</w:t>
          </w:r>
        </w:sdtContent>
      </w:sdt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3"/>
      <w:szCs w:val="23"/>
    </w:rPr>
  </w:style>
  <w:style w:type="character" w:styleId="Hyperlink.1">
    <w:name w:val="Hyperlink.1"/>
    <w:basedOn w:val="None"/>
    <w:next w:val="Hyperlink.1"/>
    <w:rPr>
      <w:rFonts w:ascii="Arial" w:cs="Arial" w:eastAsia="Arial" w:hAnsi="Arial"/>
      <w:b w:val="1"/>
      <w:bCs w:val="1"/>
      <w:outline w:val="0"/>
      <w:color w:val="1155cc"/>
      <w:sz w:val="23"/>
      <w:szCs w:val="23"/>
      <w:u w:color="1155cc" w:val="single"/>
      <w14:textFill>
        <w14:solidFill>
          <w14:srgbClr w14:val="1155CC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character" w:styleId="Hyperlink.2">
    <w:name w:val="Hyperlink.2"/>
    <w:basedOn w:val="None"/>
    <w:next w:val="Hyperlink.2"/>
    <w:rPr>
      <w:outline w:val="0"/>
      <w:color w:val="0a0a0a"/>
      <w:sz w:val="23"/>
      <w:szCs w:val="23"/>
      <w:u w:color="0a0a0a"/>
      <w:shd w:color="auto" w:fill="ffffff" w:val="clear"/>
      <w14:textFill>
        <w14:solidFill>
          <w14:srgbClr w14:val="0A0A0A"/>
        </w14:solidFill>
      </w14:textFill>
    </w:rPr>
  </w:style>
  <w:style w:type="character" w:styleId="Hyperlink.3">
    <w:name w:val="Hyperlink.3"/>
    <w:basedOn w:val="None"/>
    <w:next w:val="Hyperlink.3"/>
    <w:rPr>
      <w:rFonts w:ascii="Arial" w:cs="Arial" w:eastAsia="Arial" w:hAnsi="Arial"/>
      <w:b w:val="1"/>
      <w:bCs w:val="1"/>
      <w:sz w:val="23"/>
      <w:szCs w:val="23"/>
      <w:u w:val="single"/>
      <w:shd w:color="auto" w:fill="ffffff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ia.money2020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oJUKPWMmWDecidqcILAavQQ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zgAciExWVJnYV9TeXplWVVaLTdLcGNubnhGS3dzc1hwSnowb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