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687F" w14:textId="7959E9D3" w:rsidR="004A7B4A" w:rsidRPr="009859DE" w:rsidRDefault="07957E14" w:rsidP="009859DE">
      <w:pPr>
        <w:pStyle w:val="Heading1"/>
        <w:rPr>
          <w:sz w:val="32"/>
          <w:szCs w:val="32"/>
          <w:lang w:val="is-IS"/>
        </w:rPr>
      </w:pPr>
      <w:r w:rsidRPr="00C6682D">
        <w:rPr>
          <w:sz w:val="32"/>
          <w:szCs w:val="32"/>
          <w:lang w:val="is-IS"/>
        </w:rPr>
        <w:t xml:space="preserve">Leiðbeiningar um </w:t>
      </w:r>
      <w:r w:rsidR="47532DE3" w:rsidRPr="00C6682D">
        <w:rPr>
          <w:sz w:val="32"/>
          <w:szCs w:val="32"/>
          <w:lang w:val="is-IS"/>
        </w:rPr>
        <w:t>v</w:t>
      </w:r>
      <w:r w:rsidR="00A23741" w:rsidRPr="00C6682D">
        <w:rPr>
          <w:sz w:val="32"/>
          <w:szCs w:val="32"/>
          <w:lang w:val="is-IS"/>
        </w:rPr>
        <w:t>erndun augna</w:t>
      </w:r>
      <w:r w:rsidR="47532DE3" w:rsidRPr="00C6682D">
        <w:rPr>
          <w:sz w:val="32"/>
          <w:szCs w:val="32"/>
          <w:lang w:val="is-IS"/>
        </w:rPr>
        <w:t xml:space="preserve"> þegar fylgst er með sólmyrkva</w:t>
      </w:r>
    </w:p>
    <w:p w14:paraId="2D979AE8" w14:textId="40C279B4" w:rsidR="00977E8E" w:rsidRDefault="00977E8E" w:rsidP="00E80F13">
      <w:pPr>
        <w:spacing w:line="276" w:lineRule="auto"/>
        <w:jc w:val="both"/>
        <w:rPr>
          <w:rFonts w:ascii="Segoe UI" w:eastAsia="Segoe UI" w:hAnsi="Segoe UI" w:cs="Segoe UI"/>
          <w:sz w:val="22"/>
          <w:szCs w:val="22"/>
          <w:lang w:val="is-IS"/>
        </w:rPr>
      </w:pPr>
      <w:r>
        <w:rPr>
          <w:rFonts w:ascii="Segoe UI" w:eastAsia="Segoe UI" w:hAnsi="Segoe UI" w:cs="Segoe UI"/>
          <w:sz w:val="22"/>
          <w:szCs w:val="22"/>
          <w:lang w:val="is-IS"/>
        </w:rPr>
        <w:t xml:space="preserve">Sjónhimnan getur orðið fyrir varanlegum skaða </w:t>
      </w:r>
      <w:r w:rsidR="00E76112">
        <w:rPr>
          <w:rFonts w:ascii="Segoe UI" w:eastAsia="Segoe UI" w:hAnsi="Segoe UI" w:cs="Segoe UI"/>
          <w:sz w:val="22"/>
          <w:szCs w:val="22"/>
          <w:lang w:val="is-IS"/>
        </w:rPr>
        <w:t>á nokkrum sekúndum, ef horft er beint í sólina</w:t>
      </w:r>
      <w:r>
        <w:rPr>
          <w:rFonts w:ascii="Segoe UI" w:eastAsia="Segoe UI" w:hAnsi="Segoe UI" w:cs="Segoe UI"/>
          <w:sz w:val="22"/>
          <w:szCs w:val="22"/>
          <w:lang w:val="is-IS"/>
        </w:rPr>
        <w:t>.</w:t>
      </w:r>
      <w:r w:rsidR="00E76112">
        <w:rPr>
          <w:rFonts w:ascii="Segoe UI" w:eastAsia="Segoe UI" w:hAnsi="Segoe UI" w:cs="Segoe UI"/>
          <w:sz w:val="22"/>
          <w:szCs w:val="22"/>
          <w:lang w:val="is-IS"/>
        </w:rPr>
        <w:t xml:space="preserve"> Einkenni geta komið fram nokkrum klukkustundum síðar, sem minnkuð sjón, blindur blettur eða blinda.</w:t>
      </w:r>
    </w:p>
    <w:p w14:paraId="5E51B8D3" w14:textId="0F8D23E1" w:rsidR="47532DE3" w:rsidRDefault="47532DE3" w:rsidP="00E80F13">
      <w:pPr>
        <w:spacing w:before="210" w:after="210" w:line="276" w:lineRule="auto"/>
        <w:jc w:val="both"/>
        <w:rPr>
          <w:rFonts w:ascii="Segoe UI" w:eastAsia="Segoe UI" w:hAnsi="Segoe UI" w:cs="Segoe UI"/>
          <w:sz w:val="22"/>
          <w:szCs w:val="22"/>
          <w:lang w:val="is-IS"/>
        </w:rPr>
      </w:pPr>
      <w:r w:rsidRPr="18C90CE1">
        <w:rPr>
          <w:rFonts w:ascii="Segoe UI" w:eastAsia="Segoe UI" w:hAnsi="Segoe UI" w:cs="Segoe UI"/>
          <w:sz w:val="22"/>
          <w:szCs w:val="22"/>
          <w:lang w:val="is-IS"/>
        </w:rPr>
        <w:t>Leiðbeiningar</w:t>
      </w:r>
      <w:r w:rsidR="302A1E79"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um </w:t>
      </w:r>
      <w:r w:rsidR="2945C716" w:rsidRPr="18C90CE1">
        <w:rPr>
          <w:rFonts w:ascii="Segoe UI" w:eastAsia="Segoe UI" w:hAnsi="Segoe UI" w:cs="Segoe UI"/>
          <w:sz w:val="22"/>
          <w:szCs w:val="22"/>
          <w:lang w:val="is-IS"/>
        </w:rPr>
        <w:t>v</w:t>
      </w:r>
      <w:r w:rsidR="00A23741">
        <w:rPr>
          <w:rFonts w:ascii="Segoe UI" w:eastAsia="Segoe UI" w:hAnsi="Segoe UI" w:cs="Segoe UI"/>
          <w:sz w:val="22"/>
          <w:szCs w:val="22"/>
          <w:lang w:val="is-IS"/>
        </w:rPr>
        <w:t>örn fyrir augu</w:t>
      </w:r>
      <w:r w:rsidR="2945C716"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</w:t>
      </w:r>
      <w:r w:rsidR="541A8AAC" w:rsidRPr="18C90CE1">
        <w:rPr>
          <w:rFonts w:ascii="Segoe UI" w:eastAsia="Segoe UI" w:hAnsi="Segoe UI" w:cs="Segoe UI"/>
          <w:sz w:val="22"/>
          <w:szCs w:val="22"/>
          <w:lang w:val="is-IS"/>
        </w:rPr>
        <w:t>þegar fylgst er með</w:t>
      </w:r>
      <w:r w:rsidR="2945C716"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sólmyrkva</w:t>
      </w:r>
      <w:r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byggja á reglugerð </w:t>
      </w:r>
      <w:r w:rsidR="14FDCE67" w:rsidRPr="18C90CE1">
        <w:rPr>
          <w:rFonts w:ascii="Segoe UI" w:eastAsia="Segoe UI" w:hAnsi="Segoe UI" w:cs="Segoe UI"/>
          <w:sz w:val="22"/>
          <w:szCs w:val="22"/>
          <w:lang w:val="is-IS"/>
        </w:rPr>
        <w:t>Evrópusambandsins (ESB)</w:t>
      </w:r>
      <w:r w:rsidR="1A3AB62C"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2016/425 um persónuhlífar</w:t>
      </w:r>
      <w:r w:rsidR="21DBD276"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, sem hefur verið tekin </w:t>
      </w:r>
      <w:r w:rsidR="3C891E3B" w:rsidRPr="18C90CE1">
        <w:rPr>
          <w:rFonts w:ascii="Segoe UI" w:eastAsia="Segoe UI" w:hAnsi="Segoe UI" w:cs="Segoe UI"/>
          <w:sz w:val="22"/>
          <w:szCs w:val="22"/>
          <w:lang w:val="is-IS"/>
        </w:rPr>
        <w:t>inn</w:t>
      </w:r>
      <w:r w:rsidR="21DBD276"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í EES-samninginn og gildi</w:t>
      </w:r>
      <w:r w:rsidR="220BE336" w:rsidRPr="18C90CE1">
        <w:rPr>
          <w:rFonts w:ascii="Segoe UI" w:eastAsia="Segoe UI" w:hAnsi="Segoe UI" w:cs="Segoe UI"/>
          <w:sz w:val="22"/>
          <w:szCs w:val="22"/>
          <w:lang w:val="is-IS"/>
        </w:rPr>
        <w:t>r því</w:t>
      </w:r>
      <w:r w:rsidR="21DBD276"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á Íslandi. </w:t>
      </w:r>
    </w:p>
    <w:p w14:paraId="5D5E8B5D" w14:textId="424A2C98" w:rsidR="3EBA4228" w:rsidRDefault="3EBA4228" w:rsidP="00E80F13">
      <w:pPr>
        <w:spacing w:before="210" w:after="210" w:line="276" w:lineRule="auto"/>
        <w:jc w:val="both"/>
        <w:rPr>
          <w:rFonts w:ascii="Segoe UI" w:eastAsia="Segoe UI" w:hAnsi="Segoe UI" w:cs="Segoe UI"/>
          <w:sz w:val="22"/>
          <w:szCs w:val="22"/>
          <w:lang w:val="is-IS"/>
        </w:rPr>
      </w:pPr>
      <w:r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Nauðsynlegt er að nota viðurkennd sólmyrkvagleraugu </w:t>
      </w:r>
      <w:r w:rsidR="7234F1E1"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hvort sem er </w:t>
      </w:r>
      <w:r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við </w:t>
      </w:r>
      <w:r w:rsidR="00847246">
        <w:rPr>
          <w:rFonts w:ascii="Segoe UI" w:eastAsia="Segoe UI" w:hAnsi="Segoe UI" w:cs="Segoe UI"/>
          <w:sz w:val="22"/>
          <w:szCs w:val="22"/>
          <w:lang w:val="is-IS"/>
        </w:rPr>
        <w:t>deildar</w:t>
      </w:r>
      <w:r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myrkva eða </w:t>
      </w:r>
      <w:r w:rsidR="00847246">
        <w:rPr>
          <w:rFonts w:ascii="Segoe UI" w:eastAsia="Segoe UI" w:hAnsi="Segoe UI" w:cs="Segoe UI"/>
          <w:sz w:val="22"/>
          <w:szCs w:val="22"/>
          <w:lang w:val="is-IS"/>
        </w:rPr>
        <w:t>al</w:t>
      </w:r>
      <w:r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myrkva, </w:t>
      </w:r>
      <w:r w:rsidR="00B7190A">
        <w:rPr>
          <w:rFonts w:ascii="Segoe UI" w:eastAsia="Segoe UI" w:hAnsi="Segoe UI" w:cs="Segoe UI"/>
          <w:sz w:val="22"/>
          <w:szCs w:val="22"/>
          <w:lang w:val="is-IS"/>
        </w:rPr>
        <w:t>vegna þess að</w:t>
      </w:r>
      <w:r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ekki</w:t>
      </w:r>
      <w:r w:rsidR="00B7190A">
        <w:rPr>
          <w:rFonts w:ascii="Segoe UI" w:eastAsia="Segoe UI" w:hAnsi="Segoe UI" w:cs="Segoe UI"/>
          <w:sz w:val="22"/>
          <w:szCs w:val="22"/>
          <w:lang w:val="is-IS"/>
        </w:rPr>
        <w:t xml:space="preserve"> er</w:t>
      </w:r>
      <w:r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öruggt að horfa beint á sólina án viðeigandi síu. </w:t>
      </w:r>
    </w:p>
    <w:p w14:paraId="672A6659" w14:textId="32EFCF3F" w:rsidR="00E37B85" w:rsidRDefault="381ED1F1" w:rsidP="00E80F13">
      <w:pPr>
        <w:spacing w:before="210" w:after="210" w:line="276" w:lineRule="auto"/>
        <w:jc w:val="both"/>
        <w:rPr>
          <w:rFonts w:ascii="Segoe UI" w:eastAsia="Segoe UI" w:hAnsi="Segoe UI" w:cs="Segoe UI"/>
          <w:sz w:val="22"/>
          <w:szCs w:val="22"/>
          <w:lang w:val="is-IS"/>
        </w:rPr>
      </w:pPr>
      <w:r w:rsidRPr="18C90CE1">
        <w:rPr>
          <w:rFonts w:ascii="Segoe UI" w:eastAsia="Segoe UI" w:hAnsi="Segoe UI" w:cs="Segoe UI"/>
          <w:sz w:val="22"/>
          <w:szCs w:val="22"/>
          <w:lang w:val="is-IS"/>
        </w:rPr>
        <w:t>Sólmyrkvagleraugu skulu uppfylla EN ISO 12312-2:2015 staðalinn og bera CE-merkingu sem sýnir að þau uppfylli kröfur.</w:t>
      </w:r>
      <w:r w:rsidR="1C019E15"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Þessi gleraugu eru hönnuð til að vernda augun gegn sterkri sólargeislun og eru flokkuð sem persónuhlífar.</w:t>
      </w:r>
      <w:r w:rsidR="009859DE">
        <w:rPr>
          <w:rFonts w:ascii="Segoe UI" w:eastAsia="Segoe UI" w:hAnsi="Segoe UI" w:cs="Segoe UI"/>
          <w:sz w:val="22"/>
          <w:szCs w:val="22"/>
          <w:lang w:val="is-IS"/>
        </w:rPr>
        <w:t xml:space="preserve"> </w:t>
      </w:r>
      <w:r w:rsidR="4E899FE7"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Venjuleg sólgleraugu veita ekki nægilega vernd og ætti ekki að nota þau til að horfa á sólina. Ávallt skal skoða sólmyrkvagleraugu áður en þau eru notuð og </w:t>
      </w:r>
      <w:r w:rsidR="00B7190A">
        <w:rPr>
          <w:rFonts w:ascii="Segoe UI" w:eastAsia="Segoe UI" w:hAnsi="Segoe UI" w:cs="Segoe UI"/>
          <w:sz w:val="22"/>
          <w:szCs w:val="22"/>
          <w:lang w:val="is-IS"/>
        </w:rPr>
        <w:t>ganga úr skugga um</w:t>
      </w:r>
      <w:r w:rsidR="00B7190A"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</w:t>
      </w:r>
      <w:r w:rsidR="4E899FE7" w:rsidRPr="18C90CE1">
        <w:rPr>
          <w:rFonts w:ascii="Segoe UI" w:eastAsia="Segoe UI" w:hAnsi="Segoe UI" w:cs="Segoe UI"/>
          <w:sz w:val="22"/>
          <w:szCs w:val="22"/>
          <w:lang w:val="is-IS"/>
        </w:rPr>
        <w:t>að þau séu óskemmd.</w:t>
      </w:r>
      <w:r w:rsidR="00330D10">
        <w:rPr>
          <w:rFonts w:ascii="Segoe UI" w:eastAsia="Segoe UI" w:hAnsi="Segoe UI" w:cs="Segoe UI"/>
          <w:sz w:val="22"/>
          <w:szCs w:val="22"/>
          <w:lang w:val="is-IS"/>
        </w:rPr>
        <w:t xml:space="preserve"> Sjá einnig: </w:t>
      </w:r>
      <w:hyperlink r:id="rId7" w:history="1">
        <w:r w:rsidR="00330D10" w:rsidRPr="00330D10">
          <w:rPr>
            <w:rStyle w:val="Hyperlink"/>
            <w:rFonts w:ascii="Segoe UI" w:eastAsia="Segoe UI" w:hAnsi="Segoe UI" w:cs="Segoe UI"/>
            <w:sz w:val="22"/>
            <w:szCs w:val="22"/>
            <w:lang w:val="is-IS"/>
          </w:rPr>
          <w:t>Öryggi augna - Hvernig á að fylgjast með sólmyrkva á öruggan hátt? | Sólmyrkvi 2026</w:t>
        </w:r>
      </w:hyperlink>
    </w:p>
    <w:p w14:paraId="6A38C3FE" w14:textId="77777777" w:rsidR="00E37B85" w:rsidRDefault="18C90CE1" w:rsidP="00E80F13">
      <w:pPr>
        <w:pStyle w:val="Heading2"/>
        <w:spacing w:line="276" w:lineRule="auto"/>
        <w:jc w:val="both"/>
        <w:rPr>
          <w:rFonts w:ascii="Segoe UI" w:eastAsia="Segoe UI" w:hAnsi="Segoe UI" w:cs="Segoe UI"/>
          <w:sz w:val="22"/>
          <w:szCs w:val="22"/>
          <w:lang w:val="is-IS"/>
        </w:rPr>
      </w:pPr>
      <w:r w:rsidRPr="18C90CE1">
        <w:rPr>
          <w:rFonts w:ascii="Segoe UI" w:eastAsia="Segoe UI" w:hAnsi="Segoe UI" w:cs="Segoe UI"/>
          <w:sz w:val="22"/>
          <w:szCs w:val="22"/>
          <w:lang w:val="is-IS"/>
        </w:rPr>
        <w:t>✅ Gátlisti – Sólmyrkvagleraugu</w:t>
      </w:r>
    </w:p>
    <w:p w14:paraId="0CA6871A" w14:textId="095FA10F" w:rsidR="00E37B85" w:rsidRDefault="00B7190A" w:rsidP="00E80F1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eastAsia="Segoe UI" w:hAnsi="Segoe UI" w:cs="Segoe UI"/>
          <w:b/>
          <w:bCs/>
          <w:sz w:val="22"/>
          <w:szCs w:val="22"/>
          <w:lang w:val="is-IS"/>
        </w:rPr>
      </w:pPr>
      <w:r>
        <w:rPr>
          <w:rFonts w:ascii="Segoe UI" w:eastAsia="Segoe UI" w:hAnsi="Segoe UI" w:cs="Segoe UI"/>
          <w:sz w:val="22"/>
          <w:szCs w:val="22"/>
          <w:lang w:val="is-IS"/>
        </w:rPr>
        <w:t>Gangið</w:t>
      </w:r>
      <w:r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</w:t>
      </w:r>
      <w:r w:rsidR="18C90CE1"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úr skugga um að gleraugun uppfylli </w:t>
      </w:r>
      <w:r w:rsidR="18C90CE1" w:rsidRPr="18C90CE1">
        <w:rPr>
          <w:rFonts w:ascii="Segoe UI" w:eastAsia="Segoe UI" w:hAnsi="Segoe UI" w:cs="Segoe UI"/>
          <w:b/>
          <w:bCs/>
          <w:sz w:val="22"/>
          <w:szCs w:val="22"/>
          <w:lang w:val="is-IS"/>
        </w:rPr>
        <w:t>EN ISO 12312-2:2015 staðal</w:t>
      </w:r>
      <w:r w:rsidR="5C83B466" w:rsidRPr="18C90CE1">
        <w:rPr>
          <w:rFonts w:ascii="Segoe UI" w:eastAsia="Segoe UI" w:hAnsi="Segoe UI" w:cs="Segoe UI"/>
          <w:b/>
          <w:bCs/>
          <w:sz w:val="22"/>
          <w:szCs w:val="22"/>
          <w:lang w:val="is-IS"/>
        </w:rPr>
        <w:t>inn</w:t>
      </w:r>
    </w:p>
    <w:p w14:paraId="2442446F" w14:textId="3BA23299" w:rsidR="00E37B85" w:rsidRDefault="00B7190A" w:rsidP="00E80F1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eastAsia="Segoe UI" w:hAnsi="Segoe UI" w:cs="Segoe UI"/>
          <w:b/>
          <w:bCs/>
          <w:sz w:val="22"/>
          <w:szCs w:val="22"/>
          <w:lang w:val="is-IS"/>
        </w:rPr>
      </w:pPr>
      <w:r>
        <w:rPr>
          <w:rFonts w:ascii="Segoe UI" w:eastAsia="Segoe UI" w:hAnsi="Segoe UI" w:cs="Segoe UI"/>
          <w:sz w:val="22"/>
          <w:szCs w:val="22"/>
          <w:lang w:val="is-IS"/>
        </w:rPr>
        <w:t>Gangið úr skugga um að gleraugun beri</w:t>
      </w:r>
      <w:r w:rsidR="18C90CE1"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</w:t>
      </w:r>
      <w:r w:rsidR="18C90CE1" w:rsidRPr="18C90CE1">
        <w:rPr>
          <w:rFonts w:ascii="Segoe UI" w:eastAsia="Segoe UI" w:hAnsi="Segoe UI" w:cs="Segoe UI"/>
          <w:b/>
          <w:bCs/>
          <w:sz w:val="22"/>
          <w:szCs w:val="22"/>
          <w:lang w:val="is-IS"/>
        </w:rPr>
        <w:t>CE-merkingu</w:t>
      </w:r>
    </w:p>
    <w:p w14:paraId="123DD4AF" w14:textId="26C9C3D2" w:rsidR="00E37B85" w:rsidRDefault="18C90CE1" w:rsidP="00E80F1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eastAsia="Segoe UI" w:hAnsi="Segoe UI" w:cs="Segoe UI"/>
          <w:b/>
          <w:bCs/>
          <w:sz w:val="22"/>
          <w:szCs w:val="22"/>
          <w:lang w:val="is-IS"/>
        </w:rPr>
      </w:pPr>
      <w:r w:rsidRPr="18C90CE1">
        <w:rPr>
          <w:rFonts w:ascii="Segoe UI" w:eastAsia="Segoe UI" w:hAnsi="Segoe UI" w:cs="Segoe UI"/>
          <w:sz w:val="22"/>
          <w:szCs w:val="22"/>
          <w:lang w:val="is-IS"/>
        </w:rPr>
        <w:t>Not</w:t>
      </w:r>
      <w:r w:rsidR="00B7190A">
        <w:rPr>
          <w:rFonts w:ascii="Segoe UI" w:eastAsia="Segoe UI" w:hAnsi="Segoe UI" w:cs="Segoe UI"/>
          <w:sz w:val="22"/>
          <w:szCs w:val="22"/>
          <w:lang w:val="is-IS"/>
        </w:rPr>
        <w:t>ið</w:t>
      </w:r>
      <w:r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gleraugun </w:t>
      </w:r>
      <w:r w:rsidRPr="18C90CE1">
        <w:rPr>
          <w:rFonts w:ascii="Segoe UI" w:eastAsia="Segoe UI" w:hAnsi="Segoe UI" w:cs="Segoe UI"/>
          <w:b/>
          <w:bCs/>
          <w:sz w:val="22"/>
          <w:szCs w:val="22"/>
          <w:lang w:val="is-IS"/>
        </w:rPr>
        <w:t xml:space="preserve">alltaf við </w:t>
      </w:r>
      <w:r w:rsidR="00F96CBD">
        <w:rPr>
          <w:rFonts w:ascii="Segoe UI" w:eastAsia="Segoe UI" w:hAnsi="Segoe UI" w:cs="Segoe UI"/>
          <w:b/>
          <w:bCs/>
          <w:sz w:val="22"/>
          <w:szCs w:val="22"/>
          <w:lang w:val="is-IS"/>
        </w:rPr>
        <w:t>deildarmyrkva og almyrkva</w:t>
      </w:r>
    </w:p>
    <w:p w14:paraId="2D9360F7" w14:textId="7279C286" w:rsidR="00E37B85" w:rsidRDefault="18C90CE1" w:rsidP="00E80F1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eastAsia="Segoe UI" w:hAnsi="Segoe UI" w:cs="Segoe UI"/>
          <w:b/>
          <w:bCs/>
          <w:sz w:val="22"/>
          <w:szCs w:val="22"/>
          <w:lang w:val="is-IS"/>
        </w:rPr>
      </w:pPr>
      <w:r w:rsidRPr="18C90CE1">
        <w:rPr>
          <w:rFonts w:ascii="Segoe UI" w:eastAsia="Segoe UI" w:hAnsi="Segoe UI" w:cs="Segoe UI"/>
          <w:b/>
          <w:bCs/>
          <w:sz w:val="22"/>
          <w:szCs w:val="22"/>
          <w:lang w:val="is-IS"/>
        </w:rPr>
        <w:t>Not</w:t>
      </w:r>
      <w:r w:rsidR="00B7190A">
        <w:rPr>
          <w:rFonts w:ascii="Segoe UI" w:eastAsia="Segoe UI" w:hAnsi="Segoe UI" w:cs="Segoe UI"/>
          <w:b/>
          <w:bCs/>
          <w:sz w:val="22"/>
          <w:szCs w:val="22"/>
          <w:lang w:val="is-IS"/>
        </w:rPr>
        <w:t>ið ekki</w:t>
      </w:r>
      <w:r w:rsidRPr="18C90CE1">
        <w:rPr>
          <w:rFonts w:ascii="Segoe UI" w:eastAsia="Segoe UI" w:hAnsi="Segoe UI" w:cs="Segoe UI"/>
          <w:b/>
          <w:bCs/>
          <w:sz w:val="22"/>
          <w:szCs w:val="22"/>
          <w:lang w:val="is-IS"/>
        </w:rPr>
        <w:t xml:space="preserve"> venjuleg sólgleraugu</w:t>
      </w:r>
    </w:p>
    <w:p w14:paraId="78A87A34" w14:textId="5FF628C4" w:rsidR="00E37B85" w:rsidRDefault="18C90CE1" w:rsidP="00E80F1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eastAsia="Segoe UI" w:hAnsi="Segoe UI" w:cs="Segoe UI"/>
          <w:sz w:val="22"/>
          <w:szCs w:val="22"/>
          <w:lang w:val="is-IS"/>
        </w:rPr>
      </w:pPr>
      <w:r w:rsidRPr="18C90CE1">
        <w:rPr>
          <w:rFonts w:ascii="Segoe UI" w:eastAsia="Segoe UI" w:hAnsi="Segoe UI" w:cs="Segoe UI"/>
          <w:sz w:val="22"/>
          <w:szCs w:val="22"/>
          <w:lang w:val="is-IS"/>
        </w:rPr>
        <w:t>Skoð</w:t>
      </w:r>
      <w:r w:rsidR="00B7190A">
        <w:rPr>
          <w:rFonts w:ascii="Segoe UI" w:eastAsia="Segoe UI" w:hAnsi="Segoe UI" w:cs="Segoe UI"/>
          <w:sz w:val="22"/>
          <w:szCs w:val="22"/>
          <w:lang w:val="is-IS"/>
        </w:rPr>
        <w:t>ið</w:t>
      </w:r>
      <w:r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gleraugun áður en þau eru notuð (</w:t>
      </w:r>
      <w:r w:rsidR="00A23741">
        <w:rPr>
          <w:rFonts w:ascii="Segoe UI" w:eastAsia="Segoe UI" w:hAnsi="Segoe UI" w:cs="Segoe UI"/>
          <w:sz w:val="22"/>
          <w:szCs w:val="22"/>
          <w:lang w:val="is-IS"/>
        </w:rPr>
        <w:t xml:space="preserve">þau </w:t>
      </w:r>
      <w:r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mega </w:t>
      </w:r>
      <w:r w:rsidRPr="18C90CE1">
        <w:rPr>
          <w:rFonts w:ascii="Segoe UI" w:eastAsia="Segoe UI" w:hAnsi="Segoe UI" w:cs="Segoe UI"/>
          <w:b/>
          <w:bCs/>
          <w:sz w:val="22"/>
          <w:szCs w:val="22"/>
          <w:lang w:val="is-IS"/>
        </w:rPr>
        <w:t>ekki vera rifin eða rispuð</w:t>
      </w:r>
      <w:r w:rsidRPr="18C90CE1">
        <w:rPr>
          <w:rFonts w:ascii="Segoe UI" w:eastAsia="Segoe UI" w:hAnsi="Segoe UI" w:cs="Segoe UI"/>
          <w:sz w:val="22"/>
          <w:szCs w:val="22"/>
          <w:lang w:val="is-IS"/>
        </w:rPr>
        <w:t>)</w:t>
      </w:r>
    </w:p>
    <w:p w14:paraId="6114D878" w14:textId="77777777" w:rsidR="00C6682D" w:rsidRDefault="18C90CE1" w:rsidP="00E80F1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eastAsia="Segoe UI" w:hAnsi="Segoe UI" w:cs="Segoe UI"/>
          <w:sz w:val="22"/>
          <w:szCs w:val="22"/>
          <w:lang w:val="is-IS"/>
        </w:rPr>
      </w:pPr>
      <w:r w:rsidRPr="18C90CE1">
        <w:rPr>
          <w:rFonts w:ascii="Segoe UI" w:eastAsia="Segoe UI" w:hAnsi="Segoe UI" w:cs="Segoe UI"/>
          <w:sz w:val="22"/>
          <w:szCs w:val="22"/>
          <w:lang w:val="is-IS"/>
        </w:rPr>
        <w:t>Not</w:t>
      </w:r>
      <w:r w:rsidR="00B7190A">
        <w:rPr>
          <w:rFonts w:ascii="Segoe UI" w:eastAsia="Segoe UI" w:hAnsi="Segoe UI" w:cs="Segoe UI"/>
          <w:sz w:val="22"/>
          <w:szCs w:val="22"/>
          <w:lang w:val="is-IS"/>
        </w:rPr>
        <w:t>ið</w:t>
      </w:r>
      <w:r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aðeins </w:t>
      </w:r>
      <w:r w:rsidRPr="18C90CE1">
        <w:rPr>
          <w:rFonts w:ascii="Segoe UI" w:eastAsia="Segoe UI" w:hAnsi="Segoe UI" w:cs="Segoe UI"/>
          <w:b/>
          <w:bCs/>
          <w:sz w:val="22"/>
          <w:szCs w:val="22"/>
          <w:lang w:val="is-IS"/>
        </w:rPr>
        <w:t>vottaðar vörur</w:t>
      </w:r>
      <w:r w:rsidRPr="18C90CE1">
        <w:rPr>
          <w:rFonts w:ascii="Segoe UI" w:eastAsia="Segoe UI" w:hAnsi="Segoe UI" w:cs="Segoe UI"/>
          <w:sz w:val="22"/>
          <w:szCs w:val="22"/>
          <w:lang w:val="is-IS"/>
        </w:rPr>
        <w:t xml:space="preserve"> frá traustum framleiðendum</w:t>
      </w:r>
    </w:p>
    <w:p w14:paraId="47F38F51" w14:textId="77777777" w:rsidR="0020320B" w:rsidRDefault="18C90CE1" w:rsidP="00E80F13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eastAsia="Segoe UI" w:hAnsi="Segoe UI" w:cs="Segoe UI"/>
          <w:b/>
          <w:bCs/>
          <w:sz w:val="22"/>
          <w:szCs w:val="22"/>
          <w:lang w:val="is-IS"/>
        </w:rPr>
      </w:pPr>
      <w:r w:rsidRPr="00C6682D">
        <w:rPr>
          <w:rFonts w:ascii="Segoe UI" w:eastAsia="Segoe UI" w:hAnsi="Segoe UI" w:cs="Segoe UI"/>
          <w:sz w:val="22"/>
          <w:szCs w:val="22"/>
          <w:lang w:val="is-IS"/>
        </w:rPr>
        <w:t>Horf</w:t>
      </w:r>
      <w:r w:rsidR="00B7190A" w:rsidRPr="00C6682D">
        <w:rPr>
          <w:rFonts w:ascii="Segoe UI" w:eastAsia="Segoe UI" w:hAnsi="Segoe UI" w:cs="Segoe UI"/>
          <w:sz w:val="22"/>
          <w:szCs w:val="22"/>
          <w:lang w:val="is-IS"/>
        </w:rPr>
        <w:t>ið</w:t>
      </w:r>
      <w:r w:rsidRPr="00C6682D">
        <w:rPr>
          <w:rFonts w:ascii="Segoe UI" w:eastAsia="Segoe UI" w:hAnsi="Segoe UI" w:cs="Segoe UI"/>
          <w:sz w:val="22"/>
          <w:szCs w:val="22"/>
          <w:lang w:val="is-IS"/>
        </w:rPr>
        <w:t xml:space="preserve"> </w:t>
      </w:r>
      <w:r w:rsidRPr="00C6682D">
        <w:rPr>
          <w:rFonts w:ascii="Segoe UI" w:eastAsia="Segoe UI" w:hAnsi="Segoe UI" w:cs="Segoe UI"/>
          <w:b/>
          <w:bCs/>
          <w:sz w:val="22"/>
          <w:szCs w:val="22"/>
          <w:lang w:val="is-IS"/>
        </w:rPr>
        <w:t xml:space="preserve">ekki beint á sólina án </w:t>
      </w:r>
      <w:r w:rsidR="004A7B4A" w:rsidRPr="00C6682D">
        <w:rPr>
          <w:rFonts w:ascii="Segoe UI" w:eastAsia="Segoe UI" w:hAnsi="Segoe UI" w:cs="Segoe UI"/>
          <w:b/>
          <w:bCs/>
          <w:sz w:val="22"/>
          <w:szCs w:val="22"/>
          <w:lang w:val="is-IS"/>
        </w:rPr>
        <w:t xml:space="preserve">sólmyrkvagleraugna. </w:t>
      </w:r>
    </w:p>
    <w:p w14:paraId="3EB3C081" w14:textId="77F0EBBF" w:rsidR="00E76112" w:rsidRPr="00330D10" w:rsidRDefault="004A7B4A" w:rsidP="00330D1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eastAsia="Segoe UI" w:hAnsi="Segoe UI" w:cs="Segoe UI"/>
          <w:b/>
          <w:bCs/>
          <w:sz w:val="22"/>
          <w:szCs w:val="22"/>
          <w:lang w:val="is-IS"/>
        </w:rPr>
      </w:pPr>
      <w:r w:rsidRPr="00C6682D">
        <w:rPr>
          <w:rFonts w:ascii="Segoe UI" w:eastAsia="Segoe UI" w:hAnsi="Segoe UI" w:cs="Segoe UI"/>
          <w:sz w:val="22"/>
          <w:szCs w:val="22"/>
          <w:lang w:val="is-IS"/>
        </w:rPr>
        <w:t xml:space="preserve">Horfið </w:t>
      </w:r>
      <w:r w:rsidRPr="0020320B">
        <w:rPr>
          <w:rFonts w:ascii="Segoe UI" w:eastAsia="Segoe UI" w:hAnsi="Segoe UI" w:cs="Segoe UI"/>
          <w:b/>
          <w:bCs/>
          <w:sz w:val="22"/>
          <w:szCs w:val="22"/>
          <w:lang w:val="is-IS"/>
        </w:rPr>
        <w:t xml:space="preserve">ekki </w:t>
      </w:r>
      <w:r w:rsidRPr="00C6682D">
        <w:rPr>
          <w:rFonts w:ascii="Segoe UI" w:eastAsia="Segoe UI" w:hAnsi="Segoe UI" w:cs="Segoe UI"/>
          <w:sz w:val="22"/>
          <w:szCs w:val="22"/>
          <w:lang w:val="is-IS"/>
        </w:rPr>
        <w:t>á sólina í gegn um</w:t>
      </w:r>
      <w:r w:rsidRPr="00C6682D">
        <w:rPr>
          <w:rFonts w:ascii="Segoe UI" w:eastAsia="Segoe UI" w:hAnsi="Segoe UI" w:cs="Segoe UI"/>
          <w:b/>
          <w:bCs/>
          <w:sz w:val="22"/>
          <w:szCs w:val="22"/>
          <w:lang w:val="is-IS"/>
        </w:rPr>
        <w:t xml:space="preserve"> myndavélalinsur, kíki eða snjallsíma án viðurkenndra varna</w:t>
      </w:r>
      <w:r w:rsidR="00E76112">
        <w:rPr>
          <w:rFonts w:ascii="Segoe UI" w:eastAsia="Segoe UI" w:hAnsi="Segoe UI" w:cs="Segoe UI"/>
          <w:b/>
          <w:bCs/>
          <w:sz w:val="22"/>
          <w:szCs w:val="22"/>
          <w:lang w:val="is-IS"/>
        </w:rPr>
        <w:t xml:space="preserve"> (filter, sólmyrkvaglesaugu)</w:t>
      </w:r>
    </w:p>
    <w:p w14:paraId="018F4D03" w14:textId="2FD732F5" w:rsidR="00E76112" w:rsidRPr="009859DE" w:rsidRDefault="009859DE" w:rsidP="00E80F13">
      <w:pPr>
        <w:pStyle w:val="Heading2"/>
        <w:spacing w:line="276" w:lineRule="auto"/>
        <w:jc w:val="both"/>
        <w:rPr>
          <w:rFonts w:ascii="Segoe UI" w:eastAsia="Segoe UI" w:hAnsi="Segoe UI" w:cs="Segoe UI"/>
          <w:sz w:val="22"/>
          <w:szCs w:val="22"/>
          <w:lang w:val="is-IS"/>
        </w:rPr>
      </w:pPr>
      <w:r w:rsidRPr="18C90CE1">
        <w:rPr>
          <w:rFonts w:ascii="Segoe UI Emoji" w:eastAsia="Segoe UI" w:hAnsi="Segoe UI Emoji" w:cs="Segoe UI Emoji"/>
          <w:sz w:val="22"/>
          <w:szCs w:val="22"/>
          <w:lang w:val="is-IS"/>
        </w:rPr>
        <w:t>✅</w:t>
      </w:r>
      <w:r>
        <w:rPr>
          <w:rFonts w:ascii="Segoe UI Emoji" w:eastAsia="Segoe UI" w:hAnsi="Segoe UI Emoji" w:cs="Segoe UI Emoji"/>
          <w:sz w:val="22"/>
          <w:szCs w:val="22"/>
          <w:lang w:val="is-IS"/>
        </w:rPr>
        <w:t xml:space="preserve"> </w:t>
      </w:r>
      <w:r w:rsidR="00E76112" w:rsidRPr="009859DE">
        <w:rPr>
          <w:rFonts w:ascii="Segoe UI" w:eastAsia="Segoe UI" w:hAnsi="Segoe UI" w:cs="Segoe UI"/>
          <w:sz w:val="22"/>
          <w:szCs w:val="22"/>
          <w:lang w:val="is-IS"/>
        </w:rPr>
        <w:t>Athugið sérstaklega:</w:t>
      </w:r>
    </w:p>
    <w:p w14:paraId="29A1AFB6" w14:textId="3183FE9E" w:rsidR="00E76112" w:rsidRPr="00330D10" w:rsidRDefault="009859DE" w:rsidP="00E80F13">
      <w:pPr>
        <w:pStyle w:val="ListParagraph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Segoe UI" w:eastAsia="Times New Roman" w:hAnsi="Segoe UI" w:cs="Segoe UI"/>
          <w:sz w:val="22"/>
          <w:szCs w:val="22"/>
          <w:lang w:val="is-IS"/>
        </w:rPr>
      </w:pP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>M</w:t>
      </w:r>
      <w:r w:rsidR="00E76112"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innkandi birtustig er blekkjandi og getur leitt til þess að </w:t>
      </w: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fólk </w:t>
      </w:r>
      <w:r w:rsidR="00E76112" w:rsidRPr="00330D10">
        <w:rPr>
          <w:rFonts w:ascii="Segoe UI" w:eastAsia="Times New Roman" w:hAnsi="Segoe UI" w:cs="Segoe UI"/>
          <w:sz w:val="22"/>
          <w:szCs w:val="22"/>
          <w:lang w:val="is-IS"/>
        </w:rPr>
        <w:t>g</w:t>
      </w: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>l</w:t>
      </w:r>
      <w:r w:rsidR="00E76112" w:rsidRPr="00330D10">
        <w:rPr>
          <w:rFonts w:ascii="Segoe UI" w:eastAsia="Times New Roman" w:hAnsi="Segoe UI" w:cs="Segoe UI"/>
          <w:sz w:val="22"/>
          <w:szCs w:val="22"/>
          <w:lang w:val="is-IS"/>
        </w:rPr>
        <w:t>eymi að verja augun.</w:t>
      </w:r>
    </w:p>
    <w:p w14:paraId="20FBE1D9" w14:textId="78AB80CF" w:rsidR="009859DE" w:rsidRPr="00330D10" w:rsidRDefault="00E76112" w:rsidP="00E80F13">
      <w:pPr>
        <w:pStyle w:val="ListParagraph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Segoe UI" w:eastAsia="Times New Roman" w:hAnsi="Segoe UI" w:cs="Segoe UI"/>
          <w:b/>
          <w:bCs/>
          <w:sz w:val="22"/>
          <w:szCs w:val="22"/>
          <w:lang w:val="is-IS"/>
        </w:rPr>
      </w:pP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>Að þegar almyrkv</w:t>
      </w:r>
      <w:r w:rsidR="009859DE" w:rsidRPr="00330D10">
        <w:rPr>
          <w:rFonts w:ascii="Segoe UI" w:eastAsia="Times New Roman" w:hAnsi="Segoe UI" w:cs="Segoe UI"/>
          <w:sz w:val="22"/>
          <w:szCs w:val="22"/>
          <w:lang w:val="is-IS"/>
        </w:rPr>
        <w:t>i</w:t>
      </w: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 á sér stað þarf að taka af sér sólmyrkvagleraugun til að sjá </w:t>
      </w:r>
      <w:r w:rsidR="009859DE"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hina eiginlegu </w:t>
      </w: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sólkórónu. </w:t>
      </w:r>
      <w:r w:rsidR="009859DE" w:rsidRPr="00330D10">
        <w:rPr>
          <w:rFonts w:ascii="Segoe UI" w:eastAsia="Times New Roman" w:hAnsi="Segoe UI" w:cs="Segoe UI"/>
          <w:sz w:val="22"/>
          <w:szCs w:val="22"/>
          <w:lang w:val="is-IS"/>
        </w:rPr>
        <w:t>Þ</w:t>
      </w: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etta augnablik </w:t>
      </w:r>
      <w:r w:rsidR="009859DE"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þar sem óhætt er að horfa berum augum á sólmyrkvann </w:t>
      </w: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varir í </w:t>
      </w:r>
      <w:r w:rsidR="009859DE"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u.þ.b. </w:t>
      </w: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2 mín vestast á </w:t>
      </w:r>
      <w:r w:rsidR="009859DE"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landinu </w:t>
      </w: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>og</w:t>
      </w:r>
      <w:r w:rsidR="009859DE"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 um</w:t>
      </w: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 1 mín á </w:t>
      </w:r>
      <w:r w:rsidR="009859DE" w:rsidRPr="00330D10">
        <w:rPr>
          <w:rFonts w:ascii="Segoe UI" w:eastAsia="Times New Roman" w:hAnsi="Segoe UI" w:cs="Segoe UI"/>
          <w:sz w:val="22"/>
          <w:szCs w:val="22"/>
          <w:lang w:val="is-IS"/>
        </w:rPr>
        <w:t>h</w:t>
      </w: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>öf</w:t>
      </w:r>
      <w:r w:rsidR="009859DE" w:rsidRPr="00330D10">
        <w:rPr>
          <w:rFonts w:ascii="Segoe UI" w:eastAsia="Times New Roman" w:hAnsi="Segoe UI" w:cs="Segoe UI"/>
          <w:sz w:val="22"/>
          <w:szCs w:val="22"/>
          <w:lang w:val="is-IS"/>
        </w:rPr>
        <w:t>uð</w:t>
      </w: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>borgarsvæðinu</w:t>
      </w:r>
    </w:p>
    <w:p w14:paraId="531345B1" w14:textId="7A03A3B0" w:rsidR="00E76112" w:rsidRPr="00330D10" w:rsidRDefault="00E76112" w:rsidP="00E80F13">
      <w:pPr>
        <w:pStyle w:val="ListParagraph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Segoe UI" w:eastAsia="Times New Roman" w:hAnsi="Segoe UI" w:cs="Segoe UI"/>
          <w:b/>
          <w:bCs/>
          <w:sz w:val="22"/>
          <w:szCs w:val="22"/>
          <w:lang w:val="is-IS"/>
        </w:rPr>
      </w:pPr>
      <w:r w:rsidRPr="00330D10">
        <w:rPr>
          <w:rFonts w:ascii="Segoe UI" w:eastAsia="Times New Roman" w:hAnsi="Segoe UI" w:cs="Segoe UI"/>
          <w:b/>
          <w:bCs/>
          <w:sz w:val="22"/>
          <w:szCs w:val="22"/>
          <w:lang w:val="is-IS"/>
        </w:rPr>
        <w:t>Það þarf að setja á sig gleraugun um leið og sólin fer að ná í gegn á ný</w:t>
      </w:r>
    </w:p>
    <w:p w14:paraId="62708C33" w14:textId="5D0B68AA" w:rsidR="00E76112" w:rsidRPr="00330D10" w:rsidRDefault="00E76112" w:rsidP="00E80F13">
      <w:pPr>
        <w:pStyle w:val="ListParagraph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Segoe UI" w:eastAsia="Times New Roman" w:hAnsi="Segoe UI" w:cs="Segoe UI"/>
          <w:b/>
          <w:bCs/>
          <w:sz w:val="22"/>
          <w:szCs w:val="22"/>
          <w:lang w:val="is-IS"/>
        </w:rPr>
      </w:pPr>
      <w:r w:rsidRPr="00330D10">
        <w:rPr>
          <w:rFonts w:ascii="Segoe UI" w:eastAsia="Times New Roman" w:hAnsi="Segoe UI" w:cs="Segoe UI"/>
          <w:b/>
          <w:bCs/>
          <w:sz w:val="22"/>
          <w:szCs w:val="22"/>
          <w:lang w:val="is-IS"/>
        </w:rPr>
        <w:t>Allir sem eru ekki á almyrkvasvæði</w:t>
      </w: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 (restin af landinu) þurfa að vera með</w:t>
      </w:r>
      <w:r w:rsidRPr="00330D10">
        <w:rPr>
          <w:rFonts w:ascii="Segoe UI" w:eastAsia="Times New Roman" w:hAnsi="Segoe UI" w:cs="Segoe UI"/>
          <w:b/>
          <w:bCs/>
          <w:sz w:val="22"/>
          <w:szCs w:val="22"/>
          <w:lang w:val="is-IS"/>
        </w:rPr>
        <w:t xml:space="preserve"> </w:t>
      </w:r>
      <w:r w:rsidRPr="00330D10">
        <w:rPr>
          <w:rFonts w:ascii="Segoe UI" w:eastAsia="Times New Roman" w:hAnsi="Segoe UI" w:cs="Segoe UI"/>
          <w:sz w:val="22"/>
          <w:szCs w:val="22"/>
          <w:lang w:val="is-IS"/>
        </w:rPr>
        <w:t xml:space="preserve">sólmyrkvagleraugu </w:t>
      </w:r>
      <w:r w:rsidRPr="00330D10">
        <w:rPr>
          <w:rFonts w:ascii="Segoe UI" w:eastAsia="Times New Roman" w:hAnsi="Segoe UI" w:cs="Segoe UI"/>
          <w:b/>
          <w:bCs/>
          <w:sz w:val="22"/>
          <w:szCs w:val="22"/>
          <w:lang w:val="is-IS"/>
        </w:rPr>
        <w:t>allan tímann</w:t>
      </w:r>
    </w:p>
    <w:p w14:paraId="538A27D8" w14:textId="6679785D" w:rsidR="00E76112" w:rsidRPr="00330D10" w:rsidRDefault="00E76112" w:rsidP="00E80F13">
      <w:pPr>
        <w:pStyle w:val="ListParagraph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Segoe UI" w:eastAsia="Times New Roman" w:hAnsi="Segoe UI" w:cs="Segoe UI"/>
          <w:b/>
          <w:bCs/>
          <w:sz w:val="22"/>
          <w:szCs w:val="22"/>
          <w:lang w:val="is-IS"/>
        </w:rPr>
      </w:pPr>
      <w:r w:rsidRPr="00330D10">
        <w:rPr>
          <w:rFonts w:ascii="Segoe UI" w:eastAsia="Times New Roman" w:hAnsi="Segoe UI" w:cs="Segoe UI"/>
          <w:b/>
          <w:bCs/>
          <w:sz w:val="22"/>
          <w:szCs w:val="22"/>
          <w:lang w:val="is-IS"/>
        </w:rPr>
        <w:t>Sérstaklega þarf að horfa til öryggis barna</w:t>
      </w:r>
    </w:p>
    <w:p w14:paraId="1B976FB6" w14:textId="7E94F109" w:rsidR="00E76112" w:rsidRPr="00330D10" w:rsidRDefault="009859DE" w:rsidP="00E76112">
      <w:pPr>
        <w:pStyle w:val="ListParagraph"/>
        <w:numPr>
          <w:ilvl w:val="0"/>
          <w:numId w:val="3"/>
        </w:numPr>
        <w:spacing w:after="0" w:line="276" w:lineRule="auto"/>
        <w:contextualSpacing w:val="0"/>
        <w:jc w:val="both"/>
        <w:rPr>
          <w:rFonts w:ascii="Segoe UI" w:eastAsia="Times New Roman" w:hAnsi="Segoe UI" w:cs="Segoe UI"/>
          <w:b/>
          <w:bCs/>
          <w:sz w:val="22"/>
          <w:szCs w:val="22"/>
          <w:lang w:val="is-IS"/>
        </w:rPr>
      </w:pPr>
      <w:r w:rsidRPr="00330D10">
        <w:rPr>
          <w:rFonts w:ascii="Segoe UI" w:eastAsia="Times New Roman" w:hAnsi="Segoe UI" w:cs="Segoe UI"/>
          <w:b/>
          <w:bCs/>
          <w:sz w:val="22"/>
          <w:szCs w:val="22"/>
          <w:lang w:val="is-IS"/>
        </w:rPr>
        <w:t>Ó</w:t>
      </w:r>
      <w:r w:rsidR="00E76112" w:rsidRPr="00330D10">
        <w:rPr>
          <w:rFonts w:ascii="Segoe UI" w:eastAsia="Times New Roman" w:hAnsi="Segoe UI" w:cs="Segoe UI"/>
          <w:b/>
          <w:bCs/>
          <w:sz w:val="22"/>
          <w:szCs w:val="22"/>
          <w:lang w:val="is-IS"/>
        </w:rPr>
        <w:t>ttist þú að hafa að hafa orðið fyrir ljósskaða skaltu leita læknis án tafar</w:t>
      </w:r>
    </w:p>
    <w:sectPr w:rsidR="00E76112" w:rsidRPr="00330D1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382E0" w14:textId="77777777" w:rsidR="00711E25" w:rsidRDefault="00711E25">
      <w:pPr>
        <w:spacing w:after="0" w:line="240" w:lineRule="auto"/>
      </w:pPr>
      <w:r>
        <w:separator/>
      </w:r>
    </w:p>
  </w:endnote>
  <w:endnote w:type="continuationSeparator" w:id="0">
    <w:p w14:paraId="4B9CD779" w14:textId="77777777" w:rsidR="00711E25" w:rsidRDefault="0071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90CE1" w14:paraId="461FB2BB" w14:textId="77777777" w:rsidTr="18C90CE1">
      <w:trPr>
        <w:trHeight w:val="300"/>
      </w:trPr>
      <w:tc>
        <w:tcPr>
          <w:tcW w:w="3005" w:type="dxa"/>
        </w:tcPr>
        <w:p w14:paraId="767786A9" w14:textId="4016351F" w:rsidR="18C90CE1" w:rsidRDefault="18C90CE1" w:rsidP="18C90CE1">
          <w:pPr>
            <w:pStyle w:val="Header"/>
            <w:ind w:left="-115"/>
          </w:pPr>
        </w:p>
      </w:tc>
      <w:tc>
        <w:tcPr>
          <w:tcW w:w="3005" w:type="dxa"/>
        </w:tcPr>
        <w:p w14:paraId="41F8CC5C" w14:textId="4E40BE48" w:rsidR="18C90CE1" w:rsidRDefault="18C90CE1" w:rsidP="18C90CE1">
          <w:pPr>
            <w:pStyle w:val="Header"/>
            <w:jc w:val="center"/>
          </w:pPr>
        </w:p>
      </w:tc>
      <w:tc>
        <w:tcPr>
          <w:tcW w:w="3005" w:type="dxa"/>
        </w:tcPr>
        <w:p w14:paraId="46683D5C" w14:textId="087593D3" w:rsidR="18C90CE1" w:rsidRDefault="18C90CE1" w:rsidP="18C90CE1">
          <w:pPr>
            <w:pStyle w:val="Header"/>
            <w:ind w:right="-115"/>
            <w:jc w:val="right"/>
          </w:pPr>
        </w:p>
      </w:tc>
    </w:tr>
  </w:tbl>
  <w:p w14:paraId="005F965C" w14:textId="34054C21" w:rsidR="18C90CE1" w:rsidRDefault="18C90CE1" w:rsidP="18C90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F18DD" w14:textId="77777777" w:rsidR="00711E25" w:rsidRDefault="00711E25">
      <w:pPr>
        <w:spacing w:after="0" w:line="240" w:lineRule="auto"/>
      </w:pPr>
      <w:r>
        <w:separator/>
      </w:r>
    </w:p>
  </w:footnote>
  <w:footnote w:type="continuationSeparator" w:id="0">
    <w:p w14:paraId="3F6F3D77" w14:textId="77777777" w:rsidR="00711E25" w:rsidRDefault="00711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90CE1" w14:paraId="1F5F00EA" w14:textId="77777777" w:rsidTr="18C90CE1">
      <w:trPr>
        <w:trHeight w:val="300"/>
      </w:trPr>
      <w:tc>
        <w:tcPr>
          <w:tcW w:w="3005" w:type="dxa"/>
        </w:tcPr>
        <w:p w14:paraId="03ACB141" w14:textId="04BB18E4" w:rsidR="18C90CE1" w:rsidRDefault="18C90CE1" w:rsidP="18C90CE1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FF5CC13" wp14:editId="06760350">
                <wp:extent cx="1771650" cy="466725"/>
                <wp:effectExtent l="0" t="0" r="0" b="0"/>
                <wp:docPr id="130532427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4109463" name="Picture 46410946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1925617" w14:textId="0740AFBA" w:rsidR="18C90CE1" w:rsidRDefault="18C90CE1" w:rsidP="18C90CE1">
          <w:pPr>
            <w:pStyle w:val="Header"/>
            <w:jc w:val="center"/>
          </w:pPr>
        </w:p>
      </w:tc>
      <w:tc>
        <w:tcPr>
          <w:tcW w:w="3005" w:type="dxa"/>
        </w:tcPr>
        <w:p w14:paraId="2CC0F5ED" w14:textId="11234015" w:rsidR="18C90CE1" w:rsidRDefault="18C90CE1" w:rsidP="18C90CE1">
          <w:pPr>
            <w:pStyle w:val="Header"/>
            <w:ind w:right="-115"/>
            <w:jc w:val="right"/>
          </w:pPr>
        </w:p>
      </w:tc>
    </w:tr>
  </w:tbl>
  <w:p w14:paraId="5155A73C" w14:textId="0B6BAC4D" w:rsidR="18C90CE1" w:rsidRDefault="18C90CE1" w:rsidP="18C90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1B8"/>
    <w:multiLevelType w:val="hybridMultilevel"/>
    <w:tmpl w:val="93A252B4"/>
    <w:lvl w:ilvl="0" w:tplc="EAAED8D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2B8A5"/>
    <w:multiLevelType w:val="hybridMultilevel"/>
    <w:tmpl w:val="9D0C741E"/>
    <w:lvl w:ilvl="0" w:tplc="3758A89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C726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F4A9EF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6507516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01684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9C6FF1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A843BB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ACC23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834C53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6CBB40A9"/>
    <w:multiLevelType w:val="hybridMultilevel"/>
    <w:tmpl w:val="1CC2873C"/>
    <w:lvl w:ilvl="0" w:tplc="99086076">
      <w:start w:val="1"/>
      <w:numFmt w:val="bullet"/>
      <w:lvlText w:val="●"/>
      <w:lvlJc w:val="left"/>
      <w:pPr>
        <w:ind w:left="720" w:hanging="360"/>
      </w:pPr>
    </w:lvl>
    <w:lvl w:ilvl="1" w:tplc="1898F792">
      <w:start w:val="1"/>
      <w:numFmt w:val="bullet"/>
      <w:lvlText w:val="○"/>
      <w:lvlJc w:val="left"/>
      <w:pPr>
        <w:ind w:left="1440" w:hanging="360"/>
      </w:pPr>
    </w:lvl>
    <w:lvl w:ilvl="2" w:tplc="374CCFEE">
      <w:start w:val="1"/>
      <w:numFmt w:val="bullet"/>
      <w:lvlText w:val="■"/>
      <w:lvlJc w:val="left"/>
      <w:pPr>
        <w:ind w:left="2160" w:hanging="360"/>
      </w:pPr>
    </w:lvl>
    <w:lvl w:ilvl="3" w:tplc="67745DDA">
      <w:start w:val="1"/>
      <w:numFmt w:val="bullet"/>
      <w:lvlText w:val="●"/>
      <w:lvlJc w:val="left"/>
      <w:pPr>
        <w:ind w:left="2880" w:hanging="360"/>
      </w:pPr>
    </w:lvl>
    <w:lvl w:ilvl="4" w:tplc="F4142E7A">
      <w:start w:val="1"/>
      <w:numFmt w:val="bullet"/>
      <w:lvlText w:val="○"/>
      <w:lvlJc w:val="left"/>
      <w:pPr>
        <w:ind w:left="3600" w:hanging="360"/>
      </w:pPr>
    </w:lvl>
    <w:lvl w:ilvl="5" w:tplc="49665C3E">
      <w:start w:val="1"/>
      <w:numFmt w:val="bullet"/>
      <w:lvlText w:val="■"/>
      <w:lvlJc w:val="left"/>
      <w:pPr>
        <w:ind w:left="4320" w:hanging="360"/>
      </w:pPr>
    </w:lvl>
    <w:lvl w:ilvl="6" w:tplc="2C982F26">
      <w:start w:val="1"/>
      <w:numFmt w:val="bullet"/>
      <w:lvlText w:val="●"/>
      <w:lvlJc w:val="left"/>
      <w:pPr>
        <w:ind w:left="5040" w:hanging="360"/>
      </w:pPr>
    </w:lvl>
    <w:lvl w:ilvl="7" w:tplc="0A6C566E">
      <w:start w:val="1"/>
      <w:numFmt w:val="bullet"/>
      <w:lvlText w:val="●"/>
      <w:lvlJc w:val="left"/>
      <w:pPr>
        <w:ind w:left="5760" w:hanging="360"/>
      </w:pPr>
    </w:lvl>
    <w:lvl w:ilvl="8" w:tplc="3D4E379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79447272"/>
    <w:multiLevelType w:val="hybridMultilevel"/>
    <w:tmpl w:val="F1364FC4"/>
    <w:lvl w:ilvl="0" w:tplc="040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2014985373">
    <w:abstractNumId w:val="2"/>
    <w:lvlOverride w:ilvl="0">
      <w:startOverride w:val="1"/>
    </w:lvlOverride>
  </w:num>
  <w:num w:numId="2" w16cid:durableId="1681006488">
    <w:abstractNumId w:val="1"/>
  </w:num>
  <w:num w:numId="3" w16cid:durableId="1323239163">
    <w:abstractNumId w:val="3"/>
  </w:num>
  <w:num w:numId="4" w16cid:durableId="117488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C0C238"/>
    <w:rsid w:val="00007C21"/>
    <w:rsid w:val="0003670D"/>
    <w:rsid w:val="000B13A9"/>
    <w:rsid w:val="001B6560"/>
    <w:rsid w:val="0020320B"/>
    <w:rsid w:val="00236126"/>
    <w:rsid w:val="00330D10"/>
    <w:rsid w:val="0037587C"/>
    <w:rsid w:val="003E2033"/>
    <w:rsid w:val="00472706"/>
    <w:rsid w:val="004A7B4A"/>
    <w:rsid w:val="005377AF"/>
    <w:rsid w:val="00565BB5"/>
    <w:rsid w:val="00711425"/>
    <w:rsid w:val="00711E25"/>
    <w:rsid w:val="007D3A3B"/>
    <w:rsid w:val="00805788"/>
    <w:rsid w:val="00847246"/>
    <w:rsid w:val="008F69DF"/>
    <w:rsid w:val="00977E8E"/>
    <w:rsid w:val="009859DE"/>
    <w:rsid w:val="009B4A73"/>
    <w:rsid w:val="00A23741"/>
    <w:rsid w:val="00A447F3"/>
    <w:rsid w:val="00B7190A"/>
    <w:rsid w:val="00BA32EE"/>
    <w:rsid w:val="00C6682D"/>
    <w:rsid w:val="00CE6113"/>
    <w:rsid w:val="00DA6818"/>
    <w:rsid w:val="00DC7811"/>
    <w:rsid w:val="00E37B85"/>
    <w:rsid w:val="00E76112"/>
    <w:rsid w:val="00E80F13"/>
    <w:rsid w:val="00EF12E9"/>
    <w:rsid w:val="00F96CBD"/>
    <w:rsid w:val="01C0C238"/>
    <w:rsid w:val="04BA3CA3"/>
    <w:rsid w:val="04EC212D"/>
    <w:rsid w:val="04F1816F"/>
    <w:rsid w:val="0583F6E8"/>
    <w:rsid w:val="06042DA2"/>
    <w:rsid w:val="07957E14"/>
    <w:rsid w:val="0968F225"/>
    <w:rsid w:val="0986D3D0"/>
    <w:rsid w:val="0CC5D926"/>
    <w:rsid w:val="14FDCE67"/>
    <w:rsid w:val="15B49863"/>
    <w:rsid w:val="18C90CE1"/>
    <w:rsid w:val="1A3AB62C"/>
    <w:rsid w:val="1A41E803"/>
    <w:rsid w:val="1C019E15"/>
    <w:rsid w:val="21DBD276"/>
    <w:rsid w:val="220BE336"/>
    <w:rsid w:val="2945C716"/>
    <w:rsid w:val="2F279B03"/>
    <w:rsid w:val="302A1E79"/>
    <w:rsid w:val="31FD3322"/>
    <w:rsid w:val="3465CF25"/>
    <w:rsid w:val="35D66771"/>
    <w:rsid w:val="367B0A6E"/>
    <w:rsid w:val="381ED1F1"/>
    <w:rsid w:val="3A13EE36"/>
    <w:rsid w:val="3C891E3B"/>
    <w:rsid w:val="3D54FCB3"/>
    <w:rsid w:val="3EBA4228"/>
    <w:rsid w:val="44C52862"/>
    <w:rsid w:val="47532DE3"/>
    <w:rsid w:val="4E899FE7"/>
    <w:rsid w:val="50617BAF"/>
    <w:rsid w:val="50B3FC13"/>
    <w:rsid w:val="541A8AAC"/>
    <w:rsid w:val="5B6EB356"/>
    <w:rsid w:val="5C83B466"/>
    <w:rsid w:val="5FA314C0"/>
    <w:rsid w:val="610B54D8"/>
    <w:rsid w:val="62DECDF1"/>
    <w:rsid w:val="641935E8"/>
    <w:rsid w:val="65458929"/>
    <w:rsid w:val="6DE529E3"/>
    <w:rsid w:val="7234F1E1"/>
    <w:rsid w:val="76E6232D"/>
    <w:rsid w:val="7908C326"/>
    <w:rsid w:val="79E8144E"/>
    <w:rsid w:val="7EAB2FB0"/>
    <w:rsid w:val="7EC3D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B7833"/>
  <w15:docId w15:val="{62253219-E843-4ACF-9066-890F2CA0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paragraph" w:styleId="Header">
    <w:name w:val="header"/>
    <w:basedOn w:val="Normal"/>
    <w:uiPriority w:val="99"/>
    <w:unhideWhenUsed/>
    <w:rsid w:val="18C90CE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8C90CE1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B7190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1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19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19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190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30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r10.safelinks.protection.outlook.com/?url=https%3A%2F%2Fsolmyrkvi2026.is%2Foryggi-augna%3Ffbclid%3DIwY2xjawSCdNlleHRuA2FlbQIxMQBicmlkETFGUUFlRWhsYXZNTUVwaEt6c3J0YwZhcHBfaWQBMAABHtdnO8eMT_e9EmgfGSrMZW9sHNifz0rihxlXbWptB6QTvFHDjVHcZkR-ecL-_aem_RxU_UPtyHd-g3ThIrf3ITA&amp;data=05%7C02%7Celisabet.benedikz%40landlaeknir.is%7C057aca6b71e440f9f02b08debb249466%7C4d762ac0620542ceb964c3b8958fd4a9%7C0%7C0%7C639153962937494456%7CUnknown%7CTWFpbGZsb3d8eyJFbXB0eU1hcGkiOnRydWUsIlYiOiIwLjAuMDAwMCIsIlAiOiJXaW4zMiIsIkFOIjoiTWFpbCIsIldUIjoyfQ%3D%3D%7C0%7C%7C%7C&amp;sdata=Mlm8ThbDwd%2FvVjaUn4EsVIoMbe5bjm%2BaE77%2FJeFpkSE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Kjartan Hreinn Njálsson - Landl</cp:lastModifiedBy>
  <cp:revision>2</cp:revision>
  <dcterms:created xsi:type="dcterms:W3CDTF">2026-06-02T11:19:00Z</dcterms:created>
  <dcterms:modified xsi:type="dcterms:W3CDTF">2026-06-02T11:19:00Z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2026-05-19T13:42:07Z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4d762ac0-6205-42ce-b964-c3b8958fd4a9</vt:lpwstr>
  </property>
  <property fmtid="{D5CDD505-2E9C-101B-9397-08002B2CF9AE}" pid="7" name="MSIP_Label_defa4170-0d19-0005-0004-bc88714345d2_ActionId">
    <vt:lpwstr>a34c367c-c49c-492d-8800-bb292954c9de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