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073763"/>
          <w:sz w:val="36"/>
          <w:szCs w:val="36"/>
        </w:rPr>
      </w:pPr>
      <w:r w:rsidDel="00000000" w:rsidR="00000000" w:rsidRPr="00000000">
        <w:rPr>
          <w:b w:val="1"/>
          <w:color w:val="073763"/>
          <w:sz w:val="36"/>
          <w:szCs w:val="36"/>
          <w:rtl w:val="0"/>
        </w:rPr>
        <w:t xml:space="preserve">Vermont</w:t>
      </w:r>
      <w:r w:rsidDel="00000000" w:rsidR="00000000" w:rsidRPr="00000000">
        <w:rPr>
          <w:rtl w:val="0"/>
        </w:rPr>
      </w:r>
    </w:p>
    <w:p w:rsidR="00000000" w:rsidDel="00000000" w:rsidP="00000000" w:rsidRDefault="00000000" w:rsidRPr="00000000" w14:paraId="00000002">
      <w:pPr>
        <w:pageBreakBefore w:val="0"/>
        <w:pBdr>
          <w:bottom w:color="000000" w:space="2" w:sz="8" w:val="single"/>
        </w:pBdr>
        <w:rPr>
          <w:b w:val="1"/>
          <w:i w:val="1"/>
          <w:color w:val="666666"/>
          <w:sz w:val="24"/>
          <w:szCs w:val="24"/>
        </w:rPr>
      </w:pPr>
      <w:r w:rsidDel="00000000" w:rsidR="00000000" w:rsidRPr="00000000">
        <w:rPr>
          <w:b w:val="1"/>
          <w:i w:val="1"/>
          <w:color w:val="666666"/>
          <w:rtl w:val="0"/>
        </w:rPr>
        <w:t xml:space="preserve">COVID-19 School Data Details</w:t>
      </w: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COVID-19 School Data Summary</w:t>
      </w:r>
    </w:p>
    <w:tbl>
      <w:tblPr>
        <w:tblStyle w:val="Table1"/>
        <w:tblW w:w="9369.1605456453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5955"/>
        <w:gridCol w:w="2799.160545645331"/>
        <w:tblGridChange w:id="0">
          <w:tblGrid>
            <w:gridCol w:w="615"/>
            <w:gridCol w:w="5955"/>
            <w:gridCol w:w="2799.160545645331"/>
          </w:tblGrid>
        </w:tblGridChange>
      </w:tblGrid>
      <w:tr>
        <w:trPr>
          <w:cantSplit w:val="0"/>
          <w:trHeight w:val="459.9609375"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0"/>
                <w:szCs w:val="20"/>
              </w:rPr>
            </w:pPr>
            <w:r w:rsidDel="00000000" w:rsidR="00000000" w:rsidRPr="00000000">
              <w:rPr>
                <w:b w:val="1"/>
                <w:color w:val="ffffff"/>
                <w:sz w:val="20"/>
                <w:szCs w:val="20"/>
                <w:rtl w:val="0"/>
              </w:rPr>
              <w:t xml:space="preserve">Data Type</w:t>
            </w:r>
          </w:p>
        </w:tc>
        <w:tc>
          <w:tcPr>
            <w:shd w:fill="0b5394" w:val="clear"/>
            <w:tcMar>
              <w:top w:w="100.0" w:type="dxa"/>
              <w:left w:w="100.0" w:type="dxa"/>
              <w:bottom w:w="100.0" w:type="dxa"/>
              <w:right w:w="100.0" w:type="dxa"/>
            </w:tcMar>
            <w:vAlign w:val="bottom"/>
          </w:tcPr>
          <w:p w:rsidR="00000000" w:rsidDel="00000000" w:rsidP="00000000" w:rsidRDefault="00000000" w:rsidRPr="00000000" w14:paraId="00000007">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Available?</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Learning Model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20"/>
                <w:szCs w:val="20"/>
              </w:rPr>
            </w:pPr>
            <w:r w:rsidDel="00000000" w:rsidR="00000000" w:rsidRPr="00000000">
              <w:rPr>
                <w:sz w:val="20"/>
                <w:szCs w:val="20"/>
                <w:rtl w:val="0"/>
              </w:rPr>
              <w:t xml:space="preserve">Yes</w:t>
            </w:r>
          </w:p>
        </w:tc>
      </w:tr>
      <w:tr>
        <w:trPr>
          <w:cantSplit w:val="0"/>
          <w:trHeight w:val="424.9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Learning Model Enrollment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COVID-19 Case Data  (school- or district-level)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Masking Policy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Yes</w:t>
            </w:r>
          </w:p>
        </w:tc>
      </w:tr>
    </w:tbl>
    <w:p w:rsidR="00000000" w:rsidDel="00000000" w:rsidP="00000000" w:rsidRDefault="00000000" w:rsidRPr="00000000" w14:paraId="00000014">
      <w:pPr>
        <w:pageBreakBefore w:val="0"/>
        <w:pBdr>
          <w:bottom w:color="000000" w:space="2" w:sz="8" w:val="single"/>
        </w:pBdr>
        <w:rPr>
          <w:b w:val="1"/>
        </w:rPr>
      </w:pPr>
      <w:r w:rsidDel="00000000" w:rsidR="00000000" w:rsidRPr="00000000">
        <w:rPr>
          <w:rtl w:val="0"/>
        </w:rPr>
      </w:r>
    </w:p>
    <w:p w:rsidR="00000000" w:rsidDel="00000000" w:rsidP="00000000" w:rsidRDefault="00000000" w:rsidRPr="00000000" w14:paraId="00000015">
      <w:pPr>
        <w:pageBreakBefore w:val="0"/>
        <w:pBdr>
          <w:bottom w:color="000000" w:space="2" w:sz="8" w:val="single"/>
        </w:pBdr>
        <w:rPr>
          <w:sz w:val="20"/>
          <w:szCs w:val="20"/>
        </w:rPr>
      </w:pPr>
      <w:r w:rsidDel="00000000" w:rsidR="00000000" w:rsidRPr="00000000">
        <w:rPr>
          <w:sz w:val="20"/>
          <w:szCs w:val="20"/>
          <w:rtl w:val="0"/>
        </w:rPr>
        <w:t xml:space="preserve">Please see below for further details for each data type.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numPr>
          <w:ilvl w:val="0"/>
          <w:numId w:val="4"/>
        </w:numPr>
        <w:ind w:left="360"/>
        <w:rPr>
          <w:b w:val="1"/>
        </w:rPr>
      </w:pPr>
      <w:r w:rsidDel="00000000" w:rsidR="00000000" w:rsidRPr="00000000">
        <w:rPr>
          <w:b w:val="1"/>
          <w:rtl w:val="0"/>
        </w:rPr>
        <w:t xml:space="preserve">Learning Model Status &amp; Enrollment</w:t>
      </w:r>
    </w:p>
    <w:tbl>
      <w:tblPr>
        <w:tblStyle w:val="Table2"/>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935"/>
        <w:gridCol w:w="2040"/>
        <w:tblGridChange w:id="0">
          <w:tblGrid>
            <w:gridCol w:w="2370"/>
            <w:gridCol w:w="4935"/>
            <w:gridCol w:w="2040"/>
          </w:tblGrid>
        </w:tblGridChange>
      </w:tblGrid>
      <w:tr>
        <w:trPr>
          <w:cantSplit w:val="0"/>
          <w:trHeight w:val="400" w:hRule="atLeast"/>
          <w:tblHeader w:val="0"/>
        </w:trPr>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Learning Model Status Data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b w:val="1"/>
                <w:sz w:val="20"/>
                <w:szCs w:val="20"/>
              </w:rPr>
            </w:pPr>
            <w:r w:rsidDel="00000000" w:rsidR="00000000" w:rsidRPr="00000000">
              <w:rPr>
                <w:b w:val="1"/>
                <w:sz w:val="20"/>
                <w:szCs w:val="20"/>
                <w:rtl w:val="0"/>
              </w:rPr>
              <w:t xml:space="preserve">Learning model status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b w:val="1"/>
                <w:sz w:val="20"/>
                <w:szCs w:val="20"/>
              </w:rPr>
            </w:pPr>
            <w:r w:rsidDel="00000000" w:rsidR="00000000" w:rsidRPr="00000000">
              <w:rPr>
                <w:b w:val="1"/>
                <w:sz w:val="20"/>
                <w:szCs w:val="20"/>
                <w:rtl w:val="0"/>
              </w:rPr>
              <w:t xml:space="preserve">Learning model enrollment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20"/>
                <w:szCs w:val="20"/>
              </w:rPr>
            </w:pPr>
            <w:r w:rsidDel="00000000" w:rsidR="00000000" w:rsidRPr="00000000">
              <w:rPr>
                <w:sz w:val="20"/>
                <w:szCs w:val="20"/>
                <w:rtl w:val="0"/>
              </w:rPr>
              <w:t xml:space="preserve">School</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b w:val="1"/>
                <w:sz w:val="20"/>
                <w:szCs w:val="20"/>
              </w:rPr>
            </w:pPr>
            <w:r w:rsidDel="00000000" w:rsidR="00000000" w:rsidRPr="00000000">
              <w:rPr>
                <w:b w:val="1"/>
                <w:sz w:val="20"/>
                <w:szCs w:val="20"/>
                <w:rtl w:val="0"/>
              </w:rPr>
              <w:t xml:space="preserve">CSDH learning model definitions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2"/>
              </w:numPr>
              <w:spacing w:after="0" w:afterAutospacing="0" w:line="240" w:lineRule="auto"/>
              <w:ind w:left="270"/>
              <w:rPr>
                <w:b w:val="1"/>
                <w:color w:val="212529"/>
                <w:sz w:val="20"/>
                <w:szCs w:val="20"/>
              </w:rPr>
            </w:pPr>
            <w:r w:rsidDel="00000000" w:rsidR="00000000" w:rsidRPr="00000000">
              <w:rPr>
                <w:sz w:val="20"/>
                <w:szCs w:val="20"/>
                <w:rtl w:val="0"/>
              </w:rPr>
              <w:t xml:space="preserve">In-Person: All or most students received instruction in person, 5 days a week.</w:t>
            </w:r>
          </w:p>
          <w:p w:rsidR="00000000" w:rsidDel="00000000" w:rsidP="00000000" w:rsidRDefault="00000000" w:rsidRPr="00000000" w14:paraId="00000026">
            <w:pPr>
              <w:pageBreakBefore w:val="0"/>
              <w:numPr>
                <w:ilvl w:val="0"/>
                <w:numId w:val="2"/>
              </w:numPr>
              <w:spacing w:after="0" w:afterAutospacing="0" w:line="240" w:lineRule="auto"/>
              <w:ind w:left="270"/>
              <w:rPr>
                <w:b w:val="1"/>
                <w:color w:val="212529"/>
                <w:sz w:val="20"/>
                <w:szCs w:val="20"/>
              </w:rPr>
            </w:pPr>
            <w:r w:rsidDel="00000000" w:rsidR="00000000" w:rsidRPr="00000000">
              <w:rPr>
                <w:sz w:val="20"/>
                <w:szCs w:val="20"/>
                <w:rtl w:val="0"/>
              </w:rPr>
              <w:t xml:space="preserve">Hybrid: All or most students received a blend of in-person and virtual instruction.</w:t>
            </w:r>
          </w:p>
          <w:p w:rsidR="00000000" w:rsidDel="00000000" w:rsidP="00000000" w:rsidRDefault="00000000" w:rsidRPr="00000000" w14:paraId="00000027">
            <w:pPr>
              <w:pageBreakBefore w:val="0"/>
              <w:numPr>
                <w:ilvl w:val="0"/>
                <w:numId w:val="2"/>
              </w:numPr>
              <w:spacing w:after="240" w:line="240" w:lineRule="auto"/>
              <w:ind w:left="270"/>
              <w:rPr>
                <w:b w:val="1"/>
                <w:color w:val="212529"/>
                <w:sz w:val="20"/>
                <w:szCs w:val="20"/>
              </w:rPr>
            </w:pPr>
            <w:r w:rsidDel="00000000" w:rsidR="00000000" w:rsidRPr="00000000">
              <w:rPr>
                <w:sz w:val="20"/>
                <w:szCs w:val="20"/>
                <w:rtl w:val="0"/>
              </w:rPr>
              <w:t xml:space="preserve">Virtual: All or most students received instruction virtually, 5 days a week.</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b w:val="1"/>
                <w:sz w:val="20"/>
                <w:szCs w:val="20"/>
              </w:rPr>
            </w:pPr>
            <w:r w:rsidDel="00000000" w:rsidR="00000000" w:rsidRPr="00000000">
              <w:rPr>
                <w:b w:val="1"/>
                <w:sz w:val="20"/>
                <w:szCs w:val="20"/>
                <w:rtl w:val="0"/>
              </w:rPr>
              <w:t xml:space="preserve">Learning model statuses used by state (with definitions, if available)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240" w:line="240" w:lineRule="auto"/>
              <w:ind w:left="270"/>
              <w:rPr>
                <w:b w:val="1"/>
                <w:sz w:val="20"/>
                <w:szCs w:val="20"/>
              </w:rPr>
            </w:pPr>
            <w:r w:rsidDel="00000000" w:rsidR="00000000" w:rsidRPr="00000000">
              <w:rPr>
                <w:b w:val="1"/>
                <w:sz w:val="20"/>
                <w:szCs w:val="20"/>
                <w:rtl w:val="0"/>
              </w:rPr>
              <w:t xml:space="preserve">State Definition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240" w:line="240" w:lineRule="auto"/>
              <w:jc w:val="center"/>
              <w:rPr>
                <w:b w:val="1"/>
                <w:sz w:val="20"/>
                <w:szCs w:val="20"/>
              </w:rPr>
            </w:pPr>
            <w:r w:rsidDel="00000000" w:rsidR="00000000" w:rsidRPr="00000000">
              <w:rPr>
                <w:b w:val="1"/>
                <w:sz w:val="20"/>
                <w:szCs w:val="20"/>
                <w:rtl w:val="0"/>
              </w:rPr>
              <w:t xml:space="preserve">CSDH Dataset Classification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20"/>
                <w:szCs w:val="20"/>
              </w:rPr>
            </w:pPr>
            <w:r w:rsidDel="00000000" w:rsidR="00000000" w:rsidRPr="00000000">
              <w:rPr>
                <w:sz w:val="20"/>
                <w:szCs w:val="20"/>
                <w:rtl w:val="0"/>
              </w:rPr>
              <w:t xml:space="preserve">In Person: Students attend school (in person) five days a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jc w:val="center"/>
              <w:rPr>
                <w:sz w:val="20"/>
                <w:szCs w:val="20"/>
              </w:rPr>
            </w:pPr>
            <w:r w:rsidDel="00000000" w:rsidR="00000000" w:rsidRPr="00000000">
              <w:rPr>
                <w:sz w:val="20"/>
                <w:szCs w:val="20"/>
                <w:rtl w:val="0"/>
              </w:rPr>
              <w:t xml:space="preserve">In-Person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sz w:val="20"/>
                <w:szCs w:val="20"/>
                <w:rtl w:val="0"/>
              </w:rPr>
              <w:t xml:space="preserve">Remote: Students attend class remotely (from home) five days a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jc w:val="center"/>
              <w:rPr>
                <w:sz w:val="20"/>
                <w:szCs w:val="20"/>
              </w:rPr>
            </w:pPr>
            <w:r w:rsidDel="00000000" w:rsidR="00000000" w:rsidRPr="00000000">
              <w:rPr>
                <w:sz w:val="20"/>
                <w:szCs w:val="20"/>
                <w:rtl w:val="0"/>
              </w:rPr>
              <w:t xml:space="preserve">Virtual</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sz w:val="20"/>
                <w:szCs w:val="20"/>
              </w:rPr>
            </w:pPr>
            <w:r w:rsidDel="00000000" w:rsidR="00000000" w:rsidRPr="00000000">
              <w:rPr>
                <w:sz w:val="20"/>
                <w:szCs w:val="20"/>
                <w:rtl w:val="0"/>
              </w:rPr>
              <w:t xml:space="preserve">Hybrid: Students attend class remotely 1-4 days a week, and in person the other 1-4 days. (The majority of schools used a four days in person, one day remote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center"/>
              <w:rPr>
                <w:sz w:val="20"/>
                <w:szCs w:val="20"/>
              </w:rPr>
            </w:pPr>
            <w:r w:rsidDel="00000000" w:rsidR="00000000" w:rsidRPr="00000000">
              <w:rPr>
                <w:sz w:val="20"/>
                <w:szCs w:val="20"/>
                <w:rtl w:val="0"/>
              </w:rPr>
              <w:t xml:space="preserve">Hybrid</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sz w:val="20"/>
                <w:szCs w:val="20"/>
              </w:rPr>
            </w:pPr>
            <w:r w:rsidDel="00000000" w:rsidR="00000000" w:rsidRPr="00000000">
              <w:rPr>
                <w:sz w:val="20"/>
                <w:szCs w:val="20"/>
                <w:rtl w:val="0"/>
              </w:rPr>
              <w:t xml:space="preserve">Monthly from September 2020 through May 2021.</w:t>
            </w:r>
          </w:p>
          <w:p w:rsidR="00000000" w:rsidDel="00000000" w:rsidP="00000000" w:rsidRDefault="00000000" w:rsidRPr="00000000" w14:paraId="0000003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The Vermont data include time period start month and year. Time period start dates were derived as the first day of the month. Because these are monthly data, time period end dates were derived as the last day of the month. These dates do not necessarily reflect the start/end dates of the school year.</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sz w:val="20"/>
                <w:szCs w:val="20"/>
                <w:rtl w:val="0"/>
              </w:rPr>
              <w:t xml:space="preserve">Vermont Agency of Education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sz w:val="20"/>
                <w:szCs w:val="20"/>
              </w:rPr>
            </w:pPr>
            <w:r w:rsidDel="00000000" w:rsidR="00000000" w:rsidRPr="00000000">
              <w:rPr>
                <w:b w:val="1"/>
                <w:sz w:val="20"/>
                <w:szCs w:val="20"/>
                <w:rtl w:val="0"/>
              </w:rPr>
              <w:t xml:space="preserve">Enrollment 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The EnrollmentTotal variable presents the total K-12 school-level enrollment for the 2020-21 school year as available from Vermont’s Education Dashboard, reflecting enrollment as of October 2020. (See: </w:t>
            </w:r>
            <w:hyperlink r:id="rId6">
              <w:r w:rsidDel="00000000" w:rsidR="00000000" w:rsidRPr="00000000">
                <w:rPr>
                  <w:sz w:val="20"/>
                  <w:szCs w:val="20"/>
                  <w:rtl w:val="0"/>
                </w:rPr>
                <w:t xml:space="preserve">https://education.vermont.gov/data-and-reporting/vermont-education-dashboard/enrollment</w:t>
              </w:r>
            </w:hyperlink>
            <w:r w:rsidDel="00000000" w:rsidR="00000000" w:rsidRPr="00000000">
              <w:rPr>
                <w:sz w:val="20"/>
                <w:szCs w:val="20"/>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sz w:val="20"/>
                <w:szCs w:val="20"/>
              </w:rPr>
            </w:pPr>
            <w:r w:rsidDel="00000000" w:rsidR="00000000" w:rsidRPr="00000000">
              <w:rPr>
                <w:b w:val="1"/>
                <w:sz w:val="20"/>
                <w:szCs w:val="20"/>
                <w:rtl w:val="0"/>
              </w:rPr>
              <w:t xml:space="preserve">Additional learning model data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Learning Model Enrollment </w:t>
            </w:r>
          </w:p>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Enrollment by learning model (in-person, virtual, hybrid) were provided from the VT Agency of Education as percentages by grade band (Elementary, Middle School, High School), as collected from the state’s monthly Strong and Healthy Schools Survey.</w:t>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Total enrollment counts for each learning model were calculated as the sum of the total enrollment for each grade band multiplied by the learning model percentage for that grade band.</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If learning model counts are not provided for a particular month it is because the school did not submit a survey for that month. Grade band information was also provided by schools and may reflect some inconsistencies. </w:t>
            </w:r>
            <w:r w:rsidDel="00000000" w:rsidR="00000000" w:rsidRPr="00000000">
              <w:rPr>
                <w:rtl w:val="0"/>
              </w:rPr>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Learning Model Categorization</w:t>
            </w:r>
          </w:p>
          <w:p w:rsidR="00000000" w:rsidDel="00000000" w:rsidP="00000000" w:rsidRDefault="00000000" w:rsidRPr="00000000" w14:paraId="00000049">
            <w:pPr>
              <w:pageBreakBefore w:val="0"/>
              <w:rPr>
                <w:sz w:val="20"/>
                <w:szCs w:val="20"/>
              </w:rPr>
            </w:pPr>
            <w:r w:rsidDel="00000000" w:rsidR="00000000" w:rsidRPr="00000000">
              <w:rPr>
                <w:sz w:val="20"/>
                <w:szCs w:val="20"/>
                <w:rtl w:val="0"/>
              </w:rPr>
              <w:t xml:space="preserve">The state did not categorize schools by learning model. Each school was allowed to use multiple learning models to best fit their student populations, and very few schools used only one model for 100% of their students. </w:t>
            </w:r>
          </w:p>
          <w:p w:rsidR="00000000" w:rsidDel="00000000" w:rsidP="00000000" w:rsidRDefault="00000000" w:rsidRPr="00000000" w14:paraId="0000004A">
            <w:pPr>
              <w:pageBreakBefore w:val="0"/>
              <w:rPr>
                <w:sz w:val="20"/>
                <w:szCs w:val="20"/>
              </w:rPr>
            </w:pPr>
            <w:r w:rsidDel="00000000" w:rsidR="00000000" w:rsidRPr="00000000">
              <w:rPr>
                <w:rtl w:val="0"/>
              </w:rPr>
            </w:r>
          </w:p>
          <w:p w:rsidR="00000000" w:rsidDel="00000000" w:rsidP="00000000" w:rsidRDefault="00000000" w:rsidRPr="00000000" w14:paraId="0000004B">
            <w:pPr>
              <w:pageBreakBefore w:val="0"/>
              <w:rPr>
                <w:sz w:val="20"/>
                <w:szCs w:val="20"/>
              </w:rPr>
            </w:pPr>
            <w:r w:rsidDel="00000000" w:rsidR="00000000" w:rsidRPr="00000000">
              <w:rPr>
                <w:sz w:val="20"/>
                <w:szCs w:val="20"/>
                <w:rtl w:val="0"/>
              </w:rPr>
              <w:t xml:space="preserve">Based on the enrollment counts, the school-level learning models presented in this dataset were determined by the COVID-19 School Data Hub using the following parameters:</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sz w:val="20"/>
                <w:szCs w:val="20"/>
              </w:rPr>
            </w:pPr>
            <w:r w:rsidDel="00000000" w:rsidR="00000000" w:rsidRPr="00000000">
              <w:rPr>
                <w:sz w:val="20"/>
                <w:szCs w:val="20"/>
                <w:rtl w:val="0"/>
              </w:rPr>
              <w:t xml:space="preserve">Virtual = </w:t>
            </w:r>
          </w:p>
          <w:p w:rsidR="00000000" w:rsidDel="00000000" w:rsidP="00000000" w:rsidRDefault="00000000" w:rsidRPr="00000000" w14:paraId="0000004E">
            <w:pPr>
              <w:numPr>
                <w:ilvl w:val="1"/>
                <w:numId w:val="1"/>
              </w:numPr>
              <w:ind w:left="1170" w:hanging="360"/>
              <w:rPr>
                <w:sz w:val="20"/>
                <w:szCs w:val="20"/>
              </w:rPr>
            </w:pPr>
            <w:r w:rsidDel="00000000" w:rsidR="00000000" w:rsidRPr="00000000">
              <w:rPr>
                <w:sz w:val="20"/>
                <w:szCs w:val="20"/>
                <w:rtl w:val="0"/>
              </w:rPr>
              <w:t xml:space="preserve">If a school or district has virtual enrollment that is more than 90% of the total student enrollment (i.e., EnrollmentTotal)</w:t>
            </w:r>
          </w:p>
          <w:p w:rsidR="00000000" w:rsidDel="00000000" w:rsidP="00000000" w:rsidRDefault="00000000" w:rsidRPr="00000000" w14:paraId="0000004F">
            <w:pPr>
              <w:ind w:left="720" w:hanging="360"/>
              <w:rPr>
                <w:sz w:val="20"/>
                <w:szCs w:val="20"/>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Calibri" w:cs="Calibri" w:eastAsia="Calibri" w:hAnsi="Calibri"/>
                <w:sz w:val="20"/>
                <w:szCs w:val="20"/>
              </w:rPr>
            </w:pPr>
            <w:r w:rsidDel="00000000" w:rsidR="00000000" w:rsidRPr="00000000">
              <w:rPr>
                <w:sz w:val="20"/>
                <w:szCs w:val="20"/>
                <w:rtl w:val="0"/>
              </w:rPr>
              <w:t xml:space="preserve">In-person = </w:t>
            </w:r>
          </w:p>
          <w:p w:rsidR="00000000" w:rsidDel="00000000" w:rsidP="00000000" w:rsidRDefault="00000000" w:rsidRPr="00000000" w14:paraId="00000051">
            <w:pPr>
              <w:numPr>
                <w:ilvl w:val="1"/>
                <w:numId w:val="1"/>
              </w:numPr>
              <w:ind w:left="1170" w:hanging="360"/>
              <w:rPr>
                <w:sz w:val="20"/>
                <w:szCs w:val="20"/>
              </w:rPr>
            </w:pPr>
            <w:r w:rsidDel="00000000" w:rsidR="00000000" w:rsidRPr="00000000">
              <w:rPr>
                <w:sz w:val="20"/>
                <w:szCs w:val="20"/>
                <w:rtl w:val="0"/>
              </w:rPr>
              <w:t xml:space="preserve">any school/district with ONLY in-person enrollment; or </w:t>
            </w:r>
          </w:p>
          <w:p w:rsidR="00000000" w:rsidDel="00000000" w:rsidP="00000000" w:rsidRDefault="00000000" w:rsidRPr="00000000" w14:paraId="00000052">
            <w:pPr>
              <w:numPr>
                <w:ilvl w:val="1"/>
                <w:numId w:val="1"/>
              </w:numPr>
              <w:ind w:left="1170" w:hanging="360"/>
              <w:rPr>
                <w:sz w:val="20"/>
                <w:szCs w:val="20"/>
              </w:rPr>
            </w:pPr>
            <w:r w:rsidDel="00000000" w:rsidR="00000000" w:rsidRPr="00000000">
              <w:rPr>
                <w:sz w:val="20"/>
                <w:szCs w:val="20"/>
                <w:rtl w:val="0"/>
              </w:rPr>
              <w:t xml:space="preserve">any school/district with in-person AND virtual enrollment if in-person enrollment is 10% or more of the total learning model enrollment. </w:t>
            </w:r>
          </w:p>
          <w:p w:rsidR="00000000" w:rsidDel="00000000" w:rsidP="00000000" w:rsidRDefault="00000000" w:rsidRPr="00000000" w14:paraId="00000053">
            <w:pPr>
              <w:ind w:left="720" w:hanging="360"/>
              <w:rPr>
                <w:sz w:val="20"/>
                <w:szCs w:val="20"/>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Calibri" w:cs="Calibri" w:eastAsia="Calibri" w:hAnsi="Calibri"/>
                <w:sz w:val="20"/>
                <w:szCs w:val="20"/>
              </w:rPr>
            </w:pPr>
            <w:r w:rsidDel="00000000" w:rsidR="00000000" w:rsidRPr="00000000">
              <w:rPr>
                <w:sz w:val="20"/>
                <w:szCs w:val="20"/>
                <w:rtl w:val="0"/>
              </w:rPr>
              <w:t xml:space="preserve">Hybrid= </w:t>
            </w:r>
          </w:p>
          <w:p w:rsidR="00000000" w:rsidDel="00000000" w:rsidP="00000000" w:rsidRDefault="00000000" w:rsidRPr="00000000" w14:paraId="00000055">
            <w:pPr>
              <w:numPr>
                <w:ilvl w:val="1"/>
                <w:numId w:val="1"/>
              </w:numPr>
              <w:ind w:left="1170" w:hanging="360"/>
              <w:rPr>
                <w:sz w:val="20"/>
                <w:szCs w:val="20"/>
              </w:rPr>
            </w:pPr>
            <w:r w:rsidDel="00000000" w:rsidR="00000000" w:rsidRPr="00000000">
              <w:rPr>
                <w:sz w:val="20"/>
                <w:szCs w:val="20"/>
                <w:rtl w:val="0"/>
              </w:rPr>
              <w:t xml:space="preserve">any district with ONLY hybrid enrollment; or </w:t>
            </w:r>
          </w:p>
          <w:p w:rsidR="00000000" w:rsidDel="00000000" w:rsidP="00000000" w:rsidRDefault="00000000" w:rsidRPr="00000000" w14:paraId="00000056">
            <w:pPr>
              <w:numPr>
                <w:ilvl w:val="1"/>
                <w:numId w:val="1"/>
              </w:numPr>
              <w:ind w:left="1170" w:hanging="360"/>
              <w:rPr>
                <w:sz w:val="20"/>
                <w:szCs w:val="20"/>
              </w:rPr>
            </w:pPr>
            <w:r w:rsidDel="00000000" w:rsidR="00000000" w:rsidRPr="00000000">
              <w:rPr>
                <w:sz w:val="20"/>
                <w:szCs w:val="20"/>
                <w:rtl w:val="0"/>
              </w:rPr>
              <w:t xml:space="preserve">any school/district with hybrid AND virtual enrollment if hybrid enrollment is 10% or more of the total learning model enrollment. </w:t>
            </w:r>
          </w:p>
          <w:p w:rsidR="00000000" w:rsidDel="00000000" w:rsidP="00000000" w:rsidRDefault="00000000" w:rsidRPr="00000000" w14:paraId="00000057">
            <w:pPr>
              <w:ind w:left="720" w:hanging="360"/>
              <w:rPr>
                <w:sz w:val="20"/>
                <w:szCs w:val="20"/>
              </w:rPr>
            </w:pPr>
            <w:r w:rsidDel="00000000" w:rsidR="00000000" w:rsidRPr="00000000">
              <w:rPr>
                <w:rtl w:val="0"/>
              </w:rPr>
            </w:r>
          </w:p>
          <w:p w:rsidR="00000000" w:rsidDel="00000000" w:rsidP="00000000" w:rsidRDefault="00000000" w:rsidRPr="00000000" w14:paraId="00000058">
            <w:pPr>
              <w:numPr>
                <w:ilvl w:val="0"/>
                <w:numId w:val="1"/>
              </w:numPr>
              <w:ind w:left="720" w:hanging="360"/>
              <w:rPr>
                <w:sz w:val="20"/>
                <w:szCs w:val="20"/>
              </w:rPr>
            </w:pPr>
            <w:r w:rsidDel="00000000" w:rsidR="00000000" w:rsidRPr="00000000">
              <w:rPr>
                <w:sz w:val="20"/>
                <w:szCs w:val="20"/>
                <w:rtl w:val="0"/>
              </w:rPr>
              <w:t xml:space="preserve">When distinguishing between whether to classify as in-person or hybrid, the learning model is categorized as whichever model has the greatest number of students enrolled. </w:t>
            </w:r>
          </w:p>
          <w:p w:rsidR="00000000" w:rsidDel="00000000" w:rsidP="00000000" w:rsidRDefault="00000000" w:rsidRPr="00000000" w14:paraId="00000059">
            <w:pPr>
              <w:numPr>
                <w:ilvl w:val="1"/>
                <w:numId w:val="1"/>
              </w:numPr>
              <w:ind w:left="1170" w:hanging="360"/>
              <w:rPr>
                <w:rFonts w:ascii="Calibri" w:cs="Calibri" w:eastAsia="Calibri" w:hAnsi="Calibri"/>
                <w:sz w:val="20"/>
                <w:szCs w:val="20"/>
              </w:rPr>
            </w:pPr>
            <w:r w:rsidDel="00000000" w:rsidR="00000000" w:rsidRPr="00000000">
              <w:rPr>
                <w:sz w:val="20"/>
                <w:szCs w:val="20"/>
                <w:rtl w:val="0"/>
              </w:rPr>
              <w:t xml:space="preserve">If there are “ties” in the # of enrolled students in the in-person and hybrid models (or hybrid-virtual models), the learning model should be the one that reflects the most “in-person approach”. In other words:</w:t>
            </w:r>
          </w:p>
          <w:p w:rsidR="00000000" w:rsidDel="00000000" w:rsidP="00000000" w:rsidRDefault="00000000" w:rsidRPr="00000000" w14:paraId="0000005A">
            <w:pPr>
              <w:ind w:left="1710" w:hanging="360"/>
              <w:rPr>
                <w:sz w:val="20"/>
                <w:szCs w:val="20"/>
              </w:rPr>
            </w:pPr>
            <w:r w:rsidDel="00000000" w:rsidR="00000000" w:rsidRPr="00000000">
              <w:rPr>
                <w:sz w:val="20"/>
                <w:szCs w:val="20"/>
                <w:rtl w:val="0"/>
              </w:rPr>
              <w:t xml:space="preserve">o   In-person/Virtual ties: Coded as In-person</w:t>
            </w:r>
          </w:p>
          <w:p w:rsidR="00000000" w:rsidDel="00000000" w:rsidP="00000000" w:rsidRDefault="00000000" w:rsidRPr="00000000" w14:paraId="0000005B">
            <w:pPr>
              <w:ind w:left="1710" w:hanging="360"/>
              <w:rPr>
                <w:sz w:val="20"/>
                <w:szCs w:val="20"/>
              </w:rPr>
            </w:pPr>
            <w:r w:rsidDel="00000000" w:rsidR="00000000" w:rsidRPr="00000000">
              <w:rPr>
                <w:sz w:val="20"/>
                <w:szCs w:val="20"/>
                <w:rtl w:val="0"/>
              </w:rPr>
              <w:t xml:space="preserve">o   In-person/Hybrid ties: Coded as In-person</w:t>
            </w:r>
          </w:p>
          <w:p w:rsidR="00000000" w:rsidDel="00000000" w:rsidP="00000000" w:rsidRDefault="00000000" w:rsidRPr="00000000" w14:paraId="0000005C">
            <w:pPr>
              <w:ind w:left="1710" w:hanging="360"/>
              <w:rPr>
                <w:sz w:val="20"/>
                <w:szCs w:val="20"/>
              </w:rPr>
            </w:pPr>
            <w:r w:rsidDel="00000000" w:rsidR="00000000" w:rsidRPr="00000000">
              <w:rPr>
                <w:sz w:val="20"/>
                <w:szCs w:val="20"/>
                <w:rtl w:val="0"/>
              </w:rPr>
              <w:t xml:space="preserve">o   Hybrid/Virtual ties: Coded as Hybrid</w:t>
            </w:r>
          </w:p>
          <w:p w:rsidR="00000000" w:rsidDel="00000000" w:rsidP="00000000" w:rsidRDefault="00000000" w:rsidRPr="00000000" w14:paraId="0000005D">
            <w:pPr>
              <w:ind w:left="720" w:hanging="360"/>
              <w:rPr>
                <w:sz w:val="20"/>
                <w:szCs w:val="20"/>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sz w:val="20"/>
                <w:szCs w:val="20"/>
              </w:rPr>
            </w:pPr>
            <w:r w:rsidDel="00000000" w:rsidR="00000000" w:rsidRPr="00000000">
              <w:rPr>
                <w:sz w:val="20"/>
                <w:szCs w:val="20"/>
                <w:rtl w:val="0"/>
              </w:rPr>
              <w:t xml:space="preserve">The learning model is left blank if total learning model enrollment &lt;60% of EnrollmentTotal.</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b w:val="1"/>
                <w:sz w:val="20"/>
                <w:szCs w:val="20"/>
              </w:rPr>
            </w:pPr>
            <w:r w:rsidDel="00000000" w:rsidR="00000000" w:rsidRPr="00000000">
              <w:rPr>
                <w:b w:val="1"/>
                <w:sz w:val="20"/>
                <w:szCs w:val="20"/>
                <w:rtl w:val="0"/>
              </w:rPr>
              <w:t xml:space="preserve">Staff counts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rPr>
                <w:sz w:val="20"/>
                <w:szCs w:val="20"/>
              </w:rPr>
            </w:pPr>
            <w:r w:rsidDel="00000000" w:rsidR="00000000" w:rsidRPr="00000000">
              <w:rPr>
                <w:sz w:val="20"/>
                <w:szCs w:val="20"/>
                <w:rtl w:val="0"/>
              </w:rPr>
              <w:t xml:space="preserve">School-level staff counts and in-person staff counts for the 2020-21 school year were provided from Vermont’s AOE based on the </w:t>
            </w:r>
            <w:r w:rsidDel="00000000" w:rsidR="00000000" w:rsidRPr="00000000">
              <w:rPr>
                <w:sz w:val="20"/>
                <w:szCs w:val="20"/>
                <w:rtl w:val="0"/>
              </w:rPr>
              <w:t xml:space="preserve">Strong and Healthy Schools survey</w:t>
            </w:r>
            <w:r w:rsidDel="00000000" w:rsidR="00000000" w:rsidRPr="00000000">
              <w:rPr>
                <w:sz w:val="20"/>
                <w:szCs w:val="20"/>
                <w:rtl w:val="0"/>
              </w:rPr>
              <w:t xml:space="preserve">. </w:t>
            </w:r>
            <w:r w:rsidDel="00000000" w:rsidR="00000000" w:rsidRPr="00000000">
              <w:rPr>
                <w:sz w:val="20"/>
                <w:szCs w:val="20"/>
                <w:rtl w:val="0"/>
              </w:rPr>
              <w:t xml:space="preserve">Staff counts should include every person who works at the school (teachers, councilors, maintenance, etc). </w:t>
            </w:r>
            <w:r w:rsidDel="00000000" w:rsidR="00000000" w:rsidRPr="00000000">
              <w:rPr>
                <w:sz w:val="20"/>
                <w:szCs w:val="20"/>
                <w:rtl w:val="0"/>
              </w:rPr>
              <w:t xml:space="preserve">The state reported that any discrepancies between the number of employed staff and the number of staff working in-person were likely due to data entry errors or misinterpretations in response to the survey.</w:t>
            </w:r>
            <w:r w:rsidDel="00000000" w:rsidR="00000000" w:rsidRPr="00000000">
              <w:rPr>
                <w:rtl w:val="0"/>
              </w:rPr>
            </w:r>
          </w:p>
        </w:tc>
      </w:tr>
    </w:tbl>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numPr>
          <w:ilvl w:val="0"/>
          <w:numId w:val="4"/>
        </w:numPr>
        <w:ind w:left="360"/>
        <w:rPr>
          <w:b w:val="1"/>
        </w:rPr>
      </w:pPr>
      <w:r w:rsidDel="00000000" w:rsidR="00000000" w:rsidRPr="00000000">
        <w:rPr>
          <w:b w:val="1"/>
          <w:rtl w:val="0"/>
        </w:rPr>
        <w:t xml:space="preserve">COVID-19 Case Data </w:t>
      </w:r>
    </w:p>
    <w:tbl>
      <w:tblPr>
        <w:tblStyle w:val="Table3"/>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0.2935222672068"/>
        <w:gridCol w:w="3452.353238866397"/>
        <w:gridCol w:w="3452.353238866397"/>
        <w:tblGridChange w:id="0">
          <w:tblGrid>
            <w:gridCol w:w="2440.2935222672068"/>
            <w:gridCol w:w="3452.353238866397"/>
            <w:gridCol w:w="3452.353238866397"/>
          </w:tblGrid>
        </w:tblGridChange>
      </w:tblGrid>
      <w:tr>
        <w:trPr>
          <w:cantSplit w:val="0"/>
          <w:trHeight w:val="400" w:hRule="atLeast"/>
          <w:tblHeader w:val="0"/>
        </w:trPr>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COVID-19 Case Data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sz w:val="20"/>
                <w:szCs w:val="20"/>
              </w:rPr>
            </w:pPr>
            <w:r w:rsidDel="00000000" w:rsidR="00000000" w:rsidRPr="00000000">
              <w:rPr>
                <w:b w:val="1"/>
                <w:sz w:val="20"/>
                <w:szCs w:val="20"/>
                <w:rtl w:val="0"/>
              </w:rPr>
              <w:t xml:space="preserve">School- or district-level data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20"/>
                <w:szCs w:val="20"/>
              </w:rPr>
            </w:pPr>
            <w:r w:rsidDel="00000000" w:rsidR="00000000" w:rsidRPr="00000000">
              <w:rPr>
                <w:sz w:val="20"/>
                <w:szCs w:val="20"/>
                <w:rtl w:val="0"/>
              </w:rPr>
              <w:t xml:space="preserve">School</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b w:val="1"/>
                <w:sz w:val="20"/>
                <w:szCs w:val="20"/>
              </w:rPr>
            </w:pPr>
            <w:r w:rsidDel="00000000" w:rsidR="00000000" w:rsidRPr="00000000">
              <w:rPr>
                <w:b w:val="1"/>
                <w:sz w:val="20"/>
                <w:szCs w:val="20"/>
                <w:rtl w:val="0"/>
              </w:rPr>
              <w:t xml:space="preserve">How case counts are reported: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numPr>
                <w:ilvl w:val="0"/>
                <w:numId w:val="3"/>
              </w:numPr>
              <w:spacing w:line="240" w:lineRule="auto"/>
              <w:ind w:left="450" w:hanging="360"/>
              <w:rPr>
                <w:sz w:val="20"/>
                <w:szCs w:val="20"/>
              </w:rPr>
            </w:pPr>
            <w:r w:rsidDel="00000000" w:rsidR="00000000" w:rsidRPr="00000000">
              <w:rPr>
                <w:sz w:val="20"/>
                <w:szCs w:val="20"/>
                <w:rtl w:val="0"/>
              </w:rPr>
              <w:t xml:space="preserve">Staff and students reported together</w:t>
            </w:r>
          </w:p>
          <w:p w:rsidR="00000000" w:rsidDel="00000000" w:rsidP="00000000" w:rsidRDefault="00000000" w:rsidRPr="00000000" w14:paraId="0000007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highlight w:val="white"/>
              </w:rPr>
            </w:pPr>
            <w:r w:rsidDel="00000000" w:rsidR="00000000" w:rsidRPr="00000000">
              <w:rPr>
                <w:sz w:val="20"/>
                <w:szCs w:val="20"/>
                <w:highlight w:val="white"/>
                <w:rtl w:val="0"/>
              </w:rPr>
              <w:t xml:space="preserve">Vermont reports case counts by K-12 learning communities, which include staff, students, faculty, bus drivers, and kitchen staff. However, Vermont does not differentiate among these groups or across age groups. The data include both PCR-confirmed cases and probable cases. </w:t>
            </w:r>
          </w:p>
          <w:p w:rsidR="00000000" w:rsidDel="00000000" w:rsidP="00000000" w:rsidRDefault="00000000" w:rsidRPr="00000000" w14:paraId="0000007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73">
            <w:pPr>
              <w:widowControl w:val="0"/>
              <w:spacing w:line="240" w:lineRule="auto"/>
              <w:rPr>
                <w:sz w:val="20"/>
                <w:szCs w:val="20"/>
                <w:highlight w:val="white"/>
              </w:rPr>
            </w:pPr>
            <w:r w:rsidDel="00000000" w:rsidR="00000000" w:rsidRPr="00000000">
              <w:rPr>
                <w:sz w:val="20"/>
                <w:szCs w:val="20"/>
                <w:highlight w:val="white"/>
                <w:rtl w:val="0"/>
              </w:rPr>
              <w:t xml:space="preserve">These counts represent cases by school, not by individual. For example, if someone works at or attends more than one school, they will be counted under each school if</w:t>
            </w:r>
          </w:p>
          <w:p w:rsidR="00000000" w:rsidDel="00000000" w:rsidP="00000000" w:rsidRDefault="00000000" w:rsidRPr="00000000" w14:paraId="00000074">
            <w:pPr>
              <w:widowControl w:val="0"/>
              <w:spacing w:line="240" w:lineRule="auto"/>
              <w:rPr>
                <w:sz w:val="20"/>
                <w:szCs w:val="20"/>
                <w:highlight w:val="white"/>
              </w:rPr>
            </w:pPr>
            <w:r w:rsidDel="00000000" w:rsidR="00000000" w:rsidRPr="00000000">
              <w:rPr>
                <w:sz w:val="20"/>
                <w:szCs w:val="20"/>
                <w:highlight w:val="white"/>
                <w:rtl w:val="0"/>
              </w:rPr>
              <w:t xml:space="preserve">it was determined through contact tracing that the person was in both locations during their infectious period.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20"/>
                <w:szCs w:val="20"/>
              </w:rPr>
            </w:pPr>
            <w:r w:rsidDel="00000000" w:rsidR="00000000" w:rsidRPr="00000000">
              <w:rPr>
                <w:sz w:val="20"/>
                <w:szCs w:val="20"/>
                <w:rtl w:val="0"/>
              </w:rPr>
              <w:t xml:space="preserve">Weekly</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b w:val="1"/>
                <w:sz w:val="20"/>
                <w:szCs w:val="20"/>
              </w:rPr>
            </w:pPr>
            <w:r w:rsidDel="00000000" w:rsidR="00000000" w:rsidRPr="00000000">
              <w:rPr>
                <w:b w:val="1"/>
                <w:sz w:val="20"/>
                <w:szCs w:val="20"/>
                <w:rtl w:val="0"/>
              </w:rPr>
              <w:t xml:space="preserve">Data masking information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20"/>
                <w:szCs w:val="20"/>
              </w:rPr>
            </w:pPr>
            <w:r w:rsidDel="00000000" w:rsidR="00000000" w:rsidRPr="00000000">
              <w:rPr>
                <w:sz w:val="20"/>
                <w:szCs w:val="20"/>
                <w:rtl w:val="0"/>
              </w:rPr>
              <w:t xml:space="preserve">Vermont does not mask cases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20"/>
                <w:szCs w:val="20"/>
              </w:rPr>
            </w:pPr>
            <w:hyperlink r:id="rId7">
              <w:r w:rsidDel="00000000" w:rsidR="00000000" w:rsidRPr="00000000">
                <w:rPr>
                  <w:color w:val="1155cc"/>
                  <w:sz w:val="20"/>
                  <w:szCs w:val="20"/>
                  <w:u w:val="single"/>
                  <w:rtl w:val="0"/>
                </w:rPr>
                <w:t xml:space="preserve">Vermont Department of Health</w:t>
              </w:r>
            </w:hyperlink>
            <w:r w:rsidDel="00000000" w:rsidR="00000000" w:rsidRPr="00000000">
              <w:rPr>
                <w:rtl w:val="0"/>
              </w:rPr>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0"/>
                <w:szCs w:val="20"/>
              </w:rPr>
            </w:pPr>
            <w:r w:rsidDel="00000000" w:rsidR="00000000" w:rsidRPr="00000000">
              <w:rPr>
                <w:b w:val="1"/>
                <w:sz w:val="20"/>
                <w:szCs w:val="20"/>
                <w:rtl w:val="0"/>
              </w:rPr>
              <w:t xml:space="preserve">Variables used from original data</w:t>
            </w:r>
          </w:p>
        </w:tc>
        <w:tc>
          <w:tcPr>
            <w:tcBorders>
              <w:bottom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0"/>
                <w:szCs w:val="20"/>
                <w:highlight w:val="white"/>
              </w:rPr>
            </w:pPr>
            <w:r w:rsidDel="00000000" w:rsidR="00000000" w:rsidRPr="00000000">
              <w:rPr>
                <w:b w:val="1"/>
                <w:sz w:val="20"/>
                <w:szCs w:val="20"/>
                <w:highlight w:val="white"/>
                <w:rtl w:val="0"/>
              </w:rPr>
              <w:t xml:space="preserve">Original Variable in State Data</w:t>
            </w:r>
          </w:p>
        </w:tc>
        <w:tc>
          <w:tcPr>
            <w:tcBorders>
              <w:bottom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0"/>
                <w:szCs w:val="20"/>
                <w:highlight w:val="white"/>
              </w:rPr>
            </w:pPr>
            <w:r w:rsidDel="00000000" w:rsidR="00000000" w:rsidRPr="00000000">
              <w:rPr>
                <w:b w:val="1"/>
                <w:sz w:val="20"/>
                <w:szCs w:val="20"/>
                <w:highlight w:val="white"/>
                <w:rtl w:val="0"/>
              </w:rPr>
              <w:t xml:space="preserve">CSDH Dataset Variable</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School Name</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SchoolName</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Report Date</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TimePeriodEnd</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Report Date</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TimePeriodStart</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Report Date</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TimePeriodInterval</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Cases Reported in the Past 7 Days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NewCasesStaffStudentsCombined</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Total Cases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CumulativeCasesCombined</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Current Cases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Not mapped (see additional details)</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Recovered</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Not mapped (see additional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b w:val="1"/>
                <w:sz w:val="20"/>
                <w:szCs w:val="20"/>
              </w:rPr>
            </w:pPr>
            <w:r w:rsidDel="00000000" w:rsidR="00000000" w:rsidRPr="00000000">
              <w:rPr>
                <w:b w:val="1"/>
                <w:sz w:val="20"/>
                <w:szCs w:val="20"/>
                <w:rtl w:val="0"/>
              </w:rPr>
              <w:t xml:space="preserve">Additional data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sz w:val="20"/>
                <w:szCs w:val="20"/>
              </w:rPr>
            </w:pPr>
            <w:r w:rsidDel="00000000" w:rsidR="00000000" w:rsidRPr="00000000">
              <w:rPr>
                <w:sz w:val="20"/>
                <w:szCs w:val="20"/>
                <w:rtl w:val="0"/>
              </w:rPr>
              <w:t xml:space="preserve">The first report (Oct 16, 2020) had a different format than subsequent formats, reporting "Current Cases" and "Recovered" rather than "Cases Reported in the Last 7 Days" and "Total Cases."</w:t>
            </w:r>
          </w:p>
        </w:tc>
      </w:tr>
    </w:tbl>
    <w:p w:rsidR="00000000" w:rsidDel="00000000" w:rsidP="00000000" w:rsidRDefault="00000000" w:rsidRPr="00000000" w14:paraId="0000009D">
      <w:pPr>
        <w:pageBreakBefore w:val="0"/>
        <w:rPr>
          <w:b w:val="1"/>
        </w:rPr>
      </w:pPr>
      <w:r w:rsidDel="00000000" w:rsidR="00000000" w:rsidRPr="00000000">
        <w:rPr>
          <w:rtl w:val="0"/>
        </w:rPr>
      </w:r>
    </w:p>
    <w:p w:rsidR="00000000" w:rsidDel="00000000" w:rsidP="00000000" w:rsidRDefault="00000000" w:rsidRPr="00000000" w14:paraId="0000009E">
      <w:pPr>
        <w:pageBreakBefore w:val="0"/>
        <w:numPr>
          <w:ilvl w:val="0"/>
          <w:numId w:val="4"/>
        </w:numPr>
        <w:ind w:left="360"/>
        <w:rPr>
          <w:b w:val="1"/>
        </w:rPr>
      </w:pPr>
      <w:r w:rsidDel="00000000" w:rsidR="00000000" w:rsidRPr="00000000">
        <w:rPr>
          <w:b w:val="1"/>
          <w:rtl w:val="0"/>
        </w:rPr>
        <w:t xml:space="preserve">Masking Policy Data</w:t>
      </w:r>
    </w:p>
    <w:tbl>
      <w:tblPr>
        <w:tblStyle w:val="Table4"/>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30"/>
        <w:tblGridChange w:id="0">
          <w:tblGrid>
            <w:gridCol w:w="2415"/>
            <w:gridCol w:w="6930"/>
          </w:tblGrid>
        </w:tblGridChange>
      </w:tblGrid>
      <w:tr>
        <w:trPr>
          <w:cantSplit w:val="0"/>
          <w:trHeight w:val="40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color w:val="ffffff"/>
                <w:sz w:val="20"/>
                <w:szCs w:val="20"/>
              </w:rPr>
            </w:pPr>
            <w:r w:rsidDel="00000000" w:rsidR="00000000" w:rsidRPr="00000000">
              <w:rPr>
                <w:b w:val="1"/>
                <w:color w:val="ffffff"/>
                <w:sz w:val="20"/>
                <w:szCs w:val="20"/>
                <w:rtl w:val="0"/>
              </w:rPr>
              <w:t xml:space="preserve">Masking Data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0"/>
                <w:szCs w:val="20"/>
              </w:rPr>
            </w:pPr>
            <w:r w:rsidDel="00000000" w:rsidR="00000000" w:rsidRPr="00000000">
              <w:rPr>
                <w:b w:val="1"/>
                <w:sz w:val="20"/>
                <w:szCs w:val="20"/>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sz w:val="20"/>
                <w:szCs w:val="20"/>
              </w:rPr>
            </w:pPr>
            <w:r w:rsidDel="00000000" w:rsidR="00000000" w:rsidRPr="00000000">
              <w:rPr>
                <w:b w:val="1"/>
                <w:sz w:val="20"/>
                <w:szCs w:val="20"/>
                <w:rtl w:val="0"/>
              </w:rPr>
              <w:t xml:space="preserve">Reporting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District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20"/>
                <w:szCs w:val="20"/>
              </w:rPr>
            </w:pPr>
            <w:r w:rsidDel="00000000" w:rsidR="00000000" w:rsidRPr="00000000">
              <w:rPr>
                <w:b w:val="1"/>
                <w:sz w:val="20"/>
                <w:szCs w:val="20"/>
                <w:rtl w:val="0"/>
              </w:rPr>
              <w:t xml:space="preserve">Data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VT enacted a statewide mandate, which included schools and districts, throughout the 2020-21 school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sz w:val="20"/>
                <w:szCs w:val="20"/>
              </w:rPr>
            </w:pPr>
            <w:r w:rsidDel="00000000" w:rsidR="00000000" w:rsidRPr="00000000">
              <w:rPr>
                <w:b w:val="1"/>
                <w:sz w:val="20"/>
                <w:szCs w:val="20"/>
                <w:rtl w:val="0"/>
              </w:rPr>
              <w:t xml:space="preserve">Additional data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The VT data reflect a masking policy in effect for staff and students across all districts for the full 2020-21 school year.</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ageBreakBefore w:val="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ucation.vermont.gov/data-and-reporting/vermont-education-dashboard/enrollment" TargetMode="External"/><Relationship Id="rId7" Type="http://schemas.openxmlformats.org/officeDocument/2006/relationships/hyperlink" Target="https://www.healthvermont.gov/sites/default/files/documents/pdf/COVID19-Transmission-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