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color w:val="073763"/>
          <w:sz w:val="36"/>
          <w:szCs w:val="36"/>
        </w:rPr>
      </w:pPr>
      <w:r w:rsidDel="00000000" w:rsidR="00000000" w:rsidRPr="00000000">
        <w:rPr>
          <w:b w:val="1"/>
          <w:color w:val="073763"/>
          <w:sz w:val="36"/>
          <w:szCs w:val="36"/>
          <w:rtl w:val="0"/>
        </w:rPr>
        <w:t xml:space="preserve">Connecticut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bottom w:color="000000" w:space="2" w:sz="8" w:val="single"/>
        </w:pBdr>
        <w:rPr>
          <w:b w:val="1"/>
          <w:i w:val="1"/>
          <w:color w:val="666666"/>
          <w:sz w:val="24"/>
          <w:szCs w:val="24"/>
        </w:rPr>
      </w:pPr>
      <w:r w:rsidDel="00000000" w:rsidR="00000000" w:rsidRPr="00000000">
        <w:rPr>
          <w:b w:val="1"/>
          <w:i w:val="1"/>
          <w:color w:val="666666"/>
          <w:rtl w:val="0"/>
        </w:rPr>
        <w:t xml:space="preserve">COVID-19 School Data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COVID-19 School Data Summary</w:t>
      </w:r>
    </w:p>
    <w:tbl>
      <w:tblPr>
        <w:tblStyle w:val="Table1"/>
        <w:tblW w:w="9369.1605456453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5955"/>
        <w:gridCol w:w="2799.160545645331"/>
        <w:tblGridChange w:id="0">
          <w:tblGrid>
            <w:gridCol w:w="615"/>
            <w:gridCol w:w="5955"/>
            <w:gridCol w:w="2799.160545645331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Data Type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Available?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Model 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424.98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Model Enrollment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COVID-19 Case Data  (school- or district-level)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Masking Policy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 w14:paraId="00000014">
      <w:pPr>
        <w:pBdr>
          <w:bottom w:color="000000" w:space="2" w:sz="8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bottom w:color="000000" w:space="2" w:sz="8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see below for further details for each data type. </w:t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Model Status &amp; Enrollment</w:t>
      </w:r>
    </w:p>
    <w:tbl>
      <w:tblPr>
        <w:tblStyle w:val="Table2"/>
        <w:tblW w:w="934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4935"/>
        <w:gridCol w:w="2040"/>
        <w:tblGridChange w:id="0">
          <w:tblGrid>
            <w:gridCol w:w="2370"/>
            <w:gridCol w:w="4935"/>
            <w:gridCol w:w="204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Learning Model Status Data Details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Learning model status available?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Yes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Learning model enrollment available?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Reporting level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District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CSDH learning model definitions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1"/>
              </w:numPr>
              <w:spacing w:after="0" w:afterAutospacing="0" w:line="240" w:lineRule="auto"/>
              <w:ind w:left="27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In-Person: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All or most students received instruction in person, 5 days a week.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1"/>
              </w:numPr>
              <w:spacing w:after="0" w:afterAutospacing="0" w:line="240" w:lineRule="auto"/>
              <w:ind w:left="27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Hybrid: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All or most students received a blend of in-person and virtual instruction.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1"/>
              </w:numPr>
              <w:spacing w:after="240" w:line="240" w:lineRule="auto"/>
              <w:ind w:left="27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Virtual: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All or most students received instruction virtually, 5 days a week.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Learning model statuses used by state (with definitions, if available)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after="240" w:line="240" w:lineRule="auto"/>
              <w:ind w:left="27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State Definition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CSDH Dataset Classification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450" w:hanging="36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Fully In-Person Learning Model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: All students attend school in-person on all days. Note: In a school that is fully in-person during this pandemic, some parents may choose to opt their child into full-time remote instruction due to health, safety, or other considerations.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In-person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450" w:hanging="36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Hybrid Learning Model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: All students attend school in-person on some but not all days. On the days when students are not in-person, instruction is provided remotely through technology or other means. Note: Some students (e.g., students with disabilities, English learners) may come to school in-person for some or all days for specialized instruction and services under this model. Additionally, in a school that is hybrid during this pandemic, some parents may choose to opt their child into full-time remote instruction due to health, safety, or other considerations.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Hybrid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450" w:hanging="36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Fully Remote Learning Model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: All students receive instruction remotely through technology or other means on all days. Note: Some students (e.g., students with disabilities, English learners) may come to school in-person for some or all days for specialized instruction and services under this model.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Virtual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time interval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Weekly.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For each district, rows were included for the full school year from 7/6/20 to 5/31/21, even if there was no data collected. The following weeks were excluded due to school breaks across the state: 11/23/20, 12/21/20, 12/28/20, 2/15/21, and 4/12/21.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source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Connecticut State Department of Education (CSDE)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Enrollment total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Between 8/31/20 - 11/13/20, the EnrollmentTotal variable reflects the total number of all enrolled students at a school on the last school day of the Reporting Period. After this date, the state did not collect total enrollment as part of the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Learning Model and Enrollment Data Collection. Therefore, the EnrollmentTotal variable from 11/14/20-5/31/21 presents the total district-level K-12 enrollment for the 2020-21 school year as available from EdSight (via the CT Department of Education), reflecting enrollment as of October 1, 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Additional learning model data details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The Connecticut State Department of Education’s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Performance Office opened a weekly survey on September 4, 2020 called the Learning Model and Enrollment Data Collection (more information available </w:t>
            </w:r>
            <w:hyperlink r:id="rId6">
              <w:r w:rsidDel="00000000" w:rsidR="00000000" w:rsidRPr="00000000">
                <w:rPr>
                  <w:sz w:val="20"/>
                  <w:szCs w:val="20"/>
                  <w:highlight w:val="white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).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Original learning model data was provided at the grade level. We collapsed this data into the following grade bands: K-5, 6-8 and 9-12. The learning model was assigned as the most frequent model in each grade band. Where two learning models were equally frequent within a grade band, the learning model was assigned as the most in-person model. For example, in a district where grades 9 and 10 were hybrid and grades 11 and 12 were remote, the learning model for the 9-12 grade band was assigned as “Hybrid”.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The original data file included the total enrollment and the percentage of remote students for 8/31/20 - 11/13/20. The percentage of remote students was converted into a count based on the total enrollment, and captured by the variable EnrollmentVirtual. There were no in-person or hybrid enrollment counts in the collected data.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Between 11/14/20 - 6/4/21, no enrollment data were provided. Instead, the data included a categorization of the predominant learning model. This was captured by the LearningModelStateCat variable and standardized the LearningModel variables. The following categories are present: </w:t>
            </w:r>
          </w:p>
          <w:p w:rsidR="00000000" w:rsidDel="00000000" w:rsidP="00000000" w:rsidRDefault="00000000" w:rsidRPr="00000000" w14:paraId="00000046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Most/All Grades Fully Remote = Virtual</w:t>
            </w:r>
          </w:p>
          <w:p w:rsidR="00000000" w:rsidDel="00000000" w:rsidP="00000000" w:rsidRDefault="00000000" w:rsidRPr="00000000" w14:paraId="00000047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Most Grades Fully Remote = Virtual</w:t>
            </w:r>
          </w:p>
          <w:p w:rsidR="00000000" w:rsidDel="00000000" w:rsidP="00000000" w:rsidRDefault="00000000" w:rsidRPr="00000000" w14:paraId="00000048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Most/All Grades Hybrid = Hybrid</w:t>
            </w:r>
          </w:p>
          <w:p w:rsidR="00000000" w:rsidDel="00000000" w:rsidP="00000000" w:rsidRDefault="00000000" w:rsidRPr="00000000" w14:paraId="00000049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Most Grades Hybrid = Hybrid</w:t>
            </w:r>
          </w:p>
          <w:p w:rsidR="00000000" w:rsidDel="00000000" w:rsidP="00000000" w:rsidRDefault="00000000" w:rsidRPr="00000000" w14:paraId="0000004A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Most/All Grades Fully In-Person = In-Person</w:t>
            </w:r>
          </w:p>
          <w:p w:rsidR="00000000" w:rsidDel="00000000" w:rsidP="00000000" w:rsidRDefault="00000000" w:rsidRPr="00000000" w14:paraId="0000004B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Most Grades Fully In-Person = In-Person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Staff counts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StaffCount variable provides the number of all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certified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staff in the district, including those in the different categories of educator listed below:</w:t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Administrators Coordinators and Department Chairs - District Central Office and school levels;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Counselors Social Workers and School Psychologists;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General Education - Teachers and Instructors;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Instructional Specialists Who Support Teachers;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Library/Media – Specialists;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Special Education - Teachers and Instructors; and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certified educators in non-instructional positions.</w:t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staff counts are as of October 1, 2020.</w:t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3"/>
        </w:num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COVID-19 Case Data </w:t>
      </w:r>
    </w:p>
    <w:tbl>
      <w:tblPr>
        <w:tblStyle w:val="Table3"/>
        <w:tblW w:w="933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3457.5"/>
        <w:gridCol w:w="3457.5"/>
        <w:tblGridChange w:id="0">
          <w:tblGrid>
            <w:gridCol w:w="2415"/>
            <w:gridCol w:w="3457.5"/>
            <w:gridCol w:w="3457.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COVID-19 Case Data Details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School- or district-level data available?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Reporting level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case counts are reported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CT reported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taff and students case counts together.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The original data defined 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School Total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as “Total number of cases at the school during the reporting period”; we interpreted this as referring to active cases and have coded the data accordingly.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time interval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Weekly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masking information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Connecticut masks data for small case counts into groups ("&lt;6"), represented as a range of 1-5.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source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Connecticut Department of Health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Variables used from original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Original Variable in State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CSDH Dataset Variable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District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DistrictName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School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SchoolName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Total Cases in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ActiveCasesCombined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Reporting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TimePeriodStart and TimePeriodEnd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Additional data details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We removed pre-kindergarten and early childhood centers from the original data, focusing on K-12. Schools specified as virtual schools have been removed from the dataset.</w:t>
            </w:r>
          </w:p>
        </w:tc>
      </w:tr>
    </w:tbl>
    <w:p w:rsidR="00000000" w:rsidDel="00000000" w:rsidP="00000000" w:rsidRDefault="00000000" w:rsidRPr="00000000" w14:paraId="0000008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3"/>
        </w:num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Masking Policy Data</w:t>
      </w:r>
    </w:p>
    <w:tbl>
      <w:tblPr>
        <w:tblStyle w:val="Table4"/>
        <w:tblW w:w="934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6930"/>
        <w:tblGridChange w:id="0">
          <w:tblGrid>
            <w:gridCol w:w="2415"/>
            <w:gridCol w:w="693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Masking Data 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Available?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Reporting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CT enacted a statewide mandate, which included schools and districts, throughout the 2020-21 school year.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Additional data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CT data reflect a masking policy in effect for staff and students across all districts for the full 2020-21 school year.</w:t>
            </w:r>
          </w:p>
        </w:tc>
      </w:tr>
    </w:tbl>
    <w:p w:rsidR="00000000" w:rsidDel="00000000" w:rsidP="00000000" w:rsidRDefault="00000000" w:rsidRPr="00000000" w14:paraId="0000009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ortal.ct.gov/SDE/COVID19/Learning-Model-and-Enrollment-Data-Collection" TargetMode="External"/><Relationship Id="rId7" Type="http://schemas.openxmlformats.org/officeDocument/2006/relationships/hyperlink" Target="https://data.ct.gov/Health-and-Human-Services/COVID-19-Cases-in-CT-Schools-By-School-2020-2021-S/u8jq-fx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