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073763"/>
          <w:sz w:val="36"/>
          <w:szCs w:val="36"/>
        </w:rPr>
      </w:pPr>
      <w:r w:rsidDel="00000000" w:rsidR="00000000" w:rsidRPr="00000000">
        <w:rPr>
          <w:b w:val="1"/>
          <w:color w:val="073763"/>
          <w:sz w:val="36"/>
          <w:szCs w:val="36"/>
          <w:rtl w:val="0"/>
        </w:rPr>
        <w:t xml:space="preserve">Colorado</w:t>
      </w:r>
      <w:r w:rsidDel="00000000" w:rsidR="00000000" w:rsidRPr="00000000">
        <w:rPr>
          <w:rtl w:val="0"/>
        </w:rPr>
      </w:r>
    </w:p>
    <w:p w:rsidR="00000000" w:rsidDel="00000000" w:rsidP="00000000" w:rsidRDefault="00000000" w:rsidRPr="00000000" w14:paraId="00000002">
      <w:pPr>
        <w:pageBreakBefore w:val="0"/>
        <w:pBdr>
          <w:bottom w:color="000000" w:space="2" w:sz="8" w:val="single"/>
        </w:pBdr>
        <w:rPr>
          <w:b w:val="1"/>
          <w:i w:val="1"/>
          <w:color w:val="666666"/>
          <w:sz w:val="24"/>
          <w:szCs w:val="24"/>
        </w:rPr>
      </w:pPr>
      <w:r w:rsidDel="00000000" w:rsidR="00000000" w:rsidRPr="00000000">
        <w:rPr>
          <w:b w:val="1"/>
          <w:i w:val="1"/>
          <w:color w:val="666666"/>
          <w:rtl w:val="0"/>
        </w:rPr>
        <w:t xml:space="preserve">COVID-19 School Data Details</w:t>
      </w: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COVID-19 School Data Summary</w:t>
      </w:r>
    </w:p>
    <w:tbl>
      <w:tblPr>
        <w:tblStyle w:val="Table1"/>
        <w:tblW w:w="9369.1605456453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5955"/>
        <w:gridCol w:w="2799.160545645331"/>
        <w:tblGridChange w:id="0">
          <w:tblGrid>
            <w:gridCol w:w="615"/>
            <w:gridCol w:w="5955"/>
            <w:gridCol w:w="2799.160545645331"/>
          </w:tblGrid>
        </w:tblGridChange>
      </w:tblGrid>
      <w:tr>
        <w:trPr>
          <w:cantSplit w:val="0"/>
          <w:trHeight w:val="459.9609375"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0"/>
                <w:szCs w:val="20"/>
              </w:rPr>
            </w:pPr>
            <w:r w:rsidDel="00000000" w:rsidR="00000000" w:rsidRPr="00000000">
              <w:rPr>
                <w:b w:val="1"/>
                <w:color w:val="ffffff"/>
                <w:sz w:val="20"/>
                <w:szCs w:val="20"/>
                <w:rtl w:val="0"/>
              </w:rPr>
              <w:t xml:space="preserve">Data Type</w:t>
            </w:r>
          </w:p>
        </w:tc>
        <w:tc>
          <w:tcPr>
            <w:shd w:fill="0b5394" w:val="clear"/>
            <w:tcMar>
              <w:top w:w="100.0" w:type="dxa"/>
              <w:left w:w="100.0" w:type="dxa"/>
              <w:bottom w:w="100.0" w:type="dxa"/>
              <w:right w:w="100.0" w:type="dxa"/>
            </w:tcMar>
            <w:vAlign w:val="bottom"/>
          </w:tcPr>
          <w:p w:rsidR="00000000" w:rsidDel="00000000" w:rsidP="00000000" w:rsidRDefault="00000000" w:rsidRPr="00000000" w14:paraId="00000007">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Available?</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Learning Model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sz w:val="20"/>
                <w:szCs w:val="20"/>
              </w:rPr>
            </w:pPr>
            <w:r w:rsidDel="00000000" w:rsidR="00000000" w:rsidRPr="00000000">
              <w:rPr>
                <w:sz w:val="20"/>
                <w:szCs w:val="20"/>
                <w:rtl w:val="0"/>
              </w:rPr>
              <w:t xml:space="preserve">Yes</w:t>
            </w:r>
          </w:p>
        </w:tc>
      </w:tr>
      <w:tr>
        <w:trPr>
          <w:cantSplit w:val="0"/>
          <w:trHeight w:val="424.98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Learning Model Enrollment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sz w:val="20"/>
                <w:szCs w:val="20"/>
              </w:rPr>
            </w:pPr>
            <w:r w:rsidDel="00000000" w:rsidR="00000000" w:rsidRPr="00000000">
              <w:rPr>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COVID-19 Case Data  (school- or district-level)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Masking Policy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Yes</w:t>
            </w:r>
          </w:p>
        </w:tc>
      </w:tr>
    </w:tbl>
    <w:p w:rsidR="00000000" w:rsidDel="00000000" w:rsidP="00000000" w:rsidRDefault="00000000" w:rsidRPr="00000000" w14:paraId="00000014">
      <w:pPr>
        <w:pBdr>
          <w:bottom w:color="000000" w:space="2" w:sz="8" w:val="single"/>
        </w:pBdr>
        <w:rPr>
          <w:b w:val="1"/>
        </w:rPr>
      </w:pPr>
      <w:r w:rsidDel="00000000" w:rsidR="00000000" w:rsidRPr="00000000">
        <w:rPr>
          <w:rtl w:val="0"/>
        </w:rPr>
      </w:r>
    </w:p>
    <w:p w:rsidR="00000000" w:rsidDel="00000000" w:rsidP="00000000" w:rsidRDefault="00000000" w:rsidRPr="00000000" w14:paraId="00000015">
      <w:pPr>
        <w:pageBreakBefore w:val="0"/>
        <w:pBdr>
          <w:bottom w:color="000000" w:space="2" w:sz="8" w:val="single"/>
        </w:pBdr>
        <w:rPr>
          <w:sz w:val="20"/>
          <w:szCs w:val="20"/>
        </w:rPr>
      </w:pPr>
      <w:r w:rsidDel="00000000" w:rsidR="00000000" w:rsidRPr="00000000">
        <w:rPr>
          <w:sz w:val="20"/>
          <w:szCs w:val="20"/>
          <w:rtl w:val="0"/>
        </w:rPr>
        <w:t xml:space="preserve">Please see below for further details for each data type. </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numPr>
          <w:ilvl w:val="0"/>
          <w:numId w:val="2"/>
        </w:numPr>
        <w:ind w:left="360"/>
        <w:rPr>
          <w:b w:val="1"/>
        </w:rPr>
      </w:pPr>
      <w:r w:rsidDel="00000000" w:rsidR="00000000" w:rsidRPr="00000000">
        <w:rPr>
          <w:b w:val="1"/>
          <w:rtl w:val="0"/>
        </w:rPr>
        <w:t xml:space="preserve">Learning Model Status &amp; Enrollment</w:t>
      </w:r>
    </w:p>
    <w:tbl>
      <w:tblPr>
        <w:tblStyle w:val="Table2"/>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4935"/>
        <w:gridCol w:w="2040"/>
        <w:tblGridChange w:id="0">
          <w:tblGrid>
            <w:gridCol w:w="2370"/>
            <w:gridCol w:w="4935"/>
            <w:gridCol w:w="2040"/>
          </w:tblGrid>
        </w:tblGridChange>
      </w:tblGrid>
      <w:tr>
        <w:trPr>
          <w:cantSplit w:val="0"/>
          <w:trHeight w:val="400" w:hRule="atLeast"/>
          <w:tblHeader w:val="0"/>
        </w:trPr>
        <w:tc>
          <w:tcPr>
            <w:gridSpan w:val="3"/>
            <w:shd w:fill="0b5394"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Learning Model Status Data Details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b w:val="1"/>
                <w:sz w:val="20"/>
                <w:szCs w:val="20"/>
              </w:rPr>
            </w:pPr>
            <w:r w:rsidDel="00000000" w:rsidR="00000000" w:rsidRPr="00000000">
              <w:rPr>
                <w:b w:val="1"/>
                <w:sz w:val="20"/>
                <w:szCs w:val="20"/>
                <w:rtl w:val="0"/>
              </w:rPr>
              <w:t xml:space="preserve">Learning model status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20"/>
                <w:szCs w:val="20"/>
              </w:rPr>
            </w:pPr>
            <w:r w:rsidDel="00000000" w:rsidR="00000000" w:rsidRPr="00000000">
              <w:rPr>
                <w:sz w:val="20"/>
                <w:szCs w:val="20"/>
                <w:rtl w:val="0"/>
              </w:rPr>
              <w:t xml:space="preserve">Yes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b w:val="1"/>
                <w:sz w:val="20"/>
                <w:szCs w:val="20"/>
              </w:rPr>
            </w:pPr>
            <w:r w:rsidDel="00000000" w:rsidR="00000000" w:rsidRPr="00000000">
              <w:rPr>
                <w:b w:val="1"/>
                <w:sz w:val="20"/>
                <w:szCs w:val="20"/>
                <w:rtl w:val="0"/>
              </w:rPr>
              <w:t xml:space="preserve">Learning model enrollment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20"/>
                <w:szCs w:val="20"/>
              </w:rPr>
            </w:pPr>
            <w:r w:rsidDel="00000000" w:rsidR="00000000" w:rsidRPr="00000000">
              <w:rPr>
                <w:sz w:val="20"/>
                <w:szCs w:val="20"/>
                <w:rtl w:val="0"/>
              </w:rPr>
              <w:t xml:space="preserve">No</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b w:val="1"/>
                <w:sz w:val="20"/>
                <w:szCs w:val="20"/>
              </w:rPr>
            </w:pPr>
            <w:r w:rsidDel="00000000" w:rsidR="00000000" w:rsidRPr="00000000">
              <w:rPr>
                <w:b w:val="1"/>
                <w:sz w:val="20"/>
                <w:szCs w:val="20"/>
                <w:rtl w:val="0"/>
              </w:rPr>
              <w:t xml:space="preserve">Reporting level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20"/>
                <w:szCs w:val="20"/>
              </w:rPr>
            </w:pPr>
            <w:r w:rsidDel="00000000" w:rsidR="00000000" w:rsidRPr="00000000">
              <w:rPr>
                <w:sz w:val="20"/>
                <w:szCs w:val="20"/>
                <w:rtl w:val="0"/>
              </w:rPr>
              <w:t xml:space="preserve">District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b w:val="1"/>
                <w:sz w:val="20"/>
                <w:szCs w:val="20"/>
              </w:rPr>
            </w:pPr>
            <w:r w:rsidDel="00000000" w:rsidR="00000000" w:rsidRPr="00000000">
              <w:rPr>
                <w:b w:val="1"/>
                <w:sz w:val="20"/>
                <w:szCs w:val="20"/>
                <w:rtl w:val="0"/>
              </w:rPr>
              <w:t xml:space="preserve">CSDH learning model definitions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1"/>
              </w:numPr>
              <w:spacing w:after="0" w:afterAutospacing="0" w:line="240" w:lineRule="auto"/>
              <w:ind w:left="270"/>
              <w:rPr>
                <w:b w:val="1"/>
                <w:color w:val="212529"/>
                <w:sz w:val="20"/>
                <w:szCs w:val="20"/>
              </w:rPr>
            </w:pPr>
            <w:r w:rsidDel="00000000" w:rsidR="00000000" w:rsidRPr="00000000">
              <w:rPr>
                <w:b w:val="1"/>
                <w:color w:val="212529"/>
                <w:sz w:val="20"/>
                <w:szCs w:val="20"/>
                <w:rtl w:val="0"/>
              </w:rPr>
              <w:t xml:space="preserve">In-Person: </w:t>
            </w:r>
            <w:r w:rsidDel="00000000" w:rsidR="00000000" w:rsidRPr="00000000">
              <w:rPr>
                <w:color w:val="212529"/>
                <w:sz w:val="20"/>
                <w:szCs w:val="20"/>
                <w:rtl w:val="0"/>
              </w:rPr>
              <w:t xml:space="preserve">All or most students received instruction in person, 5 days a week.</w:t>
            </w:r>
          </w:p>
          <w:p w:rsidR="00000000" w:rsidDel="00000000" w:rsidP="00000000" w:rsidRDefault="00000000" w:rsidRPr="00000000" w14:paraId="00000026">
            <w:pPr>
              <w:pageBreakBefore w:val="0"/>
              <w:numPr>
                <w:ilvl w:val="0"/>
                <w:numId w:val="1"/>
              </w:numPr>
              <w:spacing w:after="0" w:afterAutospacing="0" w:line="240" w:lineRule="auto"/>
              <w:ind w:left="270"/>
              <w:rPr>
                <w:b w:val="1"/>
                <w:color w:val="212529"/>
                <w:sz w:val="20"/>
                <w:szCs w:val="20"/>
              </w:rPr>
            </w:pPr>
            <w:r w:rsidDel="00000000" w:rsidR="00000000" w:rsidRPr="00000000">
              <w:rPr>
                <w:b w:val="1"/>
                <w:color w:val="212529"/>
                <w:sz w:val="20"/>
                <w:szCs w:val="20"/>
                <w:rtl w:val="0"/>
              </w:rPr>
              <w:t xml:space="preserve">Hybrid: </w:t>
            </w:r>
            <w:r w:rsidDel="00000000" w:rsidR="00000000" w:rsidRPr="00000000">
              <w:rPr>
                <w:color w:val="212529"/>
                <w:sz w:val="20"/>
                <w:szCs w:val="20"/>
                <w:rtl w:val="0"/>
              </w:rPr>
              <w:t xml:space="preserve">All or most students received a blend of in-person and virtual instruction.</w:t>
            </w:r>
          </w:p>
          <w:p w:rsidR="00000000" w:rsidDel="00000000" w:rsidP="00000000" w:rsidRDefault="00000000" w:rsidRPr="00000000" w14:paraId="00000027">
            <w:pPr>
              <w:pageBreakBefore w:val="0"/>
              <w:numPr>
                <w:ilvl w:val="0"/>
                <w:numId w:val="1"/>
              </w:numPr>
              <w:spacing w:after="240" w:line="240" w:lineRule="auto"/>
              <w:ind w:left="270"/>
              <w:rPr>
                <w:b w:val="1"/>
                <w:color w:val="212529"/>
                <w:sz w:val="20"/>
                <w:szCs w:val="20"/>
              </w:rPr>
            </w:pPr>
            <w:r w:rsidDel="00000000" w:rsidR="00000000" w:rsidRPr="00000000">
              <w:rPr>
                <w:b w:val="1"/>
                <w:color w:val="212529"/>
                <w:sz w:val="20"/>
                <w:szCs w:val="20"/>
                <w:rtl w:val="0"/>
              </w:rPr>
              <w:t xml:space="preserve">Virtual: </w:t>
            </w:r>
            <w:r w:rsidDel="00000000" w:rsidR="00000000" w:rsidRPr="00000000">
              <w:rPr>
                <w:color w:val="212529"/>
                <w:sz w:val="20"/>
                <w:szCs w:val="20"/>
                <w:rtl w:val="0"/>
              </w:rPr>
              <w:t xml:space="preserve">All or most students received instruction virtually, 5 days a week.</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b w:val="1"/>
                <w:sz w:val="20"/>
                <w:szCs w:val="20"/>
              </w:rPr>
            </w:pPr>
            <w:r w:rsidDel="00000000" w:rsidR="00000000" w:rsidRPr="00000000">
              <w:rPr>
                <w:b w:val="1"/>
                <w:sz w:val="20"/>
                <w:szCs w:val="20"/>
                <w:rtl w:val="0"/>
              </w:rPr>
              <w:t xml:space="preserve">Learning model statuses used by state (with definitions, if available)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240" w:line="240" w:lineRule="auto"/>
              <w:ind w:left="270"/>
              <w:rPr>
                <w:b w:val="1"/>
                <w:color w:val="212529"/>
                <w:sz w:val="20"/>
                <w:szCs w:val="20"/>
              </w:rPr>
            </w:pPr>
            <w:r w:rsidDel="00000000" w:rsidR="00000000" w:rsidRPr="00000000">
              <w:rPr>
                <w:b w:val="1"/>
                <w:color w:val="212529"/>
                <w:sz w:val="20"/>
                <w:szCs w:val="20"/>
                <w:rtl w:val="0"/>
              </w:rPr>
              <w:t xml:space="preserve">State Definition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240" w:line="240" w:lineRule="auto"/>
              <w:jc w:val="center"/>
              <w:rPr>
                <w:b w:val="1"/>
                <w:color w:val="212529"/>
                <w:sz w:val="20"/>
                <w:szCs w:val="20"/>
              </w:rPr>
            </w:pPr>
            <w:r w:rsidDel="00000000" w:rsidR="00000000" w:rsidRPr="00000000">
              <w:rPr>
                <w:b w:val="1"/>
                <w:color w:val="212529"/>
                <w:sz w:val="20"/>
                <w:szCs w:val="20"/>
                <w:rtl w:val="0"/>
              </w:rPr>
              <w:t xml:space="preserve">CSDH Dataset Classification</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20"/>
                <w:szCs w:val="20"/>
              </w:rPr>
            </w:pPr>
            <w:r w:rsidDel="00000000" w:rsidR="00000000" w:rsidRPr="00000000">
              <w:rPr>
                <w:b w:val="1"/>
                <w:sz w:val="20"/>
                <w:szCs w:val="20"/>
                <w:rtl w:val="0"/>
              </w:rPr>
              <w:t xml:space="preserve">In-person: </w:t>
            </w:r>
            <w:r w:rsidDel="00000000" w:rsidR="00000000" w:rsidRPr="00000000">
              <w:rPr>
                <w:color w:val="222222"/>
                <w:sz w:val="20"/>
                <w:szCs w:val="20"/>
                <w:rtl w:val="0"/>
              </w:rPr>
              <w:t xml:space="preserve">The District’s website has no mention of remote or hybrid learning taking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jc w:val="center"/>
              <w:rPr>
                <w:b w:val="1"/>
                <w:sz w:val="20"/>
                <w:szCs w:val="20"/>
              </w:rPr>
            </w:pPr>
            <w:r w:rsidDel="00000000" w:rsidR="00000000" w:rsidRPr="00000000">
              <w:rPr>
                <w:b w:val="1"/>
                <w:sz w:val="20"/>
                <w:szCs w:val="20"/>
                <w:rtl w:val="0"/>
              </w:rPr>
              <w:t xml:space="preserve">In-Person</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sz w:val="20"/>
                <w:szCs w:val="20"/>
              </w:rPr>
            </w:pPr>
            <w:r w:rsidDel="00000000" w:rsidR="00000000" w:rsidRPr="00000000">
              <w:rPr>
                <w:b w:val="1"/>
                <w:sz w:val="20"/>
                <w:szCs w:val="20"/>
                <w:rtl w:val="0"/>
              </w:rPr>
              <w:t xml:space="preserve">Hybrid: </w:t>
            </w:r>
            <w:r w:rsidDel="00000000" w:rsidR="00000000" w:rsidRPr="00000000">
              <w:rPr>
                <w:color w:val="222222"/>
                <w:sz w:val="20"/>
                <w:szCs w:val="20"/>
                <w:rtl w:val="0"/>
              </w:rPr>
              <w:t xml:space="preserve">The District’s website shows options available for students and their families to choose any mix between in-person and remote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jc w:val="center"/>
              <w:rPr>
                <w:b w:val="1"/>
                <w:sz w:val="20"/>
                <w:szCs w:val="20"/>
              </w:rPr>
            </w:pPr>
            <w:r w:rsidDel="00000000" w:rsidR="00000000" w:rsidRPr="00000000">
              <w:rPr>
                <w:b w:val="1"/>
                <w:sz w:val="20"/>
                <w:szCs w:val="20"/>
                <w:rtl w:val="0"/>
              </w:rPr>
              <w:t xml:space="preserve"> Hybrid</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b w:val="1"/>
                <w:sz w:val="20"/>
                <w:szCs w:val="20"/>
                <w:rtl w:val="0"/>
              </w:rPr>
              <w:t xml:space="preserve">Remote: </w:t>
            </w:r>
            <w:r w:rsidDel="00000000" w:rsidR="00000000" w:rsidRPr="00000000">
              <w:rPr>
                <w:color w:val="222222"/>
                <w:sz w:val="20"/>
                <w:szCs w:val="20"/>
                <w:rtl w:val="0"/>
              </w:rPr>
              <w:t xml:space="preserve">The District’s website shows that at least one school at the designated level as being fully remote (e.g. if one elementary school is fully remote, the state categorized that district as Remote at the Elementary Level).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jc w:val="center"/>
              <w:rPr>
                <w:b w:val="1"/>
                <w:sz w:val="20"/>
                <w:szCs w:val="20"/>
              </w:rPr>
            </w:pPr>
            <w:r w:rsidDel="00000000" w:rsidR="00000000" w:rsidRPr="00000000">
              <w:rPr>
                <w:b w:val="1"/>
                <w:sz w:val="20"/>
                <w:szCs w:val="20"/>
                <w:rtl w:val="0"/>
              </w:rPr>
              <w:t xml:space="preserve">Virtual</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b w:val="1"/>
                <w:sz w:val="20"/>
                <w:szCs w:val="20"/>
              </w:rPr>
            </w:pPr>
            <w:r w:rsidDel="00000000" w:rsidR="00000000" w:rsidRPr="00000000">
              <w:rPr>
                <w:b w:val="1"/>
                <w:sz w:val="20"/>
                <w:szCs w:val="20"/>
                <w:rtl w:val="0"/>
              </w:rPr>
              <w:t xml:space="preserve">Data time interval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sz w:val="20"/>
                <w:szCs w:val="20"/>
              </w:rPr>
            </w:pPr>
            <w:r w:rsidDel="00000000" w:rsidR="00000000" w:rsidRPr="00000000">
              <w:rPr>
                <w:sz w:val="20"/>
                <w:szCs w:val="20"/>
                <w:rtl w:val="0"/>
              </w:rPr>
              <w:t xml:space="preserve">Monthly.</w:t>
            </w:r>
          </w:p>
          <w:p w:rsidR="00000000" w:rsidDel="00000000" w:rsidP="00000000" w:rsidRDefault="00000000" w:rsidRPr="00000000" w14:paraId="00000037">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Reporting periods were provided by Colorado as at the first of each month from October through May; assumed to pertain to that month going forward. Time period start and end dates inferred accordingly. Note that no learning model data were reported for the month of September and that two schools were missing learning model data for one and three reporting periods each.</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b w:val="1"/>
                <w:sz w:val="20"/>
                <w:szCs w:val="20"/>
              </w:rPr>
            </w:pPr>
            <w:r w:rsidDel="00000000" w:rsidR="00000000" w:rsidRPr="00000000">
              <w:rPr>
                <w:b w:val="1"/>
                <w:sz w:val="20"/>
                <w:szCs w:val="20"/>
                <w:rtl w:val="0"/>
              </w:rPr>
              <w:t xml:space="preserve">Data source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sz w:val="20"/>
                <w:szCs w:val="20"/>
              </w:rPr>
            </w:pPr>
            <w:r w:rsidDel="00000000" w:rsidR="00000000" w:rsidRPr="00000000">
              <w:rPr>
                <w:sz w:val="20"/>
                <w:szCs w:val="20"/>
                <w:rtl w:val="0"/>
              </w:rPr>
              <w:t xml:space="preserve">Colorado Department of Education</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b w:val="1"/>
                <w:sz w:val="20"/>
                <w:szCs w:val="20"/>
              </w:rPr>
            </w:pPr>
            <w:r w:rsidDel="00000000" w:rsidR="00000000" w:rsidRPr="00000000">
              <w:rPr>
                <w:b w:val="1"/>
                <w:sz w:val="20"/>
                <w:szCs w:val="20"/>
                <w:rtl w:val="0"/>
              </w:rPr>
              <w:t xml:space="preserve">Enrollment 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The EnrollmentTotal variable is the K-12 school-level pupil membership for the 2020-2021 school year, as reported on the Colorado Department of Education website based upon the Student October 2020 count.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b w:val="1"/>
                <w:sz w:val="20"/>
                <w:szCs w:val="20"/>
              </w:rPr>
            </w:pPr>
            <w:r w:rsidDel="00000000" w:rsidR="00000000" w:rsidRPr="00000000">
              <w:rPr>
                <w:b w:val="1"/>
                <w:sz w:val="20"/>
                <w:szCs w:val="20"/>
                <w:rtl w:val="0"/>
              </w:rPr>
              <w:t xml:space="preserve">Additional learning model data details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sz w:val="20"/>
                <w:szCs w:val="20"/>
              </w:rPr>
            </w:pPr>
            <w:r w:rsidDel="00000000" w:rsidR="00000000" w:rsidRPr="00000000">
              <w:rPr>
                <w:sz w:val="20"/>
                <w:szCs w:val="20"/>
                <w:rtl w:val="0"/>
              </w:rPr>
              <w:t xml:space="preserve">Colorado DoE stated that learning model data by district were not collected as part of a formal data collection; rather, learning models were recorded based on publicly available data from district websites by DoE. </w:t>
            </w:r>
          </w:p>
          <w:p w:rsidR="00000000" w:rsidDel="00000000" w:rsidP="00000000" w:rsidRDefault="00000000" w:rsidRPr="00000000" w14:paraId="00000042">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sz w:val="20"/>
                <w:szCs w:val="20"/>
              </w:rPr>
            </w:pPr>
            <w:r w:rsidDel="00000000" w:rsidR="00000000" w:rsidRPr="00000000">
              <w:rPr>
                <w:sz w:val="20"/>
                <w:szCs w:val="20"/>
                <w:rtl w:val="0"/>
              </w:rPr>
              <w:t xml:space="preserve">Colorado reported its learning model data at the district grade band level. It reported data at the “Elementary” level (standardized as GrK5) and at the “Middle-High” level (we duplicated this data across both our standardized Gr68 and Gr912 variables). Colorado did not specify overall learning models for each district, just grade band-specific data.</w:t>
            </w:r>
          </w:p>
          <w:p w:rsidR="00000000" w:rsidDel="00000000" w:rsidP="00000000" w:rsidRDefault="00000000" w:rsidRPr="00000000" w14:paraId="00000044">
            <w:pPr>
              <w:pageBreakBefore w:val="0"/>
              <w:widowControl w:val="0"/>
              <w:spacing w:line="240" w:lineRule="auto"/>
              <w:rPr>
                <w:sz w:val="20"/>
                <w:szCs w:val="20"/>
                <w:highlight w:val="white"/>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sz w:val="20"/>
                <w:szCs w:val="20"/>
              </w:rPr>
            </w:pPr>
            <w:r w:rsidDel="00000000" w:rsidR="00000000" w:rsidRPr="00000000">
              <w:rPr>
                <w:b w:val="1"/>
                <w:sz w:val="20"/>
                <w:szCs w:val="20"/>
                <w:rtl w:val="0"/>
              </w:rPr>
              <w:t xml:space="preserve">Staff counts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highlight w:val="white"/>
                <w:rtl w:val="0"/>
              </w:rPr>
              <w:t xml:space="preserve">Staff numbers (described in the original data as “2020-2021 Total Staff Head Count”) and total student enrollment (described in the original data as “Total K-12 Pupil Membership”) were matched to each district for each time period.</w:t>
            </w:r>
            <w:r w:rsidDel="00000000" w:rsidR="00000000" w:rsidRPr="00000000">
              <w:rPr>
                <w:rtl w:val="0"/>
              </w:rPr>
            </w:r>
          </w:p>
        </w:tc>
      </w:tr>
    </w:tbl>
    <w:p w:rsidR="00000000" w:rsidDel="00000000" w:rsidP="00000000" w:rsidRDefault="00000000" w:rsidRPr="00000000" w14:paraId="00000049">
      <w:pPr>
        <w:pageBreakBefore w:val="0"/>
        <w:rPr>
          <w:b w:val="1"/>
        </w:rPr>
      </w:pPr>
      <w:r w:rsidDel="00000000" w:rsidR="00000000" w:rsidRPr="00000000">
        <w:rPr>
          <w:rtl w:val="0"/>
        </w:rPr>
      </w:r>
    </w:p>
    <w:p w:rsidR="00000000" w:rsidDel="00000000" w:rsidP="00000000" w:rsidRDefault="00000000" w:rsidRPr="00000000" w14:paraId="0000004A">
      <w:pPr>
        <w:pageBreakBefore w:val="0"/>
        <w:numPr>
          <w:ilvl w:val="0"/>
          <w:numId w:val="2"/>
        </w:numPr>
        <w:ind w:left="360"/>
        <w:rPr>
          <w:b w:val="1"/>
        </w:rPr>
      </w:pPr>
      <w:r w:rsidDel="00000000" w:rsidR="00000000" w:rsidRPr="00000000">
        <w:rPr>
          <w:b w:val="1"/>
          <w:rtl w:val="0"/>
        </w:rPr>
        <w:t xml:space="preserve">COVID-19 Case Data </w:t>
      </w:r>
    </w:p>
    <w:tbl>
      <w:tblPr>
        <w:tblStyle w:val="Table3"/>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5475"/>
        <w:tblGridChange w:id="0">
          <w:tblGrid>
            <w:gridCol w:w="3870"/>
            <w:gridCol w:w="5475"/>
          </w:tblGrid>
        </w:tblGridChange>
      </w:tblGrid>
      <w:tr>
        <w:trPr>
          <w:cantSplit w:val="0"/>
          <w:trHeight w:val="400"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COVID-19 Case Data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b w:val="1"/>
                <w:sz w:val="20"/>
                <w:szCs w:val="20"/>
              </w:rPr>
            </w:pPr>
            <w:r w:rsidDel="00000000" w:rsidR="00000000" w:rsidRPr="00000000">
              <w:rPr>
                <w:b w:val="1"/>
                <w:sz w:val="20"/>
                <w:szCs w:val="20"/>
                <w:rtl w:val="0"/>
              </w:rPr>
              <w:t xml:space="preserve">School- or district-level data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ind w:left="90" w:firstLine="0"/>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b w:val="1"/>
                <w:sz w:val="20"/>
                <w:szCs w:val="20"/>
              </w:rPr>
            </w:pPr>
            <w:r w:rsidDel="00000000" w:rsidR="00000000" w:rsidRPr="00000000">
              <w:rPr>
                <w:b w:val="1"/>
                <w:sz w:val="20"/>
                <w:szCs w:val="20"/>
                <w:rtl w:val="0"/>
              </w:rPr>
              <w:t xml:space="preserve">Reporting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90" w:firstLine="0"/>
              <w:rPr>
                <w:sz w:val="20"/>
                <w:szCs w:val="20"/>
              </w:rPr>
            </w:pPr>
            <w:r w:rsidDel="00000000" w:rsidR="00000000" w:rsidRPr="00000000">
              <w:rPr>
                <w:sz w:val="20"/>
                <w:szCs w:val="20"/>
                <w:rtl w:val="0"/>
              </w:rPr>
              <w:t xml:space="preserve">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b w:val="1"/>
                <w:sz w:val="20"/>
                <w:szCs w:val="20"/>
              </w:rPr>
            </w:pPr>
            <w:r w:rsidDel="00000000" w:rsidR="00000000" w:rsidRPr="00000000">
              <w:rPr>
                <w:b w:val="1"/>
                <w:sz w:val="20"/>
                <w:szCs w:val="20"/>
                <w:rtl w:val="0"/>
              </w:rPr>
              <w:t xml:space="preserve">How case counts are reported: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3"/>
              </w:numPr>
              <w:spacing w:line="240" w:lineRule="auto"/>
              <w:ind w:left="720" w:hanging="360"/>
              <w:rPr>
                <w:sz w:val="20"/>
                <w:szCs w:val="20"/>
              </w:rPr>
            </w:pPr>
            <w:r w:rsidDel="00000000" w:rsidR="00000000" w:rsidRPr="00000000">
              <w:rPr>
                <w:sz w:val="20"/>
                <w:szCs w:val="20"/>
                <w:rtl w:val="0"/>
              </w:rPr>
              <w:t xml:space="preserve">Staff and students reported together; and</w:t>
            </w:r>
          </w:p>
          <w:p w:rsidR="00000000" w:rsidDel="00000000" w:rsidP="00000000" w:rsidRDefault="00000000" w:rsidRPr="00000000" w14:paraId="00000053">
            <w:pPr>
              <w:widowControl w:val="0"/>
              <w:numPr>
                <w:ilvl w:val="0"/>
                <w:numId w:val="3"/>
              </w:numPr>
              <w:spacing w:line="240" w:lineRule="auto"/>
              <w:ind w:left="720" w:hanging="360"/>
              <w:rPr>
                <w:sz w:val="20"/>
                <w:szCs w:val="20"/>
              </w:rPr>
            </w:pPr>
            <w:r w:rsidDel="00000000" w:rsidR="00000000" w:rsidRPr="00000000">
              <w:rPr>
                <w:sz w:val="20"/>
                <w:szCs w:val="20"/>
                <w:rtl w:val="0"/>
              </w:rPr>
              <w:t xml:space="preserve">Staff and students reported separately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b w:val="1"/>
                <w:sz w:val="20"/>
                <w:szCs w:val="20"/>
              </w:rPr>
            </w:pPr>
            <w:r w:rsidDel="00000000" w:rsidR="00000000" w:rsidRPr="00000000">
              <w:rPr>
                <w:b w:val="1"/>
                <w:sz w:val="20"/>
                <w:szCs w:val="20"/>
                <w:rtl w:val="0"/>
              </w:rPr>
              <w:t xml:space="preserve">Data time interval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sz w:val="20"/>
                <w:szCs w:val="20"/>
              </w:rPr>
            </w:pPr>
            <w:r w:rsidDel="00000000" w:rsidR="00000000" w:rsidRPr="00000000">
              <w:rPr>
                <w:sz w:val="20"/>
                <w:szCs w:val="20"/>
                <w:rtl w:val="0"/>
              </w:rPr>
              <w:t xml:space="preserve">No fixed reporting interval. New cases are reported over a 14 day period. TimePeriodStart represents the date the outbreak was reported to the Department of Public health. TimePeriodEnd represents the date that the outbreak was considered closed.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b w:val="1"/>
                <w:sz w:val="20"/>
                <w:szCs w:val="20"/>
              </w:rPr>
            </w:pPr>
            <w:r w:rsidDel="00000000" w:rsidR="00000000" w:rsidRPr="00000000">
              <w:rPr>
                <w:b w:val="1"/>
                <w:sz w:val="20"/>
                <w:szCs w:val="20"/>
                <w:rtl w:val="0"/>
              </w:rPr>
              <w:t xml:space="preserve">Data masking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20"/>
                <w:szCs w:val="20"/>
              </w:rPr>
            </w:pPr>
            <w:r w:rsidDel="00000000" w:rsidR="00000000" w:rsidRPr="00000000">
              <w:rPr>
                <w:sz w:val="20"/>
                <w:szCs w:val="20"/>
                <w:rtl w:val="0"/>
              </w:rPr>
              <w:t xml:space="preserve">Colorado does not mask cases.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b w:val="1"/>
                <w:sz w:val="20"/>
                <w:szCs w:val="20"/>
              </w:rPr>
            </w:pPr>
            <w:r w:rsidDel="00000000" w:rsidR="00000000" w:rsidRPr="00000000">
              <w:rPr>
                <w:b w:val="1"/>
                <w:sz w:val="20"/>
                <w:szCs w:val="20"/>
                <w:rtl w:val="0"/>
              </w:rPr>
              <w:t xml:space="preserve">Data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20"/>
                <w:szCs w:val="20"/>
              </w:rPr>
            </w:pPr>
            <w:hyperlink r:id="rId6">
              <w:r w:rsidDel="00000000" w:rsidR="00000000" w:rsidRPr="00000000">
                <w:rPr>
                  <w:color w:val="1155cc"/>
                  <w:sz w:val="20"/>
                  <w:szCs w:val="20"/>
                  <w:u w:val="single"/>
                  <w:rtl w:val="0"/>
                </w:rPr>
                <w:t xml:space="preserve">Colorado Department of Public Health and Environment Outbreak Data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b w:val="1"/>
                <w:sz w:val="20"/>
                <w:szCs w:val="20"/>
              </w:rPr>
            </w:pPr>
            <w:r w:rsidDel="00000000" w:rsidR="00000000" w:rsidRPr="00000000">
              <w:rPr>
                <w:b w:val="1"/>
                <w:sz w:val="20"/>
                <w:szCs w:val="20"/>
                <w:rtl w:val="0"/>
              </w:rPr>
              <w:t xml:space="preserve">Additional data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20"/>
                <w:szCs w:val="20"/>
                <w:highlight w:val="white"/>
              </w:rPr>
            </w:pPr>
            <w:r w:rsidDel="00000000" w:rsidR="00000000" w:rsidRPr="00000000">
              <w:rPr>
                <w:sz w:val="20"/>
                <w:szCs w:val="20"/>
                <w:highlight w:val="white"/>
                <w:rtl w:val="0"/>
              </w:rPr>
              <w:t xml:space="preserve">Colorado focuses its reporting on outbreaks, which are defined as 2 or more cases in a location within 14 days. </w:t>
            </w:r>
          </w:p>
          <w:p w:rsidR="00000000" w:rsidDel="00000000" w:rsidP="00000000" w:rsidRDefault="00000000" w:rsidRPr="00000000" w14:paraId="0000005C">
            <w:pPr>
              <w:pageBreakBefore w:val="0"/>
              <w:widowControl w:val="0"/>
              <w:spacing w:line="240" w:lineRule="auto"/>
              <w:rPr>
                <w:sz w:val="20"/>
                <w:szCs w:val="20"/>
                <w:highlight w:val="white"/>
              </w:rPr>
            </w:pPr>
            <w:r w:rsidDel="00000000" w:rsidR="00000000" w:rsidRPr="00000000">
              <w:rPr>
                <w:sz w:val="20"/>
                <w:szCs w:val="20"/>
                <w:highlight w:val="white"/>
                <w:rtl w:val="0"/>
              </w:rPr>
              <w:t xml:space="preserve">In addition, we have aggregated probable and confirmed cases, which were separated in the earliest period (October 14-December 23, 2020) but not in the most recent data.  </w:t>
            </w:r>
          </w:p>
          <w:p w:rsidR="00000000" w:rsidDel="00000000" w:rsidP="00000000" w:rsidRDefault="00000000" w:rsidRPr="00000000" w14:paraId="0000005D">
            <w:pPr>
              <w:pageBreakBefore w:val="0"/>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sz w:val="20"/>
                <w:szCs w:val="20"/>
                <w:highlight w:val="white"/>
              </w:rPr>
            </w:pPr>
            <w:hyperlink r:id="rId7">
              <w:r w:rsidDel="00000000" w:rsidR="00000000" w:rsidRPr="00000000">
                <w:rPr>
                  <w:color w:val="1155cc"/>
                  <w:sz w:val="20"/>
                  <w:szCs w:val="20"/>
                  <w:u w:val="single"/>
                  <w:rtl w:val="0"/>
                </w:rPr>
                <w:t xml:space="preserve">COVID case mapping metadata document</w:t>
              </w:r>
            </w:hyperlink>
            <w:r w:rsidDel="00000000" w:rsidR="00000000" w:rsidRPr="00000000">
              <w:rPr>
                <w:rtl w:val="0"/>
              </w:rPr>
            </w:r>
          </w:p>
        </w:tc>
      </w:tr>
    </w:tbl>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pageBreakBefore w:val="0"/>
        <w:numPr>
          <w:ilvl w:val="0"/>
          <w:numId w:val="2"/>
        </w:numPr>
        <w:ind w:left="360"/>
        <w:rPr>
          <w:b w:val="1"/>
        </w:rPr>
      </w:pPr>
      <w:r w:rsidDel="00000000" w:rsidR="00000000" w:rsidRPr="00000000">
        <w:rPr>
          <w:b w:val="1"/>
          <w:rtl w:val="0"/>
        </w:rPr>
        <w:t xml:space="preserve">Masking Policy Data</w:t>
      </w:r>
    </w:p>
    <w:tbl>
      <w:tblPr>
        <w:tblStyle w:val="Table4"/>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30"/>
        <w:tblGridChange w:id="0">
          <w:tblGrid>
            <w:gridCol w:w="2415"/>
            <w:gridCol w:w="6930"/>
          </w:tblGrid>
        </w:tblGridChange>
      </w:tblGrid>
      <w:tr>
        <w:trPr>
          <w:cantSplit w:val="0"/>
          <w:trHeight w:val="400"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color w:val="ffffff"/>
                <w:sz w:val="20"/>
                <w:szCs w:val="20"/>
              </w:rPr>
            </w:pPr>
            <w:r w:rsidDel="00000000" w:rsidR="00000000" w:rsidRPr="00000000">
              <w:rPr>
                <w:b w:val="1"/>
                <w:color w:val="ffffff"/>
                <w:sz w:val="20"/>
                <w:szCs w:val="20"/>
                <w:rtl w:val="0"/>
              </w:rPr>
              <w:t xml:space="preserve">Masking Data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20"/>
                <w:szCs w:val="20"/>
              </w:rPr>
            </w:pPr>
            <w:r w:rsidDel="00000000" w:rsidR="00000000" w:rsidRPr="00000000">
              <w:rPr>
                <w:b w:val="1"/>
                <w:sz w:val="20"/>
                <w:szCs w:val="20"/>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sz w:val="20"/>
                <w:szCs w:val="20"/>
              </w:rPr>
            </w:pPr>
            <w:r w:rsidDel="00000000" w:rsidR="00000000" w:rsidRPr="00000000">
              <w:rPr>
                <w:b w:val="1"/>
                <w:sz w:val="20"/>
                <w:szCs w:val="20"/>
                <w:rtl w:val="0"/>
              </w:rPr>
              <w:t xml:space="preserve">Reporting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District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20"/>
                <w:szCs w:val="20"/>
              </w:rPr>
            </w:pPr>
            <w:r w:rsidDel="00000000" w:rsidR="00000000" w:rsidRPr="00000000">
              <w:rPr>
                <w:b w:val="1"/>
                <w:sz w:val="20"/>
                <w:szCs w:val="20"/>
                <w:rtl w:val="0"/>
              </w:rPr>
              <w:t xml:space="preserve">Data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CO enacted a statewide mandate, which included schools and districts, throughout the 2020-21 school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0"/>
                <w:szCs w:val="20"/>
              </w:rPr>
            </w:pPr>
            <w:r w:rsidDel="00000000" w:rsidR="00000000" w:rsidRPr="00000000">
              <w:rPr>
                <w:b w:val="1"/>
                <w:sz w:val="20"/>
                <w:szCs w:val="20"/>
                <w:rtl w:val="0"/>
              </w:rPr>
              <w:t xml:space="preserve">Additional data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The CO data reflect a masking policy in effect for staff and students across all districts for the full 2020-21 school year, until </w:t>
            </w:r>
            <w:r w:rsidDel="00000000" w:rsidR="00000000" w:rsidRPr="00000000">
              <w:rPr>
                <w:sz w:val="20"/>
                <w:szCs w:val="20"/>
                <w:rtl w:val="0"/>
              </w:rPr>
              <w:t xml:space="preserve">May 14, 2021 (</w:t>
            </w:r>
            <w:r w:rsidDel="00000000" w:rsidR="00000000" w:rsidRPr="00000000">
              <w:rPr>
                <w:sz w:val="20"/>
                <w:szCs w:val="20"/>
                <w:rtl w:val="0"/>
              </w:rPr>
              <w:t xml:space="preserve">this date reflects the end of the state-level mask mandate).</w:t>
            </w: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ageBreakBefore w:val="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vid19.colorado.gov/covid19-outbreak-data" TargetMode="External"/><Relationship Id="rId7" Type="http://schemas.openxmlformats.org/officeDocument/2006/relationships/hyperlink" Target="https://docs.google.com/document/d/1Mbe-fKZfcXwGbiTho9htJJ_1pT8G_sHMr11dhQ1BheU/edit#heading=h.5yo8agjyba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