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C08E" w14:textId="7C45F311" w:rsidR="007C34E2" w:rsidRPr="00CA2B76" w:rsidRDefault="348B4FF4" w:rsidP="006724B7">
      <w:pPr>
        <w:jc w:val="center"/>
        <w:rPr>
          <w:b/>
          <w:bCs/>
          <w:sz w:val="20"/>
          <w:szCs w:val="20"/>
          <w:lang w:val="it-IT"/>
        </w:rPr>
      </w:pPr>
      <w:bookmarkStart w:id="0" w:name="_Hlk85020782"/>
      <w:r w:rsidRPr="0067653A">
        <w:rPr>
          <w:b/>
          <w:bCs/>
          <w:sz w:val="20"/>
          <w:szCs w:val="20"/>
          <w:lang w:val="it-IT"/>
        </w:rPr>
        <w:t xml:space="preserve">POLITICA GLOBALE DI ALIGN SULLA CESSIONE O LA RIVENDITA DEGLI SCANNER iTERO </w:t>
      </w:r>
      <w:r w:rsidRPr="0067653A">
        <w:rPr>
          <w:b/>
          <w:bCs/>
          <w:sz w:val="20"/>
          <w:szCs w:val="20"/>
          <w:lang w:val="it-IT"/>
        </w:rPr>
        <w:br/>
        <w:t>("POLITICA GLOBALE SULLE CESSIONI")</w:t>
      </w:r>
    </w:p>
    <w:p w14:paraId="76970E6D" w14:textId="20C7C273" w:rsidR="0022513A" w:rsidRPr="00CA2B76" w:rsidRDefault="51B0BE27" w:rsidP="00CA2B76">
      <w:pPr>
        <w:spacing w:line="245" w:lineRule="auto"/>
        <w:jc w:val="both"/>
        <w:rPr>
          <w:b/>
          <w:bCs/>
          <w:sz w:val="20"/>
          <w:szCs w:val="20"/>
          <w:u w:val="single"/>
          <w:lang w:val="it-IT"/>
        </w:rPr>
      </w:pPr>
      <w:r w:rsidRPr="0067653A">
        <w:rPr>
          <w:b/>
          <w:bCs/>
          <w:sz w:val="20"/>
          <w:szCs w:val="20"/>
          <w:u w:val="single"/>
          <w:lang w:val="it-IT"/>
        </w:rPr>
        <w:t>IMPORTANTE</w:t>
      </w:r>
      <w:r w:rsidRPr="0067653A">
        <w:rPr>
          <w:b/>
          <w:bCs/>
          <w:sz w:val="20"/>
          <w:szCs w:val="20"/>
          <w:lang w:val="it-IT"/>
        </w:rPr>
        <w:t>:</w:t>
      </w:r>
      <w:r w:rsidRPr="0067653A">
        <w:rPr>
          <w:sz w:val="20"/>
          <w:szCs w:val="20"/>
          <w:lang w:val="it-IT"/>
        </w:rPr>
        <w:t xml:space="preserve"> se l'utente del dispositivo desidera vendere o cedere il proprio Scanner iTero a un nuovo proprietario, Align potrà prestare assistenza nell'attivazione del nuovo Scanner iTero venduto o ceduto a terzi solo qualora tale vendita o cessione dello Scanner iTero si attenga a tutti i requisiti normativi e alle politiche e le procedure di Align definite nella presente Politica globale sulle cessioni. È importante leggere e comprendere la presente Politica globale sulle cessioni prima di acquistare uno Scanner iTero e prima di vendere o cedere uno Scanner iTero.</w:t>
      </w:r>
    </w:p>
    <w:p w14:paraId="2CC65830" w14:textId="6CA0F9AB" w:rsidR="00F66F94" w:rsidRPr="0067653A" w:rsidRDefault="007322E3" w:rsidP="00CA2B76">
      <w:pPr>
        <w:pStyle w:val="ListParagraph"/>
        <w:numPr>
          <w:ilvl w:val="0"/>
          <w:numId w:val="35"/>
        </w:numPr>
        <w:spacing w:line="245" w:lineRule="auto"/>
        <w:rPr>
          <w:b/>
          <w:bCs/>
          <w:sz w:val="20"/>
          <w:szCs w:val="20"/>
          <w:u w:val="single"/>
        </w:rPr>
      </w:pPr>
      <w:r w:rsidRPr="0067653A">
        <w:rPr>
          <w:b/>
          <w:bCs/>
          <w:sz w:val="20"/>
          <w:szCs w:val="20"/>
          <w:u w:val="single"/>
          <w:lang w:val="it-IT"/>
        </w:rPr>
        <w:t>PANORAMICA</w:t>
      </w:r>
    </w:p>
    <w:p w14:paraId="03CBBFE2" w14:textId="2A7B6E93" w:rsidR="007575EB" w:rsidRPr="00CA2B76" w:rsidRDefault="007575EB" w:rsidP="00CA2B76">
      <w:pPr>
        <w:pStyle w:val="ListParagraph"/>
        <w:numPr>
          <w:ilvl w:val="1"/>
          <w:numId w:val="35"/>
        </w:numPr>
        <w:spacing w:line="245" w:lineRule="auto"/>
        <w:jc w:val="both"/>
        <w:rPr>
          <w:lang w:val="it-IT"/>
        </w:rPr>
      </w:pPr>
      <w:r w:rsidRPr="0067653A">
        <w:rPr>
          <w:sz w:val="20"/>
          <w:szCs w:val="20"/>
          <w:lang w:val="it-IT"/>
        </w:rPr>
        <w:t>Ai fini della presente Politica globale sulle cessioni: (i) uno scanner iTero che viene trasferito nelle modalità previste dalla presente Politica globale sulle cessioni viene definito uno "Scanner iTero"; (ii) qualsiasi vendita o cessione (con o senza un corrispettivo) di uno scanner iTero nella quale Align, le sue consociate, affiliate o distributori autorizzati non sono parte in causa viene definita "Cessione"; e (iii) la persona/entità venditrice o cessionaria dello scanner iTero viene definita "Venditore", mentre la persona/entità che acquista o riceve lo scanner iTero viene definita "Acquirente".</w:t>
      </w:r>
    </w:p>
    <w:p w14:paraId="6472544A" w14:textId="7E130DAE" w:rsidR="007C34E2" w:rsidRPr="00CA2B76" w:rsidRDefault="007C34E2" w:rsidP="00CA2B76">
      <w:pPr>
        <w:pStyle w:val="ListParagraph"/>
        <w:numPr>
          <w:ilvl w:val="1"/>
          <w:numId w:val="35"/>
        </w:numPr>
        <w:spacing w:line="245" w:lineRule="auto"/>
        <w:jc w:val="both"/>
        <w:rPr>
          <w:sz w:val="20"/>
          <w:szCs w:val="20"/>
          <w:lang w:val="it-IT"/>
        </w:rPr>
      </w:pPr>
      <w:r w:rsidRPr="0067653A">
        <w:rPr>
          <w:sz w:val="20"/>
          <w:szCs w:val="20"/>
          <w:lang w:val="it-IT"/>
        </w:rPr>
        <w:t>Align si impegna a offrire ai propri clienti e ai loro pazienti prodotti e servizi della più alta qualità. Come azienda produttrice globale di dispositivi medici, Align è soggetta a normative, regolamenti, regole e standard sulla privacy dei dati (collettivamente, le "Normative in vigore") in ogni Paese in cui opera.</w:t>
      </w:r>
    </w:p>
    <w:p w14:paraId="67347815" w14:textId="2EB792B6" w:rsidR="00EC753A" w:rsidRPr="00CA2B76" w:rsidRDefault="00A30E67" w:rsidP="00CA2B76">
      <w:pPr>
        <w:pStyle w:val="ListParagraph"/>
        <w:numPr>
          <w:ilvl w:val="1"/>
          <w:numId w:val="35"/>
        </w:numPr>
        <w:spacing w:line="245" w:lineRule="auto"/>
        <w:jc w:val="both"/>
        <w:rPr>
          <w:sz w:val="20"/>
          <w:szCs w:val="20"/>
          <w:lang w:val="it-IT"/>
        </w:rPr>
      </w:pPr>
      <w:r w:rsidRPr="0067653A">
        <w:rPr>
          <w:sz w:val="20"/>
          <w:szCs w:val="20"/>
          <w:lang w:val="it-IT"/>
        </w:rPr>
        <w:t>In numerosi Paesi, gli scanner iTero sono dispositivi medici regolamentati di Classe II e la Cessione di uno Scanner iTero è un'attività regolamentata. Per assicurarsi che tutti gli Scanner iTero vengano trasferiti in conformità con le Normative in vigore e gli standard professionali di Align, le Cessioni di Scanner iTero usati sono da noi supportate solo a determinate condizioni.</w:t>
      </w:r>
    </w:p>
    <w:p w14:paraId="70EE152B" w14:textId="27B8F81C" w:rsidR="006D5444" w:rsidRPr="00CA2B76" w:rsidRDefault="3AEBDD9D" w:rsidP="00CA2B76">
      <w:pPr>
        <w:pStyle w:val="ListParagraph"/>
        <w:numPr>
          <w:ilvl w:val="1"/>
          <w:numId w:val="35"/>
        </w:numPr>
        <w:spacing w:line="245" w:lineRule="auto"/>
        <w:jc w:val="both"/>
        <w:rPr>
          <w:sz w:val="20"/>
          <w:szCs w:val="20"/>
          <w:lang w:val="it-IT"/>
        </w:rPr>
      </w:pPr>
      <w:r w:rsidRPr="0067653A">
        <w:rPr>
          <w:sz w:val="20"/>
          <w:szCs w:val="20"/>
          <w:lang w:val="it-IT"/>
        </w:rPr>
        <w:t>Se il medico è interessato ad acquistare uno Scanner iTero, il nostro consiglio è di acquistarlo direttamente da Align o da un distributore autorizzato di Align.</w:t>
      </w:r>
    </w:p>
    <w:p w14:paraId="6AFF1765" w14:textId="5C4DCB1A" w:rsidR="004E13DC" w:rsidRPr="00CA2B76" w:rsidRDefault="137B0EA8" w:rsidP="00CA2B76">
      <w:pPr>
        <w:pStyle w:val="ListParagraph"/>
        <w:numPr>
          <w:ilvl w:val="1"/>
          <w:numId w:val="35"/>
        </w:numPr>
        <w:spacing w:line="245" w:lineRule="auto"/>
        <w:jc w:val="both"/>
        <w:rPr>
          <w:sz w:val="20"/>
          <w:szCs w:val="20"/>
          <w:lang w:val="it-IT"/>
        </w:rPr>
      </w:pPr>
      <w:r w:rsidRPr="0067653A">
        <w:rPr>
          <w:sz w:val="20"/>
          <w:szCs w:val="20"/>
          <w:lang w:val="it-IT"/>
        </w:rPr>
        <w:t>Si tenga presente che la Cessione si riferisce esclusivamente all'hardware dello Scanner iTero. La licenza del software iTero è personale e non può essere ceduta dal Venditore. Nel caso di una Cessione supportata come previsto dai termini della presente Politica globale sulle cessioni, Align concederà all'Acquirente una nuova licenza per il software iTero, come specificato nella sezione Procedura di Cessione e come applicabile allo Scanner iTero oggetto della cessione.</w:t>
      </w:r>
    </w:p>
    <w:p w14:paraId="3611189B" w14:textId="7BF36BA9" w:rsidR="00CE06FA" w:rsidRPr="00CA2B76" w:rsidRDefault="0546377C" w:rsidP="00CA2B76">
      <w:pPr>
        <w:pStyle w:val="ListParagraph"/>
        <w:numPr>
          <w:ilvl w:val="1"/>
          <w:numId w:val="35"/>
        </w:numPr>
        <w:spacing w:line="245" w:lineRule="auto"/>
        <w:jc w:val="both"/>
        <w:rPr>
          <w:b/>
          <w:bCs/>
          <w:sz w:val="20"/>
          <w:szCs w:val="20"/>
          <w:lang w:val="it-IT"/>
        </w:rPr>
      </w:pPr>
      <w:r w:rsidRPr="0067653A">
        <w:rPr>
          <w:b/>
          <w:bCs/>
          <w:sz w:val="20"/>
          <w:szCs w:val="20"/>
          <w:lang w:val="it-IT"/>
        </w:rPr>
        <w:t xml:space="preserve">Tutti i potenziali Venditori e Acquirenti devono rivolgersi al rappresentante Align di zona o contattare Align all'indirizzo </w:t>
      </w:r>
      <w:hyperlink r:id="rId8">
        <w:r w:rsidRPr="0067653A">
          <w:rPr>
            <w:rStyle w:val="Hyperlink"/>
            <w:b/>
            <w:bCs/>
            <w:sz w:val="20"/>
            <w:szCs w:val="20"/>
            <w:lang w:val="it-IT"/>
          </w:rPr>
          <w:t>https://itero.com/education-and-support/contact-us</w:t>
        </w:r>
      </w:hyperlink>
      <w:r w:rsidRPr="0067653A">
        <w:rPr>
          <w:b/>
          <w:bCs/>
          <w:sz w:val="20"/>
          <w:szCs w:val="20"/>
          <w:lang w:val="it-IT"/>
        </w:rPr>
        <w:t xml:space="preserve"> o </w:t>
      </w:r>
      <w:hyperlink r:id="rId9">
        <w:r w:rsidRPr="0067653A">
          <w:rPr>
            <w:rStyle w:val="Hyperlink"/>
            <w:b/>
            <w:bCs/>
            <w:sz w:val="20"/>
            <w:szCs w:val="20"/>
            <w:lang w:val="it-IT"/>
          </w:rPr>
          <w:t>iterosupport@aligntech.com</w:t>
        </w:r>
      </w:hyperlink>
      <w:r w:rsidRPr="0067653A">
        <w:rPr>
          <w:b/>
          <w:bCs/>
          <w:sz w:val="20"/>
          <w:szCs w:val="20"/>
          <w:lang w:val="it-IT"/>
        </w:rPr>
        <w:t xml:space="preserve"> per ricevere istruzioni sulla procedura di Cessione e la conformità alla presente Politica globale sulle cessioni </w:t>
      </w:r>
      <w:r w:rsidRPr="0067653A">
        <w:rPr>
          <w:b/>
          <w:bCs/>
          <w:sz w:val="20"/>
          <w:szCs w:val="20"/>
          <w:u w:val="single"/>
          <w:lang w:val="it-IT"/>
        </w:rPr>
        <w:t>prima</w:t>
      </w:r>
      <w:r w:rsidRPr="0067653A">
        <w:rPr>
          <w:b/>
          <w:bCs/>
          <w:sz w:val="20"/>
          <w:szCs w:val="20"/>
          <w:lang w:val="it-IT"/>
        </w:rPr>
        <w:t xml:space="preserve"> di concludere la Cessione.</w:t>
      </w:r>
    </w:p>
    <w:p w14:paraId="28C388E1" w14:textId="3A88A89A" w:rsidR="009E79E3" w:rsidRPr="0067653A" w:rsidRDefault="2F0340D4" w:rsidP="00CA2B76">
      <w:pPr>
        <w:pStyle w:val="ListParagraph"/>
        <w:numPr>
          <w:ilvl w:val="0"/>
          <w:numId w:val="35"/>
        </w:numPr>
        <w:spacing w:line="245" w:lineRule="auto"/>
        <w:rPr>
          <w:b/>
          <w:bCs/>
          <w:sz w:val="20"/>
          <w:szCs w:val="20"/>
          <w:u w:val="single"/>
        </w:rPr>
      </w:pPr>
      <w:r w:rsidRPr="0067653A">
        <w:rPr>
          <w:b/>
          <w:bCs/>
          <w:sz w:val="20"/>
          <w:szCs w:val="20"/>
          <w:u w:val="single"/>
          <w:lang w:val="it-IT"/>
        </w:rPr>
        <w:t>CESSIONI SUPPORTATE</w:t>
      </w:r>
    </w:p>
    <w:p w14:paraId="555E3B61" w14:textId="41E95AD2" w:rsidR="00BF1483" w:rsidRPr="00CA2B76" w:rsidRDefault="35F52AC6" w:rsidP="00CA2B76">
      <w:pPr>
        <w:pStyle w:val="ListParagraph"/>
        <w:numPr>
          <w:ilvl w:val="1"/>
          <w:numId w:val="35"/>
        </w:numPr>
        <w:spacing w:line="245" w:lineRule="auto"/>
        <w:jc w:val="both"/>
        <w:rPr>
          <w:sz w:val="20"/>
          <w:szCs w:val="20"/>
          <w:lang w:val="it-IT"/>
        </w:rPr>
      </w:pPr>
      <w:r w:rsidRPr="0067653A">
        <w:rPr>
          <w:sz w:val="20"/>
          <w:szCs w:val="20"/>
          <w:lang w:val="it-IT"/>
        </w:rPr>
        <w:t>A meno che una Cessione non rientri nella definizione di "Cessione non supportata" riportata più avanti, Align presterà assistenza per la Cessione di uno Scanner iTero a un Acquirente, se la Cessione rispetta i termini della presente Politica ("Cessione supportata"), tra cui:</w:t>
      </w:r>
    </w:p>
    <w:p w14:paraId="6C11A139" w14:textId="1599B278" w:rsidR="00AC75BA" w:rsidRPr="00CA2B76" w:rsidRDefault="169F3386" w:rsidP="00CA2B76">
      <w:pPr>
        <w:pStyle w:val="ListParagraph"/>
        <w:numPr>
          <w:ilvl w:val="2"/>
          <w:numId w:val="35"/>
        </w:numPr>
        <w:spacing w:line="245" w:lineRule="auto"/>
        <w:jc w:val="both"/>
        <w:rPr>
          <w:sz w:val="20"/>
          <w:szCs w:val="20"/>
          <w:lang w:val="it-IT"/>
        </w:rPr>
      </w:pPr>
      <w:r w:rsidRPr="0067653A">
        <w:rPr>
          <w:sz w:val="20"/>
          <w:szCs w:val="20"/>
          <w:lang w:val="it-IT"/>
        </w:rPr>
        <w:t>Align non ha motivo di ritenere che la Cessione viola una Normativa in vigore nel Paese in cui avviene la Cessione;</w:t>
      </w:r>
    </w:p>
    <w:p w14:paraId="7A26387D" w14:textId="5D5FFE47" w:rsidR="00491364" w:rsidRPr="00CA2B76" w:rsidRDefault="65AAC0AA" w:rsidP="00CA2B76">
      <w:pPr>
        <w:pStyle w:val="ListParagraph"/>
        <w:numPr>
          <w:ilvl w:val="2"/>
          <w:numId w:val="35"/>
        </w:numPr>
        <w:spacing w:line="245" w:lineRule="auto"/>
        <w:jc w:val="both"/>
        <w:rPr>
          <w:sz w:val="20"/>
          <w:szCs w:val="20"/>
          <w:lang w:val="it-IT"/>
        </w:rPr>
      </w:pPr>
      <w:r w:rsidRPr="0067653A">
        <w:rPr>
          <w:sz w:val="20"/>
          <w:szCs w:val="20"/>
          <w:lang w:val="it-IT"/>
        </w:rPr>
        <w:t>la Cessione avviene all'interno del Paese in cui il Venditore ha originariamente acquistato lo Scanner iTero;</w:t>
      </w:r>
      <w:r w:rsidRPr="0067653A">
        <w:rPr>
          <w:rStyle w:val="FootnoteReference"/>
          <w:sz w:val="20"/>
          <w:szCs w:val="20"/>
          <w:lang w:val="it-IT"/>
        </w:rPr>
        <w:footnoteReference w:id="2"/>
      </w:r>
      <w:r w:rsidRPr="0067653A">
        <w:rPr>
          <w:sz w:val="20"/>
          <w:szCs w:val="20"/>
          <w:lang w:val="it-IT"/>
        </w:rPr>
        <w:t xml:space="preserve"> e</w:t>
      </w:r>
    </w:p>
    <w:p w14:paraId="3B6E684E" w14:textId="64C93240" w:rsidR="00D152B0" w:rsidRPr="00CA2B76" w:rsidRDefault="3127F61C" w:rsidP="00CA2B76">
      <w:pPr>
        <w:pStyle w:val="ListParagraph"/>
        <w:numPr>
          <w:ilvl w:val="2"/>
          <w:numId w:val="35"/>
        </w:numPr>
        <w:spacing w:line="245" w:lineRule="auto"/>
        <w:jc w:val="both"/>
        <w:rPr>
          <w:sz w:val="20"/>
          <w:szCs w:val="20"/>
          <w:lang w:val="it-IT"/>
        </w:rPr>
      </w:pPr>
      <w:r w:rsidRPr="0067653A">
        <w:rPr>
          <w:sz w:val="20"/>
          <w:szCs w:val="20"/>
          <w:lang w:val="it-IT"/>
        </w:rPr>
        <w:t>il Venditore e l'Acquirente stipulano un contratto per la Cessione di uno Scanner iTero (come richiesto da Align) e l'Acquirente accetta e firma qualsiasi documento aggiuntivo relativo alla Cessione e alla licenza del software iTero, come Align potrà richiedere di volta in volta, in base al Paese di residenza e allo Scanner iTero.</w:t>
      </w:r>
    </w:p>
    <w:p w14:paraId="469C8AC8" w14:textId="5BFDE5EF" w:rsidR="008B548B" w:rsidRPr="00CA2B76" w:rsidRDefault="00FD345B" w:rsidP="00CA2B76">
      <w:pPr>
        <w:pStyle w:val="ListParagraph"/>
        <w:numPr>
          <w:ilvl w:val="1"/>
          <w:numId w:val="35"/>
        </w:numPr>
        <w:spacing w:line="245" w:lineRule="auto"/>
        <w:ind w:left="788" w:hanging="431"/>
        <w:jc w:val="both"/>
        <w:rPr>
          <w:sz w:val="20"/>
          <w:szCs w:val="20"/>
          <w:lang w:val="it-IT"/>
        </w:rPr>
      </w:pPr>
      <w:r w:rsidRPr="0067653A">
        <w:rPr>
          <w:sz w:val="20"/>
          <w:szCs w:val="20"/>
          <w:lang w:val="it-IT"/>
        </w:rPr>
        <w:t>Ad assoluta discrezione di Align e a seconda del Paese di residenza, il Venditore può Cedere lo Scanner iTero anche ad Align. Il Venditore deve verificare con il servizio clienti Align di zona se questa opzione è disponibile e in quali termini.</w:t>
      </w:r>
    </w:p>
    <w:p w14:paraId="29E8B162" w14:textId="2ED842D3" w:rsidR="00A741A8" w:rsidRPr="00CA2B76" w:rsidRDefault="00A741A8" w:rsidP="00DA0AF7">
      <w:pPr>
        <w:pStyle w:val="ListParagraph"/>
        <w:numPr>
          <w:ilvl w:val="1"/>
          <w:numId w:val="35"/>
        </w:numPr>
        <w:jc w:val="both"/>
        <w:rPr>
          <w:sz w:val="20"/>
          <w:szCs w:val="20"/>
          <w:lang w:val="it-IT"/>
        </w:rPr>
      </w:pPr>
      <w:r w:rsidRPr="0067653A">
        <w:rPr>
          <w:sz w:val="20"/>
          <w:szCs w:val="20"/>
          <w:lang w:val="it-IT"/>
        </w:rPr>
        <w:lastRenderedPageBreak/>
        <w:t>Align, a sua assoluta discrezione, può supportare le Cessioni in alcune altre circostanze, a patto che la Cessione non violi i termini stabiliti nella prossima sezione, Cessioni non supportate.</w:t>
      </w:r>
    </w:p>
    <w:p w14:paraId="66558098" w14:textId="531FC98D" w:rsidR="00047A1B" w:rsidRPr="0067653A" w:rsidRDefault="003A0B37" w:rsidP="00DE22CD">
      <w:pPr>
        <w:pStyle w:val="ListParagraph"/>
        <w:numPr>
          <w:ilvl w:val="0"/>
          <w:numId w:val="35"/>
        </w:numPr>
        <w:rPr>
          <w:b/>
          <w:bCs/>
          <w:sz w:val="20"/>
          <w:szCs w:val="20"/>
          <w:u w:val="single"/>
        </w:rPr>
      </w:pPr>
      <w:r w:rsidRPr="0067653A">
        <w:rPr>
          <w:b/>
          <w:bCs/>
          <w:sz w:val="20"/>
          <w:szCs w:val="20"/>
          <w:u w:val="single"/>
          <w:lang w:val="it-IT"/>
        </w:rPr>
        <w:t>CESSIONI NON SUPPORTATE</w:t>
      </w:r>
    </w:p>
    <w:p w14:paraId="6E69CCBF" w14:textId="0583F99F" w:rsidR="006B3E58" w:rsidRPr="00CA2B76" w:rsidRDefault="000E68B2" w:rsidP="00DE22CD">
      <w:pPr>
        <w:pStyle w:val="ListParagraph"/>
        <w:numPr>
          <w:ilvl w:val="1"/>
          <w:numId w:val="35"/>
        </w:numPr>
        <w:jc w:val="both"/>
        <w:rPr>
          <w:sz w:val="20"/>
          <w:szCs w:val="20"/>
          <w:lang w:val="it-IT"/>
        </w:rPr>
      </w:pPr>
      <w:r w:rsidRPr="0067653A">
        <w:rPr>
          <w:sz w:val="20"/>
          <w:szCs w:val="20"/>
          <w:lang w:val="it-IT"/>
        </w:rPr>
        <w:t>Align rifiuterà di supportare una Cessione nelle seguenti circostanze:</w:t>
      </w:r>
    </w:p>
    <w:p w14:paraId="7CD6683C" w14:textId="586B55F4" w:rsidR="006000A6" w:rsidRPr="00CA2B76" w:rsidRDefault="5818BC1D" w:rsidP="00DE22CD">
      <w:pPr>
        <w:pStyle w:val="ListParagraph"/>
        <w:numPr>
          <w:ilvl w:val="2"/>
          <w:numId w:val="35"/>
        </w:numPr>
        <w:jc w:val="both"/>
        <w:rPr>
          <w:sz w:val="20"/>
          <w:szCs w:val="20"/>
          <w:lang w:val="it-IT"/>
        </w:rPr>
      </w:pPr>
      <w:r w:rsidRPr="0067653A">
        <w:rPr>
          <w:b/>
          <w:bCs/>
          <w:sz w:val="20"/>
          <w:szCs w:val="20"/>
          <w:lang w:val="it-IT"/>
        </w:rPr>
        <w:t>Esportazione.</w:t>
      </w:r>
      <w:r w:rsidRPr="0067653A">
        <w:rPr>
          <w:sz w:val="20"/>
          <w:szCs w:val="20"/>
          <w:lang w:val="it-IT"/>
        </w:rPr>
        <w:t xml:space="preserve"> Quando la Cessione comporta la vendita o la cessione di uno Scanner iTero in un Paese diverso da quello in cui il Venditore aveva originariamente acquistato lo Scanner iTero.</w:t>
      </w:r>
      <w:r w:rsidRPr="0067653A">
        <w:rPr>
          <w:sz w:val="20"/>
          <w:szCs w:val="20"/>
          <w:vertAlign w:val="superscript"/>
          <w:lang w:val="it-IT"/>
        </w:rPr>
        <w:t>1</w:t>
      </w:r>
      <w:r w:rsidRPr="0067653A">
        <w:rPr>
          <w:sz w:val="20"/>
          <w:szCs w:val="20"/>
          <w:lang w:val="it-IT"/>
        </w:rPr>
        <w:t xml:space="preserve"> I Venditori devono tenere presente che una Cessione di questo tipo viola il loro contratto di acquisto dello Scanner iTero e potrebbe inoltre violare i requisiti delle Normative in vigore.</w:t>
      </w:r>
    </w:p>
    <w:p w14:paraId="1156DB3A" w14:textId="52AA9E23" w:rsidR="00C27E4E" w:rsidRPr="00CA2B76" w:rsidRDefault="059E038A" w:rsidP="00DE22CD">
      <w:pPr>
        <w:pStyle w:val="ListParagraph"/>
        <w:numPr>
          <w:ilvl w:val="2"/>
          <w:numId w:val="35"/>
        </w:numPr>
        <w:jc w:val="both"/>
        <w:rPr>
          <w:sz w:val="20"/>
          <w:szCs w:val="20"/>
          <w:lang w:val="it-IT"/>
        </w:rPr>
      </w:pPr>
      <w:r w:rsidRPr="0067653A">
        <w:rPr>
          <w:b/>
          <w:bCs/>
          <w:sz w:val="20"/>
          <w:szCs w:val="20"/>
          <w:lang w:val="it-IT"/>
        </w:rPr>
        <w:t>Fine del supporto.</w:t>
      </w:r>
      <w:r w:rsidRPr="0067653A">
        <w:rPr>
          <w:sz w:val="20"/>
          <w:szCs w:val="20"/>
          <w:lang w:val="it-IT"/>
        </w:rPr>
        <w:t xml:space="preserve"> Tutti gli Scanner iTero sono soggetti ai termini e le condizioni relativi alla "Fine del supporto" stabiliti nel contratto di acquisto dello Scanner iTero, incluso il Service Plan applicabile. Align non ha l'obbligo di fornire servizi (inclusa l'attivazione) una volta trascorsa la data di Fine del supporto stabilita nel contratto di acquisto.</w:t>
      </w:r>
    </w:p>
    <w:p w14:paraId="6CE3F336" w14:textId="5D1D9359" w:rsidR="00B070B7" w:rsidRPr="00CA2B76" w:rsidRDefault="4D00BC7D" w:rsidP="00DE22CD">
      <w:pPr>
        <w:pStyle w:val="ListParagraph"/>
        <w:numPr>
          <w:ilvl w:val="2"/>
          <w:numId w:val="35"/>
        </w:numPr>
        <w:jc w:val="both"/>
        <w:rPr>
          <w:spacing w:val="-2"/>
          <w:sz w:val="20"/>
          <w:szCs w:val="20"/>
          <w:lang w:val="it-IT"/>
        </w:rPr>
      </w:pPr>
      <w:r w:rsidRPr="00CA2B76">
        <w:rPr>
          <w:b/>
          <w:bCs/>
          <w:spacing w:val="-2"/>
          <w:sz w:val="20"/>
          <w:szCs w:val="20"/>
          <w:lang w:val="it-IT"/>
        </w:rPr>
        <w:t>Perplessità sul prodotto e sulla transazione.</w:t>
      </w:r>
      <w:r w:rsidRPr="00CA2B76">
        <w:rPr>
          <w:spacing w:val="-2"/>
          <w:sz w:val="20"/>
          <w:szCs w:val="20"/>
          <w:lang w:val="it-IT"/>
        </w:rPr>
        <w:t xml:space="preserve"> Laddove Align, a sua assoluta discrezione e in base alla propria documentazione, non sia in grado di verificare la provenienza e la storia dello Scanner iTero in questione, ritenga che la Cessione possa violare le Normative in vigore o la presente Politica globale sulle cessioni o abbia motivo di credere che lo Scanner iTero non sia più adatto all'uso e lo scopo previsti.</w:t>
      </w:r>
    </w:p>
    <w:p w14:paraId="45303335" w14:textId="2193D26B" w:rsidR="00B614E3" w:rsidRPr="0067653A" w:rsidRDefault="009E79E3" w:rsidP="00DE22CD">
      <w:pPr>
        <w:pStyle w:val="ListParagraph"/>
        <w:numPr>
          <w:ilvl w:val="0"/>
          <w:numId w:val="35"/>
        </w:numPr>
        <w:rPr>
          <w:b/>
          <w:bCs/>
          <w:sz w:val="20"/>
          <w:szCs w:val="20"/>
          <w:u w:val="single"/>
        </w:rPr>
      </w:pPr>
      <w:r w:rsidRPr="0067653A">
        <w:rPr>
          <w:b/>
          <w:bCs/>
          <w:sz w:val="20"/>
          <w:szCs w:val="20"/>
          <w:u w:val="single"/>
          <w:lang w:val="it-IT"/>
        </w:rPr>
        <w:t>PROCEDURA DI CESSIONE</w:t>
      </w:r>
    </w:p>
    <w:p w14:paraId="652945BA" w14:textId="4D85297B" w:rsidR="009E79E3" w:rsidRPr="00CA2B76" w:rsidRDefault="2F0340D4" w:rsidP="76899A30">
      <w:pPr>
        <w:pStyle w:val="ListParagraph"/>
        <w:numPr>
          <w:ilvl w:val="1"/>
          <w:numId w:val="35"/>
        </w:numPr>
        <w:jc w:val="both"/>
        <w:rPr>
          <w:lang w:val="it-IT"/>
        </w:rPr>
      </w:pPr>
      <w:r w:rsidRPr="0067653A">
        <w:rPr>
          <w:sz w:val="20"/>
          <w:szCs w:val="20"/>
          <w:lang w:val="it-IT"/>
        </w:rPr>
        <w:t xml:space="preserve">Per ulteriori informazioni sulla procedura di Cessione (inclusa la documentazione richiesta), contattare il rappresentante Align di zona o Align all'indirizzo </w:t>
      </w:r>
      <w:hyperlink r:id="rId10">
        <w:r w:rsidRPr="0067653A">
          <w:rPr>
            <w:rStyle w:val="Hyperlink"/>
            <w:b/>
            <w:bCs/>
            <w:sz w:val="20"/>
            <w:szCs w:val="20"/>
            <w:lang w:val="it-IT"/>
          </w:rPr>
          <w:t>https://itero.com/education-and-support/contact-us</w:t>
        </w:r>
      </w:hyperlink>
      <w:r w:rsidRPr="0067653A">
        <w:rPr>
          <w:sz w:val="20"/>
          <w:szCs w:val="20"/>
          <w:lang w:val="it-IT"/>
        </w:rPr>
        <w:t xml:space="preserve"> o </w:t>
      </w:r>
      <w:hyperlink r:id="rId11">
        <w:r w:rsidRPr="0067653A">
          <w:rPr>
            <w:rStyle w:val="Hyperlink"/>
            <w:b/>
            <w:bCs/>
            <w:sz w:val="20"/>
            <w:szCs w:val="20"/>
            <w:lang w:val="it-IT"/>
          </w:rPr>
          <w:t>iterosupport@aligntech.com</w:t>
        </w:r>
      </w:hyperlink>
      <w:r w:rsidRPr="0067653A">
        <w:rPr>
          <w:b/>
          <w:bCs/>
          <w:sz w:val="20"/>
          <w:szCs w:val="20"/>
          <w:lang w:val="it-IT"/>
        </w:rPr>
        <w:t xml:space="preserve"> </w:t>
      </w:r>
      <w:r w:rsidRPr="0067653A">
        <w:rPr>
          <w:b/>
          <w:bCs/>
          <w:i/>
          <w:iCs/>
          <w:sz w:val="20"/>
          <w:szCs w:val="20"/>
          <w:lang w:val="it-IT"/>
        </w:rPr>
        <w:t>prima di concludere la vendita o l'acquisto di uno Scanner iTero usato</w:t>
      </w:r>
      <w:r w:rsidRPr="0067653A">
        <w:rPr>
          <w:sz w:val="20"/>
          <w:szCs w:val="20"/>
          <w:lang w:val="it-IT"/>
        </w:rPr>
        <w:t xml:space="preserve">. </w:t>
      </w:r>
    </w:p>
    <w:p w14:paraId="2DB460DD" w14:textId="1AE4AE08" w:rsidR="00487582" w:rsidRPr="00CA2B76" w:rsidRDefault="17E21BE4" w:rsidP="00D3587F">
      <w:pPr>
        <w:pStyle w:val="ListParagraph"/>
        <w:numPr>
          <w:ilvl w:val="1"/>
          <w:numId w:val="35"/>
        </w:numPr>
        <w:jc w:val="both"/>
        <w:rPr>
          <w:sz w:val="20"/>
          <w:szCs w:val="20"/>
          <w:lang w:val="it-IT"/>
        </w:rPr>
      </w:pPr>
      <w:r w:rsidRPr="0067653A">
        <w:rPr>
          <w:sz w:val="20"/>
          <w:szCs w:val="20"/>
          <w:lang w:val="it-IT"/>
        </w:rPr>
        <w:t>Dopo la Cessione, tutte le scansioni effettuate sull'account del Venditore non saranno più disponibili sullo Scanner iTero. Per istruzioni sul download o l'archiviazione su cloud (limitatamente alla disponibilità), contattare il rappresentante Align prima della Cessione.</w:t>
      </w:r>
    </w:p>
    <w:p w14:paraId="206D2C69" w14:textId="1B36A5BC" w:rsidR="009E79E3" w:rsidRPr="00CA2B76" w:rsidRDefault="1FB04215" w:rsidP="00D3587F">
      <w:pPr>
        <w:pStyle w:val="ListParagraph"/>
        <w:numPr>
          <w:ilvl w:val="1"/>
          <w:numId w:val="35"/>
        </w:numPr>
        <w:jc w:val="both"/>
        <w:rPr>
          <w:spacing w:val="-4"/>
          <w:sz w:val="20"/>
          <w:szCs w:val="20"/>
          <w:lang w:val="it-IT"/>
        </w:rPr>
      </w:pPr>
      <w:r w:rsidRPr="00CA2B76">
        <w:rPr>
          <w:spacing w:val="-4"/>
          <w:sz w:val="20"/>
          <w:szCs w:val="20"/>
          <w:lang w:val="it-IT"/>
        </w:rPr>
        <w:t>Si tenga presente che al momento della Cessione dello Scanner iTero, tutte le garanzie e la licenza per l'uso dello Scanner iTero, il software e i servizi cui il Venditore aveva diritto scadranno o termineranno automaticamente e con effetto immediato (se non secondo quanto diversamente stabilito nella Sezione 5 più avanti).</w:t>
      </w:r>
    </w:p>
    <w:p w14:paraId="72F0EF91" w14:textId="3E0421D4" w:rsidR="00D46C68" w:rsidRPr="00CA2B76" w:rsidRDefault="000740DC" w:rsidP="00DE22CD">
      <w:pPr>
        <w:pStyle w:val="ListParagraph"/>
        <w:numPr>
          <w:ilvl w:val="0"/>
          <w:numId w:val="35"/>
        </w:numPr>
        <w:rPr>
          <w:sz w:val="20"/>
          <w:szCs w:val="20"/>
          <w:lang w:val="it-IT"/>
        </w:rPr>
      </w:pPr>
      <w:r w:rsidRPr="0067653A">
        <w:rPr>
          <w:b/>
          <w:bCs/>
          <w:sz w:val="20"/>
          <w:szCs w:val="20"/>
          <w:u w:val="single"/>
          <w:lang w:val="it-IT"/>
        </w:rPr>
        <w:t>GARANZIA E SERVICE PLAN DEL PRODOTTO iTERO</w:t>
      </w:r>
    </w:p>
    <w:p w14:paraId="3FAF10A1" w14:textId="1A80DFFC" w:rsidR="00D46C68" w:rsidRPr="00CA2B76" w:rsidRDefault="499A7B2C" w:rsidP="00DE22CD">
      <w:pPr>
        <w:pStyle w:val="ListParagraph"/>
        <w:numPr>
          <w:ilvl w:val="1"/>
          <w:numId w:val="35"/>
        </w:numPr>
        <w:jc w:val="both"/>
        <w:rPr>
          <w:spacing w:val="-2"/>
          <w:sz w:val="20"/>
          <w:szCs w:val="20"/>
          <w:lang w:val="it-IT"/>
        </w:rPr>
      </w:pPr>
      <w:r w:rsidRPr="00CA2B76">
        <w:rPr>
          <w:spacing w:val="-2"/>
          <w:sz w:val="20"/>
          <w:szCs w:val="20"/>
          <w:lang w:val="it-IT"/>
        </w:rPr>
        <w:t>Si tenga presente che il Venditore può chiedere ad Align di trasferire il periodo residuo della Durata iniziale del servizio di assistenza (definita nel Service Plan) già pagato a un nuovo Scanner iTero acquistato dal Venditore presso Align o un distributore autorizzato di Align. Se il periodo residuo della Durata iniziale viene trasferito a un nuovo scanner acquistato dal Venditore come specificato qui sopra, al momento della Cessione all'Acquirente dello Scanner iTero attuale, tutte le garanzie e la licenza per l'uso dello Scanner iTero oggetto della cessione, il software e i servizi scadranno o termineranno automaticamente e con effetto immediato.</w:t>
      </w:r>
    </w:p>
    <w:p w14:paraId="2360B045" w14:textId="64D945A2" w:rsidR="00D46C68" w:rsidRPr="00CA2B76" w:rsidRDefault="72092236" w:rsidP="00DE22CD">
      <w:pPr>
        <w:pStyle w:val="ListParagraph"/>
        <w:numPr>
          <w:ilvl w:val="1"/>
          <w:numId w:val="35"/>
        </w:numPr>
        <w:jc w:val="both"/>
        <w:rPr>
          <w:sz w:val="20"/>
          <w:szCs w:val="20"/>
          <w:lang w:val="it-IT"/>
        </w:rPr>
      </w:pPr>
      <w:r w:rsidRPr="0067653A">
        <w:rPr>
          <w:sz w:val="20"/>
          <w:szCs w:val="20"/>
          <w:lang w:val="it-IT"/>
        </w:rPr>
        <w:t>Il Venditore può inoltre chiedere ad Align di trasferire il periodo residuo della Durata iniziale (già pagato) all'Acquirente e applicare la Durata iniziale allo Scanner iTero oggetto della cessione. Il trasferimento della Durata iniziale allo Scanner iTero è ad assoluta discrezione di Align e dipende, tra le altre cose, dallo specifico Scanner iTero e dalle sue condizioni e dal Paese in cui avviene la Cessione.</w:t>
      </w:r>
    </w:p>
    <w:p w14:paraId="6F388109" w14:textId="71159D5A" w:rsidR="00D46C68" w:rsidRPr="00CA2B76" w:rsidRDefault="03EEB049" w:rsidP="00DE22CD">
      <w:pPr>
        <w:pStyle w:val="ListParagraph"/>
        <w:numPr>
          <w:ilvl w:val="1"/>
          <w:numId w:val="35"/>
        </w:numPr>
        <w:jc w:val="both"/>
        <w:rPr>
          <w:sz w:val="20"/>
          <w:szCs w:val="20"/>
          <w:lang w:val="it-IT"/>
        </w:rPr>
      </w:pPr>
      <w:r w:rsidRPr="0067653A">
        <w:rPr>
          <w:sz w:val="20"/>
          <w:szCs w:val="20"/>
          <w:lang w:val="it-IT"/>
        </w:rPr>
        <w:t>Per effettuare il trasferimento del periodo residuo della Durata iniziale, il Venditore deve contattare il team Customer Success di Align competente nel mercato prima del trasferimento di proprietà. In caso contrario, tutte le garanzie e la licenza per l'uso dello Scanner iTero oggetto della cessione, il software e i servizi scadranno o termineranno automaticamente e con effetto immediato.</w:t>
      </w:r>
    </w:p>
    <w:p w14:paraId="60C6DB4A" w14:textId="26DCCD05" w:rsidR="008B6AFD" w:rsidRPr="0067653A" w:rsidRDefault="008B6AFD" w:rsidP="00DE22CD">
      <w:pPr>
        <w:pStyle w:val="ListParagraph"/>
        <w:numPr>
          <w:ilvl w:val="0"/>
          <w:numId w:val="35"/>
        </w:numPr>
        <w:rPr>
          <w:rFonts w:cstheme="minorHAnsi"/>
          <w:b/>
          <w:bCs/>
          <w:sz w:val="20"/>
          <w:szCs w:val="18"/>
          <w:u w:val="single"/>
        </w:rPr>
      </w:pPr>
      <w:r w:rsidRPr="0067653A">
        <w:rPr>
          <w:b/>
          <w:bCs/>
          <w:sz w:val="20"/>
          <w:szCs w:val="18"/>
          <w:u w:val="single"/>
          <w:lang w:val="it-IT"/>
        </w:rPr>
        <w:t xml:space="preserve">PRIVACY </w:t>
      </w:r>
      <w:r w:rsidRPr="0067653A">
        <w:rPr>
          <w:b/>
          <w:bCs/>
          <w:sz w:val="20"/>
          <w:szCs w:val="20"/>
          <w:u w:val="single"/>
          <w:lang w:val="it-IT"/>
        </w:rPr>
        <w:t>DEI DATI</w:t>
      </w:r>
    </w:p>
    <w:p w14:paraId="333C0BC2" w14:textId="48B7E95F" w:rsidR="009800D5" w:rsidRPr="00CA2B76" w:rsidRDefault="145F38DB" w:rsidP="00DE22CD">
      <w:pPr>
        <w:pStyle w:val="ListParagraph"/>
        <w:numPr>
          <w:ilvl w:val="1"/>
          <w:numId w:val="35"/>
        </w:numPr>
        <w:jc w:val="both"/>
        <w:rPr>
          <w:sz w:val="20"/>
          <w:szCs w:val="20"/>
          <w:lang w:val="it-IT"/>
        </w:rPr>
      </w:pPr>
      <w:r w:rsidRPr="0067653A">
        <w:rPr>
          <w:sz w:val="20"/>
          <w:szCs w:val="20"/>
          <w:lang w:val="it-IT"/>
        </w:rPr>
        <w:t xml:space="preserve">Il Venditore sarà l'unico responsabile della protezione, la gestione e il trattamento delle informazioni personali e sanitarie dei pazienti del Venditore archiviate sullo Scanner iTero. Il Venditore dovrà rispettare tutte le normative e i regolamenti applicabili sulla privacy e la sicurezza dei dati e gli Obblighi sulla privacy dei dati riportati nel Contratto di acquisto e nel Contratto di licenza dell'utente finale dello Scanner iTero. In alcuni territori, il Venditore ha l'obbligo di contattare il rappresentante Align del mercato specifico per cancellare i dati personali. Il Venditore non può trasferire o divulgare le credenziali di accesso del Venditore associate allo Scanner iTero. Nella misura massima consentita dalle leggi in vigore, il Venditore accetta di </w:t>
      </w:r>
      <w:r w:rsidRPr="0067653A">
        <w:rPr>
          <w:sz w:val="20"/>
          <w:szCs w:val="20"/>
          <w:lang w:val="it-IT"/>
        </w:rPr>
        <w:lastRenderedPageBreak/>
        <w:t xml:space="preserve">essere l'unico responsabile della sicurezza di tutti i Dati dei pazienti archiviati sullo Scanner iTero. Per qualsiasi domanda relativa agli Obblighi sulla privacy dei dati, contattare Align all'indirizzo </w:t>
      </w:r>
      <w:hyperlink r:id="rId12">
        <w:r w:rsidRPr="0067653A">
          <w:rPr>
            <w:rStyle w:val="Hyperlink"/>
            <w:sz w:val="20"/>
            <w:szCs w:val="20"/>
            <w:u w:val="none"/>
            <w:lang w:val="it-IT"/>
          </w:rPr>
          <w:t>privacy@aligntech.com</w:t>
        </w:r>
      </w:hyperlink>
      <w:r w:rsidRPr="0067653A">
        <w:rPr>
          <w:sz w:val="20"/>
          <w:szCs w:val="20"/>
          <w:lang w:val="it-IT"/>
        </w:rPr>
        <w:t>.</w:t>
      </w:r>
    </w:p>
    <w:p w14:paraId="602383EF" w14:textId="21E07115" w:rsidR="00D01CC0" w:rsidRPr="00CA2B76" w:rsidRDefault="1AC2D4D2" w:rsidP="00DE22CD">
      <w:pPr>
        <w:pStyle w:val="ListParagraph"/>
        <w:numPr>
          <w:ilvl w:val="1"/>
          <w:numId w:val="35"/>
        </w:numPr>
        <w:jc w:val="both"/>
        <w:rPr>
          <w:sz w:val="20"/>
          <w:szCs w:val="20"/>
          <w:lang w:val="it-IT"/>
        </w:rPr>
      </w:pPr>
      <w:r w:rsidRPr="0067653A">
        <w:rPr>
          <w:sz w:val="20"/>
          <w:szCs w:val="20"/>
          <w:lang w:val="it-IT"/>
        </w:rPr>
        <w:t>Prima della Cessione dello Scanner iTero e dell'eventuale laptop utilizzato con lo scanner, il Venditore deve ripristinare le "Impostazioni di fabbrica" dello Scanner iTero e del laptop, disinstallare il software Align installato su tali dispositivi e assicurarsi che tutti i dati personali relativi al Venditore e ai pazienti del Venditore archiviati sullo Scanner iTero e sul laptop siano cancellati in modo permanente. In caso contrario, Align potrebbe non attivare lo scanner per l'Acquirente. Per domande relative al ripristino dello Scanner iTero o del laptop, alla disinstallazione del Software Align e alla cancellazione dei Dati personali dei pazienti del Venditore o per conoscere la procedura per cancellare i Dati personali relativi al Venditore e ai pazienti del Venditore, contattare il rappresentante Align di zona.</w:t>
      </w:r>
    </w:p>
    <w:p w14:paraId="4265318E" w14:textId="6EBC9E12" w:rsidR="000522DC" w:rsidRPr="0067653A" w:rsidRDefault="007A716B" w:rsidP="00DE22CD">
      <w:pPr>
        <w:pStyle w:val="ListParagraph"/>
        <w:numPr>
          <w:ilvl w:val="0"/>
          <w:numId w:val="35"/>
        </w:numPr>
        <w:rPr>
          <w:b/>
          <w:bCs/>
          <w:sz w:val="20"/>
          <w:szCs w:val="20"/>
          <w:u w:val="single"/>
        </w:rPr>
      </w:pPr>
      <w:r w:rsidRPr="0067653A">
        <w:rPr>
          <w:b/>
          <w:bCs/>
          <w:sz w:val="20"/>
          <w:szCs w:val="20"/>
          <w:u w:val="single"/>
          <w:lang w:val="it-IT"/>
        </w:rPr>
        <w:t>LIMITAZIONE DI RESPONSABILITÀ E INDENNIZZI</w:t>
      </w:r>
    </w:p>
    <w:p w14:paraId="7E28417E" w14:textId="099A46A5" w:rsidR="00391A15" w:rsidRPr="00CA2B76" w:rsidRDefault="111892FA" w:rsidP="0011747F">
      <w:pPr>
        <w:pStyle w:val="ListParagraph"/>
        <w:numPr>
          <w:ilvl w:val="1"/>
          <w:numId w:val="35"/>
        </w:numPr>
        <w:jc w:val="both"/>
        <w:rPr>
          <w:sz w:val="20"/>
          <w:szCs w:val="20"/>
          <w:lang w:val="it-IT"/>
        </w:rPr>
      </w:pPr>
      <w:r w:rsidRPr="0067653A">
        <w:rPr>
          <w:sz w:val="20"/>
          <w:szCs w:val="20"/>
          <w:lang w:val="it-IT"/>
        </w:rPr>
        <w:t>Fatto salvo quanto stabilito dalla presente Politica, il ruolo di Align nel prestare assistenza per la Cessione, si limiterà ad associare lo Scanner iTero all'account e alle credenziali dell'Acquirente.  Align non potrà essere ritenuta responsabile di rivendicazioni o danni derivanti dalla Cessione o dalla decisione di Align di supportare o meno uno Scanner iTero. Prestando assistenza per la Cessione, Align non dichiara né garantisce in alcun modo che lo Scanner iTero sia idoneo per uno scopo specifico o privo di difetti. Tuttavia, se le Normative in vigore lo prevedono, Align informerà l'Acquirente che lo Scanner iTero è usato e comunicherà all'Acquirente gli eventuali difetti dello scanner di cui è a conoscenza. Prima di concludere la vendita e la Cessione, il Venditore è tenuto a informare l'Acquirente che lo Scanner iTero è un dispositivo di seconda mano e a descrivere esplicitamente eventuali difetti dello Scanner iTero.</w:t>
      </w:r>
    </w:p>
    <w:p w14:paraId="03976FC6" w14:textId="1B53EFEE" w:rsidR="008E4B0E" w:rsidRPr="00CA2B76" w:rsidRDefault="38571AF5" w:rsidP="00DE22CD">
      <w:pPr>
        <w:pStyle w:val="ListParagraph"/>
        <w:numPr>
          <w:ilvl w:val="1"/>
          <w:numId w:val="35"/>
        </w:numPr>
        <w:jc w:val="both"/>
        <w:rPr>
          <w:sz w:val="20"/>
          <w:szCs w:val="20"/>
          <w:lang w:val="it-IT"/>
        </w:rPr>
      </w:pPr>
      <w:r w:rsidRPr="0067653A">
        <w:rPr>
          <w:sz w:val="20"/>
          <w:szCs w:val="20"/>
          <w:lang w:val="it-IT"/>
        </w:rPr>
        <w:t>Align presterà la propria assistenza come stabilito dalla presente Politica su richiesta del Venditore e dell'Acquirente e non si assume alcuna responsabilità per il funzionamento dello Scanner iTero, la conformità del Venditore e dell'Acquirente alle Normative in vigore, né altre responsabilità, dirette o indirette, che potrebbero derivare dalla decisione di Align di prestare o non prestare la propria assistenza per la Cessione.</w:t>
      </w:r>
    </w:p>
    <w:p w14:paraId="795A295F" w14:textId="3019E4E3" w:rsidR="007C34E2" w:rsidRPr="00CA2B76" w:rsidRDefault="21E528EB" w:rsidP="00DE22CD">
      <w:pPr>
        <w:pStyle w:val="ListParagraph"/>
        <w:numPr>
          <w:ilvl w:val="1"/>
          <w:numId w:val="35"/>
        </w:numPr>
        <w:jc w:val="both"/>
        <w:rPr>
          <w:sz w:val="20"/>
          <w:szCs w:val="20"/>
          <w:lang w:val="it-IT"/>
        </w:rPr>
      </w:pPr>
      <w:r w:rsidRPr="0067653A">
        <w:rPr>
          <w:sz w:val="20"/>
          <w:szCs w:val="20"/>
          <w:lang w:val="it-IT"/>
        </w:rPr>
        <w:t>Subordinatamente alle Normative in vigore, il Venditore si impegna a manlevare e indennizzare Align contro qualsiasi rivendicazione, responsabilità, sanzione, penale e perdita derivante dalla Cessione.</w:t>
      </w:r>
    </w:p>
    <w:p w14:paraId="6679A36D" w14:textId="618EABC9" w:rsidR="00D46C68" w:rsidRPr="0067653A" w:rsidRDefault="00D46C68" w:rsidP="00B12F53">
      <w:pPr>
        <w:pStyle w:val="ListParagraph"/>
        <w:numPr>
          <w:ilvl w:val="0"/>
          <w:numId w:val="35"/>
        </w:numPr>
        <w:spacing w:after="0"/>
        <w:rPr>
          <w:b/>
          <w:bCs/>
          <w:sz w:val="20"/>
          <w:szCs w:val="20"/>
          <w:u w:val="single"/>
        </w:rPr>
      </w:pPr>
      <w:r w:rsidRPr="0067653A">
        <w:rPr>
          <w:b/>
          <w:bCs/>
          <w:sz w:val="20"/>
          <w:szCs w:val="20"/>
          <w:u w:val="single"/>
          <w:lang w:val="it-IT"/>
        </w:rPr>
        <w:t>ACQUIRENTI</w:t>
      </w:r>
    </w:p>
    <w:p w14:paraId="1E0DE1F5" w14:textId="6C6EB719" w:rsidR="00D46C68" w:rsidRPr="00CA2B76" w:rsidRDefault="499A7B2C" w:rsidP="00D24AE2">
      <w:pPr>
        <w:spacing w:after="0"/>
        <w:ind w:left="360"/>
        <w:jc w:val="both"/>
        <w:rPr>
          <w:sz w:val="20"/>
          <w:szCs w:val="20"/>
          <w:lang w:val="it-IT"/>
        </w:rPr>
      </w:pPr>
      <w:r w:rsidRPr="0067653A">
        <w:rPr>
          <w:sz w:val="20"/>
          <w:szCs w:val="20"/>
          <w:lang w:val="it-IT"/>
        </w:rPr>
        <w:t>Align raccomanda di acquistare gli scanner iTero direttamente da Align o da un distributore autorizzato. In caso di acquisto di uno scanner usato da una parte diversa da Align o da un distributore autorizzato, Align potrà decidere di non attivare lo scanner così acquistato, salvo che la Cessione non sia avvenuta in conformità con la presente Politica globale sulle cessioni e siano stati rispettati tutti i requisiti normativi. L'attivazione dello Scanner iTero da parte di Align potrebbe avvenire dietro pagamento dell'Acquirente di una commissione o un costo aggiuntivi, come per (i) valutazione sul posto o da remoto, (ii) eventuali riparazioni necessarie, (iii) formazione richiesta o (iv) spese ragionevoli associate alla Cessione. L'Acquirente deve verificare con il Venditore se lo Scanner iTero verrà ceduto con un periodo residuo della Durata iniziale (Service Plan).</w:t>
      </w:r>
    </w:p>
    <w:p w14:paraId="115E641E" w14:textId="3E5E972D" w:rsidR="002A0D00" w:rsidRPr="0067653A" w:rsidRDefault="00B272BD" w:rsidP="00B12F53">
      <w:pPr>
        <w:pStyle w:val="ListParagraph"/>
        <w:numPr>
          <w:ilvl w:val="0"/>
          <w:numId w:val="35"/>
        </w:numPr>
        <w:spacing w:after="0"/>
        <w:rPr>
          <w:rFonts w:cstheme="minorHAnsi"/>
          <w:b/>
          <w:bCs/>
          <w:sz w:val="20"/>
          <w:szCs w:val="20"/>
          <w:u w:val="single"/>
        </w:rPr>
      </w:pPr>
      <w:r w:rsidRPr="0067653A">
        <w:rPr>
          <w:b/>
          <w:bCs/>
          <w:sz w:val="20"/>
          <w:szCs w:val="20"/>
          <w:u w:val="single"/>
          <w:lang w:val="it-IT"/>
        </w:rPr>
        <w:t>APPLICAZIONE DELLA PRESENTE POLITICA</w:t>
      </w:r>
      <w:bookmarkEnd w:id="0"/>
    </w:p>
    <w:p w14:paraId="4318D20F" w14:textId="69A7D150" w:rsidR="003E6234" w:rsidRPr="00CA2B76" w:rsidRDefault="3BB99320" w:rsidP="76899A30">
      <w:pPr>
        <w:ind w:left="360"/>
        <w:jc w:val="both"/>
        <w:rPr>
          <w:sz w:val="20"/>
          <w:szCs w:val="20"/>
          <w:lang w:val="it-IT"/>
        </w:rPr>
      </w:pPr>
      <w:r w:rsidRPr="0067653A">
        <w:rPr>
          <w:sz w:val="20"/>
          <w:szCs w:val="20"/>
          <w:lang w:val="it-IT"/>
        </w:rPr>
        <w:t>La presente Politica globale sulle cessioni si applica alle Cessioni richieste in tutto il mondo, sebbene in alcune regioni potrebbero essere previsti termini e condizioni specifici in conformità alle Normative in vigore localmente. Rivolgersi al servizio clienti della propria zona per domande sulla proposta di Cessione di uno Scanner iTero.</w:t>
      </w:r>
    </w:p>
    <w:p w14:paraId="19079990" w14:textId="77777777" w:rsidR="003F2D23" w:rsidRPr="00CA2B76" w:rsidRDefault="003F2D23" w:rsidP="00DE22CD">
      <w:pPr>
        <w:pStyle w:val="ListParagraph"/>
        <w:jc w:val="both"/>
        <w:rPr>
          <w:rFonts w:cstheme="minorHAnsi"/>
          <w:sz w:val="20"/>
          <w:szCs w:val="20"/>
          <w:lang w:val="it-IT"/>
        </w:rPr>
      </w:pPr>
    </w:p>
    <w:p w14:paraId="5EC342C6" w14:textId="4A4484DF" w:rsidR="00D3587F" w:rsidRPr="00CA2B76" w:rsidRDefault="00A22CEF" w:rsidP="003B1333">
      <w:pPr>
        <w:jc w:val="center"/>
        <w:rPr>
          <w:rFonts w:eastAsia="Times New Roman" w:cstheme="minorHAnsi"/>
          <w:b/>
          <w:bCs/>
          <w:sz w:val="20"/>
          <w:szCs w:val="20"/>
          <w:u w:val="single"/>
          <w:lang w:val="it-IT"/>
        </w:rPr>
      </w:pPr>
      <w:r w:rsidRPr="0067653A">
        <w:rPr>
          <w:rFonts w:cstheme="minorHAnsi"/>
          <w:sz w:val="20"/>
          <w:szCs w:val="20"/>
          <w:lang w:val="it-IT"/>
        </w:rPr>
        <w:br w:type="page"/>
      </w:r>
      <w:r w:rsidRPr="0067653A">
        <w:rPr>
          <w:rFonts w:cstheme="minorHAnsi"/>
          <w:b/>
          <w:bCs/>
          <w:sz w:val="20"/>
          <w:szCs w:val="20"/>
          <w:u w:val="single"/>
          <w:lang w:val="it-IT"/>
        </w:rPr>
        <w:lastRenderedPageBreak/>
        <w:t>Appendice – Tabella delle deviazioni per Australia e Nuova Zelanda</w:t>
      </w:r>
    </w:p>
    <w:p w14:paraId="03E590C8" w14:textId="12B6775B" w:rsidR="00D3587F" w:rsidRPr="00CA2B76" w:rsidRDefault="1FB04215" w:rsidP="76899A30">
      <w:pPr>
        <w:pStyle w:val="FFWLevel5"/>
        <w:numPr>
          <w:ilvl w:val="0"/>
          <w:numId w:val="0"/>
        </w:numPr>
        <w:spacing w:before="40" w:after="40" w:line="240" w:lineRule="auto"/>
        <w:rPr>
          <w:rFonts w:asciiTheme="minorHAnsi" w:eastAsiaTheme="minorEastAsia" w:hAnsiTheme="minorHAnsi" w:cstheme="minorBidi"/>
          <w:sz w:val="20"/>
          <w:szCs w:val="20"/>
          <w:lang w:val="it-IT"/>
        </w:rPr>
      </w:pPr>
      <w:r w:rsidRPr="0067653A">
        <w:rPr>
          <w:rFonts w:asciiTheme="minorHAnsi" w:eastAsiaTheme="minorEastAsia" w:hAnsiTheme="minorHAnsi" w:cstheme="minorBidi"/>
          <w:sz w:val="20"/>
          <w:szCs w:val="20"/>
          <w:lang w:val="it-IT"/>
        </w:rPr>
        <w:t>Le seguenti deviazioni dalla Politica globale sulle cessioni sono valide solo per i clienti residenti in Australia e Nuova Zelanda e dipendono dai requisiti legali e normativi locali. Queste modifiche sostituiscono le sezioni corrispondenti della Politica globale sulle cessioni per queste regioni.</w:t>
      </w:r>
    </w:p>
    <w:tbl>
      <w:tblPr>
        <w:tblStyle w:val="TableGrid"/>
        <w:tblW w:w="0" w:type="auto"/>
        <w:tblLook w:val="04A0" w:firstRow="1" w:lastRow="0" w:firstColumn="1" w:lastColumn="0" w:noHBand="0" w:noVBand="1"/>
      </w:tblPr>
      <w:tblGrid>
        <w:gridCol w:w="898"/>
        <w:gridCol w:w="8452"/>
      </w:tblGrid>
      <w:tr w:rsidR="00D3587F" w:rsidRPr="0067653A" w14:paraId="6D0FA3CB" w14:textId="77777777" w:rsidTr="76899A30">
        <w:tc>
          <w:tcPr>
            <w:tcW w:w="895" w:type="dxa"/>
            <w:vAlign w:val="center"/>
          </w:tcPr>
          <w:p w14:paraId="263D2ACC" w14:textId="08F7DC4D" w:rsidR="00D3587F" w:rsidRPr="0067653A" w:rsidRDefault="00D3587F" w:rsidP="0058739A">
            <w:pPr>
              <w:spacing w:line="233" w:lineRule="auto"/>
              <w:jc w:val="center"/>
              <w:rPr>
                <w:rFonts w:cstheme="minorHAnsi"/>
                <w:b/>
                <w:bCs/>
                <w:sz w:val="20"/>
                <w:szCs w:val="20"/>
              </w:rPr>
            </w:pPr>
            <w:r w:rsidRPr="0067653A">
              <w:rPr>
                <w:rFonts w:cstheme="minorHAnsi"/>
                <w:b/>
                <w:bCs/>
                <w:sz w:val="20"/>
                <w:szCs w:val="20"/>
                <w:lang w:val="it-IT"/>
              </w:rPr>
              <w:t>Numero della sezione</w:t>
            </w:r>
          </w:p>
        </w:tc>
        <w:tc>
          <w:tcPr>
            <w:tcW w:w="8455" w:type="dxa"/>
            <w:vAlign w:val="center"/>
          </w:tcPr>
          <w:p w14:paraId="139F9B25" w14:textId="38256F68" w:rsidR="00D3587F" w:rsidRPr="0067653A" w:rsidRDefault="00D3587F" w:rsidP="0058739A">
            <w:pPr>
              <w:spacing w:line="233" w:lineRule="auto"/>
              <w:jc w:val="center"/>
              <w:rPr>
                <w:rFonts w:cstheme="minorHAnsi"/>
                <w:b/>
                <w:bCs/>
                <w:sz w:val="20"/>
                <w:szCs w:val="20"/>
              </w:rPr>
            </w:pPr>
            <w:r w:rsidRPr="0067653A">
              <w:rPr>
                <w:rFonts w:cstheme="minorHAnsi"/>
                <w:b/>
                <w:bCs/>
                <w:sz w:val="20"/>
                <w:szCs w:val="20"/>
                <w:lang w:val="it-IT"/>
              </w:rPr>
              <w:t>Riformulazione del testo</w:t>
            </w:r>
          </w:p>
        </w:tc>
      </w:tr>
      <w:tr w:rsidR="00D3587F" w:rsidRPr="00CA2B76" w14:paraId="5E1CD423" w14:textId="77777777" w:rsidTr="76899A30">
        <w:tc>
          <w:tcPr>
            <w:tcW w:w="895" w:type="dxa"/>
            <w:vAlign w:val="center"/>
          </w:tcPr>
          <w:p w14:paraId="0C0B9C49" w14:textId="228FEAAE" w:rsidR="00D3587F" w:rsidRPr="0067653A" w:rsidRDefault="00D3587F" w:rsidP="0058739A">
            <w:pPr>
              <w:spacing w:line="233" w:lineRule="auto"/>
              <w:jc w:val="center"/>
              <w:rPr>
                <w:rFonts w:cstheme="minorHAnsi"/>
                <w:sz w:val="20"/>
                <w:szCs w:val="20"/>
              </w:rPr>
            </w:pPr>
            <w:r w:rsidRPr="0067653A">
              <w:rPr>
                <w:rFonts w:cstheme="minorHAnsi"/>
                <w:sz w:val="20"/>
                <w:szCs w:val="20"/>
                <w:lang w:val="it-IT"/>
              </w:rPr>
              <w:t>3.1.2</w:t>
            </w:r>
          </w:p>
        </w:tc>
        <w:tc>
          <w:tcPr>
            <w:tcW w:w="8455" w:type="dxa"/>
          </w:tcPr>
          <w:p w14:paraId="3477419C" w14:textId="0F789E1C" w:rsidR="00D3587F" w:rsidRPr="00CA2B76" w:rsidRDefault="1FB04215" w:rsidP="0058739A">
            <w:pPr>
              <w:spacing w:line="233" w:lineRule="auto"/>
              <w:jc w:val="both"/>
              <w:rPr>
                <w:sz w:val="20"/>
                <w:szCs w:val="20"/>
                <w:lang w:val="it-IT"/>
              </w:rPr>
            </w:pPr>
            <w:r w:rsidRPr="0067653A">
              <w:rPr>
                <w:b/>
                <w:bCs/>
                <w:sz w:val="20"/>
                <w:szCs w:val="20"/>
                <w:lang w:val="it-IT"/>
              </w:rPr>
              <w:t>Fine del supporto.</w:t>
            </w:r>
            <w:r w:rsidRPr="0067653A">
              <w:rPr>
                <w:sz w:val="20"/>
                <w:szCs w:val="20"/>
                <w:lang w:val="it-IT"/>
              </w:rPr>
              <w:t xml:space="preserve"> Tutti gli scanner iTero sono soggetti ai termini e le condizioni relativi alla "Fine del supporto" stabiliti nel contratto di acquisto dello Scanner iTero, incluso il Service Plan. Align non ha l'obbligo di fornire servizi (inclusa l'attivazione) una volta trascorsa la data di Fine del supporto stabilita nel contratto di acquisto.</w:t>
            </w:r>
          </w:p>
        </w:tc>
      </w:tr>
      <w:tr w:rsidR="00D3587F" w:rsidRPr="00CA2B76" w14:paraId="65AAB008" w14:textId="77777777" w:rsidTr="76899A30">
        <w:tc>
          <w:tcPr>
            <w:tcW w:w="895" w:type="dxa"/>
            <w:vAlign w:val="center"/>
          </w:tcPr>
          <w:p w14:paraId="13033416" w14:textId="472AEF05" w:rsidR="00D3587F" w:rsidRPr="0067653A" w:rsidRDefault="00D3587F" w:rsidP="0058739A">
            <w:pPr>
              <w:spacing w:line="233" w:lineRule="auto"/>
              <w:jc w:val="center"/>
              <w:rPr>
                <w:rFonts w:cstheme="minorHAnsi"/>
                <w:sz w:val="20"/>
                <w:szCs w:val="20"/>
              </w:rPr>
            </w:pPr>
            <w:r w:rsidRPr="0067653A">
              <w:rPr>
                <w:rFonts w:cstheme="minorHAnsi"/>
                <w:sz w:val="20"/>
                <w:szCs w:val="20"/>
                <w:lang w:val="it-IT"/>
              </w:rPr>
              <w:t>3.1.3</w:t>
            </w:r>
          </w:p>
        </w:tc>
        <w:tc>
          <w:tcPr>
            <w:tcW w:w="8455" w:type="dxa"/>
          </w:tcPr>
          <w:p w14:paraId="7CF1DCA5" w14:textId="2162A821" w:rsidR="00D3587F" w:rsidRPr="00E36633" w:rsidRDefault="1FB04215" w:rsidP="0058739A">
            <w:pPr>
              <w:spacing w:line="233" w:lineRule="auto"/>
              <w:jc w:val="both"/>
              <w:rPr>
                <w:spacing w:val="-3"/>
                <w:sz w:val="20"/>
                <w:szCs w:val="20"/>
                <w:lang w:val="it-IT"/>
              </w:rPr>
            </w:pPr>
            <w:r w:rsidRPr="00E36633">
              <w:rPr>
                <w:spacing w:val="-3"/>
                <w:sz w:val="20"/>
                <w:szCs w:val="20"/>
                <w:lang w:val="it-IT"/>
              </w:rPr>
              <w:t>Perplessità sul prodotto e sulla transazione. Laddove Align, a sua assoluta discrezione e in base alla propria documentazione, non sia in grado di verificare la provenienza e la storia dello scanner iTero in questione, ritenga che la Cessione possa violare le Normative in vigore o la presente Politica globale sulle cessioni o abbia ragionevole motivo di credere che lo Scanner iTero non sia più adatto all'uso e lo scopo previsti.</w:t>
            </w:r>
          </w:p>
        </w:tc>
      </w:tr>
      <w:tr w:rsidR="00D3587F" w:rsidRPr="00CA2B76" w14:paraId="726E26FA" w14:textId="77777777" w:rsidTr="76899A30">
        <w:tc>
          <w:tcPr>
            <w:tcW w:w="895" w:type="dxa"/>
            <w:vAlign w:val="center"/>
          </w:tcPr>
          <w:p w14:paraId="60301A1E" w14:textId="1DB942D5" w:rsidR="00D3587F" w:rsidRPr="0067653A" w:rsidRDefault="00D3587F" w:rsidP="0058739A">
            <w:pPr>
              <w:spacing w:line="233" w:lineRule="auto"/>
              <w:jc w:val="center"/>
              <w:rPr>
                <w:rFonts w:cstheme="minorHAnsi"/>
                <w:sz w:val="20"/>
                <w:szCs w:val="20"/>
              </w:rPr>
            </w:pPr>
            <w:r w:rsidRPr="0067653A">
              <w:rPr>
                <w:rFonts w:cstheme="minorHAnsi"/>
                <w:sz w:val="20"/>
                <w:szCs w:val="20"/>
                <w:lang w:val="it-IT"/>
              </w:rPr>
              <w:t>4.3</w:t>
            </w:r>
          </w:p>
        </w:tc>
        <w:tc>
          <w:tcPr>
            <w:tcW w:w="8455" w:type="dxa"/>
          </w:tcPr>
          <w:p w14:paraId="3066CA5D" w14:textId="366CD8E0" w:rsidR="00D3587F" w:rsidRPr="00CA2B76" w:rsidRDefault="1FB04215" w:rsidP="0058739A">
            <w:pPr>
              <w:spacing w:line="233" w:lineRule="auto"/>
              <w:jc w:val="both"/>
              <w:rPr>
                <w:sz w:val="20"/>
                <w:szCs w:val="20"/>
                <w:lang w:val="it-IT"/>
              </w:rPr>
            </w:pPr>
            <w:r w:rsidRPr="0067653A">
              <w:rPr>
                <w:sz w:val="20"/>
                <w:szCs w:val="20"/>
                <w:lang w:val="it-IT"/>
              </w:rPr>
              <w:t>Senza escludere né modificare alcuno dei diritti spettanti per legge al Venditore, si tenga presente che al momento della Cessione dello Scanner iTero, tutte le garanzie e la licenza per l'uso dello Scanner iTero, il Software e il Contratto di assistenza cui il Venditore aveva diritto scadranno o termineranno automaticamente e con effetto immediato.  La presente Politica globale sulle cessioni non pregiudica nessuno dei diritti, obblighi, rivendicazioni o responsabilità reciprocamente maturati dal Venditore e dall'Acquirente in relazione allo Scanner iTero prima della data della Cessione.</w:t>
            </w:r>
          </w:p>
        </w:tc>
      </w:tr>
      <w:tr w:rsidR="00DE22CD" w:rsidRPr="00CA2B76" w14:paraId="7B6FDA99" w14:textId="77777777" w:rsidTr="76899A30">
        <w:tc>
          <w:tcPr>
            <w:tcW w:w="895" w:type="dxa"/>
            <w:vAlign w:val="center"/>
          </w:tcPr>
          <w:p w14:paraId="1980B8D7" w14:textId="483AA375" w:rsidR="00DE22CD" w:rsidRPr="0067653A" w:rsidRDefault="00DE22CD" w:rsidP="0058739A">
            <w:pPr>
              <w:spacing w:line="233" w:lineRule="auto"/>
              <w:jc w:val="center"/>
              <w:rPr>
                <w:rFonts w:cstheme="minorHAnsi"/>
                <w:sz w:val="20"/>
                <w:szCs w:val="20"/>
              </w:rPr>
            </w:pPr>
            <w:r w:rsidRPr="0067653A">
              <w:rPr>
                <w:rFonts w:cstheme="minorHAnsi"/>
                <w:sz w:val="20"/>
                <w:szCs w:val="20"/>
                <w:lang w:val="it-IT"/>
              </w:rPr>
              <w:t>5.1</w:t>
            </w:r>
          </w:p>
        </w:tc>
        <w:tc>
          <w:tcPr>
            <w:tcW w:w="8455" w:type="dxa"/>
          </w:tcPr>
          <w:p w14:paraId="7A3FC4DA" w14:textId="7598E934" w:rsidR="00DE22CD" w:rsidRPr="00CA2B76" w:rsidRDefault="22711D0A" w:rsidP="0058739A">
            <w:pPr>
              <w:spacing w:line="233" w:lineRule="auto"/>
              <w:jc w:val="both"/>
              <w:rPr>
                <w:sz w:val="20"/>
                <w:szCs w:val="20"/>
                <w:lang w:val="it-IT"/>
              </w:rPr>
            </w:pPr>
            <w:r w:rsidRPr="0067653A">
              <w:rPr>
                <w:sz w:val="20"/>
                <w:szCs w:val="20"/>
                <w:lang w:val="it-IT"/>
              </w:rPr>
              <w:t>Si tenga presente che il Venditore può chiedere ad Align di trasferire il periodo residuo della Durata iniziale (Piano di assistenza) a un nuovo scanner iTero acquistato da Align o da un distributore autorizzato. Se la Durata iniziale viene trasferita a un nuovo scanner acquistato dal Venditore, al momento della Cessione dello Scanner iTero attuale, e senza escludere né modificare alcuno dei diritti spettanti per legge al Venditore, tutte le garanzie e la licenza per l'uso del Prodotto oggetto della cessione (scanner iTero), il Software e il Contratto di assistenza scadranno o termineranno automaticamente e simultaneamente.</w:t>
            </w:r>
          </w:p>
        </w:tc>
      </w:tr>
      <w:tr w:rsidR="00D3587F" w:rsidRPr="00CA2B76" w14:paraId="4CCDA927" w14:textId="77777777" w:rsidTr="76899A30">
        <w:tc>
          <w:tcPr>
            <w:tcW w:w="895" w:type="dxa"/>
            <w:vAlign w:val="center"/>
          </w:tcPr>
          <w:p w14:paraId="06DA32D2" w14:textId="7AEDF17F" w:rsidR="00D3587F" w:rsidRPr="0067653A" w:rsidRDefault="00D3587F" w:rsidP="0058739A">
            <w:pPr>
              <w:spacing w:line="233" w:lineRule="auto"/>
              <w:jc w:val="center"/>
              <w:rPr>
                <w:rFonts w:cstheme="minorHAnsi"/>
                <w:sz w:val="20"/>
                <w:szCs w:val="20"/>
              </w:rPr>
            </w:pPr>
            <w:r w:rsidRPr="0067653A">
              <w:rPr>
                <w:rFonts w:cstheme="minorHAnsi"/>
                <w:sz w:val="20"/>
                <w:szCs w:val="20"/>
                <w:lang w:val="it-IT"/>
              </w:rPr>
              <w:t>5.4-5.6 (nuove sezioni)</w:t>
            </w:r>
          </w:p>
        </w:tc>
        <w:tc>
          <w:tcPr>
            <w:tcW w:w="8455" w:type="dxa"/>
          </w:tcPr>
          <w:p w14:paraId="6755C527" w14:textId="498BCCF7" w:rsidR="00D3587F" w:rsidRPr="00CA2B76" w:rsidRDefault="00D3587F" w:rsidP="0058739A">
            <w:pPr>
              <w:spacing w:line="233" w:lineRule="auto"/>
              <w:jc w:val="both"/>
              <w:rPr>
                <w:rFonts w:cstheme="minorHAnsi"/>
                <w:sz w:val="20"/>
                <w:szCs w:val="20"/>
                <w:lang w:val="it-IT"/>
              </w:rPr>
            </w:pPr>
            <w:r w:rsidRPr="0067653A">
              <w:rPr>
                <w:rFonts w:cstheme="minorHAnsi"/>
                <w:sz w:val="20"/>
                <w:szCs w:val="20"/>
                <w:lang w:val="it-IT"/>
              </w:rPr>
              <w:t>5.4 Nella misura in cui il Venditore e l'Acquirente acquistino beni o servizi da Align in qualità di consumatori ai sensi dell'Australian Consumer Law, come sancito nell'Allegato 2 del Competition and Consumer Act 2010 (Cth) e successive modifiche o sostituzioni, potrebbero essere previsti diritti e rimedi (inclusi, a titolo esemplificativo e non esaustivo, diritti di garanzia del consumatore) che non possono essere esclusi, limitati o modificati previo accordo.</w:t>
            </w:r>
          </w:p>
          <w:p w14:paraId="607947BA" w14:textId="08C8D85A" w:rsidR="00D3587F" w:rsidRPr="00CA2B76" w:rsidRDefault="1FB04215" w:rsidP="0058739A">
            <w:pPr>
              <w:spacing w:line="233" w:lineRule="auto"/>
              <w:jc w:val="both"/>
              <w:rPr>
                <w:sz w:val="20"/>
                <w:szCs w:val="20"/>
                <w:lang w:val="it-IT"/>
              </w:rPr>
            </w:pPr>
            <w:r w:rsidRPr="0067653A">
              <w:rPr>
                <w:sz w:val="20"/>
                <w:szCs w:val="20"/>
                <w:lang w:val="it-IT"/>
              </w:rPr>
              <w:t>5.5 Nulla di quanto previsto dalla presente Politica globale sulle cessioni opera per escludere, limitare o modificare l'applicazione di qualsiasi condizione o garanzia implicita, disposizione, esercizio di qualsiasi diritto o rimedio o l'imposizione di qualsiasi responsabilità ai sensi dell'Australian Consumer Law o di qualsiasi altro termine di legge, se così facendo:</w:t>
            </w:r>
          </w:p>
          <w:p w14:paraId="27C18D41" w14:textId="15A1C418" w:rsidR="00D3587F" w:rsidRPr="00CA2B76" w:rsidRDefault="00D3587F" w:rsidP="0058739A">
            <w:pPr>
              <w:spacing w:line="233" w:lineRule="auto"/>
              <w:jc w:val="both"/>
              <w:rPr>
                <w:rFonts w:cstheme="minorHAnsi"/>
                <w:sz w:val="20"/>
                <w:szCs w:val="20"/>
                <w:lang w:val="it-IT"/>
              </w:rPr>
            </w:pPr>
            <w:r w:rsidRPr="0067653A">
              <w:rPr>
                <w:rFonts w:cstheme="minorHAnsi"/>
                <w:sz w:val="20"/>
                <w:szCs w:val="20"/>
                <w:lang w:val="it-IT"/>
              </w:rPr>
              <w:t>i. si contravviene a tale termine di legge; o</w:t>
            </w:r>
          </w:p>
          <w:p w14:paraId="4754B28E" w14:textId="29F685CA" w:rsidR="00D3587F" w:rsidRPr="00CA2B76" w:rsidRDefault="00D3587F" w:rsidP="0058739A">
            <w:pPr>
              <w:spacing w:line="233" w:lineRule="auto"/>
              <w:jc w:val="both"/>
              <w:rPr>
                <w:rFonts w:cstheme="minorHAnsi"/>
                <w:sz w:val="20"/>
                <w:szCs w:val="20"/>
                <w:lang w:val="it-IT"/>
              </w:rPr>
            </w:pPr>
            <w:r w:rsidRPr="0067653A">
              <w:rPr>
                <w:rFonts w:cstheme="minorHAnsi"/>
                <w:sz w:val="20"/>
                <w:szCs w:val="20"/>
                <w:lang w:val="it-IT"/>
              </w:rPr>
              <w:t>ii. si rende nulla una qualsiasi delle condizioni del presente contratto</w:t>
            </w:r>
          </w:p>
          <w:p w14:paraId="1752D76B" w14:textId="1C20B968" w:rsidR="00D3587F" w:rsidRPr="00CA2B76" w:rsidRDefault="00D3587F" w:rsidP="0058739A">
            <w:pPr>
              <w:spacing w:line="233" w:lineRule="auto"/>
              <w:jc w:val="both"/>
              <w:rPr>
                <w:rFonts w:cstheme="minorHAnsi"/>
                <w:sz w:val="20"/>
                <w:szCs w:val="20"/>
                <w:lang w:val="it-IT"/>
              </w:rPr>
            </w:pPr>
            <w:r w:rsidRPr="0067653A">
              <w:rPr>
                <w:rFonts w:cstheme="minorHAnsi"/>
                <w:sz w:val="20"/>
                <w:szCs w:val="20"/>
                <w:lang w:val="it-IT"/>
              </w:rPr>
              <w:t>("Obbligo non escludibile").</w:t>
            </w:r>
          </w:p>
          <w:p w14:paraId="7BDC4846" w14:textId="3E2A8FB6" w:rsidR="00D3587F" w:rsidRPr="00CA2B76" w:rsidRDefault="1FB04215" w:rsidP="0058739A">
            <w:pPr>
              <w:spacing w:line="233" w:lineRule="auto"/>
              <w:jc w:val="both"/>
              <w:rPr>
                <w:sz w:val="20"/>
                <w:szCs w:val="20"/>
                <w:lang w:val="it-IT"/>
              </w:rPr>
            </w:pPr>
            <w:r w:rsidRPr="0067653A">
              <w:rPr>
                <w:sz w:val="20"/>
                <w:szCs w:val="20"/>
                <w:lang w:val="it-IT"/>
              </w:rPr>
              <w:t>5.6 Qualora il Venditore informi l'Acquirente di difetti prima dell'acquisto, l'Acquirente deve ispezionare lo Scanner iTero prima dell'acquisto per accertarsi di essere soddisfatto delle condizioni del dispositivo. In caso contrario, l'Acquirente potrebbe non avere diritto ai rimedi spettanti in base all'Australian Consumer Law.</w:t>
            </w:r>
          </w:p>
        </w:tc>
      </w:tr>
      <w:tr w:rsidR="00D3587F" w:rsidRPr="00CA2B76" w14:paraId="79E8E2AE" w14:textId="77777777" w:rsidTr="76899A30">
        <w:tc>
          <w:tcPr>
            <w:tcW w:w="895" w:type="dxa"/>
            <w:vAlign w:val="center"/>
          </w:tcPr>
          <w:p w14:paraId="62A029D8" w14:textId="72BDEA0F" w:rsidR="00D3587F" w:rsidRPr="0067653A" w:rsidRDefault="00DE22CD" w:rsidP="0058739A">
            <w:pPr>
              <w:spacing w:line="233" w:lineRule="auto"/>
              <w:jc w:val="center"/>
              <w:rPr>
                <w:rFonts w:cstheme="minorHAnsi"/>
                <w:sz w:val="20"/>
                <w:szCs w:val="20"/>
                <w:rtl/>
              </w:rPr>
            </w:pPr>
            <w:r w:rsidRPr="0067653A">
              <w:rPr>
                <w:rFonts w:cstheme="minorHAnsi"/>
                <w:sz w:val="20"/>
                <w:szCs w:val="20"/>
                <w:lang w:val="it-IT"/>
              </w:rPr>
              <w:t>7.3-7.5 (nuove sezioni)</w:t>
            </w:r>
          </w:p>
        </w:tc>
        <w:tc>
          <w:tcPr>
            <w:tcW w:w="8455" w:type="dxa"/>
          </w:tcPr>
          <w:p w14:paraId="121FE516" w14:textId="1A154ABA" w:rsidR="00DE22CD" w:rsidRPr="0058739A" w:rsidRDefault="22711D0A" w:rsidP="0058739A">
            <w:pPr>
              <w:spacing w:line="233" w:lineRule="auto"/>
              <w:jc w:val="both"/>
              <w:rPr>
                <w:spacing w:val="-2"/>
                <w:sz w:val="20"/>
                <w:szCs w:val="20"/>
                <w:lang w:val="it-IT"/>
              </w:rPr>
            </w:pPr>
            <w:r w:rsidRPr="0058739A">
              <w:rPr>
                <w:spacing w:val="-2"/>
                <w:sz w:val="20"/>
                <w:szCs w:val="20"/>
                <w:lang w:val="it-IT"/>
              </w:rPr>
              <w:t>7.3 Fatti salvi gli Obblighi non escludibili, la presente Politica globale sulle cessioni esclude tutte le condizioni, le garanzie, i diritti, i rimedi, le responsabilità o altri termini impliciti previsti da consuetudini, leggi e altre norme generali applicabili allo Scanner iTero e alla presente Politica globale sulle cessioni.</w:t>
            </w:r>
          </w:p>
          <w:p w14:paraId="6CA446B8" w14:textId="75C193B5" w:rsidR="00DE22CD" w:rsidRPr="00CA2B76" w:rsidRDefault="22711D0A" w:rsidP="0058739A">
            <w:pPr>
              <w:spacing w:line="233" w:lineRule="auto"/>
              <w:jc w:val="both"/>
              <w:rPr>
                <w:sz w:val="20"/>
                <w:szCs w:val="20"/>
                <w:lang w:val="it-IT"/>
              </w:rPr>
            </w:pPr>
            <w:r w:rsidRPr="0067653A">
              <w:rPr>
                <w:sz w:val="20"/>
                <w:szCs w:val="20"/>
                <w:lang w:val="it-IT"/>
              </w:rPr>
              <w:t>7.4 In relazione agli Obblighi non escludibili (diversi da una garanzia di titolo, gravami o acquiescenza conferita dall'Australian Consumer Law), ad eccezione di beni o servizi di un tipo generalmente acquistato per uso o consumo personale, domestico o familiare (rispetto ai quali la responsabilità di Align non è limitata ai sensi della presente Politica globale sulle cessioni), la responsabilità di Align nei confronti del Cliente per il mancato rispetto di qualsiasi Obbligo non escludibile è limitata a:</w:t>
            </w:r>
          </w:p>
          <w:p w14:paraId="7539F6DA" w14:textId="3C2F5527" w:rsidR="00DE22CD" w:rsidRPr="00CA2B76" w:rsidRDefault="00DE22CD" w:rsidP="0058739A">
            <w:pPr>
              <w:spacing w:line="233" w:lineRule="auto"/>
              <w:jc w:val="both"/>
              <w:rPr>
                <w:rFonts w:cstheme="minorHAnsi"/>
                <w:sz w:val="20"/>
                <w:szCs w:val="20"/>
                <w:lang w:val="it-IT"/>
              </w:rPr>
            </w:pPr>
            <w:r w:rsidRPr="0067653A">
              <w:rPr>
                <w:rFonts w:cstheme="minorHAnsi"/>
                <w:sz w:val="20"/>
                <w:szCs w:val="20"/>
                <w:lang w:val="it-IT"/>
              </w:rPr>
              <w:lastRenderedPageBreak/>
              <w:t>i. nel caso di servizi, a fornire nuovamente i servizi o al pagamento del costo per la nuova fornitura dei servizi; e</w:t>
            </w:r>
          </w:p>
          <w:p w14:paraId="4BC00CB2" w14:textId="2B2DCAF3" w:rsidR="00DE22CD" w:rsidRPr="0058739A" w:rsidRDefault="00DE22CD" w:rsidP="0058739A">
            <w:pPr>
              <w:spacing w:line="233" w:lineRule="auto"/>
              <w:jc w:val="both"/>
              <w:rPr>
                <w:rFonts w:cstheme="minorHAnsi"/>
                <w:spacing w:val="-2"/>
                <w:sz w:val="20"/>
                <w:szCs w:val="20"/>
                <w:lang w:val="it-IT"/>
              </w:rPr>
            </w:pPr>
            <w:r w:rsidRPr="0058739A">
              <w:rPr>
                <w:rFonts w:cstheme="minorHAnsi"/>
                <w:spacing w:val="-2"/>
                <w:sz w:val="20"/>
                <w:szCs w:val="20"/>
                <w:lang w:val="it-IT"/>
              </w:rPr>
              <w:t>ii. nel caso di beni, alla sostituzione dei beni, la fornitura di beni equivalenti o la riparazione dei beni o al pagamento del costo per la sostituzione dei beni, la fornitura di beni equivalenti o la riparazione dei beni.</w:t>
            </w:r>
          </w:p>
          <w:p w14:paraId="3572385C" w14:textId="01D80134" w:rsidR="00D3587F" w:rsidRPr="00CA2B76" w:rsidRDefault="22711D0A" w:rsidP="0058739A">
            <w:pPr>
              <w:spacing w:line="233" w:lineRule="auto"/>
              <w:jc w:val="both"/>
              <w:rPr>
                <w:sz w:val="20"/>
                <w:szCs w:val="20"/>
                <w:lang w:val="it-IT"/>
              </w:rPr>
            </w:pPr>
            <w:r w:rsidRPr="0067653A">
              <w:rPr>
                <w:sz w:val="20"/>
                <w:szCs w:val="20"/>
                <w:lang w:val="it-IT"/>
              </w:rPr>
              <w:t>7.5 Qualora la presente Politica globale sulle cessioni obblighi il Venditore a indennizzare Align e le entità affiliate (e i rispettivi successori e cessionari) e a mantenere indenne Align, la responsabilità del Venditore sarà limitata all'entità delle Perdite che hanno determinato l'indennizzo causata da o a cui Align ha contribuito.</w:t>
            </w:r>
          </w:p>
        </w:tc>
      </w:tr>
      <w:tr w:rsidR="00DE22CD" w:rsidRPr="00CA2B76" w14:paraId="6C2CDEB0" w14:textId="77777777" w:rsidTr="76899A30">
        <w:tc>
          <w:tcPr>
            <w:tcW w:w="895" w:type="dxa"/>
            <w:vAlign w:val="center"/>
          </w:tcPr>
          <w:p w14:paraId="7B66AB50" w14:textId="01437FCF" w:rsidR="00DE22CD" w:rsidRPr="0067653A" w:rsidRDefault="00DE22CD" w:rsidP="0058739A">
            <w:pPr>
              <w:spacing w:line="233" w:lineRule="auto"/>
              <w:jc w:val="center"/>
              <w:rPr>
                <w:rFonts w:cstheme="minorHAnsi"/>
                <w:sz w:val="20"/>
                <w:szCs w:val="20"/>
              </w:rPr>
            </w:pPr>
            <w:r w:rsidRPr="0067653A">
              <w:rPr>
                <w:rFonts w:cstheme="minorHAnsi"/>
                <w:sz w:val="20"/>
                <w:szCs w:val="20"/>
                <w:lang w:val="it-IT"/>
              </w:rPr>
              <w:lastRenderedPageBreak/>
              <w:t>8.2 (nuova sezione)</w:t>
            </w:r>
          </w:p>
        </w:tc>
        <w:tc>
          <w:tcPr>
            <w:tcW w:w="8455" w:type="dxa"/>
          </w:tcPr>
          <w:p w14:paraId="3FDFB82D" w14:textId="42484F5B" w:rsidR="00DE22CD" w:rsidRPr="00CA2B76" w:rsidRDefault="22711D0A" w:rsidP="0058739A">
            <w:pPr>
              <w:spacing w:line="233" w:lineRule="auto"/>
              <w:jc w:val="both"/>
              <w:rPr>
                <w:sz w:val="20"/>
                <w:szCs w:val="20"/>
                <w:lang w:val="it-IT"/>
              </w:rPr>
            </w:pPr>
            <w:r w:rsidRPr="0067653A">
              <w:rPr>
                <w:sz w:val="20"/>
                <w:szCs w:val="20"/>
                <w:lang w:val="it-IT"/>
              </w:rPr>
              <w:t>Laddove la presente Politica globale sulle cessioni permetta ad Align di addebitare un costo per:</w:t>
            </w:r>
          </w:p>
          <w:p w14:paraId="04A977E9" w14:textId="5A918E47" w:rsidR="00DE22CD" w:rsidRPr="00CA2B76" w:rsidRDefault="22711D0A" w:rsidP="0058739A">
            <w:pPr>
              <w:spacing w:line="233" w:lineRule="auto"/>
              <w:jc w:val="both"/>
              <w:rPr>
                <w:sz w:val="20"/>
                <w:szCs w:val="20"/>
                <w:lang w:val="it-IT"/>
              </w:rPr>
            </w:pPr>
            <w:r w:rsidRPr="0067653A">
              <w:rPr>
                <w:sz w:val="20"/>
                <w:szCs w:val="20"/>
                <w:lang w:val="it-IT"/>
              </w:rPr>
              <w:t xml:space="preserve">a. valutazione sul posto o da remoto: tale costo è dovuto solo se previsto dal contratto di acquisto originale dello Scanner iTero stipulato con Align dal Venditore per lo Scanner iTero oggetto della Cessione; e </w:t>
            </w:r>
          </w:p>
          <w:p w14:paraId="2CC712E6" w14:textId="7C5A8572" w:rsidR="00DE22CD" w:rsidRPr="00CA2B76" w:rsidRDefault="00DE22CD" w:rsidP="0058739A">
            <w:pPr>
              <w:spacing w:line="233" w:lineRule="auto"/>
              <w:jc w:val="both"/>
              <w:rPr>
                <w:rFonts w:cstheme="minorHAnsi"/>
                <w:sz w:val="20"/>
                <w:szCs w:val="20"/>
                <w:lang w:val="it-IT"/>
              </w:rPr>
            </w:pPr>
            <w:r w:rsidRPr="0067653A">
              <w:rPr>
                <w:rFonts w:cstheme="minorHAnsi"/>
                <w:sz w:val="20"/>
                <w:szCs w:val="20"/>
                <w:lang w:val="it-IT"/>
              </w:rPr>
              <w:t>b. riparazioni necessarie: Align non addebiterà alcun costo se il Venditore o l'Acquirente hanno diritto alla riparazione secondo quanto previsto dall'Allegato 2 del Competition and Consumer Act 2010 (Cth) e successive modifiche o sostituzioni.</w:t>
            </w:r>
          </w:p>
        </w:tc>
      </w:tr>
    </w:tbl>
    <w:p w14:paraId="65B0DE09" w14:textId="77777777" w:rsidR="00D3587F" w:rsidRPr="00CA2B76" w:rsidRDefault="00D3587F" w:rsidP="00F625A4">
      <w:pPr>
        <w:jc w:val="both"/>
        <w:rPr>
          <w:rFonts w:cstheme="minorHAnsi"/>
          <w:sz w:val="20"/>
          <w:szCs w:val="20"/>
          <w:lang w:val="it-IT"/>
        </w:rPr>
      </w:pPr>
    </w:p>
    <w:sectPr w:rsidR="00D3587F" w:rsidRPr="00CA2B7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EB310" w14:textId="77777777" w:rsidR="00306E00" w:rsidRDefault="00306E00">
      <w:pPr>
        <w:spacing w:after="0" w:line="240" w:lineRule="auto"/>
      </w:pPr>
      <w:r>
        <w:separator/>
      </w:r>
    </w:p>
  </w:endnote>
  <w:endnote w:type="continuationSeparator" w:id="0">
    <w:p w14:paraId="377F5922" w14:textId="77777777" w:rsidR="00306E00" w:rsidRDefault="00306E00">
      <w:pPr>
        <w:spacing w:after="0" w:line="240" w:lineRule="auto"/>
      </w:pPr>
      <w:r>
        <w:continuationSeparator/>
      </w:r>
    </w:p>
  </w:endnote>
  <w:endnote w:type="continuationNotice" w:id="1">
    <w:p w14:paraId="18651DEB" w14:textId="77777777" w:rsidR="00306E00" w:rsidRDefault="00306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FD7D" w14:textId="77777777" w:rsidR="00303555" w:rsidRDefault="00303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90E9" w14:textId="77777777" w:rsidR="00306E00" w:rsidRDefault="00306E00">
      <w:pPr>
        <w:spacing w:after="0" w:line="240" w:lineRule="auto"/>
      </w:pPr>
      <w:r>
        <w:separator/>
      </w:r>
    </w:p>
  </w:footnote>
  <w:footnote w:type="continuationSeparator" w:id="0">
    <w:p w14:paraId="4EB392EC" w14:textId="77777777" w:rsidR="00306E00" w:rsidRDefault="00306E00">
      <w:pPr>
        <w:spacing w:after="0" w:line="240" w:lineRule="auto"/>
      </w:pPr>
      <w:r>
        <w:continuationSeparator/>
      </w:r>
    </w:p>
  </w:footnote>
  <w:footnote w:type="continuationNotice" w:id="1">
    <w:p w14:paraId="70E5E712" w14:textId="77777777" w:rsidR="00306E00" w:rsidRDefault="00306E00">
      <w:pPr>
        <w:spacing w:after="0" w:line="240" w:lineRule="auto"/>
      </w:pPr>
    </w:p>
  </w:footnote>
  <w:footnote w:id="2">
    <w:p w14:paraId="500A5AC3" w14:textId="52DA9FE5" w:rsidR="003266F9" w:rsidRPr="00CA2B76" w:rsidRDefault="003266F9">
      <w:pPr>
        <w:pStyle w:val="FootnoteText"/>
        <w:rPr>
          <w:spacing w:val="-2"/>
          <w:lang w:val="it-IT"/>
        </w:rPr>
      </w:pPr>
      <w:r w:rsidRPr="00CA2B76">
        <w:rPr>
          <w:rStyle w:val="FootnoteReference"/>
          <w:spacing w:val="-2"/>
          <w:lang w:val="it-IT"/>
        </w:rPr>
        <w:footnoteRef/>
      </w:r>
      <w:r w:rsidRPr="00CA2B76">
        <w:rPr>
          <w:spacing w:val="-2"/>
          <w:lang w:val="it-IT"/>
        </w:rPr>
        <w:t xml:space="preserve"> </w:t>
      </w:r>
      <w:r w:rsidRPr="00CA2B76">
        <w:rPr>
          <w:spacing w:val="-2"/>
          <w:sz w:val="18"/>
          <w:szCs w:val="18"/>
          <w:lang w:val="it-IT"/>
        </w:rPr>
        <w:t>Per i clienti residenti nell'</w:t>
      </w:r>
      <w:r w:rsidRPr="00CA2B76">
        <w:rPr>
          <w:b/>
          <w:bCs/>
          <w:spacing w:val="-2"/>
          <w:sz w:val="18"/>
          <w:szCs w:val="18"/>
          <w:lang w:val="it-IT"/>
        </w:rPr>
        <w:t>UE</w:t>
      </w:r>
      <w:r w:rsidRPr="00CA2B76">
        <w:rPr>
          <w:spacing w:val="-2"/>
          <w:sz w:val="18"/>
          <w:szCs w:val="18"/>
          <w:lang w:val="it-IT"/>
        </w:rPr>
        <w:t>: ai fini della presente Politica globale sulle cessioni, "Paese" indica qualsiasi stato membro dell'UE.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BB5" w14:textId="23BE2873" w:rsidR="002A0D00" w:rsidRPr="00D04C18" w:rsidRDefault="002A0D00">
    <w:pPr>
      <w:pStyle w:val="Header"/>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85A"/>
    <w:multiLevelType w:val="hybridMultilevel"/>
    <w:tmpl w:val="05D62466"/>
    <w:lvl w:ilvl="0" w:tplc="E9AAD4F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F2E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91419F"/>
    <w:multiLevelType w:val="hybridMultilevel"/>
    <w:tmpl w:val="32A680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773E15"/>
    <w:multiLevelType w:val="hybridMultilevel"/>
    <w:tmpl w:val="2152C6E0"/>
    <w:lvl w:ilvl="0" w:tplc="FFFFFFFF">
      <w:start w:val="1"/>
      <w:numFmt w:val="lowerLetter"/>
      <w:lvlText w:val="%1."/>
      <w:lvlJc w:val="left"/>
      <w:pPr>
        <w:ind w:left="1440" w:hanging="720"/>
      </w:pPr>
      <w:rPr>
        <w:rFonts w:asciiTheme="minorHAnsi" w:eastAsia="Times New Roman" w:hAnsiTheme="minorHAnsi" w:cstheme="minorHAnsi"/>
      </w:rPr>
    </w:lvl>
    <w:lvl w:ilvl="1" w:tplc="FFFFFFFF">
      <w:start w:val="1"/>
      <w:numFmt w:val="lowerRoman"/>
      <w:lvlText w:val="%2."/>
      <w:lvlJc w:val="left"/>
      <w:pPr>
        <w:ind w:left="1800" w:hanging="360"/>
      </w:pPr>
      <w:rPr>
        <w:rFonts w:ascii="Arial" w:eastAsia="Times New Roman" w:hAnsi="Arial" w:cs="Arial"/>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30D68DF"/>
    <w:multiLevelType w:val="hybridMultilevel"/>
    <w:tmpl w:val="7BAAC9E8"/>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357F2"/>
    <w:multiLevelType w:val="multilevel"/>
    <w:tmpl w:val="98568AE2"/>
    <w:lvl w:ilvl="0">
      <w:start w:val="1"/>
      <w:numFmt w:val="decimal"/>
      <w:lvlRestart w:val="0"/>
      <w:pStyle w:val="FFWLevel1"/>
      <w:isLgl/>
      <w:lvlText w:val="%1."/>
      <w:lvlJc w:val="left"/>
      <w:pPr>
        <w:tabs>
          <w:tab w:val="num" w:pos="794"/>
        </w:tabs>
        <w:ind w:left="794" w:hanging="794"/>
      </w:pPr>
      <w:rPr>
        <w:b/>
      </w:rPr>
    </w:lvl>
    <w:lvl w:ilvl="1">
      <w:start w:val="1"/>
      <w:numFmt w:val="decimal"/>
      <w:pStyle w:val="FFWLevel2"/>
      <w:isLgl/>
      <w:lvlText w:val="%1.%2"/>
      <w:lvlJc w:val="left"/>
      <w:pPr>
        <w:tabs>
          <w:tab w:val="num" w:pos="794"/>
        </w:tabs>
        <w:ind w:left="794" w:hanging="794"/>
      </w:pPr>
      <w:rPr>
        <w:b w:val="0"/>
      </w:rPr>
    </w:lvl>
    <w:lvl w:ilvl="2">
      <w:start w:val="1"/>
      <w:numFmt w:val="decimal"/>
      <w:pStyle w:val="FFWLevel3"/>
      <w:isLgl/>
      <w:lvlText w:val="%1.%2.%3"/>
      <w:lvlJc w:val="left"/>
      <w:pPr>
        <w:tabs>
          <w:tab w:val="num" w:pos="794"/>
        </w:tabs>
        <w:ind w:left="794" w:hanging="794"/>
      </w:pPr>
      <w:rPr>
        <w:b w:val="0"/>
      </w:rPr>
    </w:lvl>
    <w:lvl w:ilvl="3">
      <w:start w:val="1"/>
      <w:numFmt w:val="lowerLetter"/>
      <w:pStyle w:val="FFWLevel4"/>
      <w:lvlText w:val="(%4)"/>
      <w:lvlJc w:val="left"/>
      <w:pPr>
        <w:tabs>
          <w:tab w:val="num" w:pos="1587"/>
        </w:tabs>
        <w:ind w:left="1587" w:hanging="793"/>
      </w:pPr>
    </w:lvl>
    <w:lvl w:ilvl="4">
      <w:start w:val="1"/>
      <w:numFmt w:val="lowerRoman"/>
      <w:pStyle w:val="FFWLevel5"/>
      <w:lvlText w:val="(%5)"/>
      <w:lvlJc w:val="left"/>
      <w:pPr>
        <w:tabs>
          <w:tab w:val="num" w:pos="2381"/>
        </w:tabs>
        <w:ind w:left="2381" w:hanging="794"/>
      </w:p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6" w15:restartNumberingAfterBreak="0">
    <w:nsid w:val="2DC472C9"/>
    <w:multiLevelType w:val="hybridMultilevel"/>
    <w:tmpl w:val="3086DA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B507CA"/>
    <w:multiLevelType w:val="hybridMultilevel"/>
    <w:tmpl w:val="7CD8FAC0"/>
    <w:lvl w:ilvl="0" w:tplc="DE58596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38A134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E323EB"/>
    <w:multiLevelType w:val="hybridMultilevel"/>
    <w:tmpl w:val="29306940"/>
    <w:lvl w:ilvl="0" w:tplc="E9AAD4F2">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5F6BAB"/>
    <w:multiLevelType w:val="hybridMultilevel"/>
    <w:tmpl w:val="2152C6E0"/>
    <w:lvl w:ilvl="0" w:tplc="CAD03C2C">
      <w:start w:val="1"/>
      <w:numFmt w:val="lowerLetter"/>
      <w:lvlText w:val="%1."/>
      <w:lvlJc w:val="left"/>
      <w:pPr>
        <w:ind w:left="1440" w:hanging="720"/>
      </w:pPr>
      <w:rPr>
        <w:rFonts w:asciiTheme="minorHAnsi" w:eastAsia="Times New Roman" w:hAnsiTheme="minorHAnsi" w:cstheme="minorHAnsi"/>
      </w:rPr>
    </w:lvl>
    <w:lvl w:ilvl="1" w:tplc="37AAD1DE">
      <w:start w:val="1"/>
      <w:numFmt w:val="lowerRoman"/>
      <w:lvlText w:val="%2."/>
      <w:lvlJc w:val="left"/>
      <w:pPr>
        <w:ind w:left="1800" w:hanging="360"/>
      </w:pPr>
      <w:rPr>
        <w:rFonts w:ascii="Arial" w:eastAsia="Times New Roman" w:hAnsi="Arial" w:cs="Arial"/>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2F13DA5"/>
    <w:multiLevelType w:val="hybridMultilevel"/>
    <w:tmpl w:val="32A680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7A7865"/>
    <w:multiLevelType w:val="hybridMultilevel"/>
    <w:tmpl w:val="7CD8FAC0"/>
    <w:lvl w:ilvl="0" w:tplc="DE58596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C736C94"/>
    <w:multiLevelType w:val="hybridMultilevel"/>
    <w:tmpl w:val="4B4AC5C8"/>
    <w:lvl w:ilvl="0" w:tplc="1C30D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27307"/>
    <w:multiLevelType w:val="hybridMultilevel"/>
    <w:tmpl w:val="E4B80C12"/>
    <w:lvl w:ilvl="0" w:tplc="6EE82868">
      <w:start w:val="1"/>
      <w:numFmt w:val="lowerLetter"/>
      <w:pStyle w:val="Heading3"/>
      <w:lvlText w:val="(%1)"/>
      <w:lvlJc w:val="left"/>
      <w:pPr>
        <w:ind w:left="1080" w:hanging="360"/>
      </w:pPr>
      <w:rPr>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76507BC6">
      <w:start w:val="1"/>
      <w:numFmt w:val="decimal"/>
      <w:pStyle w:val="Heading4"/>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A33C49"/>
    <w:multiLevelType w:val="hybridMultilevel"/>
    <w:tmpl w:val="6E96D41E"/>
    <w:lvl w:ilvl="0" w:tplc="132CCEC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7F82A90"/>
    <w:multiLevelType w:val="multilevel"/>
    <w:tmpl w:val="110A1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0E0149"/>
    <w:multiLevelType w:val="hybridMultilevel"/>
    <w:tmpl w:val="2152C6E0"/>
    <w:lvl w:ilvl="0" w:tplc="FFFFFFFF">
      <w:start w:val="1"/>
      <w:numFmt w:val="lowerLetter"/>
      <w:lvlText w:val="%1."/>
      <w:lvlJc w:val="left"/>
      <w:pPr>
        <w:ind w:left="1440" w:hanging="720"/>
      </w:pPr>
      <w:rPr>
        <w:rFonts w:asciiTheme="minorHAnsi" w:eastAsia="Times New Roman" w:hAnsiTheme="minorHAnsi" w:cstheme="minorHAnsi"/>
      </w:rPr>
    </w:lvl>
    <w:lvl w:ilvl="1" w:tplc="FFFFFFFF">
      <w:start w:val="1"/>
      <w:numFmt w:val="lowerRoman"/>
      <w:lvlText w:val="%2."/>
      <w:lvlJc w:val="left"/>
      <w:pPr>
        <w:ind w:left="1800" w:hanging="360"/>
      </w:pPr>
      <w:rPr>
        <w:rFonts w:ascii="Arial" w:eastAsia="Times New Roman" w:hAnsi="Arial" w:cs="Arial"/>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8633617"/>
    <w:multiLevelType w:val="hybridMultilevel"/>
    <w:tmpl w:val="3FBED16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8F94480"/>
    <w:multiLevelType w:val="hybridMultilevel"/>
    <w:tmpl w:val="C68429BE"/>
    <w:lvl w:ilvl="0" w:tplc="2EEA1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584623">
    <w:abstractNumId w:val="6"/>
  </w:num>
  <w:num w:numId="2" w16cid:durableId="1482962949">
    <w:abstractNumId w:val="4"/>
  </w:num>
  <w:num w:numId="3" w16cid:durableId="1333143468">
    <w:abstractNumId w:val="7"/>
  </w:num>
  <w:num w:numId="4" w16cid:durableId="1731920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7659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5333704">
    <w:abstractNumId w:val="16"/>
  </w:num>
  <w:num w:numId="7" w16cid:durableId="1376806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928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8391804">
    <w:abstractNumId w:val="13"/>
  </w:num>
  <w:num w:numId="10" w16cid:durableId="616301797">
    <w:abstractNumId w:val="0"/>
  </w:num>
  <w:num w:numId="11" w16cid:durableId="1711109828">
    <w:abstractNumId w:val="19"/>
  </w:num>
  <w:num w:numId="12" w16cid:durableId="656033353">
    <w:abstractNumId w:val="5"/>
  </w:num>
  <w:num w:numId="13" w16cid:durableId="2034189684">
    <w:abstractNumId w:val="10"/>
  </w:num>
  <w:num w:numId="14" w16cid:durableId="1130635530">
    <w:abstractNumId w:val="9"/>
  </w:num>
  <w:num w:numId="15" w16cid:durableId="658731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0726146">
    <w:abstractNumId w:val="11"/>
  </w:num>
  <w:num w:numId="17" w16cid:durableId="986973522">
    <w:abstractNumId w:val="5"/>
  </w:num>
  <w:num w:numId="18" w16cid:durableId="2058505440">
    <w:abstractNumId w:val="5"/>
  </w:num>
  <w:num w:numId="19" w16cid:durableId="860969836">
    <w:abstractNumId w:val="5"/>
  </w:num>
  <w:num w:numId="20" w16cid:durableId="1660386470">
    <w:abstractNumId w:val="14"/>
  </w:num>
  <w:num w:numId="21" w16cid:durableId="98448282">
    <w:abstractNumId w:val="5"/>
  </w:num>
  <w:num w:numId="22" w16cid:durableId="1854489305">
    <w:abstractNumId w:val="5"/>
  </w:num>
  <w:num w:numId="23" w16cid:durableId="203755698">
    <w:abstractNumId w:val="17"/>
  </w:num>
  <w:num w:numId="24" w16cid:durableId="293872714">
    <w:abstractNumId w:val="5"/>
  </w:num>
  <w:num w:numId="25" w16cid:durableId="374081642">
    <w:abstractNumId w:val="5"/>
  </w:num>
  <w:num w:numId="26" w16cid:durableId="1960140029">
    <w:abstractNumId w:val="5"/>
  </w:num>
  <w:num w:numId="27" w16cid:durableId="745230117">
    <w:abstractNumId w:val="5"/>
  </w:num>
  <w:num w:numId="28" w16cid:durableId="327056566">
    <w:abstractNumId w:val="5"/>
  </w:num>
  <w:num w:numId="29" w16cid:durableId="1971662366">
    <w:abstractNumId w:val="5"/>
  </w:num>
  <w:num w:numId="30" w16cid:durableId="1771897375">
    <w:abstractNumId w:val="3"/>
  </w:num>
  <w:num w:numId="31" w16cid:durableId="2132700798">
    <w:abstractNumId w:val="2"/>
  </w:num>
  <w:num w:numId="32" w16cid:durableId="2071953077">
    <w:abstractNumId w:val="5"/>
  </w:num>
  <w:num w:numId="33" w16cid:durableId="2059164798">
    <w:abstractNumId w:val="5"/>
  </w:num>
  <w:num w:numId="34" w16cid:durableId="1291936253">
    <w:abstractNumId w:val="18"/>
  </w:num>
  <w:num w:numId="35" w16cid:durableId="1224298124">
    <w:abstractNumId w:val="1"/>
  </w:num>
  <w:num w:numId="36" w16cid:durableId="323898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E2"/>
    <w:rsid w:val="0000172E"/>
    <w:rsid w:val="00005966"/>
    <w:rsid w:val="00005B35"/>
    <w:rsid w:val="00012B48"/>
    <w:rsid w:val="00013EDD"/>
    <w:rsid w:val="00016A72"/>
    <w:rsid w:val="00023284"/>
    <w:rsid w:val="00025A93"/>
    <w:rsid w:val="000367FA"/>
    <w:rsid w:val="00037C42"/>
    <w:rsid w:val="00047A1B"/>
    <w:rsid w:val="00051DC4"/>
    <w:rsid w:val="000522DC"/>
    <w:rsid w:val="00053E72"/>
    <w:rsid w:val="00054A5F"/>
    <w:rsid w:val="000600BB"/>
    <w:rsid w:val="000650FE"/>
    <w:rsid w:val="000713B6"/>
    <w:rsid w:val="000740DC"/>
    <w:rsid w:val="00074735"/>
    <w:rsid w:val="00075CF6"/>
    <w:rsid w:val="000762C5"/>
    <w:rsid w:val="00082863"/>
    <w:rsid w:val="00084F19"/>
    <w:rsid w:val="00095071"/>
    <w:rsid w:val="000965E8"/>
    <w:rsid w:val="000A20DA"/>
    <w:rsid w:val="000A2D41"/>
    <w:rsid w:val="000A2E52"/>
    <w:rsid w:val="000C16D4"/>
    <w:rsid w:val="000C42C9"/>
    <w:rsid w:val="000C505C"/>
    <w:rsid w:val="000C7801"/>
    <w:rsid w:val="000D2FC3"/>
    <w:rsid w:val="000E21F7"/>
    <w:rsid w:val="000E55E4"/>
    <w:rsid w:val="000E57E4"/>
    <w:rsid w:val="000E68B2"/>
    <w:rsid w:val="000F2751"/>
    <w:rsid w:val="000F3D8B"/>
    <w:rsid w:val="00102329"/>
    <w:rsid w:val="001048A6"/>
    <w:rsid w:val="00110A1D"/>
    <w:rsid w:val="00115314"/>
    <w:rsid w:val="0011659A"/>
    <w:rsid w:val="0011747F"/>
    <w:rsid w:val="001177C2"/>
    <w:rsid w:val="00121DED"/>
    <w:rsid w:val="00123E43"/>
    <w:rsid w:val="001251F1"/>
    <w:rsid w:val="00125526"/>
    <w:rsid w:val="001262ED"/>
    <w:rsid w:val="00126D88"/>
    <w:rsid w:val="00132E09"/>
    <w:rsid w:val="0015030D"/>
    <w:rsid w:val="00150F1E"/>
    <w:rsid w:val="00153158"/>
    <w:rsid w:val="00155167"/>
    <w:rsid w:val="00156169"/>
    <w:rsid w:val="001566CE"/>
    <w:rsid w:val="00157B23"/>
    <w:rsid w:val="00161BBF"/>
    <w:rsid w:val="00163576"/>
    <w:rsid w:val="001651D3"/>
    <w:rsid w:val="00166268"/>
    <w:rsid w:val="00173D5E"/>
    <w:rsid w:val="00174810"/>
    <w:rsid w:val="001816FC"/>
    <w:rsid w:val="00182A91"/>
    <w:rsid w:val="0018318A"/>
    <w:rsid w:val="00184B32"/>
    <w:rsid w:val="00185A6C"/>
    <w:rsid w:val="00190F6D"/>
    <w:rsid w:val="00191317"/>
    <w:rsid w:val="00195388"/>
    <w:rsid w:val="001A1F4C"/>
    <w:rsid w:val="001A20C4"/>
    <w:rsid w:val="001A5D69"/>
    <w:rsid w:val="001A7815"/>
    <w:rsid w:val="001B2297"/>
    <w:rsid w:val="001B2455"/>
    <w:rsid w:val="001B3BE8"/>
    <w:rsid w:val="001B4B13"/>
    <w:rsid w:val="001B528C"/>
    <w:rsid w:val="001B58A8"/>
    <w:rsid w:val="001B678C"/>
    <w:rsid w:val="001B6AA7"/>
    <w:rsid w:val="001B7126"/>
    <w:rsid w:val="001B74FD"/>
    <w:rsid w:val="001D088E"/>
    <w:rsid w:val="001D1138"/>
    <w:rsid w:val="001D135F"/>
    <w:rsid w:val="001D18A9"/>
    <w:rsid w:val="001D5267"/>
    <w:rsid w:val="001E0F49"/>
    <w:rsid w:val="001E329A"/>
    <w:rsid w:val="001E5690"/>
    <w:rsid w:val="001E5DCE"/>
    <w:rsid w:val="001F0332"/>
    <w:rsid w:val="001F24E5"/>
    <w:rsid w:val="001F4988"/>
    <w:rsid w:val="002117CA"/>
    <w:rsid w:val="00212EE7"/>
    <w:rsid w:val="00213FF7"/>
    <w:rsid w:val="00220B17"/>
    <w:rsid w:val="002230E2"/>
    <w:rsid w:val="0022513A"/>
    <w:rsid w:val="00234B42"/>
    <w:rsid w:val="00234B6D"/>
    <w:rsid w:val="002461AA"/>
    <w:rsid w:val="002605FD"/>
    <w:rsid w:val="002628F6"/>
    <w:rsid w:val="00265179"/>
    <w:rsid w:val="00271112"/>
    <w:rsid w:val="00271507"/>
    <w:rsid w:val="00274C9E"/>
    <w:rsid w:val="002759D4"/>
    <w:rsid w:val="0028512B"/>
    <w:rsid w:val="00287097"/>
    <w:rsid w:val="0028770F"/>
    <w:rsid w:val="00291EDE"/>
    <w:rsid w:val="00292690"/>
    <w:rsid w:val="00293FF2"/>
    <w:rsid w:val="002951A6"/>
    <w:rsid w:val="002A09E3"/>
    <w:rsid w:val="002A0D00"/>
    <w:rsid w:val="002A2071"/>
    <w:rsid w:val="002A66A6"/>
    <w:rsid w:val="002B682F"/>
    <w:rsid w:val="002D140C"/>
    <w:rsid w:val="002D2D5D"/>
    <w:rsid w:val="002E13E9"/>
    <w:rsid w:val="002E378B"/>
    <w:rsid w:val="002E62FD"/>
    <w:rsid w:val="002E6394"/>
    <w:rsid w:val="002E7D43"/>
    <w:rsid w:val="00303555"/>
    <w:rsid w:val="00306E00"/>
    <w:rsid w:val="0031082E"/>
    <w:rsid w:val="00310B95"/>
    <w:rsid w:val="0031297E"/>
    <w:rsid w:val="00312F60"/>
    <w:rsid w:val="00315198"/>
    <w:rsid w:val="00315FE3"/>
    <w:rsid w:val="003266F9"/>
    <w:rsid w:val="003314FC"/>
    <w:rsid w:val="00345512"/>
    <w:rsid w:val="0035382B"/>
    <w:rsid w:val="00360098"/>
    <w:rsid w:val="00367D4E"/>
    <w:rsid w:val="00375408"/>
    <w:rsid w:val="003804A5"/>
    <w:rsid w:val="00380C43"/>
    <w:rsid w:val="0038531A"/>
    <w:rsid w:val="00391A15"/>
    <w:rsid w:val="00391C83"/>
    <w:rsid w:val="003973C2"/>
    <w:rsid w:val="003A0B37"/>
    <w:rsid w:val="003A5C41"/>
    <w:rsid w:val="003B1333"/>
    <w:rsid w:val="003B2E1C"/>
    <w:rsid w:val="003D463A"/>
    <w:rsid w:val="003D53FB"/>
    <w:rsid w:val="003D6695"/>
    <w:rsid w:val="003D7C4F"/>
    <w:rsid w:val="003E0185"/>
    <w:rsid w:val="003E2360"/>
    <w:rsid w:val="003E315E"/>
    <w:rsid w:val="003E60AF"/>
    <w:rsid w:val="003E6234"/>
    <w:rsid w:val="003F1EF6"/>
    <w:rsid w:val="003F2D23"/>
    <w:rsid w:val="003F2F43"/>
    <w:rsid w:val="003F318D"/>
    <w:rsid w:val="0040360F"/>
    <w:rsid w:val="00403DF1"/>
    <w:rsid w:val="00406708"/>
    <w:rsid w:val="00413BD0"/>
    <w:rsid w:val="00427261"/>
    <w:rsid w:val="00432625"/>
    <w:rsid w:val="00444B0E"/>
    <w:rsid w:val="004478A0"/>
    <w:rsid w:val="00452497"/>
    <w:rsid w:val="004551C7"/>
    <w:rsid w:val="004615AF"/>
    <w:rsid w:val="004643B3"/>
    <w:rsid w:val="0047179B"/>
    <w:rsid w:val="004721BB"/>
    <w:rsid w:val="0047472B"/>
    <w:rsid w:val="00476C3D"/>
    <w:rsid w:val="00487582"/>
    <w:rsid w:val="00490BF9"/>
    <w:rsid w:val="00491364"/>
    <w:rsid w:val="00491E07"/>
    <w:rsid w:val="00497988"/>
    <w:rsid w:val="004B253A"/>
    <w:rsid w:val="004C5E63"/>
    <w:rsid w:val="004D5A1E"/>
    <w:rsid w:val="004D6287"/>
    <w:rsid w:val="004E13DC"/>
    <w:rsid w:val="004E4341"/>
    <w:rsid w:val="004E7642"/>
    <w:rsid w:val="004F1FA3"/>
    <w:rsid w:val="004F214F"/>
    <w:rsid w:val="004F765C"/>
    <w:rsid w:val="00502228"/>
    <w:rsid w:val="0051065A"/>
    <w:rsid w:val="00517AC4"/>
    <w:rsid w:val="00523643"/>
    <w:rsid w:val="00530540"/>
    <w:rsid w:val="00533EB0"/>
    <w:rsid w:val="00536971"/>
    <w:rsid w:val="00541130"/>
    <w:rsid w:val="005460B8"/>
    <w:rsid w:val="005468FE"/>
    <w:rsid w:val="00560823"/>
    <w:rsid w:val="005618C0"/>
    <w:rsid w:val="00567CB3"/>
    <w:rsid w:val="00567EE2"/>
    <w:rsid w:val="005723BA"/>
    <w:rsid w:val="00577C95"/>
    <w:rsid w:val="0058335D"/>
    <w:rsid w:val="00583F57"/>
    <w:rsid w:val="00586F7C"/>
    <w:rsid w:val="0058739A"/>
    <w:rsid w:val="005A41A6"/>
    <w:rsid w:val="005A5F20"/>
    <w:rsid w:val="005A6275"/>
    <w:rsid w:val="005B1898"/>
    <w:rsid w:val="005B2CDB"/>
    <w:rsid w:val="005B5C7C"/>
    <w:rsid w:val="005B7797"/>
    <w:rsid w:val="005C0F52"/>
    <w:rsid w:val="005C2C88"/>
    <w:rsid w:val="005C52DA"/>
    <w:rsid w:val="005C66A1"/>
    <w:rsid w:val="005D0CA3"/>
    <w:rsid w:val="005D1249"/>
    <w:rsid w:val="005D72CA"/>
    <w:rsid w:val="005E098E"/>
    <w:rsid w:val="005E0FC3"/>
    <w:rsid w:val="005E7D5E"/>
    <w:rsid w:val="005F067D"/>
    <w:rsid w:val="005F0881"/>
    <w:rsid w:val="005F4129"/>
    <w:rsid w:val="005F78A7"/>
    <w:rsid w:val="006000A6"/>
    <w:rsid w:val="00600E6F"/>
    <w:rsid w:val="00602231"/>
    <w:rsid w:val="00611540"/>
    <w:rsid w:val="00611C45"/>
    <w:rsid w:val="00615492"/>
    <w:rsid w:val="00615BF1"/>
    <w:rsid w:val="006222BB"/>
    <w:rsid w:val="00622708"/>
    <w:rsid w:val="00625D7C"/>
    <w:rsid w:val="006261C6"/>
    <w:rsid w:val="00626817"/>
    <w:rsid w:val="00627BE2"/>
    <w:rsid w:val="00630445"/>
    <w:rsid w:val="006325F0"/>
    <w:rsid w:val="0064108B"/>
    <w:rsid w:val="00641144"/>
    <w:rsid w:val="006449B4"/>
    <w:rsid w:val="006452DE"/>
    <w:rsid w:val="0064789D"/>
    <w:rsid w:val="00647AB0"/>
    <w:rsid w:val="006516AD"/>
    <w:rsid w:val="00653566"/>
    <w:rsid w:val="0065457B"/>
    <w:rsid w:val="00656601"/>
    <w:rsid w:val="006701A8"/>
    <w:rsid w:val="006724B7"/>
    <w:rsid w:val="00672821"/>
    <w:rsid w:val="0067653A"/>
    <w:rsid w:val="0068297B"/>
    <w:rsid w:val="00682D85"/>
    <w:rsid w:val="0068785A"/>
    <w:rsid w:val="006A0EEE"/>
    <w:rsid w:val="006A1E53"/>
    <w:rsid w:val="006A31A0"/>
    <w:rsid w:val="006A5BA6"/>
    <w:rsid w:val="006B3E58"/>
    <w:rsid w:val="006B4DB7"/>
    <w:rsid w:val="006C4740"/>
    <w:rsid w:val="006C501A"/>
    <w:rsid w:val="006C7A96"/>
    <w:rsid w:val="006D150D"/>
    <w:rsid w:val="006D230A"/>
    <w:rsid w:val="006D5444"/>
    <w:rsid w:val="006E16AD"/>
    <w:rsid w:val="006E17D5"/>
    <w:rsid w:val="006E7F0E"/>
    <w:rsid w:val="006F00F5"/>
    <w:rsid w:val="006F4344"/>
    <w:rsid w:val="006F4567"/>
    <w:rsid w:val="006F5B5B"/>
    <w:rsid w:val="006F5BA8"/>
    <w:rsid w:val="006F7685"/>
    <w:rsid w:val="00700462"/>
    <w:rsid w:val="00701CA6"/>
    <w:rsid w:val="00704B00"/>
    <w:rsid w:val="007072F6"/>
    <w:rsid w:val="00711E25"/>
    <w:rsid w:val="0071296A"/>
    <w:rsid w:val="007171CB"/>
    <w:rsid w:val="007204A4"/>
    <w:rsid w:val="007221EC"/>
    <w:rsid w:val="00727101"/>
    <w:rsid w:val="0073048B"/>
    <w:rsid w:val="007322E3"/>
    <w:rsid w:val="00734484"/>
    <w:rsid w:val="007419BA"/>
    <w:rsid w:val="007458A8"/>
    <w:rsid w:val="0074616B"/>
    <w:rsid w:val="00755F39"/>
    <w:rsid w:val="00757351"/>
    <w:rsid w:val="007575EB"/>
    <w:rsid w:val="0076409B"/>
    <w:rsid w:val="007747B0"/>
    <w:rsid w:val="007837AD"/>
    <w:rsid w:val="0078588C"/>
    <w:rsid w:val="00794C27"/>
    <w:rsid w:val="007957DE"/>
    <w:rsid w:val="0079799A"/>
    <w:rsid w:val="007A3934"/>
    <w:rsid w:val="007A716B"/>
    <w:rsid w:val="007B5E28"/>
    <w:rsid w:val="007C34E2"/>
    <w:rsid w:val="007D76DD"/>
    <w:rsid w:val="007E030B"/>
    <w:rsid w:val="007E36CF"/>
    <w:rsid w:val="007F0DAE"/>
    <w:rsid w:val="007F41C8"/>
    <w:rsid w:val="008028A6"/>
    <w:rsid w:val="008032BC"/>
    <w:rsid w:val="00812216"/>
    <w:rsid w:val="0081675E"/>
    <w:rsid w:val="00817EDC"/>
    <w:rsid w:val="008261D8"/>
    <w:rsid w:val="00833B0E"/>
    <w:rsid w:val="00833C47"/>
    <w:rsid w:val="00840DAA"/>
    <w:rsid w:val="00842C0F"/>
    <w:rsid w:val="00843089"/>
    <w:rsid w:val="00844D98"/>
    <w:rsid w:val="00844F93"/>
    <w:rsid w:val="008510C0"/>
    <w:rsid w:val="00863B44"/>
    <w:rsid w:val="008656EE"/>
    <w:rsid w:val="00870164"/>
    <w:rsid w:val="0088200F"/>
    <w:rsid w:val="00882312"/>
    <w:rsid w:val="008953AD"/>
    <w:rsid w:val="00896815"/>
    <w:rsid w:val="00897C81"/>
    <w:rsid w:val="008A7C7F"/>
    <w:rsid w:val="008A7DBD"/>
    <w:rsid w:val="008B0349"/>
    <w:rsid w:val="008B0D55"/>
    <w:rsid w:val="008B4245"/>
    <w:rsid w:val="008B548B"/>
    <w:rsid w:val="008B6AFD"/>
    <w:rsid w:val="008B6F28"/>
    <w:rsid w:val="008B7CDC"/>
    <w:rsid w:val="008C0AC0"/>
    <w:rsid w:val="008C2B42"/>
    <w:rsid w:val="008C3D12"/>
    <w:rsid w:val="008D2F16"/>
    <w:rsid w:val="008E4B0E"/>
    <w:rsid w:val="008F3D1E"/>
    <w:rsid w:val="008F70A1"/>
    <w:rsid w:val="009018DF"/>
    <w:rsid w:val="00901944"/>
    <w:rsid w:val="00904436"/>
    <w:rsid w:val="00912EB1"/>
    <w:rsid w:val="00913082"/>
    <w:rsid w:val="00915142"/>
    <w:rsid w:val="00915384"/>
    <w:rsid w:val="0092217A"/>
    <w:rsid w:val="0093653C"/>
    <w:rsid w:val="009421B6"/>
    <w:rsid w:val="0094748E"/>
    <w:rsid w:val="009506CF"/>
    <w:rsid w:val="009508F9"/>
    <w:rsid w:val="00953368"/>
    <w:rsid w:val="00963151"/>
    <w:rsid w:val="00967954"/>
    <w:rsid w:val="009800D5"/>
    <w:rsid w:val="00985329"/>
    <w:rsid w:val="00985979"/>
    <w:rsid w:val="00985DCC"/>
    <w:rsid w:val="00990119"/>
    <w:rsid w:val="00995293"/>
    <w:rsid w:val="009A1380"/>
    <w:rsid w:val="009A2B94"/>
    <w:rsid w:val="009A463A"/>
    <w:rsid w:val="009B4871"/>
    <w:rsid w:val="009C10E0"/>
    <w:rsid w:val="009C12D3"/>
    <w:rsid w:val="009C4414"/>
    <w:rsid w:val="009C52CA"/>
    <w:rsid w:val="009D12C4"/>
    <w:rsid w:val="009D59CA"/>
    <w:rsid w:val="009E42AF"/>
    <w:rsid w:val="009E79E3"/>
    <w:rsid w:val="009F56D5"/>
    <w:rsid w:val="009F5934"/>
    <w:rsid w:val="00A01333"/>
    <w:rsid w:val="00A02CD7"/>
    <w:rsid w:val="00A1116C"/>
    <w:rsid w:val="00A113FA"/>
    <w:rsid w:val="00A129C6"/>
    <w:rsid w:val="00A12B05"/>
    <w:rsid w:val="00A22CEF"/>
    <w:rsid w:val="00A26C86"/>
    <w:rsid w:val="00A30B96"/>
    <w:rsid w:val="00A30E67"/>
    <w:rsid w:val="00A31B51"/>
    <w:rsid w:val="00A33B08"/>
    <w:rsid w:val="00A345C6"/>
    <w:rsid w:val="00A40311"/>
    <w:rsid w:val="00A404D3"/>
    <w:rsid w:val="00A427AC"/>
    <w:rsid w:val="00A516C3"/>
    <w:rsid w:val="00A5600C"/>
    <w:rsid w:val="00A627EF"/>
    <w:rsid w:val="00A65873"/>
    <w:rsid w:val="00A66688"/>
    <w:rsid w:val="00A67444"/>
    <w:rsid w:val="00A7322E"/>
    <w:rsid w:val="00A741A8"/>
    <w:rsid w:val="00A75560"/>
    <w:rsid w:val="00A805B5"/>
    <w:rsid w:val="00A8111D"/>
    <w:rsid w:val="00A81CF3"/>
    <w:rsid w:val="00A83C2D"/>
    <w:rsid w:val="00A867CF"/>
    <w:rsid w:val="00A8705F"/>
    <w:rsid w:val="00A914D3"/>
    <w:rsid w:val="00AA0DE4"/>
    <w:rsid w:val="00AA3428"/>
    <w:rsid w:val="00AA4CF0"/>
    <w:rsid w:val="00AA5EB2"/>
    <w:rsid w:val="00AB56CF"/>
    <w:rsid w:val="00AC05E7"/>
    <w:rsid w:val="00AC1A56"/>
    <w:rsid w:val="00AC4FC2"/>
    <w:rsid w:val="00AC75BA"/>
    <w:rsid w:val="00AD210B"/>
    <w:rsid w:val="00AD6D98"/>
    <w:rsid w:val="00AE4782"/>
    <w:rsid w:val="00AE47AA"/>
    <w:rsid w:val="00AE5F3C"/>
    <w:rsid w:val="00AE694C"/>
    <w:rsid w:val="00AF057F"/>
    <w:rsid w:val="00AF2D38"/>
    <w:rsid w:val="00AF5D0B"/>
    <w:rsid w:val="00B002F2"/>
    <w:rsid w:val="00B02903"/>
    <w:rsid w:val="00B05CE2"/>
    <w:rsid w:val="00B05EEC"/>
    <w:rsid w:val="00B065AD"/>
    <w:rsid w:val="00B070B7"/>
    <w:rsid w:val="00B10AB8"/>
    <w:rsid w:val="00B12F53"/>
    <w:rsid w:val="00B16665"/>
    <w:rsid w:val="00B17DA7"/>
    <w:rsid w:val="00B272BD"/>
    <w:rsid w:val="00B30422"/>
    <w:rsid w:val="00B31866"/>
    <w:rsid w:val="00B3370F"/>
    <w:rsid w:val="00B35B05"/>
    <w:rsid w:val="00B4453C"/>
    <w:rsid w:val="00B47559"/>
    <w:rsid w:val="00B479E7"/>
    <w:rsid w:val="00B503AE"/>
    <w:rsid w:val="00B512A2"/>
    <w:rsid w:val="00B60339"/>
    <w:rsid w:val="00B614E3"/>
    <w:rsid w:val="00B64E7E"/>
    <w:rsid w:val="00B70B10"/>
    <w:rsid w:val="00B71A2B"/>
    <w:rsid w:val="00B7411A"/>
    <w:rsid w:val="00B8035F"/>
    <w:rsid w:val="00B80955"/>
    <w:rsid w:val="00B84199"/>
    <w:rsid w:val="00B856F7"/>
    <w:rsid w:val="00B87B42"/>
    <w:rsid w:val="00B92D9B"/>
    <w:rsid w:val="00B94C2D"/>
    <w:rsid w:val="00BA07F3"/>
    <w:rsid w:val="00BA50E3"/>
    <w:rsid w:val="00BA6502"/>
    <w:rsid w:val="00BB32D1"/>
    <w:rsid w:val="00BB73E9"/>
    <w:rsid w:val="00BC0B9E"/>
    <w:rsid w:val="00BC62FA"/>
    <w:rsid w:val="00BD34C5"/>
    <w:rsid w:val="00BE2460"/>
    <w:rsid w:val="00BF1483"/>
    <w:rsid w:val="00BF36F5"/>
    <w:rsid w:val="00C109E8"/>
    <w:rsid w:val="00C116FD"/>
    <w:rsid w:val="00C136D3"/>
    <w:rsid w:val="00C1420D"/>
    <w:rsid w:val="00C27E4E"/>
    <w:rsid w:val="00C422DB"/>
    <w:rsid w:val="00C53ADE"/>
    <w:rsid w:val="00C626C7"/>
    <w:rsid w:val="00C8096F"/>
    <w:rsid w:val="00C850CA"/>
    <w:rsid w:val="00C862BB"/>
    <w:rsid w:val="00C91CF8"/>
    <w:rsid w:val="00C95CBD"/>
    <w:rsid w:val="00C97708"/>
    <w:rsid w:val="00CA29EE"/>
    <w:rsid w:val="00CA2B76"/>
    <w:rsid w:val="00CB0158"/>
    <w:rsid w:val="00CB10AE"/>
    <w:rsid w:val="00CB7DC7"/>
    <w:rsid w:val="00CC4B0A"/>
    <w:rsid w:val="00CD022D"/>
    <w:rsid w:val="00CD5084"/>
    <w:rsid w:val="00CE06FA"/>
    <w:rsid w:val="00CE41EA"/>
    <w:rsid w:val="00CE4BE0"/>
    <w:rsid w:val="00CF3B4D"/>
    <w:rsid w:val="00D01CC0"/>
    <w:rsid w:val="00D07489"/>
    <w:rsid w:val="00D11105"/>
    <w:rsid w:val="00D11A7F"/>
    <w:rsid w:val="00D12ECA"/>
    <w:rsid w:val="00D13536"/>
    <w:rsid w:val="00D152B0"/>
    <w:rsid w:val="00D1698F"/>
    <w:rsid w:val="00D17677"/>
    <w:rsid w:val="00D2214F"/>
    <w:rsid w:val="00D24289"/>
    <w:rsid w:val="00D24AE2"/>
    <w:rsid w:val="00D25A3C"/>
    <w:rsid w:val="00D3587F"/>
    <w:rsid w:val="00D46C68"/>
    <w:rsid w:val="00D571A4"/>
    <w:rsid w:val="00D63524"/>
    <w:rsid w:val="00D63AC5"/>
    <w:rsid w:val="00D647F9"/>
    <w:rsid w:val="00D74032"/>
    <w:rsid w:val="00D75DDF"/>
    <w:rsid w:val="00D76567"/>
    <w:rsid w:val="00D77F90"/>
    <w:rsid w:val="00D84ADB"/>
    <w:rsid w:val="00D90D72"/>
    <w:rsid w:val="00D934E3"/>
    <w:rsid w:val="00D96815"/>
    <w:rsid w:val="00DA0345"/>
    <w:rsid w:val="00DA0AF7"/>
    <w:rsid w:val="00DA1E8F"/>
    <w:rsid w:val="00DA6BAC"/>
    <w:rsid w:val="00DC016F"/>
    <w:rsid w:val="00DC2C66"/>
    <w:rsid w:val="00DC353C"/>
    <w:rsid w:val="00DD2080"/>
    <w:rsid w:val="00DD4D86"/>
    <w:rsid w:val="00DD4FAC"/>
    <w:rsid w:val="00DD6DAC"/>
    <w:rsid w:val="00DE22CD"/>
    <w:rsid w:val="00DF3CAA"/>
    <w:rsid w:val="00DF5795"/>
    <w:rsid w:val="00E0403F"/>
    <w:rsid w:val="00E04E8A"/>
    <w:rsid w:val="00E07BC8"/>
    <w:rsid w:val="00E10D65"/>
    <w:rsid w:val="00E12E8A"/>
    <w:rsid w:val="00E133B5"/>
    <w:rsid w:val="00E201DB"/>
    <w:rsid w:val="00E2022D"/>
    <w:rsid w:val="00E22D9D"/>
    <w:rsid w:val="00E2556E"/>
    <w:rsid w:val="00E33292"/>
    <w:rsid w:val="00E36633"/>
    <w:rsid w:val="00E418AC"/>
    <w:rsid w:val="00E51A0C"/>
    <w:rsid w:val="00E5353D"/>
    <w:rsid w:val="00E54D79"/>
    <w:rsid w:val="00E5526F"/>
    <w:rsid w:val="00E5618F"/>
    <w:rsid w:val="00E56DF1"/>
    <w:rsid w:val="00E60684"/>
    <w:rsid w:val="00E613D9"/>
    <w:rsid w:val="00E672B0"/>
    <w:rsid w:val="00E67B23"/>
    <w:rsid w:val="00E810CF"/>
    <w:rsid w:val="00E82183"/>
    <w:rsid w:val="00E8434C"/>
    <w:rsid w:val="00E86EA5"/>
    <w:rsid w:val="00E8BA18"/>
    <w:rsid w:val="00E915FF"/>
    <w:rsid w:val="00E935F4"/>
    <w:rsid w:val="00E951A0"/>
    <w:rsid w:val="00E95446"/>
    <w:rsid w:val="00E95A4C"/>
    <w:rsid w:val="00EA38A6"/>
    <w:rsid w:val="00EA4241"/>
    <w:rsid w:val="00EC045E"/>
    <w:rsid w:val="00EC1872"/>
    <w:rsid w:val="00EC4CED"/>
    <w:rsid w:val="00EC5927"/>
    <w:rsid w:val="00EC753A"/>
    <w:rsid w:val="00ED162F"/>
    <w:rsid w:val="00EE30E6"/>
    <w:rsid w:val="00EF2F4D"/>
    <w:rsid w:val="00EF3A65"/>
    <w:rsid w:val="00EF7FF1"/>
    <w:rsid w:val="00F00437"/>
    <w:rsid w:val="00F022C0"/>
    <w:rsid w:val="00F05D0B"/>
    <w:rsid w:val="00F068C2"/>
    <w:rsid w:val="00F077D7"/>
    <w:rsid w:val="00F100F5"/>
    <w:rsid w:val="00F12224"/>
    <w:rsid w:val="00F12B90"/>
    <w:rsid w:val="00F13AB5"/>
    <w:rsid w:val="00F14490"/>
    <w:rsid w:val="00F16228"/>
    <w:rsid w:val="00F177D0"/>
    <w:rsid w:val="00F17BED"/>
    <w:rsid w:val="00F25FBD"/>
    <w:rsid w:val="00F354E2"/>
    <w:rsid w:val="00F43DCF"/>
    <w:rsid w:val="00F46FB3"/>
    <w:rsid w:val="00F52742"/>
    <w:rsid w:val="00F53C27"/>
    <w:rsid w:val="00F61D56"/>
    <w:rsid w:val="00F625A4"/>
    <w:rsid w:val="00F66B8E"/>
    <w:rsid w:val="00F66F94"/>
    <w:rsid w:val="00F722D7"/>
    <w:rsid w:val="00F72E69"/>
    <w:rsid w:val="00F73BD9"/>
    <w:rsid w:val="00F74446"/>
    <w:rsid w:val="00F76FED"/>
    <w:rsid w:val="00F82564"/>
    <w:rsid w:val="00F84D5A"/>
    <w:rsid w:val="00F90285"/>
    <w:rsid w:val="00F9179F"/>
    <w:rsid w:val="00FB4188"/>
    <w:rsid w:val="00FB46E5"/>
    <w:rsid w:val="00FB5FC8"/>
    <w:rsid w:val="00FB667E"/>
    <w:rsid w:val="00FB6C2B"/>
    <w:rsid w:val="00FC0231"/>
    <w:rsid w:val="00FC17AF"/>
    <w:rsid w:val="00FC44CB"/>
    <w:rsid w:val="00FC601A"/>
    <w:rsid w:val="00FC61AF"/>
    <w:rsid w:val="00FC71A8"/>
    <w:rsid w:val="00FC749D"/>
    <w:rsid w:val="00FD1120"/>
    <w:rsid w:val="00FD345B"/>
    <w:rsid w:val="00FE1D4C"/>
    <w:rsid w:val="00FE2DC7"/>
    <w:rsid w:val="00FE401B"/>
    <w:rsid w:val="00FE4E47"/>
    <w:rsid w:val="01513131"/>
    <w:rsid w:val="017147B6"/>
    <w:rsid w:val="01B7EDB0"/>
    <w:rsid w:val="01C46771"/>
    <w:rsid w:val="01D93F91"/>
    <w:rsid w:val="0204C186"/>
    <w:rsid w:val="02502EEC"/>
    <w:rsid w:val="0277C820"/>
    <w:rsid w:val="02CB1B43"/>
    <w:rsid w:val="0305D5F9"/>
    <w:rsid w:val="03EEB049"/>
    <w:rsid w:val="0448DCE0"/>
    <w:rsid w:val="04A3BBC4"/>
    <w:rsid w:val="05199DF9"/>
    <w:rsid w:val="0546377C"/>
    <w:rsid w:val="05775DDD"/>
    <w:rsid w:val="059E038A"/>
    <w:rsid w:val="063BB9D2"/>
    <w:rsid w:val="06AD5352"/>
    <w:rsid w:val="06DA8458"/>
    <w:rsid w:val="06E5272B"/>
    <w:rsid w:val="070ADA4A"/>
    <w:rsid w:val="074C6A1C"/>
    <w:rsid w:val="08A102EF"/>
    <w:rsid w:val="08B97FC6"/>
    <w:rsid w:val="08D89AE9"/>
    <w:rsid w:val="09FD8A09"/>
    <w:rsid w:val="0A25F957"/>
    <w:rsid w:val="0AA5ABFB"/>
    <w:rsid w:val="0AB87C00"/>
    <w:rsid w:val="0AD8D62A"/>
    <w:rsid w:val="0B7F5D95"/>
    <w:rsid w:val="0C7D3703"/>
    <w:rsid w:val="0CC4E467"/>
    <w:rsid w:val="0CC63D25"/>
    <w:rsid w:val="0D46A2C0"/>
    <w:rsid w:val="0D5706CA"/>
    <w:rsid w:val="0E9BF998"/>
    <w:rsid w:val="0EAF412D"/>
    <w:rsid w:val="0F35AB8F"/>
    <w:rsid w:val="10B1DC61"/>
    <w:rsid w:val="111892FA"/>
    <w:rsid w:val="119636DC"/>
    <w:rsid w:val="12A46D88"/>
    <w:rsid w:val="13444AC4"/>
    <w:rsid w:val="137B0EA8"/>
    <w:rsid w:val="145F38DB"/>
    <w:rsid w:val="147D6D77"/>
    <w:rsid w:val="14BFA5AA"/>
    <w:rsid w:val="150BECEA"/>
    <w:rsid w:val="15403B0D"/>
    <w:rsid w:val="1572B1BB"/>
    <w:rsid w:val="157FD5F8"/>
    <w:rsid w:val="15AB4226"/>
    <w:rsid w:val="15FB7598"/>
    <w:rsid w:val="16071D42"/>
    <w:rsid w:val="1660E91A"/>
    <w:rsid w:val="169F3386"/>
    <w:rsid w:val="16C46326"/>
    <w:rsid w:val="17469971"/>
    <w:rsid w:val="17E21BE4"/>
    <w:rsid w:val="180CD8E3"/>
    <w:rsid w:val="18EB0BAE"/>
    <w:rsid w:val="18ED5220"/>
    <w:rsid w:val="19935818"/>
    <w:rsid w:val="1AC2D4D2"/>
    <w:rsid w:val="1B28FC39"/>
    <w:rsid w:val="1BE56CFD"/>
    <w:rsid w:val="1E3231BF"/>
    <w:rsid w:val="1E67E04F"/>
    <w:rsid w:val="1E9282D9"/>
    <w:rsid w:val="1EA22C41"/>
    <w:rsid w:val="1EC9E94F"/>
    <w:rsid w:val="1FA572E2"/>
    <w:rsid w:val="1FB04215"/>
    <w:rsid w:val="2001453A"/>
    <w:rsid w:val="20071785"/>
    <w:rsid w:val="215F6F78"/>
    <w:rsid w:val="21E528EB"/>
    <w:rsid w:val="222DFA1A"/>
    <w:rsid w:val="225F0E3A"/>
    <w:rsid w:val="22711D0A"/>
    <w:rsid w:val="23E85861"/>
    <w:rsid w:val="24DDFB82"/>
    <w:rsid w:val="24EF4B36"/>
    <w:rsid w:val="2576EC8C"/>
    <w:rsid w:val="2583786D"/>
    <w:rsid w:val="259218FF"/>
    <w:rsid w:val="25B76D5F"/>
    <w:rsid w:val="25DAF174"/>
    <w:rsid w:val="25FB553F"/>
    <w:rsid w:val="260327DD"/>
    <w:rsid w:val="263259A7"/>
    <w:rsid w:val="27CEB227"/>
    <w:rsid w:val="27F8E1DE"/>
    <w:rsid w:val="2803F559"/>
    <w:rsid w:val="2805FE84"/>
    <w:rsid w:val="2842C97E"/>
    <w:rsid w:val="290520CB"/>
    <w:rsid w:val="292C1211"/>
    <w:rsid w:val="293474D4"/>
    <w:rsid w:val="2A0F812F"/>
    <w:rsid w:val="2A4B9E9F"/>
    <w:rsid w:val="2AB47B10"/>
    <w:rsid w:val="2ABF6568"/>
    <w:rsid w:val="2C9D0721"/>
    <w:rsid w:val="2D045621"/>
    <w:rsid w:val="2EDCF5C9"/>
    <w:rsid w:val="2F0340D4"/>
    <w:rsid w:val="2FECC0AD"/>
    <w:rsid w:val="30260845"/>
    <w:rsid w:val="3055C2A8"/>
    <w:rsid w:val="30893DAE"/>
    <w:rsid w:val="30C9B637"/>
    <w:rsid w:val="310459FA"/>
    <w:rsid w:val="311B90C2"/>
    <w:rsid w:val="311C0B77"/>
    <w:rsid w:val="3127F61C"/>
    <w:rsid w:val="316D691D"/>
    <w:rsid w:val="31A5CEC5"/>
    <w:rsid w:val="31A96A9B"/>
    <w:rsid w:val="33ACAE56"/>
    <w:rsid w:val="342BF330"/>
    <w:rsid w:val="3476418A"/>
    <w:rsid w:val="348B4FF4"/>
    <w:rsid w:val="35136CE4"/>
    <w:rsid w:val="354B9C51"/>
    <w:rsid w:val="355F8AB3"/>
    <w:rsid w:val="35726BE6"/>
    <w:rsid w:val="358EE467"/>
    <w:rsid w:val="35C918FE"/>
    <w:rsid w:val="35F52AC6"/>
    <w:rsid w:val="366CDB68"/>
    <w:rsid w:val="36FBB67B"/>
    <w:rsid w:val="377CA672"/>
    <w:rsid w:val="37981F5B"/>
    <w:rsid w:val="37C0006F"/>
    <w:rsid w:val="382678F2"/>
    <w:rsid w:val="38571AF5"/>
    <w:rsid w:val="390036F0"/>
    <w:rsid w:val="392DB0C3"/>
    <w:rsid w:val="3969917A"/>
    <w:rsid w:val="3988B537"/>
    <w:rsid w:val="39EE8834"/>
    <w:rsid w:val="3A7F5ED6"/>
    <w:rsid w:val="3ADCF677"/>
    <w:rsid w:val="3AEBDD9D"/>
    <w:rsid w:val="3B192953"/>
    <w:rsid w:val="3B75D416"/>
    <w:rsid w:val="3BA5E273"/>
    <w:rsid w:val="3BB99320"/>
    <w:rsid w:val="3C901EC8"/>
    <w:rsid w:val="3CD72FDC"/>
    <w:rsid w:val="3CFEC15A"/>
    <w:rsid w:val="3D574DDF"/>
    <w:rsid w:val="3D7F7D81"/>
    <w:rsid w:val="3E25015E"/>
    <w:rsid w:val="3F6AF989"/>
    <w:rsid w:val="3FCB8DCE"/>
    <w:rsid w:val="403643B1"/>
    <w:rsid w:val="40553CC2"/>
    <w:rsid w:val="4097E343"/>
    <w:rsid w:val="41548F97"/>
    <w:rsid w:val="4226FC32"/>
    <w:rsid w:val="427B7EC2"/>
    <w:rsid w:val="42E34922"/>
    <w:rsid w:val="4325F5E4"/>
    <w:rsid w:val="4390B3D5"/>
    <w:rsid w:val="4394151D"/>
    <w:rsid w:val="43FC9C71"/>
    <w:rsid w:val="444410EC"/>
    <w:rsid w:val="4480A7BF"/>
    <w:rsid w:val="448D908C"/>
    <w:rsid w:val="4603CC72"/>
    <w:rsid w:val="465046C0"/>
    <w:rsid w:val="4748CC1F"/>
    <w:rsid w:val="47E51913"/>
    <w:rsid w:val="4811E86B"/>
    <w:rsid w:val="48C4ED34"/>
    <w:rsid w:val="495E8F48"/>
    <w:rsid w:val="49620811"/>
    <w:rsid w:val="496F547C"/>
    <w:rsid w:val="499A7B2C"/>
    <w:rsid w:val="4A042EA1"/>
    <w:rsid w:val="4A45E302"/>
    <w:rsid w:val="4A9EE95C"/>
    <w:rsid w:val="4B18216C"/>
    <w:rsid w:val="4B29B90F"/>
    <w:rsid w:val="4B38D83F"/>
    <w:rsid w:val="4B779EA2"/>
    <w:rsid w:val="4BFCEB8B"/>
    <w:rsid w:val="4C60C11C"/>
    <w:rsid w:val="4CA2FD0C"/>
    <w:rsid w:val="4D00BC7D"/>
    <w:rsid w:val="4D00EAB2"/>
    <w:rsid w:val="4D155B67"/>
    <w:rsid w:val="4D5E68C3"/>
    <w:rsid w:val="4D68F65F"/>
    <w:rsid w:val="4E0A190D"/>
    <w:rsid w:val="4E155A80"/>
    <w:rsid w:val="4E29602A"/>
    <w:rsid w:val="4E7A4E71"/>
    <w:rsid w:val="4EAC84A1"/>
    <w:rsid w:val="4EBA4645"/>
    <w:rsid w:val="4F6BB9E6"/>
    <w:rsid w:val="4FE4F3A5"/>
    <w:rsid w:val="5034A790"/>
    <w:rsid w:val="51256D1A"/>
    <w:rsid w:val="512A0294"/>
    <w:rsid w:val="516254AB"/>
    <w:rsid w:val="51B0BE27"/>
    <w:rsid w:val="527AF620"/>
    <w:rsid w:val="52875F43"/>
    <w:rsid w:val="529F4A96"/>
    <w:rsid w:val="53E4D507"/>
    <w:rsid w:val="540E77B1"/>
    <w:rsid w:val="540F592A"/>
    <w:rsid w:val="541D56A1"/>
    <w:rsid w:val="545743B8"/>
    <w:rsid w:val="562591C3"/>
    <w:rsid w:val="56902880"/>
    <w:rsid w:val="56DE89E5"/>
    <w:rsid w:val="5771596E"/>
    <w:rsid w:val="5818BC1D"/>
    <w:rsid w:val="588C9FC6"/>
    <w:rsid w:val="592674C0"/>
    <w:rsid w:val="59CE42AE"/>
    <w:rsid w:val="5A88F207"/>
    <w:rsid w:val="5AFF88E5"/>
    <w:rsid w:val="5B289B74"/>
    <w:rsid w:val="5B9798BD"/>
    <w:rsid w:val="5CEF47AF"/>
    <w:rsid w:val="5D2653A2"/>
    <w:rsid w:val="5E463B8B"/>
    <w:rsid w:val="5E57A100"/>
    <w:rsid w:val="5EF68FD7"/>
    <w:rsid w:val="5F47EB60"/>
    <w:rsid w:val="5F958858"/>
    <w:rsid w:val="5FA0B820"/>
    <w:rsid w:val="6144F7BB"/>
    <w:rsid w:val="618CC62F"/>
    <w:rsid w:val="61A476EE"/>
    <w:rsid w:val="61FC2BF1"/>
    <w:rsid w:val="629B5F65"/>
    <w:rsid w:val="62B7ABBC"/>
    <w:rsid w:val="636E0863"/>
    <w:rsid w:val="63CBFB61"/>
    <w:rsid w:val="63CD7271"/>
    <w:rsid w:val="6423FB4E"/>
    <w:rsid w:val="64786F9F"/>
    <w:rsid w:val="64AEC2A2"/>
    <w:rsid w:val="64C71DC9"/>
    <w:rsid w:val="64F364EC"/>
    <w:rsid w:val="6550602E"/>
    <w:rsid w:val="6570CA93"/>
    <w:rsid w:val="657EF3B9"/>
    <w:rsid w:val="65AAC0AA"/>
    <w:rsid w:val="66202441"/>
    <w:rsid w:val="664CDC7D"/>
    <w:rsid w:val="66B44E18"/>
    <w:rsid w:val="67521F16"/>
    <w:rsid w:val="68B31CA4"/>
    <w:rsid w:val="68C779DF"/>
    <w:rsid w:val="699D526A"/>
    <w:rsid w:val="69DF043D"/>
    <w:rsid w:val="6A0B2F7A"/>
    <w:rsid w:val="6A6646B5"/>
    <w:rsid w:val="6A674806"/>
    <w:rsid w:val="6A7B899C"/>
    <w:rsid w:val="6A7DC065"/>
    <w:rsid w:val="6AB00EF7"/>
    <w:rsid w:val="6AC3AD37"/>
    <w:rsid w:val="6AE0B4F4"/>
    <w:rsid w:val="6B2364EC"/>
    <w:rsid w:val="6B8E570E"/>
    <w:rsid w:val="6BB16E4C"/>
    <w:rsid w:val="6BC035F4"/>
    <w:rsid w:val="6BE58D5C"/>
    <w:rsid w:val="6C3BB15E"/>
    <w:rsid w:val="6C69811A"/>
    <w:rsid w:val="6CB4D997"/>
    <w:rsid w:val="6CDDE577"/>
    <w:rsid w:val="6D0D92C7"/>
    <w:rsid w:val="6EA39911"/>
    <w:rsid w:val="6EC26DAA"/>
    <w:rsid w:val="6ECF2C75"/>
    <w:rsid w:val="6F05C530"/>
    <w:rsid w:val="6F41BB2F"/>
    <w:rsid w:val="6F94C3AB"/>
    <w:rsid w:val="6FB22AF9"/>
    <w:rsid w:val="6FE1CB0A"/>
    <w:rsid w:val="7033901C"/>
    <w:rsid w:val="7079AB24"/>
    <w:rsid w:val="70A694A7"/>
    <w:rsid w:val="70DD99EA"/>
    <w:rsid w:val="718B05C8"/>
    <w:rsid w:val="719E0DCE"/>
    <w:rsid w:val="71A80C0C"/>
    <w:rsid w:val="71BA35A0"/>
    <w:rsid w:val="72092236"/>
    <w:rsid w:val="73260A19"/>
    <w:rsid w:val="74083F33"/>
    <w:rsid w:val="7481192C"/>
    <w:rsid w:val="748B45D7"/>
    <w:rsid w:val="74C74A31"/>
    <w:rsid w:val="74F0CCBA"/>
    <w:rsid w:val="756717E2"/>
    <w:rsid w:val="7568F511"/>
    <w:rsid w:val="7623E6F8"/>
    <w:rsid w:val="7625A3A4"/>
    <w:rsid w:val="76899A30"/>
    <w:rsid w:val="76962AFC"/>
    <w:rsid w:val="77288135"/>
    <w:rsid w:val="77C24638"/>
    <w:rsid w:val="77F9050A"/>
    <w:rsid w:val="78FF7F09"/>
    <w:rsid w:val="79270575"/>
    <w:rsid w:val="79296420"/>
    <w:rsid w:val="797D3F4A"/>
    <w:rsid w:val="7991F2EA"/>
    <w:rsid w:val="7A44FDE0"/>
    <w:rsid w:val="7B55F560"/>
    <w:rsid w:val="7BAA8C11"/>
    <w:rsid w:val="7C192C7D"/>
    <w:rsid w:val="7C264036"/>
    <w:rsid w:val="7C731CF2"/>
    <w:rsid w:val="7C95D08A"/>
    <w:rsid w:val="7CCCA91F"/>
    <w:rsid w:val="7DB8807C"/>
    <w:rsid w:val="7E304A0E"/>
    <w:rsid w:val="7E6B6EF3"/>
    <w:rsid w:val="7E7D4373"/>
    <w:rsid w:val="7F20A5F5"/>
    <w:rsid w:val="7F5239AF"/>
    <w:rsid w:val="7F70580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5BE47"/>
  <w15:chartTrackingRefBased/>
  <w15:docId w15:val="{449E2070-26D3-4C39-B546-70BAC57D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E2"/>
  </w:style>
  <w:style w:type="paragraph" w:styleId="Heading2">
    <w:name w:val="heading 2"/>
    <w:basedOn w:val="Normal"/>
    <w:next w:val="Normal"/>
    <w:link w:val="Heading2Char"/>
    <w:uiPriority w:val="9"/>
    <w:semiHidden/>
    <w:unhideWhenUsed/>
    <w:qFormat/>
    <w:rsid w:val="00DA1E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autoRedefine/>
    <w:unhideWhenUsed/>
    <w:qFormat/>
    <w:rsid w:val="00DA1E8F"/>
    <w:pPr>
      <w:keepNext w:val="0"/>
      <w:keepLines w:val="0"/>
      <w:numPr>
        <w:numId w:val="20"/>
      </w:numPr>
      <w:spacing w:before="200" w:line="240" w:lineRule="auto"/>
      <w:jc w:val="both"/>
      <w:outlineLvl w:val="2"/>
    </w:pPr>
    <w:rPr>
      <w:rFonts w:ascii="Arial" w:hAnsi="Arial"/>
      <w:color w:val="auto"/>
      <w:sz w:val="20"/>
      <w:szCs w:val="20"/>
      <w:lang w:bidi="ar-SA"/>
    </w:rPr>
  </w:style>
  <w:style w:type="paragraph" w:styleId="Heading4">
    <w:name w:val="heading 4"/>
    <w:basedOn w:val="Heading3"/>
    <w:next w:val="Normal"/>
    <w:link w:val="Heading4Char"/>
    <w:autoRedefine/>
    <w:uiPriority w:val="39"/>
    <w:unhideWhenUsed/>
    <w:qFormat/>
    <w:rsid w:val="00DA1E8F"/>
    <w:pPr>
      <w:numPr>
        <w:ilvl w:val="3"/>
      </w:numPr>
      <w:ind w:left="1872"/>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4E2"/>
  </w:style>
  <w:style w:type="paragraph" w:styleId="ListParagraph">
    <w:name w:val="List Paragraph"/>
    <w:basedOn w:val="Normal"/>
    <w:uiPriority w:val="34"/>
    <w:qFormat/>
    <w:rsid w:val="007C34E2"/>
    <w:pPr>
      <w:ind w:left="720"/>
      <w:contextualSpacing/>
    </w:pPr>
  </w:style>
  <w:style w:type="paragraph" w:styleId="CommentText">
    <w:name w:val="annotation text"/>
    <w:basedOn w:val="Normal"/>
    <w:link w:val="CommentTextChar"/>
    <w:uiPriority w:val="99"/>
    <w:unhideWhenUsed/>
    <w:rsid w:val="007C34E2"/>
    <w:pPr>
      <w:widowControl w:val="0"/>
      <w:spacing w:after="0" w:line="240" w:lineRule="auto"/>
    </w:pPr>
    <w:rPr>
      <w:rFonts w:eastAsiaTheme="minorEastAsia"/>
      <w:sz w:val="20"/>
      <w:szCs w:val="20"/>
      <w:lang w:bidi="ar-SA"/>
    </w:rPr>
  </w:style>
  <w:style w:type="character" w:customStyle="1" w:styleId="CommentTextChar">
    <w:name w:val="Comment Text Char"/>
    <w:basedOn w:val="DefaultParagraphFont"/>
    <w:link w:val="CommentText"/>
    <w:uiPriority w:val="99"/>
    <w:rsid w:val="007C34E2"/>
    <w:rPr>
      <w:rFonts w:eastAsiaTheme="minorEastAsia"/>
      <w:sz w:val="20"/>
      <w:szCs w:val="20"/>
      <w:lang w:bidi="ar-SA"/>
    </w:rPr>
  </w:style>
  <w:style w:type="character" w:styleId="CommentReference">
    <w:name w:val="annotation reference"/>
    <w:basedOn w:val="DefaultParagraphFont"/>
    <w:uiPriority w:val="99"/>
    <w:semiHidden/>
    <w:unhideWhenUsed/>
    <w:rsid w:val="007C34E2"/>
    <w:rPr>
      <w:sz w:val="16"/>
      <w:szCs w:val="16"/>
    </w:rPr>
  </w:style>
  <w:style w:type="character" w:styleId="Hyperlink">
    <w:name w:val="Hyperlink"/>
    <w:basedOn w:val="DefaultParagraphFont"/>
    <w:uiPriority w:val="99"/>
    <w:unhideWhenUsed/>
    <w:rsid w:val="00B05EEC"/>
    <w:rPr>
      <w:color w:val="0563C1" w:themeColor="hyperlink"/>
      <w:u w:val="single"/>
    </w:rPr>
  </w:style>
  <w:style w:type="character" w:styleId="UnresolvedMention">
    <w:name w:val="Unresolved Mention"/>
    <w:basedOn w:val="DefaultParagraphFont"/>
    <w:uiPriority w:val="99"/>
    <w:semiHidden/>
    <w:unhideWhenUsed/>
    <w:rsid w:val="00B05EE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05EEC"/>
    <w:pPr>
      <w:widowControl/>
      <w:spacing w:after="160"/>
    </w:pPr>
    <w:rPr>
      <w:rFonts w:eastAsiaTheme="minorHAnsi"/>
      <w:b/>
      <w:bCs/>
      <w:lang w:bidi="he-IL"/>
    </w:rPr>
  </w:style>
  <w:style w:type="character" w:customStyle="1" w:styleId="CommentSubjectChar">
    <w:name w:val="Comment Subject Char"/>
    <w:basedOn w:val="CommentTextChar"/>
    <w:link w:val="CommentSubject"/>
    <w:uiPriority w:val="99"/>
    <w:semiHidden/>
    <w:rsid w:val="00B05EEC"/>
    <w:rPr>
      <w:rFonts w:eastAsiaTheme="minorEastAsia"/>
      <w:b/>
      <w:bCs/>
      <w:sz w:val="20"/>
      <w:szCs w:val="20"/>
      <w:lang w:bidi="ar-SA"/>
    </w:rPr>
  </w:style>
  <w:style w:type="paragraph" w:styleId="Revision">
    <w:name w:val="Revision"/>
    <w:hidden/>
    <w:uiPriority w:val="99"/>
    <w:semiHidden/>
    <w:rsid w:val="00A404D3"/>
    <w:pPr>
      <w:spacing w:after="0" w:line="240" w:lineRule="auto"/>
    </w:pPr>
  </w:style>
  <w:style w:type="paragraph" w:styleId="Footer">
    <w:name w:val="footer"/>
    <w:basedOn w:val="Normal"/>
    <w:link w:val="FooterChar"/>
    <w:uiPriority w:val="99"/>
    <w:unhideWhenUsed/>
    <w:rsid w:val="00517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AC4"/>
  </w:style>
  <w:style w:type="paragraph" w:customStyle="1" w:styleId="FFWLevel1">
    <w:name w:val="FFW Level 1"/>
    <w:basedOn w:val="Normal"/>
    <w:next w:val="FFWLevel2"/>
    <w:qFormat/>
    <w:locked/>
    <w:rsid w:val="00C626C7"/>
    <w:pPr>
      <w:keepNext/>
      <w:numPr>
        <w:numId w:val="12"/>
      </w:numPr>
      <w:spacing w:before="320" w:after="0" w:line="320" w:lineRule="atLeast"/>
      <w:outlineLvl w:val="0"/>
    </w:pPr>
    <w:rPr>
      <w:rFonts w:ascii="Times New Roman" w:eastAsia="Times New Roman" w:hAnsi="Times New Roman" w:cs="Times New Roman"/>
      <w:b/>
      <w:sz w:val="23"/>
      <w:szCs w:val="24"/>
      <w:lang w:val="en-GB" w:eastAsia="en-GB" w:bidi="ar-SA"/>
    </w:rPr>
  </w:style>
  <w:style w:type="paragraph" w:customStyle="1" w:styleId="FFWLevel2">
    <w:name w:val="FFW Level 2"/>
    <w:basedOn w:val="Normal"/>
    <w:qFormat/>
    <w:locked/>
    <w:rsid w:val="00C626C7"/>
    <w:pPr>
      <w:numPr>
        <w:ilvl w:val="1"/>
        <w:numId w:val="12"/>
      </w:numPr>
      <w:spacing w:before="320" w:after="0" w:line="320" w:lineRule="atLeast"/>
      <w:outlineLvl w:val="1"/>
    </w:pPr>
    <w:rPr>
      <w:rFonts w:ascii="Times New Roman" w:eastAsia="Times New Roman" w:hAnsi="Times New Roman" w:cs="Times New Roman"/>
      <w:sz w:val="23"/>
      <w:szCs w:val="24"/>
      <w:lang w:val="en-GB" w:eastAsia="en-GB" w:bidi="ar-SA"/>
    </w:rPr>
  </w:style>
  <w:style w:type="paragraph" w:customStyle="1" w:styleId="FFWLevel3">
    <w:name w:val="FFW Level 3"/>
    <w:basedOn w:val="Normal"/>
    <w:qFormat/>
    <w:locked/>
    <w:rsid w:val="00C626C7"/>
    <w:pPr>
      <w:numPr>
        <w:ilvl w:val="2"/>
        <w:numId w:val="12"/>
      </w:numPr>
      <w:spacing w:before="320" w:after="0" w:line="320" w:lineRule="atLeast"/>
    </w:pPr>
    <w:rPr>
      <w:rFonts w:ascii="Times New Roman" w:eastAsia="Times New Roman" w:hAnsi="Times New Roman" w:cs="Times New Roman"/>
      <w:sz w:val="23"/>
      <w:szCs w:val="24"/>
      <w:lang w:val="en-GB" w:eastAsia="en-GB" w:bidi="ar-SA"/>
    </w:rPr>
  </w:style>
  <w:style w:type="paragraph" w:customStyle="1" w:styleId="FFWLevel4">
    <w:name w:val="FFW Level 4"/>
    <w:basedOn w:val="Normal"/>
    <w:qFormat/>
    <w:locked/>
    <w:rsid w:val="00C626C7"/>
    <w:pPr>
      <w:numPr>
        <w:ilvl w:val="3"/>
        <w:numId w:val="12"/>
      </w:numPr>
      <w:spacing w:before="320" w:after="0" w:line="320" w:lineRule="atLeast"/>
    </w:pPr>
    <w:rPr>
      <w:rFonts w:ascii="Times New Roman" w:eastAsia="Times New Roman" w:hAnsi="Times New Roman" w:cs="Times New Roman"/>
      <w:sz w:val="23"/>
      <w:szCs w:val="24"/>
      <w:lang w:val="en-GB" w:eastAsia="en-GB" w:bidi="ar-SA"/>
    </w:rPr>
  </w:style>
  <w:style w:type="paragraph" w:customStyle="1" w:styleId="FFWLevel5">
    <w:name w:val="FFW Level 5"/>
    <w:basedOn w:val="Normal"/>
    <w:qFormat/>
    <w:locked/>
    <w:rsid w:val="00C626C7"/>
    <w:pPr>
      <w:numPr>
        <w:ilvl w:val="4"/>
        <w:numId w:val="12"/>
      </w:numPr>
      <w:spacing w:before="320" w:after="0" w:line="320" w:lineRule="atLeast"/>
    </w:pPr>
    <w:rPr>
      <w:rFonts w:ascii="Times New Roman" w:eastAsia="Times New Roman" w:hAnsi="Times New Roman" w:cs="Times New Roman"/>
      <w:sz w:val="23"/>
      <w:szCs w:val="24"/>
      <w:lang w:val="en-GB" w:eastAsia="en-GB" w:bidi="ar-SA"/>
    </w:rPr>
  </w:style>
  <w:style w:type="paragraph" w:customStyle="1" w:styleId="FFWLevel6">
    <w:name w:val="FFW Level 6"/>
    <w:basedOn w:val="Normal"/>
    <w:qFormat/>
    <w:locked/>
    <w:rsid w:val="00C626C7"/>
    <w:pPr>
      <w:numPr>
        <w:ilvl w:val="5"/>
        <w:numId w:val="12"/>
      </w:numPr>
      <w:spacing w:before="320" w:after="0" w:line="320" w:lineRule="atLeast"/>
    </w:pPr>
    <w:rPr>
      <w:rFonts w:ascii="Times New Roman" w:eastAsia="Times New Roman" w:hAnsi="Times New Roman" w:cs="Times New Roman"/>
      <w:sz w:val="23"/>
      <w:szCs w:val="24"/>
      <w:lang w:val="en-GB" w:eastAsia="en-GB" w:bidi="ar-SA"/>
    </w:rPr>
  </w:style>
  <w:style w:type="character" w:customStyle="1" w:styleId="Heading3Char">
    <w:name w:val="Heading 3 Char"/>
    <w:basedOn w:val="DefaultParagraphFont"/>
    <w:link w:val="Heading3"/>
    <w:rsid w:val="00DA1E8F"/>
    <w:rPr>
      <w:rFonts w:ascii="Arial" w:eastAsiaTheme="majorEastAsia" w:hAnsi="Arial" w:cstheme="majorBidi"/>
      <w:sz w:val="20"/>
      <w:szCs w:val="20"/>
      <w:lang w:bidi="ar-SA"/>
    </w:rPr>
  </w:style>
  <w:style w:type="character" w:customStyle="1" w:styleId="Heading4Char">
    <w:name w:val="Heading 4 Char"/>
    <w:basedOn w:val="DefaultParagraphFont"/>
    <w:link w:val="Heading4"/>
    <w:uiPriority w:val="39"/>
    <w:rsid w:val="00DA1E8F"/>
    <w:rPr>
      <w:rFonts w:ascii="Arial" w:eastAsiaTheme="majorEastAsia" w:hAnsi="Arial" w:cstheme="majorBidi"/>
      <w:sz w:val="20"/>
      <w:szCs w:val="20"/>
      <w:lang w:bidi="ar-SA"/>
    </w:rPr>
  </w:style>
  <w:style w:type="character" w:customStyle="1" w:styleId="Heading2Char">
    <w:name w:val="Heading 2 Char"/>
    <w:basedOn w:val="DefaultParagraphFont"/>
    <w:link w:val="Heading2"/>
    <w:uiPriority w:val="9"/>
    <w:semiHidden/>
    <w:rsid w:val="00DA1E8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35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66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6F9"/>
    <w:rPr>
      <w:sz w:val="20"/>
      <w:szCs w:val="20"/>
    </w:rPr>
  </w:style>
  <w:style w:type="character" w:styleId="FootnoteReference">
    <w:name w:val="footnote reference"/>
    <w:basedOn w:val="DefaultParagraphFont"/>
    <w:uiPriority w:val="99"/>
    <w:semiHidden/>
    <w:unhideWhenUsed/>
    <w:rsid w:val="00326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02844">
      <w:bodyDiv w:val="1"/>
      <w:marLeft w:val="0"/>
      <w:marRight w:val="0"/>
      <w:marTop w:val="0"/>
      <w:marBottom w:val="0"/>
      <w:divBdr>
        <w:top w:val="none" w:sz="0" w:space="0" w:color="auto"/>
        <w:left w:val="none" w:sz="0" w:space="0" w:color="auto"/>
        <w:bottom w:val="none" w:sz="0" w:space="0" w:color="auto"/>
        <w:right w:val="none" w:sz="0" w:space="0" w:color="auto"/>
      </w:divBdr>
      <w:divsChild>
        <w:div w:id="155414003">
          <w:marLeft w:val="0"/>
          <w:marRight w:val="0"/>
          <w:marTop w:val="0"/>
          <w:marBottom w:val="0"/>
          <w:divBdr>
            <w:top w:val="none" w:sz="0" w:space="0" w:color="auto"/>
            <w:left w:val="none" w:sz="0" w:space="0" w:color="auto"/>
            <w:bottom w:val="none" w:sz="0" w:space="0" w:color="auto"/>
            <w:right w:val="none" w:sz="0" w:space="0" w:color="auto"/>
          </w:divBdr>
          <w:divsChild>
            <w:div w:id="18141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3469">
      <w:bodyDiv w:val="1"/>
      <w:marLeft w:val="0"/>
      <w:marRight w:val="0"/>
      <w:marTop w:val="0"/>
      <w:marBottom w:val="0"/>
      <w:divBdr>
        <w:top w:val="none" w:sz="0" w:space="0" w:color="auto"/>
        <w:left w:val="none" w:sz="0" w:space="0" w:color="auto"/>
        <w:bottom w:val="none" w:sz="0" w:space="0" w:color="auto"/>
        <w:right w:val="none" w:sz="0" w:space="0" w:color="auto"/>
      </w:divBdr>
    </w:div>
    <w:div w:id="989945948">
      <w:bodyDiv w:val="1"/>
      <w:marLeft w:val="0"/>
      <w:marRight w:val="0"/>
      <w:marTop w:val="0"/>
      <w:marBottom w:val="0"/>
      <w:divBdr>
        <w:top w:val="none" w:sz="0" w:space="0" w:color="auto"/>
        <w:left w:val="none" w:sz="0" w:space="0" w:color="auto"/>
        <w:bottom w:val="none" w:sz="0" w:space="0" w:color="auto"/>
        <w:right w:val="none" w:sz="0" w:space="0" w:color="auto"/>
      </w:divBdr>
      <w:divsChild>
        <w:div w:id="259721104">
          <w:marLeft w:val="0"/>
          <w:marRight w:val="0"/>
          <w:marTop w:val="0"/>
          <w:marBottom w:val="0"/>
          <w:divBdr>
            <w:top w:val="none" w:sz="0" w:space="0" w:color="auto"/>
            <w:left w:val="none" w:sz="0" w:space="0" w:color="auto"/>
            <w:bottom w:val="none" w:sz="0" w:space="0" w:color="auto"/>
            <w:right w:val="none" w:sz="0" w:space="0" w:color="auto"/>
          </w:divBdr>
          <w:divsChild>
            <w:div w:id="18575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1852">
      <w:bodyDiv w:val="1"/>
      <w:marLeft w:val="0"/>
      <w:marRight w:val="0"/>
      <w:marTop w:val="0"/>
      <w:marBottom w:val="0"/>
      <w:divBdr>
        <w:top w:val="none" w:sz="0" w:space="0" w:color="auto"/>
        <w:left w:val="none" w:sz="0" w:space="0" w:color="auto"/>
        <w:bottom w:val="none" w:sz="0" w:space="0" w:color="auto"/>
        <w:right w:val="none" w:sz="0" w:space="0" w:color="auto"/>
      </w:divBdr>
    </w:div>
    <w:div w:id="1398169246">
      <w:bodyDiv w:val="1"/>
      <w:marLeft w:val="0"/>
      <w:marRight w:val="0"/>
      <w:marTop w:val="0"/>
      <w:marBottom w:val="0"/>
      <w:divBdr>
        <w:top w:val="none" w:sz="0" w:space="0" w:color="auto"/>
        <w:left w:val="none" w:sz="0" w:space="0" w:color="auto"/>
        <w:bottom w:val="none" w:sz="0" w:space="0" w:color="auto"/>
        <w:right w:val="none" w:sz="0" w:space="0" w:color="auto"/>
      </w:divBdr>
    </w:div>
    <w:div w:id="185568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ro.com/education-and-support/contact-u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aligntec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erosupport@alignte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tero.com/education-and-support/contact-us" TargetMode="External"/><Relationship Id="rId4" Type="http://schemas.openxmlformats.org/officeDocument/2006/relationships/settings" Target="settings.xml"/><Relationship Id="rId9" Type="http://schemas.openxmlformats.org/officeDocument/2006/relationships/hyperlink" Target="mailto:iterosupport@alignte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3CBE9-D9E7-43BD-9624-C620F885678B}">
  <ds:schemaRefs>
    <ds:schemaRef ds:uri="http://schemas.openxmlformats.org/officeDocument/2006/bibliography"/>
  </ds:schemaRefs>
</ds:datastoreItem>
</file>

<file path=docMetadata/LabelInfo.xml><?xml version="1.0" encoding="utf-8"?>
<clbl:labelList xmlns:clbl="http://schemas.microsoft.com/office/2020/mipLabelMetadata">
  <clbl:label id="{9ac44c96-980a-481b-ae23-d8f56b82c605}" enabled="0" method="" siteId="{9ac44c96-980a-481b-ae23-d8f56b82c605}"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5</Pages>
  <Words>2828</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Patt</dc:creator>
  <cp:keywords/>
  <dc:description/>
  <cp:lastModifiedBy>Rajesh Singh</cp:lastModifiedBy>
  <cp:revision>7</cp:revision>
  <dcterms:created xsi:type="dcterms:W3CDTF">2026-02-16T09:12:00Z</dcterms:created>
  <dcterms:modified xsi:type="dcterms:W3CDTF">2026-03-20T16:24:00Z</dcterms:modified>
</cp:coreProperties>
</file>