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C08E" w14:textId="0E32965D" w:rsidR="007C34E2" w:rsidRPr="003B003C" w:rsidRDefault="348B4FF4" w:rsidP="006724B7">
      <w:pPr>
        <w:jc w:val="center"/>
        <w:rPr>
          <w:b/>
          <w:bCs/>
          <w:sz w:val="20"/>
          <w:szCs w:val="20"/>
          <w:lang w:val="de-DE"/>
        </w:rPr>
      </w:pPr>
      <w:bookmarkStart w:id="0" w:name="_Hlk85020782"/>
      <w:r>
        <w:rPr>
          <w:b/>
          <w:bCs/>
          <w:sz w:val="20"/>
          <w:szCs w:val="20"/>
          <w:lang w:val="de-DE"/>
        </w:rPr>
        <w:t xml:space="preserve">GLOBALE RICHTLINIE VON ALIGN ZUR ÜBERTRAGUNG ODER </w:t>
      </w:r>
      <w:r w:rsidR="003B003C">
        <w:rPr>
          <w:b/>
          <w:bCs/>
          <w:sz w:val="20"/>
          <w:szCs w:val="20"/>
          <w:lang w:val="de-DE"/>
        </w:rPr>
        <w:br/>
      </w:r>
      <w:r>
        <w:rPr>
          <w:b/>
          <w:bCs/>
          <w:sz w:val="20"/>
          <w:szCs w:val="20"/>
          <w:lang w:val="de-DE"/>
        </w:rPr>
        <w:t xml:space="preserve">ZUM WEITERVERKAUF VON ITERO INTRAORALSCANNERN </w:t>
      </w:r>
      <w:r>
        <w:rPr>
          <w:b/>
          <w:bCs/>
          <w:sz w:val="20"/>
          <w:szCs w:val="20"/>
          <w:lang w:val="de-DE"/>
        </w:rPr>
        <w:br/>
        <w:t>(„GLOBALE ÜBERTRAGUNGSRICHTLINIE“)</w:t>
      </w:r>
    </w:p>
    <w:p w14:paraId="76970E6D" w14:textId="2C645530" w:rsidR="0022513A" w:rsidRPr="003B003C" w:rsidRDefault="51B0BE27" w:rsidP="003B003C">
      <w:pPr>
        <w:spacing w:line="240" w:lineRule="auto"/>
        <w:jc w:val="both"/>
        <w:rPr>
          <w:b/>
          <w:bCs/>
          <w:sz w:val="20"/>
          <w:szCs w:val="20"/>
          <w:u w:val="single"/>
          <w:lang w:val="de-DE"/>
        </w:rPr>
      </w:pPr>
      <w:r>
        <w:rPr>
          <w:b/>
          <w:bCs/>
          <w:sz w:val="20"/>
          <w:szCs w:val="20"/>
          <w:u w:val="single"/>
          <w:lang w:val="de-DE"/>
        </w:rPr>
        <w:t>WICHTIG</w:t>
      </w:r>
      <w:r>
        <w:rPr>
          <w:b/>
          <w:bCs/>
          <w:sz w:val="20"/>
          <w:szCs w:val="20"/>
          <w:lang w:val="de-DE"/>
        </w:rPr>
        <w:t>:</w:t>
      </w:r>
      <w:r>
        <w:rPr>
          <w:sz w:val="20"/>
          <w:szCs w:val="20"/>
          <w:lang w:val="de-DE"/>
        </w:rPr>
        <w:t xml:space="preserve"> Wenn Sie Ihre(n) iTero Intraoralscanner verkaufen oder an einen neuen Besitzer übertragen möchten, kann Align die Aktivierung eines iTero Intraoralscanners, den Sie an Dritte verkaufen oder übertragen, nur unterstützen, wenn dieser Verkauf oder diese Übertragung des iTero Intraoralscanners alle rechtlichen Anforderungen sowie die Richtlinie und Verfahren von Align gemäß dieser Globalen Übertragungsrichtlinie erfüllt. Es ist wichtig, dass Sie die Globale Übertragungsrichtlinie lesen und verstehen, bevor Sie Ihren iTero Intraoralscanner kaufen bzw. bevor Sie Ihren iTero Intraoralscanner verkaufen oder übertragen. </w:t>
      </w:r>
    </w:p>
    <w:p w14:paraId="2CC65830" w14:textId="6CA0F9AB" w:rsidR="00F66F94" w:rsidRPr="00DE22CD" w:rsidRDefault="007322E3" w:rsidP="003B003C">
      <w:pPr>
        <w:pStyle w:val="ListParagraph"/>
        <w:numPr>
          <w:ilvl w:val="0"/>
          <w:numId w:val="35"/>
        </w:numPr>
        <w:spacing w:line="240" w:lineRule="auto"/>
        <w:rPr>
          <w:b/>
          <w:bCs/>
          <w:sz w:val="20"/>
          <w:szCs w:val="20"/>
          <w:u w:val="single"/>
        </w:rPr>
      </w:pPr>
      <w:r>
        <w:rPr>
          <w:b/>
          <w:bCs/>
          <w:sz w:val="20"/>
          <w:szCs w:val="20"/>
          <w:u w:val="single"/>
          <w:lang w:val="de-DE"/>
        </w:rPr>
        <w:t>ÜBERSICHT</w:t>
      </w:r>
    </w:p>
    <w:p w14:paraId="03CBBFE2" w14:textId="06880E6F" w:rsidR="007575EB" w:rsidRPr="003B003C" w:rsidRDefault="007575EB" w:rsidP="003B003C">
      <w:pPr>
        <w:pStyle w:val="ListParagraph"/>
        <w:numPr>
          <w:ilvl w:val="1"/>
          <w:numId w:val="35"/>
        </w:numPr>
        <w:spacing w:line="240" w:lineRule="auto"/>
        <w:jc w:val="both"/>
        <w:rPr>
          <w:lang w:val="de-DE"/>
        </w:rPr>
      </w:pPr>
      <w:r>
        <w:rPr>
          <w:sz w:val="20"/>
          <w:szCs w:val="20"/>
          <w:lang w:val="de-DE"/>
        </w:rPr>
        <w:t xml:space="preserve">Für die Zwecke dieser Globalen Übertragungsrichtlinie: (i) werden ein bzw. mehrere iTero Intraoralscanner, die gemäß dieser Globalen Übertragungsrichtlinie übertragen werden, als „iTero Intraoralscanner“ bezeichnet; (ii) wird jeder Verkauf oder jede Übertragung (mit oder ohne Vergütung) eines iTero Intraoralscanners ohne Beteiligung von Align, seiner Tochtergesellschaften, verbundenen Unternehmen oder autorisierten Vertriebshändler als „Übertragung“ bezeichnet; und (iii) wird die natürliche/juristische Person, die den iTero Intraoralscanner verkauft oder überträgt, als „Verkäufer“ und die natürliche/juristische Person, die den iTero Intraoralscanner kauft oder erhält, als „Käufer“ bezeichnet. </w:t>
      </w:r>
    </w:p>
    <w:p w14:paraId="6472544A" w14:textId="6C0007EF" w:rsidR="007C34E2" w:rsidRPr="003B003C" w:rsidRDefault="007C34E2" w:rsidP="003B003C">
      <w:pPr>
        <w:pStyle w:val="ListParagraph"/>
        <w:numPr>
          <w:ilvl w:val="1"/>
          <w:numId w:val="35"/>
        </w:numPr>
        <w:spacing w:line="240" w:lineRule="auto"/>
        <w:jc w:val="both"/>
        <w:rPr>
          <w:sz w:val="20"/>
          <w:szCs w:val="20"/>
          <w:lang w:val="de-DE"/>
        </w:rPr>
      </w:pPr>
      <w:r>
        <w:rPr>
          <w:sz w:val="20"/>
          <w:szCs w:val="20"/>
          <w:lang w:val="de-DE"/>
        </w:rPr>
        <w:t xml:space="preserve">Wir bei Align sind bestrebt, unseren Kunden und ihren Patienten qualitativ hochwertige Produkte und Dienstleistungen bereitzustellen. Als weltweiter Anbieter für Medizinprodukte müssen wir bei Align Gesetze, Vorschriften, Datenschutzrichtlinien und -standards in jedem Land einhalten, in dem wir tätig sind (zusammen die „geltenden Gesetze“). </w:t>
      </w:r>
    </w:p>
    <w:p w14:paraId="67347815" w14:textId="2EB792B6" w:rsidR="00EC753A" w:rsidRPr="003B003C" w:rsidRDefault="00A30E67" w:rsidP="003B003C">
      <w:pPr>
        <w:pStyle w:val="ListParagraph"/>
        <w:numPr>
          <w:ilvl w:val="1"/>
          <w:numId w:val="35"/>
        </w:numPr>
        <w:spacing w:line="240" w:lineRule="auto"/>
        <w:jc w:val="both"/>
        <w:rPr>
          <w:spacing w:val="-3"/>
          <w:sz w:val="20"/>
          <w:szCs w:val="20"/>
          <w:lang w:val="de-DE"/>
        </w:rPr>
      </w:pPr>
      <w:r w:rsidRPr="003B003C">
        <w:rPr>
          <w:spacing w:val="-3"/>
          <w:sz w:val="20"/>
          <w:szCs w:val="20"/>
          <w:lang w:val="de-DE"/>
        </w:rPr>
        <w:t>iTero Intraoralscanner werden in vielen Ländern als Medizinprodukte der Klasse II reguliert und die Übertragung eines iTero Intraoralscanners ist eine regulierte Tätigkeit. Um sicherzustellen, dass alle iTero Intraoralscanner gemäß geltenden Gesetzen und den professionellen Standards von Align übertragen werden, unterstützen wir nur in besonderen Situationen Übertragungen von gebrauchten iTero Intraoralscannern.</w:t>
      </w:r>
    </w:p>
    <w:p w14:paraId="70EE152B" w14:textId="7CCF7447" w:rsidR="006D5444" w:rsidRPr="003B003C" w:rsidRDefault="3AEBDD9D" w:rsidP="003B003C">
      <w:pPr>
        <w:pStyle w:val="ListParagraph"/>
        <w:numPr>
          <w:ilvl w:val="1"/>
          <w:numId w:val="35"/>
        </w:numPr>
        <w:spacing w:line="240" w:lineRule="auto"/>
        <w:jc w:val="both"/>
        <w:rPr>
          <w:sz w:val="20"/>
          <w:szCs w:val="20"/>
          <w:lang w:val="de-DE"/>
        </w:rPr>
      </w:pPr>
      <w:r>
        <w:rPr>
          <w:sz w:val="20"/>
          <w:szCs w:val="20"/>
          <w:lang w:val="de-DE"/>
        </w:rPr>
        <w:t xml:space="preserve">Wenn Sie einen iTero Intraoralscanner kaufen möchten, empfehlen wir Ihnen, ihn direkt bei Align oder einem autorisierten Vertriebshändler von Align zu erwerben. </w:t>
      </w:r>
    </w:p>
    <w:p w14:paraId="6AFF1765" w14:textId="7F3DB159" w:rsidR="004E13DC" w:rsidRPr="003B003C" w:rsidRDefault="137B0EA8" w:rsidP="003B003C">
      <w:pPr>
        <w:pStyle w:val="ListParagraph"/>
        <w:numPr>
          <w:ilvl w:val="1"/>
          <w:numId w:val="35"/>
        </w:numPr>
        <w:spacing w:line="240" w:lineRule="auto"/>
        <w:jc w:val="both"/>
        <w:rPr>
          <w:sz w:val="20"/>
          <w:szCs w:val="20"/>
          <w:lang w:val="de-DE"/>
        </w:rPr>
      </w:pPr>
      <w:r>
        <w:rPr>
          <w:sz w:val="20"/>
          <w:szCs w:val="20"/>
          <w:lang w:val="de-DE"/>
        </w:rPr>
        <w:t xml:space="preserve">Bitte beachten Sie, dass sich eine Übertragung des iTero Intraoralscanners nur auf das Gerät, also die Hardware, bezieht. Die iTero Softwarelizenz ist persönlich und darf vom Verkäufer nicht übertragen werden. Bei einer unterstützten Übertragung gemäß dieser Globalen Übertragungsrichtlinie gewährt Align dem Käufer eine neue iTero Softwarelizenz für den übertragenen iTero Intraoralscanner, wie im Übertragungsprozess beschrieben. </w:t>
      </w:r>
    </w:p>
    <w:p w14:paraId="3611189B" w14:textId="7BF36BA9" w:rsidR="00CE06FA" w:rsidRPr="003B003C" w:rsidRDefault="0546377C" w:rsidP="003B003C">
      <w:pPr>
        <w:pStyle w:val="ListParagraph"/>
        <w:numPr>
          <w:ilvl w:val="1"/>
          <w:numId w:val="35"/>
        </w:numPr>
        <w:spacing w:line="240" w:lineRule="auto"/>
        <w:jc w:val="both"/>
        <w:rPr>
          <w:b/>
          <w:bCs/>
          <w:sz w:val="20"/>
          <w:szCs w:val="20"/>
          <w:lang w:val="de-DE"/>
        </w:rPr>
      </w:pPr>
      <w:r>
        <w:rPr>
          <w:b/>
          <w:bCs/>
          <w:sz w:val="20"/>
          <w:szCs w:val="20"/>
          <w:lang w:val="de-DE"/>
        </w:rPr>
        <w:t xml:space="preserve">Alle potenziellen Verkäufer und Käufer müssen sich an ihren Align Vertreter wenden oder Align unter </w:t>
      </w:r>
      <w:hyperlink r:id="rId8">
        <w:r>
          <w:rPr>
            <w:rStyle w:val="Hyperlink"/>
            <w:b/>
            <w:bCs/>
            <w:sz w:val="20"/>
            <w:szCs w:val="20"/>
            <w:lang w:val="de-DE"/>
          </w:rPr>
          <w:t>https://itero.com/education-and-support/contact-us</w:t>
        </w:r>
      </w:hyperlink>
      <w:r>
        <w:rPr>
          <w:b/>
          <w:bCs/>
          <w:sz w:val="20"/>
          <w:szCs w:val="20"/>
          <w:lang w:val="de-DE"/>
        </w:rPr>
        <w:t xml:space="preserve"> oder </w:t>
      </w:r>
      <w:hyperlink r:id="rId9">
        <w:r>
          <w:rPr>
            <w:rStyle w:val="Hyperlink"/>
            <w:b/>
            <w:bCs/>
            <w:sz w:val="20"/>
            <w:szCs w:val="20"/>
            <w:lang w:val="de-DE"/>
          </w:rPr>
          <w:t>iterosupport@aligntech.com</w:t>
        </w:r>
      </w:hyperlink>
      <w:r>
        <w:rPr>
          <w:b/>
          <w:bCs/>
          <w:sz w:val="20"/>
          <w:szCs w:val="20"/>
          <w:lang w:val="de-DE"/>
        </w:rPr>
        <w:t xml:space="preserve"> kontaktieren, um </w:t>
      </w:r>
      <w:r>
        <w:rPr>
          <w:b/>
          <w:bCs/>
          <w:sz w:val="20"/>
          <w:szCs w:val="20"/>
          <w:u w:val="single"/>
          <w:lang w:val="de-DE"/>
        </w:rPr>
        <w:t>vor</w:t>
      </w:r>
      <w:r>
        <w:rPr>
          <w:b/>
          <w:bCs/>
          <w:sz w:val="20"/>
          <w:szCs w:val="20"/>
          <w:lang w:val="de-DE"/>
        </w:rPr>
        <w:t xml:space="preserve"> der Übertragung wichtige Informationen zum Übertragungsprozess und zur Einhaltung dieser Globalen Übertragungsrichtlinie zu erhalten.</w:t>
      </w:r>
    </w:p>
    <w:p w14:paraId="28C388E1" w14:textId="528280F5" w:rsidR="009E79E3" w:rsidRPr="009800D5" w:rsidRDefault="2F0340D4" w:rsidP="003B003C">
      <w:pPr>
        <w:pStyle w:val="ListParagraph"/>
        <w:numPr>
          <w:ilvl w:val="0"/>
          <w:numId w:val="35"/>
        </w:numPr>
        <w:spacing w:line="240" w:lineRule="auto"/>
        <w:rPr>
          <w:b/>
          <w:bCs/>
          <w:sz w:val="20"/>
          <w:szCs w:val="20"/>
          <w:u w:val="single"/>
        </w:rPr>
      </w:pPr>
      <w:r>
        <w:rPr>
          <w:b/>
          <w:bCs/>
          <w:sz w:val="20"/>
          <w:szCs w:val="20"/>
          <w:u w:val="single"/>
          <w:lang w:val="de-DE"/>
        </w:rPr>
        <w:t>UNTERSTÜTZTE ÜBERTRAGUNGEN</w:t>
      </w:r>
      <w:r w:rsidR="003B003C">
        <w:rPr>
          <w:b/>
          <w:bCs/>
          <w:sz w:val="20"/>
          <w:szCs w:val="20"/>
          <w:u w:val="single"/>
          <w:lang w:val="de-DE"/>
        </w:rPr>
        <w:t xml:space="preserve"> </w:t>
      </w:r>
    </w:p>
    <w:p w14:paraId="555E3B61" w14:textId="78907F9F" w:rsidR="00BF1483" w:rsidRPr="003B003C" w:rsidRDefault="35F52AC6" w:rsidP="003B003C">
      <w:pPr>
        <w:pStyle w:val="ListParagraph"/>
        <w:numPr>
          <w:ilvl w:val="1"/>
          <w:numId w:val="35"/>
        </w:numPr>
        <w:spacing w:line="240" w:lineRule="auto"/>
        <w:jc w:val="both"/>
        <w:rPr>
          <w:sz w:val="20"/>
          <w:szCs w:val="20"/>
          <w:lang w:val="de-DE"/>
        </w:rPr>
      </w:pPr>
      <w:r>
        <w:rPr>
          <w:sz w:val="20"/>
          <w:szCs w:val="20"/>
          <w:lang w:val="de-DE"/>
        </w:rPr>
        <w:t>Sofern eine Übertragung keine „nicht unterstützte Übertragung“ gemäß nachstehender Definition ist, unterstützt Align die Übertragung eines iTero Intraoralscanners an einen Käufer nur, wenn die Übertragung gemäß den hierin dargelegten Bedingungen erfolgt (eine „unterstützte Übertragung“), einschließlich der folgenden:</w:t>
      </w:r>
      <w:r w:rsidR="003B003C">
        <w:rPr>
          <w:sz w:val="20"/>
          <w:szCs w:val="20"/>
          <w:lang w:val="de-DE"/>
        </w:rPr>
        <w:t xml:space="preserve"> </w:t>
      </w:r>
    </w:p>
    <w:p w14:paraId="6C11A139" w14:textId="063527E4" w:rsidR="00AC75BA" w:rsidRPr="003B003C" w:rsidRDefault="169F3386" w:rsidP="003B003C">
      <w:pPr>
        <w:pStyle w:val="ListParagraph"/>
        <w:numPr>
          <w:ilvl w:val="2"/>
          <w:numId w:val="35"/>
        </w:numPr>
        <w:spacing w:line="240" w:lineRule="auto"/>
        <w:jc w:val="both"/>
        <w:rPr>
          <w:sz w:val="20"/>
          <w:szCs w:val="20"/>
          <w:lang w:val="de-DE"/>
        </w:rPr>
      </w:pPr>
      <w:r>
        <w:rPr>
          <w:sz w:val="20"/>
          <w:szCs w:val="20"/>
          <w:lang w:val="de-DE"/>
        </w:rPr>
        <w:t xml:space="preserve">Align hat keinen Grund zur Annahme, dass die Übertragung gegen die geltenden Gesetze des Landes verstößt, in dem die Übertragung stattfindet. </w:t>
      </w:r>
    </w:p>
    <w:p w14:paraId="7A26387D" w14:textId="5D5FFE47" w:rsidR="00491364" w:rsidRPr="003B003C" w:rsidRDefault="65AAC0AA" w:rsidP="003B003C">
      <w:pPr>
        <w:pStyle w:val="ListParagraph"/>
        <w:numPr>
          <w:ilvl w:val="2"/>
          <w:numId w:val="35"/>
        </w:numPr>
        <w:spacing w:line="240" w:lineRule="auto"/>
        <w:jc w:val="both"/>
        <w:rPr>
          <w:sz w:val="20"/>
          <w:szCs w:val="20"/>
          <w:lang w:val="de-DE"/>
        </w:rPr>
      </w:pPr>
      <w:r>
        <w:rPr>
          <w:sz w:val="20"/>
          <w:szCs w:val="20"/>
          <w:lang w:val="de-DE"/>
        </w:rPr>
        <w:t>Die Übertragung findet innerhalb des Landes statt, in dem der Verkäufer den iTero Intraoralscanner ursprünglich erworben hat</w:t>
      </w:r>
      <w:r>
        <w:rPr>
          <w:rStyle w:val="FootnoteReference"/>
          <w:sz w:val="20"/>
          <w:szCs w:val="20"/>
          <w:lang w:val="de-DE"/>
        </w:rPr>
        <w:footnoteReference w:id="2"/>
      </w:r>
      <w:r>
        <w:rPr>
          <w:sz w:val="20"/>
          <w:szCs w:val="20"/>
          <w:lang w:val="de-DE"/>
        </w:rPr>
        <w:t>.</w:t>
      </w:r>
    </w:p>
    <w:p w14:paraId="3B6E684E" w14:textId="04975073" w:rsidR="00D152B0" w:rsidRPr="003B003C" w:rsidRDefault="3127F61C" w:rsidP="003B003C">
      <w:pPr>
        <w:pStyle w:val="ListParagraph"/>
        <w:numPr>
          <w:ilvl w:val="2"/>
          <w:numId w:val="35"/>
        </w:numPr>
        <w:spacing w:line="240" w:lineRule="auto"/>
        <w:jc w:val="both"/>
        <w:rPr>
          <w:sz w:val="20"/>
          <w:szCs w:val="20"/>
          <w:lang w:val="de-DE"/>
        </w:rPr>
      </w:pPr>
      <w:r>
        <w:rPr>
          <w:sz w:val="20"/>
          <w:szCs w:val="20"/>
          <w:lang w:val="de-DE"/>
        </w:rPr>
        <w:t>Der Verkäufer und der Käufer schließen einen Vertrag über die Übertragung eines iTero Intraoralscanners (wie von Align gefordert) und der Käufer akzeptiert und unterzeichnet sämtliche zusätzliche Dokumentation in Bezug auf die Übertragung und die iTero Softwarelizenz, wie es Align von Zeit zu Zeit verlangen kann, abhängig von dem jeweiligen Land und dem iTero Intraoralscanner.</w:t>
      </w:r>
      <w:r w:rsidR="003B003C">
        <w:rPr>
          <w:sz w:val="20"/>
          <w:szCs w:val="20"/>
          <w:lang w:val="de-DE"/>
        </w:rPr>
        <w:t xml:space="preserve"> </w:t>
      </w:r>
    </w:p>
    <w:p w14:paraId="469C8AC8" w14:textId="5BFDE5EF" w:rsidR="008B548B" w:rsidRPr="00B26C76" w:rsidRDefault="00FD345B" w:rsidP="003B003C">
      <w:pPr>
        <w:pStyle w:val="ListParagraph"/>
        <w:numPr>
          <w:ilvl w:val="1"/>
          <w:numId w:val="35"/>
        </w:numPr>
        <w:spacing w:line="240" w:lineRule="auto"/>
        <w:jc w:val="both"/>
        <w:rPr>
          <w:spacing w:val="-4"/>
          <w:sz w:val="20"/>
          <w:szCs w:val="20"/>
          <w:lang w:val="de-DE"/>
        </w:rPr>
      </w:pPr>
      <w:r w:rsidRPr="00B26C76">
        <w:rPr>
          <w:spacing w:val="-4"/>
          <w:sz w:val="20"/>
          <w:szCs w:val="20"/>
          <w:lang w:val="de-DE"/>
        </w:rPr>
        <w:lastRenderedPageBreak/>
        <w:t>Nach alleinigem Ermessen von Align und abhängig von dem jeweiligen Land kann der Verkäufer den iTero Intraoralscanner auch an Align übertragen. Der Verkäufer sollte Rücksprache mit dem lokalen Kundenservice von Align halten, um zu erfahren, ob diese Option zur Verfügung steht und welche Bedingungen dafür gelten.</w:t>
      </w:r>
    </w:p>
    <w:p w14:paraId="29E8B162" w14:textId="2ED842D3" w:rsidR="00A741A8" w:rsidRPr="003B003C" w:rsidRDefault="00A741A8" w:rsidP="003B003C">
      <w:pPr>
        <w:pStyle w:val="ListParagraph"/>
        <w:numPr>
          <w:ilvl w:val="1"/>
          <w:numId w:val="35"/>
        </w:numPr>
        <w:spacing w:line="240" w:lineRule="auto"/>
        <w:jc w:val="both"/>
        <w:rPr>
          <w:sz w:val="20"/>
          <w:szCs w:val="20"/>
          <w:lang w:val="de-DE"/>
        </w:rPr>
      </w:pPr>
      <w:r>
        <w:rPr>
          <w:sz w:val="20"/>
          <w:szCs w:val="20"/>
          <w:lang w:val="de-DE"/>
        </w:rPr>
        <w:t>Align kann nach alleinigem Ermessen Übertragungen in bestimmten anderen Situationen unterstützen, vorausgesetzt, die Übertragung verstößt nicht gegen den nachstehenden Abschnitt „Nicht unterstützte Übertragungen“.</w:t>
      </w:r>
    </w:p>
    <w:p w14:paraId="66558098" w14:textId="531FC98D" w:rsidR="00047A1B" w:rsidRPr="009800D5" w:rsidRDefault="003A0B37" w:rsidP="003B003C">
      <w:pPr>
        <w:pStyle w:val="ListParagraph"/>
        <w:numPr>
          <w:ilvl w:val="0"/>
          <w:numId w:val="35"/>
        </w:numPr>
        <w:spacing w:line="240" w:lineRule="auto"/>
        <w:rPr>
          <w:b/>
          <w:bCs/>
          <w:sz w:val="20"/>
          <w:szCs w:val="20"/>
          <w:u w:val="single"/>
        </w:rPr>
      </w:pPr>
      <w:r>
        <w:rPr>
          <w:b/>
          <w:bCs/>
          <w:sz w:val="20"/>
          <w:szCs w:val="20"/>
          <w:u w:val="single"/>
          <w:lang w:val="de-DE"/>
        </w:rPr>
        <w:t>NICHT UNTERSTÜTZTE ÜBERTRAGUNGEN</w:t>
      </w:r>
    </w:p>
    <w:p w14:paraId="6E69CCBF" w14:textId="0583F99F" w:rsidR="006B3E58" w:rsidRPr="003B003C" w:rsidRDefault="000E68B2" w:rsidP="003B003C">
      <w:pPr>
        <w:pStyle w:val="ListParagraph"/>
        <w:numPr>
          <w:ilvl w:val="1"/>
          <w:numId w:val="35"/>
        </w:numPr>
        <w:spacing w:line="240" w:lineRule="auto"/>
        <w:jc w:val="both"/>
        <w:rPr>
          <w:sz w:val="20"/>
          <w:szCs w:val="20"/>
          <w:lang w:val="de-DE"/>
        </w:rPr>
      </w:pPr>
      <w:r>
        <w:rPr>
          <w:sz w:val="20"/>
          <w:szCs w:val="20"/>
          <w:lang w:val="de-DE"/>
        </w:rPr>
        <w:t>Align lehnt die Unterstützung einer Übertragung unter den folgenden Umständen ab:</w:t>
      </w:r>
    </w:p>
    <w:p w14:paraId="7CD6683C" w14:textId="586B55F4" w:rsidR="006000A6" w:rsidRPr="003B003C" w:rsidRDefault="5818BC1D" w:rsidP="003B003C">
      <w:pPr>
        <w:pStyle w:val="ListParagraph"/>
        <w:numPr>
          <w:ilvl w:val="2"/>
          <w:numId w:val="35"/>
        </w:numPr>
        <w:spacing w:line="240" w:lineRule="auto"/>
        <w:jc w:val="both"/>
        <w:rPr>
          <w:sz w:val="20"/>
          <w:szCs w:val="20"/>
          <w:lang w:val="de-DE"/>
        </w:rPr>
      </w:pPr>
      <w:r>
        <w:rPr>
          <w:b/>
          <w:bCs/>
          <w:sz w:val="20"/>
          <w:szCs w:val="20"/>
          <w:lang w:val="de-DE"/>
        </w:rPr>
        <w:t>Export.</w:t>
      </w:r>
      <w:r>
        <w:rPr>
          <w:sz w:val="20"/>
          <w:szCs w:val="20"/>
          <w:lang w:val="de-DE"/>
        </w:rPr>
        <w:t xml:space="preserve"> Wenn die Übertragung den Verkauf oder die Übertragung eines iTero Intraoralscanners in ein anderes Land als das Land beinhaltet, in dem der Verkäufer den iTero Intraoralscanner ursprünglich erworben hat</w:t>
      </w:r>
      <w:r>
        <w:rPr>
          <w:sz w:val="20"/>
          <w:szCs w:val="20"/>
          <w:vertAlign w:val="superscript"/>
          <w:lang w:val="de-DE"/>
        </w:rPr>
        <w:t>1</w:t>
      </w:r>
      <w:r>
        <w:rPr>
          <w:sz w:val="20"/>
          <w:szCs w:val="20"/>
          <w:lang w:val="de-DE"/>
        </w:rPr>
        <w:t>. Verkäufer sollten beachten, dass eine solche Übertragung gegen ihren Kaufvertrag für den iTero Intraoralscanner verstößt und möglicherweise auch die Anforderungen der geltenden Gesetze nicht erfüllt.</w:t>
      </w:r>
    </w:p>
    <w:p w14:paraId="1156DB3A" w14:textId="5806ED74" w:rsidR="00C27E4E" w:rsidRPr="003B003C" w:rsidRDefault="059E038A" w:rsidP="003B003C">
      <w:pPr>
        <w:pStyle w:val="ListParagraph"/>
        <w:numPr>
          <w:ilvl w:val="2"/>
          <w:numId w:val="35"/>
        </w:numPr>
        <w:spacing w:line="240" w:lineRule="auto"/>
        <w:jc w:val="both"/>
        <w:rPr>
          <w:sz w:val="20"/>
          <w:szCs w:val="20"/>
          <w:lang w:val="de-DE"/>
        </w:rPr>
      </w:pPr>
      <w:r>
        <w:rPr>
          <w:b/>
          <w:bCs/>
          <w:sz w:val="20"/>
          <w:szCs w:val="20"/>
          <w:lang w:val="de-DE"/>
        </w:rPr>
        <w:t>Ende des Supports.</w:t>
      </w:r>
      <w:r>
        <w:rPr>
          <w:sz w:val="20"/>
          <w:szCs w:val="20"/>
          <w:lang w:val="de-DE"/>
        </w:rPr>
        <w:t xml:space="preserve"> Alle iTero Intraoralscanner unterliegen den Bedingungen für das „Ende des Supports“, wie im Kaufvertrag für den iTero Intraoralscanner dargelegt, einschließlich des geltenden Serviceplans. Align ist nicht verpflichtet, Dienstleistungen (einschließlich Aktivierung) nach dem in einem solchen Kaufvertrag festgelegten Ende des Supports zu erbringen. </w:t>
      </w:r>
    </w:p>
    <w:p w14:paraId="6CE3F336" w14:textId="023CABF4" w:rsidR="00B070B7" w:rsidRPr="00B26C76" w:rsidRDefault="4D00BC7D" w:rsidP="003B003C">
      <w:pPr>
        <w:pStyle w:val="ListParagraph"/>
        <w:numPr>
          <w:ilvl w:val="2"/>
          <w:numId w:val="35"/>
        </w:numPr>
        <w:spacing w:line="240" w:lineRule="auto"/>
        <w:jc w:val="both"/>
        <w:rPr>
          <w:spacing w:val="-4"/>
          <w:sz w:val="20"/>
          <w:szCs w:val="20"/>
          <w:lang w:val="de-DE"/>
        </w:rPr>
      </w:pPr>
      <w:r w:rsidRPr="00B26C76">
        <w:rPr>
          <w:b/>
          <w:bCs/>
          <w:spacing w:val="-4"/>
          <w:sz w:val="20"/>
          <w:szCs w:val="20"/>
          <w:lang w:val="de-DE"/>
        </w:rPr>
        <w:t>Bedenken bezüglich von Produkten und Transaktionen.</w:t>
      </w:r>
      <w:r w:rsidRPr="00B26C76">
        <w:rPr>
          <w:spacing w:val="-4"/>
          <w:sz w:val="20"/>
          <w:szCs w:val="20"/>
          <w:lang w:val="de-DE"/>
        </w:rPr>
        <w:t xml:space="preserve"> Wenn Align nach alleinigem Ermessen und gemäß seinen Unterlagen nicht in der Lage ist, die Herkunft und Historie des betreffenden iTero Intraoralscanners zu überprüfen, und annimmt, dass die Übertragung geltende Gesetze oder diese Globale Übertragungsrichtlinie verletzen könnte, oder Grund zur Annahme hat, dass der iTero Intraoralscanner nicht länger für seine bestimmungsgemäße Verwendung und seinen Verwendungszweck geeignet ist. </w:t>
      </w:r>
    </w:p>
    <w:p w14:paraId="45303335" w14:textId="2193D26B" w:rsidR="00B614E3" w:rsidRPr="009800D5" w:rsidRDefault="009E79E3" w:rsidP="003B003C">
      <w:pPr>
        <w:pStyle w:val="ListParagraph"/>
        <w:numPr>
          <w:ilvl w:val="0"/>
          <w:numId w:val="35"/>
        </w:numPr>
        <w:spacing w:line="240" w:lineRule="auto"/>
        <w:rPr>
          <w:b/>
          <w:bCs/>
          <w:sz w:val="20"/>
          <w:szCs w:val="20"/>
          <w:u w:val="single"/>
        </w:rPr>
      </w:pPr>
      <w:r>
        <w:rPr>
          <w:b/>
          <w:bCs/>
          <w:sz w:val="20"/>
          <w:szCs w:val="20"/>
          <w:u w:val="single"/>
          <w:lang w:val="de-DE"/>
        </w:rPr>
        <w:t>ÜBERTRAGUNGSPROZESS</w:t>
      </w:r>
    </w:p>
    <w:p w14:paraId="652945BA" w14:textId="4D85297B" w:rsidR="009E79E3" w:rsidRPr="003B003C" w:rsidRDefault="2F0340D4" w:rsidP="003B003C">
      <w:pPr>
        <w:pStyle w:val="ListParagraph"/>
        <w:numPr>
          <w:ilvl w:val="1"/>
          <w:numId w:val="35"/>
        </w:numPr>
        <w:spacing w:line="240" w:lineRule="auto"/>
        <w:jc w:val="both"/>
        <w:rPr>
          <w:lang w:val="de-DE"/>
        </w:rPr>
      </w:pPr>
      <w:r>
        <w:rPr>
          <w:sz w:val="20"/>
          <w:szCs w:val="20"/>
          <w:lang w:val="de-DE"/>
        </w:rPr>
        <w:t xml:space="preserve">Bitte wenden Sie sich an Ihren Align Vertreter oder kontaktieren Sie Align unter </w:t>
      </w:r>
      <w:hyperlink r:id="rId10">
        <w:r>
          <w:rPr>
            <w:rStyle w:val="Hyperlink"/>
            <w:b/>
            <w:bCs/>
            <w:sz w:val="20"/>
            <w:szCs w:val="20"/>
            <w:lang w:val="de-DE"/>
          </w:rPr>
          <w:t>https://itero.com/education-and-support/contact-us</w:t>
        </w:r>
      </w:hyperlink>
      <w:r>
        <w:rPr>
          <w:sz w:val="20"/>
          <w:szCs w:val="20"/>
          <w:lang w:val="de-DE"/>
        </w:rPr>
        <w:t xml:space="preserve"> oder </w:t>
      </w:r>
      <w:hyperlink r:id="rId11">
        <w:r>
          <w:rPr>
            <w:rStyle w:val="Hyperlink"/>
            <w:b/>
            <w:bCs/>
            <w:sz w:val="20"/>
            <w:szCs w:val="20"/>
            <w:lang w:val="de-DE"/>
          </w:rPr>
          <w:t>iterosupport@aligntech.com</w:t>
        </w:r>
      </w:hyperlink>
      <w:r>
        <w:rPr>
          <w:sz w:val="20"/>
          <w:szCs w:val="20"/>
          <w:lang w:val="de-DE"/>
        </w:rPr>
        <w:t xml:space="preserve">, um weitere Informationen zum Übertragungsprozess (einschließlich der benötigten Dokumente) zu erhalten, </w:t>
      </w:r>
      <w:r>
        <w:rPr>
          <w:b/>
          <w:bCs/>
          <w:i/>
          <w:iCs/>
          <w:sz w:val="20"/>
          <w:szCs w:val="20"/>
          <w:lang w:val="de-DE"/>
        </w:rPr>
        <w:t>bevor Sie einen gebrauchten iTero Intraoralscanner verkaufen oder erwerben</w:t>
      </w:r>
      <w:r>
        <w:rPr>
          <w:sz w:val="20"/>
          <w:szCs w:val="20"/>
          <w:lang w:val="de-DE"/>
        </w:rPr>
        <w:t xml:space="preserve">. </w:t>
      </w:r>
    </w:p>
    <w:p w14:paraId="2DB460DD" w14:textId="68A442E5" w:rsidR="00487582" w:rsidRPr="003B003C" w:rsidRDefault="17E21BE4" w:rsidP="003B003C">
      <w:pPr>
        <w:pStyle w:val="ListParagraph"/>
        <w:numPr>
          <w:ilvl w:val="1"/>
          <w:numId w:val="35"/>
        </w:numPr>
        <w:spacing w:line="240" w:lineRule="auto"/>
        <w:jc w:val="both"/>
        <w:rPr>
          <w:sz w:val="20"/>
          <w:szCs w:val="20"/>
          <w:lang w:val="de-DE"/>
        </w:rPr>
      </w:pPr>
      <w:r>
        <w:rPr>
          <w:sz w:val="20"/>
          <w:szCs w:val="20"/>
          <w:lang w:val="de-DE"/>
        </w:rPr>
        <w:t>Scans, die unter dem Konto des Verkäufers angefertigt wurden, stehen nach der Übertragung nicht länger auf dessen iTero Intraoralscanner zur Verfügung. Bitte wenden Sie sich an Ihren Align Vertreter, um vor der Übertragung eine Anleitung zum Herunterladen oder Informationen zum Cloud-Speicher (im größtmöglichen Umfang) zu erhalten.</w:t>
      </w:r>
      <w:r w:rsidR="003B003C">
        <w:rPr>
          <w:sz w:val="20"/>
          <w:szCs w:val="20"/>
          <w:lang w:val="de-DE"/>
        </w:rPr>
        <w:t xml:space="preserve"> </w:t>
      </w:r>
    </w:p>
    <w:p w14:paraId="206D2C69" w14:textId="28724800" w:rsidR="009E79E3" w:rsidRPr="003B003C" w:rsidRDefault="1FB04215" w:rsidP="003B003C">
      <w:pPr>
        <w:pStyle w:val="ListParagraph"/>
        <w:numPr>
          <w:ilvl w:val="1"/>
          <w:numId w:val="35"/>
        </w:numPr>
        <w:spacing w:line="240" w:lineRule="auto"/>
        <w:jc w:val="both"/>
        <w:rPr>
          <w:sz w:val="20"/>
          <w:szCs w:val="20"/>
          <w:lang w:val="de-DE"/>
        </w:rPr>
      </w:pPr>
      <w:r>
        <w:rPr>
          <w:sz w:val="20"/>
          <w:szCs w:val="20"/>
          <w:lang w:val="de-DE"/>
        </w:rPr>
        <w:t>Bitte beachten Sie, dass bei der Übertragung des iTero Intraoralscanners alle Garantien und die Nutzungslizenz für den iTero Intraoralscanner und die Software sowie die Dienstleistungen, zu denen der Verkäufer berechtigt war, automatisch und mit sofortiger Wirkung erlöschen oder enden (außer in dem Umfang, der im nachstehenden Abschnitt 5 dargelegt ist).</w:t>
      </w:r>
      <w:r w:rsidR="003B003C">
        <w:rPr>
          <w:sz w:val="20"/>
          <w:szCs w:val="20"/>
          <w:lang w:val="de-DE"/>
        </w:rPr>
        <w:t xml:space="preserve"> </w:t>
      </w:r>
      <w:r>
        <w:rPr>
          <w:sz w:val="20"/>
          <w:szCs w:val="20"/>
          <w:lang w:val="de-DE"/>
        </w:rPr>
        <w:t xml:space="preserve"> </w:t>
      </w:r>
    </w:p>
    <w:p w14:paraId="72F0EF91" w14:textId="3E0421D4" w:rsidR="00D46C68" w:rsidRPr="003B003C" w:rsidRDefault="000740DC" w:rsidP="003B003C">
      <w:pPr>
        <w:pStyle w:val="ListParagraph"/>
        <w:numPr>
          <w:ilvl w:val="0"/>
          <w:numId w:val="35"/>
        </w:numPr>
        <w:spacing w:line="240" w:lineRule="auto"/>
        <w:rPr>
          <w:sz w:val="20"/>
          <w:szCs w:val="20"/>
          <w:lang w:val="de-DE"/>
        </w:rPr>
      </w:pPr>
      <w:r>
        <w:rPr>
          <w:b/>
          <w:bCs/>
          <w:sz w:val="20"/>
          <w:szCs w:val="20"/>
          <w:u w:val="single"/>
          <w:lang w:val="de-DE"/>
        </w:rPr>
        <w:t>PRODUKTGARANTIE UND SERVICEPLAN FÜR iTERO INTRAORALSCANNER</w:t>
      </w:r>
    </w:p>
    <w:p w14:paraId="3FAF10A1" w14:textId="2FF6D0BE" w:rsidR="00D46C68" w:rsidRPr="003B003C" w:rsidRDefault="499A7B2C" w:rsidP="003B003C">
      <w:pPr>
        <w:pStyle w:val="ListParagraph"/>
        <w:numPr>
          <w:ilvl w:val="1"/>
          <w:numId w:val="35"/>
        </w:numPr>
        <w:spacing w:line="240" w:lineRule="auto"/>
        <w:jc w:val="both"/>
        <w:rPr>
          <w:sz w:val="20"/>
          <w:szCs w:val="20"/>
          <w:lang w:val="de-DE"/>
        </w:rPr>
      </w:pPr>
      <w:r>
        <w:rPr>
          <w:sz w:val="20"/>
          <w:szCs w:val="20"/>
          <w:lang w:val="de-DE"/>
        </w:rPr>
        <w:t xml:space="preserve">Bitte beachten Sie, dass der Verkäufer Align bitten kann, den bereits bezahlten und verbleibenden Servicezeitraum aus der Anfangslaufzeit (wie im Serviceplan definiert) auf einen neuen iTero Intraoralscanner zu übertragen, den der Verkäufer bei Align oder einem von Align autorisierten Vertriebshändler erworben hat. Wenn der verbleibende Zeitraum aus der Anfangslaufzeit auf einen neuen Intraoralscanner übertragen wird, den der Verkäufer wie oben beschrieben erworben hat, erlöschen und enden bei der Übertragung des aktuellen iTero Intraoralscanners des Verkäufers an den Käufer automatisch und mit sofortiger Wirkung alle Garantien sowie die Nutzungslizenz für den übertragenen iTero Intraoralscanner und die Software sowie die Dienstleistungen für diesen Intraoralscanner. </w:t>
      </w:r>
    </w:p>
    <w:p w14:paraId="2360B045" w14:textId="64D945A2" w:rsidR="00D46C68" w:rsidRPr="003B003C" w:rsidRDefault="72092236" w:rsidP="003B003C">
      <w:pPr>
        <w:pStyle w:val="ListParagraph"/>
        <w:numPr>
          <w:ilvl w:val="1"/>
          <w:numId w:val="35"/>
        </w:numPr>
        <w:spacing w:line="240" w:lineRule="auto"/>
        <w:jc w:val="both"/>
        <w:rPr>
          <w:spacing w:val="-2"/>
          <w:sz w:val="20"/>
          <w:szCs w:val="20"/>
          <w:lang w:val="de-DE"/>
        </w:rPr>
      </w:pPr>
      <w:r w:rsidRPr="003B003C">
        <w:rPr>
          <w:spacing w:val="-2"/>
          <w:sz w:val="20"/>
          <w:szCs w:val="20"/>
          <w:lang w:val="de-DE"/>
        </w:rPr>
        <w:t>Der Verkäufer kann zudem Align bitten, die verbleibende Anfangslaufzeit (die bereits bezahlt wurde) an den Käufer zu übertragen und diese Anfangslaufzeit auf den übertragenen iTero Intraoralscanner anzuwenden. Diese Übertragung der Anfangslaufzeit auf den iTero Intraoralscanner erfolgt nach alleinigem Ermessen von Align und hängt neben anderen Faktoren von dem jeweiligen iTero Intraoralscanner und seinem Zustand sowie von dem jeweiligen Land ab, in dem die Übertragung stattfindet.</w:t>
      </w:r>
    </w:p>
    <w:p w14:paraId="6F388109" w14:textId="71159D5A" w:rsidR="00D46C68" w:rsidRPr="003B003C" w:rsidRDefault="03EEB049" w:rsidP="003B003C">
      <w:pPr>
        <w:pStyle w:val="ListParagraph"/>
        <w:numPr>
          <w:ilvl w:val="1"/>
          <w:numId w:val="35"/>
        </w:numPr>
        <w:spacing w:line="240" w:lineRule="auto"/>
        <w:jc w:val="both"/>
        <w:rPr>
          <w:sz w:val="20"/>
          <w:szCs w:val="20"/>
          <w:lang w:val="de-DE"/>
        </w:rPr>
      </w:pPr>
      <w:r>
        <w:rPr>
          <w:sz w:val="20"/>
          <w:szCs w:val="20"/>
          <w:lang w:val="de-DE"/>
        </w:rPr>
        <w:t>Um die verbleibende Anfangslaufzeit zu übertragen, sollten Sie vor dem Eigentumsübergang das Align Customer Success Team in Ihrem Markt kontaktieren. Andernfalls erlöschen oder enden automatisch und mit sofortiger Wirkung sämtliche Garantien und die Nutzungslizenz für den übertragenen iTero Intraoralscanner und die Software sowie die damit verbundenen Dienstleistungen.</w:t>
      </w:r>
    </w:p>
    <w:p w14:paraId="60C6DB4A" w14:textId="26DCCD05" w:rsidR="008B6AFD" w:rsidRPr="009800D5" w:rsidRDefault="008B6AFD" w:rsidP="003B003C">
      <w:pPr>
        <w:pStyle w:val="ListParagraph"/>
        <w:numPr>
          <w:ilvl w:val="0"/>
          <w:numId w:val="35"/>
        </w:numPr>
        <w:spacing w:line="240" w:lineRule="auto"/>
        <w:rPr>
          <w:rFonts w:cstheme="minorHAnsi"/>
          <w:b/>
          <w:bCs/>
          <w:sz w:val="20"/>
          <w:szCs w:val="18"/>
          <w:u w:val="single"/>
        </w:rPr>
      </w:pPr>
      <w:r>
        <w:rPr>
          <w:b/>
          <w:bCs/>
          <w:sz w:val="20"/>
          <w:szCs w:val="18"/>
          <w:u w:val="single"/>
          <w:lang w:val="de-DE"/>
        </w:rPr>
        <w:lastRenderedPageBreak/>
        <w:t>DATEN</w:t>
      </w:r>
      <w:r>
        <w:rPr>
          <w:b/>
          <w:bCs/>
          <w:sz w:val="20"/>
          <w:szCs w:val="20"/>
          <w:u w:val="single"/>
          <w:lang w:val="de-DE"/>
        </w:rPr>
        <w:t>SCHUTZ</w:t>
      </w:r>
    </w:p>
    <w:p w14:paraId="333C0BC2" w14:textId="48B7E95F" w:rsidR="009800D5" w:rsidRPr="003B003C" w:rsidRDefault="145F38DB" w:rsidP="003B003C">
      <w:pPr>
        <w:pStyle w:val="ListParagraph"/>
        <w:numPr>
          <w:ilvl w:val="1"/>
          <w:numId w:val="35"/>
        </w:numPr>
        <w:spacing w:line="240" w:lineRule="auto"/>
        <w:jc w:val="both"/>
        <w:rPr>
          <w:sz w:val="20"/>
          <w:szCs w:val="20"/>
          <w:lang w:val="de-DE"/>
        </w:rPr>
      </w:pPr>
      <w:r>
        <w:rPr>
          <w:sz w:val="20"/>
          <w:szCs w:val="20"/>
          <w:lang w:val="de-DE"/>
        </w:rPr>
        <w:t xml:space="preserve">Der Verkäufer bleibt allein für den Schutz, die Behandlung und die Verarbeitung der personenbezogenen Daten und Gesundheitsinformationen der Patienten des Verkäufers verantwortlich, die auf dem iTero Intraoralscanner gespeichert sind. Der Verkäufer erfüllt alle geltenden Datenschutz- und Sicherheitsgesetze sowie die Datenschutzverpflichtungen gemäß dem Kaufvertrag für den iTero Intraoralscanner und dem Endbenutzer-Lizenzvertrag. In bestimmten Gebieten ist der Verkäufer verpflichtet, den Align Vertreter in den jeweiligen Markt zu kontaktieren, um personenbezogene Daten zu löschen. Der Verkäufer darf seine mit dem iTero Intraoralscanner verbundenen Anmeldedaten nicht übertragen oder weitergeben. Im nach geltenden Gesetzen maximal zulässigen Umfang erkennt der Verkäufer an, dass der Verkäufer allein für die Sicherheit aller Patientendaten verantwortlich ist, die sich auf dem iTero Intraoralscanner befinden. Bei Fragen zu den Datenschutzverpflichtungen wenden Sie sich bitte an </w:t>
      </w:r>
      <w:hyperlink r:id="rId12">
        <w:r>
          <w:rPr>
            <w:rStyle w:val="Hyperlink"/>
            <w:sz w:val="20"/>
            <w:szCs w:val="20"/>
            <w:lang w:val="de-DE"/>
          </w:rPr>
          <w:t>privacy@aligntech.com</w:t>
        </w:r>
      </w:hyperlink>
      <w:r>
        <w:rPr>
          <w:sz w:val="20"/>
          <w:szCs w:val="20"/>
          <w:lang w:val="de-DE"/>
        </w:rPr>
        <w:t>.</w:t>
      </w:r>
    </w:p>
    <w:p w14:paraId="602383EF" w14:textId="21E07115" w:rsidR="00D01CC0" w:rsidRPr="003B003C" w:rsidRDefault="1AC2D4D2" w:rsidP="003B003C">
      <w:pPr>
        <w:pStyle w:val="ListParagraph"/>
        <w:numPr>
          <w:ilvl w:val="1"/>
          <w:numId w:val="35"/>
        </w:numPr>
        <w:spacing w:line="240" w:lineRule="auto"/>
        <w:jc w:val="both"/>
        <w:rPr>
          <w:sz w:val="20"/>
          <w:szCs w:val="20"/>
          <w:lang w:val="de-DE"/>
        </w:rPr>
      </w:pPr>
      <w:r>
        <w:rPr>
          <w:sz w:val="20"/>
          <w:szCs w:val="20"/>
          <w:lang w:val="de-DE"/>
        </w:rPr>
        <w:t>Vor der Übertragung des iTero Intraoralscanners und Laptops, der mit dem Intraoralscanner verwendet wird (sofern zutreffend), muss der Verkäufer den iTero Intraoralscanner und Laptop auf die „Werkseinstellungen“ zurücksetzen, die darauf installierte Align Software deinstallieren und sicherstellen, dass alle personenbezogenen Daten des Verkäufers und seiner Patienten, die auf dem iTero Intraoralscanner und Laptop gespeichert sind, dauerhaft gelöscht werden. Andernfalls kann es passieren, dass Align den Intraoralscanner nicht für den Käufer aktiviert. Bei Fragen zum Zurücksetzen des iTero Intraoralscanners oder Laptops, zum Deinstallieren der Align Software und zum Löschen der personenbezogenen Daten der Patienten des Verkäufers oder um die personenbezogenen Daten des Verkäufers und seiner Patienten tatsächlich zu löschen, kontaktieren Sie bitte Ihren Align Vertreter.</w:t>
      </w:r>
    </w:p>
    <w:p w14:paraId="4265318E" w14:textId="6EBC9E12" w:rsidR="000522DC" w:rsidRPr="009800D5" w:rsidRDefault="007A716B" w:rsidP="003B003C">
      <w:pPr>
        <w:pStyle w:val="ListParagraph"/>
        <w:numPr>
          <w:ilvl w:val="0"/>
          <w:numId w:val="35"/>
        </w:numPr>
        <w:spacing w:line="240" w:lineRule="auto"/>
        <w:rPr>
          <w:b/>
          <w:bCs/>
          <w:sz w:val="20"/>
          <w:szCs w:val="20"/>
          <w:u w:val="single"/>
        </w:rPr>
      </w:pPr>
      <w:r>
        <w:rPr>
          <w:b/>
          <w:bCs/>
          <w:sz w:val="20"/>
          <w:szCs w:val="20"/>
          <w:u w:val="single"/>
          <w:lang w:val="de-DE"/>
        </w:rPr>
        <w:t>HAFTUNGSBESCHRÄNKUNG UND SCHADLOSHALTUNG</w:t>
      </w:r>
    </w:p>
    <w:p w14:paraId="7E28417E" w14:textId="2E44258D" w:rsidR="00391A15" w:rsidRPr="003B003C" w:rsidRDefault="111892FA" w:rsidP="003B003C">
      <w:pPr>
        <w:pStyle w:val="ListParagraph"/>
        <w:numPr>
          <w:ilvl w:val="1"/>
          <w:numId w:val="35"/>
        </w:numPr>
        <w:spacing w:line="240" w:lineRule="auto"/>
        <w:jc w:val="both"/>
        <w:rPr>
          <w:sz w:val="20"/>
          <w:szCs w:val="20"/>
          <w:lang w:val="de-DE"/>
        </w:rPr>
      </w:pPr>
      <w:r>
        <w:rPr>
          <w:sz w:val="20"/>
          <w:szCs w:val="20"/>
          <w:lang w:val="de-DE"/>
        </w:rPr>
        <w:t>Unbeschadet des hierin Dargelegten besteht die einzige Rolle von Align bei der Unterstützung einer Übertragung darin, den iTero Intraoralscanner mit dem Konto und den Anmeldedaten des Käufers zu verknüpfen.</w:t>
      </w:r>
      <w:r w:rsidR="003B003C">
        <w:rPr>
          <w:sz w:val="20"/>
          <w:szCs w:val="20"/>
          <w:lang w:val="de-DE"/>
        </w:rPr>
        <w:t xml:space="preserve"> </w:t>
      </w:r>
      <w:r>
        <w:rPr>
          <w:sz w:val="20"/>
          <w:szCs w:val="20"/>
          <w:lang w:val="de-DE"/>
        </w:rPr>
        <w:t xml:space="preserve">Align übernimmt keine Verantwortung oder Haftung für Ansprüche oder Schäden, die aus einer Übertragung oder einer Entscheidung von Align entstehen, einen iTero Intraoralscanner zu unterstützen oder nicht zu unterstützen. Mit der Unterstützung einer Übertragung macht Align keine Zusicherungen oder Garantien, dass der iTero Intraoralscanner für jeglichen Zweck geeignet oder frei von Mängeln ist, vorausgesetzt jedoch, dass Align, sofern geltende Gesetze dies vorschreiben, den Käufer über den gebrauchten Zustand und Mängel des iTero Intraoralscanners, die Align bekannt sind, informiert. Der Verkäufer muss den Käufer vor dem Verkauf und der Übertragung über den gebrauchten Zustand und alle Mängel des iTero Intraoralscanners in Kenntnis setzen und jegliche Mängel ausdrücklich beschreiben. </w:t>
      </w:r>
    </w:p>
    <w:p w14:paraId="03976FC6" w14:textId="1B53EFEE" w:rsidR="008E4B0E" w:rsidRPr="003B003C" w:rsidRDefault="38571AF5" w:rsidP="003B003C">
      <w:pPr>
        <w:pStyle w:val="ListParagraph"/>
        <w:numPr>
          <w:ilvl w:val="1"/>
          <w:numId w:val="35"/>
        </w:numPr>
        <w:spacing w:line="240" w:lineRule="auto"/>
        <w:jc w:val="both"/>
        <w:rPr>
          <w:sz w:val="20"/>
          <w:szCs w:val="20"/>
          <w:lang w:val="de-DE"/>
        </w:rPr>
      </w:pPr>
      <w:r>
        <w:rPr>
          <w:sz w:val="20"/>
          <w:szCs w:val="20"/>
          <w:lang w:val="de-DE"/>
        </w:rPr>
        <w:t>Die Unterstützung durch Align erfolgt, wie hierin beschrieben, auf die Bitte des Verkäufers und des Käufers und Align übernimmt keine Haftung für den Betrieb eines solchen iTero Intraoralscanners, für die Einhaltung der geltenden Gesetze durch den Verkäufer und den Käufer oder jegliche andere direkte oder indirekte Haftungen, die aus der Unterstützung der Übertragung durch Align oder der Ablehnung der Unterstützung rühren.</w:t>
      </w:r>
    </w:p>
    <w:p w14:paraId="795A295F" w14:textId="3BE67CBD" w:rsidR="007C34E2" w:rsidRPr="003B003C" w:rsidRDefault="21E528EB" w:rsidP="003B003C">
      <w:pPr>
        <w:pStyle w:val="ListParagraph"/>
        <w:numPr>
          <w:ilvl w:val="1"/>
          <w:numId w:val="35"/>
        </w:numPr>
        <w:spacing w:line="240" w:lineRule="auto"/>
        <w:jc w:val="both"/>
        <w:rPr>
          <w:sz w:val="20"/>
          <w:szCs w:val="20"/>
          <w:lang w:val="de-DE"/>
        </w:rPr>
      </w:pPr>
      <w:r>
        <w:rPr>
          <w:sz w:val="20"/>
          <w:szCs w:val="20"/>
          <w:lang w:val="de-DE"/>
        </w:rPr>
        <w:t>Gemäß geltenden Gesetzen muss der Verkäufer Align für alle Ansprüche, Haftungen, Geldstrafen, Sanktionen und Verluste entschädigen und schadlos halten, die aus der Übertragung entstehen.</w:t>
      </w:r>
      <w:r w:rsidR="003B003C">
        <w:rPr>
          <w:sz w:val="20"/>
          <w:szCs w:val="20"/>
          <w:lang w:val="de-DE"/>
        </w:rPr>
        <w:t xml:space="preserve"> </w:t>
      </w:r>
    </w:p>
    <w:p w14:paraId="6679A36D" w14:textId="618EABC9" w:rsidR="00D46C68" w:rsidRPr="009800D5" w:rsidRDefault="00D46C68" w:rsidP="003B003C">
      <w:pPr>
        <w:pStyle w:val="ListParagraph"/>
        <w:numPr>
          <w:ilvl w:val="0"/>
          <w:numId w:val="35"/>
        </w:numPr>
        <w:spacing w:after="0" w:line="240" w:lineRule="auto"/>
        <w:rPr>
          <w:b/>
          <w:bCs/>
          <w:sz w:val="20"/>
          <w:szCs w:val="20"/>
          <w:u w:val="single"/>
        </w:rPr>
      </w:pPr>
      <w:r>
        <w:rPr>
          <w:b/>
          <w:bCs/>
          <w:sz w:val="20"/>
          <w:szCs w:val="20"/>
          <w:u w:val="single"/>
          <w:lang w:val="de-DE"/>
        </w:rPr>
        <w:t>FÜR KÄUFER</w:t>
      </w:r>
    </w:p>
    <w:p w14:paraId="1E0DE1F5" w14:textId="41DEBE6C" w:rsidR="00D46C68" w:rsidRPr="003B003C" w:rsidRDefault="499A7B2C" w:rsidP="003B003C">
      <w:pPr>
        <w:spacing w:after="0" w:line="240" w:lineRule="auto"/>
        <w:ind w:left="360"/>
        <w:jc w:val="both"/>
        <w:rPr>
          <w:sz w:val="20"/>
          <w:szCs w:val="20"/>
          <w:lang w:val="de-DE"/>
        </w:rPr>
      </w:pPr>
      <w:r>
        <w:rPr>
          <w:sz w:val="20"/>
          <w:szCs w:val="20"/>
          <w:lang w:val="de-DE"/>
        </w:rPr>
        <w:t xml:space="preserve">Align empfiehlt, einen iTero Intraoralscanner direkt bei Align oder bei einem seiner autorisierten Vertriebshändler zu kaufen. Bei einem Kauf eines gebrauchten Intraoralscanners von einer anderen Partei als Align oder einem autorisierten Vertriebshändler aktiviert Align diesen Intraoralscanner möglicherweise nur, wenn die Übertragung in Übereinstimmung mit der Globalen Übertragungsrichtlinie erfolgt ist und die gesetzlichen Voraussetzungen erfüllt sind. Bitte beachten Sie, dass die Aktivierung des iTero Intraoralscanners durch Align davon abhängen kann, dass der Käufer zusätzliche Gebühren oder Kosten entrichtet, einschließlich für (i) eine Vor-Ort- oder Fernbewertung, (ii) etwaige erforderliche Reparaturen, (iii) etwaige erforderliche Schulungen oder (iv) angemessene Kosten in Verbindung mit der Übertragung. Bitte fragen Sie beim Verkäufer nach, ob der iTero Intraoralscanner mit einer verbleibenden Anfangslaufzeit (Serviceplan) übertragen wird. </w:t>
      </w:r>
    </w:p>
    <w:p w14:paraId="115E641E" w14:textId="3E5E972D" w:rsidR="002A0D00" w:rsidRPr="00A26C86" w:rsidRDefault="00B272BD" w:rsidP="003B003C">
      <w:pPr>
        <w:pStyle w:val="ListParagraph"/>
        <w:numPr>
          <w:ilvl w:val="0"/>
          <w:numId w:val="35"/>
        </w:numPr>
        <w:spacing w:after="0" w:line="240" w:lineRule="auto"/>
        <w:rPr>
          <w:rFonts w:cstheme="minorHAnsi"/>
          <w:b/>
          <w:bCs/>
          <w:sz w:val="20"/>
          <w:szCs w:val="20"/>
          <w:u w:val="single"/>
        </w:rPr>
      </w:pPr>
      <w:r>
        <w:rPr>
          <w:b/>
          <w:bCs/>
          <w:sz w:val="20"/>
          <w:szCs w:val="20"/>
          <w:u w:val="single"/>
          <w:lang w:val="de-DE"/>
        </w:rPr>
        <w:t>GELTUNGSBEREICH DIESER RICHTLINIE</w:t>
      </w:r>
      <w:bookmarkEnd w:id="0"/>
    </w:p>
    <w:p w14:paraId="19079990" w14:textId="47F70061" w:rsidR="003F2D23" w:rsidRPr="003B003C" w:rsidRDefault="3BB99320" w:rsidP="00B26C76">
      <w:pPr>
        <w:spacing w:line="240" w:lineRule="auto"/>
        <w:ind w:left="360"/>
        <w:jc w:val="both"/>
        <w:rPr>
          <w:rFonts w:cstheme="minorHAnsi"/>
          <w:sz w:val="20"/>
          <w:szCs w:val="20"/>
          <w:lang w:val="de-DE"/>
        </w:rPr>
      </w:pPr>
      <w:r>
        <w:rPr>
          <w:sz w:val="20"/>
          <w:szCs w:val="20"/>
          <w:lang w:val="de-DE"/>
        </w:rPr>
        <w:t>Die Globale Übertragungsrichtlinie gilt für weltweit angeforderte Übertragungen, obwohl bestimmte Regionen besondere Bedingungen aufgrund lokaler geltender Gesetze haben können. Bitte wenden Sie sich an den regionalen Kundenservice, wenn Sie Fragen zur angebotenen Übertragung eines iTero Intraoralscanners haben.</w:t>
      </w:r>
    </w:p>
    <w:p w14:paraId="5EC342C6" w14:textId="4A4484DF" w:rsidR="00D3587F" w:rsidRPr="003B003C" w:rsidRDefault="00A22CEF" w:rsidP="003B1333">
      <w:pPr>
        <w:jc w:val="center"/>
        <w:rPr>
          <w:rFonts w:eastAsia="Times New Roman" w:cstheme="minorHAnsi"/>
          <w:b/>
          <w:bCs/>
          <w:sz w:val="20"/>
          <w:szCs w:val="20"/>
          <w:u w:val="single"/>
          <w:lang w:val="de-DE"/>
        </w:rPr>
      </w:pPr>
      <w:r>
        <w:rPr>
          <w:rFonts w:cstheme="minorHAnsi"/>
          <w:sz w:val="20"/>
          <w:szCs w:val="20"/>
          <w:lang w:val="de-DE"/>
        </w:rPr>
        <w:br w:type="page"/>
      </w:r>
      <w:r>
        <w:rPr>
          <w:rFonts w:cstheme="minorHAnsi"/>
          <w:b/>
          <w:bCs/>
          <w:sz w:val="20"/>
          <w:szCs w:val="20"/>
          <w:u w:val="single"/>
          <w:lang w:val="de-DE"/>
        </w:rPr>
        <w:lastRenderedPageBreak/>
        <w:t>Anhang – Tabelle mit Abweichungen für Australien und Neuseeland</w:t>
      </w:r>
    </w:p>
    <w:p w14:paraId="03E590C8" w14:textId="12B6775B" w:rsidR="00D3587F" w:rsidRPr="003B003C" w:rsidRDefault="1FB04215" w:rsidP="76899A30">
      <w:pPr>
        <w:pStyle w:val="FFWLevel5"/>
        <w:numPr>
          <w:ilvl w:val="0"/>
          <w:numId w:val="0"/>
        </w:numPr>
        <w:spacing w:before="40" w:after="40" w:line="240" w:lineRule="auto"/>
        <w:rPr>
          <w:rFonts w:asciiTheme="minorHAnsi" w:eastAsiaTheme="minorEastAsia" w:hAnsiTheme="minorHAnsi" w:cstheme="minorBidi"/>
          <w:sz w:val="20"/>
          <w:szCs w:val="20"/>
          <w:lang w:val="de-DE"/>
        </w:rPr>
      </w:pPr>
      <w:r>
        <w:rPr>
          <w:rFonts w:asciiTheme="minorHAnsi" w:eastAsiaTheme="minorEastAsia" w:hAnsiTheme="minorHAnsi" w:cstheme="minorBidi"/>
          <w:sz w:val="20"/>
          <w:szCs w:val="20"/>
          <w:lang w:val="de-DE"/>
        </w:rPr>
        <w:t>Die folgenden Abweichungen von der Globalen Übertragungsrichtlinie gelten aufgrund der lokalen gesetzlichen und aufsichtsrechtlichen Bestimmungen nur für Kunden in Australien und Neuseeland. Diese Änderungen ersetzen die entsprechenden Abschnitte der Globalen Übertragungsrichtlinie für diese Regionen.</w:t>
      </w:r>
    </w:p>
    <w:tbl>
      <w:tblPr>
        <w:tblStyle w:val="TableGrid"/>
        <w:tblW w:w="0" w:type="auto"/>
        <w:tblLook w:val="04A0" w:firstRow="1" w:lastRow="0" w:firstColumn="1" w:lastColumn="0" w:noHBand="0" w:noVBand="1"/>
      </w:tblPr>
      <w:tblGrid>
        <w:gridCol w:w="1300"/>
        <w:gridCol w:w="8050"/>
      </w:tblGrid>
      <w:tr w:rsidR="00D3587F" w14:paraId="6D0FA3CB" w14:textId="77777777" w:rsidTr="00B26C76">
        <w:tc>
          <w:tcPr>
            <w:tcW w:w="1300" w:type="dxa"/>
            <w:vAlign w:val="center"/>
          </w:tcPr>
          <w:p w14:paraId="263D2ACC" w14:textId="08F7DC4D" w:rsidR="00D3587F" w:rsidRPr="00DE22CD" w:rsidRDefault="00D3587F" w:rsidP="00B26C76">
            <w:pPr>
              <w:spacing w:before="80" w:after="80"/>
              <w:jc w:val="center"/>
              <w:rPr>
                <w:rFonts w:cstheme="minorHAnsi"/>
                <w:b/>
                <w:bCs/>
                <w:sz w:val="20"/>
                <w:szCs w:val="20"/>
              </w:rPr>
            </w:pPr>
            <w:r>
              <w:rPr>
                <w:rFonts w:cstheme="minorHAnsi"/>
                <w:b/>
                <w:bCs/>
                <w:sz w:val="20"/>
                <w:szCs w:val="20"/>
                <w:lang w:val="de-DE"/>
              </w:rPr>
              <w:t>Nummer des Abschnitts</w:t>
            </w:r>
          </w:p>
        </w:tc>
        <w:tc>
          <w:tcPr>
            <w:tcW w:w="8050" w:type="dxa"/>
            <w:vAlign w:val="center"/>
          </w:tcPr>
          <w:p w14:paraId="139F9B25" w14:textId="38256F68" w:rsidR="00D3587F" w:rsidRPr="00DE22CD" w:rsidRDefault="00D3587F" w:rsidP="00B26C76">
            <w:pPr>
              <w:spacing w:before="80" w:after="80"/>
              <w:jc w:val="center"/>
              <w:rPr>
                <w:rFonts w:cstheme="minorHAnsi"/>
                <w:b/>
                <w:bCs/>
                <w:sz w:val="20"/>
                <w:szCs w:val="20"/>
              </w:rPr>
            </w:pPr>
            <w:r>
              <w:rPr>
                <w:rFonts w:cstheme="minorHAnsi"/>
                <w:b/>
                <w:bCs/>
                <w:sz w:val="20"/>
                <w:szCs w:val="20"/>
                <w:lang w:val="de-DE"/>
              </w:rPr>
              <w:t>Geänderte Formulierung</w:t>
            </w:r>
          </w:p>
        </w:tc>
      </w:tr>
      <w:tr w:rsidR="00D3587F" w:rsidRPr="00D34288" w14:paraId="5E1CD423" w14:textId="77777777" w:rsidTr="00B26C76">
        <w:tc>
          <w:tcPr>
            <w:tcW w:w="1300" w:type="dxa"/>
            <w:vAlign w:val="center"/>
          </w:tcPr>
          <w:p w14:paraId="0C0B9C49" w14:textId="228FEAAE" w:rsidR="00D3587F" w:rsidRDefault="00D3587F" w:rsidP="00B26C76">
            <w:pPr>
              <w:spacing w:before="40" w:after="40"/>
              <w:jc w:val="center"/>
              <w:rPr>
                <w:rFonts w:cstheme="minorHAnsi"/>
                <w:sz w:val="20"/>
                <w:szCs w:val="20"/>
              </w:rPr>
            </w:pPr>
            <w:r>
              <w:rPr>
                <w:rFonts w:cstheme="minorHAnsi"/>
                <w:sz w:val="20"/>
                <w:szCs w:val="20"/>
                <w:lang w:val="de-DE"/>
              </w:rPr>
              <w:t>3.1.2</w:t>
            </w:r>
          </w:p>
        </w:tc>
        <w:tc>
          <w:tcPr>
            <w:tcW w:w="8050" w:type="dxa"/>
          </w:tcPr>
          <w:p w14:paraId="3477419C" w14:textId="0F789E1C" w:rsidR="00D3587F" w:rsidRPr="003B003C" w:rsidRDefault="1FB04215" w:rsidP="00B26C76">
            <w:pPr>
              <w:spacing w:before="40" w:after="40"/>
              <w:jc w:val="both"/>
              <w:rPr>
                <w:sz w:val="20"/>
                <w:szCs w:val="20"/>
                <w:lang w:val="de-DE"/>
              </w:rPr>
            </w:pPr>
            <w:r>
              <w:rPr>
                <w:b/>
                <w:bCs/>
                <w:sz w:val="20"/>
                <w:szCs w:val="20"/>
                <w:lang w:val="de-DE"/>
              </w:rPr>
              <w:t>Ende des Supports.</w:t>
            </w:r>
            <w:r>
              <w:rPr>
                <w:sz w:val="20"/>
                <w:szCs w:val="20"/>
                <w:lang w:val="de-DE"/>
              </w:rPr>
              <w:t xml:space="preserve"> Alle iTero Intraoralscanner unterliegen den Bedingungen für das „Ende des Supports“, wie im Kaufvertrag für den iTero Intraoralscanner dargelegt, einschließlich des Serviceplans. Align ist nicht verpflichtet, Dienstleistungen (einschließlich Aktivierung) nach dem in einem solchen Kaufvertrag festgelegten Ende des Supports zu erbringen.</w:t>
            </w:r>
          </w:p>
        </w:tc>
      </w:tr>
      <w:tr w:rsidR="00D3587F" w:rsidRPr="00D34288" w14:paraId="65AAB008" w14:textId="77777777" w:rsidTr="00B26C76">
        <w:tc>
          <w:tcPr>
            <w:tcW w:w="1300" w:type="dxa"/>
            <w:vAlign w:val="center"/>
          </w:tcPr>
          <w:p w14:paraId="13033416" w14:textId="472AEF05" w:rsidR="00D3587F" w:rsidRDefault="00D3587F" w:rsidP="00B26C76">
            <w:pPr>
              <w:spacing w:before="40" w:after="40"/>
              <w:jc w:val="center"/>
              <w:rPr>
                <w:rFonts w:cstheme="minorHAnsi"/>
                <w:sz w:val="20"/>
                <w:szCs w:val="20"/>
              </w:rPr>
            </w:pPr>
            <w:r>
              <w:rPr>
                <w:rFonts w:cstheme="minorHAnsi"/>
                <w:sz w:val="20"/>
                <w:szCs w:val="20"/>
                <w:lang w:val="de-DE"/>
              </w:rPr>
              <w:t>3.1.3</w:t>
            </w:r>
          </w:p>
        </w:tc>
        <w:tc>
          <w:tcPr>
            <w:tcW w:w="8050" w:type="dxa"/>
          </w:tcPr>
          <w:p w14:paraId="7CF1DCA5" w14:textId="2162A821" w:rsidR="00D3587F" w:rsidRPr="003B003C" w:rsidRDefault="1FB04215" w:rsidP="00B26C76">
            <w:pPr>
              <w:spacing w:before="40" w:after="40"/>
              <w:jc w:val="both"/>
              <w:rPr>
                <w:sz w:val="20"/>
                <w:szCs w:val="20"/>
                <w:lang w:val="de-DE"/>
              </w:rPr>
            </w:pPr>
            <w:r>
              <w:rPr>
                <w:sz w:val="20"/>
                <w:szCs w:val="20"/>
                <w:lang w:val="de-DE"/>
              </w:rPr>
              <w:t>Bedenken bezüglich von Produkten und Transaktionen. Wenn Align nach alleinigem Ermessen und gemäß seinen Unterlagen nicht in der Lage ist, die Herkunft und Historie des betreffenden iTero Intraoralscanners zu überprüfen, und annimmt, dass die Übertragung geltende Gesetze oder diese Globale Übertragungsrichtlinie verletzen könnte, oder einen angemessenen Grund zur Annahme hat, dass der iTero Intraoralscanner nicht länger für seine bestimmungsgemäße Verwendung und seinen Verwendungszweck geeignet ist.</w:t>
            </w:r>
          </w:p>
        </w:tc>
      </w:tr>
      <w:tr w:rsidR="00D3587F" w:rsidRPr="00D34288" w14:paraId="726E26FA" w14:textId="77777777" w:rsidTr="00B26C76">
        <w:tc>
          <w:tcPr>
            <w:tcW w:w="1300" w:type="dxa"/>
            <w:vAlign w:val="center"/>
          </w:tcPr>
          <w:p w14:paraId="60301A1E" w14:textId="1DB942D5" w:rsidR="00D3587F" w:rsidRDefault="00D3587F" w:rsidP="00B26C76">
            <w:pPr>
              <w:spacing w:before="40" w:after="40"/>
              <w:jc w:val="center"/>
              <w:rPr>
                <w:rFonts w:cstheme="minorHAnsi"/>
                <w:sz w:val="20"/>
                <w:szCs w:val="20"/>
              </w:rPr>
            </w:pPr>
            <w:r>
              <w:rPr>
                <w:rFonts w:cstheme="minorHAnsi"/>
                <w:sz w:val="20"/>
                <w:szCs w:val="20"/>
                <w:lang w:val="de-DE"/>
              </w:rPr>
              <w:t>4,3</w:t>
            </w:r>
          </w:p>
        </w:tc>
        <w:tc>
          <w:tcPr>
            <w:tcW w:w="8050" w:type="dxa"/>
          </w:tcPr>
          <w:p w14:paraId="3066CA5D" w14:textId="095B60AB" w:rsidR="00D3587F" w:rsidRPr="003B003C" w:rsidRDefault="1FB04215" w:rsidP="00B26C76">
            <w:pPr>
              <w:spacing w:before="40" w:after="40"/>
              <w:jc w:val="both"/>
              <w:rPr>
                <w:sz w:val="20"/>
                <w:szCs w:val="20"/>
                <w:lang w:val="de-DE"/>
              </w:rPr>
            </w:pPr>
            <w:r>
              <w:rPr>
                <w:sz w:val="20"/>
                <w:szCs w:val="20"/>
                <w:lang w:val="de-DE"/>
              </w:rPr>
              <w:t>Ohne Ausschluss oder Änderung jeglicher Rechte, die der Verkäufer laut Gesetz hat, beachten Sie bitte, dass bei der Übertragung des iTero Intraoralscanners alle Garantien und die Nutzungslizenz für den iTero Intraoralscanner und die Software sowie der Dienstleistungsvertrag, zu denen der Verkäufer berechtigt war, automatisch erlöschen und mit sofortiger Wirkung ablaufen oder enden.</w:t>
            </w:r>
            <w:r w:rsidR="003B003C">
              <w:rPr>
                <w:sz w:val="20"/>
                <w:szCs w:val="20"/>
                <w:lang w:val="de-DE"/>
              </w:rPr>
              <w:t xml:space="preserve"> </w:t>
            </w:r>
            <w:r>
              <w:rPr>
                <w:sz w:val="20"/>
                <w:szCs w:val="20"/>
                <w:lang w:val="de-DE"/>
              </w:rPr>
              <w:t>Die Globale Übertragungsrichtlinie beeinträchtigt keine entstandenen Rechte, Verpflichtungen, Ansprüche oder Haftungen, die der Verkäufer und Align gegenseitig in Bezug auf den iTero Intraoralscanner vor dem Datum der Übertragung haben können.</w:t>
            </w:r>
            <w:r w:rsidR="003B003C">
              <w:rPr>
                <w:sz w:val="20"/>
                <w:szCs w:val="20"/>
                <w:lang w:val="de-DE"/>
              </w:rPr>
              <w:t xml:space="preserve"> </w:t>
            </w:r>
          </w:p>
        </w:tc>
      </w:tr>
      <w:tr w:rsidR="00DE22CD" w:rsidRPr="00D34288" w14:paraId="7B6FDA99" w14:textId="77777777" w:rsidTr="00B26C76">
        <w:tc>
          <w:tcPr>
            <w:tcW w:w="1300" w:type="dxa"/>
            <w:vAlign w:val="center"/>
          </w:tcPr>
          <w:p w14:paraId="1980B8D7" w14:textId="483AA375" w:rsidR="00DE22CD" w:rsidRDefault="00DE22CD" w:rsidP="00B26C76">
            <w:pPr>
              <w:spacing w:before="40" w:after="40"/>
              <w:jc w:val="center"/>
              <w:rPr>
                <w:rFonts w:cstheme="minorHAnsi"/>
                <w:sz w:val="20"/>
                <w:szCs w:val="20"/>
              </w:rPr>
            </w:pPr>
            <w:r>
              <w:rPr>
                <w:rFonts w:cstheme="minorHAnsi"/>
                <w:sz w:val="20"/>
                <w:szCs w:val="20"/>
                <w:lang w:val="de-DE"/>
              </w:rPr>
              <w:t>5.1</w:t>
            </w:r>
          </w:p>
        </w:tc>
        <w:tc>
          <w:tcPr>
            <w:tcW w:w="8050" w:type="dxa"/>
          </w:tcPr>
          <w:p w14:paraId="7A3FC4DA" w14:textId="7598E934" w:rsidR="00DE22CD" w:rsidRPr="003B003C" w:rsidRDefault="22711D0A" w:rsidP="00B26C76">
            <w:pPr>
              <w:spacing w:before="40" w:after="40"/>
              <w:jc w:val="both"/>
              <w:rPr>
                <w:sz w:val="20"/>
                <w:szCs w:val="20"/>
                <w:lang w:val="de-DE"/>
              </w:rPr>
            </w:pPr>
            <w:r>
              <w:rPr>
                <w:sz w:val="20"/>
                <w:szCs w:val="20"/>
                <w:lang w:val="de-DE"/>
              </w:rPr>
              <w:t>Bitte beachten Sie, dass der Verkäufer Align bitten kann, die verbleibende Dauer der anfänglichen Laufzeit (Serviceplan) auf einen neuen iTero Intraoralscanner zu übertragen, den Sie bei Align oder einem autorisierten Vertriebshändler gekauft haben. Wird die anfängliche Laufzeit auf einen neuen, von Ihnen erworbenen Intraoralscanner übertragen, erlöschen oder enden bei der Übertragung Ihres aktuellen iTero Intraoralscanners (ohne Ausschluss oder Änderung der Rechte, die Sie (der Verkäufer) laut Gesetz haben) automatisch und gleichzeitig alle Garantien und die Nutzungslizenz für das übertragene Produkt (iTero Intraoralscanner) und die Software sowie der Dienstleistungsvertrag.</w:t>
            </w:r>
          </w:p>
        </w:tc>
      </w:tr>
      <w:tr w:rsidR="00D3587F" w:rsidRPr="00D34288" w14:paraId="4CCDA927" w14:textId="77777777" w:rsidTr="00B26C76">
        <w:tc>
          <w:tcPr>
            <w:tcW w:w="1300" w:type="dxa"/>
            <w:vAlign w:val="center"/>
          </w:tcPr>
          <w:p w14:paraId="06DA32D2" w14:textId="7AEDF17F" w:rsidR="00D3587F" w:rsidRDefault="00D3587F" w:rsidP="00DE22CD">
            <w:pPr>
              <w:jc w:val="center"/>
              <w:rPr>
                <w:rFonts w:cstheme="minorHAnsi"/>
                <w:sz w:val="20"/>
                <w:szCs w:val="20"/>
              </w:rPr>
            </w:pPr>
            <w:r>
              <w:rPr>
                <w:rFonts w:cstheme="minorHAnsi"/>
                <w:sz w:val="20"/>
                <w:szCs w:val="20"/>
                <w:lang w:val="de-DE"/>
              </w:rPr>
              <w:t>5.4-5.6 (neue Abschnitte)</w:t>
            </w:r>
          </w:p>
        </w:tc>
        <w:tc>
          <w:tcPr>
            <w:tcW w:w="8050" w:type="dxa"/>
          </w:tcPr>
          <w:p w14:paraId="6755C527" w14:textId="498BCCF7" w:rsidR="00D3587F" w:rsidRPr="003B003C" w:rsidRDefault="00D3587F" w:rsidP="00B26C76">
            <w:pPr>
              <w:spacing w:before="40"/>
              <w:jc w:val="both"/>
              <w:rPr>
                <w:rFonts w:cstheme="minorHAnsi"/>
                <w:sz w:val="20"/>
                <w:szCs w:val="20"/>
                <w:lang w:val="de-DE"/>
              </w:rPr>
            </w:pPr>
            <w:r>
              <w:rPr>
                <w:rFonts w:cstheme="minorHAnsi"/>
                <w:sz w:val="20"/>
                <w:szCs w:val="20"/>
                <w:lang w:val="de-DE"/>
              </w:rPr>
              <w:t>5.4 Soweit der Verkäufer und der Käufer Waren oder Dienstleistungen von Align als Verbraucher im Sinne des australischen Verbrauchergesetzes (gemäß Anhang 2 des Wettbewerbs- und Verbrauchergesetzes 2010 (Cth) in seiner jeweils geänderten oder ersetzten Fassung) erwerben, haben Sie möglicherweise bestimmte Rechte und Rechtsbehelfe (einschließlich, aber nicht beschränkt auf Verbrauchergarantierechte), die nicht durch eine Vereinbarung ausgeschlossen, eingeschränkt oder geändert werden können.</w:t>
            </w:r>
          </w:p>
          <w:p w14:paraId="607947BA" w14:textId="46D499E0" w:rsidR="00D3587F" w:rsidRPr="003B003C" w:rsidRDefault="1FB04215" w:rsidP="76899A30">
            <w:pPr>
              <w:jc w:val="both"/>
              <w:rPr>
                <w:sz w:val="20"/>
                <w:szCs w:val="20"/>
                <w:lang w:val="de-DE"/>
              </w:rPr>
            </w:pPr>
            <w:r>
              <w:rPr>
                <w:sz w:val="20"/>
                <w:szCs w:val="20"/>
                <w:lang w:val="de-DE"/>
              </w:rPr>
              <w:t xml:space="preserve">5.5 Nichts in dieser Globalen Übertragungsrichtlinie dient dazu, die Anwendung einer stillschweigenden Bedingung oder Garantie, Bestimmung, Ausübung eines Rechts oder Rechtsbehelfs oder die Auferlegung einer Haftung nach dem australischen Verbrauchergesetz oder einem anderen Gesetz auszuschließen, einzuschränken oder zu ändern, wenn eine solche Handlung: </w:t>
            </w:r>
          </w:p>
          <w:p w14:paraId="27C18D41" w14:textId="15A1C418" w:rsidR="00D3587F" w:rsidRPr="003B003C" w:rsidRDefault="00D3587F" w:rsidP="00DE22CD">
            <w:pPr>
              <w:jc w:val="both"/>
              <w:rPr>
                <w:rFonts w:cstheme="minorHAnsi"/>
                <w:sz w:val="20"/>
                <w:szCs w:val="20"/>
                <w:lang w:val="de-DE"/>
              </w:rPr>
            </w:pPr>
            <w:r>
              <w:rPr>
                <w:rFonts w:cstheme="minorHAnsi"/>
                <w:sz w:val="20"/>
                <w:szCs w:val="20"/>
                <w:lang w:val="de-DE"/>
              </w:rPr>
              <w:t>i. gegen dieses Gesetz verstoßen würde; oder</w:t>
            </w:r>
          </w:p>
          <w:p w14:paraId="4754B28E" w14:textId="29F685CA" w:rsidR="00D3587F" w:rsidRPr="003B003C" w:rsidRDefault="00D3587F" w:rsidP="00DE22CD">
            <w:pPr>
              <w:jc w:val="both"/>
              <w:rPr>
                <w:rFonts w:cstheme="minorHAnsi"/>
                <w:sz w:val="20"/>
                <w:szCs w:val="20"/>
                <w:lang w:val="de-DE"/>
              </w:rPr>
            </w:pPr>
            <w:r>
              <w:rPr>
                <w:rFonts w:cstheme="minorHAnsi"/>
                <w:sz w:val="20"/>
                <w:szCs w:val="20"/>
                <w:lang w:val="de-DE"/>
              </w:rPr>
              <w:t>ii. dazu führen würde, dass eine Bestimmung dieses Vertrags nichtig ist,</w:t>
            </w:r>
          </w:p>
          <w:p w14:paraId="1752D76B" w14:textId="77777777" w:rsidR="00D3587F" w:rsidRPr="003B003C" w:rsidRDefault="00D3587F" w:rsidP="00DE22CD">
            <w:pPr>
              <w:jc w:val="both"/>
              <w:rPr>
                <w:rFonts w:cstheme="minorHAnsi"/>
                <w:sz w:val="20"/>
                <w:szCs w:val="20"/>
                <w:lang w:val="de-DE"/>
              </w:rPr>
            </w:pPr>
            <w:r>
              <w:rPr>
                <w:rFonts w:cstheme="minorHAnsi"/>
                <w:sz w:val="20"/>
                <w:szCs w:val="20"/>
                <w:lang w:val="de-DE"/>
              </w:rPr>
              <w:t xml:space="preserve">(„Nicht ausschließbare Verpflichtung“). </w:t>
            </w:r>
          </w:p>
          <w:p w14:paraId="7BDC4846" w14:textId="3E2A8FB6" w:rsidR="00D3587F" w:rsidRPr="003B003C" w:rsidRDefault="1FB04215" w:rsidP="00B26C76">
            <w:pPr>
              <w:spacing w:after="40"/>
              <w:jc w:val="both"/>
              <w:rPr>
                <w:sz w:val="20"/>
                <w:szCs w:val="20"/>
                <w:lang w:val="de-DE"/>
              </w:rPr>
            </w:pPr>
            <w:r>
              <w:rPr>
                <w:sz w:val="20"/>
                <w:szCs w:val="20"/>
                <w:lang w:val="de-DE"/>
              </w:rPr>
              <w:t>5.6 Wenn der Verkäufer den Käufer vor dem Kauf auf Mängel hinweist, sollte der Käufer den iTero Intraoralscanner vor dem Kauf inspizieren, um sicherzustellen, dass er mit dem Kauf fortfahren möchte, da er nach dem australischen Verbraucherschutzgesetz andernfalls kein Recht auf Nachbesserung hat.</w:t>
            </w:r>
          </w:p>
        </w:tc>
      </w:tr>
      <w:tr w:rsidR="00D3587F" w:rsidRPr="00D34288" w14:paraId="79E8E2AE" w14:textId="77777777" w:rsidTr="00B26C76">
        <w:tc>
          <w:tcPr>
            <w:tcW w:w="1300" w:type="dxa"/>
            <w:vAlign w:val="center"/>
          </w:tcPr>
          <w:p w14:paraId="62A029D8" w14:textId="72BDEA0F" w:rsidR="00D3587F" w:rsidRDefault="00DE22CD" w:rsidP="00DE22CD">
            <w:pPr>
              <w:jc w:val="center"/>
              <w:rPr>
                <w:rFonts w:cstheme="minorHAnsi"/>
                <w:sz w:val="20"/>
                <w:szCs w:val="20"/>
                <w:rtl/>
              </w:rPr>
            </w:pPr>
            <w:r>
              <w:rPr>
                <w:rFonts w:cstheme="minorHAnsi"/>
                <w:sz w:val="20"/>
                <w:szCs w:val="20"/>
                <w:lang w:val="de-DE"/>
              </w:rPr>
              <w:lastRenderedPageBreak/>
              <w:t>7.3-7.5 (neue Abschnitte)</w:t>
            </w:r>
          </w:p>
        </w:tc>
        <w:tc>
          <w:tcPr>
            <w:tcW w:w="8050" w:type="dxa"/>
          </w:tcPr>
          <w:p w14:paraId="121FE516" w14:textId="1A154ABA" w:rsidR="00DE22CD" w:rsidRPr="003B003C" w:rsidRDefault="22711D0A" w:rsidP="00B26C76">
            <w:pPr>
              <w:spacing w:before="40"/>
              <w:jc w:val="both"/>
              <w:rPr>
                <w:sz w:val="20"/>
                <w:szCs w:val="20"/>
                <w:lang w:val="de-DE"/>
              </w:rPr>
            </w:pPr>
            <w:r>
              <w:rPr>
                <w:sz w:val="20"/>
                <w:szCs w:val="20"/>
                <w:lang w:val="de-DE"/>
              </w:rPr>
              <w:t>7.3 Außer in Bezug auf die nicht ausschließbaren Verpflichtungen schließt diese Globale Übertragungsrichtlinie alle Bedingungen, Gewährleistungen, Garantien, Rechte, Rechtsbehelfe, Haftungen oder anderen Konditionen aus, die sich in Bezug auf den iTero Intraoralscanner und diese Globale Übertragungsrichtlinie aus dem Gewohnheitsrecht, allgemeinem Recht oder per Gesetz ergeben könnten.</w:t>
            </w:r>
          </w:p>
          <w:p w14:paraId="6CA446B8" w14:textId="75C193B5" w:rsidR="00DE22CD" w:rsidRPr="003B003C" w:rsidRDefault="22711D0A" w:rsidP="76899A30">
            <w:pPr>
              <w:jc w:val="both"/>
              <w:rPr>
                <w:sz w:val="20"/>
                <w:szCs w:val="20"/>
                <w:lang w:val="de-DE"/>
              </w:rPr>
            </w:pPr>
            <w:r>
              <w:rPr>
                <w:sz w:val="20"/>
                <w:szCs w:val="20"/>
                <w:lang w:val="de-DE"/>
              </w:rPr>
              <w:t>7.4 In Bezug auf nicht ausschließbare Verpflichtungen (mit Ausnahme einer Garantie in Bezug auf Rechtstitel, Belastungen oder ungestörten Besitz, die durch das australische Verbrauchergesetz gewährt wird), mit Ausnahme von Waren oder Dienstleistungen, die normalerweise für den persönlichen, häuslichen oder haushaltsüblichen Gebrauch oder Verbrauch erworben werden (in Bezug auf die die Haftung von Align gemäß dieser Globalen Übertragungsrichtlinie nicht beschränkt ist), ist die Haftung von Align gegenüber dem Kunden für die Nichteinhaltung einer nicht ausschließbaren Verpflichtung auf folgende Fälle beschränkt:</w:t>
            </w:r>
          </w:p>
          <w:p w14:paraId="7539F6DA" w14:textId="3C2F5527" w:rsidR="00DE22CD" w:rsidRPr="003B003C" w:rsidRDefault="00DE22CD" w:rsidP="00DE22CD">
            <w:pPr>
              <w:jc w:val="both"/>
              <w:rPr>
                <w:rFonts w:cstheme="minorHAnsi"/>
                <w:sz w:val="20"/>
                <w:szCs w:val="20"/>
                <w:lang w:val="de-DE"/>
              </w:rPr>
            </w:pPr>
            <w:r>
              <w:rPr>
                <w:rFonts w:cstheme="minorHAnsi"/>
                <w:sz w:val="20"/>
                <w:szCs w:val="20"/>
                <w:lang w:val="de-DE"/>
              </w:rPr>
              <w:t>i. bei Dienstleistungen: die erneute Erbringung der Dienstleistungen oder die Zahlung der Kosten für den Auftrag zur erneuten Erbringung der Dienstleistungen; und</w:t>
            </w:r>
          </w:p>
          <w:p w14:paraId="4BC00CB2" w14:textId="2B2DCAF3" w:rsidR="00DE22CD" w:rsidRPr="003B003C" w:rsidRDefault="00DE22CD" w:rsidP="00DE22CD">
            <w:pPr>
              <w:jc w:val="both"/>
              <w:rPr>
                <w:rFonts w:cstheme="minorHAnsi"/>
                <w:sz w:val="20"/>
                <w:szCs w:val="20"/>
                <w:lang w:val="de-DE"/>
              </w:rPr>
            </w:pPr>
            <w:r>
              <w:rPr>
                <w:rFonts w:cstheme="minorHAnsi"/>
                <w:sz w:val="20"/>
                <w:szCs w:val="20"/>
                <w:lang w:val="de-DE"/>
              </w:rPr>
              <w:t>ii. bei Waren: der Ersatz der Waren, die Lieferung gleichwertiger Waren oder die Reparatur der Waren oder die Zahlung der Kosten für den Ersatz der Waren, die Lieferung gleichwertiger Waren oder die Reparatur der Waren.</w:t>
            </w:r>
          </w:p>
          <w:p w14:paraId="3572385C" w14:textId="01D80134" w:rsidR="00D3587F" w:rsidRPr="003B003C" w:rsidRDefault="22711D0A" w:rsidP="00B26C76">
            <w:pPr>
              <w:spacing w:after="40"/>
              <w:jc w:val="both"/>
              <w:rPr>
                <w:sz w:val="20"/>
                <w:szCs w:val="20"/>
                <w:lang w:val="de-DE"/>
              </w:rPr>
            </w:pPr>
            <w:r>
              <w:rPr>
                <w:sz w:val="20"/>
                <w:szCs w:val="20"/>
                <w:lang w:val="de-DE"/>
              </w:rPr>
              <w:t>7.5 Wenn die Globale Übertragungsrichtlinie vom Verkäufer verlangt, Align und verbundene Unternehmen (und ihre jeweiligen Rechtsnachfolger und Abtretungsempfänger) zu entschädigen und Align schadlos zu halten, wird die Haftung des Verkäufers in dem Umfang reduziert, in dem die Verluste, die zu der Schadloshaltung führen, von Align verursacht oder mitverschuldet wurden.</w:t>
            </w:r>
          </w:p>
        </w:tc>
      </w:tr>
      <w:tr w:rsidR="00DE22CD" w:rsidRPr="00D34288" w14:paraId="6C2CDEB0" w14:textId="77777777" w:rsidTr="00B26C76">
        <w:tc>
          <w:tcPr>
            <w:tcW w:w="1300" w:type="dxa"/>
            <w:vAlign w:val="center"/>
          </w:tcPr>
          <w:p w14:paraId="7B66AB50" w14:textId="01437FCF" w:rsidR="00DE22CD" w:rsidRDefault="00DE22CD" w:rsidP="00DE22CD">
            <w:pPr>
              <w:jc w:val="center"/>
              <w:rPr>
                <w:rFonts w:cstheme="minorHAnsi"/>
                <w:sz w:val="20"/>
                <w:szCs w:val="20"/>
              </w:rPr>
            </w:pPr>
            <w:r>
              <w:rPr>
                <w:rFonts w:cstheme="minorHAnsi"/>
                <w:sz w:val="20"/>
                <w:szCs w:val="20"/>
                <w:lang w:val="de-DE"/>
              </w:rPr>
              <w:t>8.2 (neuer Abschnitt)</w:t>
            </w:r>
          </w:p>
        </w:tc>
        <w:tc>
          <w:tcPr>
            <w:tcW w:w="8050" w:type="dxa"/>
          </w:tcPr>
          <w:p w14:paraId="3FDFB82D" w14:textId="1E87BE84" w:rsidR="00DE22CD" w:rsidRPr="003B003C" w:rsidRDefault="22711D0A" w:rsidP="00B26C76">
            <w:pPr>
              <w:spacing w:before="40"/>
              <w:jc w:val="both"/>
              <w:rPr>
                <w:sz w:val="20"/>
                <w:szCs w:val="20"/>
                <w:lang w:val="de-DE"/>
              </w:rPr>
            </w:pPr>
            <w:r>
              <w:rPr>
                <w:sz w:val="20"/>
                <w:szCs w:val="20"/>
                <w:lang w:val="de-DE"/>
              </w:rPr>
              <w:t>Wenn diese Globale Übertragungsrichtlinie es Align erlaubt, eine Gebühr zu berechnen für:</w:t>
            </w:r>
          </w:p>
          <w:p w14:paraId="04A977E9" w14:textId="5A918E47" w:rsidR="00DE22CD" w:rsidRPr="003B003C" w:rsidRDefault="22711D0A" w:rsidP="76899A30">
            <w:pPr>
              <w:jc w:val="both"/>
              <w:rPr>
                <w:sz w:val="20"/>
                <w:szCs w:val="20"/>
                <w:lang w:val="de-DE"/>
              </w:rPr>
            </w:pPr>
            <w:r>
              <w:rPr>
                <w:sz w:val="20"/>
                <w:szCs w:val="20"/>
                <w:lang w:val="de-DE"/>
              </w:rPr>
              <w:t xml:space="preserve">a. Vor-Ort- oder Fernbewertung: Die Gebühr fällt nur an, wenn sie im ursprünglichen Kaufvertrag, den der Verkäufer mit Align für den iTero Intraoralscanner, der übertragen werden soll, abgeschlossen hat, enthalten war; und </w:t>
            </w:r>
          </w:p>
          <w:p w14:paraId="2CC712E6" w14:textId="7C5A8572" w:rsidR="00DE22CD" w:rsidRPr="003B003C" w:rsidRDefault="00DE22CD" w:rsidP="00B26C76">
            <w:pPr>
              <w:spacing w:after="40"/>
              <w:jc w:val="both"/>
              <w:rPr>
                <w:rFonts w:cstheme="minorHAnsi"/>
                <w:sz w:val="20"/>
                <w:szCs w:val="20"/>
                <w:lang w:val="de-DE"/>
              </w:rPr>
            </w:pPr>
            <w:r>
              <w:rPr>
                <w:rFonts w:cstheme="minorHAnsi"/>
                <w:sz w:val="20"/>
                <w:szCs w:val="20"/>
                <w:lang w:val="de-DE"/>
              </w:rPr>
              <w:t>b. Erforderliche Reparaturen: Align berechnet keine Gebühr, wenn der Verkäufer oder der Käufer Anspruch auf die Reparatur gemäß Anlage 2 des Wettbewerbs- und Verbrauchergesetzes 2010 (Cth) in der jeweils geänderten oder ersetzten Fassung hat.</w:t>
            </w:r>
          </w:p>
        </w:tc>
      </w:tr>
    </w:tbl>
    <w:p w14:paraId="65B0DE09" w14:textId="77777777" w:rsidR="00D3587F" w:rsidRPr="003B003C" w:rsidRDefault="00D3587F" w:rsidP="00F625A4">
      <w:pPr>
        <w:jc w:val="both"/>
        <w:rPr>
          <w:rFonts w:cstheme="minorHAnsi"/>
          <w:sz w:val="20"/>
          <w:szCs w:val="20"/>
          <w:lang w:val="de-DE"/>
        </w:rPr>
      </w:pPr>
    </w:p>
    <w:sectPr w:rsidR="00D3587F" w:rsidRPr="003B00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AA3B" w14:textId="77777777" w:rsidR="00AE7989" w:rsidRDefault="00AE7989">
      <w:pPr>
        <w:spacing w:after="0" w:line="240" w:lineRule="auto"/>
      </w:pPr>
      <w:r>
        <w:separator/>
      </w:r>
    </w:p>
  </w:endnote>
  <w:endnote w:type="continuationSeparator" w:id="0">
    <w:p w14:paraId="33D3057E" w14:textId="77777777" w:rsidR="00AE7989" w:rsidRDefault="00AE7989">
      <w:pPr>
        <w:spacing w:after="0" w:line="240" w:lineRule="auto"/>
      </w:pPr>
      <w:r>
        <w:continuationSeparator/>
      </w:r>
    </w:p>
  </w:endnote>
  <w:endnote w:type="continuationNotice" w:id="1">
    <w:p w14:paraId="607CE3D6" w14:textId="77777777" w:rsidR="00AE7989" w:rsidRDefault="00AE7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29B7" w14:textId="77777777" w:rsidR="00AE7989" w:rsidRDefault="00AE7989">
      <w:pPr>
        <w:spacing w:after="0" w:line="240" w:lineRule="auto"/>
      </w:pPr>
      <w:r>
        <w:separator/>
      </w:r>
    </w:p>
  </w:footnote>
  <w:footnote w:type="continuationSeparator" w:id="0">
    <w:p w14:paraId="5D19D99C" w14:textId="77777777" w:rsidR="00AE7989" w:rsidRDefault="00AE7989">
      <w:pPr>
        <w:spacing w:after="0" w:line="240" w:lineRule="auto"/>
      </w:pPr>
      <w:r>
        <w:continuationSeparator/>
      </w:r>
    </w:p>
  </w:footnote>
  <w:footnote w:type="continuationNotice" w:id="1">
    <w:p w14:paraId="7170B7B4" w14:textId="77777777" w:rsidR="00AE7989" w:rsidRDefault="00AE7989">
      <w:pPr>
        <w:spacing w:after="0" w:line="240" w:lineRule="auto"/>
      </w:pPr>
    </w:p>
  </w:footnote>
  <w:footnote w:id="2">
    <w:p w14:paraId="500A5AC3" w14:textId="52DA9FE5" w:rsidR="003266F9" w:rsidRPr="003B003C" w:rsidRDefault="003266F9">
      <w:pPr>
        <w:pStyle w:val="FootnoteText"/>
        <w:rPr>
          <w:spacing w:val="-2"/>
          <w:lang w:val="de-DE"/>
        </w:rPr>
      </w:pPr>
      <w:r>
        <w:rPr>
          <w:rStyle w:val="FootnoteReference"/>
          <w:lang w:val="de-DE"/>
        </w:rPr>
        <w:footnoteRef/>
      </w:r>
      <w:r>
        <w:rPr>
          <w:lang w:val="de-DE"/>
        </w:rPr>
        <w:t xml:space="preserve"> </w:t>
      </w:r>
      <w:r w:rsidRPr="003B003C">
        <w:rPr>
          <w:spacing w:val="-2"/>
          <w:sz w:val="18"/>
          <w:szCs w:val="18"/>
          <w:lang w:val="de-DE"/>
        </w:rPr>
        <w:t xml:space="preserve">Kunden mit Sitz in der </w:t>
      </w:r>
      <w:r w:rsidRPr="003B003C">
        <w:rPr>
          <w:b/>
          <w:bCs/>
          <w:spacing w:val="-2"/>
          <w:sz w:val="18"/>
          <w:szCs w:val="18"/>
          <w:lang w:val="de-DE"/>
        </w:rPr>
        <w:t>EU</w:t>
      </w:r>
      <w:r w:rsidRPr="003B003C">
        <w:rPr>
          <w:spacing w:val="-2"/>
          <w:sz w:val="18"/>
          <w:szCs w:val="18"/>
          <w:lang w:val="de-DE"/>
        </w:rPr>
        <w:t>: Für die Zwecke dieser Globalen Übertragungsrichtlinie bezeichnet „Land“ alle Mitgliedstaaten der 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85A"/>
    <w:multiLevelType w:val="hybridMultilevel"/>
    <w:tmpl w:val="05D62466"/>
    <w:lvl w:ilvl="0" w:tplc="E9AAD4F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F2E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1419F"/>
    <w:multiLevelType w:val="hybridMultilevel"/>
    <w:tmpl w:val="32A68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773E15"/>
    <w:multiLevelType w:val="hybridMultilevel"/>
    <w:tmpl w:val="2152C6E0"/>
    <w:lvl w:ilvl="0" w:tplc="FFFFFFFF">
      <w:start w:val="1"/>
      <w:numFmt w:val="lowerLetter"/>
      <w:lvlText w:val="%1."/>
      <w:lvlJc w:val="left"/>
      <w:pPr>
        <w:ind w:left="1440" w:hanging="720"/>
      </w:pPr>
      <w:rPr>
        <w:rFonts w:asciiTheme="minorHAnsi" w:eastAsia="Times New Roman" w:hAnsiTheme="minorHAnsi" w:cstheme="minorHAnsi"/>
      </w:rPr>
    </w:lvl>
    <w:lvl w:ilvl="1" w:tplc="FFFFFFFF">
      <w:start w:val="1"/>
      <w:numFmt w:val="lowerRoman"/>
      <w:lvlText w:val="%2."/>
      <w:lvlJc w:val="left"/>
      <w:pPr>
        <w:ind w:left="1800" w:hanging="360"/>
      </w:pPr>
      <w:rPr>
        <w:rFonts w:ascii="Arial" w:eastAsia="Times New Roman" w:hAnsi="Arial" w:cs="Aria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0D68DF"/>
    <w:multiLevelType w:val="hybridMultilevel"/>
    <w:tmpl w:val="7BAAC9E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357F2"/>
    <w:multiLevelType w:val="multilevel"/>
    <w:tmpl w:val="98568AE2"/>
    <w:lvl w:ilvl="0">
      <w:start w:val="1"/>
      <w:numFmt w:val="decimal"/>
      <w:lvlRestart w:val="0"/>
      <w:pStyle w:val="FFWLevel1"/>
      <w:isLgl/>
      <w:lvlText w:val="%1."/>
      <w:lvlJc w:val="left"/>
      <w:pPr>
        <w:tabs>
          <w:tab w:val="num" w:pos="794"/>
        </w:tabs>
        <w:ind w:left="794" w:hanging="794"/>
      </w:pPr>
      <w:rPr>
        <w:b/>
      </w:rPr>
    </w:lvl>
    <w:lvl w:ilvl="1">
      <w:start w:val="1"/>
      <w:numFmt w:val="decimal"/>
      <w:pStyle w:val="FFWLevel2"/>
      <w:isLgl/>
      <w:lvlText w:val="%1.%2"/>
      <w:lvlJc w:val="left"/>
      <w:pPr>
        <w:tabs>
          <w:tab w:val="num" w:pos="794"/>
        </w:tabs>
        <w:ind w:left="794" w:hanging="794"/>
      </w:pPr>
      <w:rPr>
        <w:b w:val="0"/>
      </w:rPr>
    </w:lvl>
    <w:lvl w:ilvl="2">
      <w:start w:val="1"/>
      <w:numFmt w:val="decimal"/>
      <w:pStyle w:val="FFWLevel3"/>
      <w:isLgl/>
      <w:lvlText w:val="%1.%2.%3"/>
      <w:lvlJc w:val="left"/>
      <w:pPr>
        <w:tabs>
          <w:tab w:val="num" w:pos="794"/>
        </w:tabs>
        <w:ind w:left="794" w:hanging="794"/>
      </w:pPr>
      <w:rPr>
        <w:b w:val="0"/>
      </w:rPr>
    </w:lvl>
    <w:lvl w:ilvl="3">
      <w:start w:val="1"/>
      <w:numFmt w:val="lowerLetter"/>
      <w:pStyle w:val="FFWLevel4"/>
      <w:lvlText w:val="(%4)"/>
      <w:lvlJc w:val="left"/>
      <w:pPr>
        <w:tabs>
          <w:tab w:val="num" w:pos="1587"/>
        </w:tabs>
        <w:ind w:left="1587" w:hanging="793"/>
      </w:pPr>
    </w:lvl>
    <w:lvl w:ilvl="4">
      <w:start w:val="1"/>
      <w:numFmt w:val="lowerRoman"/>
      <w:pStyle w:val="FFWLevel5"/>
      <w:lvlText w:val="(%5)"/>
      <w:lvlJc w:val="left"/>
      <w:pPr>
        <w:tabs>
          <w:tab w:val="num" w:pos="2381"/>
        </w:tabs>
        <w:ind w:left="2381" w:hanging="794"/>
      </w:p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6" w15:restartNumberingAfterBreak="0">
    <w:nsid w:val="2DC472C9"/>
    <w:multiLevelType w:val="hybridMultilevel"/>
    <w:tmpl w:val="3086DA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507CA"/>
    <w:multiLevelType w:val="hybridMultilevel"/>
    <w:tmpl w:val="7CD8FAC0"/>
    <w:lvl w:ilvl="0" w:tplc="DE58596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8A134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E323EB"/>
    <w:multiLevelType w:val="hybridMultilevel"/>
    <w:tmpl w:val="29306940"/>
    <w:lvl w:ilvl="0" w:tplc="E9AAD4F2">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5F6BAB"/>
    <w:multiLevelType w:val="hybridMultilevel"/>
    <w:tmpl w:val="2152C6E0"/>
    <w:lvl w:ilvl="0" w:tplc="CAD03C2C">
      <w:start w:val="1"/>
      <w:numFmt w:val="lowerLetter"/>
      <w:lvlText w:val="%1."/>
      <w:lvlJc w:val="left"/>
      <w:pPr>
        <w:ind w:left="1440" w:hanging="720"/>
      </w:pPr>
      <w:rPr>
        <w:rFonts w:asciiTheme="minorHAnsi" w:eastAsia="Times New Roman" w:hAnsiTheme="minorHAnsi" w:cstheme="minorHAnsi"/>
      </w:rPr>
    </w:lvl>
    <w:lvl w:ilvl="1" w:tplc="37AAD1DE">
      <w:start w:val="1"/>
      <w:numFmt w:val="lowerRoman"/>
      <w:lvlText w:val="%2."/>
      <w:lvlJc w:val="left"/>
      <w:pPr>
        <w:ind w:left="1800" w:hanging="360"/>
      </w:pPr>
      <w:rPr>
        <w:rFonts w:ascii="Arial" w:eastAsia="Times New Roman" w:hAnsi="Arial" w:cs="Arial"/>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2F13DA5"/>
    <w:multiLevelType w:val="hybridMultilevel"/>
    <w:tmpl w:val="32A680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7A7865"/>
    <w:multiLevelType w:val="hybridMultilevel"/>
    <w:tmpl w:val="7CD8FAC0"/>
    <w:lvl w:ilvl="0" w:tplc="DE5859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C736C94"/>
    <w:multiLevelType w:val="hybridMultilevel"/>
    <w:tmpl w:val="4B4AC5C8"/>
    <w:lvl w:ilvl="0" w:tplc="1C30D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27307"/>
    <w:multiLevelType w:val="hybridMultilevel"/>
    <w:tmpl w:val="E4B80C12"/>
    <w:lvl w:ilvl="0" w:tplc="6EE82868">
      <w:start w:val="1"/>
      <w:numFmt w:val="lowerLetter"/>
      <w:pStyle w:val="Heading3"/>
      <w:lvlText w:val="(%1)"/>
      <w:lvlJc w:val="left"/>
      <w:pPr>
        <w:ind w:left="1080" w:hanging="360"/>
      </w:pPr>
      <w:rPr>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76507BC6">
      <w:start w:val="1"/>
      <w:numFmt w:val="decimal"/>
      <w:pStyle w:val="Heading4"/>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A33C49"/>
    <w:multiLevelType w:val="hybridMultilevel"/>
    <w:tmpl w:val="6E96D41E"/>
    <w:lvl w:ilvl="0" w:tplc="132CCEC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7F82A90"/>
    <w:multiLevelType w:val="multilevel"/>
    <w:tmpl w:val="110A1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E0149"/>
    <w:multiLevelType w:val="hybridMultilevel"/>
    <w:tmpl w:val="2152C6E0"/>
    <w:lvl w:ilvl="0" w:tplc="FFFFFFFF">
      <w:start w:val="1"/>
      <w:numFmt w:val="lowerLetter"/>
      <w:lvlText w:val="%1."/>
      <w:lvlJc w:val="left"/>
      <w:pPr>
        <w:ind w:left="1440" w:hanging="720"/>
      </w:pPr>
      <w:rPr>
        <w:rFonts w:asciiTheme="minorHAnsi" w:eastAsia="Times New Roman" w:hAnsiTheme="minorHAnsi" w:cstheme="minorHAnsi"/>
      </w:rPr>
    </w:lvl>
    <w:lvl w:ilvl="1" w:tplc="FFFFFFFF">
      <w:start w:val="1"/>
      <w:numFmt w:val="lowerRoman"/>
      <w:lvlText w:val="%2."/>
      <w:lvlJc w:val="left"/>
      <w:pPr>
        <w:ind w:left="1800" w:hanging="360"/>
      </w:pPr>
      <w:rPr>
        <w:rFonts w:ascii="Arial" w:eastAsia="Times New Roman" w:hAnsi="Arial" w:cs="Aria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633617"/>
    <w:multiLevelType w:val="hybridMultilevel"/>
    <w:tmpl w:val="3FBED16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8F94480"/>
    <w:multiLevelType w:val="hybridMultilevel"/>
    <w:tmpl w:val="C68429BE"/>
    <w:lvl w:ilvl="0" w:tplc="2EEA1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584623">
    <w:abstractNumId w:val="6"/>
  </w:num>
  <w:num w:numId="2" w16cid:durableId="1482962949">
    <w:abstractNumId w:val="4"/>
  </w:num>
  <w:num w:numId="3" w16cid:durableId="1333143468">
    <w:abstractNumId w:val="7"/>
  </w:num>
  <w:num w:numId="4" w16cid:durableId="1731920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65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333704">
    <w:abstractNumId w:val="16"/>
  </w:num>
  <w:num w:numId="7" w16cid:durableId="1376806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928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8391804">
    <w:abstractNumId w:val="13"/>
  </w:num>
  <w:num w:numId="10" w16cid:durableId="616301797">
    <w:abstractNumId w:val="0"/>
  </w:num>
  <w:num w:numId="11" w16cid:durableId="1711109828">
    <w:abstractNumId w:val="19"/>
  </w:num>
  <w:num w:numId="12" w16cid:durableId="656033353">
    <w:abstractNumId w:val="5"/>
  </w:num>
  <w:num w:numId="13" w16cid:durableId="2034189684">
    <w:abstractNumId w:val="10"/>
  </w:num>
  <w:num w:numId="14" w16cid:durableId="1130635530">
    <w:abstractNumId w:val="9"/>
  </w:num>
  <w:num w:numId="15" w16cid:durableId="658731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0726146">
    <w:abstractNumId w:val="11"/>
  </w:num>
  <w:num w:numId="17" w16cid:durableId="986973522">
    <w:abstractNumId w:val="5"/>
  </w:num>
  <w:num w:numId="18" w16cid:durableId="2058505440">
    <w:abstractNumId w:val="5"/>
  </w:num>
  <w:num w:numId="19" w16cid:durableId="860969836">
    <w:abstractNumId w:val="5"/>
  </w:num>
  <w:num w:numId="20" w16cid:durableId="1660386470">
    <w:abstractNumId w:val="14"/>
  </w:num>
  <w:num w:numId="21" w16cid:durableId="98448282">
    <w:abstractNumId w:val="5"/>
  </w:num>
  <w:num w:numId="22" w16cid:durableId="1854489305">
    <w:abstractNumId w:val="5"/>
  </w:num>
  <w:num w:numId="23" w16cid:durableId="203755698">
    <w:abstractNumId w:val="17"/>
  </w:num>
  <w:num w:numId="24" w16cid:durableId="293872714">
    <w:abstractNumId w:val="5"/>
  </w:num>
  <w:num w:numId="25" w16cid:durableId="374081642">
    <w:abstractNumId w:val="5"/>
  </w:num>
  <w:num w:numId="26" w16cid:durableId="1960140029">
    <w:abstractNumId w:val="5"/>
  </w:num>
  <w:num w:numId="27" w16cid:durableId="745230117">
    <w:abstractNumId w:val="5"/>
  </w:num>
  <w:num w:numId="28" w16cid:durableId="327056566">
    <w:abstractNumId w:val="5"/>
  </w:num>
  <w:num w:numId="29" w16cid:durableId="1971662366">
    <w:abstractNumId w:val="5"/>
  </w:num>
  <w:num w:numId="30" w16cid:durableId="1771897375">
    <w:abstractNumId w:val="3"/>
  </w:num>
  <w:num w:numId="31" w16cid:durableId="2132700798">
    <w:abstractNumId w:val="2"/>
  </w:num>
  <w:num w:numId="32" w16cid:durableId="2071953077">
    <w:abstractNumId w:val="5"/>
  </w:num>
  <w:num w:numId="33" w16cid:durableId="2059164798">
    <w:abstractNumId w:val="5"/>
  </w:num>
  <w:num w:numId="34" w16cid:durableId="1291936253">
    <w:abstractNumId w:val="18"/>
  </w:num>
  <w:num w:numId="35" w16cid:durableId="1224298124">
    <w:abstractNumId w:val="1"/>
  </w:num>
  <w:num w:numId="36" w16cid:durableId="323898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E2"/>
    <w:rsid w:val="0000172E"/>
    <w:rsid w:val="00005966"/>
    <w:rsid w:val="00005B35"/>
    <w:rsid w:val="00012B48"/>
    <w:rsid w:val="00013EDD"/>
    <w:rsid w:val="00016A72"/>
    <w:rsid w:val="00023284"/>
    <w:rsid w:val="00025A93"/>
    <w:rsid w:val="000367FA"/>
    <w:rsid w:val="00037C42"/>
    <w:rsid w:val="00047A1B"/>
    <w:rsid w:val="00051DC4"/>
    <w:rsid w:val="000522DC"/>
    <w:rsid w:val="00053E72"/>
    <w:rsid w:val="00054A5F"/>
    <w:rsid w:val="000600BB"/>
    <w:rsid w:val="000650FE"/>
    <w:rsid w:val="000713B6"/>
    <w:rsid w:val="000740DC"/>
    <w:rsid w:val="00074735"/>
    <w:rsid w:val="00075CF6"/>
    <w:rsid w:val="000762C5"/>
    <w:rsid w:val="00082863"/>
    <w:rsid w:val="00084F19"/>
    <w:rsid w:val="00095071"/>
    <w:rsid w:val="000965E8"/>
    <w:rsid w:val="000A20DA"/>
    <w:rsid w:val="000A2D41"/>
    <w:rsid w:val="000A2E52"/>
    <w:rsid w:val="000C16D4"/>
    <w:rsid w:val="000C42C9"/>
    <w:rsid w:val="000C505C"/>
    <w:rsid w:val="000C7801"/>
    <w:rsid w:val="000D2FC3"/>
    <w:rsid w:val="000E21F7"/>
    <w:rsid w:val="000E55E4"/>
    <w:rsid w:val="000E57E4"/>
    <w:rsid w:val="000E68B2"/>
    <w:rsid w:val="000F2751"/>
    <w:rsid w:val="000F3D8B"/>
    <w:rsid w:val="00102329"/>
    <w:rsid w:val="001048A6"/>
    <w:rsid w:val="00110A1D"/>
    <w:rsid w:val="00115314"/>
    <w:rsid w:val="0011659A"/>
    <w:rsid w:val="0011747F"/>
    <w:rsid w:val="001177C2"/>
    <w:rsid w:val="00121DED"/>
    <w:rsid w:val="00123E43"/>
    <w:rsid w:val="001251F1"/>
    <w:rsid w:val="00125526"/>
    <w:rsid w:val="001262ED"/>
    <w:rsid w:val="00126D88"/>
    <w:rsid w:val="00132E09"/>
    <w:rsid w:val="0015030D"/>
    <w:rsid w:val="00150F1E"/>
    <w:rsid w:val="00153158"/>
    <w:rsid w:val="00155167"/>
    <w:rsid w:val="00156169"/>
    <w:rsid w:val="001566CE"/>
    <w:rsid w:val="00157B23"/>
    <w:rsid w:val="00161BBF"/>
    <w:rsid w:val="00163576"/>
    <w:rsid w:val="001651D3"/>
    <w:rsid w:val="00166268"/>
    <w:rsid w:val="00173D5E"/>
    <w:rsid w:val="00174810"/>
    <w:rsid w:val="001816FC"/>
    <w:rsid w:val="00182A91"/>
    <w:rsid w:val="0018318A"/>
    <w:rsid w:val="00184B32"/>
    <w:rsid w:val="00185A6C"/>
    <w:rsid w:val="00190F6D"/>
    <w:rsid w:val="00191317"/>
    <w:rsid w:val="00195388"/>
    <w:rsid w:val="001A1F4C"/>
    <w:rsid w:val="001A20C4"/>
    <w:rsid w:val="001A5D69"/>
    <w:rsid w:val="001A7815"/>
    <w:rsid w:val="001B2297"/>
    <w:rsid w:val="001B2455"/>
    <w:rsid w:val="001B3BE8"/>
    <w:rsid w:val="001B4B13"/>
    <w:rsid w:val="001B528C"/>
    <w:rsid w:val="001B58A8"/>
    <w:rsid w:val="001B678C"/>
    <w:rsid w:val="001B6AA7"/>
    <w:rsid w:val="001B7126"/>
    <w:rsid w:val="001B74FD"/>
    <w:rsid w:val="001D088E"/>
    <w:rsid w:val="001D1138"/>
    <w:rsid w:val="001D135F"/>
    <w:rsid w:val="001D18A9"/>
    <w:rsid w:val="001D5267"/>
    <w:rsid w:val="001E0F49"/>
    <w:rsid w:val="001E329A"/>
    <w:rsid w:val="001E5690"/>
    <w:rsid w:val="001E5DCE"/>
    <w:rsid w:val="001F0332"/>
    <w:rsid w:val="001F24E5"/>
    <w:rsid w:val="001F4988"/>
    <w:rsid w:val="002117CA"/>
    <w:rsid w:val="00212EE7"/>
    <w:rsid w:val="00213FF7"/>
    <w:rsid w:val="00220B17"/>
    <w:rsid w:val="002230E2"/>
    <w:rsid w:val="0022513A"/>
    <w:rsid w:val="00234B42"/>
    <w:rsid w:val="00234B6D"/>
    <w:rsid w:val="002461AA"/>
    <w:rsid w:val="002605FD"/>
    <w:rsid w:val="002628F6"/>
    <w:rsid w:val="00265179"/>
    <w:rsid w:val="00271112"/>
    <w:rsid w:val="00271507"/>
    <w:rsid w:val="00274C9E"/>
    <w:rsid w:val="002759D4"/>
    <w:rsid w:val="0028512B"/>
    <w:rsid w:val="00287097"/>
    <w:rsid w:val="0028770F"/>
    <w:rsid w:val="00291EDE"/>
    <w:rsid w:val="00292690"/>
    <w:rsid w:val="00293FF2"/>
    <w:rsid w:val="002951A6"/>
    <w:rsid w:val="002A09E3"/>
    <w:rsid w:val="002A0D00"/>
    <w:rsid w:val="002A2071"/>
    <w:rsid w:val="002A66A6"/>
    <w:rsid w:val="002B682F"/>
    <w:rsid w:val="002B7FB0"/>
    <w:rsid w:val="002D140C"/>
    <w:rsid w:val="002D2D5D"/>
    <w:rsid w:val="002E13E9"/>
    <w:rsid w:val="002E378B"/>
    <w:rsid w:val="002E62FD"/>
    <w:rsid w:val="002E6394"/>
    <w:rsid w:val="002E7D43"/>
    <w:rsid w:val="00303555"/>
    <w:rsid w:val="0031082E"/>
    <w:rsid w:val="00310B95"/>
    <w:rsid w:val="0031297E"/>
    <w:rsid w:val="00312F60"/>
    <w:rsid w:val="00315198"/>
    <w:rsid w:val="00315FE3"/>
    <w:rsid w:val="003266F9"/>
    <w:rsid w:val="003314FC"/>
    <w:rsid w:val="00345512"/>
    <w:rsid w:val="0035382B"/>
    <w:rsid w:val="00360098"/>
    <w:rsid w:val="00367D4E"/>
    <w:rsid w:val="00375408"/>
    <w:rsid w:val="003804A5"/>
    <w:rsid w:val="00380C43"/>
    <w:rsid w:val="0038531A"/>
    <w:rsid w:val="00391A15"/>
    <w:rsid w:val="00391C83"/>
    <w:rsid w:val="003973C2"/>
    <w:rsid w:val="003A0B37"/>
    <w:rsid w:val="003A5C41"/>
    <w:rsid w:val="003B003C"/>
    <w:rsid w:val="003B1333"/>
    <w:rsid w:val="003B2E1C"/>
    <w:rsid w:val="003D463A"/>
    <w:rsid w:val="003D53FB"/>
    <w:rsid w:val="003D6695"/>
    <w:rsid w:val="003D7C4F"/>
    <w:rsid w:val="003E0185"/>
    <w:rsid w:val="003E2360"/>
    <w:rsid w:val="003E315E"/>
    <w:rsid w:val="003E60AF"/>
    <w:rsid w:val="003E6234"/>
    <w:rsid w:val="003F1EF6"/>
    <w:rsid w:val="003F2D23"/>
    <w:rsid w:val="003F2F43"/>
    <w:rsid w:val="003F318D"/>
    <w:rsid w:val="0040360F"/>
    <w:rsid w:val="00403DF1"/>
    <w:rsid w:val="00406708"/>
    <w:rsid w:val="00413BD0"/>
    <w:rsid w:val="00427261"/>
    <w:rsid w:val="00432625"/>
    <w:rsid w:val="00444B0E"/>
    <w:rsid w:val="004478A0"/>
    <w:rsid w:val="00452497"/>
    <w:rsid w:val="004551C7"/>
    <w:rsid w:val="004615AF"/>
    <w:rsid w:val="004643B3"/>
    <w:rsid w:val="0047179B"/>
    <w:rsid w:val="004721BB"/>
    <w:rsid w:val="0047472B"/>
    <w:rsid w:val="00476C3D"/>
    <w:rsid w:val="00487582"/>
    <w:rsid w:val="00490BF9"/>
    <w:rsid w:val="00491364"/>
    <w:rsid w:val="00491E07"/>
    <w:rsid w:val="00497988"/>
    <w:rsid w:val="004B253A"/>
    <w:rsid w:val="004C5E63"/>
    <w:rsid w:val="004D5A1E"/>
    <w:rsid w:val="004D6287"/>
    <w:rsid w:val="004E13DC"/>
    <w:rsid w:val="004E4341"/>
    <w:rsid w:val="004E7642"/>
    <w:rsid w:val="004F1FA3"/>
    <w:rsid w:val="004F214F"/>
    <w:rsid w:val="004F765C"/>
    <w:rsid w:val="00502228"/>
    <w:rsid w:val="0051065A"/>
    <w:rsid w:val="00517AC4"/>
    <w:rsid w:val="00523643"/>
    <w:rsid w:val="00530540"/>
    <w:rsid w:val="00533EB0"/>
    <w:rsid w:val="00536971"/>
    <w:rsid w:val="00541130"/>
    <w:rsid w:val="005460B8"/>
    <w:rsid w:val="005468FE"/>
    <w:rsid w:val="00560823"/>
    <w:rsid w:val="005618C0"/>
    <w:rsid w:val="00567CB3"/>
    <w:rsid w:val="00567EE2"/>
    <w:rsid w:val="005723BA"/>
    <w:rsid w:val="00577C95"/>
    <w:rsid w:val="0058335D"/>
    <w:rsid w:val="00583F57"/>
    <w:rsid w:val="00586F7C"/>
    <w:rsid w:val="005A41A6"/>
    <w:rsid w:val="005A5F20"/>
    <w:rsid w:val="005A6275"/>
    <w:rsid w:val="005B1898"/>
    <w:rsid w:val="005B2CDB"/>
    <w:rsid w:val="005B5C7C"/>
    <w:rsid w:val="005B7797"/>
    <w:rsid w:val="005C0F52"/>
    <w:rsid w:val="005C2C88"/>
    <w:rsid w:val="005C52DA"/>
    <w:rsid w:val="005C66A1"/>
    <w:rsid w:val="005D0CA3"/>
    <w:rsid w:val="005D1249"/>
    <w:rsid w:val="005D72CA"/>
    <w:rsid w:val="005E098E"/>
    <w:rsid w:val="005E0FC3"/>
    <w:rsid w:val="005E7D5E"/>
    <w:rsid w:val="005F067D"/>
    <w:rsid w:val="005F0881"/>
    <w:rsid w:val="005F4129"/>
    <w:rsid w:val="005F78A7"/>
    <w:rsid w:val="006000A6"/>
    <w:rsid w:val="00600E6F"/>
    <w:rsid w:val="00602231"/>
    <w:rsid w:val="00611540"/>
    <w:rsid w:val="00611C45"/>
    <w:rsid w:val="00615492"/>
    <w:rsid w:val="00615BF1"/>
    <w:rsid w:val="00625D7C"/>
    <w:rsid w:val="006261C6"/>
    <w:rsid w:val="00626817"/>
    <w:rsid w:val="00627BE2"/>
    <w:rsid w:val="00630445"/>
    <w:rsid w:val="006325F0"/>
    <w:rsid w:val="0064108B"/>
    <w:rsid w:val="00641144"/>
    <w:rsid w:val="006449B4"/>
    <w:rsid w:val="006452DE"/>
    <w:rsid w:val="0064789D"/>
    <w:rsid w:val="00647AB0"/>
    <w:rsid w:val="006516AD"/>
    <w:rsid w:val="00653566"/>
    <w:rsid w:val="0065457B"/>
    <w:rsid w:val="00656601"/>
    <w:rsid w:val="006701A8"/>
    <w:rsid w:val="006724B7"/>
    <w:rsid w:val="00672821"/>
    <w:rsid w:val="0068297B"/>
    <w:rsid w:val="00682D85"/>
    <w:rsid w:val="0068785A"/>
    <w:rsid w:val="00695438"/>
    <w:rsid w:val="006A0EEE"/>
    <w:rsid w:val="006A1E53"/>
    <w:rsid w:val="006A31A0"/>
    <w:rsid w:val="006A5BA6"/>
    <w:rsid w:val="006B3E58"/>
    <w:rsid w:val="006B4DB7"/>
    <w:rsid w:val="006B588A"/>
    <w:rsid w:val="006C4740"/>
    <w:rsid w:val="006C501A"/>
    <w:rsid w:val="006C7A96"/>
    <w:rsid w:val="006D150D"/>
    <w:rsid w:val="006D230A"/>
    <w:rsid w:val="006D5444"/>
    <w:rsid w:val="006E16AD"/>
    <w:rsid w:val="006E17D5"/>
    <w:rsid w:val="006E7F0E"/>
    <w:rsid w:val="006F00F5"/>
    <w:rsid w:val="006F4344"/>
    <w:rsid w:val="006F4567"/>
    <w:rsid w:val="006F5B5B"/>
    <w:rsid w:val="006F5BA8"/>
    <w:rsid w:val="006F7685"/>
    <w:rsid w:val="00700462"/>
    <w:rsid w:val="00701CA6"/>
    <w:rsid w:val="00704B00"/>
    <w:rsid w:val="007072F6"/>
    <w:rsid w:val="00711E25"/>
    <w:rsid w:val="0071296A"/>
    <w:rsid w:val="007171CB"/>
    <w:rsid w:val="007204A4"/>
    <w:rsid w:val="007221EC"/>
    <w:rsid w:val="00727101"/>
    <w:rsid w:val="0073048B"/>
    <w:rsid w:val="007322E3"/>
    <w:rsid w:val="00734484"/>
    <w:rsid w:val="007419BA"/>
    <w:rsid w:val="007458A8"/>
    <w:rsid w:val="0074616B"/>
    <w:rsid w:val="00755F39"/>
    <w:rsid w:val="00757351"/>
    <w:rsid w:val="007575EB"/>
    <w:rsid w:val="0076409B"/>
    <w:rsid w:val="007747B0"/>
    <w:rsid w:val="007837AD"/>
    <w:rsid w:val="0078588C"/>
    <w:rsid w:val="00794C27"/>
    <w:rsid w:val="007957DE"/>
    <w:rsid w:val="0079799A"/>
    <w:rsid w:val="007A3934"/>
    <w:rsid w:val="007A716B"/>
    <w:rsid w:val="007B5E28"/>
    <w:rsid w:val="007C34E2"/>
    <w:rsid w:val="007D76DD"/>
    <w:rsid w:val="007E030B"/>
    <w:rsid w:val="007E36CF"/>
    <w:rsid w:val="007F0DAE"/>
    <w:rsid w:val="007F41C8"/>
    <w:rsid w:val="008028A6"/>
    <w:rsid w:val="008032BC"/>
    <w:rsid w:val="00812216"/>
    <w:rsid w:val="0081675E"/>
    <w:rsid w:val="00817EDC"/>
    <w:rsid w:val="008261D8"/>
    <w:rsid w:val="00833B0E"/>
    <w:rsid w:val="00833C47"/>
    <w:rsid w:val="00840DAA"/>
    <w:rsid w:val="00842C0F"/>
    <w:rsid w:val="00843089"/>
    <w:rsid w:val="00844D98"/>
    <w:rsid w:val="00844F93"/>
    <w:rsid w:val="008510C0"/>
    <w:rsid w:val="00863B44"/>
    <w:rsid w:val="008656EE"/>
    <w:rsid w:val="00870164"/>
    <w:rsid w:val="0088200F"/>
    <w:rsid w:val="00882312"/>
    <w:rsid w:val="008953AD"/>
    <w:rsid w:val="00896815"/>
    <w:rsid w:val="00897C81"/>
    <w:rsid w:val="008A7C7F"/>
    <w:rsid w:val="008A7DBD"/>
    <w:rsid w:val="008B0349"/>
    <w:rsid w:val="008B0D55"/>
    <w:rsid w:val="008B4245"/>
    <w:rsid w:val="008B548B"/>
    <w:rsid w:val="008B6AFD"/>
    <w:rsid w:val="008B6F28"/>
    <w:rsid w:val="008B7CDC"/>
    <w:rsid w:val="008C0AC0"/>
    <w:rsid w:val="008C2B42"/>
    <w:rsid w:val="008C3D12"/>
    <w:rsid w:val="008D2F16"/>
    <w:rsid w:val="008E4B0E"/>
    <w:rsid w:val="008F3D1E"/>
    <w:rsid w:val="008F70A1"/>
    <w:rsid w:val="009018DF"/>
    <w:rsid w:val="00901944"/>
    <w:rsid w:val="00904436"/>
    <w:rsid w:val="00912EB1"/>
    <w:rsid w:val="00913082"/>
    <w:rsid w:val="00915142"/>
    <w:rsid w:val="00915384"/>
    <w:rsid w:val="0092217A"/>
    <w:rsid w:val="0093653C"/>
    <w:rsid w:val="009421B6"/>
    <w:rsid w:val="0094748E"/>
    <w:rsid w:val="009506CF"/>
    <w:rsid w:val="009508F9"/>
    <w:rsid w:val="00953368"/>
    <w:rsid w:val="00963151"/>
    <w:rsid w:val="00967954"/>
    <w:rsid w:val="009800D5"/>
    <w:rsid w:val="00985329"/>
    <w:rsid w:val="00985979"/>
    <w:rsid w:val="00985DCC"/>
    <w:rsid w:val="00990119"/>
    <w:rsid w:val="00995293"/>
    <w:rsid w:val="009A1380"/>
    <w:rsid w:val="009A2B94"/>
    <w:rsid w:val="009A463A"/>
    <w:rsid w:val="009B4871"/>
    <w:rsid w:val="009C10E0"/>
    <w:rsid w:val="009C12D3"/>
    <w:rsid w:val="009C4414"/>
    <w:rsid w:val="009C52CA"/>
    <w:rsid w:val="009D12C4"/>
    <w:rsid w:val="009D59CA"/>
    <w:rsid w:val="009E42AF"/>
    <w:rsid w:val="009E79E3"/>
    <w:rsid w:val="009F56D5"/>
    <w:rsid w:val="009F5934"/>
    <w:rsid w:val="00A01333"/>
    <w:rsid w:val="00A02CD7"/>
    <w:rsid w:val="00A1116C"/>
    <w:rsid w:val="00A113FA"/>
    <w:rsid w:val="00A129C6"/>
    <w:rsid w:val="00A12B05"/>
    <w:rsid w:val="00A22CEF"/>
    <w:rsid w:val="00A26C86"/>
    <w:rsid w:val="00A30B96"/>
    <w:rsid w:val="00A30E67"/>
    <w:rsid w:val="00A31B51"/>
    <w:rsid w:val="00A33B08"/>
    <w:rsid w:val="00A345C6"/>
    <w:rsid w:val="00A40311"/>
    <w:rsid w:val="00A404D3"/>
    <w:rsid w:val="00A427AC"/>
    <w:rsid w:val="00A516C3"/>
    <w:rsid w:val="00A5600C"/>
    <w:rsid w:val="00A627EF"/>
    <w:rsid w:val="00A65873"/>
    <w:rsid w:val="00A66688"/>
    <w:rsid w:val="00A67444"/>
    <w:rsid w:val="00A7322E"/>
    <w:rsid w:val="00A741A8"/>
    <w:rsid w:val="00A75560"/>
    <w:rsid w:val="00A805B5"/>
    <w:rsid w:val="00A8111D"/>
    <w:rsid w:val="00A81CF3"/>
    <w:rsid w:val="00A83C2D"/>
    <w:rsid w:val="00A867CF"/>
    <w:rsid w:val="00A8705F"/>
    <w:rsid w:val="00A914D3"/>
    <w:rsid w:val="00AA0DE4"/>
    <w:rsid w:val="00AA3428"/>
    <w:rsid w:val="00AA4CF0"/>
    <w:rsid w:val="00AA5EB2"/>
    <w:rsid w:val="00AB56CF"/>
    <w:rsid w:val="00AC05E7"/>
    <w:rsid w:val="00AC1A56"/>
    <w:rsid w:val="00AC4FC2"/>
    <w:rsid w:val="00AC75BA"/>
    <w:rsid w:val="00AD210B"/>
    <w:rsid w:val="00AD6D98"/>
    <w:rsid w:val="00AE4782"/>
    <w:rsid w:val="00AE47AA"/>
    <w:rsid w:val="00AE5F3C"/>
    <w:rsid w:val="00AE694C"/>
    <w:rsid w:val="00AE7989"/>
    <w:rsid w:val="00AF057F"/>
    <w:rsid w:val="00AF2D38"/>
    <w:rsid w:val="00AF5D0B"/>
    <w:rsid w:val="00B002F2"/>
    <w:rsid w:val="00B02903"/>
    <w:rsid w:val="00B05CE2"/>
    <w:rsid w:val="00B05EEC"/>
    <w:rsid w:val="00B065AD"/>
    <w:rsid w:val="00B070B7"/>
    <w:rsid w:val="00B10AB8"/>
    <w:rsid w:val="00B12F53"/>
    <w:rsid w:val="00B16665"/>
    <w:rsid w:val="00B17DA7"/>
    <w:rsid w:val="00B26C76"/>
    <w:rsid w:val="00B272BD"/>
    <w:rsid w:val="00B30422"/>
    <w:rsid w:val="00B31866"/>
    <w:rsid w:val="00B3370F"/>
    <w:rsid w:val="00B35B05"/>
    <w:rsid w:val="00B4453C"/>
    <w:rsid w:val="00B47559"/>
    <w:rsid w:val="00B479E7"/>
    <w:rsid w:val="00B503AE"/>
    <w:rsid w:val="00B512A2"/>
    <w:rsid w:val="00B60339"/>
    <w:rsid w:val="00B614E3"/>
    <w:rsid w:val="00B64E7E"/>
    <w:rsid w:val="00B70B10"/>
    <w:rsid w:val="00B71A2B"/>
    <w:rsid w:val="00B7411A"/>
    <w:rsid w:val="00B8035F"/>
    <w:rsid w:val="00B80955"/>
    <w:rsid w:val="00B84199"/>
    <w:rsid w:val="00B856F7"/>
    <w:rsid w:val="00B87B42"/>
    <w:rsid w:val="00B92D9B"/>
    <w:rsid w:val="00B94C2D"/>
    <w:rsid w:val="00BA07F3"/>
    <w:rsid w:val="00BA50E3"/>
    <w:rsid w:val="00BA6502"/>
    <w:rsid w:val="00BB32D1"/>
    <w:rsid w:val="00BB73E9"/>
    <w:rsid w:val="00BC0B9E"/>
    <w:rsid w:val="00BC62FA"/>
    <w:rsid w:val="00BD34C5"/>
    <w:rsid w:val="00BE2460"/>
    <w:rsid w:val="00BF1483"/>
    <w:rsid w:val="00BF36F5"/>
    <w:rsid w:val="00C116FD"/>
    <w:rsid w:val="00C136D3"/>
    <w:rsid w:val="00C1420D"/>
    <w:rsid w:val="00C27E4E"/>
    <w:rsid w:val="00C422DB"/>
    <w:rsid w:val="00C53ADE"/>
    <w:rsid w:val="00C626C7"/>
    <w:rsid w:val="00C8096F"/>
    <w:rsid w:val="00C850CA"/>
    <w:rsid w:val="00C862BB"/>
    <w:rsid w:val="00C91CF8"/>
    <w:rsid w:val="00C95CBD"/>
    <w:rsid w:val="00C97708"/>
    <w:rsid w:val="00CA29EE"/>
    <w:rsid w:val="00CB0158"/>
    <w:rsid w:val="00CB10AE"/>
    <w:rsid w:val="00CB7DC7"/>
    <w:rsid w:val="00CC4B0A"/>
    <w:rsid w:val="00CD022D"/>
    <w:rsid w:val="00CD5084"/>
    <w:rsid w:val="00CE06FA"/>
    <w:rsid w:val="00CE41EA"/>
    <w:rsid w:val="00CE4BE0"/>
    <w:rsid w:val="00CF3B4D"/>
    <w:rsid w:val="00D01CC0"/>
    <w:rsid w:val="00D07489"/>
    <w:rsid w:val="00D11105"/>
    <w:rsid w:val="00D11A7F"/>
    <w:rsid w:val="00D12ECA"/>
    <w:rsid w:val="00D13536"/>
    <w:rsid w:val="00D152B0"/>
    <w:rsid w:val="00D1698F"/>
    <w:rsid w:val="00D17677"/>
    <w:rsid w:val="00D2214F"/>
    <w:rsid w:val="00D24289"/>
    <w:rsid w:val="00D24AE2"/>
    <w:rsid w:val="00D25A3C"/>
    <w:rsid w:val="00D34288"/>
    <w:rsid w:val="00D3587F"/>
    <w:rsid w:val="00D46C68"/>
    <w:rsid w:val="00D571A4"/>
    <w:rsid w:val="00D63524"/>
    <w:rsid w:val="00D63AC5"/>
    <w:rsid w:val="00D647F9"/>
    <w:rsid w:val="00D74032"/>
    <w:rsid w:val="00D75DDF"/>
    <w:rsid w:val="00D76567"/>
    <w:rsid w:val="00D77F90"/>
    <w:rsid w:val="00D84ADB"/>
    <w:rsid w:val="00D90D72"/>
    <w:rsid w:val="00D934E3"/>
    <w:rsid w:val="00D96815"/>
    <w:rsid w:val="00DA0345"/>
    <w:rsid w:val="00DA0AF7"/>
    <w:rsid w:val="00DA1E8F"/>
    <w:rsid w:val="00DA6BAC"/>
    <w:rsid w:val="00DC016F"/>
    <w:rsid w:val="00DC2C66"/>
    <w:rsid w:val="00DC353C"/>
    <w:rsid w:val="00DD2080"/>
    <w:rsid w:val="00DD4D86"/>
    <w:rsid w:val="00DD4FAC"/>
    <w:rsid w:val="00DD6DAC"/>
    <w:rsid w:val="00DE22CD"/>
    <w:rsid w:val="00DF3CAA"/>
    <w:rsid w:val="00DF5795"/>
    <w:rsid w:val="00E0403F"/>
    <w:rsid w:val="00E04E8A"/>
    <w:rsid w:val="00E07BC8"/>
    <w:rsid w:val="00E10D65"/>
    <w:rsid w:val="00E12E8A"/>
    <w:rsid w:val="00E133B5"/>
    <w:rsid w:val="00E201DB"/>
    <w:rsid w:val="00E2022D"/>
    <w:rsid w:val="00E22D9D"/>
    <w:rsid w:val="00E2556E"/>
    <w:rsid w:val="00E33292"/>
    <w:rsid w:val="00E418AC"/>
    <w:rsid w:val="00E51A0C"/>
    <w:rsid w:val="00E5353D"/>
    <w:rsid w:val="00E54D79"/>
    <w:rsid w:val="00E5526F"/>
    <w:rsid w:val="00E5618F"/>
    <w:rsid w:val="00E56DF1"/>
    <w:rsid w:val="00E60684"/>
    <w:rsid w:val="00E613D9"/>
    <w:rsid w:val="00E672B0"/>
    <w:rsid w:val="00E67B23"/>
    <w:rsid w:val="00E810CF"/>
    <w:rsid w:val="00E82183"/>
    <w:rsid w:val="00E8434C"/>
    <w:rsid w:val="00E86EA5"/>
    <w:rsid w:val="00E8BA18"/>
    <w:rsid w:val="00E935F4"/>
    <w:rsid w:val="00E951A0"/>
    <w:rsid w:val="00E95446"/>
    <w:rsid w:val="00E95A4C"/>
    <w:rsid w:val="00EA38A6"/>
    <w:rsid w:val="00EA4241"/>
    <w:rsid w:val="00EC045E"/>
    <w:rsid w:val="00EC1872"/>
    <w:rsid w:val="00EC4CED"/>
    <w:rsid w:val="00EC5927"/>
    <w:rsid w:val="00EC753A"/>
    <w:rsid w:val="00ED162F"/>
    <w:rsid w:val="00EE30E6"/>
    <w:rsid w:val="00EF2F4D"/>
    <w:rsid w:val="00EF3A65"/>
    <w:rsid w:val="00EF7FF1"/>
    <w:rsid w:val="00F00437"/>
    <w:rsid w:val="00F022C0"/>
    <w:rsid w:val="00F05D0B"/>
    <w:rsid w:val="00F068C2"/>
    <w:rsid w:val="00F077D7"/>
    <w:rsid w:val="00F100F5"/>
    <w:rsid w:val="00F12224"/>
    <w:rsid w:val="00F12B90"/>
    <w:rsid w:val="00F13AB5"/>
    <w:rsid w:val="00F14490"/>
    <w:rsid w:val="00F16228"/>
    <w:rsid w:val="00F177D0"/>
    <w:rsid w:val="00F17BED"/>
    <w:rsid w:val="00F25FBD"/>
    <w:rsid w:val="00F354E2"/>
    <w:rsid w:val="00F43DCF"/>
    <w:rsid w:val="00F46FB3"/>
    <w:rsid w:val="00F52742"/>
    <w:rsid w:val="00F53C27"/>
    <w:rsid w:val="00F61D56"/>
    <w:rsid w:val="00F625A4"/>
    <w:rsid w:val="00F66B8E"/>
    <w:rsid w:val="00F66F94"/>
    <w:rsid w:val="00F722D7"/>
    <w:rsid w:val="00F72E69"/>
    <w:rsid w:val="00F73BD9"/>
    <w:rsid w:val="00F74446"/>
    <w:rsid w:val="00F76FED"/>
    <w:rsid w:val="00F82564"/>
    <w:rsid w:val="00F84D5A"/>
    <w:rsid w:val="00F90285"/>
    <w:rsid w:val="00F9179F"/>
    <w:rsid w:val="00FB4188"/>
    <w:rsid w:val="00FB46E5"/>
    <w:rsid w:val="00FB5FC8"/>
    <w:rsid w:val="00FB667E"/>
    <w:rsid w:val="00FB6C2B"/>
    <w:rsid w:val="00FC0231"/>
    <w:rsid w:val="00FC17AF"/>
    <w:rsid w:val="00FC44CB"/>
    <w:rsid w:val="00FC601A"/>
    <w:rsid w:val="00FC61AF"/>
    <w:rsid w:val="00FC71A8"/>
    <w:rsid w:val="00FC749D"/>
    <w:rsid w:val="00FD1120"/>
    <w:rsid w:val="00FD345B"/>
    <w:rsid w:val="00FE1D4C"/>
    <w:rsid w:val="00FE2DC7"/>
    <w:rsid w:val="00FE401B"/>
    <w:rsid w:val="00FE4E47"/>
    <w:rsid w:val="01513131"/>
    <w:rsid w:val="017147B6"/>
    <w:rsid w:val="01B7EDB0"/>
    <w:rsid w:val="01C46771"/>
    <w:rsid w:val="01D93F91"/>
    <w:rsid w:val="0204C186"/>
    <w:rsid w:val="02502EEC"/>
    <w:rsid w:val="0277C820"/>
    <w:rsid w:val="02CB1B43"/>
    <w:rsid w:val="0305D5F9"/>
    <w:rsid w:val="03EEB049"/>
    <w:rsid w:val="0448DCE0"/>
    <w:rsid w:val="04A3BBC4"/>
    <w:rsid w:val="05199DF9"/>
    <w:rsid w:val="0546377C"/>
    <w:rsid w:val="05775DDD"/>
    <w:rsid w:val="059E038A"/>
    <w:rsid w:val="063BB9D2"/>
    <w:rsid w:val="06AD5352"/>
    <w:rsid w:val="06DA8458"/>
    <w:rsid w:val="06E5272B"/>
    <w:rsid w:val="070ADA4A"/>
    <w:rsid w:val="074C6A1C"/>
    <w:rsid w:val="08A102EF"/>
    <w:rsid w:val="08B97FC6"/>
    <w:rsid w:val="08D89AE9"/>
    <w:rsid w:val="09FD8A09"/>
    <w:rsid w:val="0A25F957"/>
    <w:rsid w:val="0AA5ABFB"/>
    <w:rsid w:val="0AB87C00"/>
    <w:rsid w:val="0AD8D62A"/>
    <w:rsid w:val="0B7F5D95"/>
    <w:rsid w:val="0C7D3703"/>
    <w:rsid w:val="0CC4E467"/>
    <w:rsid w:val="0CC63D25"/>
    <w:rsid w:val="0D46A2C0"/>
    <w:rsid w:val="0D5706CA"/>
    <w:rsid w:val="0E9BF998"/>
    <w:rsid w:val="0EAF412D"/>
    <w:rsid w:val="0F35AB8F"/>
    <w:rsid w:val="10B1DC61"/>
    <w:rsid w:val="111892FA"/>
    <w:rsid w:val="119636DC"/>
    <w:rsid w:val="12A46D88"/>
    <w:rsid w:val="13444AC4"/>
    <w:rsid w:val="137B0EA8"/>
    <w:rsid w:val="145F38DB"/>
    <w:rsid w:val="147D6D77"/>
    <w:rsid w:val="14BFA5AA"/>
    <w:rsid w:val="150BECEA"/>
    <w:rsid w:val="15403B0D"/>
    <w:rsid w:val="1572B1BB"/>
    <w:rsid w:val="157FD5F8"/>
    <w:rsid w:val="15AB4226"/>
    <w:rsid w:val="15FB7598"/>
    <w:rsid w:val="16071D42"/>
    <w:rsid w:val="1660E91A"/>
    <w:rsid w:val="169F3386"/>
    <w:rsid w:val="16C46326"/>
    <w:rsid w:val="17469971"/>
    <w:rsid w:val="17E21BE4"/>
    <w:rsid w:val="180CD8E3"/>
    <w:rsid w:val="18EB0BAE"/>
    <w:rsid w:val="18ED5220"/>
    <w:rsid w:val="19935818"/>
    <w:rsid w:val="1AC2D4D2"/>
    <w:rsid w:val="1B28FC39"/>
    <w:rsid w:val="1BE56CFD"/>
    <w:rsid w:val="1E3231BF"/>
    <w:rsid w:val="1E67E04F"/>
    <w:rsid w:val="1E9282D9"/>
    <w:rsid w:val="1EA22C41"/>
    <w:rsid w:val="1EC9E94F"/>
    <w:rsid w:val="1FA572E2"/>
    <w:rsid w:val="1FB04215"/>
    <w:rsid w:val="2001453A"/>
    <w:rsid w:val="20071785"/>
    <w:rsid w:val="215F6F78"/>
    <w:rsid w:val="21E528EB"/>
    <w:rsid w:val="222DFA1A"/>
    <w:rsid w:val="225F0E3A"/>
    <w:rsid w:val="22711D0A"/>
    <w:rsid w:val="23E85861"/>
    <w:rsid w:val="24DDFB82"/>
    <w:rsid w:val="24EF4B36"/>
    <w:rsid w:val="2576EC8C"/>
    <w:rsid w:val="2583786D"/>
    <w:rsid w:val="259218FF"/>
    <w:rsid w:val="25B76D5F"/>
    <w:rsid w:val="25DAF174"/>
    <w:rsid w:val="25FB553F"/>
    <w:rsid w:val="260327DD"/>
    <w:rsid w:val="263259A7"/>
    <w:rsid w:val="27CEB227"/>
    <w:rsid w:val="27F8E1DE"/>
    <w:rsid w:val="2803F559"/>
    <w:rsid w:val="2805FE84"/>
    <w:rsid w:val="2842C97E"/>
    <w:rsid w:val="290520CB"/>
    <w:rsid w:val="292C1211"/>
    <w:rsid w:val="293474D4"/>
    <w:rsid w:val="2A0F812F"/>
    <w:rsid w:val="2A4B9E9F"/>
    <w:rsid w:val="2AB47B10"/>
    <w:rsid w:val="2ABF6568"/>
    <w:rsid w:val="2C9D0721"/>
    <w:rsid w:val="2D045621"/>
    <w:rsid w:val="2EDCF5C9"/>
    <w:rsid w:val="2F0340D4"/>
    <w:rsid w:val="2FECC0AD"/>
    <w:rsid w:val="30260845"/>
    <w:rsid w:val="3055C2A8"/>
    <w:rsid w:val="30893DAE"/>
    <w:rsid w:val="30C9B637"/>
    <w:rsid w:val="310459FA"/>
    <w:rsid w:val="311B90C2"/>
    <w:rsid w:val="311C0B77"/>
    <w:rsid w:val="3127F61C"/>
    <w:rsid w:val="316D691D"/>
    <w:rsid w:val="31A5CEC5"/>
    <w:rsid w:val="31A96A9B"/>
    <w:rsid w:val="33ACAE56"/>
    <w:rsid w:val="342BF330"/>
    <w:rsid w:val="3476418A"/>
    <w:rsid w:val="348B4FF4"/>
    <w:rsid w:val="35136CE4"/>
    <w:rsid w:val="354B9C51"/>
    <w:rsid w:val="355F8AB3"/>
    <w:rsid w:val="35726BE6"/>
    <w:rsid w:val="358EE467"/>
    <w:rsid w:val="35C918FE"/>
    <w:rsid w:val="35F52AC6"/>
    <w:rsid w:val="366CDB68"/>
    <w:rsid w:val="36FBB67B"/>
    <w:rsid w:val="377CA672"/>
    <w:rsid w:val="37981F5B"/>
    <w:rsid w:val="37C0006F"/>
    <w:rsid w:val="382678F2"/>
    <w:rsid w:val="38571AF5"/>
    <w:rsid w:val="390036F0"/>
    <w:rsid w:val="392DB0C3"/>
    <w:rsid w:val="3969917A"/>
    <w:rsid w:val="3988B537"/>
    <w:rsid w:val="39EE8834"/>
    <w:rsid w:val="3A7F5ED6"/>
    <w:rsid w:val="3ADCF677"/>
    <w:rsid w:val="3AEBDD9D"/>
    <w:rsid w:val="3B192953"/>
    <w:rsid w:val="3B75D416"/>
    <w:rsid w:val="3BA5E273"/>
    <w:rsid w:val="3BB99320"/>
    <w:rsid w:val="3C901EC8"/>
    <w:rsid w:val="3CD72FDC"/>
    <w:rsid w:val="3CFEC15A"/>
    <w:rsid w:val="3D574DDF"/>
    <w:rsid w:val="3D7F7D81"/>
    <w:rsid w:val="3E25015E"/>
    <w:rsid w:val="3F6AF989"/>
    <w:rsid w:val="3FCB8DCE"/>
    <w:rsid w:val="403643B1"/>
    <w:rsid w:val="40553CC2"/>
    <w:rsid w:val="4097E343"/>
    <w:rsid w:val="41548F97"/>
    <w:rsid w:val="4226FC32"/>
    <w:rsid w:val="427B7EC2"/>
    <w:rsid w:val="42E34922"/>
    <w:rsid w:val="4325F5E4"/>
    <w:rsid w:val="4390B3D5"/>
    <w:rsid w:val="4394151D"/>
    <w:rsid w:val="43FC9C71"/>
    <w:rsid w:val="444410EC"/>
    <w:rsid w:val="4480A7BF"/>
    <w:rsid w:val="448D908C"/>
    <w:rsid w:val="4603CC72"/>
    <w:rsid w:val="465046C0"/>
    <w:rsid w:val="4748CC1F"/>
    <w:rsid w:val="47E51913"/>
    <w:rsid w:val="4811E86B"/>
    <w:rsid w:val="48C4ED34"/>
    <w:rsid w:val="495E8F48"/>
    <w:rsid w:val="49620811"/>
    <w:rsid w:val="496F547C"/>
    <w:rsid w:val="499A7B2C"/>
    <w:rsid w:val="4A042EA1"/>
    <w:rsid w:val="4A45E302"/>
    <w:rsid w:val="4A9EE95C"/>
    <w:rsid w:val="4B18216C"/>
    <w:rsid w:val="4B29B90F"/>
    <w:rsid w:val="4B38D83F"/>
    <w:rsid w:val="4B779EA2"/>
    <w:rsid w:val="4BFCEB8B"/>
    <w:rsid w:val="4C60C11C"/>
    <w:rsid w:val="4CA2FD0C"/>
    <w:rsid w:val="4D00BC7D"/>
    <w:rsid w:val="4D00EAB2"/>
    <w:rsid w:val="4D155B67"/>
    <w:rsid w:val="4D5E68C3"/>
    <w:rsid w:val="4D68F65F"/>
    <w:rsid w:val="4E0A190D"/>
    <w:rsid w:val="4E155A80"/>
    <w:rsid w:val="4E29602A"/>
    <w:rsid w:val="4E7A4E71"/>
    <w:rsid w:val="4EAC84A1"/>
    <w:rsid w:val="4EBA4645"/>
    <w:rsid w:val="4F6BB9E6"/>
    <w:rsid w:val="4FE4F3A5"/>
    <w:rsid w:val="5034A790"/>
    <w:rsid w:val="51256D1A"/>
    <w:rsid w:val="512A0294"/>
    <w:rsid w:val="516254AB"/>
    <w:rsid w:val="51B0BE27"/>
    <w:rsid w:val="527AF620"/>
    <w:rsid w:val="52875F43"/>
    <w:rsid w:val="529F4A96"/>
    <w:rsid w:val="53E4D507"/>
    <w:rsid w:val="540E77B1"/>
    <w:rsid w:val="540F592A"/>
    <w:rsid w:val="541D56A1"/>
    <w:rsid w:val="545743B8"/>
    <w:rsid w:val="562591C3"/>
    <w:rsid w:val="56902880"/>
    <w:rsid w:val="56DE89E5"/>
    <w:rsid w:val="5771596E"/>
    <w:rsid w:val="5818BC1D"/>
    <w:rsid w:val="588C9FC6"/>
    <w:rsid w:val="592674C0"/>
    <w:rsid w:val="59CE42AE"/>
    <w:rsid w:val="5A88F207"/>
    <w:rsid w:val="5AFF88E5"/>
    <w:rsid w:val="5B289B74"/>
    <w:rsid w:val="5B9798BD"/>
    <w:rsid w:val="5CEF47AF"/>
    <w:rsid w:val="5D2653A2"/>
    <w:rsid w:val="5E463B8B"/>
    <w:rsid w:val="5E57A100"/>
    <w:rsid w:val="5EF68FD7"/>
    <w:rsid w:val="5F47EB60"/>
    <w:rsid w:val="5F958858"/>
    <w:rsid w:val="5FA0B820"/>
    <w:rsid w:val="6144F7BB"/>
    <w:rsid w:val="618CC62F"/>
    <w:rsid w:val="61A476EE"/>
    <w:rsid w:val="61FC2BF1"/>
    <w:rsid w:val="629B5F65"/>
    <w:rsid w:val="62B7ABBC"/>
    <w:rsid w:val="636E0863"/>
    <w:rsid w:val="63CBFB61"/>
    <w:rsid w:val="63CD7271"/>
    <w:rsid w:val="6423FB4E"/>
    <w:rsid w:val="64786F9F"/>
    <w:rsid w:val="64AEC2A2"/>
    <w:rsid w:val="64C71DC9"/>
    <w:rsid w:val="64F364EC"/>
    <w:rsid w:val="6550602E"/>
    <w:rsid w:val="6570CA93"/>
    <w:rsid w:val="657EF3B9"/>
    <w:rsid w:val="65AAC0AA"/>
    <w:rsid w:val="66202441"/>
    <w:rsid w:val="664CDC7D"/>
    <w:rsid w:val="66B44E18"/>
    <w:rsid w:val="67521F16"/>
    <w:rsid w:val="68B31CA4"/>
    <w:rsid w:val="68C779DF"/>
    <w:rsid w:val="699D526A"/>
    <w:rsid w:val="69DF043D"/>
    <w:rsid w:val="6A0B2F7A"/>
    <w:rsid w:val="6A6646B5"/>
    <w:rsid w:val="6A674806"/>
    <w:rsid w:val="6A7B899C"/>
    <w:rsid w:val="6A7DC065"/>
    <w:rsid w:val="6AB00EF7"/>
    <w:rsid w:val="6AC3AD37"/>
    <w:rsid w:val="6AE0B4F4"/>
    <w:rsid w:val="6B2364EC"/>
    <w:rsid w:val="6B8E570E"/>
    <w:rsid w:val="6BB16E4C"/>
    <w:rsid w:val="6BC035F4"/>
    <w:rsid w:val="6BE58D5C"/>
    <w:rsid w:val="6C3BB15E"/>
    <w:rsid w:val="6C69811A"/>
    <w:rsid w:val="6CB4D997"/>
    <w:rsid w:val="6CDDE577"/>
    <w:rsid w:val="6D0D92C7"/>
    <w:rsid w:val="6EA39911"/>
    <w:rsid w:val="6EC26DAA"/>
    <w:rsid w:val="6ECF2C75"/>
    <w:rsid w:val="6F05C530"/>
    <w:rsid w:val="6F41BB2F"/>
    <w:rsid w:val="6F94C3AB"/>
    <w:rsid w:val="6FB22AF9"/>
    <w:rsid w:val="6FE1CB0A"/>
    <w:rsid w:val="7033901C"/>
    <w:rsid w:val="7079AB24"/>
    <w:rsid w:val="70A694A7"/>
    <w:rsid w:val="70DD99EA"/>
    <w:rsid w:val="718B05C8"/>
    <w:rsid w:val="719E0DCE"/>
    <w:rsid w:val="71A80C0C"/>
    <w:rsid w:val="71BA35A0"/>
    <w:rsid w:val="72092236"/>
    <w:rsid w:val="73260A19"/>
    <w:rsid w:val="74083F33"/>
    <w:rsid w:val="7481192C"/>
    <w:rsid w:val="748B45D7"/>
    <w:rsid w:val="74C74A31"/>
    <w:rsid w:val="74F0CCBA"/>
    <w:rsid w:val="756717E2"/>
    <w:rsid w:val="7568F511"/>
    <w:rsid w:val="7623E6F8"/>
    <w:rsid w:val="7625A3A4"/>
    <w:rsid w:val="76899A30"/>
    <w:rsid w:val="76962AFC"/>
    <w:rsid w:val="77288135"/>
    <w:rsid w:val="77C24638"/>
    <w:rsid w:val="77F9050A"/>
    <w:rsid w:val="78FF7F09"/>
    <w:rsid w:val="79270575"/>
    <w:rsid w:val="79296420"/>
    <w:rsid w:val="797D3F4A"/>
    <w:rsid w:val="7991F2EA"/>
    <w:rsid w:val="7A44FDE0"/>
    <w:rsid w:val="7B55F560"/>
    <w:rsid w:val="7BAA8C11"/>
    <w:rsid w:val="7C192C7D"/>
    <w:rsid w:val="7C264036"/>
    <w:rsid w:val="7C731CF2"/>
    <w:rsid w:val="7C95D08A"/>
    <w:rsid w:val="7CCCA91F"/>
    <w:rsid w:val="7DB8807C"/>
    <w:rsid w:val="7E304A0E"/>
    <w:rsid w:val="7E6B6EF3"/>
    <w:rsid w:val="7E7D4373"/>
    <w:rsid w:val="7F20A5F5"/>
    <w:rsid w:val="7F5239AF"/>
    <w:rsid w:val="7F70580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BE47"/>
  <w15:chartTrackingRefBased/>
  <w15:docId w15:val="{449E2070-26D3-4C39-B546-70BAC57D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E2"/>
  </w:style>
  <w:style w:type="paragraph" w:styleId="Heading2">
    <w:name w:val="heading 2"/>
    <w:basedOn w:val="Normal"/>
    <w:next w:val="Normal"/>
    <w:link w:val="Heading2Char"/>
    <w:uiPriority w:val="9"/>
    <w:semiHidden/>
    <w:unhideWhenUsed/>
    <w:qFormat/>
    <w:rsid w:val="00DA1E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autoRedefine/>
    <w:unhideWhenUsed/>
    <w:qFormat/>
    <w:rsid w:val="00DA1E8F"/>
    <w:pPr>
      <w:keepNext w:val="0"/>
      <w:keepLines w:val="0"/>
      <w:numPr>
        <w:numId w:val="20"/>
      </w:numPr>
      <w:spacing w:before="200" w:line="240" w:lineRule="auto"/>
      <w:jc w:val="both"/>
      <w:outlineLvl w:val="2"/>
    </w:pPr>
    <w:rPr>
      <w:rFonts w:ascii="Arial" w:hAnsi="Arial"/>
      <w:color w:val="auto"/>
      <w:sz w:val="20"/>
      <w:szCs w:val="20"/>
      <w:lang w:bidi="ar-SA"/>
    </w:rPr>
  </w:style>
  <w:style w:type="paragraph" w:styleId="Heading4">
    <w:name w:val="heading 4"/>
    <w:basedOn w:val="Heading3"/>
    <w:next w:val="Normal"/>
    <w:link w:val="Heading4Char"/>
    <w:autoRedefine/>
    <w:uiPriority w:val="39"/>
    <w:unhideWhenUsed/>
    <w:qFormat/>
    <w:rsid w:val="00DA1E8F"/>
    <w:pPr>
      <w:numPr>
        <w:ilvl w:val="3"/>
      </w:numPr>
      <w:ind w:left="1872"/>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4E2"/>
  </w:style>
  <w:style w:type="paragraph" w:styleId="ListParagraph">
    <w:name w:val="List Paragraph"/>
    <w:basedOn w:val="Normal"/>
    <w:uiPriority w:val="34"/>
    <w:qFormat/>
    <w:rsid w:val="007C34E2"/>
    <w:pPr>
      <w:ind w:left="720"/>
      <w:contextualSpacing/>
    </w:pPr>
  </w:style>
  <w:style w:type="paragraph" w:styleId="CommentText">
    <w:name w:val="annotation text"/>
    <w:basedOn w:val="Normal"/>
    <w:link w:val="CommentTextChar"/>
    <w:uiPriority w:val="99"/>
    <w:unhideWhenUsed/>
    <w:rsid w:val="007C34E2"/>
    <w:pPr>
      <w:widowControl w:val="0"/>
      <w:spacing w:after="0" w:line="240" w:lineRule="auto"/>
    </w:pPr>
    <w:rPr>
      <w:rFonts w:eastAsiaTheme="minorEastAsia"/>
      <w:sz w:val="20"/>
      <w:szCs w:val="20"/>
      <w:lang w:bidi="ar-SA"/>
    </w:rPr>
  </w:style>
  <w:style w:type="character" w:customStyle="1" w:styleId="CommentTextChar">
    <w:name w:val="Comment Text Char"/>
    <w:basedOn w:val="DefaultParagraphFont"/>
    <w:link w:val="CommentText"/>
    <w:uiPriority w:val="99"/>
    <w:rsid w:val="007C34E2"/>
    <w:rPr>
      <w:rFonts w:eastAsiaTheme="minorEastAsia"/>
      <w:sz w:val="20"/>
      <w:szCs w:val="20"/>
      <w:lang w:bidi="ar-SA"/>
    </w:rPr>
  </w:style>
  <w:style w:type="character" w:styleId="CommentReference">
    <w:name w:val="annotation reference"/>
    <w:basedOn w:val="DefaultParagraphFont"/>
    <w:uiPriority w:val="99"/>
    <w:semiHidden/>
    <w:unhideWhenUsed/>
    <w:rsid w:val="007C34E2"/>
    <w:rPr>
      <w:sz w:val="16"/>
      <w:szCs w:val="16"/>
    </w:rPr>
  </w:style>
  <w:style w:type="character" w:styleId="Hyperlink">
    <w:name w:val="Hyperlink"/>
    <w:basedOn w:val="DefaultParagraphFont"/>
    <w:uiPriority w:val="99"/>
    <w:unhideWhenUsed/>
    <w:rsid w:val="00B05EEC"/>
    <w:rPr>
      <w:color w:val="0563C1" w:themeColor="hyperlink"/>
      <w:u w:val="single"/>
    </w:rPr>
  </w:style>
  <w:style w:type="character" w:styleId="UnresolvedMention">
    <w:name w:val="Unresolved Mention"/>
    <w:basedOn w:val="DefaultParagraphFont"/>
    <w:uiPriority w:val="99"/>
    <w:semiHidden/>
    <w:unhideWhenUsed/>
    <w:rsid w:val="00B05EE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05EEC"/>
    <w:pPr>
      <w:widowControl/>
      <w:spacing w:after="160"/>
    </w:pPr>
    <w:rPr>
      <w:rFonts w:eastAsiaTheme="minorHAnsi"/>
      <w:b/>
      <w:bCs/>
      <w:lang w:bidi="he-IL"/>
    </w:rPr>
  </w:style>
  <w:style w:type="character" w:customStyle="1" w:styleId="CommentSubjectChar">
    <w:name w:val="Comment Subject Char"/>
    <w:basedOn w:val="CommentTextChar"/>
    <w:link w:val="CommentSubject"/>
    <w:uiPriority w:val="99"/>
    <w:semiHidden/>
    <w:rsid w:val="00B05EEC"/>
    <w:rPr>
      <w:rFonts w:eastAsiaTheme="minorEastAsia"/>
      <w:b/>
      <w:bCs/>
      <w:sz w:val="20"/>
      <w:szCs w:val="20"/>
      <w:lang w:bidi="ar-SA"/>
    </w:rPr>
  </w:style>
  <w:style w:type="paragraph" w:styleId="Revision">
    <w:name w:val="Revision"/>
    <w:hidden/>
    <w:uiPriority w:val="99"/>
    <w:semiHidden/>
    <w:rsid w:val="00A404D3"/>
    <w:pPr>
      <w:spacing w:after="0" w:line="240" w:lineRule="auto"/>
    </w:pPr>
  </w:style>
  <w:style w:type="paragraph" w:styleId="Footer">
    <w:name w:val="footer"/>
    <w:basedOn w:val="Normal"/>
    <w:link w:val="FooterChar"/>
    <w:uiPriority w:val="99"/>
    <w:unhideWhenUsed/>
    <w:rsid w:val="00517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C4"/>
  </w:style>
  <w:style w:type="paragraph" w:customStyle="1" w:styleId="FFWLevel1">
    <w:name w:val="FFW Level 1"/>
    <w:basedOn w:val="Normal"/>
    <w:next w:val="FFWLevel2"/>
    <w:qFormat/>
    <w:locked/>
    <w:rsid w:val="00C626C7"/>
    <w:pPr>
      <w:keepNext/>
      <w:numPr>
        <w:numId w:val="12"/>
      </w:numPr>
      <w:spacing w:before="320" w:after="0" w:line="320" w:lineRule="atLeast"/>
      <w:outlineLvl w:val="0"/>
    </w:pPr>
    <w:rPr>
      <w:rFonts w:ascii="Times New Roman" w:eastAsia="Times New Roman" w:hAnsi="Times New Roman" w:cs="Times New Roman"/>
      <w:b/>
      <w:sz w:val="23"/>
      <w:szCs w:val="24"/>
      <w:lang w:val="en-GB" w:eastAsia="en-GB" w:bidi="ar-SA"/>
    </w:rPr>
  </w:style>
  <w:style w:type="paragraph" w:customStyle="1" w:styleId="FFWLevel2">
    <w:name w:val="FFW Level 2"/>
    <w:basedOn w:val="Normal"/>
    <w:qFormat/>
    <w:locked/>
    <w:rsid w:val="00C626C7"/>
    <w:pPr>
      <w:numPr>
        <w:ilvl w:val="1"/>
        <w:numId w:val="12"/>
      </w:numPr>
      <w:spacing w:before="320" w:after="0" w:line="320" w:lineRule="atLeast"/>
      <w:outlineLvl w:val="1"/>
    </w:pPr>
    <w:rPr>
      <w:rFonts w:ascii="Times New Roman" w:eastAsia="Times New Roman" w:hAnsi="Times New Roman" w:cs="Times New Roman"/>
      <w:sz w:val="23"/>
      <w:szCs w:val="24"/>
      <w:lang w:val="en-GB" w:eastAsia="en-GB" w:bidi="ar-SA"/>
    </w:rPr>
  </w:style>
  <w:style w:type="paragraph" w:customStyle="1" w:styleId="FFWLevel3">
    <w:name w:val="FFW Level 3"/>
    <w:basedOn w:val="Normal"/>
    <w:qFormat/>
    <w:locked/>
    <w:rsid w:val="00C626C7"/>
    <w:pPr>
      <w:numPr>
        <w:ilvl w:val="2"/>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4">
    <w:name w:val="FFW Level 4"/>
    <w:basedOn w:val="Normal"/>
    <w:qFormat/>
    <w:locked/>
    <w:rsid w:val="00C626C7"/>
    <w:pPr>
      <w:numPr>
        <w:ilvl w:val="3"/>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5">
    <w:name w:val="FFW Level 5"/>
    <w:basedOn w:val="Normal"/>
    <w:qFormat/>
    <w:locked/>
    <w:rsid w:val="00C626C7"/>
    <w:pPr>
      <w:numPr>
        <w:ilvl w:val="4"/>
        <w:numId w:val="12"/>
      </w:numPr>
      <w:spacing w:before="320" w:after="0" w:line="320" w:lineRule="atLeast"/>
    </w:pPr>
    <w:rPr>
      <w:rFonts w:ascii="Times New Roman" w:eastAsia="Times New Roman" w:hAnsi="Times New Roman" w:cs="Times New Roman"/>
      <w:sz w:val="23"/>
      <w:szCs w:val="24"/>
      <w:lang w:val="en-GB" w:eastAsia="en-GB" w:bidi="ar-SA"/>
    </w:rPr>
  </w:style>
  <w:style w:type="paragraph" w:customStyle="1" w:styleId="FFWLevel6">
    <w:name w:val="FFW Level 6"/>
    <w:basedOn w:val="Normal"/>
    <w:qFormat/>
    <w:locked/>
    <w:rsid w:val="00C626C7"/>
    <w:pPr>
      <w:numPr>
        <w:ilvl w:val="5"/>
        <w:numId w:val="12"/>
      </w:numPr>
      <w:spacing w:before="320" w:after="0" w:line="320" w:lineRule="atLeast"/>
    </w:pPr>
    <w:rPr>
      <w:rFonts w:ascii="Times New Roman" w:eastAsia="Times New Roman" w:hAnsi="Times New Roman" w:cs="Times New Roman"/>
      <w:sz w:val="23"/>
      <w:szCs w:val="24"/>
      <w:lang w:val="en-GB" w:eastAsia="en-GB" w:bidi="ar-SA"/>
    </w:rPr>
  </w:style>
  <w:style w:type="character" w:customStyle="1" w:styleId="Heading3Char">
    <w:name w:val="Heading 3 Char"/>
    <w:basedOn w:val="DefaultParagraphFont"/>
    <w:link w:val="Heading3"/>
    <w:rsid w:val="00DA1E8F"/>
    <w:rPr>
      <w:rFonts w:ascii="Arial" w:eastAsiaTheme="majorEastAsia" w:hAnsi="Arial" w:cstheme="majorBidi"/>
      <w:sz w:val="20"/>
      <w:szCs w:val="20"/>
      <w:lang w:bidi="ar-SA"/>
    </w:rPr>
  </w:style>
  <w:style w:type="character" w:customStyle="1" w:styleId="Heading4Char">
    <w:name w:val="Heading 4 Char"/>
    <w:basedOn w:val="DefaultParagraphFont"/>
    <w:link w:val="Heading4"/>
    <w:uiPriority w:val="39"/>
    <w:rsid w:val="00DA1E8F"/>
    <w:rPr>
      <w:rFonts w:ascii="Arial" w:eastAsiaTheme="majorEastAsia" w:hAnsi="Arial" w:cstheme="majorBidi"/>
      <w:sz w:val="20"/>
      <w:szCs w:val="20"/>
      <w:lang w:bidi="ar-SA"/>
    </w:rPr>
  </w:style>
  <w:style w:type="character" w:customStyle="1" w:styleId="Heading2Char">
    <w:name w:val="Heading 2 Char"/>
    <w:basedOn w:val="DefaultParagraphFont"/>
    <w:link w:val="Heading2"/>
    <w:uiPriority w:val="9"/>
    <w:semiHidden/>
    <w:rsid w:val="00DA1E8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35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66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6F9"/>
    <w:rPr>
      <w:sz w:val="20"/>
      <w:szCs w:val="20"/>
    </w:rPr>
  </w:style>
  <w:style w:type="character" w:styleId="FootnoteReference">
    <w:name w:val="footnote reference"/>
    <w:basedOn w:val="DefaultParagraphFont"/>
    <w:uiPriority w:val="99"/>
    <w:semiHidden/>
    <w:unhideWhenUsed/>
    <w:rsid w:val="00326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2844">
      <w:bodyDiv w:val="1"/>
      <w:marLeft w:val="0"/>
      <w:marRight w:val="0"/>
      <w:marTop w:val="0"/>
      <w:marBottom w:val="0"/>
      <w:divBdr>
        <w:top w:val="none" w:sz="0" w:space="0" w:color="auto"/>
        <w:left w:val="none" w:sz="0" w:space="0" w:color="auto"/>
        <w:bottom w:val="none" w:sz="0" w:space="0" w:color="auto"/>
        <w:right w:val="none" w:sz="0" w:space="0" w:color="auto"/>
      </w:divBdr>
      <w:divsChild>
        <w:div w:id="155414003">
          <w:marLeft w:val="0"/>
          <w:marRight w:val="0"/>
          <w:marTop w:val="0"/>
          <w:marBottom w:val="0"/>
          <w:divBdr>
            <w:top w:val="none" w:sz="0" w:space="0" w:color="auto"/>
            <w:left w:val="none" w:sz="0" w:space="0" w:color="auto"/>
            <w:bottom w:val="none" w:sz="0" w:space="0" w:color="auto"/>
            <w:right w:val="none" w:sz="0" w:space="0" w:color="auto"/>
          </w:divBdr>
          <w:divsChild>
            <w:div w:id="18141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3469">
      <w:bodyDiv w:val="1"/>
      <w:marLeft w:val="0"/>
      <w:marRight w:val="0"/>
      <w:marTop w:val="0"/>
      <w:marBottom w:val="0"/>
      <w:divBdr>
        <w:top w:val="none" w:sz="0" w:space="0" w:color="auto"/>
        <w:left w:val="none" w:sz="0" w:space="0" w:color="auto"/>
        <w:bottom w:val="none" w:sz="0" w:space="0" w:color="auto"/>
        <w:right w:val="none" w:sz="0" w:space="0" w:color="auto"/>
      </w:divBdr>
    </w:div>
    <w:div w:id="989945948">
      <w:bodyDiv w:val="1"/>
      <w:marLeft w:val="0"/>
      <w:marRight w:val="0"/>
      <w:marTop w:val="0"/>
      <w:marBottom w:val="0"/>
      <w:divBdr>
        <w:top w:val="none" w:sz="0" w:space="0" w:color="auto"/>
        <w:left w:val="none" w:sz="0" w:space="0" w:color="auto"/>
        <w:bottom w:val="none" w:sz="0" w:space="0" w:color="auto"/>
        <w:right w:val="none" w:sz="0" w:space="0" w:color="auto"/>
      </w:divBdr>
      <w:divsChild>
        <w:div w:id="259721104">
          <w:marLeft w:val="0"/>
          <w:marRight w:val="0"/>
          <w:marTop w:val="0"/>
          <w:marBottom w:val="0"/>
          <w:divBdr>
            <w:top w:val="none" w:sz="0" w:space="0" w:color="auto"/>
            <w:left w:val="none" w:sz="0" w:space="0" w:color="auto"/>
            <w:bottom w:val="none" w:sz="0" w:space="0" w:color="auto"/>
            <w:right w:val="none" w:sz="0" w:space="0" w:color="auto"/>
          </w:divBdr>
          <w:divsChild>
            <w:div w:id="18575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852">
      <w:bodyDiv w:val="1"/>
      <w:marLeft w:val="0"/>
      <w:marRight w:val="0"/>
      <w:marTop w:val="0"/>
      <w:marBottom w:val="0"/>
      <w:divBdr>
        <w:top w:val="none" w:sz="0" w:space="0" w:color="auto"/>
        <w:left w:val="none" w:sz="0" w:space="0" w:color="auto"/>
        <w:bottom w:val="none" w:sz="0" w:space="0" w:color="auto"/>
        <w:right w:val="none" w:sz="0" w:space="0" w:color="auto"/>
      </w:divBdr>
    </w:div>
    <w:div w:id="1398169246">
      <w:bodyDiv w:val="1"/>
      <w:marLeft w:val="0"/>
      <w:marRight w:val="0"/>
      <w:marTop w:val="0"/>
      <w:marBottom w:val="0"/>
      <w:divBdr>
        <w:top w:val="none" w:sz="0" w:space="0" w:color="auto"/>
        <w:left w:val="none" w:sz="0" w:space="0" w:color="auto"/>
        <w:bottom w:val="none" w:sz="0" w:space="0" w:color="auto"/>
        <w:right w:val="none" w:sz="0" w:space="0" w:color="auto"/>
      </w:divBdr>
    </w:div>
    <w:div w:id="185568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ro.com/education-and-support/contact-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alignte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erosupport@aligntech.com" TargetMode="External"/><Relationship Id="rId5" Type="http://schemas.openxmlformats.org/officeDocument/2006/relationships/webSettings" Target="webSettings.xml"/><Relationship Id="rId10" Type="http://schemas.openxmlformats.org/officeDocument/2006/relationships/hyperlink" Target="https://itero.com/education-and-support/contact-us" TargetMode="External"/><Relationship Id="rId4" Type="http://schemas.openxmlformats.org/officeDocument/2006/relationships/settings" Target="settings.xml"/><Relationship Id="rId9" Type="http://schemas.openxmlformats.org/officeDocument/2006/relationships/hyperlink" Target="mailto:iterosupport@alignte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3CBE9-D9E7-43BD-9624-C620F885678B}">
  <ds:schemaRefs>
    <ds:schemaRef ds:uri="http://schemas.openxmlformats.org/officeDocument/2006/bibliography"/>
  </ds:schemaRefs>
</ds:datastoreItem>
</file>

<file path=docMetadata/LabelInfo.xml><?xml version="1.0" encoding="utf-8"?>
<clbl:labelList xmlns:clbl="http://schemas.microsoft.com/office/2020/mipLabelMetadata">
  <clbl:label id="{9ac44c96-980a-481b-ae23-d8f56b82c605}" enabled="0" method="" siteId="{9ac44c96-980a-481b-ae23-d8f56b82c60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Patt</dc:creator>
  <cp:keywords/>
  <dc:description/>
  <cp:lastModifiedBy>Sweeny Fernandes</cp:lastModifiedBy>
  <cp:revision>4</cp:revision>
  <dcterms:created xsi:type="dcterms:W3CDTF">2026-02-16T09:12:00Z</dcterms:created>
  <dcterms:modified xsi:type="dcterms:W3CDTF">2026-03-30T14:50:00Z</dcterms:modified>
</cp:coreProperties>
</file>