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8C08E" w14:textId="7C45F311" w:rsidR="007C34E2" w:rsidRPr="000B2DFA" w:rsidRDefault="348B4FF4" w:rsidP="000B2DFA">
      <w:pPr>
        <w:spacing w:line="242" w:lineRule="auto"/>
        <w:jc w:val="center"/>
        <w:rPr>
          <w:b/>
          <w:bCs/>
          <w:sz w:val="20"/>
          <w:szCs w:val="20"/>
          <w:lang w:val="es-ES"/>
        </w:rPr>
      </w:pPr>
      <w:bookmarkStart w:id="0" w:name="_Hlk85020782"/>
      <w:r>
        <w:rPr>
          <w:b/>
          <w:bCs/>
          <w:sz w:val="20"/>
          <w:szCs w:val="20"/>
          <w:lang w:val="es-ES"/>
        </w:rPr>
        <w:t xml:space="preserve">POLÍTICA GLOBAL DE ALIGN SOBRE LA TRANSFERENCIA O REVENTA DE ESCÁNERES ITERO </w:t>
      </w:r>
      <w:r>
        <w:rPr>
          <w:b/>
          <w:bCs/>
          <w:sz w:val="20"/>
          <w:szCs w:val="20"/>
          <w:lang w:val="es-ES"/>
        </w:rPr>
        <w:br/>
        <w:t>(«POLÍTICA DE TRANSFERENCIA GLOBAL»)</w:t>
      </w:r>
    </w:p>
    <w:p w14:paraId="76970E6D" w14:textId="2C645530" w:rsidR="0022513A" w:rsidRPr="000B2DFA" w:rsidRDefault="51B0BE27" w:rsidP="000B2DFA">
      <w:pPr>
        <w:spacing w:line="242" w:lineRule="auto"/>
        <w:jc w:val="both"/>
        <w:rPr>
          <w:b/>
          <w:bCs/>
          <w:sz w:val="20"/>
          <w:szCs w:val="20"/>
          <w:u w:val="single"/>
          <w:lang w:val="es-ES"/>
        </w:rPr>
      </w:pPr>
      <w:r>
        <w:rPr>
          <w:b/>
          <w:bCs/>
          <w:sz w:val="20"/>
          <w:szCs w:val="20"/>
          <w:u w:val="single"/>
          <w:lang w:val="es-ES"/>
        </w:rPr>
        <w:t>IMPORTANTE:</w:t>
      </w:r>
      <w:r>
        <w:rPr>
          <w:sz w:val="20"/>
          <w:szCs w:val="20"/>
          <w:lang w:val="es-ES"/>
        </w:rPr>
        <w:t xml:space="preserve"> Se hace constar que, en el supuesto de que el Titular pretenda vender o transferir la propiedad de cualquier escáner iTero en favor de un tercero, la asistencia de Align en la activación del terminal quedará estrictamente supeditada a que dicha operación se realice con plena observancia de todos los requisitos legales, así como de las políticas y los procedimientos internos de Align, de conformidad con lo estipulado en la presente Política de transferencia global. Le recomendamos que revise detenidamente la presente Política de transferencia global antes de adquirir en propiedad un escáner iTero o de vender o transferir su propiedad en favor de un tercero. </w:t>
      </w:r>
    </w:p>
    <w:p w14:paraId="2CC65830" w14:textId="6CA0F9AB" w:rsidR="00F66F94" w:rsidRPr="00DE22CD" w:rsidRDefault="007322E3" w:rsidP="000B2DFA">
      <w:pPr>
        <w:pStyle w:val="ListParagraph"/>
        <w:numPr>
          <w:ilvl w:val="0"/>
          <w:numId w:val="35"/>
        </w:numPr>
        <w:spacing w:line="242" w:lineRule="auto"/>
        <w:rPr>
          <w:b/>
          <w:bCs/>
          <w:sz w:val="20"/>
          <w:szCs w:val="20"/>
          <w:u w:val="single"/>
        </w:rPr>
      </w:pPr>
      <w:r>
        <w:rPr>
          <w:b/>
          <w:bCs/>
          <w:sz w:val="20"/>
          <w:szCs w:val="20"/>
          <w:u w:val="single"/>
          <w:lang w:val="es-ES"/>
        </w:rPr>
        <w:t>DESCRIPCIÓN GENERAL</w:t>
      </w:r>
    </w:p>
    <w:p w14:paraId="03CBBFE2" w14:textId="06880E6F" w:rsidR="007575EB" w:rsidRPr="000B2DFA" w:rsidRDefault="007575EB" w:rsidP="000B2DFA">
      <w:pPr>
        <w:pStyle w:val="ListParagraph"/>
        <w:numPr>
          <w:ilvl w:val="1"/>
          <w:numId w:val="35"/>
        </w:numPr>
        <w:spacing w:line="242" w:lineRule="auto"/>
        <w:jc w:val="both"/>
        <w:rPr>
          <w:lang w:val="es-ES"/>
        </w:rPr>
      </w:pPr>
      <w:r>
        <w:rPr>
          <w:sz w:val="20"/>
          <w:szCs w:val="20"/>
          <w:lang w:val="es-ES"/>
        </w:rPr>
        <w:t xml:space="preserve">A los efectos de esta Política de transferencia global: (i) todo escáner iTero que se transfieran de acuerdo con esta Política de transferencia global se denominarán «Escáner iTero»; (ii) cualquier venta o transferencia (con o sin contraprestación) de un escáner iTero en la que no intervengan ni Align, ni ninguna de sus subsidiarias, ni filiales ni distribuidores autorizados se denominará «Transferencia», y (iii) la persona o entidad que vende o transfiere el escáner iTero se denominará «Vendedor» y la persona o entidad que adquiere o recibe el escáner iTero se denominará «Comprador». </w:t>
      </w:r>
    </w:p>
    <w:p w14:paraId="6472544A" w14:textId="6C0007EF" w:rsidR="007C34E2" w:rsidRPr="000B2DFA" w:rsidRDefault="007C34E2" w:rsidP="000B2DFA">
      <w:pPr>
        <w:pStyle w:val="ListParagraph"/>
        <w:numPr>
          <w:ilvl w:val="1"/>
          <w:numId w:val="35"/>
        </w:numPr>
        <w:spacing w:line="242" w:lineRule="auto"/>
        <w:jc w:val="both"/>
        <w:rPr>
          <w:sz w:val="20"/>
          <w:szCs w:val="20"/>
          <w:lang w:val="es-ES"/>
        </w:rPr>
      </w:pPr>
      <w:proofErr w:type="spellStart"/>
      <w:r>
        <w:rPr>
          <w:sz w:val="20"/>
          <w:szCs w:val="20"/>
          <w:lang w:val="es-ES"/>
        </w:rPr>
        <w:t>Align</w:t>
      </w:r>
      <w:proofErr w:type="spellEnd"/>
      <w:r>
        <w:rPr>
          <w:sz w:val="20"/>
          <w:szCs w:val="20"/>
          <w:lang w:val="es-ES"/>
        </w:rPr>
        <w:t xml:space="preserve"> se compromete a proporcionar productos y servicios de la más alta calidad a nuestros clientes y sus pacientes. Como empresa internacional de productos sanitarios, Align está sujeta a las leyes, reglamentaciones y normas y estándares de privacidad de datos de cada país en el que operamos (en conjunto, la «Legislación vigente»). </w:t>
      </w:r>
    </w:p>
    <w:p w14:paraId="67347815" w14:textId="2EB792B6" w:rsidR="00EC753A" w:rsidRPr="000B2DFA" w:rsidRDefault="00A30E67" w:rsidP="000B2DFA">
      <w:pPr>
        <w:pStyle w:val="ListParagraph"/>
        <w:numPr>
          <w:ilvl w:val="1"/>
          <w:numId w:val="35"/>
        </w:numPr>
        <w:spacing w:line="242" w:lineRule="auto"/>
        <w:jc w:val="both"/>
        <w:rPr>
          <w:sz w:val="20"/>
          <w:szCs w:val="20"/>
          <w:lang w:val="es-ES"/>
        </w:rPr>
      </w:pPr>
      <w:r>
        <w:rPr>
          <w:sz w:val="20"/>
          <w:szCs w:val="20"/>
          <w:lang w:val="es-ES"/>
        </w:rPr>
        <w:t xml:space="preserve">Los escáneres </w:t>
      </w:r>
      <w:proofErr w:type="spellStart"/>
      <w:r>
        <w:rPr>
          <w:sz w:val="20"/>
          <w:szCs w:val="20"/>
          <w:lang w:val="es-ES"/>
        </w:rPr>
        <w:t>iTero</w:t>
      </w:r>
      <w:proofErr w:type="spellEnd"/>
      <w:r>
        <w:rPr>
          <w:sz w:val="20"/>
          <w:szCs w:val="20"/>
          <w:lang w:val="es-ES"/>
        </w:rPr>
        <w:t xml:space="preserve"> son productos sanitarios de clase II, por lo que su Transferencia está legalmente regulada en muchos países. Para garantizar que todos los Escáneres iTero se transfieren de conformidad con la Legislación vigente y los estándares profesionales de Align, solo se dará soporte a las transferencias de Escáneres iTero de segunda mano en situaciones específicas.</w:t>
      </w:r>
    </w:p>
    <w:p w14:paraId="70EE152B" w14:textId="7CCF7447" w:rsidR="006D5444" w:rsidRPr="000B2DFA" w:rsidRDefault="3AEBDD9D" w:rsidP="000B2DFA">
      <w:pPr>
        <w:pStyle w:val="ListParagraph"/>
        <w:numPr>
          <w:ilvl w:val="1"/>
          <w:numId w:val="35"/>
        </w:numPr>
        <w:spacing w:line="242" w:lineRule="auto"/>
        <w:jc w:val="both"/>
        <w:rPr>
          <w:sz w:val="20"/>
          <w:szCs w:val="20"/>
          <w:lang w:val="es-ES"/>
        </w:rPr>
      </w:pPr>
      <w:r>
        <w:rPr>
          <w:sz w:val="20"/>
          <w:szCs w:val="20"/>
          <w:lang w:val="es-ES"/>
        </w:rPr>
        <w:t xml:space="preserve">Para la adquisición de un Escáner iTero, se recomienda encarecidamente acudir directamente a Align o a uno de sus distribuidores autorizados. </w:t>
      </w:r>
    </w:p>
    <w:p w14:paraId="6AFF1765" w14:textId="7F3DB159" w:rsidR="004E13DC" w:rsidRPr="000B2DFA" w:rsidRDefault="137B0EA8" w:rsidP="000B2DFA">
      <w:pPr>
        <w:pStyle w:val="ListParagraph"/>
        <w:numPr>
          <w:ilvl w:val="1"/>
          <w:numId w:val="35"/>
        </w:numPr>
        <w:spacing w:line="242" w:lineRule="auto"/>
        <w:jc w:val="both"/>
        <w:rPr>
          <w:spacing w:val="-2"/>
          <w:sz w:val="20"/>
          <w:szCs w:val="20"/>
          <w:lang w:val="es-ES"/>
        </w:rPr>
      </w:pPr>
      <w:r w:rsidRPr="000B2DFA">
        <w:rPr>
          <w:spacing w:val="-2"/>
          <w:sz w:val="20"/>
          <w:szCs w:val="20"/>
          <w:lang w:val="es-ES"/>
        </w:rPr>
        <w:t xml:space="preserve">Tenga en cuenta que una transferencia se refiere únicamente al hardware del Escáner iTero. La licencia de software iTero es personal y no puede ser transferida por el Vendedor. En caso de una Transferencia admitida conforme a esta Política de transferencia global, Align otorgará una nueva licencia de software de iTero al Comprador, según se detalla en el proceso de transferencia y según corresponda al Escáner iTero transferido. </w:t>
      </w:r>
    </w:p>
    <w:p w14:paraId="3611189B" w14:textId="7BF36BA9" w:rsidR="00CE06FA" w:rsidRPr="000B2DFA" w:rsidRDefault="0546377C" w:rsidP="000B2DFA">
      <w:pPr>
        <w:pStyle w:val="ListParagraph"/>
        <w:numPr>
          <w:ilvl w:val="1"/>
          <w:numId w:val="35"/>
        </w:numPr>
        <w:spacing w:line="242" w:lineRule="auto"/>
        <w:jc w:val="both"/>
        <w:rPr>
          <w:b/>
          <w:bCs/>
          <w:sz w:val="20"/>
          <w:szCs w:val="20"/>
          <w:lang w:val="es-ES"/>
        </w:rPr>
      </w:pPr>
      <w:r>
        <w:rPr>
          <w:b/>
          <w:bCs/>
          <w:sz w:val="20"/>
          <w:szCs w:val="20"/>
          <w:lang w:val="es-ES"/>
        </w:rPr>
        <w:t xml:space="preserve">Todo Vendedor o Comprador potencial debe comunicarse con su asesor comercial de Align o contactar con </w:t>
      </w:r>
      <w:proofErr w:type="spellStart"/>
      <w:r>
        <w:rPr>
          <w:b/>
          <w:bCs/>
          <w:sz w:val="20"/>
          <w:szCs w:val="20"/>
          <w:lang w:val="es-ES"/>
        </w:rPr>
        <w:t>Align</w:t>
      </w:r>
      <w:proofErr w:type="spellEnd"/>
      <w:r>
        <w:rPr>
          <w:b/>
          <w:bCs/>
          <w:sz w:val="20"/>
          <w:szCs w:val="20"/>
          <w:lang w:val="es-ES"/>
        </w:rPr>
        <w:t xml:space="preserve"> en </w:t>
      </w:r>
      <w:hyperlink r:id="rId8">
        <w:r>
          <w:rPr>
            <w:rStyle w:val="Hyperlink"/>
            <w:b/>
            <w:bCs/>
            <w:sz w:val="20"/>
            <w:szCs w:val="20"/>
            <w:lang w:val="es-ES"/>
          </w:rPr>
          <w:t>https://itero.com/education-and-support/contact-us</w:t>
        </w:r>
      </w:hyperlink>
      <w:r>
        <w:rPr>
          <w:b/>
          <w:bCs/>
          <w:sz w:val="20"/>
          <w:szCs w:val="20"/>
          <w:lang w:val="es-ES"/>
        </w:rPr>
        <w:t xml:space="preserve"> o </w:t>
      </w:r>
      <w:hyperlink r:id="rId9">
        <w:r>
          <w:rPr>
            <w:rStyle w:val="Hyperlink"/>
            <w:b/>
            <w:bCs/>
            <w:sz w:val="20"/>
            <w:szCs w:val="20"/>
            <w:lang w:val="es-ES"/>
          </w:rPr>
          <w:t>iterosupport@aligntech.com</w:t>
        </w:r>
      </w:hyperlink>
      <w:r>
        <w:rPr>
          <w:b/>
          <w:bCs/>
          <w:sz w:val="20"/>
          <w:szCs w:val="20"/>
          <w:lang w:val="es-ES"/>
        </w:rPr>
        <w:t xml:space="preserve"> para que le podamos asesorar sobre el proceso de transferencia y el cumplimiento de esta Política de transferencia global </w:t>
      </w:r>
      <w:r>
        <w:rPr>
          <w:b/>
          <w:bCs/>
          <w:sz w:val="20"/>
          <w:szCs w:val="20"/>
          <w:u w:val="single"/>
          <w:lang w:val="es-ES"/>
        </w:rPr>
        <w:t>antes</w:t>
      </w:r>
      <w:r>
        <w:rPr>
          <w:b/>
          <w:bCs/>
          <w:sz w:val="20"/>
          <w:szCs w:val="20"/>
          <w:lang w:val="es-ES"/>
        </w:rPr>
        <w:t xml:space="preserve"> de llevarla a cabo.</w:t>
      </w:r>
    </w:p>
    <w:p w14:paraId="28C388E1" w14:textId="1FFA2DF4" w:rsidR="009E79E3" w:rsidRPr="009800D5" w:rsidRDefault="2F0340D4" w:rsidP="000B2DFA">
      <w:pPr>
        <w:pStyle w:val="ListParagraph"/>
        <w:numPr>
          <w:ilvl w:val="0"/>
          <w:numId w:val="35"/>
        </w:numPr>
        <w:spacing w:line="242" w:lineRule="auto"/>
        <w:rPr>
          <w:b/>
          <w:bCs/>
          <w:sz w:val="20"/>
          <w:szCs w:val="20"/>
          <w:u w:val="single"/>
        </w:rPr>
      </w:pPr>
      <w:r>
        <w:rPr>
          <w:b/>
          <w:bCs/>
          <w:sz w:val="20"/>
          <w:szCs w:val="20"/>
          <w:u w:val="single"/>
          <w:lang w:val="es-ES"/>
        </w:rPr>
        <w:t xml:space="preserve">TRANSFERENCIAS ADMITIDAS  </w:t>
      </w:r>
    </w:p>
    <w:p w14:paraId="555E3B61" w14:textId="53841C3E" w:rsidR="00BF1483" w:rsidRPr="000B2DFA" w:rsidRDefault="35F52AC6" w:rsidP="000B2DFA">
      <w:pPr>
        <w:pStyle w:val="ListParagraph"/>
        <w:numPr>
          <w:ilvl w:val="1"/>
          <w:numId w:val="35"/>
        </w:numPr>
        <w:spacing w:line="242" w:lineRule="auto"/>
        <w:jc w:val="both"/>
        <w:rPr>
          <w:sz w:val="20"/>
          <w:szCs w:val="20"/>
          <w:lang w:val="es-ES"/>
        </w:rPr>
      </w:pPr>
      <w:r>
        <w:rPr>
          <w:sz w:val="20"/>
          <w:szCs w:val="20"/>
          <w:lang w:val="es-ES"/>
        </w:rPr>
        <w:t xml:space="preserve">A menos que se trate de una «Transferencia no admitida» según se define a continuación, Align dará soporte a la transferencia de un Escáner iTero a un Comprador si la Transferencia se realiza de acuerdo con los términos aquí establecidos (una «Transferencia admitida»), incluyendo lo siguiente:  </w:t>
      </w:r>
    </w:p>
    <w:p w14:paraId="6C11A139" w14:textId="063527E4" w:rsidR="00AC75BA" w:rsidRPr="000B2DFA" w:rsidRDefault="169F3386" w:rsidP="000B2DFA">
      <w:pPr>
        <w:pStyle w:val="ListParagraph"/>
        <w:numPr>
          <w:ilvl w:val="2"/>
          <w:numId w:val="35"/>
        </w:numPr>
        <w:spacing w:line="242" w:lineRule="auto"/>
        <w:jc w:val="both"/>
        <w:rPr>
          <w:sz w:val="20"/>
          <w:szCs w:val="20"/>
          <w:lang w:val="es-ES"/>
        </w:rPr>
      </w:pPr>
      <w:proofErr w:type="spellStart"/>
      <w:r>
        <w:rPr>
          <w:sz w:val="20"/>
          <w:szCs w:val="20"/>
          <w:lang w:val="es-ES"/>
        </w:rPr>
        <w:t>Align</w:t>
      </w:r>
      <w:proofErr w:type="spellEnd"/>
      <w:r>
        <w:rPr>
          <w:sz w:val="20"/>
          <w:szCs w:val="20"/>
          <w:lang w:val="es-ES"/>
        </w:rPr>
        <w:t xml:space="preserve"> no tiene motivos para creer que la Transferencia pudiera contravenir la Legislación vigente en el país donde se efectúa; </w:t>
      </w:r>
    </w:p>
    <w:p w14:paraId="7A26387D" w14:textId="5D5FFE47" w:rsidR="00491364" w:rsidRPr="000B2DFA" w:rsidRDefault="65AAC0AA" w:rsidP="000B2DFA">
      <w:pPr>
        <w:pStyle w:val="ListParagraph"/>
        <w:numPr>
          <w:ilvl w:val="2"/>
          <w:numId w:val="35"/>
        </w:numPr>
        <w:spacing w:line="242" w:lineRule="auto"/>
        <w:jc w:val="both"/>
        <w:rPr>
          <w:sz w:val="20"/>
          <w:szCs w:val="20"/>
          <w:lang w:val="es-ES"/>
        </w:rPr>
      </w:pPr>
      <w:r>
        <w:rPr>
          <w:sz w:val="20"/>
          <w:szCs w:val="20"/>
          <w:lang w:val="es-ES"/>
        </w:rPr>
        <w:t xml:space="preserve">la Transferencia se efectúa dentro del país donde el Vendedor adquirió originalmente el Escáner </w:t>
      </w:r>
      <w:proofErr w:type="spellStart"/>
      <w:r>
        <w:rPr>
          <w:sz w:val="20"/>
          <w:szCs w:val="20"/>
          <w:lang w:val="es-ES"/>
        </w:rPr>
        <w:t>iTero</w:t>
      </w:r>
      <w:proofErr w:type="spellEnd"/>
      <w:r>
        <w:rPr>
          <w:rStyle w:val="FootnoteReference"/>
          <w:sz w:val="20"/>
          <w:szCs w:val="20"/>
          <w:lang w:val="es-ES"/>
        </w:rPr>
        <w:footnoteReference w:id="2"/>
      </w:r>
      <w:r>
        <w:rPr>
          <w:sz w:val="20"/>
          <w:szCs w:val="20"/>
          <w:lang w:val="es-ES"/>
        </w:rPr>
        <w:t>; y</w:t>
      </w:r>
    </w:p>
    <w:p w14:paraId="3B6E684E" w14:textId="5D8B86EF" w:rsidR="00D152B0" w:rsidRPr="000B2DFA" w:rsidRDefault="3127F61C" w:rsidP="000B2DFA">
      <w:pPr>
        <w:pStyle w:val="ListParagraph"/>
        <w:numPr>
          <w:ilvl w:val="2"/>
          <w:numId w:val="35"/>
        </w:numPr>
        <w:spacing w:line="242" w:lineRule="auto"/>
        <w:jc w:val="both"/>
        <w:rPr>
          <w:sz w:val="20"/>
          <w:szCs w:val="20"/>
          <w:lang w:val="es-ES"/>
        </w:rPr>
      </w:pPr>
      <w:r>
        <w:rPr>
          <w:sz w:val="20"/>
          <w:szCs w:val="20"/>
          <w:lang w:val="es-ES"/>
        </w:rPr>
        <w:t xml:space="preserve">el Vendedor y el Comprador suscriben un acuerdo de Transferencia del Escáner iTero (según lo requiera Align) y el Comprador acepta y firma toda documentación adicional relacionada con la Transferencia y la licencia de software iTero, según pueda requerir Align periódicamente y dependiendo del país aplicable y del Escáner </w:t>
      </w:r>
      <w:proofErr w:type="spellStart"/>
      <w:r>
        <w:rPr>
          <w:sz w:val="20"/>
          <w:szCs w:val="20"/>
          <w:lang w:val="es-ES"/>
        </w:rPr>
        <w:t>iTero</w:t>
      </w:r>
      <w:proofErr w:type="spellEnd"/>
      <w:r>
        <w:rPr>
          <w:sz w:val="20"/>
          <w:szCs w:val="20"/>
          <w:lang w:val="es-ES"/>
        </w:rPr>
        <w:t>.</w:t>
      </w:r>
    </w:p>
    <w:p w14:paraId="469C8AC8" w14:textId="5BFDE5EF" w:rsidR="008B548B" w:rsidRPr="000B2DFA" w:rsidRDefault="00FD345B" w:rsidP="000B2DFA">
      <w:pPr>
        <w:pStyle w:val="ListParagraph"/>
        <w:numPr>
          <w:ilvl w:val="1"/>
          <w:numId w:val="35"/>
        </w:numPr>
        <w:spacing w:line="242" w:lineRule="auto"/>
        <w:jc w:val="both"/>
        <w:rPr>
          <w:sz w:val="20"/>
          <w:szCs w:val="20"/>
          <w:lang w:val="es-ES"/>
        </w:rPr>
      </w:pPr>
      <w:r>
        <w:rPr>
          <w:sz w:val="20"/>
          <w:szCs w:val="20"/>
          <w:lang w:val="es-ES"/>
        </w:rPr>
        <w:t>A discreción exclusiva de Align, el Vendedor también podría efectuar la Transferencia del Escáner iTero a Align, dependiendo del país aplicable. El Vendedor tendrá que ponerse en contacto con el servicio de Atención al Cliente local de Align para que le confirmen si esta opción está disponible y bajo qué términos.</w:t>
      </w:r>
    </w:p>
    <w:p w14:paraId="29E8B162" w14:textId="2ED842D3" w:rsidR="00A741A8" w:rsidRPr="000B2DFA" w:rsidRDefault="00A741A8" w:rsidP="000B2DFA">
      <w:pPr>
        <w:pStyle w:val="ListParagraph"/>
        <w:numPr>
          <w:ilvl w:val="1"/>
          <w:numId w:val="35"/>
        </w:numPr>
        <w:spacing w:line="242" w:lineRule="auto"/>
        <w:jc w:val="both"/>
        <w:rPr>
          <w:sz w:val="20"/>
          <w:szCs w:val="20"/>
          <w:lang w:val="es-ES"/>
        </w:rPr>
      </w:pPr>
      <w:proofErr w:type="spellStart"/>
      <w:r>
        <w:rPr>
          <w:sz w:val="20"/>
          <w:szCs w:val="20"/>
          <w:lang w:val="es-ES"/>
        </w:rPr>
        <w:lastRenderedPageBreak/>
        <w:t>Align</w:t>
      </w:r>
      <w:proofErr w:type="spellEnd"/>
      <w:r>
        <w:rPr>
          <w:sz w:val="20"/>
          <w:szCs w:val="20"/>
          <w:lang w:val="es-ES"/>
        </w:rPr>
        <w:t>, a su discreción exclusiva, podrá admitir Transferencias en otras situaciones determinadas, siempre que la Transferencia no contravenga lo dispuesto en la sección «Transferencias no admitidas» que figura a continuación.</w:t>
      </w:r>
    </w:p>
    <w:p w14:paraId="66558098" w14:textId="531FC98D" w:rsidR="00047A1B" w:rsidRPr="009800D5" w:rsidRDefault="003A0B37" w:rsidP="000B2DFA">
      <w:pPr>
        <w:pStyle w:val="ListParagraph"/>
        <w:numPr>
          <w:ilvl w:val="0"/>
          <w:numId w:val="35"/>
        </w:numPr>
        <w:spacing w:line="242" w:lineRule="auto"/>
        <w:rPr>
          <w:b/>
          <w:bCs/>
          <w:sz w:val="20"/>
          <w:szCs w:val="20"/>
          <w:u w:val="single"/>
        </w:rPr>
      </w:pPr>
      <w:r>
        <w:rPr>
          <w:b/>
          <w:bCs/>
          <w:sz w:val="20"/>
          <w:szCs w:val="20"/>
          <w:u w:val="single"/>
          <w:lang w:val="es-ES"/>
        </w:rPr>
        <w:t>TRANSFERENCIAS NO ADMITIDAS</w:t>
      </w:r>
    </w:p>
    <w:p w14:paraId="6E69CCBF" w14:textId="0583F99F" w:rsidR="006B3E58" w:rsidRPr="000B2DFA" w:rsidRDefault="000E68B2" w:rsidP="000B2DFA">
      <w:pPr>
        <w:pStyle w:val="ListParagraph"/>
        <w:numPr>
          <w:ilvl w:val="1"/>
          <w:numId w:val="35"/>
        </w:numPr>
        <w:spacing w:line="242" w:lineRule="auto"/>
        <w:jc w:val="both"/>
        <w:rPr>
          <w:sz w:val="20"/>
          <w:szCs w:val="20"/>
          <w:lang w:val="es-ES"/>
        </w:rPr>
      </w:pPr>
      <w:r>
        <w:rPr>
          <w:sz w:val="20"/>
          <w:szCs w:val="20"/>
          <w:lang w:val="es-ES"/>
        </w:rPr>
        <w:t>Align rechazará dar soporte a una Transferencia en las siguientes circunstancias:</w:t>
      </w:r>
    </w:p>
    <w:p w14:paraId="7CD6683C" w14:textId="586B55F4" w:rsidR="006000A6" w:rsidRPr="000B2DFA" w:rsidRDefault="5818BC1D" w:rsidP="000B2DFA">
      <w:pPr>
        <w:pStyle w:val="ListParagraph"/>
        <w:numPr>
          <w:ilvl w:val="2"/>
          <w:numId w:val="35"/>
        </w:numPr>
        <w:spacing w:line="242" w:lineRule="auto"/>
        <w:jc w:val="both"/>
        <w:rPr>
          <w:sz w:val="20"/>
          <w:szCs w:val="20"/>
          <w:lang w:val="es-ES"/>
        </w:rPr>
      </w:pPr>
      <w:r>
        <w:rPr>
          <w:b/>
          <w:bCs/>
          <w:sz w:val="20"/>
          <w:szCs w:val="20"/>
          <w:lang w:val="es-ES"/>
        </w:rPr>
        <w:t>Exportación.</w:t>
      </w:r>
      <w:r>
        <w:rPr>
          <w:sz w:val="20"/>
          <w:szCs w:val="20"/>
          <w:lang w:val="es-ES"/>
        </w:rPr>
        <w:t xml:space="preserve"> Cuando la Transferencia implique vender o transferir un Escáner iTero a un país distinto de aquel donde el Vendedor adquirió originalmente el Escáner iTero.</w:t>
      </w:r>
      <w:r>
        <w:rPr>
          <w:sz w:val="20"/>
          <w:szCs w:val="20"/>
          <w:vertAlign w:val="superscript"/>
          <w:lang w:val="es-ES"/>
        </w:rPr>
        <w:t>1</w:t>
      </w:r>
      <w:r>
        <w:rPr>
          <w:sz w:val="20"/>
          <w:szCs w:val="20"/>
          <w:lang w:val="es-ES"/>
        </w:rPr>
        <w:t xml:space="preserve"> Se debe informar a los vendedores que dicha Transferencia contraviene su contrato de compra del escáner iTero y puede no cumplir con la Legislación vigente.</w:t>
      </w:r>
    </w:p>
    <w:p w14:paraId="1156DB3A" w14:textId="5806ED74" w:rsidR="00C27E4E" w:rsidRPr="000B2DFA" w:rsidRDefault="059E038A" w:rsidP="000B2DFA">
      <w:pPr>
        <w:pStyle w:val="ListParagraph"/>
        <w:numPr>
          <w:ilvl w:val="2"/>
          <w:numId w:val="35"/>
        </w:numPr>
        <w:spacing w:line="242" w:lineRule="auto"/>
        <w:jc w:val="both"/>
        <w:rPr>
          <w:spacing w:val="-2"/>
          <w:sz w:val="20"/>
          <w:szCs w:val="20"/>
          <w:lang w:val="es-ES"/>
        </w:rPr>
      </w:pPr>
      <w:r w:rsidRPr="000B2DFA">
        <w:rPr>
          <w:b/>
          <w:bCs/>
          <w:spacing w:val="-2"/>
          <w:sz w:val="20"/>
          <w:szCs w:val="20"/>
          <w:lang w:val="es-ES"/>
        </w:rPr>
        <w:t>Finalización de la asistencia.</w:t>
      </w:r>
      <w:r w:rsidRPr="000B2DFA">
        <w:rPr>
          <w:spacing w:val="-2"/>
          <w:sz w:val="20"/>
          <w:szCs w:val="20"/>
          <w:lang w:val="es-ES"/>
        </w:rPr>
        <w:t xml:space="preserve"> Todo Escáner iTero estará sujeto a los Términos y condiciones de «Finalización de la asistencia» establecidos en el contrato de compra del Escáner iTero, incluido el plan de servicio aplicable. Align no tendrá la obligación de prestar servicios (incluida la activación) más allá del periodo delimitado por la Finalización de la asistencia establecido en dicho acuerdo de compra. </w:t>
      </w:r>
    </w:p>
    <w:p w14:paraId="6CE3F336" w14:textId="023CABF4" w:rsidR="00B070B7" w:rsidRPr="000B2DFA" w:rsidRDefault="4D00BC7D" w:rsidP="000B2DFA">
      <w:pPr>
        <w:pStyle w:val="ListParagraph"/>
        <w:numPr>
          <w:ilvl w:val="2"/>
          <w:numId w:val="35"/>
        </w:numPr>
        <w:spacing w:line="242" w:lineRule="auto"/>
        <w:jc w:val="both"/>
        <w:rPr>
          <w:spacing w:val="-2"/>
          <w:sz w:val="20"/>
          <w:szCs w:val="20"/>
          <w:lang w:val="es-ES"/>
        </w:rPr>
      </w:pPr>
      <w:r w:rsidRPr="000B2DFA">
        <w:rPr>
          <w:b/>
          <w:bCs/>
          <w:spacing w:val="-2"/>
          <w:sz w:val="20"/>
          <w:szCs w:val="20"/>
          <w:lang w:val="es-ES"/>
        </w:rPr>
        <w:t>Inquietudes sobre el Producto y la Transacción.</w:t>
      </w:r>
      <w:r w:rsidRPr="000B2DFA">
        <w:rPr>
          <w:spacing w:val="-2"/>
          <w:sz w:val="20"/>
          <w:szCs w:val="20"/>
          <w:lang w:val="es-ES"/>
        </w:rPr>
        <w:t xml:space="preserve"> En los casos en que Align, a su entera discreción y según sus registros, no pueda verificar la procedencia y el historial del Escáner iTero en cuestión; considere que la Transferencia podría infringir la Legislación vigente o la presente Política de transferencia global; o tenga motivos para creer que el Escáner iTero ya no reúne los requisitos para su uso y fin previstos. </w:t>
      </w:r>
    </w:p>
    <w:p w14:paraId="45303335" w14:textId="2193D26B" w:rsidR="00B614E3" w:rsidRPr="009800D5" w:rsidRDefault="009E79E3" w:rsidP="000B2DFA">
      <w:pPr>
        <w:pStyle w:val="ListParagraph"/>
        <w:numPr>
          <w:ilvl w:val="0"/>
          <w:numId w:val="35"/>
        </w:numPr>
        <w:spacing w:line="242" w:lineRule="auto"/>
        <w:rPr>
          <w:b/>
          <w:bCs/>
          <w:sz w:val="20"/>
          <w:szCs w:val="20"/>
          <w:u w:val="single"/>
        </w:rPr>
      </w:pPr>
      <w:r>
        <w:rPr>
          <w:b/>
          <w:bCs/>
          <w:sz w:val="20"/>
          <w:szCs w:val="20"/>
          <w:u w:val="single"/>
          <w:lang w:val="es-ES"/>
        </w:rPr>
        <w:t>PROCESO DE TRANSFERENCIA</w:t>
      </w:r>
    </w:p>
    <w:p w14:paraId="652945BA" w14:textId="4D85297B" w:rsidR="009E79E3" w:rsidRPr="000B2DFA" w:rsidRDefault="2F0340D4" w:rsidP="000B2DFA">
      <w:pPr>
        <w:pStyle w:val="ListParagraph"/>
        <w:numPr>
          <w:ilvl w:val="1"/>
          <w:numId w:val="35"/>
        </w:numPr>
        <w:spacing w:line="242" w:lineRule="auto"/>
        <w:jc w:val="both"/>
        <w:rPr>
          <w:lang w:val="es-ES"/>
        </w:rPr>
      </w:pPr>
      <w:r>
        <w:rPr>
          <w:b/>
          <w:bCs/>
          <w:i/>
          <w:iCs/>
          <w:sz w:val="20"/>
          <w:szCs w:val="20"/>
          <w:lang w:val="es-ES"/>
        </w:rPr>
        <w:t>Previamente a cualquier operación comercial con un Escáner iTero de segunda mano,</w:t>
      </w:r>
      <w:r>
        <w:rPr>
          <w:sz w:val="20"/>
          <w:szCs w:val="20"/>
          <w:lang w:val="es-ES"/>
        </w:rPr>
        <w:t xml:space="preserve"> póngase en contacto con su asesor comercial de Align o acceda a </w:t>
      </w:r>
      <w:hyperlink r:id="rId10">
        <w:r w:rsidRPr="007114BA">
          <w:rPr>
            <w:rStyle w:val="Hyperlink"/>
            <w:b/>
            <w:bCs/>
            <w:sz w:val="20"/>
            <w:szCs w:val="20"/>
            <w:lang w:val="es-ES"/>
          </w:rPr>
          <w:t>https://itero.com/education-and-support/contact-us</w:t>
        </w:r>
      </w:hyperlink>
      <w:r>
        <w:rPr>
          <w:sz w:val="20"/>
          <w:szCs w:val="20"/>
          <w:lang w:val="es-ES"/>
        </w:rPr>
        <w:t xml:space="preserve"> o escriba a </w:t>
      </w:r>
      <w:hyperlink r:id="rId11">
        <w:r>
          <w:rPr>
            <w:rStyle w:val="Hyperlink"/>
            <w:b/>
            <w:bCs/>
            <w:sz w:val="20"/>
            <w:szCs w:val="20"/>
            <w:lang w:val="es-ES"/>
          </w:rPr>
          <w:t>iterosupport@aligntech.com</w:t>
        </w:r>
      </w:hyperlink>
      <w:r>
        <w:rPr>
          <w:sz w:val="20"/>
          <w:szCs w:val="20"/>
          <w:lang w:val="es-ES"/>
        </w:rPr>
        <w:t xml:space="preserve"> para consultar los pormenores del trámite de transferencia y la documentación necesaria. </w:t>
      </w:r>
    </w:p>
    <w:p w14:paraId="2DB460DD" w14:textId="210EA17D" w:rsidR="00487582" w:rsidRPr="000B2DFA" w:rsidRDefault="17E21BE4" w:rsidP="000B2DFA">
      <w:pPr>
        <w:pStyle w:val="ListParagraph"/>
        <w:numPr>
          <w:ilvl w:val="1"/>
          <w:numId w:val="35"/>
        </w:numPr>
        <w:spacing w:line="242" w:lineRule="auto"/>
        <w:jc w:val="both"/>
        <w:rPr>
          <w:sz w:val="20"/>
          <w:szCs w:val="20"/>
          <w:lang w:val="es-ES"/>
        </w:rPr>
      </w:pPr>
      <w:r>
        <w:rPr>
          <w:sz w:val="20"/>
          <w:szCs w:val="20"/>
          <w:lang w:val="es-ES"/>
        </w:rPr>
        <w:t xml:space="preserve">Posteriormente a la Transferencia, los escaneos efectuados con la cuenta del Vendedor ya no estarán disponibles en el Escáner iTero. Póngase en contacto con su asesor comercial de Align para obtener instrucciones de descarga o almacenamiento en la nube antes de efectuar la Transferencia.  </w:t>
      </w:r>
    </w:p>
    <w:p w14:paraId="206D2C69" w14:textId="3624BA7D" w:rsidR="009E79E3" w:rsidRPr="000B2DFA" w:rsidRDefault="1FB04215" w:rsidP="000B2DFA">
      <w:pPr>
        <w:pStyle w:val="ListParagraph"/>
        <w:numPr>
          <w:ilvl w:val="1"/>
          <w:numId w:val="35"/>
        </w:numPr>
        <w:spacing w:line="242" w:lineRule="auto"/>
        <w:jc w:val="both"/>
        <w:rPr>
          <w:sz w:val="20"/>
          <w:szCs w:val="20"/>
          <w:lang w:val="es-ES"/>
        </w:rPr>
      </w:pPr>
      <w:r>
        <w:rPr>
          <w:sz w:val="20"/>
          <w:szCs w:val="20"/>
          <w:lang w:val="es-ES"/>
        </w:rPr>
        <w:t>Se hace constar que, una vez transferido el Escáner iTero, todas las garantías, así como la licencia de uso del terminal, del software y los servicios de los que fuera beneficiario el Vendedor, quedarán extinguidos o resueltos de forma automática e inmediata sobre el equipo transferido (salvo lo dispuesto de otro modo en la Sección 5 a continuación).</w:t>
      </w:r>
    </w:p>
    <w:p w14:paraId="72F0EF91" w14:textId="3E0421D4" w:rsidR="00D46C68" w:rsidRPr="000B2DFA" w:rsidRDefault="000740DC" w:rsidP="000B2DFA">
      <w:pPr>
        <w:pStyle w:val="ListParagraph"/>
        <w:numPr>
          <w:ilvl w:val="0"/>
          <w:numId w:val="35"/>
        </w:numPr>
        <w:spacing w:line="242" w:lineRule="auto"/>
        <w:rPr>
          <w:sz w:val="20"/>
          <w:szCs w:val="20"/>
          <w:lang w:val="es-ES"/>
        </w:rPr>
      </w:pPr>
      <w:r>
        <w:rPr>
          <w:b/>
          <w:bCs/>
          <w:sz w:val="20"/>
          <w:szCs w:val="20"/>
          <w:u w:val="single"/>
          <w:lang w:val="es-ES"/>
        </w:rPr>
        <w:t xml:space="preserve">GARANTÍA DEL PRODUCTO </w:t>
      </w:r>
      <w:proofErr w:type="spellStart"/>
      <w:r>
        <w:rPr>
          <w:b/>
          <w:bCs/>
          <w:sz w:val="20"/>
          <w:szCs w:val="20"/>
          <w:u w:val="single"/>
          <w:lang w:val="es-ES"/>
        </w:rPr>
        <w:t>iTERO</w:t>
      </w:r>
      <w:proofErr w:type="spellEnd"/>
      <w:r>
        <w:rPr>
          <w:b/>
          <w:bCs/>
          <w:sz w:val="20"/>
          <w:szCs w:val="20"/>
          <w:u w:val="single"/>
          <w:lang w:val="es-ES"/>
        </w:rPr>
        <w:t xml:space="preserve"> Y PLAN DE SERVICIO</w:t>
      </w:r>
    </w:p>
    <w:p w14:paraId="3FAF10A1" w14:textId="17920474" w:rsidR="00D46C68" w:rsidRPr="000B2DFA" w:rsidRDefault="499A7B2C" w:rsidP="000B2DFA">
      <w:pPr>
        <w:pStyle w:val="ListParagraph"/>
        <w:numPr>
          <w:ilvl w:val="1"/>
          <w:numId w:val="35"/>
        </w:numPr>
        <w:spacing w:line="242" w:lineRule="auto"/>
        <w:jc w:val="both"/>
        <w:rPr>
          <w:sz w:val="20"/>
          <w:szCs w:val="20"/>
          <w:lang w:val="es-ES"/>
        </w:rPr>
      </w:pPr>
      <w:r>
        <w:rPr>
          <w:sz w:val="20"/>
          <w:szCs w:val="20"/>
          <w:lang w:val="es-ES"/>
        </w:rPr>
        <w:t>Se hace constar que el Vendedor podrá solicitar a Align la transferencia de cualquier periodo de servicio remanente fuera del Plazo inicial (según lo estipulado en el correspondiente «Plan de servicio») que ya hubiera sido pagado, para aplicarlo en favor de un nuevo Escáner iTero adquirido por el Vendedor a través de Align o de un distribuidor autorizado de Align. A tenor de lo expuesto anteriormente, en el supuesto de que el Vendedor optase por transferir el periodo remanente del Plazo inicial en favor de un nuevo escáner iTero que hubiese adquirido, se hace constar que, en el momento de transferir el terminal objeto del presente contrato, quedarán extinguidas todas las garantías, licencias de uso de software y servicios vinculados al mismo de forma automática e inmediata.</w:t>
      </w:r>
    </w:p>
    <w:p w14:paraId="2360B045" w14:textId="64D945A2" w:rsidR="00D46C68" w:rsidRPr="000B2DFA" w:rsidRDefault="72092236" w:rsidP="000B2DFA">
      <w:pPr>
        <w:pStyle w:val="ListParagraph"/>
        <w:numPr>
          <w:ilvl w:val="1"/>
          <w:numId w:val="35"/>
        </w:numPr>
        <w:spacing w:line="242" w:lineRule="auto"/>
        <w:jc w:val="both"/>
        <w:rPr>
          <w:sz w:val="20"/>
          <w:szCs w:val="20"/>
          <w:lang w:val="es-ES"/>
        </w:rPr>
      </w:pPr>
      <w:r>
        <w:rPr>
          <w:sz w:val="20"/>
          <w:szCs w:val="20"/>
          <w:lang w:val="es-ES"/>
        </w:rPr>
        <w:t>El Vendedor también podrá solicitar a Align que transfiera el periodo remanente del Plazo inicial (que ya haya sido abonado) al Comprador y que dicho Plazo inicial se aplique al Escáner iTero transferido. Proceder con la mencionada transferencia el periodo remanente del Plazo inicial al Escáner iTero quedará a la entera discreción de Align y dependerá, entre otros factores, del modelo de Escáner iTero en cuestión, de su estado y del país concreto en el que se efectúe la Transferencia.</w:t>
      </w:r>
    </w:p>
    <w:p w14:paraId="6F388109" w14:textId="71159D5A" w:rsidR="00D46C68" w:rsidRPr="000B2DFA" w:rsidRDefault="03EEB049" w:rsidP="000B2DFA">
      <w:pPr>
        <w:pStyle w:val="ListParagraph"/>
        <w:numPr>
          <w:ilvl w:val="1"/>
          <w:numId w:val="35"/>
        </w:numPr>
        <w:spacing w:line="242" w:lineRule="auto"/>
        <w:jc w:val="both"/>
        <w:rPr>
          <w:sz w:val="20"/>
          <w:szCs w:val="20"/>
          <w:lang w:val="es-ES"/>
        </w:rPr>
      </w:pPr>
      <w:r>
        <w:rPr>
          <w:sz w:val="20"/>
          <w:szCs w:val="20"/>
          <w:lang w:val="es-ES"/>
        </w:rPr>
        <w:t>Para transferir el periodo remanente del Plazo inicial, la parte deberá ponerse en contacto con el servicio de Atención al Cliente de Align en su región específica antes de transferir la propiedad del terminal; en su defecto, todas las garantías, licencias de uso de software y servicios vinculados al Escáner iTero transferido quedarán extinguidas de forma automática e inmediata.</w:t>
      </w:r>
    </w:p>
    <w:p w14:paraId="60C6DB4A" w14:textId="26DCCD05" w:rsidR="008B6AFD" w:rsidRPr="009800D5" w:rsidRDefault="008B6AFD" w:rsidP="000B2DFA">
      <w:pPr>
        <w:pStyle w:val="ListParagraph"/>
        <w:numPr>
          <w:ilvl w:val="0"/>
          <w:numId w:val="35"/>
        </w:numPr>
        <w:spacing w:line="242" w:lineRule="auto"/>
        <w:rPr>
          <w:rFonts w:cstheme="minorHAnsi"/>
          <w:b/>
          <w:bCs/>
          <w:sz w:val="20"/>
          <w:szCs w:val="18"/>
          <w:u w:val="single"/>
        </w:rPr>
      </w:pPr>
      <w:r>
        <w:rPr>
          <w:b/>
          <w:bCs/>
          <w:sz w:val="20"/>
          <w:szCs w:val="18"/>
          <w:u w:val="single"/>
          <w:lang w:val="es-ES"/>
        </w:rPr>
        <w:t xml:space="preserve">PRIVACIDAD </w:t>
      </w:r>
      <w:r>
        <w:rPr>
          <w:b/>
          <w:bCs/>
          <w:sz w:val="20"/>
          <w:szCs w:val="20"/>
          <w:u w:val="single"/>
          <w:lang w:val="es-ES"/>
        </w:rPr>
        <w:t>DE DATOS</w:t>
      </w:r>
    </w:p>
    <w:p w14:paraId="333C0BC2" w14:textId="48B7E95F" w:rsidR="009800D5" w:rsidRPr="000B2DFA" w:rsidRDefault="145F38DB" w:rsidP="000B2DFA">
      <w:pPr>
        <w:pStyle w:val="ListParagraph"/>
        <w:numPr>
          <w:ilvl w:val="1"/>
          <w:numId w:val="35"/>
        </w:numPr>
        <w:spacing w:line="242" w:lineRule="auto"/>
        <w:jc w:val="both"/>
        <w:rPr>
          <w:spacing w:val="-2"/>
          <w:sz w:val="20"/>
          <w:szCs w:val="20"/>
          <w:lang w:val="es-ES"/>
        </w:rPr>
      </w:pPr>
      <w:r w:rsidRPr="000B2DFA">
        <w:rPr>
          <w:spacing w:val="-2"/>
          <w:sz w:val="20"/>
          <w:szCs w:val="20"/>
          <w:lang w:val="es-ES"/>
        </w:rPr>
        <w:t xml:space="preserve">El Vendedor es el único responsable de proteger, gestionar y procesar la información personal y sanitaria de sus pacientes que está almacenada en su Escáner iTero. El Vendedor cumplirá con la legislación aplicable en materia de protección de datos, seguridad y privacidad así como con las Obligaciones de protección de datos que se estipulen en el Contrato de compra del escáner iTero y en el Contrato de licencia de usuario final. En </w:t>
      </w:r>
      <w:r w:rsidRPr="000B2DFA">
        <w:rPr>
          <w:spacing w:val="-2"/>
          <w:sz w:val="20"/>
          <w:szCs w:val="20"/>
          <w:lang w:val="es-ES"/>
        </w:rPr>
        <w:lastRenderedPageBreak/>
        <w:t xml:space="preserve">determinados territorios, el Vendedor tendrá la obligación de contactar con el asesor comercial de Align en el mercado correspondiente para proceder a la eliminación de los datos de carácter personal. El Vendedor no podrá transferir ni revelar sus credenciales de inicio de sesión asociadas al Escáner iTero. En la medida máxima permitida por la legislación vigente, el Vendedor reconoce que es el único responsable de la seguridad de todos los Datos del paciente almacenados en el Escáner iTero. Si tiene preguntas relacionadas con Obligaciones de protección de datos, póngase en contacto con </w:t>
      </w:r>
      <w:hyperlink r:id="rId12">
        <w:r w:rsidRPr="000B2DFA">
          <w:rPr>
            <w:rStyle w:val="Hyperlink"/>
            <w:spacing w:val="-2"/>
            <w:sz w:val="20"/>
            <w:szCs w:val="20"/>
            <w:lang w:val="es-ES"/>
          </w:rPr>
          <w:t>privacy@aligntech.com</w:t>
        </w:r>
      </w:hyperlink>
      <w:r w:rsidRPr="000B2DFA">
        <w:rPr>
          <w:spacing w:val="-2"/>
          <w:sz w:val="20"/>
          <w:szCs w:val="20"/>
          <w:lang w:val="es-ES"/>
        </w:rPr>
        <w:t>.</w:t>
      </w:r>
    </w:p>
    <w:p w14:paraId="602383EF" w14:textId="21E07115" w:rsidR="00D01CC0" w:rsidRPr="000B2DFA" w:rsidRDefault="1AC2D4D2" w:rsidP="000B2DFA">
      <w:pPr>
        <w:pStyle w:val="ListParagraph"/>
        <w:numPr>
          <w:ilvl w:val="1"/>
          <w:numId w:val="35"/>
        </w:numPr>
        <w:spacing w:line="242" w:lineRule="auto"/>
        <w:jc w:val="both"/>
        <w:rPr>
          <w:sz w:val="20"/>
          <w:szCs w:val="20"/>
          <w:lang w:val="es-ES"/>
        </w:rPr>
      </w:pPr>
      <w:r>
        <w:rPr>
          <w:sz w:val="20"/>
          <w:szCs w:val="20"/>
          <w:lang w:val="es-ES"/>
        </w:rPr>
        <w:t xml:space="preserve">Antes de la Transferencia del Escáner iTero y del ordenador portátil utilizado con el mismo (si procede), el Vendedor deberá restaurar el Escáner iTero y el ordenador portátil a su «Configuración de fábrica», desinstalar el software de Align allí instalado y asegurar la eliminación permanente de todos los datos personales del Vendedor y de sus pacientes almacenados en dichos equipos; el incumplimiento de este requisito podría dar lugar a que Align no active el escáner a favor del Comprador. Para consultas relacionadas con el restablecimiento del Escáner iTero o del ordenador portátil, la desinstalación del software de Align y el borrado de los Datos personales de los pacientes del Vendedor, o para proceder a la eliminación efectiva de los Datos personales de dicho Vendedor y de sus pacientes, póngase en contacto con su asesor comercial de </w:t>
      </w:r>
      <w:proofErr w:type="spellStart"/>
      <w:r>
        <w:rPr>
          <w:sz w:val="20"/>
          <w:szCs w:val="20"/>
          <w:lang w:val="es-ES"/>
        </w:rPr>
        <w:t>Align</w:t>
      </w:r>
      <w:proofErr w:type="spellEnd"/>
      <w:r>
        <w:rPr>
          <w:sz w:val="20"/>
          <w:szCs w:val="20"/>
          <w:lang w:val="es-ES"/>
        </w:rPr>
        <w:t>.</w:t>
      </w:r>
    </w:p>
    <w:p w14:paraId="4265318E" w14:textId="6EBC9E12" w:rsidR="000522DC" w:rsidRPr="009800D5" w:rsidRDefault="007A716B" w:rsidP="000B2DFA">
      <w:pPr>
        <w:pStyle w:val="ListParagraph"/>
        <w:numPr>
          <w:ilvl w:val="0"/>
          <w:numId w:val="35"/>
        </w:numPr>
        <w:spacing w:line="242" w:lineRule="auto"/>
        <w:rPr>
          <w:b/>
          <w:bCs/>
          <w:sz w:val="20"/>
          <w:szCs w:val="20"/>
          <w:u w:val="single"/>
        </w:rPr>
      </w:pPr>
      <w:r>
        <w:rPr>
          <w:b/>
          <w:bCs/>
          <w:sz w:val="20"/>
          <w:szCs w:val="20"/>
          <w:u w:val="single"/>
          <w:lang w:val="es-ES"/>
        </w:rPr>
        <w:t>LIMITACIÓN DE RESPONSABILIDAD E INDEMNIZACIÓN</w:t>
      </w:r>
    </w:p>
    <w:p w14:paraId="7E28417E" w14:textId="7A53A520" w:rsidR="00391A15" w:rsidRPr="000B2DFA" w:rsidRDefault="111892FA" w:rsidP="000B2DFA">
      <w:pPr>
        <w:pStyle w:val="ListParagraph"/>
        <w:numPr>
          <w:ilvl w:val="1"/>
          <w:numId w:val="35"/>
        </w:numPr>
        <w:spacing w:line="242" w:lineRule="auto"/>
        <w:jc w:val="both"/>
        <w:rPr>
          <w:sz w:val="20"/>
          <w:szCs w:val="20"/>
          <w:lang w:val="es-ES"/>
        </w:rPr>
      </w:pPr>
      <w:r>
        <w:rPr>
          <w:sz w:val="20"/>
          <w:szCs w:val="20"/>
          <w:lang w:val="es-ES"/>
        </w:rPr>
        <w:t xml:space="preserve">Sin perjuicio de lo establecido en el presente documento, la única función de Align en el marco de una Transferencia será la de asociar el Escáner iTero con la cuenta y las credenciales del Comprador.  Align no asumirá responsabilidad alguna por reclamaciones o daños derivados de cualquier Transferencia o de cualquier decisión tomada por Align en lo que se refiere a prestar o no soporte técnico para un Escáner iTero. Align, aunque facilite la Transferencia de un Escáner iTero, declina toda responsabilidad y no garantiza que el terminal reúna los requisitos para un fin determinado o esté libre de defectos; no obstante, en caso de que la Legislación vigente así lo exija, Align notificará al Comprador su condición de equipo usado y comunicará cualquier fallo del que tenga constancia. El Vendedor tiene la obligación de informar al Comprador de que el Escáner iTero es un equipo de segunda mano y de describir explícitamente cualquier fallo antes de venderlo y de transferirlo. </w:t>
      </w:r>
    </w:p>
    <w:p w14:paraId="03976FC6" w14:textId="1B53EFEE" w:rsidR="008E4B0E" w:rsidRPr="000B2DFA" w:rsidRDefault="38571AF5" w:rsidP="000B2DFA">
      <w:pPr>
        <w:pStyle w:val="ListParagraph"/>
        <w:numPr>
          <w:ilvl w:val="1"/>
          <w:numId w:val="35"/>
        </w:numPr>
        <w:spacing w:line="242" w:lineRule="auto"/>
        <w:jc w:val="both"/>
        <w:rPr>
          <w:sz w:val="20"/>
          <w:szCs w:val="20"/>
          <w:lang w:val="es-ES"/>
        </w:rPr>
      </w:pPr>
      <w:proofErr w:type="spellStart"/>
      <w:r>
        <w:rPr>
          <w:sz w:val="20"/>
          <w:szCs w:val="20"/>
          <w:lang w:val="es-ES"/>
        </w:rPr>
        <w:t>Align</w:t>
      </w:r>
      <w:proofErr w:type="spellEnd"/>
      <w:r>
        <w:rPr>
          <w:sz w:val="20"/>
          <w:szCs w:val="20"/>
          <w:lang w:val="es-ES"/>
        </w:rPr>
        <w:t xml:space="preserve"> dará soporte conforme a lo estipulado en este contrato y a petición del Vendedor y el Comprador. Align declina toda responsabilidad respecto al funcionamiento del Escáner iTero, al cumplimiento de la Legislación vigente por el Vendedor y el Comprador, o a cualquier otro perjuicio, directo o indirecto, resultante de la decisión de Align de autorizar o denegar la Transferencia.</w:t>
      </w:r>
    </w:p>
    <w:p w14:paraId="795A295F" w14:textId="2E4E1BE5" w:rsidR="007C34E2" w:rsidRPr="000B2DFA" w:rsidRDefault="21E528EB" w:rsidP="000B2DFA">
      <w:pPr>
        <w:pStyle w:val="ListParagraph"/>
        <w:numPr>
          <w:ilvl w:val="1"/>
          <w:numId w:val="35"/>
        </w:numPr>
        <w:spacing w:line="242" w:lineRule="auto"/>
        <w:jc w:val="both"/>
        <w:rPr>
          <w:sz w:val="20"/>
          <w:szCs w:val="20"/>
          <w:lang w:val="es-ES"/>
        </w:rPr>
      </w:pPr>
      <w:r>
        <w:rPr>
          <w:sz w:val="20"/>
          <w:szCs w:val="20"/>
          <w:lang w:val="es-ES"/>
        </w:rPr>
        <w:t xml:space="preserve">Con arreglo a la Legislación vigente, el Vendedor indemnizará y eximirá de responsabilidad a Align por todas y cada una de las reclamaciones, responsabilidades, multas y sanciones y pérdidas que surjan de la Transferencia.  </w:t>
      </w:r>
    </w:p>
    <w:p w14:paraId="6679A36D" w14:textId="618EABC9" w:rsidR="00D46C68" w:rsidRPr="009800D5" w:rsidRDefault="00D46C68" w:rsidP="000B2DFA">
      <w:pPr>
        <w:pStyle w:val="ListParagraph"/>
        <w:numPr>
          <w:ilvl w:val="0"/>
          <w:numId w:val="35"/>
        </w:numPr>
        <w:spacing w:after="0" w:line="242" w:lineRule="auto"/>
        <w:rPr>
          <w:b/>
          <w:bCs/>
          <w:sz w:val="20"/>
          <w:szCs w:val="20"/>
          <w:u w:val="single"/>
        </w:rPr>
      </w:pPr>
      <w:r>
        <w:rPr>
          <w:b/>
          <w:bCs/>
          <w:sz w:val="20"/>
          <w:szCs w:val="20"/>
          <w:u w:val="single"/>
          <w:lang w:val="es-ES"/>
        </w:rPr>
        <w:t>PARA LOS COMPRADORES</w:t>
      </w:r>
    </w:p>
    <w:p w14:paraId="1E0DE1F5" w14:textId="41DEBE6C" w:rsidR="00D46C68" w:rsidRPr="000B2DFA" w:rsidRDefault="499A7B2C" w:rsidP="000B2DFA">
      <w:pPr>
        <w:spacing w:after="0" w:line="242" w:lineRule="auto"/>
        <w:ind w:left="360"/>
        <w:jc w:val="both"/>
        <w:rPr>
          <w:sz w:val="20"/>
          <w:szCs w:val="20"/>
          <w:lang w:val="es-ES"/>
        </w:rPr>
      </w:pPr>
      <w:r>
        <w:rPr>
          <w:sz w:val="20"/>
          <w:szCs w:val="20"/>
          <w:lang w:val="es-ES"/>
        </w:rPr>
        <w:t xml:space="preserve">Align recomienda comprar un escáner iTero directamente de Align o de alguno de sus distribuidores autorizados. En caso de compra de un escáner de segunda mano a una parte que no sea Align o un distribuidor autorizado, Align no podrá activar dicho escáner a menos que la Transferencia se haya realizado con arreglo a esta Política de transferencia global y se cumplan los requisitos reglamentarios. Tenga en cuenta que la activación del Escáner iTero por parte de Align puede depender de que el Comprador pague cargos o tasas adicionales por: (i) la evaluación in situ o a distancia, (ii) cualquier reparación necesaria, (iii) cualquier formación que sea necesaria; o (iv) las tasas razonables asociadas a la Transferencia. Verifique con el Vendedor si el escáner iTero será transferido con el periodo remanente del Plazo inicial (Plan de servicio). </w:t>
      </w:r>
    </w:p>
    <w:p w14:paraId="115E641E" w14:textId="3E5E972D" w:rsidR="002A0D00" w:rsidRPr="00A26C86" w:rsidRDefault="00B272BD" w:rsidP="000B2DFA">
      <w:pPr>
        <w:pStyle w:val="ListParagraph"/>
        <w:numPr>
          <w:ilvl w:val="0"/>
          <w:numId w:val="35"/>
        </w:numPr>
        <w:spacing w:after="0" w:line="242" w:lineRule="auto"/>
        <w:rPr>
          <w:rFonts w:cstheme="minorHAnsi"/>
          <w:b/>
          <w:bCs/>
          <w:sz w:val="20"/>
          <w:szCs w:val="20"/>
          <w:u w:val="single"/>
        </w:rPr>
      </w:pPr>
      <w:r>
        <w:rPr>
          <w:b/>
          <w:bCs/>
          <w:sz w:val="20"/>
          <w:szCs w:val="20"/>
          <w:u w:val="single"/>
          <w:lang w:val="es-ES"/>
        </w:rPr>
        <w:t>APLICACIÓN DE ESTA POLÍTICA</w:t>
      </w:r>
      <w:bookmarkEnd w:id="0"/>
    </w:p>
    <w:p w14:paraId="4318D20F" w14:textId="69A7D150" w:rsidR="003E6234" w:rsidRPr="000B2DFA" w:rsidRDefault="3BB99320" w:rsidP="000B2DFA">
      <w:pPr>
        <w:spacing w:line="242" w:lineRule="auto"/>
        <w:ind w:left="360"/>
        <w:jc w:val="both"/>
        <w:rPr>
          <w:sz w:val="20"/>
          <w:szCs w:val="20"/>
          <w:lang w:val="es-ES"/>
        </w:rPr>
      </w:pPr>
      <w:r>
        <w:rPr>
          <w:sz w:val="20"/>
          <w:szCs w:val="20"/>
          <w:lang w:val="es-ES"/>
        </w:rPr>
        <w:t xml:space="preserve">Esta Política de transferencia global se aplica a las Transferencias solicitadas en todo el mundo, si bien ciertas regiones pueden estar sujetas a términos y condiciones específicos en virtud de la Legislación vigente local. Póngase en contacto con su asesor comercial regional para cualquier duda relacionada con la propuesta de Transferencia de un Escáner </w:t>
      </w:r>
      <w:proofErr w:type="spellStart"/>
      <w:r>
        <w:rPr>
          <w:sz w:val="20"/>
          <w:szCs w:val="20"/>
          <w:lang w:val="es-ES"/>
        </w:rPr>
        <w:t>iTero</w:t>
      </w:r>
      <w:proofErr w:type="spellEnd"/>
      <w:r>
        <w:rPr>
          <w:sz w:val="20"/>
          <w:szCs w:val="20"/>
          <w:lang w:val="es-ES"/>
        </w:rPr>
        <w:t>.</w:t>
      </w:r>
    </w:p>
    <w:p w14:paraId="19079990" w14:textId="77777777" w:rsidR="003F2D23" w:rsidRPr="000B2DFA" w:rsidRDefault="003F2D23" w:rsidP="000B2DFA">
      <w:pPr>
        <w:pStyle w:val="ListParagraph"/>
        <w:spacing w:line="240" w:lineRule="auto"/>
        <w:jc w:val="both"/>
        <w:rPr>
          <w:rFonts w:cstheme="minorHAnsi"/>
          <w:sz w:val="20"/>
          <w:szCs w:val="20"/>
          <w:lang w:val="es-ES"/>
        </w:rPr>
      </w:pPr>
    </w:p>
    <w:p w14:paraId="5EC342C6" w14:textId="4A4484DF" w:rsidR="00D3587F" w:rsidRPr="000B2DFA" w:rsidRDefault="00A22CEF" w:rsidP="000B2DFA">
      <w:pPr>
        <w:spacing w:line="240" w:lineRule="auto"/>
        <w:jc w:val="center"/>
        <w:rPr>
          <w:rFonts w:eastAsia="Times New Roman" w:cstheme="minorHAnsi"/>
          <w:b/>
          <w:bCs/>
          <w:sz w:val="20"/>
          <w:szCs w:val="20"/>
          <w:u w:val="single"/>
          <w:lang w:val="es-ES"/>
        </w:rPr>
      </w:pPr>
      <w:r>
        <w:rPr>
          <w:rFonts w:cstheme="minorHAnsi"/>
          <w:sz w:val="20"/>
          <w:szCs w:val="20"/>
          <w:lang w:val="es-ES"/>
        </w:rPr>
        <w:br w:type="page"/>
      </w:r>
      <w:r>
        <w:rPr>
          <w:rFonts w:cstheme="minorHAnsi"/>
          <w:b/>
          <w:bCs/>
          <w:sz w:val="20"/>
          <w:szCs w:val="20"/>
          <w:u w:val="single"/>
          <w:lang w:val="es-ES"/>
        </w:rPr>
        <w:lastRenderedPageBreak/>
        <w:t>Apéndice – Cuadro de excepciones para Australia y Nueva Zelanda</w:t>
      </w:r>
    </w:p>
    <w:p w14:paraId="03E590C8" w14:textId="12B6775B" w:rsidR="00D3587F" w:rsidRPr="000B2DFA" w:rsidRDefault="1FB04215" w:rsidP="000B2DFA">
      <w:pPr>
        <w:pStyle w:val="FFWLevel5"/>
        <w:numPr>
          <w:ilvl w:val="0"/>
          <w:numId w:val="0"/>
        </w:numPr>
        <w:spacing w:before="40" w:after="40" w:line="240" w:lineRule="auto"/>
        <w:rPr>
          <w:rFonts w:asciiTheme="minorHAnsi" w:eastAsiaTheme="minorEastAsia" w:hAnsiTheme="minorHAnsi" w:cstheme="minorBidi"/>
          <w:sz w:val="20"/>
          <w:szCs w:val="20"/>
          <w:lang w:val="es-ES"/>
        </w:rPr>
      </w:pPr>
      <w:r>
        <w:rPr>
          <w:rFonts w:asciiTheme="minorHAnsi" w:eastAsiaTheme="minorEastAsia" w:hAnsiTheme="minorHAnsi" w:cstheme="minorBidi"/>
          <w:sz w:val="20"/>
          <w:szCs w:val="20"/>
          <w:lang w:val="es-ES"/>
        </w:rPr>
        <w:t>Debido a los requisitos legales y reglamentarios locales, las siguientes excepciones de la Política de transferencia global son de aplicación exclusiva para los doctores de Australia y Nueva Zelanda. Estas enmiendas sustituyen a las secciones correspondientes de la Política de transferencia global para estas regiones.</w:t>
      </w:r>
    </w:p>
    <w:tbl>
      <w:tblPr>
        <w:tblStyle w:val="TableGrid"/>
        <w:tblW w:w="0" w:type="auto"/>
        <w:tblLook w:val="04A0" w:firstRow="1" w:lastRow="0" w:firstColumn="1" w:lastColumn="0" w:noHBand="0" w:noVBand="1"/>
      </w:tblPr>
      <w:tblGrid>
        <w:gridCol w:w="1058"/>
        <w:gridCol w:w="8292"/>
      </w:tblGrid>
      <w:tr w:rsidR="00D3587F" w14:paraId="6D0FA3CB" w14:textId="77777777" w:rsidTr="76899A30">
        <w:tc>
          <w:tcPr>
            <w:tcW w:w="895" w:type="dxa"/>
            <w:vAlign w:val="center"/>
          </w:tcPr>
          <w:p w14:paraId="263D2ACC" w14:textId="08F7DC4D" w:rsidR="00D3587F" w:rsidRPr="00DE22CD" w:rsidRDefault="00D3587F" w:rsidP="000B2DFA">
            <w:pPr>
              <w:jc w:val="center"/>
              <w:rPr>
                <w:rFonts w:cstheme="minorHAnsi"/>
                <w:b/>
                <w:bCs/>
                <w:sz w:val="20"/>
                <w:szCs w:val="20"/>
              </w:rPr>
            </w:pPr>
            <w:r>
              <w:rPr>
                <w:rFonts w:cstheme="minorHAnsi"/>
                <w:b/>
                <w:bCs/>
                <w:sz w:val="20"/>
                <w:szCs w:val="20"/>
                <w:lang w:val="es-ES"/>
              </w:rPr>
              <w:t>Número de sección</w:t>
            </w:r>
          </w:p>
        </w:tc>
        <w:tc>
          <w:tcPr>
            <w:tcW w:w="8455" w:type="dxa"/>
            <w:vAlign w:val="center"/>
          </w:tcPr>
          <w:p w14:paraId="139F9B25" w14:textId="38256F68" w:rsidR="00D3587F" w:rsidRPr="00DE22CD" w:rsidRDefault="00D3587F" w:rsidP="000B2DFA">
            <w:pPr>
              <w:jc w:val="center"/>
              <w:rPr>
                <w:rFonts w:cstheme="minorHAnsi"/>
                <w:b/>
                <w:bCs/>
                <w:sz w:val="20"/>
                <w:szCs w:val="20"/>
              </w:rPr>
            </w:pPr>
            <w:r>
              <w:rPr>
                <w:rFonts w:cstheme="minorHAnsi"/>
                <w:b/>
                <w:bCs/>
                <w:sz w:val="20"/>
                <w:szCs w:val="20"/>
                <w:lang w:val="es-ES"/>
              </w:rPr>
              <w:t>Redacción revisada</w:t>
            </w:r>
          </w:p>
        </w:tc>
      </w:tr>
      <w:tr w:rsidR="00D3587F" w:rsidRPr="007114BA" w14:paraId="5E1CD423" w14:textId="77777777" w:rsidTr="76899A30">
        <w:tc>
          <w:tcPr>
            <w:tcW w:w="895" w:type="dxa"/>
            <w:vAlign w:val="center"/>
          </w:tcPr>
          <w:p w14:paraId="0C0B9C49" w14:textId="228FEAAE" w:rsidR="00D3587F" w:rsidRDefault="00D3587F" w:rsidP="000B2DFA">
            <w:pPr>
              <w:jc w:val="center"/>
              <w:rPr>
                <w:rFonts w:cstheme="minorHAnsi"/>
                <w:sz w:val="20"/>
                <w:szCs w:val="20"/>
              </w:rPr>
            </w:pPr>
            <w:r>
              <w:rPr>
                <w:rFonts w:cstheme="minorHAnsi"/>
                <w:sz w:val="20"/>
                <w:szCs w:val="20"/>
                <w:lang w:val="es-ES"/>
              </w:rPr>
              <w:t>3.1.2</w:t>
            </w:r>
          </w:p>
        </w:tc>
        <w:tc>
          <w:tcPr>
            <w:tcW w:w="8455" w:type="dxa"/>
          </w:tcPr>
          <w:p w14:paraId="3477419C" w14:textId="0F789E1C" w:rsidR="00D3587F" w:rsidRPr="000B2DFA" w:rsidRDefault="1FB04215" w:rsidP="000B2DFA">
            <w:pPr>
              <w:jc w:val="both"/>
              <w:rPr>
                <w:sz w:val="20"/>
                <w:szCs w:val="20"/>
                <w:lang w:val="es-ES"/>
              </w:rPr>
            </w:pPr>
            <w:r>
              <w:rPr>
                <w:b/>
                <w:bCs/>
                <w:sz w:val="20"/>
                <w:szCs w:val="20"/>
                <w:lang w:val="es-ES"/>
              </w:rPr>
              <w:t>Finalización de la asistencia.</w:t>
            </w:r>
            <w:r>
              <w:rPr>
                <w:sz w:val="20"/>
                <w:szCs w:val="20"/>
                <w:lang w:val="es-ES"/>
              </w:rPr>
              <w:t xml:space="preserve"> Todos los escáneres iTero están sujetos a los Términos y condiciones de «Finalización de la asistencia» establecidos en el contrato de compra del Escáner iTero, incluido el plan de servicio. Align no tendrá la obligación de prestar servicios (incluida la activación) más allá del periodo delimitado por la Finalización de la asistencia establecido en dicho acuerdo de compra.</w:t>
            </w:r>
          </w:p>
        </w:tc>
      </w:tr>
      <w:tr w:rsidR="00D3587F" w:rsidRPr="007114BA" w14:paraId="65AAB008" w14:textId="77777777" w:rsidTr="76899A30">
        <w:tc>
          <w:tcPr>
            <w:tcW w:w="895" w:type="dxa"/>
            <w:vAlign w:val="center"/>
          </w:tcPr>
          <w:p w14:paraId="13033416" w14:textId="472AEF05" w:rsidR="00D3587F" w:rsidRDefault="00D3587F" w:rsidP="000B2DFA">
            <w:pPr>
              <w:jc w:val="center"/>
              <w:rPr>
                <w:rFonts w:cstheme="minorHAnsi"/>
                <w:sz w:val="20"/>
                <w:szCs w:val="20"/>
              </w:rPr>
            </w:pPr>
            <w:r>
              <w:rPr>
                <w:rFonts w:cstheme="minorHAnsi"/>
                <w:sz w:val="20"/>
                <w:szCs w:val="20"/>
                <w:lang w:val="es-ES"/>
              </w:rPr>
              <w:t>3.1.3</w:t>
            </w:r>
          </w:p>
        </w:tc>
        <w:tc>
          <w:tcPr>
            <w:tcW w:w="8455" w:type="dxa"/>
          </w:tcPr>
          <w:p w14:paraId="7CF1DCA5" w14:textId="2162A821" w:rsidR="00D3587F" w:rsidRPr="000B2DFA" w:rsidRDefault="1FB04215" w:rsidP="000B2DFA">
            <w:pPr>
              <w:jc w:val="both"/>
              <w:rPr>
                <w:sz w:val="20"/>
                <w:szCs w:val="20"/>
                <w:lang w:val="es-ES"/>
              </w:rPr>
            </w:pPr>
            <w:r>
              <w:rPr>
                <w:sz w:val="20"/>
                <w:szCs w:val="20"/>
                <w:lang w:val="es-ES"/>
              </w:rPr>
              <w:t>Inquietudes sobre el Producto y la Transacción. En los casos en que Align, a su entera discreción y según sus registros, no pueda verificar la procedencia y el historial del escáner iTero en cuestión; considere que la Transferencia podría infringir la Legislación vigente o la presente Política de transferencia global; o tenga motivos para creer que el Escáner iTero ya no reúne los requisitos para su uso y fin previstos.</w:t>
            </w:r>
          </w:p>
        </w:tc>
      </w:tr>
      <w:tr w:rsidR="00D3587F" w:rsidRPr="007114BA" w14:paraId="726E26FA" w14:textId="77777777" w:rsidTr="76899A30">
        <w:tc>
          <w:tcPr>
            <w:tcW w:w="895" w:type="dxa"/>
            <w:vAlign w:val="center"/>
          </w:tcPr>
          <w:p w14:paraId="60301A1E" w14:textId="1AEC2863" w:rsidR="00D3587F" w:rsidRDefault="00D3587F" w:rsidP="000B2DFA">
            <w:pPr>
              <w:jc w:val="center"/>
              <w:rPr>
                <w:rFonts w:cstheme="minorHAnsi"/>
                <w:sz w:val="20"/>
                <w:szCs w:val="20"/>
              </w:rPr>
            </w:pPr>
            <w:r>
              <w:rPr>
                <w:rFonts w:cstheme="minorHAnsi"/>
                <w:sz w:val="20"/>
                <w:szCs w:val="20"/>
                <w:lang w:val="es-ES"/>
              </w:rPr>
              <w:t>4</w:t>
            </w:r>
            <w:r w:rsidR="007114BA">
              <w:rPr>
                <w:rFonts w:cstheme="minorHAnsi"/>
                <w:sz w:val="20"/>
                <w:szCs w:val="20"/>
                <w:lang w:val="es-ES"/>
              </w:rPr>
              <w:t>.</w:t>
            </w:r>
            <w:r>
              <w:rPr>
                <w:rFonts w:cstheme="minorHAnsi"/>
                <w:sz w:val="20"/>
                <w:szCs w:val="20"/>
                <w:lang w:val="es-ES"/>
              </w:rPr>
              <w:t>3</w:t>
            </w:r>
          </w:p>
        </w:tc>
        <w:tc>
          <w:tcPr>
            <w:tcW w:w="8455" w:type="dxa"/>
          </w:tcPr>
          <w:p w14:paraId="3066CA5D" w14:textId="7B192AC5" w:rsidR="00D3587F" w:rsidRPr="000B2DFA" w:rsidRDefault="1FB04215" w:rsidP="000B2DFA">
            <w:pPr>
              <w:jc w:val="both"/>
              <w:rPr>
                <w:sz w:val="20"/>
                <w:szCs w:val="20"/>
                <w:lang w:val="es-ES"/>
              </w:rPr>
            </w:pPr>
            <w:r>
              <w:rPr>
                <w:sz w:val="20"/>
                <w:szCs w:val="20"/>
                <w:lang w:val="es-ES"/>
              </w:rPr>
              <w:t>Sin perjuicio de los derechos legales que amparan al Vendedor, se informa que, una vez efectuada la Transferencia del escáner iTero, tanto las garantías como la licencia de uso del terminal, el Software y el Contrato de servicio de los que fuera titular el Vendedor, caducarán o se resolverán de forma automática e inmediata.  La presente Política de transferencia global no afectará a los derechos adquiridos, obligaciones, reclamaciones o responsabilidades exigibles entre el Vendedor y Align respecto al Escáner iTero antes de la fecha de Transferencia.</w:t>
            </w:r>
          </w:p>
        </w:tc>
      </w:tr>
      <w:tr w:rsidR="00DE22CD" w:rsidRPr="007114BA" w14:paraId="7B6FDA99" w14:textId="77777777" w:rsidTr="76899A30">
        <w:tc>
          <w:tcPr>
            <w:tcW w:w="895" w:type="dxa"/>
            <w:vAlign w:val="center"/>
          </w:tcPr>
          <w:p w14:paraId="1980B8D7" w14:textId="483AA375" w:rsidR="00DE22CD" w:rsidRDefault="00DE22CD" w:rsidP="000B2DFA">
            <w:pPr>
              <w:jc w:val="center"/>
              <w:rPr>
                <w:rFonts w:cstheme="minorHAnsi"/>
                <w:sz w:val="20"/>
                <w:szCs w:val="20"/>
              </w:rPr>
            </w:pPr>
            <w:r>
              <w:rPr>
                <w:rFonts w:cstheme="minorHAnsi"/>
                <w:sz w:val="20"/>
                <w:szCs w:val="20"/>
                <w:lang w:val="es-ES"/>
              </w:rPr>
              <w:t>5.1</w:t>
            </w:r>
          </w:p>
        </w:tc>
        <w:tc>
          <w:tcPr>
            <w:tcW w:w="8455" w:type="dxa"/>
          </w:tcPr>
          <w:p w14:paraId="7A3FC4DA" w14:textId="7598E934" w:rsidR="00DE22CD" w:rsidRPr="000B2DFA" w:rsidRDefault="22711D0A" w:rsidP="000B2DFA">
            <w:pPr>
              <w:jc w:val="both"/>
              <w:rPr>
                <w:sz w:val="20"/>
                <w:szCs w:val="20"/>
                <w:lang w:val="es-ES"/>
              </w:rPr>
            </w:pPr>
            <w:r>
              <w:rPr>
                <w:sz w:val="20"/>
                <w:szCs w:val="20"/>
                <w:lang w:val="es-ES"/>
              </w:rPr>
              <w:t>Se hace constar que el Vendedor podrá solicitar a Align la transferencia de cualquier periodo restante del Plazo inicial (Plan de Servicio) a un nuevo escáner iTero que usted haya adquirido de Align o de un distribuidor autorizado. Si el Plazo inicial se transfiere a un nuevo escáner adquirido por usted, en el momento de la transferencia de su escáner iTero actual y sin excluir ni modificar los derechos que a usted (en calidad de Vendedor) le correspondan conforme a la ley, todas las garantías y la licencia de uso del Producto transferido (escáner iTero), del Software y del Contrato de Servicio expirarán o se resolverán automáticamente y de forma simultánea.</w:t>
            </w:r>
          </w:p>
        </w:tc>
      </w:tr>
      <w:tr w:rsidR="00D3587F" w:rsidRPr="007114BA" w14:paraId="4CCDA927" w14:textId="77777777" w:rsidTr="76899A30">
        <w:tc>
          <w:tcPr>
            <w:tcW w:w="895" w:type="dxa"/>
            <w:vAlign w:val="center"/>
          </w:tcPr>
          <w:p w14:paraId="06DA32D2" w14:textId="7AEDF17F" w:rsidR="00D3587F" w:rsidRDefault="00D3587F" w:rsidP="000B2DFA">
            <w:pPr>
              <w:jc w:val="center"/>
              <w:rPr>
                <w:rFonts w:cstheme="minorHAnsi"/>
                <w:sz w:val="20"/>
                <w:szCs w:val="20"/>
              </w:rPr>
            </w:pPr>
            <w:r>
              <w:rPr>
                <w:rFonts w:cstheme="minorHAnsi"/>
                <w:sz w:val="20"/>
                <w:szCs w:val="20"/>
                <w:lang w:val="es-ES"/>
              </w:rPr>
              <w:t>5.4-5.6 (nuevas secciones)</w:t>
            </w:r>
          </w:p>
        </w:tc>
        <w:tc>
          <w:tcPr>
            <w:tcW w:w="8455" w:type="dxa"/>
          </w:tcPr>
          <w:p w14:paraId="6755C527" w14:textId="498BCCF7" w:rsidR="00D3587F" w:rsidRPr="000B2DFA" w:rsidRDefault="00D3587F" w:rsidP="000B2DFA">
            <w:pPr>
              <w:jc w:val="both"/>
              <w:rPr>
                <w:rFonts w:cstheme="minorHAnsi"/>
                <w:sz w:val="20"/>
                <w:szCs w:val="20"/>
                <w:lang w:val="es-ES"/>
              </w:rPr>
            </w:pPr>
            <w:r>
              <w:rPr>
                <w:rFonts w:cstheme="minorHAnsi"/>
                <w:sz w:val="20"/>
                <w:szCs w:val="20"/>
                <w:lang w:val="es-ES"/>
              </w:rPr>
              <w:t>5.4 En la medida en que el Vendedor y el Comprador adquieran bienes o servicios de Align como consumidores en el sentido de la Ley del Consumidor de Australia (establecida en el Anexo 2 de la Ley de Competencia y Consumo de 2010 (Cth) con sus correspondientes enmiendas o reemplazos), es posible que tenga ciertos derechos y recursos (incluidos, entre otros, los derechos de garantía del consumidor) que no se puedan excluir, restringir ni modificar mediante acuerdo.</w:t>
            </w:r>
          </w:p>
          <w:p w14:paraId="607947BA" w14:textId="46D499E0" w:rsidR="00D3587F" w:rsidRPr="000B2DFA" w:rsidRDefault="1FB04215" w:rsidP="000B2DFA">
            <w:pPr>
              <w:jc w:val="both"/>
              <w:rPr>
                <w:sz w:val="20"/>
                <w:szCs w:val="20"/>
                <w:lang w:val="es-ES"/>
              </w:rPr>
            </w:pPr>
            <w:r>
              <w:rPr>
                <w:sz w:val="20"/>
                <w:szCs w:val="20"/>
                <w:lang w:val="es-ES"/>
              </w:rPr>
              <w:t xml:space="preserve">5.5 Nada de esta Política de transferencia global excluye, restringe o modifica la aplicación de cualquier condición, garantía o disposición implícita, el ejercicio de cualquier derecho o recurso, o la imposición de cualquier responsabilidad bajo la Ley del Consumidor de Australia o de cualquier otro estatuto en el que hacerlo supondría: </w:t>
            </w:r>
          </w:p>
          <w:p w14:paraId="27C18D41" w14:textId="15A1C418" w:rsidR="00D3587F" w:rsidRPr="000B2DFA" w:rsidRDefault="00D3587F" w:rsidP="000B2DFA">
            <w:pPr>
              <w:jc w:val="both"/>
              <w:rPr>
                <w:rFonts w:cstheme="minorHAnsi"/>
                <w:sz w:val="20"/>
                <w:szCs w:val="20"/>
                <w:lang w:val="es-ES"/>
              </w:rPr>
            </w:pPr>
            <w:r>
              <w:rPr>
                <w:rFonts w:cstheme="minorHAnsi"/>
                <w:sz w:val="20"/>
                <w:szCs w:val="20"/>
                <w:lang w:val="es-ES"/>
              </w:rPr>
              <w:t>i. contravenir ese estatuto; o</w:t>
            </w:r>
          </w:p>
          <w:p w14:paraId="4754B28E" w14:textId="29F685CA" w:rsidR="00D3587F" w:rsidRPr="000B2DFA" w:rsidRDefault="00D3587F" w:rsidP="000B2DFA">
            <w:pPr>
              <w:jc w:val="both"/>
              <w:rPr>
                <w:rFonts w:cstheme="minorHAnsi"/>
                <w:sz w:val="20"/>
                <w:szCs w:val="20"/>
                <w:lang w:val="es-ES"/>
              </w:rPr>
            </w:pPr>
            <w:proofErr w:type="spellStart"/>
            <w:r>
              <w:rPr>
                <w:rFonts w:cstheme="minorHAnsi"/>
                <w:sz w:val="20"/>
                <w:szCs w:val="20"/>
                <w:lang w:val="es-ES"/>
              </w:rPr>
              <w:t>ii</w:t>
            </w:r>
            <w:proofErr w:type="spellEnd"/>
            <w:r>
              <w:rPr>
                <w:rFonts w:cstheme="minorHAnsi"/>
                <w:sz w:val="20"/>
                <w:szCs w:val="20"/>
                <w:lang w:val="es-ES"/>
              </w:rPr>
              <w:t>. causar que cualquier término de este acuerdo sea nulo,</w:t>
            </w:r>
          </w:p>
          <w:p w14:paraId="1752D76B" w14:textId="77777777" w:rsidR="00D3587F" w:rsidRPr="000B2DFA" w:rsidRDefault="00D3587F" w:rsidP="000B2DFA">
            <w:pPr>
              <w:jc w:val="both"/>
              <w:rPr>
                <w:rFonts w:cstheme="minorHAnsi"/>
                <w:sz w:val="20"/>
                <w:szCs w:val="20"/>
                <w:lang w:val="es-ES"/>
              </w:rPr>
            </w:pPr>
            <w:r>
              <w:rPr>
                <w:rFonts w:cstheme="minorHAnsi"/>
                <w:sz w:val="20"/>
                <w:szCs w:val="20"/>
                <w:lang w:val="es-ES"/>
              </w:rPr>
              <w:t xml:space="preserve">(«Obligaciones no excluibles»). </w:t>
            </w:r>
          </w:p>
          <w:p w14:paraId="7BDC4846" w14:textId="3E2A8FB6" w:rsidR="00D3587F" w:rsidRPr="000B2DFA" w:rsidRDefault="1FB04215" w:rsidP="000B2DFA">
            <w:pPr>
              <w:jc w:val="both"/>
              <w:rPr>
                <w:sz w:val="20"/>
                <w:szCs w:val="20"/>
                <w:lang w:val="es-ES"/>
              </w:rPr>
            </w:pPr>
            <w:r>
              <w:rPr>
                <w:sz w:val="20"/>
                <w:szCs w:val="20"/>
                <w:lang w:val="es-ES"/>
              </w:rPr>
              <w:t>5.6 Cuando el Vendedor informe al Comprador sobre posibles defectos antes de la adquisición, el Comprador deberá revisar el Escáner iTero para confirmar su conformidad con la transacción. De no hacerlo, es posible que no tenga derecho a interponer reclamaciones bajo la Ley del Consumidor de Australia.</w:t>
            </w:r>
          </w:p>
        </w:tc>
      </w:tr>
      <w:tr w:rsidR="00D3587F" w:rsidRPr="007114BA" w14:paraId="79E8E2AE" w14:textId="77777777" w:rsidTr="76899A30">
        <w:tc>
          <w:tcPr>
            <w:tcW w:w="895" w:type="dxa"/>
            <w:vAlign w:val="center"/>
          </w:tcPr>
          <w:p w14:paraId="62A029D8" w14:textId="72BDEA0F" w:rsidR="00D3587F" w:rsidRDefault="00DE22CD" w:rsidP="000B2DFA">
            <w:pPr>
              <w:jc w:val="center"/>
              <w:rPr>
                <w:rFonts w:cstheme="minorHAnsi"/>
                <w:sz w:val="20"/>
                <w:szCs w:val="20"/>
                <w:rtl/>
              </w:rPr>
            </w:pPr>
            <w:r>
              <w:rPr>
                <w:rFonts w:cstheme="minorHAnsi"/>
                <w:sz w:val="20"/>
                <w:szCs w:val="20"/>
                <w:lang w:val="es-ES"/>
              </w:rPr>
              <w:t>7.3-7.5 (secciones nuevas)</w:t>
            </w:r>
          </w:p>
        </w:tc>
        <w:tc>
          <w:tcPr>
            <w:tcW w:w="8455" w:type="dxa"/>
          </w:tcPr>
          <w:p w14:paraId="121FE516" w14:textId="1A154ABA" w:rsidR="00DE22CD" w:rsidRPr="000B2DFA" w:rsidRDefault="22711D0A" w:rsidP="000B2DFA">
            <w:pPr>
              <w:jc w:val="both"/>
              <w:rPr>
                <w:spacing w:val="-2"/>
                <w:sz w:val="20"/>
                <w:szCs w:val="20"/>
                <w:lang w:val="es-ES"/>
              </w:rPr>
            </w:pPr>
            <w:r w:rsidRPr="000B2DFA">
              <w:rPr>
                <w:spacing w:val="-2"/>
                <w:sz w:val="20"/>
                <w:szCs w:val="20"/>
                <w:lang w:val="es-ES"/>
              </w:rPr>
              <w:t>7.3 A excepción de las Obligaciones no excluibles, la presente Política de transferencia global excluye cualquier condición, garantía, derecho, recurso o responsabilidad que pueda derivarse de los usos mercantiles, el derecho común o la normativa vigente respecto al Escáner iTero y a esta propia política.</w:t>
            </w:r>
          </w:p>
          <w:p w14:paraId="6CA446B8" w14:textId="75C193B5" w:rsidR="00DE22CD" w:rsidRPr="000B2DFA" w:rsidRDefault="22711D0A" w:rsidP="000B2DFA">
            <w:pPr>
              <w:jc w:val="both"/>
              <w:rPr>
                <w:sz w:val="20"/>
                <w:szCs w:val="20"/>
                <w:lang w:val="es-ES"/>
              </w:rPr>
            </w:pPr>
            <w:r>
              <w:rPr>
                <w:sz w:val="20"/>
                <w:szCs w:val="20"/>
                <w:lang w:val="es-ES"/>
              </w:rPr>
              <w:t xml:space="preserve">7.4 En relación con las Obligaciones no excluibles (distintas a las garantías de titularidad, gravámenes o libre posesión conferidas por la Ley del Consumidor de Australia), a excepción de los bienes o servicios adquiridos ordinariamente para uso o consumo personal o doméstico (con respecto a los </w:t>
            </w:r>
            <w:r>
              <w:rPr>
                <w:sz w:val="20"/>
                <w:szCs w:val="20"/>
                <w:lang w:val="es-ES"/>
              </w:rPr>
              <w:lastRenderedPageBreak/>
              <w:t>cuales la responsabilidad de Align no está limitada en virtud de esta Política de transferencia global), la responsabilidad de Align ante el Doctor por el incumplimiento de cualquier Obligación no excluible se limita a:</w:t>
            </w:r>
          </w:p>
          <w:p w14:paraId="7539F6DA" w14:textId="3C2F5527" w:rsidR="00DE22CD" w:rsidRPr="000B2DFA" w:rsidRDefault="00DE22CD" w:rsidP="000B2DFA">
            <w:pPr>
              <w:jc w:val="both"/>
              <w:rPr>
                <w:rFonts w:cstheme="minorHAnsi"/>
                <w:sz w:val="20"/>
                <w:szCs w:val="20"/>
                <w:lang w:val="es-ES"/>
              </w:rPr>
            </w:pPr>
            <w:r>
              <w:rPr>
                <w:rFonts w:cstheme="minorHAnsi"/>
                <w:sz w:val="20"/>
                <w:szCs w:val="20"/>
                <w:lang w:val="es-ES"/>
              </w:rPr>
              <w:t>i. en el caso de los servicios, volver a prestar los servicios o el pago del coste de que se le vuelvan a prestar los servicios; y</w:t>
            </w:r>
          </w:p>
          <w:p w14:paraId="4BC00CB2" w14:textId="6C927109" w:rsidR="00DE22CD" w:rsidRPr="000B2DFA" w:rsidRDefault="007114BA" w:rsidP="000B2DFA">
            <w:pPr>
              <w:jc w:val="both"/>
              <w:rPr>
                <w:rFonts w:cstheme="minorHAnsi"/>
                <w:sz w:val="20"/>
                <w:szCs w:val="20"/>
                <w:lang w:val="es-ES"/>
              </w:rPr>
            </w:pPr>
            <w:proofErr w:type="spellStart"/>
            <w:r>
              <w:rPr>
                <w:rFonts w:cstheme="minorHAnsi"/>
                <w:sz w:val="20"/>
                <w:szCs w:val="20"/>
                <w:lang w:val="es-ES"/>
              </w:rPr>
              <w:t>ii</w:t>
            </w:r>
            <w:proofErr w:type="spellEnd"/>
            <w:r>
              <w:rPr>
                <w:rFonts w:cstheme="minorHAnsi"/>
                <w:sz w:val="20"/>
                <w:szCs w:val="20"/>
                <w:lang w:val="es-ES"/>
              </w:rPr>
              <w:t xml:space="preserve">. </w:t>
            </w:r>
            <w:r w:rsidR="00DE22CD">
              <w:rPr>
                <w:rFonts w:cstheme="minorHAnsi"/>
                <w:sz w:val="20"/>
                <w:szCs w:val="20"/>
                <w:lang w:val="es-ES"/>
              </w:rPr>
              <w:t>en el caso de bienes, reponer los bienes, suministrar bienes equivalentes o hacer reparar los bienes, o el pago del coste de reponer los bienes, suministrar bienes equivalentes o hacer reparar los bienes.</w:t>
            </w:r>
          </w:p>
          <w:p w14:paraId="3572385C" w14:textId="01D80134" w:rsidR="00D3587F" w:rsidRPr="000B2DFA" w:rsidRDefault="22711D0A" w:rsidP="000B2DFA">
            <w:pPr>
              <w:jc w:val="both"/>
              <w:rPr>
                <w:sz w:val="20"/>
                <w:szCs w:val="20"/>
                <w:lang w:val="es-ES"/>
              </w:rPr>
            </w:pPr>
            <w:r>
              <w:rPr>
                <w:sz w:val="20"/>
                <w:szCs w:val="20"/>
                <w:lang w:val="es-ES"/>
              </w:rPr>
              <w:t xml:space="preserve">7.5 Cuando la Política de transferencia global obligue al Vendedor a indemnizar y eximir de responsabilidad a Align y a sus entidades afiliadas (incluyendo sucesores y cesionarios), la responsabilidad del Vendedor disminuirá proporcionalmente si las Pérdidas que originan dicha indemnización fueron provocadas o contaron con la concurrencia de </w:t>
            </w:r>
            <w:proofErr w:type="spellStart"/>
            <w:r>
              <w:rPr>
                <w:sz w:val="20"/>
                <w:szCs w:val="20"/>
                <w:lang w:val="es-ES"/>
              </w:rPr>
              <w:t>Align</w:t>
            </w:r>
            <w:proofErr w:type="spellEnd"/>
            <w:r>
              <w:rPr>
                <w:sz w:val="20"/>
                <w:szCs w:val="20"/>
                <w:lang w:val="es-ES"/>
              </w:rPr>
              <w:t>.</w:t>
            </w:r>
          </w:p>
        </w:tc>
      </w:tr>
      <w:tr w:rsidR="00DE22CD" w:rsidRPr="007114BA" w14:paraId="6C2CDEB0" w14:textId="77777777" w:rsidTr="76899A30">
        <w:tc>
          <w:tcPr>
            <w:tcW w:w="895" w:type="dxa"/>
            <w:vAlign w:val="center"/>
          </w:tcPr>
          <w:p w14:paraId="7B66AB50" w14:textId="01437FCF" w:rsidR="00DE22CD" w:rsidRDefault="00DE22CD" w:rsidP="000B2DFA">
            <w:pPr>
              <w:jc w:val="center"/>
              <w:rPr>
                <w:rFonts w:cstheme="minorHAnsi"/>
                <w:sz w:val="20"/>
                <w:szCs w:val="20"/>
              </w:rPr>
            </w:pPr>
            <w:r>
              <w:rPr>
                <w:rFonts w:cstheme="minorHAnsi"/>
                <w:sz w:val="20"/>
                <w:szCs w:val="20"/>
                <w:lang w:val="es-ES"/>
              </w:rPr>
              <w:lastRenderedPageBreak/>
              <w:t>8.2 (sección nueva)</w:t>
            </w:r>
          </w:p>
        </w:tc>
        <w:tc>
          <w:tcPr>
            <w:tcW w:w="8455" w:type="dxa"/>
          </w:tcPr>
          <w:p w14:paraId="3FDFB82D" w14:textId="42484F5B" w:rsidR="00DE22CD" w:rsidRPr="000B2DFA" w:rsidRDefault="22711D0A" w:rsidP="000B2DFA">
            <w:pPr>
              <w:jc w:val="both"/>
              <w:rPr>
                <w:sz w:val="20"/>
                <w:szCs w:val="20"/>
                <w:lang w:val="es-ES"/>
              </w:rPr>
            </w:pPr>
            <w:r>
              <w:rPr>
                <w:sz w:val="20"/>
                <w:szCs w:val="20"/>
                <w:lang w:val="es-ES"/>
              </w:rPr>
              <w:t>En los casos en que la presente Política de transferencia global faculte a Align a cobrar una tasa por:</w:t>
            </w:r>
          </w:p>
          <w:p w14:paraId="04A977E9" w14:textId="5A918E47" w:rsidR="00DE22CD" w:rsidRPr="000B2DFA" w:rsidRDefault="22711D0A" w:rsidP="000B2DFA">
            <w:pPr>
              <w:jc w:val="both"/>
              <w:rPr>
                <w:sz w:val="20"/>
                <w:szCs w:val="20"/>
                <w:lang w:val="es-ES"/>
              </w:rPr>
            </w:pPr>
            <w:r>
              <w:rPr>
                <w:sz w:val="20"/>
                <w:szCs w:val="20"/>
                <w:lang w:val="es-ES"/>
              </w:rPr>
              <w:t xml:space="preserve">a. Evaluación presencial o remota: la tasa solo será exigible cuando haya sido incluida en el contrato de compra original del escáner iTero celebrado entre el Vendedor y Align con respecto al Escáner iTero objeto de la Transferencia; y </w:t>
            </w:r>
          </w:p>
          <w:p w14:paraId="2CC712E6" w14:textId="7C5A8572" w:rsidR="00DE22CD" w:rsidRPr="000B2DFA" w:rsidRDefault="00DE22CD" w:rsidP="000B2DFA">
            <w:pPr>
              <w:jc w:val="both"/>
              <w:rPr>
                <w:rFonts w:cstheme="minorHAnsi"/>
                <w:sz w:val="20"/>
                <w:szCs w:val="20"/>
                <w:lang w:val="es-ES"/>
              </w:rPr>
            </w:pPr>
            <w:r>
              <w:rPr>
                <w:rFonts w:cstheme="minorHAnsi"/>
                <w:sz w:val="20"/>
                <w:szCs w:val="20"/>
                <w:lang w:val="es-ES"/>
              </w:rPr>
              <w:t>b. Reparaciones obligatorias: Align no aplicará cargo alguno siempre que el Vendedor o el Comprador estén amparados por el derecho a reparación previsto en el Anexo 2 de la Ley de Competencia y Consumo de 2010 (Cth), conforme a sus versiones vigentes o futuras.</w:t>
            </w:r>
          </w:p>
        </w:tc>
      </w:tr>
    </w:tbl>
    <w:p w14:paraId="65B0DE09" w14:textId="77777777" w:rsidR="00D3587F" w:rsidRPr="000B2DFA" w:rsidRDefault="00D3587F" w:rsidP="000B2DFA">
      <w:pPr>
        <w:spacing w:line="240" w:lineRule="auto"/>
        <w:jc w:val="both"/>
        <w:rPr>
          <w:rFonts w:cstheme="minorHAnsi"/>
          <w:sz w:val="20"/>
          <w:szCs w:val="20"/>
          <w:lang w:val="es-ES"/>
        </w:rPr>
      </w:pPr>
    </w:p>
    <w:sectPr w:rsidR="00D3587F" w:rsidRPr="000B2DFA">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E2057" w14:textId="77777777" w:rsidR="00750D0D" w:rsidRDefault="00750D0D">
      <w:pPr>
        <w:spacing w:after="0" w:line="240" w:lineRule="auto"/>
      </w:pPr>
      <w:r>
        <w:separator/>
      </w:r>
    </w:p>
  </w:endnote>
  <w:endnote w:type="continuationSeparator" w:id="0">
    <w:p w14:paraId="7C91B0B9" w14:textId="77777777" w:rsidR="00750D0D" w:rsidRDefault="00750D0D">
      <w:pPr>
        <w:spacing w:after="0" w:line="240" w:lineRule="auto"/>
      </w:pPr>
      <w:r>
        <w:continuationSeparator/>
      </w:r>
    </w:p>
  </w:endnote>
  <w:endnote w:type="continuationNotice" w:id="1">
    <w:p w14:paraId="2F948B35" w14:textId="77777777" w:rsidR="00750D0D" w:rsidRDefault="00750D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FD7D" w14:textId="77777777" w:rsidR="00303555" w:rsidRDefault="003035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67F6B" w14:textId="77777777" w:rsidR="00750D0D" w:rsidRDefault="00750D0D">
      <w:pPr>
        <w:spacing w:after="0" w:line="240" w:lineRule="auto"/>
      </w:pPr>
      <w:r>
        <w:separator/>
      </w:r>
    </w:p>
  </w:footnote>
  <w:footnote w:type="continuationSeparator" w:id="0">
    <w:p w14:paraId="633C1365" w14:textId="77777777" w:rsidR="00750D0D" w:rsidRDefault="00750D0D">
      <w:pPr>
        <w:spacing w:after="0" w:line="240" w:lineRule="auto"/>
      </w:pPr>
      <w:r>
        <w:continuationSeparator/>
      </w:r>
    </w:p>
  </w:footnote>
  <w:footnote w:type="continuationNotice" w:id="1">
    <w:p w14:paraId="0ED6F3B5" w14:textId="77777777" w:rsidR="00750D0D" w:rsidRDefault="00750D0D">
      <w:pPr>
        <w:spacing w:after="0" w:line="240" w:lineRule="auto"/>
      </w:pPr>
    </w:p>
  </w:footnote>
  <w:footnote w:id="2">
    <w:p w14:paraId="500A5AC3" w14:textId="52DA9FE5" w:rsidR="003266F9" w:rsidRPr="000B2DFA" w:rsidRDefault="003266F9">
      <w:pPr>
        <w:pStyle w:val="FootnoteText"/>
        <w:rPr>
          <w:lang w:val="es-ES"/>
        </w:rPr>
      </w:pPr>
      <w:r>
        <w:rPr>
          <w:rStyle w:val="FootnoteReference"/>
          <w:lang w:val="es-ES"/>
        </w:rPr>
        <w:footnoteRef/>
      </w:r>
      <w:r>
        <w:rPr>
          <w:lang w:val="es-ES"/>
        </w:rPr>
        <w:t xml:space="preserve"> </w:t>
      </w:r>
      <w:r>
        <w:rPr>
          <w:sz w:val="18"/>
          <w:szCs w:val="18"/>
          <w:lang w:val="es-ES"/>
        </w:rPr>
        <w:t xml:space="preserve">Doctores ubicados en la </w:t>
      </w:r>
      <w:r>
        <w:rPr>
          <w:b/>
          <w:bCs/>
          <w:sz w:val="18"/>
          <w:szCs w:val="18"/>
          <w:lang w:val="es-ES"/>
        </w:rPr>
        <w:t>EU (Unión Europea)</w:t>
      </w:r>
      <w:r>
        <w:rPr>
          <w:sz w:val="18"/>
          <w:szCs w:val="18"/>
          <w:lang w:val="es-ES"/>
        </w:rPr>
        <w:t>: a efectos de esta Política de transferencia global, «país» significará todos los Estados miembros de la EU (Unión Europea).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2BBB5" w14:textId="23BE2873" w:rsidR="002A0D00" w:rsidRPr="00D04C18" w:rsidRDefault="002A0D00">
    <w:pPr>
      <w:pStyle w:val="Header"/>
      <w:rPr>
        <w:b/>
        <w:bCs/>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3585A"/>
    <w:multiLevelType w:val="hybridMultilevel"/>
    <w:tmpl w:val="05D62466"/>
    <w:lvl w:ilvl="0" w:tplc="E9AAD4F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9F2E3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B91419F"/>
    <w:multiLevelType w:val="hybridMultilevel"/>
    <w:tmpl w:val="32A680B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F773E15"/>
    <w:multiLevelType w:val="hybridMultilevel"/>
    <w:tmpl w:val="2152C6E0"/>
    <w:lvl w:ilvl="0" w:tplc="FFFFFFFF">
      <w:start w:val="1"/>
      <w:numFmt w:val="lowerLetter"/>
      <w:lvlText w:val="%1."/>
      <w:lvlJc w:val="left"/>
      <w:pPr>
        <w:ind w:left="1440" w:hanging="720"/>
      </w:pPr>
      <w:rPr>
        <w:rFonts w:asciiTheme="minorHAnsi" w:eastAsia="Times New Roman" w:hAnsiTheme="minorHAnsi" w:cstheme="minorHAnsi"/>
      </w:rPr>
    </w:lvl>
    <w:lvl w:ilvl="1" w:tplc="FFFFFFFF">
      <w:start w:val="1"/>
      <w:numFmt w:val="lowerRoman"/>
      <w:lvlText w:val="%2."/>
      <w:lvlJc w:val="left"/>
      <w:pPr>
        <w:ind w:left="1800" w:hanging="360"/>
      </w:pPr>
      <w:rPr>
        <w:rFonts w:ascii="Arial" w:eastAsia="Times New Roman" w:hAnsi="Arial" w:cs="Arial"/>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30D68DF"/>
    <w:multiLevelType w:val="hybridMultilevel"/>
    <w:tmpl w:val="7BAAC9E8"/>
    <w:lvl w:ilvl="0" w:tplc="04090001">
      <w:start w:val="1"/>
      <w:numFmt w:val="bullet"/>
      <w:lvlText w:val=""/>
      <w:lvlJc w:val="left"/>
      <w:pPr>
        <w:ind w:left="270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7357F2"/>
    <w:multiLevelType w:val="multilevel"/>
    <w:tmpl w:val="98568AE2"/>
    <w:lvl w:ilvl="0">
      <w:start w:val="1"/>
      <w:numFmt w:val="decimal"/>
      <w:lvlRestart w:val="0"/>
      <w:pStyle w:val="FFWLevel1"/>
      <w:isLgl/>
      <w:lvlText w:val="%1."/>
      <w:lvlJc w:val="left"/>
      <w:pPr>
        <w:tabs>
          <w:tab w:val="num" w:pos="794"/>
        </w:tabs>
        <w:ind w:left="794" w:hanging="794"/>
      </w:pPr>
      <w:rPr>
        <w:b/>
      </w:rPr>
    </w:lvl>
    <w:lvl w:ilvl="1">
      <w:start w:val="1"/>
      <w:numFmt w:val="decimal"/>
      <w:pStyle w:val="FFWLevel2"/>
      <w:isLgl/>
      <w:lvlText w:val="%1.%2"/>
      <w:lvlJc w:val="left"/>
      <w:pPr>
        <w:tabs>
          <w:tab w:val="num" w:pos="794"/>
        </w:tabs>
        <w:ind w:left="794" w:hanging="794"/>
      </w:pPr>
      <w:rPr>
        <w:b w:val="0"/>
      </w:rPr>
    </w:lvl>
    <w:lvl w:ilvl="2">
      <w:start w:val="1"/>
      <w:numFmt w:val="decimal"/>
      <w:pStyle w:val="FFWLevel3"/>
      <w:isLgl/>
      <w:lvlText w:val="%1.%2.%3"/>
      <w:lvlJc w:val="left"/>
      <w:pPr>
        <w:tabs>
          <w:tab w:val="num" w:pos="794"/>
        </w:tabs>
        <w:ind w:left="794" w:hanging="794"/>
      </w:pPr>
      <w:rPr>
        <w:b w:val="0"/>
      </w:rPr>
    </w:lvl>
    <w:lvl w:ilvl="3">
      <w:start w:val="1"/>
      <w:numFmt w:val="lowerLetter"/>
      <w:pStyle w:val="FFWLevel4"/>
      <w:lvlText w:val="(%4)"/>
      <w:lvlJc w:val="left"/>
      <w:pPr>
        <w:tabs>
          <w:tab w:val="num" w:pos="1587"/>
        </w:tabs>
        <w:ind w:left="1587" w:hanging="793"/>
      </w:pPr>
    </w:lvl>
    <w:lvl w:ilvl="4">
      <w:start w:val="1"/>
      <w:numFmt w:val="lowerRoman"/>
      <w:pStyle w:val="FFWLevel5"/>
      <w:lvlText w:val="(%5)"/>
      <w:lvlJc w:val="left"/>
      <w:pPr>
        <w:tabs>
          <w:tab w:val="num" w:pos="2381"/>
        </w:tabs>
        <w:ind w:left="2381" w:hanging="794"/>
      </w:pPr>
    </w:lvl>
    <w:lvl w:ilvl="5">
      <w:start w:val="1"/>
      <w:numFmt w:val="upperLetter"/>
      <w:pStyle w:val="FFWLevel6"/>
      <w:lvlText w:val="(%6)"/>
      <w:lvlJc w:val="left"/>
      <w:pPr>
        <w:tabs>
          <w:tab w:val="num" w:pos="3175"/>
        </w:tabs>
        <w:ind w:left="3175" w:hanging="794"/>
      </w:pPr>
    </w:lvl>
    <w:lvl w:ilvl="6">
      <w:start w:val="1"/>
      <w:numFmt w:val="none"/>
      <w:lvlText w:val="UNDEFINED"/>
      <w:lvlJc w:val="left"/>
      <w:pPr>
        <w:tabs>
          <w:tab w:val="num" w:pos="3969"/>
        </w:tabs>
        <w:ind w:left="3969" w:hanging="794"/>
      </w:pPr>
    </w:lvl>
    <w:lvl w:ilvl="7">
      <w:start w:val="1"/>
      <w:numFmt w:val="none"/>
      <w:lvlText w:val="UNDEFINED"/>
      <w:lvlJc w:val="left"/>
      <w:pPr>
        <w:tabs>
          <w:tab w:val="num" w:pos="4762"/>
        </w:tabs>
        <w:ind w:left="4762" w:hanging="793"/>
      </w:pPr>
    </w:lvl>
    <w:lvl w:ilvl="8">
      <w:start w:val="1"/>
      <w:numFmt w:val="none"/>
      <w:lvlText w:val="UNDEFINED"/>
      <w:lvlJc w:val="left"/>
      <w:pPr>
        <w:tabs>
          <w:tab w:val="num" w:pos="5556"/>
        </w:tabs>
        <w:ind w:left="5556" w:hanging="794"/>
      </w:pPr>
    </w:lvl>
  </w:abstractNum>
  <w:abstractNum w:abstractNumId="6" w15:restartNumberingAfterBreak="0">
    <w:nsid w:val="2DC472C9"/>
    <w:multiLevelType w:val="hybridMultilevel"/>
    <w:tmpl w:val="3086DAE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2B507CA"/>
    <w:multiLevelType w:val="hybridMultilevel"/>
    <w:tmpl w:val="7CD8FAC0"/>
    <w:lvl w:ilvl="0" w:tplc="DE585962">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 w15:restartNumberingAfterBreak="0">
    <w:nsid w:val="38A1342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FE323EB"/>
    <w:multiLevelType w:val="hybridMultilevel"/>
    <w:tmpl w:val="29306940"/>
    <w:lvl w:ilvl="0" w:tplc="E9AAD4F2">
      <w:start w:val="1"/>
      <w:numFmt w:val="decimal"/>
      <w:lvlText w:val="%1."/>
      <w:lvlJc w:val="left"/>
      <w:pPr>
        <w:ind w:left="720" w:hanging="360"/>
      </w:pPr>
      <w:rPr>
        <w:rFonts w:hint="default"/>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25F6BAB"/>
    <w:multiLevelType w:val="hybridMultilevel"/>
    <w:tmpl w:val="2152C6E0"/>
    <w:lvl w:ilvl="0" w:tplc="CAD03C2C">
      <w:start w:val="1"/>
      <w:numFmt w:val="lowerLetter"/>
      <w:lvlText w:val="%1."/>
      <w:lvlJc w:val="left"/>
      <w:pPr>
        <w:ind w:left="1440" w:hanging="720"/>
      </w:pPr>
      <w:rPr>
        <w:rFonts w:asciiTheme="minorHAnsi" w:eastAsia="Times New Roman" w:hAnsiTheme="minorHAnsi" w:cstheme="minorHAnsi"/>
      </w:rPr>
    </w:lvl>
    <w:lvl w:ilvl="1" w:tplc="37AAD1DE">
      <w:start w:val="1"/>
      <w:numFmt w:val="lowerRoman"/>
      <w:lvlText w:val="%2."/>
      <w:lvlJc w:val="left"/>
      <w:pPr>
        <w:ind w:left="1800" w:hanging="360"/>
      </w:pPr>
      <w:rPr>
        <w:rFonts w:ascii="Arial" w:eastAsia="Times New Roman" w:hAnsi="Arial" w:cs="Arial"/>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52F13DA5"/>
    <w:multiLevelType w:val="hybridMultilevel"/>
    <w:tmpl w:val="32A680B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57A7865"/>
    <w:multiLevelType w:val="hybridMultilevel"/>
    <w:tmpl w:val="7CD8FAC0"/>
    <w:lvl w:ilvl="0" w:tplc="DE58596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5C736C94"/>
    <w:multiLevelType w:val="hybridMultilevel"/>
    <w:tmpl w:val="4B4AC5C8"/>
    <w:lvl w:ilvl="0" w:tplc="1C30D6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927307"/>
    <w:multiLevelType w:val="hybridMultilevel"/>
    <w:tmpl w:val="E4B80C12"/>
    <w:lvl w:ilvl="0" w:tplc="6EE82868">
      <w:start w:val="1"/>
      <w:numFmt w:val="lowerLetter"/>
      <w:pStyle w:val="Heading3"/>
      <w:lvlText w:val="(%1)"/>
      <w:lvlJc w:val="left"/>
      <w:pPr>
        <w:ind w:left="1080" w:hanging="360"/>
      </w:pPr>
      <w:rPr>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76507BC6">
      <w:start w:val="1"/>
      <w:numFmt w:val="decimal"/>
      <w:pStyle w:val="Heading4"/>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EA33C49"/>
    <w:multiLevelType w:val="hybridMultilevel"/>
    <w:tmpl w:val="6E96D41E"/>
    <w:lvl w:ilvl="0" w:tplc="132CCEC2">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77F82A90"/>
    <w:multiLevelType w:val="multilevel"/>
    <w:tmpl w:val="110A11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80E0149"/>
    <w:multiLevelType w:val="hybridMultilevel"/>
    <w:tmpl w:val="2152C6E0"/>
    <w:lvl w:ilvl="0" w:tplc="FFFFFFFF">
      <w:start w:val="1"/>
      <w:numFmt w:val="lowerLetter"/>
      <w:lvlText w:val="%1."/>
      <w:lvlJc w:val="left"/>
      <w:pPr>
        <w:ind w:left="1440" w:hanging="720"/>
      </w:pPr>
      <w:rPr>
        <w:rFonts w:asciiTheme="minorHAnsi" w:eastAsia="Times New Roman" w:hAnsiTheme="minorHAnsi" w:cstheme="minorHAnsi"/>
      </w:rPr>
    </w:lvl>
    <w:lvl w:ilvl="1" w:tplc="FFFFFFFF">
      <w:start w:val="1"/>
      <w:numFmt w:val="lowerRoman"/>
      <w:lvlText w:val="%2."/>
      <w:lvlJc w:val="left"/>
      <w:pPr>
        <w:ind w:left="1800" w:hanging="360"/>
      </w:pPr>
      <w:rPr>
        <w:rFonts w:ascii="Arial" w:eastAsia="Times New Roman" w:hAnsi="Arial" w:cs="Arial"/>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78633617"/>
    <w:multiLevelType w:val="hybridMultilevel"/>
    <w:tmpl w:val="3FBED162"/>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78F94480"/>
    <w:multiLevelType w:val="hybridMultilevel"/>
    <w:tmpl w:val="C68429BE"/>
    <w:lvl w:ilvl="0" w:tplc="2EEA10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7584623">
    <w:abstractNumId w:val="6"/>
  </w:num>
  <w:num w:numId="2" w16cid:durableId="1482962949">
    <w:abstractNumId w:val="4"/>
  </w:num>
  <w:num w:numId="3" w16cid:durableId="1333143468">
    <w:abstractNumId w:val="7"/>
  </w:num>
  <w:num w:numId="4" w16cid:durableId="17319204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37659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35333704">
    <w:abstractNumId w:val="16"/>
  </w:num>
  <w:num w:numId="7" w16cid:durableId="13768063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979281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88391804">
    <w:abstractNumId w:val="13"/>
  </w:num>
  <w:num w:numId="10" w16cid:durableId="616301797">
    <w:abstractNumId w:val="0"/>
  </w:num>
  <w:num w:numId="11" w16cid:durableId="1711109828">
    <w:abstractNumId w:val="19"/>
  </w:num>
  <w:num w:numId="12" w16cid:durableId="656033353">
    <w:abstractNumId w:val="5"/>
  </w:num>
  <w:num w:numId="13" w16cid:durableId="2034189684">
    <w:abstractNumId w:val="10"/>
  </w:num>
  <w:num w:numId="14" w16cid:durableId="1130635530">
    <w:abstractNumId w:val="9"/>
  </w:num>
  <w:num w:numId="15" w16cid:durableId="6587314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40726146">
    <w:abstractNumId w:val="11"/>
  </w:num>
  <w:num w:numId="17" w16cid:durableId="986973522">
    <w:abstractNumId w:val="5"/>
  </w:num>
  <w:num w:numId="18" w16cid:durableId="2058505440">
    <w:abstractNumId w:val="5"/>
  </w:num>
  <w:num w:numId="19" w16cid:durableId="860969836">
    <w:abstractNumId w:val="5"/>
  </w:num>
  <w:num w:numId="20" w16cid:durableId="1660386470">
    <w:abstractNumId w:val="14"/>
  </w:num>
  <w:num w:numId="21" w16cid:durableId="98448282">
    <w:abstractNumId w:val="5"/>
  </w:num>
  <w:num w:numId="22" w16cid:durableId="1854489305">
    <w:abstractNumId w:val="5"/>
  </w:num>
  <w:num w:numId="23" w16cid:durableId="203755698">
    <w:abstractNumId w:val="17"/>
  </w:num>
  <w:num w:numId="24" w16cid:durableId="293872714">
    <w:abstractNumId w:val="5"/>
  </w:num>
  <w:num w:numId="25" w16cid:durableId="374081642">
    <w:abstractNumId w:val="5"/>
  </w:num>
  <w:num w:numId="26" w16cid:durableId="1960140029">
    <w:abstractNumId w:val="5"/>
  </w:num>
  <w:num w:numId="27" w16cid:durableId="745230117">
    <w:abstractNumId w:val="5"/>
  </w:num>
  <w:num w:numId="28" w16cid:durableId="327056566">
    <w:abstractNumId w:val="5"/>
  </w:num>
  <w:num w:numId="29" w16cid:durableId="1971662366">
    <w:abstractNumId w:val="5"/>
  </w:num>
  <w:num w:numId="30" w16cid:durableId="1771897375">
    <w:abstractNumId w:val="3"/>
  </w:num>
  <w:num w:numId="31" w16cid:durableId="2132700798">
    <w:abstractNumId w:val="2"/>
  </w:num>
  <w:num w:numId="32" w16cid:durableId="2071953077">
    <w:abstractNumId w:val="5"/>
  </w:num>
  <w:num w:numId="33" w16cid:durableId="2059164798">
    <w:abstractNumId w:val="5"/>
  </w:num>
  <w:num w:numId="34" w16cid:durableId="1291936253">
    <w:abstractNumId w:val="18"/>
  </w:num>
  <w:num w:numId="35" w16cid:durableId="1224298124">
    <w:abstractNumId w:val="1"/>
  </w:num>
  <w:num w:numId="36" w16cid:durableId="3238989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4E2"/>
    <w:rsid w:val="0000172E"/>
    <w:rsid w:val="00005966"/>
    <w:rsid w:val="00005B35"/>
    <w:rsid w:val="00012B48"/>
    <w:rsid w:val="00013EDD"/>
    <w:rsid w:val="00016A72"/>
    <w:rsid w:val="00023284"/>
    <w:rsid w:val="00025A93"/>
    <w:rsid w:val="000367FA"/>
    <w:rsid w:val="00037C42"/>
    <w:rsid w:val="0004061E"/>
    <w:rsid w:val="00047A1B"/>
    <w:rsid w:val="00051DC4"/>
    <w:rsid w:val="000522DC"/>
    <w:rsid w:val="00053E72"/>
    <w:rsid w:val="00054A5F"/>
    <w:rsid w:val="000600BB"/>
    <w:rsid w:val="000650FE"/>
    <w:rsid w:val="000713B6"/>
    <w:rsid w:val="000740DC"/>
    <w:rsid w:val="00074735"/>
    <w:rsid w:val="00075CF6"/>
    <w:rsid w:val="000762C5"/>
    <w:rsid w:val="00082863"/>
    <w:rsid w:val="00084F19"/>
    <w:rsid w:val="00095071"/>
    <w:rsid w:val="000965E8"/>
    <w:rsid w:val="000A20DA"/>
    <w:rsid w:val="000A2D41"/>
    <w:rsid w:val="000A2E52"/>
    <w:rsid w:val="000B2DFA"/>
    <w:rsid w:val="000C16D4"/>
    <w:rsid w:val="000C42C9"/>
    <w:rsid w:val="000C505C"/>
    <w:rsid w:val="000C7801"/>
    <w:rsid w:val="000D2FC3"/>
    <w:rsid w:val="000E21F7"/>
    <w:rsid w:val="000E55E4"/>
    <w:rsid w:val="000E57E4"/>
    <w:rsid w:val="000E68B2"/>
    <w:rsid w:val="000F2751"/>
    <w:rsid w:val="000F3D8B"/>
    <w:rsid w:val="00102329"/>
    <w:rsid w:val="001048A6"/>
    <w:rsid w:val="00110A1D"/>
    <w:rsid w:val="00115314"/>
    <w:rsid w:val="0011659A"/>
    <w:rsid w:val="0011747F"/>
    <w:rsid w:val="001177C2"/>
    <w:rsid w:val="00121DED"/>
    <w:rsid w:val="00123E43"/>
    <w:rsid w:val="001251F1"/>
    <w:rsid w:val="00125526"/>
    <w:rsid w:val="001262ED"/>
    <w:rsid w:val="00126D88"/>
    <w:rsid w:val="00132E09"/>
    <w:rsid w:val="0015030D"/>
    <w:rsid w:val="00150F1E"/>
    <w:rsid w:val="00153158"/>
    <w:rsid w:val="00155167"/>
    <w:rsid w:val="00156169"/>
    <w:rsid w:val="001566CE"/>
    <w:rsid w:val="00157B23"/>
    <w:rsid w:val="00161BBF"/>
    <w:rsid w:val="00163576"/>
    <w:rsid w:val="001651D3"/>
    <w:rsid w:val="00166268"/>
    <w:rsid w:val="00173D5E"/>
    <w:rsid w:val="00174810"/>
    <w:rsid w:val="001816FC"/>
    <w:rsid w:val="00182A91"/>
    <w:rsid w:val="0018318A"/>
    <w:rsid w:val="00184B32"/>
    <w:rsid w:val="00185A6C"/>
    <w:rsid w:val="00190F6D"/>
    <w:rsid w:val="00191317"/>
    <w:rsid w:val="00195388"/>
    <w:rsid w:val="001A1F4C"/>
    <w:rsid w:val="001A20C4"/>
    <w:rsid w:val="001A5D69"/>
    <w:rsid w:val="001A7815"/>
    <w:rsid w:val="001B2297"/>
    <w:rsid w:val="001B2455"/>
    <w:rsid w:val="001B3BE8"/>
    <w:rsid w:val="001B4B13"/>
    <w:rsid w:val="001B528C"/>
    <w:rsid w:val="001B58A8"/>
    <w:rsid w:val="001B678C"/>
    <w:rsid w:val="001B6AA7"/>
    <w:rsid w:val="001B7126"/>
    <w:rsid w:val="001B74FD"/>
    <w:rsid w:val="001D088E"/>
    <w:rsid w:val="001D1138"/>
    <w:rsid w:val="001D135F"/>
    <w:rsid w:val="001D18A9"/>
    <w:rsid w:val="001D5267"/>
    <w:rsid w:val="001E0F49"/>
    <w:rsid w:val="001E329A"/>
    <w:rsid w:val="001E5690"/>
    <w:rsid w:val="001E5DCE"/>
    <w:rsid w:val="001F0332"/>
    <w:rsid w:val="001F24E5"/>
    <w:rsid w:val="001F4988"/>
    <w:rsid w:val="002117CA"/>
    <w:rsid w:val="00212EE7"/>
    <w:rsid w:val="00213FF7"/>
    <w:rsid w:val="00220B17"/>
    <w:rsid w:val="002230E2"/>
    <w:rsid w:val="0022513A"/>
    <w:rsid w:val="00234B42"/>
    <w:rsid w:val="00234B6D"/>
    <w:rsid w:val="002461AA"/>
    <w:rsid w:val="002605FD"/>
    <w:rsid w:val="002628F6"/>
    <w:rsid w:val="00265179"/>
    <w:rsid w:val="00271112"/>
    <w:rsid w:val="00271507"/>
    <w:rsid w:val="00274C9E"/>
    <w:rsid w:val="002759D4"/>
    <w:rsid w:val="0028512B"/>
    <w:rsid w:val="00287097"/>
    <w:rsid w:val="0028770F"/>
    <w:rsid w:val="00291EDE"/>
    <w:rsid w:val="00292690"/>
    <w:rsid w:val="00293FF2"/>
    <w:rsid w:val="002951A6"/>
    <w:rsid w:val="002A09E3"/>
    <w:rsid w:val="002A0D00"/>
    <w:rsid w:val="002A2071"/>
    <w:rsid w:val="002A66A6"/>
    <w:rsid w:val="002B682F"/>
    <w:rsid w:val="002D140C"/>
    <w:rsid w:val="002D2D5D"/>
    <w:rsid w:val="002E13E9"/>
    <w:rsid w:val="002E378B"/>
    <w:rsid w:val="002E62FD"/>
    <w:rsid w:val="002E6394"/>
    <w:rsid w:val="002E7D43"/>
    <w:rsid w:val="00303555"/>
    <w:rsid w:val="0031082E"/>
    <w:rsid w:val="00310B95"/>
    <w:rsid w:val="0031297E"/>
    <w:rsid w:val="00312F60"/>
    <w:rsid w:val="00315198"/>
    <w:rsid w:val="00315FE3"/>
    <w:rsid w:val="003266F9"/>
    <w:rsid w:val="003314FC"/>
    <w:rsid w:val="00345512"/>
    <w:rsid w:val="0035382B"/>
    <w:rsid w:val="00360098"/>
    <w:rsid w:val="00367D4E"/>
    <w:rsid w:val="00375408"/>
    <w:rsid w:val="003804A5"/>
    <w:rsid w:val="00380C43"/>
    <w:rsid w:val="0038531A"/>
    <w:rsid w:val="00391A15"/>
    <w:rsid w:val="00391C83"/>
    <w:rsid w:val="003973C2"/>
    <w:rsid w:val="003A0B37"/>
    <w:rsid w:val="003A5C41"/>
    <w:rsid w:val="003B1333"/>
    <w:rsid w:val="003B2E1C"/>
    <w:rsid w:val="003D463A"/>
    <w:rsid w:val="003D53FB"/>
    <w:rsid w:val="003D6695"/>
    <w:rsid w:val="003D7C4F"/>
    <w:rsid w:val="003E0185"/>
    <w:rsid w:val="003E2360"/>
    <w:rsid w:val="003E315E"/>
    <w:rsid w:val="003E60AF"/>
    <w:rsid w:val="003E6234"/>
    <w:rsid w:val="003F1EF6"/>
    <w:rsid w:val="003F2D23"/>
    <w:rsid w:val="003F2F43"/>
    <w:rsid w:val="003F318D"/>
    <w:rsid w:val="0040360F"/>
    <w:rsid w:val="00403DF1"/>
    <w:rsid w:val="00406708"/>
    <w:rsid w:val="00413BD0"/>
    <w:rsid w:val="00427261"/>
    <w:rsid w:val="00432625"/>
    <w:rsid w:val="00444B0E"/>
    <w:rsid w:val="004478A0"/>
    <w:rsid w:val="00452497"/>
    <w:rsid w:val="004551C7"/>
    <w:rsid w:val="004615AF"/>
    <w:rsid w:val="004643B3"/>
    <w:rsid w:val="0047179B"/>
    <w:rsid w:val="004721BB"/>
    <w:rsid w:val="0047472B"/>
    <w:rsid w:val="00476C3D"/>
    <w:rsid w:val="00487582"/>
    <w:rsid w:val="00490BF9"/>
    <w:rsid w:val="00491364"/>
    <w:rsid w:val="00491E07"/>
    <w:rsid w:val="00497988"/>
    <w:rsid w:val="004B253A"/>
    <w:rsid w:val="004C5E63"/>
    <w:rsid w:val="004D5A1E"/>
    <w:rsid w:val="004D6287"/>
    <w:rsid w:val="004E13DC"/>
    <w:rsid w:val="004E4341"/>
    <w:rsid w:val="004E7642"/>
    <w:rsid w:val="004F1FA3"/>
    <w:rsid w:val="004F214F"/>
    <w:rsid w:val="004F765C"/>
    <w:rsid w:val="00502228"/>
    <w:rsid w:val="0051065A"/>
    <w:rsid w:val="00517AC4"/>
    <w:rsid w:val="00523643"/>
    <w:rsid w:val="00530540"/>
    <w:rsid w:val="00533EB0"/>
    <w:rsid w:val="00536971"/>
    <w:rsid w:val="00541130"/>
    <w:rsid w:val="005460B8"/>
    <w:rsid w:val="005468FE"/>
    <w:rsid w:val="00560823"/>
    <w:rsid w:val="005618C0"/>
    <w:rsid w:val="00561E16"/>
    <w:rsid w:val="00567CB3"/>
    <w:rsid w:val="00567EE2"/>
    <w:rsid w:val="005723BA"/>
    <w:rsid w:val="00577C95"/>
    <w:rsid w:val="0058335D"/>
    <w:rsid w:val="00583F57"/>
    <w:rsid w:val="00586F7C"/>
    <w:rsid w:val="005A41A6"/>
    <w:rsid w:val="005A5F20"/>
    <w:rsid w:val="005A6275"/>
    <w:rsid w:val="005B1898"/>
    <w:rsid w:val="005B2CDB"/>
    <w:rsid w:val="005B5C7C"/>
    <w:rsid w:val="005B7797"/>
    <w:rsid w:val="005C0F52"/>
    <w:rsid w:val="005C2C88"/>
    <w:rsid w:val="005C52DA"/>
    <w:rsid w:val="005C66A1"/>
    <w:rsid w:val="005D0CA3"/>
    <w:rsid w:val="005D1249"/>
    <w:rsid w:val="005D72CA"/>
    <w:rsid w:val="005E098E"/>
    <w:rsid w:val="005E0FC3"/>
    <w:rsid w:val="005E7D5E"/>
    <w:rsid w:val="005F067D"/>
    <w:rsid w:val="005F0881"/>
    <w:rsid w:val="005F4129"/>
    <w:rsid w:val="005F78A7"/>
    <w:rsid w:val="006000A6"/>
    <w:rsid w:val="00600E6F"/>
    <w:rsid w:val="00602231"/>
    <w:rsid w:val="00611540"/>
    <w:rsid w:val="00611C45"/>
    <w:rsid w:val="00615492"/>
    <w:rsid w:val="00615BF1"/>
    <w:rsid w:val="00625D7C"/>
    <w:rsid w:val="006261C6"/>
    <w:rsid w:val="00626817"/>
    <w:rsid w:val="00627BE2"/>
    <w:rsid w:val="00630445"/>
    <w:rsid w:val="006325F0"/>
    <w:rsid w:val="0064108B"/>
    <w:rsid w:val="00641144"/>
    <w:rsid w:val="006449B4"/>
    <w:rsid w:val="006452DE"/>
    <w:rsid w:val="0064789D"/>
    <w:rsid w:val="00647AB0"/>
    <w:rsid w:val="006516AD"/>
    <w:rsid w:val="00653566"/>
    <w:rsid w:val="0065457B"/>
    <w:rsid w:val="00656601"/>
    <w:rsid w:val="006701A8"/>
    <w:rsid w:val="006724B7"/>
    <w:rsid w:val="00672821"/>
    <w:rsid w:val="0068297B"/>
    <w:rsid w:val="00682D85"/>
    <w:rsid w:val="0068785A"/>
    <w:rsid w:val="006A0EEE"/>
    <w:rsid w:val="006A1E53"/>
    <w:rsid w:val="006A31A0"/>
    <w:rsid w:val="006A5BA6"/>
    <w:rsid w:val="006B3E58"/>
    <w:rsid w:val="006B4DB7"/>
    <w:rsid w:val="006C4740"/>
    <w:rsid w:val="006C501A"/>
    <w:rsid w:val="006C7A96"/>
    <w:rsid w:val="006D150D"/>
    <w:rsid w:val="006D230A"/>
    <w:rsid w:val="006D5444"/>
    <w:rsid w:val="006E16AD"/>
    <w:rsid w:val="006E17D5"/>
    <w:rsid w:val="006E7F0E"/>
    <w:rsid w:val="006F00F5"/>
    <w:rsid w:val="006F4344"/>
    <w:rsid w:val="006F4567"/>
    <w:rsid w:val="006F5B5B"/>
    <w:rsid w:val="006F5BA8"/>
    <w:rsid w:val="006F7685"/>
    <w:rsid w:val="00700462"/>
    <w:rsid w:val="00701CA6"/>
    <w:rsid w:val="00704B00"/>
    <w:rsid w:val="007072F6"/>
    <w:rsid w:val="007114BA"/>
    <w:rsid w:val="00711E25"/>
    <w:rsid w:val="0071296A"/>
    <w:rsid w:val="007171CB"/>
    <w:rsid w:val="007204A4"/>
    <w:rsid w:val="007221EC"/>
    <w:rsid w:val="00727101"/>
    <w:rsid w:val="0073048B"/>
    <w:rsid w:val="007322E3"/>
    <w:rsid w:val="00734484"/>
    <w:rsid w:val="007419BA"/>
    <w:rsid w:val="007458A8"/>
    <w:rsid w:val="0074616B"/>
    <w:rsid w:val="00750D0D"/>
    <w:rsid w:val="00755F39"/>
    <w:rsid w:val="00757351"/>
    <w:rsid w:val="007575EB"/>
    <w:rsid w:val="0076409B"/>
    <w:rsid w:val="007747B0"/>
    <w:rsid w:val="007837AD"/>
    <w:rsid w:val="0078588C"/>
    <w:rsid w:val="00794C27"/>
    <w:rsid w:val="007957DE"/>
    <w:rsid w:val="0079799A"/>
    <w:rsid w:val="007A3934"/>
    <w:rsid w:val="007A716B"/>
    <w:rsid w:val="007B5E28"/>
    <w:rsid w:val="007C34E2"/>
    <w:rsid w:val="007D76DD"/>
    <w:rsid w:val="007E030B"/>
    <w:rsid w:val="007E36CF"/>
    <w:rsid w:val="007F0DAE"/>
    <w:rsid w:val="007F41C8"/>
    <w:rsid w:val="008028A6"/>
    <w:rsid w:val="008032BC"/>
    <w:rsid w:val="00812216"/>
    <w:rsid w:val="0081675E"/>
    <w:rsid w:val="00817EDC"/>
    <w:rsid w:val="008261D8"/>
    <w:rsid w:val="00833B0E"/>
    <w:rsid w:val="00833C47"/>
    <w:rsid w:val="00840DAA"/>
    <w:rsid w:val="00842C0F"/>
    <w:rsid w:val="00843089"/>
    <w:rsid w:val="00844D98"/>
    <w:rsid w:val="00844F93"/>
    <w:rsid w:val="008510C0"/>
    <w:rsid w:val="00863B44"/>
    <w:rsid w:val="008656EE"/>
    <w:rsid w:val="00870164"/>
    <w:rsid w:val="0088200F"/>
    <w:rsid w:val="00882312"/>
    <w:rsid w:val="008953AD"/>
    <w:rsid w:val="00896815"/>
    <w:rsid w:val="00897C81"/>
    <w:rsid w:val="008A7C7F"/>
    <w:rsid w:val="008A7DBD"/>
    <w:rsid w:val="008B0349"/>
    <w:rsid w:val="008B0D55"/>
    <w:rsid w:val="008B4245"/>
    <w:rsid w:val="008B548B"/>
    <w:rsid w:val="008B6AFD"/>
    <w:rsid w:val="008B6F28"/>
    <w:rsid w:val="008B7CDC"/>
    <w:rsid w:val="008C0AC0"/>
    <w:rsid w:val="008C2B42"/>
    <w:rsid w:val="008C3D12"/>
    <w:rsid w:val="008D2F16"/>
    <w:rsid w:val="008E4B0E"/>
    <w:rsid w:val="008F3D1E"/>
    <w:rsid w:val="008F70A1"/>
    <w:rsid w:val="009018DF"/>
    <w:rsid w:val="00901944"/>
    <w:rsid w:val="00904436"/>
    <w:rsid w:val="00912EB1"/>
    <w:rsid w:val="00913082"/>
    <w:rsid w:val="00915142"/>
    <w:rsid w:val="00915384"/>
    <w:rsid w:val="0092217A"/>
    <w:rsid w:val="0093653C"/>
    <w:rsid w:val="009421B6"/>
    <w:rsid w:val="0094748E"/>
    <w:rsid w:val="009506CF"/>
    <w:rsid w:val="009508F9"/>
    <w:rsid w:val="00953368"/>
    <w:rsid w:val="00963151"/>
    <w:rsid w:val="00967954"/>
    <w:rsid w:val="009800D5"/>
    <w:rsid w:val="00985329"/>
    <w:rsid w:val="00985979"/>
    <w:rsid w:val="00985DCC"/>
    <w:rsid w:val="00990119"/>
    <w:rsid w:val="00995293"/>
    <w:rsid w:val="009A1380"/>
    <w:rsid w:val="009A2B94"/>
    <w:rsid w:val="009A463A"/>
    <w:rsid w:val="009B4871"/>
    <w:rsid w:val="009C10E0"/>
    <w:rsid w:val="009C12D3"/>
    <w:rsid w:val="009C4414"/>
    <w:rsid w:val="009C52CA"/>
    <w:rsid w:val="009D12C4"/>
    <w:rsid w:val="009D59CA"/>
    <w:rsid w:val="009E42AF"/>
    <w:rsid w:val="009E79E3"/>
    <w:rsid w:val="009F56D5"/>
    <w:rsid w:val="009F5934"/>
    <w:rsid w:val="00A01333"/>
    <w:rsid w:val="00A02CD7"/>
    <w:rsid w:val="00A1116C"/>
    <w:rsid w:val="00A113FA"/>
    <w:rsid w:val="00A129C6"/>
    <w:rsid w:val="00A12B05"/>
    <w:rsid w:val="00A22CEF"/>
    <w:rsid w:val="00A26C86"/>
    <w:rsid w:val="00A30B96"/>
    <w:rsid w:val="00A30E67"/>
    <w:rsid w:val="00A31B51"/>
    <w:rsid w:val="00A33B08"/>
    <w:rsid w:val="00A345C6"/>
    <w:rsid w:val="00A40311"/>
    <w:rsid w:val="00A404D3"/>
    <w:rsid w:val="00A427AC"/>
    <w:rsid w:val="00A516C3"/>
    <w:rsid w:val="00A5600C"/>
    <w:rsid w:val="00A627EF"/>
    <w:rsid w:val="00A65873"/>
    <w:rsid w:val="00A66688"/>
    <w:rsid w:val="00A67444"/>
    <w:rsid w:val="00A7322E"/>
    <w:rsid w:val="00A741A8"/>
    <w:rsid w:val="00A75560"/>
    <w:rsid w:val="00A805B5"/>
    <w:rsid w:val="00A8111D"/>
    <w:rsid w:val="00A81CF3"/>
    <w:rsid w:val="00A83C2D"/>
    <w:rsid w:val="00A867CF"/>
    <w:rsid w:val="00A8705F"/>
    <w:rsid w:val="00A912F1"/>
    <w:rsid w:val="00A914D3"/>
    <w:rsid w:val="00AA0DE4"/>
    <w:rsid w:val="00AA3428"/>
    <w:rsid w:val="00AA4CF0"/>
    <w:rsid w:val="00AA5EB2"/>
    <w:rsid w:val="00AB56CF"/>
    <w:rsid w:val="00AC05E7"/>
    <w:rsid w:val="00AC1A56"/>
    <w:rsid w:val="00AC4FC2"/>
    <w:rsid w:val="00AC75BA"/>
    <w:rsid w:val="00AD210B"/>
    <w:rsid w:val="00AD6D98"/>
    <w:rsid w:val="00AE4782"/>
    <w:rsid w:val="00AE47AA"/>
    <w:rsid w:val="00AE5F3C"/>
    <w:rsid w:val="00AE694C"/>
    <w:rsid w:val="00AF057F"/>
    <w:rsid w:val="00AF2D38"/>
    <w:rsid w:val="00AF5D0B"/>
    <w:rsid w:val="00B002F2"/>
    <w:rsid w:val="00B02903"/>
    <w:rsid w:val="00B05CE2"/>
    <w:rsid w:val="00B05EEC"/>
    <w:rsid w:val="00B065AD"/>
    <w:rsid w:val="00B070B7"/>
    <w:rsid w:val="00B10AB8"/>
    <w:rsid w:val="00B12F53"/>
    <w:rsid w:val="00B16665"/>
    <w:rsid w:val="00B17DA7"/>
    <w:rsid w:val="00B272BD"/>
    <w:rsid w:val="00B30422"/>
    <w:rsid w:val="00B31866"/>
    <w:rsid w:val="00B3370F"/>
    <w:rsid w:val="00B35B05"/>
    <w:rsid w:val="00B4453C"/>
    <w:rsid w:val="00B47559"/>
    <w:rsid w:val="00B479E7"/>
    <w:rsid w:val="00B503AE"/>
    <w:rsid w:val="00B512A2"/>
    <w:rsid w:val="00B60339"/>
    <w:rsid w:val="00B614E3"/>
    <w:rsid w:val="00B64E7E"/>
    <w:rsid w:val="00B70B10"/>
    <w:rsid w:val="00B71A2B"/>
    <w:rsid w:val="00B7411A"/>
    <w:rsid w:val="00B8035F"/>
    <w:rsid w:val="00B80955"/>
    <w:rsid w:val="00B84199"/>
    <w:rsid w:val="00B856F7"/>
    <w:rsid w:val="00B87B42"/>
    <w:rsid w:val="00B92D9B"/>
    <w:rsid w:val="00B94C2D"/>
    <w:rsid w:val="00BA07F3"/>
    <w:rsid w:val="00BA50E3"/>
    <w:rsid w:val="00BA6502"/>
    <w:rsid w:val="00BB32D1"/>
    <w:rsid w:val="00BB73E9"/>
    <w:rsid w:val="00BC0B9E"/>
    <w:rsid w:val="00BC62FA"/>
    <w:rsid w:val="00BD34C5"/>
    <w:rsid w:val="00BE2460"/>
    <w:rsid w:val="00BF1483"/>
    <w:rsid w:val="00BF36F5"/>
    <w:rsid w:val="00C116FD"/>
    <w:rsid w:val="00C136D3"/>
    <w:rsid w:val="00C1420D"/>
    <w:rsid w:val="00C27E4E"/>
    <w:rsid w:val="00C422DB"/>
    <w:rsid w:val="00C53ADE"/>
    <w:rsid w:val="00C626C7"/>
    <w:rsid w:val="00C8096F"/>
    <w:rsid w:val="00C850CA"/>
    <w:rsid w:val="00C862BB"/>
    <w:rsid w:val="00C91CF8"/>
    <w:rsid w:val="00C95CBD"/>
    <w:rsid w:val="00C97708"/>
    <w:rsid w:val="00CA29EE"/>
    <w:rsid w:val="00CB0158"/>
    <w:rsid w:val="00CB10AE"/>
    <w:rsid w:val="00CB7DC7"/>
    <w:rsid w:val="00CC4B0A"/>
    <w:rsid w:val="00CD022D"/>
    <w:rsid w:val="00CD5084"/>
    <w:rsid w:val="00CE06FA"/>
    <w:rsid w:val="00CE41EA"/>
    <w:rsid w:val="00CE4BE0"/>
    <w:rsid w:val="00CF3B4D"/>
    <w:rsid w:val="00D01CC0"/>
    <w:rsid w:val="00D07489"/>
    <w:rsid w:val="00D11105"/>
    <w:rsid w:val="00D11A7F"/>
    <w:rsid w:val="00D12ECA"/>
    <w:rsid w:val="00D13536"/>
    <w:rsid w:val="00D152B0"/>
    <w:rsid w:val="00D1698F"/>
    <w:rsid w:val="00D17677"/>
    <w:rsid w:val="00D2214F"/>
    <w:rsid w:val="00D24289"/>
    <w:rsid w:val="00D24AE2"/>
    <w:rsid w:val="00D25A3C"/>
    <w:rsid w:val="00D3587F"/>
    <w:rsid w:val="00D46C68"/>
    <w:rsid w:val="00D571A4"/>
    <w:rsid w:val="00D63524"/>
    <w:rsid w:val="00D63AC5"/>
    <w:rsid w:val="00D647F9"/>
    <w:rsid w:val="00D74032"/>
    <w:rsid w:val="00D75DDF"/>
    <w:rsid w:val="00D76567"/>
    <w:rsid w:val="00D77F90"/>
    <w:rsid w:val="00D84ADB"/>
    <w:rsid w:val="00D90D72"/>
    <w:rsid w:val="00D934E3"/>
    <w:rsid w:val="00D96815"/>
    <w:rsid w:val="00DA0345"/>
    <w:rsid w:val="00DA0AF7"/>
    <w:rsid w:val="00DA1E8F"/>
    <w:rsid w:val="00DA6BAC"/>
    <w:rsid w:val="00DC016F"/>
    <w:rsid w:val="00DC2C66"/>
    <w:rsid w:val="00DC353C"/>
    <w:rsid w:val="00DD2080"/>
    <w:rsid w:val="00DD4D86"/>
    <w:rsid w:val="00DD4FAC"/>
    <w:rsid w:val="00DD6DAC"/>
    <w:rsid w:val="00DE22CD"/>
    <w:rsid w:val="00DF3CAA"/>
    <w:rsid w:val="00DF5795"/>
    <w:rsid w:val="00E0403F"/>
    <w:rsid w:val="00E04E8A"/>
    <w:rsid w:val="00E07BC8"/>
    <w:rsid w:val="00E10D65"/>
    <w:rsid w:val="00E12E8A"/>
    <w:rsid w:val="00E133B5"/>
    <w:rsid w:val="00E201DB"/>
    <w:rsid w:val="00E2022D"/>
    <w:rsid w:val="00E22D9D"/>
    <w:rsid w:val="00E2556E"/>
    <w:rsid w:val="00E33292"/>
    <w:rsid w:val="00E418AC"/>
    <w:rsid w:val="00E51A0C"/>
    <w:rsid w:val="00E5353D"/>
    <w:rsid w:val="00E54D79"/>
    <w:rsid w:val="00E5526F"/>
    <w:rsid w:val="00E5618F"/>
    <w:rsid w:val="00E56DF1"/>
    <w:rsid w:val="00E60684"/>
    <w:rsid w:val="00E613D9"/>
    <w:rsid w:val="00E672B0"/>
    <w:rsid w:val="00E67B23"/>
    <w:rsid w:val="00E810CF"/>
    <w:rsid w:val="00E82183"/>
    <w:rsid w:val="00E8434C"/>
    <w:rsid w:val="00E86EA5"/>
    <w:rsid w:val="00E8BA18"/>
    <w:rsid w:val="00E935F4"/>
    <w:rsid w:val="00E951A0"/>
    <w:rsid w:val="00E95446"/>
    <w:rsid w:val="00E95A4C"/>
    <w:rsid w:val="00EA38A6"/>
    <w:rsid w:val="00EA4241"/>
    <w:rsid w:val="00EC045E"/>
    <w:rsid w:val="00EC1872"/>
    <w:rsid w:val="00EC4CED"/>
    <w:rsid w:val="00EC5927"/>
    <w:rsid w:val="00EC753A"/>
    <w:rsid w:val="00ED162F"/>
    <w:rsid w:val="00EE30E6"/>
    <w:rsid w:val="00EF2F4D"/>
    <w:rsid w:val="00EF3A65"/>
    <w:rsid w:val="00EF7FF1"/>
    <w:rsid w:val="00F00437"/>
    <w:rsid w:val="00F022C0"/>
    <w:rsid w:val="00F05D0B"/>
    <w:rsid w:val="00F068C2"/>
    <w:rsid w:val="00F077D7"/>
    <w:rsid w:val="00F100F5"/>
    <w:rsid w:val="00F12224"/>
    <w:rsid w:val="00F12B90"/>
    <w:rsid w:val="00F13AB5"/>
    <w:rsid w:val="00F14490"/>
    <w:rsid w:val="00F16228"/>
    <w:rsid w:val="00F177D0"/>
    <w:rsid w:val="00F17BED"/>
    <w:rsid w:val="00F25FBD"/>
    <w:rsid w:val="00F354E2"/>
    <w:rsid w:val="00F43DCF"/>
    <w:rsid w:val="00F46FB3"/>
    <w:rsid w:val="00F52742"/>
    <w:rsid w:val="00F53C27"/>
    <w:rsid w:val="00F61D56"/>
    <w:rsid w:val="00F625A4"/>
    <w:rsid w:val="00F66B8E"/>
    <w:rsid w:val="00F66F94"/>
    <w:rsid w:val="00F722D7"/>
    <w:rsid w:val="00F72E69"/>
    <w:rsid w:val="00F73BD9"/>
    <w:rsid w:val="00F74446"/>
    <w:rsid w:val="00F76FED"/>
    <w:rsid w:val="00F82564"/>
    <w:rsid w:val="00F84D5A"/>
    <w:rsid w:val="00F90285"/>
    <w:rsid w:val="00F9179F"/>
    <w:rsid w:val="00FB4188"/>
    <w:rsid w:val="00FB46E5"/>
    <w:rsid w:val="00FB5FC8"/>
    <w:rsid w:val="00FB667E"/>
    <w:rsid w:val="00FB6C2B"/>
    <w:rsid w:val="00FC0231"/>
    <w:rsid w:val="00FC17AF"/>
    <w:rsid w:val="00FC44CB"/>
    <w:rsid w:val="00FC601A"/>
    <w:rsid w:val="00FC61AF"/>
    <w:rsid w:val="00FC71A8"/>
    <w:rsid w:val="00FC749D"/>
    <w:rsid w:val="00FD1120"/>
    <w:rsid w:val="00FD345B"/>
    <w:rsid w:val="00FE1D4C"/>
    <w:rsid w:val="00FE2DC7"/>
    <w:rsid w:val="00FE401B"/>
    <w:rsid w:val="00FE4E47"/>
    <w:rsid w:val="01513131"/>
    <w:rsid w:val="017147B6"/>
    <w:rsid w:val="01B7EDB0"/>
    <w:rsid w:val="01C46771"/>
    <w:rsid w:val="01D93F91"/>
    <w:rsid w:val="0204C186"/>
    <w:rsid w:val="02502EEC"/>
    <w:rsid w:val="0277C820"/>
    <w:rsid w:val="02CB1B43"/>
    <w:rsid w:val="0305D5F9"/>
    <w:rsid w:val="03EEB049"/>
    <w:rsid w:val="0448DCE0"/>
    <w:rsid w:val="04A3BBC4"/>
    <w:rsid w:val="05199DF9"/>
    <w:rsid w:val="0546377C"/>
    <w:rsid w:val="05775DDD"/>
    <w:rsid w:val="059E038A"/>
    <w:rsid w:val="063BB9D2"/>
    <w:rsid w:val="06AD5352"/>
    <w:rsid w:val="06DA8458"/>
    <w:rsid w:val="06E5272B"/>
    <w:rsid w:val="070ADA4A"/>
    <w:rsid w:val="074C6A1C"/>
    <w:rsid w:val="08A102EF"/>
    <w:rsid w:val="08B97FC6"/>
    <w:rsid w:val="08D89AE9"/>
    <w:rsid w:val="09FD8A09"/>
    <w:rsid w:val="0A25F957"/>
    <w:rsid w:val="0AA5ABFB"/>
    <w:rsid w:val="0AB87C00"/>
    <w:rsid w:val="0AD8D62A"/>
    <w:rsid w:val="0B7F5D95"/>
    <w:rsid w:val="0C7D3703"/>
    <w:rsid w:val="0CC4E467"/>
    <w:rsid w:val="0CC63D25"/>
    <w:rsid w:val="0D46A2C0"/>
    <w:rsid w:val="0D5706CA"/>
    <w:rsid w:val="0E9BF998"/>
    <w:rsid w:val="0EAF412D"/>
    <w:rsid w:val="0F35AB8F"/>
    <w:rsid w:val="10B1DC61"/>
    <w:rsid w:val="111892FA"/>
    <w:rsid w:val="119636DC"/>
    <w:rsid w:val="12A46D88"/>
    <w:rsid w:val="13444AC4"/>
    <w:rsid w:val="137B0EA8"/>
    <w:rsid w:val="145F38DB"/>
    <w:rsid w:val="147D6D77"/>
    <w:rsid w:val="14BFA5AA"/>
    <w:rsid w:val="150BECEA"/>
    <w:rsid w:val="15403B0D"/>
    <w:rsid w:val="1572B1BB"/>
    <w:rsid w:val="157FD5F8"/>
    <w:rsid w:val="15AB4226"/>
    <w:rsid w:val="15FB7598"/>
    <w:rsid w:val="16071D42"/>
    <w:rsid w:val="1660E91A"/>
    <w:rsid w:val="169F3386"/>
    <w:rsid w:val="16C46326"/>
    <w:rsid w:val="17469971"/>
    <w:rsid w:val="17E21BE4"/>
    <w:rsid w:val="180CD8E3"/>
    <w:rsid w:val="18EB0BAE"/>
    <w:rsid w:val="18ED5220"/>
    <w:rsid w:val="19935818"/>
    <w:rsid w:val="1AC2D4D2"/>
    <w:rsid w:val="1B28FC39"/>
    <w:rsid w:val="1BE56CFD"/>
    <w:rsid w:val="1E3231BF"/>
    <w:rsid w:val="1E67E04F"/>
    <w:rsid w:val="1E9282D9"/>
    <w:rsid w:val="1EA22C41"/>
    <w:rsid w:val="1EC9E94F"/>
    <w:rsid w:val="1FA572E2"/>
    <w:rsid w:val="1FB04215"/>
    <w:rsid w:val="2001453A"/>
    <w:rsid w:val="20071785"/>
    <w:rsid w:val="215F6F78"/>
    <w:rsid w:val="21E528EB"/>
    <w:rsid w:val="222DFA1A"/>
    <w:rsid w:val="225F0E3A"/>
    <w:rsid w:val="22711D0A"/>
    <w:rsid w:val="23E85861"/>
    <w:rsid w:val="24DDFB82"/>
    <w:rsid w:val="24EF4B36"/>
    <w:rsid w:val="2576EC8C"/>
    <w:rsid w:val="2583786D"/>
    <w:rsid w:val="259218FF"/>
    <w:rsid w:val="25B76D5F"/>
    <w:rsid w:val="25DAF174"/>
    <w:rsid w:val="25FB553F"/>
    <w:rsid w:val="260327DD"/>
    <w:rsid w:val="263259A7"/>
    <w:rsid w:val="27CEB227"/>
    <w:rsid w:val="27F8E1DE"/>
    <w:rsid w:val="2803F559"/>
    <w:rsid w:val="2805FE84"/>
    <w:rsid w:val="2842C97E"/>
    <w:rsid w:val="290520CB"/>
    <w:rsid w:val="292C1211"/>
    <w:rsid w:val="293474D4"/>
    <w:rsid w:val="2A0F812F"/>
    <w:rsid w:val="2A4B9E9F"/>
    <w:rsid w:val="2AB47B10"/>
    <w:rsid w:val="2ABF6568"/>
    <w:rsid w:val="2C9D0721"/>
    <w:rsid w:val="2D045621"/>
    <w:rsid w:val="2EDCF5C9"/>
    <w:rsid w:val="2F0340D4"/>
    <w:rsid w:val="2FECC0AD"/>
    <w:rsid w:val="30260845"/>
    <w:rsid w:val="3055C2A8"/>
    <w:rsid w:val="30893DAE"/>
    <w:rsid w:val="30C9B637"/>
    <w:rsid w:val="310459FA"/>
    <w:rsid w:val="311B90C2"/>
    <w:rsid w:val="311C0B77"/>
    <w:rsid w:val="3127F61C"/>
    <w:rsid w:val="316D691D"/>
    <w:rsid w:val="31A5CEC5"/>
    <w:rsid w:val="31A96A9B"/>
    <w:rsid w:val="33ACAE56"/>
    <w:rsid w:val="342BF330"/>
    <w:rsid w:val="3476418A"/>
    <w:rsid w:val="348B4FF4"/>
    <w:rsid w:val="35136CE4"/>
    <w:rsid w:val="354B9C51"/>
    <w:rsid w:val="355F8AB3"/>
    <w:rsid w:val="35726BE6"/>
    <w:rsid w:val="358EE467"/>
    <w:rsid w:val="35C918FE"/>
    <w:rsid w:val="35F52AC6"/>
    <w:rsid w:val="366CDB68"/>
    <w:rsid w:val="36FBB67B"/>
    <w:rsid w:val="377CA672"/>
    <w:rsid w:val="37981F5B"/>
    <w:rsid w:val="37C0006F"/>
    <w:rsid w:val="382678F2"/>
    <w:rsid w:val="38571AF5"/>
    <w:rsid w:val="390036F0"/>
    <w:rsid w:val="392DB0C3"/>
    <w:rsid w:val="3969917A"/>
    <w:rsid w:val="3988B537"/>
    <w:rsid w:val="39EE8834"/>
    <w:rsid w:val="3A7F5ED6"/>
    <w:rsid w:val="3ADCF677"/>
    <w:rsid w:val="3AEBDD9D"/>
    <w:rsid w:val="3B192953"/>
    <w:rsid w:val="3B75D416"/>
    <w:rsid w:val="3BA5E273"/>
    <w:rsid w:val="3BB99320"/>
    <w:rsid w:val="3C901EC8"/>
    <w:rsid w:val="3CD72FDC"/>
    <w:rsid w:val="3CFEC15A"/>
    <w:rsid w:val="3D574DDF"/>
    <w:rsid w:val="3D7F7D81"/>
    <w:rsid w:val="3E25015E"/>
    <w:rsid w:val="3F6AF989"/>
    <w:rsid w:val="3FCB8DCE"/>
    <w:rsid w:val="403643B1"/>
    <w:rsid w:val="40553CC2"/>
    <w:rsid w:val="4097E343"/>
    <w:rsid w:val="41548F97"/>
    <w:rsid w:val="4226FC32"/>
    <w:rsid w:val="427B7EC2"/>
    <w:rsid w:val="42E34922"/>
    <w:rsid w:val="4325F5E4"/>
    <w:rsid w:val="4390B3D5"/>
    <w:rsid w:val="4394151D"/>
    <w:rsid w:val="43FC9C71"/>
    <w:rsid w:val="444410EC"/>
    <w:rsid w:val="4480A7BF"/>
    <w:rsid w:val="448D908C"/>
    <w:rsid w:val="4603CC72"/>
    <w:rsid w:val="465046C0"/>
    <w:rsid w:val="4748CC1F"/>
    <w:rsid w:val="47E51913"/>
    <w:rsid w:val="4811E86B"/>
    <w:rsid w:val="48C4ED34"/>
    <w:rsid w:val="495E8F48"/>
    <w:rsid w:val="49620811"/>
    <w:rsid w:val="496F547C"/>
    <w:rsid w:val="499A7B2C"/>
    <w:rsid w:val="4A042EA1"/>
    <w:rsid w:val="4A45E302"/>
    <w:rsid w:val="4A9EE95C"/>
    <w:rsid w:val="4B18216C"/>
    <w:rsid w:val="4B29B90F"/>
    <w:rsid w:val="4B38D83F"/>
    <w:rsid w:val="4B779EA2"/>
    <w:rsid w:val="4BFCEB8B"/>
    <w:rsid w:val="4C60C11C"/>
    <w:rsid w:val="4CA2FD0C"/>
    <w:rsid w:val="4D00BC7D"/>
    <w:rsid w:val="4D00EAB2"/>
    <w:rsid w:val="4D155B67"/>
    <w:rsid w:val="4D5E68C3"/>
    <w:rsid w:val="4D68F65F"/>
    <w:rsid w:val="4E0A190D"/>
    <w:rsid w:val="4E155A80"/>
    <w:rsid w:val="4E29602A"/>
    <w:rsid w:val="4E7A4E71"/>
    <w:rsid w:val="4EAC84A1"/>
    <w:rsid w:val="4EBA4645"/>
    <w:rsid w:val="4F6BB9E6"/>
    <w:rsid w:val="4FE4F3A5"/>
    <w:rsid w:val="5034A790"/>
    <w:rsid w:val="51256D1A"/>
    <w:rsid w:val="512A0294"/>
    <w:rsid w:val="516254AB"/>
    <w:rsid w:val="51B0BE27"/>
    <w:rsid w:val="527AF620"/>
    <w:rsid w:val="52875F43"/>
    <w:rsid w:val="529F4A96"/>
    <w:rsid w:val="53E4D507"/>
    <w:rsid w:val="540E77B1"/>
    <w:rsid w:val="540F592A"/>
    <w:rsid w:val="541D56A1"/>
    <w:rsid w:val="545743B8"/>
    <w:rsid w:val="562591C3"/>
    <w:rsid w:val="56902880"/>
    <w:rsid w:val="56DE89E5"/>
    <w:rsid w:val="5771596E"/>
    <w:rsid w:val="5818BC1D"/>
    <w:rsid w:val="588C9FC6"/>
    <w:rsid w:val="592674C0"/>
    <w:rsid w:val="59CE42AE"/>
    <w:rsid w:val="5A88F207"/>
    <w:rsid w:val="5AFF88E5"/>
    <w:rsid w:val="5B289B74"/>
    <w:rsid w:val="5B9798BD"/>
    <w:rsid w:val="5CEF47AF"/>
    <w:rsid w:val="5D2653A2"/>
    <w:rsid w:val="5E463B8B"/>
    <w:rsid w:val="5E57A100"/>
    <w:rsid w:val="5EF68FD7"/>
    <w:rsid w:val="5F47EB60"/>
    <w:rsid w:val="5F958858"/>
    <w:rsid w:val="5FA0B820"/>
    <w:rsid w:val="6144F7BB"/>
    <w:rsid w:val="618CC62F"/>
    <w:rsid w:val="61A476EE"/>
    <w:rsid w:val="61FC2BF1"/>
    <w:rsid w:val="629B5F65"/>
    <w:rsid w:val="62B7ABBC"/>
    <w:rsid w:val="636E0863"/>
    <w:rsid w:val="63CBFB61"/>
    <w:rsid w:val="63CD7271"/>
    <w:rsid w:val="6423FB4E"/>
    <w:rsid w:val="64786F9F"/>
    <w:rsid w:val="64AEC2A2"/>
    <w:rsid w:val="64C71DC9"/>
    <w:rsid w:val="64F364EC"/>
    <w:rsid w:val="6550602E"/>
    <w:rsid w:val="6570CA93"/>
    <w:rsid w:val="657EF3B9"/>
    <w:rsid w:val="65AAC0AA"/>
    <w:rsid w:val="66202441"/>
    <w:rsid w:val="664CDC7D"/>
    <w:rsid w:val="66B44E18"/>
    <w:rsid w:val="67521F16"/>
    <w:rsid w:val="68B31CA4"/>
    <w:rsid w:val="68C779DF"/>
    <w:rsid w:val="699D526A"/>
    <w:rsid w:val="69DF043D"/>
    <w:rsid w:val="6A0B2F7A"/>
    <w:rsid w:val="6A6646B5"/>
    <w:rsid w:val="6A674806"/>
    <w:rsid w:val="6A7B899C"/>
    <w:rsid w:val="6A7DC065"/>
    <w:rsid w:val="6AB00EF7"/>
    <w:rsid w:val="6AC3AD37"/>
    <w:rsid w:val="6AE0B4F4"/>
    <w:rsid w:val="6B2364EC"/>
    <w:rsid w:val="6B8E570E"/>
    <w:rsid w:val="6BB16E4C"/>
    <w:rsid w:val="6BC035F4"/>
    <w:rsid w:val="6BE58D5C"/>
    <w:rsid w:val="6C3BB15E"/>
    <w:rsid w:val="6C69811A"/>
    <w:rsid w:val="6CB4D997"/>
    <w:rsid w:val="6CDDE577"/>
    <w:rsid w:val="6D0D92C7"/>
    <w:rsid w:val="6EA39911"/>
    <w:rsid w:val="6EC26DAA"/>
    <w:rsid w:val="6ECF2C75"/>
    <w:rsid w:val="6F05C530"/>
    <w:rsid w:val="6F41BB2F"/>
    <w:rsid w:val="6F94C3AB"/>
    <w:rsid w:val="6FB22AF9"/>
    <w:rsid w:val="6FE1CB0A"/>
    <w:rsid w:val="7033901C"/>
    <w:rsid w:val="7079AB24"/>
    <w:rsid w:val="70A694A7"/>
    <w:rsid w:val="70DD99EA"/>
    <w:rsid w:val="718B05C8"/>
    <w:rsid w:val="719E0DCE"/>
    <w:rsid w:val="71A80C0C"/>
    <w:rsid w:val="71BA35A0"/>
    <w:rsid w:val="72092236"/>
    <w:rsid w:val="73260A19"/>
    <w:rsid w:val="74083F33"/>
    <w:rsid w:val="7481192C"/>
    <w:rsid w:val="748B45D7"/>
    <w:rsid w:val="74C74A31"/>
    <w:rsid w:val="74F0CCBA"/>
    <w:rsid w:val="756717E2"/>
    <w:rsid w:val="7568F511"/>
    <w:rsid w:val="7623E6F8"/>
    <w:rsid w:val="7625A3A4"/>
    <w:rsid w:val="76899A30"/>
    <w:rsid w:val="76962AFC"/>
    <w:rsid w:val="77288135"/>
    <w:rsid w:val="77C24638"/>
    <w:rsid w:val="77F9050A"/>
    <w:rsid w:val="78FF7F09"/>
    <w:rsid w:val="79270575"/>
    <w:rsid w:val="79296420"/>
    <w:rsid w:val="797D3F4A"/>
    <w:rsid w:val="7991F2EA"/>
    <w:rsid w:val="7A44FDE0"/>
    <w:rsid w:val="7B55F560"/>
    <w:rsid w:val="7BAA8C11"/>
    <w:rsid w:val="7C192C7D"/>
    <w:rsid w:val="7C264036"/>
    <w:rsid w:val="7C731CF2"/>
    <w:rsid w:val="7C95D08A"/>
    <w:rsid w:val="7CCCA91F"/>
    <w:rsid w:val="7DB8807C"/>
    <w:rsid w:val="7E304A0E"/>
    <w:rsid w:val="7E6B6EF3"/>
    <w:rsid w:val="7E7D4373"/>
    <w:rsid w:val="7F20A5F5"/>
    <w:rsid w:val="7F5239AF"/>
    <w:rsid w:val="7F705806"/>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5BE47"/>
  <w15:chartTrackingRefBased/>
  <w15:docId w15:val="{449E2070-26D3-4C39-B546-70BAC57D5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3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4E2"/>
  </w:style>
  <w:style w:type="paragraph" w:styleId="Heading2">
    <w:name w:val="heading 2"/>
    <w:basedOn w:val="Normal"/>
    <w:next w:val="Normal"/>
    <w:link w:val="Heading2Char"/>
    <w:uiPriority w:val="9"/>
    <w:semiHidden/>
    <w:unhideWhenUsed/>
    <w:qFormat/>
    <w:rsid w:val="00DA1E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Heading2"/>
    <w:next w:val="Normal"/>
    <w:link w:val="Heading3Char"/>
    <w:autoRedefine/>
    <w:unhideWhenUsed/>
    <w:qFormat/>
    <w:rsid w:val="00DA1E8F"/>
    <w:pPr>
      <w:keepNext w:val="0"/>
      <w:keepLines w:val="0"/>
      <w:numPr>
        <w:numId w:val="20"/>
      </w:numPr>
      <w:spacing w:before="200" w:line="240" w:lineRule="auto"/>
      <w:jc w:val="both"/>
      <w:outlineLvl w:val="2"/>
    </w:pPr>
    <w:rPr>
      <w:rFonts w:ascii="Arial" w:hAnsi="Arial"/>
      <w:color w:val="auto"/>
      <w:sz w:val="20"/>
      <w:szCs w:val="20"/>
      <w:lang w:bidi="ar-SA"/>
    </w:rPr>
  </w:style>
  <w:style w:type="paragraph" w:styleId="Heading4">
    <w:name w:val="heading 4"/>
    <w:basedOn w:val="Heading3"/>
    <w:next w:val="Normal"/>
    <w:link w:val="Heading4Char"/>
    <w:autoRedefine/>
    <w:uiPriority w:val="39"/>
    <w:unhideWhenUsed/>
    <w:qFormat/>
    <w:rsid w:val="00DA1E8F"/>
    <w:pPr>
      <w:numPr>
        <w:ilvl w:val="3"/>
      </w:numPr>
      <w:ind w:left="1872"/>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34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34E2"/>
  </w:style>
  <w:style w:type="paragraph" w:styleId="ListParagraph">
    <w:name w:val="List Paragraph"/>
    <w:basedOn w:val="Normal"/>
    <w:uiPriority w:val="34"/>
    <w:qFormat/>
    <w:rsid w:val="007C34E2"/>
    <w:pPr>
      <w:ind w:left="720"/>
      <w:contextualSpacing/>
    </w:pPr>
  </w:style>
  <w:style w:type="paragraph" w:styleId="CommentText">
    <w:name w:val="annotation text"/>
    <w:basedOn w:val="Normal"/>
    <w:link w:val="CommentTextChar"/>
    <w:uiPriority w:val="99"/>
    <w:unhideWhenUsed/>
    <w:rsid w:val="007C34E2"/>
    <w:pPr>
      <w:widowControl w:val="0"/>
      <w:spacing w:after="0" w:line="240" w:lineRule="auto"/>
    </w:pPr>
    <w:rPr>
      <w:rFonts w:eastAsiaTheme="minorEastAsia"/>
      <w:sz w:val="20"/>
      <w:szCs w:val="20"/>
      <w:lang w:bidi="ar-SA"/>
    </w:rPr>
  </w:style>
  <w:style w:type="character" w:customStyle="1" w:styleId="CommentTextChar">
    <w:name w:val="Comment Text Char"/>
    <w:basedOn w:val="DefaultParagraphFont"/>
    <w:link w:val="CommentText"/>
    <w:uiPriority w:val="99"/>
    <w:rsid w:val="007C34E2"/>
    <w:rPr>
      <w:rFonts w:eastAsiaTheme="minorEastAsia"/>
      <w:sz w:val="20"/>
      <w:szCs w:val="20"/>
      <w:lang w:bidi="ar-SA"/>
    </w:rPr>
  </w:style>
  <w:style w:type="character" w:styleId="CommentReference">
    <w:name w:val="annotation reference"/>
    <w:basedOn w:val="DefaultParagraphFont"/>
    <w:uiPriority w:val="99"/>
    <w:semiHidden/>
    <w:unhideWhenUsed/>
    <w:rsid w:val="007C34E2"/>
    <w:rPr>
      <w:sz w:val="16"/>
      <w:szCs w:val="16"/>
    </w:rPr>
  </w:style>
  <w:style w:type="character" w:styleId="Hyperlink">
    <w:name w:val="Hyperlink"/>
    <w:basedOn w:val="DefaultParagraphFont"/>
    <w:uiPriority w:val="99"/>
    <w:unhideWhenUsed/>
    <w:rsid w:val="00B05EEC"/>
    <w:rPr>
      <w:color w:val="0563C1" w:themeColor="hyperlink"/>
      <w:u w:val="single"/>
    </w:rPr>
  </w:style>
  <w:style w:type="character" w:styleId="UnresolvedMention">
    <w:name w:val="Unresolved Mention"/>
    <w:basedOn w:val="DefaultParagraphFont"/>
    <w:uiPriority w:val="99"/>
    <w:semiHidden/>
    <w:unhideWhenUsed/>
    <w:rsid w:val="00B05EE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05EEC"/>
    <w:pPr>
      <w:widowControl/>
      <w:spacing w:after="160"/>
    </w:pPr>
    <w:rPr>
      <w:rFonts w:eastAsiaTheme="minorHAnsi"/>
      <w:b/>
      <w:bCs/>
      <w:lang w:bidi="he-IL"/>
    </w:rPr>
  </w:style>
  <w:style w:type="character" w:customStyle="1" w:styleId="CommentSubjectChar">
    <w:name w:val="Comment Subject Char"/>
    <w:basedOn w:val="CommentTextChar"/>
    <w:link w:val="CommentSubject"/>
    <w:uiPriority w:val="99"/>
    <w:semiHidden/>
    <w:rsid w:val="00B05EEC"/>
    <w:rPr>
      <w:rFonts w:eastAsiaTheme="minorEastAsia"/>
      <w:b/>
      <w:bCs/>
      <w:sz w:val="20"/>
      <w:szCs w:val="20"/>
      <w:lang w:bidi="ar-SA"/>
    </w:rPr>
  </w:style>
  <w:style w:type="paragraph" w:styleId="Revision">
    <w:name w:val="Revision"/>
    <w:hidden/>
    <w:uiPriority w:val="99"/>
    <w:semiHidden/>
    <w:rsid w:val="00A404D3"/>
    <w:pPr>
      <w:spacing w:after="0" w:line="240" w:lineRule="auto"/>
    </w:pPr>
  </w:style>
  <w:style w:type="paragraph" w:styleId="Footer">
    <w:name w:val="footer"/>
    <w:basedOn w:val="Normal"/>
    <w:link w:val="FooterChar"/>
    <w:uiPriority w:val="99"/>
    <w:unhideWhenUsed/>
    <w:rsid w:val="00517A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7AC4"/>
  </w:style>
  <w:style w:type="paragraph" w:customStyle="1" w:styleId="FFWLevel1">
    <w:name w:val="FFW Level 1"/>
    <w:basedOn w:val="Normal"/>
    <w:next w:val="FFWLevel2"/>
    <w:qFormat/>
    <w:locked/>
    <w:rsid w:val="00C626C7"/>
    <w:pPr>
      <w:keepNext/>
      <w:numPr>
        <w:numId w:val="12"/>
      </w:numPr>
      <w:spacing w:before="320" w:after="0" w:line="320" w:lineRule="atLeast"/>
      <w:outlineLvl w:val="0"/>
    </w:pPr>
    <w:rPr>
      <w:rFonts w:ascii="Times New Roman" w:eastAsia="Times New Roman" w:hAnsi="Times New Roman" w:cs="Times New Roman"/>
      <w:b/>
      <w:sz w:val="23"/>
      <w:szCs w:val="24"/>
      <w:lang w:val="en-GB" w:eastAsia="en-GB" w:bidi="ar-SA"/>
    </w:rPr>
  </w:style>
  <w:style w:type="paragraph" w:customStyle="1" w:styleId="FFWLevel2">
    <w:name w:val="FFW Level 2"/>
    <w:basedOn w:val="Normal"/>
    <w:qFormat/>
    <w:locked/>
    <w:rsid w:val="00C626C7"/>
    <w:pPr>
      <w:numPr>
        <w:ilvl w:val="1"/>
        <w:numId w:val="12"/>
      </w:numPr>
      <w:spacing w:before="320" w:after="0" w:line="320" w:lineRule="atLeast"/>
      <w:outlineLvl w:val="1"/>
    </w:pPr>
    <w:rPr>
      <w:rFonts w:ascii="Times New Roman" w:eastAsia="Times New Roman" w:hAnsi="Times New Roman" w:cs="Times New Roman"/>
      <w:sz w:val="23"/>
      <w:szCs w:val="24"/>
      <w:lang w:val="en-GB" w:eastAsia="en-GB" w:bidi="ar-SA"/>
    </w:rPr>
  </w:style>
  <w:style w:type="paragraph" w:customStyle="1" w:styleId="FFWLevel3">
    <w:name w:val="FFW Level 3"/>
    <w:basedOn w:val="Normal"/>
    <w:qFormat/>
    <w:locked/>
    <w:rsid w:val="00C626C7"/>
    <w:pPr>
      <w:numPr>
        <w:ilvl w:val="2"/>
        <w:numId w:val="12"/>
      </w:numPr>
      <w:spacing w:before="320" w:after="0" w:line="320" w:lineRule="atLeast"/>
    </w:pPr>
    <w:rPr>
      <w:rFonts w:ascii="Times New Roman" w:eastAsia="Times New Roman" w:hAnsi="Times New Roman" w:cs="Times New Roman"/>
      <w:sz w:val="23"/>
      <w:szCs w:val="24"/>
      <w:lang w:val="en-GB" w:eastAsia="en-GB" w:bidi="ar-SA"/>
    </w:rPr>
  </w:style>
  <w:style w:type="paragraph" w:customStyle="1" w:styleId="FFWLevel4">
    <w:name w:val="FFW Level 4"/>
    <w:basedOn w:val="Normal"/>
    <w:qFormat/>
    <w:locked/>
    <w:rsid w:val="00C626C7"/>
    <w:pPr>
      <w:numPr>
        <w:ilvl w:val="3"/>
        <w:numId w:val="12"/>
      </w:numPr>
      <w:spacing w:before="320" w:after="0" w:line="320" w:lineRule="atLeast"/>
    </w:pPr>
    <w:rPr>
      <w:rFonts w:ascii="Times New Roman" w:eastAsia="Times New Roman" w:hAnsi="Times New Roman" w:cs="Times New Roman"/>
      <w:sz w:val="23"/>
      <w:szCs w:val="24"/>
      <w:lang w:val="en-GB" w:eastAsia="en-GB" w:bidi="ar-SA"/>
    </w:rPr>
  </w:style>
  <w:style w:type="paragraph" w:customStyle="1" w:styleId="FFWLevel5">
    <w:name w:val="FFW Level 5"/>
    <w:basedOn w:val="Normal"/>
    <w:qFormat/>
    <w:locked/>
    <w:rsid w:val="00C626C7"/>
    <w:pPr>
      <w:numPr>
        <w:ilvl w:val="4"/>
        <w:numId w:val="12"/>
      </w:numPr>
      <w:spacing w:before="320" w:after="0" w:line="320" w:lineRule="atLeast"/>
    </w:pPr>
    <w:rPr>
      <w:rFonts w:ascii="Times New Roman" w:eastAsia="Times New Roman" w:hAnsi="Times New Roman" w:cs="Times New Roman"/>
      <w:sz w:val="23"/>
      <w:szCs w:val="24"/>
      <w:lang w:val="en-GB" w:eastAsia="en-GB" w:bidi="ar-SA"/>
    </w:rPr>
  </w:style>
  <w:style w:type="paragraph" w:customStyle="1" w:styleId="FFWLevel6">
    <w:name w:val="FFW Level 6"/>
    <w:basedOn w:val="Normal"/>
    <w:qFormat/>
    <w:locked/>
    <w:rsid w:val="00C626C7"/>
    <w:pPr>
      <w:numPr>
        <w:ilvl w:val="5"/>
        <w:numId w:val="12"/>
      </w:numPr>
      <w:spacing w:before="320" w:after="0" w:line="320" w:lineRule="atLeast"/>
    </w:pPr>
    <w:rPr>
      <w:rFonts w:ascii="Times New Roman" w:eastAsia="Times New Roman" w:hAnsi="Times New Roman" w:cs="Times New Roman"/>
      <w:sz w:val="23"/>
      <w:szCs w:val="24"/>
      <w:lang w:val="en-GB" w:eastAsia="en-GB" w:bidi="ar-SA"/>
    </w:rPr>
  </w:style>
  <w:style w:type="character" w:customStyle="1" w:styleId="Heading3Char">
    <w:name w:val="Heading 3 Char"/>
    <w:basedOn w:val="DefaultParagraphFont"/>
    <w:link w:val="Heading3"/>
    <w:rsid w:val="00DA1E8F"/>
    <w:rPr>
      <w:rFonts w:ascii="Arial" w:eastAsiaTheme="majorEastAsia" w:hAnsi="Arial" w:cstheme="majorBidi"/>
      <w:sz w:val="20"/>
      <w:szCs w:val="20"/>
      <w:lang w:bidi="ar-SA"/>
    </w:rPr>
  </w:style>
  <w:style w:type="character" w:customStyle="1" w:styleId="Heading4Char">
    <w:name w:val="Heading 4 Char"/>
    <w:basedOn w:val="DefaultParagraphFont"/>
    <w:link w:val="Heading4"/>
    <w:uiPriority w:val="39"/>
    <w:rsid w:val="00DA1E8F"/>
    <w:rPr>
      <w:rFonts w:ascii="Arial" w:eastAsiaTheme="majorEastAsia" w:hAnsi="Arial" w:cstheme="majorBidi"/>
      <w:sz w:val="20"/>
      <w:szCs w:val="20"/>
      <w:lang w:bidi="ar-SA"/>
    </w:rPr>
  </w:style>
  <w:style w:type="character" w:customStyle="1" w:styleId="Heading2Char">
    <w:name w:val="Heading 2 Char"/>
    <w:basedOn w:val="DefaultParagraphFont"/>
    <w:link w:val="Heading2"/>
    <w:uiPriority w:val="9"/>
    <w:semiHidden/>
    <w:rsid w:val="00DA1E8F"/>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D358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266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66F9"/>
    <w:rPr>
      <w:sz w:val="20"/>
      <w:szCs w:val="20"/>
    </w:rPr>
  </w:style>
  <w:style w:type="character" w:styleId="FootnoteReference">
    <w:name w:val="footnote reference"/>
    <w:basedOn w:val="DefaultParagraphFont"/>
    <w:uiPriority w:val="99"/>
    <w:semiHidden/>
    <w:unhideWhenUsed/>
    <w:rsid w:val="003266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902844">
      <w:bodyDiv w:val="1"/>
      <w:marLeft w:val="0"/>
      <w:marRight w:val="0"/>
      <w:marTop w:val="0"/>
      <w:marBottom w:val="0"/>
      <w:divBdr>
        <w:top w:val="none" w:sz="0" w:space="0" w:color="auto"/>
        <w:left w:val="none" w:sz="0" w:space="0" w:color="auto"/>
        <w:bottom w:val="none" w:sz="0" w:space="0" w:color="auto"/>
        <w:right w:val="none" w:sz="0" w:space="0" w:color="auto"/>
      </w:divBdr>
      <w:divsChild>
        <w:div w:id="155414003">
          <w:marLeft w:val="0"/>
          <w:marRight w:val="0"/>
          <w:marTop w:val="0"/>
          <w:marBottom w:val="0"/>
          <w:divBdr>
            <w:top w:val="none" w:sz="0" w:space="0" w:color="auto"/>
            <w:left w:val="none" w:sz="0" w:space="0" w:color="auto"/>
            <w:bottom w:val="none" w:sz="0" w:space="0" w:color="auto"/>
            <w:right w:val="none" w:sz="0" w:space="0" w:color="auto"/>
          </w:divBdr>
          <w:divsChild>
            <w:div w:id="181410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003469">
      <w:bodyDiv w:val="1"/>
      <w:marLeft w:val="0"/>
      <w:marRight w:val="0"/>
      <w:marTop w:val="0"/>
      <w:marBottom w:val="0"/>
      <w:divBdr>
        <w:top w:val="none" w:sz="0" w:space="0" w:color="auto"/>
        <w:left w:val="none" w:sz="0" w:space="0" w:color="auto"/>
        <w:bottom w:val="none" w:sz="0" w:space="0" w:color="auto"/>
        <w:right w:val="none" w:sz="0" w:space="0" w:color="auto"/>
      </w:divBdr>
    </w:div>
    <w:div w:id="989945948">
      <w:bodyDiv w:val="1"/>
      <w:marLeft w:val="0"/>
      <w:marRight w:val="0"/>
      <w:marTop w:val="0"/>
      <w:marBottom w:val="0"/>
      <w:divBdr>
        <w:top w:val="none" w:sz="0" w:space="0" w:color="auto"/>
        <w:left w:val="none" w:sz="0" w:space="0" w:color="auto"/>
        <w:bottom w:val="none" w:sz="0" w:space="0" w:color="auto"/>
        <w:right w:val="none" w:sz="0" w:space="0" w:color="auto"/>
      </w:divBdr>
      <w:divsChild>
        <w:div w:id="259721104">
          <w:marLeft w:val="0"/>
          <w:marRight w:val="0"/>
          <w:marTop w:val="0"/>
          <w:marBottom w:val="0"/>
          <w:divBdr>
            <w:top w:val="none" w:sz="0" w:space="0" w:color="auto"/>
            <w:left w:val="none" w:sz="0" w:space="0" w:color="auto"/>
            <w:bottom w:val="none" w:sz="0" w:space="0" w:color="auto"/>
            <w:right w:val="none" w:sz="0" w:space="0" w:color="auto"/>
          </w:divBdr>
          <w:divsChild>
            <w:div w:id="18575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1852">
      <w:bodyDiv w:val="1"/>
      <w:marLeft w:val="0"/>
      <w:marRight w:val="0"/>
      <w:marTop w:val="0"/>
      <w:marBottom w:val="0"/>
      <w:divBdr>
        <w:top w:val="none" w:sz="0" w:space="0" w:color="auto"/>
        <w:left w:val="none" w:sz="0" w:space="0" w:color="auto"/>
        <w:bottom w:val="none" w:sz="0" w:space="0" w:color="auto"/>
        <w:right w:val="none" w:sz="0" w:space="0" w:color="auto"/>
      </w:divBdr>
    </w:div>
    <w:div w:id="1398169246">
      <w:bodyDiv w:val="1"/>
      <w:marLeft w:val="0"/>
      <w:marRight w:val="0"/>
      <w:marTop w:val="0"/>
      <w:marBottom w:val="0"/>
      <w:divBdr>
        <w:top w:val="none" w:sz="0" w:space="0" w:color="auto"/>
        <w:left w:val="none" w:sz="0" w:space="0" w:color="auto"/>
        <w:bottom w:val="none" w:sz="0" w:space="0" w:color="auto"/>
        <w:right w:val="none" w:sz="0" w:space="0" w:color="auto"/>
      </w:divBdr>
    </w:div>
    <w:div w:id="18556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ero.com/education-and-support/contact-us"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ivacy@aligntech.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terosupport@aligntech.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tero.com/education-and-support/contact-us" TargetMode="External"/><Relationship Id="rId4" Type="http://schemas.openxmlformats.org/officeDocument/2006/relationships/settings" Target="settings.xml"/><Relationship Id="rId9" Type="http://schemas.openxmlformats.org/officeDocument/2006/relationships/hyperlink" Target="mailto:iterosupport@aligntech.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C3CBE9-D9E7-43BD-9624-C620F885678B}">
  <ds:schemaRefs>
    <ds:schemaRef ds:uri="http://schemas.openxmlformats.org/officeDocument/2006/bibliography"/>
  </ds:schemaRefs>
</ds:datastoreItem>
</file>

<file path=docMetadata/LabelInfo.xml><?xml version="1.0" encoding="utf-8"?>
<clbl:labelList xmlns:clbl="http://schemas.microsoft.com/office/2020/mipLabelMetadata">
  <clbl:label id="{9ac44c96-980a-481b-ae23-d8f56b82c605}" enabled="0" method="" siteId="{9ac44c96-980a-481b-ae23-d8f56b82c605}"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2910</Words>
  <Characters>16588</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Patt</dc:creator>
  <cp:keywords/>
  <dc:description/>
  <cp:lastModifiedBy>Sweeny Fernandes</cp:lastModifiedBy>
  <cp:revision>4</cp:revision>
  <dcterms:created xsi:type="dcterms:W3CDTF">2026-02-16T09:12:00Z</dcterms:created>
  <dcterms:modified xsi:type="dcterms:W3CDTF">2026-03-31T14:42:00Z</dcterms:modified>
</cp:coreProperties>
</file>