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BE928" w14:textId="77777777" w:rsidR="0038530D" w:rsidRDefault="0002003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Linha temática: </w:t>
      </w:r>
      <w:r>
        <w:rPr>
          <w:rFonts w:ascii="Times New Roman" w:eastAsia="Times New Roman" w:hAnsi="Times New Roman" w:cs="Times New Roman"/>
          <w:sz w:val="24"/>
          <w:szCs w:val="24"/>
        </w:rPr>
        <w:t>Saberes populares e sustentabilidade no Semiárido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15C6039" w14:textId="77777777" w:rsidR="0038530D" w:rsidRDefault="003853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E4497D" w14:textId="77777777" w:rsidR="0038530D" w:rsidRDefault="000200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(MAIÚSCULO, CENTRALIZADO E NEGRITO)</w:t>
      </w:r>
    </w:p>
    <w:p w14:paraId="53E437FF" w14:textId="77777777" w:rsidR="0038530D" w:rsidRDefault="003853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450794" w14:textId="77777777" w:rsidR="0038530D" w:rsidRDefault="000200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RESUMO: </w:t>
      </w:r>
      <w:r>
        <w:rPr>
          <w:rFonts w:ascii="Times New Roman" w:eastAsia="Times New Roman" w:hAnsi="Times New Roman" w:cs="Times New Roman"/>
          <w:sz w:val="24"/>
          <w:szCs w:val="24"/>
        </w:rPr>
        <w:t>xxxxxxxxxxxxxxxxxxxxxxxxxxxxxxxxxxxxxxxxxxxxxxxxxxxxxxxxxxxxxxxxx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74409FB7" w14:textId="5ABA6985" w:rsidR="0038530D" w:rsidRDefault="00020034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Semiárido; Desertificação; Mudança climática.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(até 5 palavras-chave)</w:t>
      </w:r>
    </w:p>
    <w:p w14:paraId="6E3C1F7F" w14:textId="7E03887F" w:rsidR="0038530D" w:rsidRDefault="00020034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Resumo deve ser escrito em parágrafo único com espaçamento simples.</w:t>
      </w:r>
    </w:p>
    <w:p w14:paraId="13913A42" w14:textId="77777777" w:rsidR="0038530D" w:rsidRDefault="0038530D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574B7D7" w14:textId="77777777" w:rsidR="0038530D" w:rsidRDefault="0002003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</w:p>
    <w:p w14:paraId="29BD7FFC" w14:textId="77777777" w:rsidR="0038530D" w:rsidRDefault="00020034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65E3A7F5" w14:textId="77777777" w:rsidR="0038530D" w:rsidRDefault="003853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AF51CB" w14:textId="7249EE9F" w:rsidR="0038530D" w:rsidRDefault="0002003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MATERIA</w:t>
      </w:r>
      <w:r w:rsidR="002534DC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 MÉTODOS</w:t>
      </w:r>
    </w:p>
    <w:p w14:paraId="05E1D941" w14:textId="77777777" w:rsidR="0038530D" w:rsidRDefault="00020034">
      <w:pPr>
        <w:spacing w:after="0" w:line="360" w:lineRule="auto"/>
        <w:ind w:firstLine="708"/>
        <w:rPr>
          <w:rFonts w:ascii="Times" w:eastAsia="Times" w:hAnsi="Times" w:cs="Time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Times" w:eastAsia="Times" w:hAnsi="Times" w:cs="Times"/>
          <w:sz w:val="24"/>
          <w:szCs w:val="24"/>
        </w:rPr>
        <w:t xml:space="preserve">xxxxxxxxxxxxxxxxxxxxxxxxxxxxxxxxxxxxxxxxxxxxxxxxxxxxxxxxxxxxxxxxxxxxxxxxxxxxxxxxxxxxxxx (Fulano </w:t>
      </w:r>
      <w:r>
        <w:rPr>
          <w:rFonts w:ascii="Times" w:eastAsia="Times" w:hAnsi="Times" w:cs="Times"/>
          <w:i/>
          <w:sz w:val="24"/>
          <w:szCs w:val="24"/>
        </w:rPr>
        <w:t>et al</w:t>
      </w:r>
      <w:r>
        <w:rPr>
          <w:rFonts w:ascii="Times" w:eastAsia="Times" w:hAnsi="Times" w:cs="Times"/>
          <w:sz w:val="24"/>
          <w:szCs w:val="24"/>
        </w:rPr>
        <w:t>., 2025).</w:t>
      </w:r>
    </w:p>
    <w:p w14:paraId="4458336F" w14:textId="77777777" w:rsidR="0038530D" w:rsidRDefault="0038530D">
      <w:pPr>
        <w:spacing w:after="0" w:line="360" w:lineRule="auto"/>
        <w:rPr>
          <w:rFonts w:ascii="Times" w:eastAsia="Times" w:hAnsi="Times" w:cs="Times"/>
          <w:color w:val="FF0000"/>
          <w:sz w:val="24"/>
          <w:szCs w:val="24"/>
          <w:highlight w:val="white"/>
        </w:rPr>
      </w:pPr>
    </w:p>
    <w:p w14:paraId="06B9F23C" w14:textId="77777777" w:rsidR="0038530D" w:rsidRDefault="00020034">
      <w:pPr>
        <w:spacing w:after="0" w:line="360" w:lineRule="auto"/>
        <w:rPr>
          <w:rFonts w:ascii="Times" w:eastAsia="Times" w:hAnsi="Times" w:cs="Times"/>
          <w:color w:val="FF0000"/>
          <w:sz w:val="24"/>
          <w:szCs w:val="24"/>
          <w:highlight w:val="white"/>
        </w:rPr>
      </w:pP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>As citações devem seguir as orientações e os exemplos abaixo:</w:t>
      </w:r>
    </w:p>
    <w:p w14:paraId="268E9129" w14:textId="77777777" w:rsidR="0038530D" w:rsidRDefault="00020034">
      <w:pPr>
        <w:numPr>
          <w:ilvl w:val="0"/>
          <w:numId w:val="1"/>
        </w:numPr>
        <w:spacing w:after="0" w:line="360" w:lineRule="auto"/>
        <w:rPr>
          <w:rFonts w:ascii="Times" w:eastAsia="Times" w:hAnsi="Times" w:cs="Times"/>
          <w:color w:val="FF0000"/>
          <w:sz w:val="24"/>
          <w:szCs w:val="24"/>
          <w:highlight w:val="white"/>
        </w:rPr>
      </w:pP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Obras com três ou mais autores, utilize </w:t>
      </w:r>
      <w:r>
        <w:rPr>
          <w:rFonts w:ascii="Times" w:eastAsia="Times" w:hAnsi="Times" w:cs="Times"/>
          <w:i/>
          <w:color w:val="FF0000"/>
          <w:sz w:val="24"/>
          <w:szCs w:val="24"/>
          <w:highlight w:val="white"/>
        </w:rPr>
        <w:t>et al.</w:t>
      </w: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 após o primeiro autor. </w:t>
      </w:r>
    </w:p>
    <w:p w14:paraId="46638F8F" w14:textId="0E7F2817" w:rsidR="0038530D" w:rsidRDefault="00020034">
      <w:pPr>
        <w:numPr>
          <w:ilvl w:val="0"/>
          <w:numId w:val="1"/>
        </w:numPr>
        <w:spacing w:after="0" w:line="360" w:lineRule="auto"/>
        <w:rPr>
          <w:rFonts w:ascii="Times" w:eastAsia="Times" w:hAnsi="Times" w:cs="Times"/>
          <w:color w:val="FF0000"/>
          <w:sz w:val="24"/>
          <w:szCs w:val="24"/>
          <w:highlight w:val="white"/>
        </w:rPr>
      </w:pP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As citações devem </w:t>
      </w:r>
      <w:r w:rsidR="002534DC"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ser apresentadas </w:t>
      </w: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>em ordem crescente pelo ano</w:t>
      </w:r>
      <w:r w:rsidR="002534DC"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 de publicação</w:t>
      </w: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. </w:t>
      </w:r>
    </w:p>
    <w:p w14:paraId="74874D98" w14:textId="77777777" w:rsidR="0038530D" w:rsidRDefault="00020034">
      <w:pPr>
        <w:numPr>
          <w:ilvl w:val="0"/>
          <w:numId w:val="1"/>
        </w:numPr>
        <w:spacing w:after="0" w:line="360" w:lineRule="auto"/>
        <w:rPr>
          <w:rFonts w:ascii="Times" w:eastAsia="Times" w:hAnsi="Times" w:cs="Times"/>
          <w:color w:val="FF0000"/>
          <w:sz w:val="24"/>
          <w:szCs w:val="24"/>
          <w:highlight w:val="white"/>
        </w:rPr>
      </w:pP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Nas citações com dois autores utilize conector “&amp;”. </w:t>
      </w:r>
    </w:p>
    <w:p w14:paraId="05B8A899" w14:textId="77777777" w:rsidR="0038530D" w:rsidRDefault="00020034">
      <w:pPr>
        <w:spacing w:after="0" w:line="360" w:lineRule="auto"/>
        <w:rPr>
          <w:rFonts w:ascii="Times" w:eastAsia="Times" w:hAnsi="Times" w:cs="Times"/>
          <w:color w:val="FF0000"/>
          <w:sz w:val="24"/>
          <w:szCs w:val="24"/>
          <w:highlight w:val="white"/>
        </w:rPr>
      </w:pP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Exemplos para as citações: </w:t>
      </w:r>
    </w:p>
    <w:p w14:paraId="1828AA1C" w14:textId="77777777" w:rsidR="0038530D" w:rsidRDefault="00020034">
      <w:pPr>
        <w:spacing w:after="0" w:line="360" w:lineRule="auto"/>
        <w:rPr>
          <w:rFonts w:ascii="Times" w:eastAsia="Times" w:hAnsi="Times" w:cs="Times"/>
          <w:color w:val="FF0000"/>
          <w:sz w:val="24"/>
          <w:szCs w:val="24"/>
          <w:highlight w:val="white"/>
        </w:rPr>
      </w:pP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“segundo </w:t>
      </w:r>
      <w:proofErr w:type="spellStart"/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>Deléage</w:t>
      </w:r>
      <w:proofErr w:type="spellEnd"/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 (2007), Araújo &amp; </w:t>
      </w:r>
      <w:proofErr w:type="spellStart"/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>Barrera</w:t>
      </w:r>
      <w:proofErr w:type="spellEnd"/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 (2009) e Ferreira </w:t>
      </w:r>
      <w:r>
        <w:rPr>
          <w:rFonts w:ascii="Times" w:eastAsia="Times" w:hAnsi="Times" w:cs="Times"/>
          <w:i/>
          <w:color w:val="FF0000"/>
          <w:sz w:val="24"/>
          <w:szCs w:val="24"/>
          <w:highlight w:val="white"/>
        </w:rPr>
        <w:t>et al</w:t>
      </w: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. (2010) …”; </w:t>
      </w:r>
    </w:p>
    <w:p w14:paraId="6B12B44F" w14:textId="77777777" w:rsidR="0038530D" w:rsidRDefault="00020034">
      <w:pPr>
        <w:spacing w:after="0" w:line="360" w:lineRule="auto"/>
        <w:rPr>
          <w:rFonts w:ascii="Times" w:eastAsia="Times" w:hAnsi="Times" w:cs="Times"/>
          <w:color w:val="FF0000"/>
          <w:sz w:val="24"/>
          <w:szCs w:val="24"/>
          <w:highlight w:val="white"/>
        </w:rPr>
      </w:pP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>(</w:t>
      </w:r>
      <w:proofErr w:type="spellStart"/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>Deléage</w:t>
      </w:r>
      <w:proofErr w:type="spellEnd"/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, 2007; Araújo &amp; </w:t>
      </w:r>
      <w:proofErr w:type="spellStart"/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>Barrera</w:t>
      </w:r>
      <w:proofErr w:type="spellEnd"/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, 2009; Ferreira </w:t>
      </w:r>
      <w:r>
        <w:rPr>
          <w:rFonts w:ascii="Times" w:eastAsia="Times" w:hAnsi="Times" w:cs="Times"/>
          <w:i/>
          <w:color w:val="FF0000"/>
          <w:sz w:val="24"/>
          <w:szCs w:val="24"/>
          <w:highlight w:val="white"/>
        </w:rPr>
        <w:t>et al</w:t>
      </w: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., 2010); </w:t>
      </w:r>
    </w:p>
    <w:p w14:paraId="479C271F" w14:textId="77777777" w:rsidR="0038530D" w:rsidRDefault="00020034">
      <w:pPr>
        <w:spacing w:after="0" w:line="360" w:lineRule="auto"/>
        <w:rPr>
          <w:rFonts w:ascii="Times" w:eastAsia="Times" w:hAnsi="Times" w:cs="Times"/>
          <w:color w:val="FF0000"/>
          <w:sz w:val="24"/>
          <w:szCs w:val="24"/>
          <w:highlight w:val="white"/>
        </w:rPr>
      </w:pP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>(Moran, 1994, p. 17); e</w:t>
      </w:r>
    </w:p>
    <w:p w14:paraId="4C95A3CE" w14:textId="77777777" w:rsidR="0038530D" w:rsidRDefault="00020034">
      <w:pPr>
        <w:spacing w:after="0" w:line="360" w:lineRule="auto"/>
        <w:rPr>
          <w:rFonts w:ascii="Times" w:eastAsia="Times" w:hAnsi="Times" w:cs="Times"/>
          <w:color w:val="FF0000"/>
          <w:sz w:val="24"/>
          <w:szCs w:val="24"/>
          <w:highlight w:val="white"/>
        </w:rPr>
      </w:pP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>(</w:t>
      </w:r>
      <w:proofErr w:type="spellStart"/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>Deléage</w:t>
      </w:r>
      <w:proofErr w:type="spellEnd"/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>, 2007a; 2007b).</w:t>
      </w:r>
    </w:p>
    <w:p w14:paraId="23BA03FC" w14:textId="77777777" w:rsidR="0038530D" w:rsidRDefault="0038530D">
      <w:pPr>
        <w:spacing w:after="0" w:line="360" w:lineRule="auto"/>
        <w:rPr>
          <w:rFonts w:ascii="Times" w:eastAsia="Times" w:hAnsi="Times" w:cs="Times"/>
          <w:b/>
          <w:sz w:val="24"/>
          <w:szCs w:val="24"/>
        </w:rPr>
      </w:pPr>
    </w:p>
    <w:p w14:paraId="32378E79" w14:textId="77777777" w:rsidR="0038530D" w:rsidRDefault="00020034">
      <w:pPr>
        <w:spacing w:after="0" w:line="360" w:lineRule="auto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RESULTADOS E DISCUSSÃO</w:t>
      </w:r>
    </w:p>
    <w:p w14:paraId="18618D14" w14:textId="77777777" w:rsidR="0038530D" w:rsidRDefault="00020034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Xxxxxxxxxxxxxxxxxxxxxxxxxxxxxxxxxxxxxxxxxxxxxxxxxxxxxxxxxxxxxxxxxxxxxxxxxxxxxxxxxxxxxxxxxxxxxxxxxxxxxxxxxxxxxxxxxxxxxxxxxxxxxxxxxxxxxxxxxxxxxxxxxxxxxxxxxxxxxxxxxxxxxxxxxxxx</w:t>
      </w:r>
      <w:r>
        <w:rPr>
          <w:rFonts w:ascii="Times New Roman" w:eastAsia="Times New Roman" w:hAnsi="Times New Roman" w:cs="Times New Roman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 (Tabela 1).</w:t>
      </w:r>
    </w:p>
    <w:p w14:paraId="716DF8ED" w14:textId="77777777" w:rsidR="0038530D" w:rsidRDefault="003853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392F0" w14:textId="35C19972" w:rsidR="0038530D" w:rsidRDefault="0002003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Tabela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Xxxxxxxxxxxxx</w:t>
      </w:r>
      <w:proofErr w:type="spellEnd"/>
      <w:r w:rsidR="002534DC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2955"/>
        <w:gridCol w:w="2970"/>
      </w:tblGrid>
      <w:tr w:rsidR="0038530D" w14:paraId="5F4F1B95" w14:textId="77777777">
        <w:trPr>
          <w:trHeight w:val="285"/>
        </w:trPr>
        <w:tc>
          <w:tcPr>
            <w:tcW w:w="2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8B7F5" w14:textId="77777777" w:rsidR="0038530D" w:rsidRDefault="00020034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xxxx</w:t>
            </w:r>
            <w:proofErr w:type="spellEnd"/>
          </w:p>
        </w:tc>
        <w:tc>
          <w:tcPr>
            <w:tcW w:w="29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9629BD" w14:textId="77777777" w:rsidR="0038530D" w:rsidRDefault="00020034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29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CC1BB1" w14:textId="77777777" w:rsidR="0038530D" w:rsidRDefault="00020034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xxx</w:t>
            </w:r>
            <w:proofErr w:type="spellEnd"/>
          </w:p>
        </w:tc>
      </w:tr>
      <w:tr w:rsidR="0038530D" w14:paraId="6075B3C7" w14:textId="77777777">
        <w:trPr>
          <w:trHeight w:val="285"/>
        </w:trPr>
        <w:tc>
          <w:tcPr>
            <w:tcW w:w="29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20B80" w14:textId="77777777" w:rsidR="0038530D" w:rsidRDefault="00020034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E02EAE" w14:textId="77777777" w:rsidR="0038530D" w:rsidRDefault="00020034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B8262" w14:textId="77777777" w:rsidR="0038530D" w:rsidRDefault="00020034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8530D" w14:paraId="176B80D6" w14:textId="77777777">
        <w:trPr>
          <w:trHeight w:val="285"/>
        </w:trPr>
        <w:tc>
          <w:tcPr>
            <w:tcW w:w="29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7ED2C1" w14:textId="77777777" w:rsidR="0038530D" w:rsidRDefault="00020034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7FA74" w14:textId="77777777" w:rsidR="0038530D" w:rsidRDefault="00020034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FDA6D" w14:textId="77777777" w:rsidR="0038530D" w:rsidRDefault="00020034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8530D" w14:paraId="26F798FF" w14:textId="77777777">
        <w:trPr>
          <w:trHeight w:val="285"/>
        </w:trPr>
        <w:tc>
          <w:tcPr>
            <w:tcW w:w="29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A582E" w14:textId="77777777" w:rsidR="0038530D" w:rsidRDefault="00020034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29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55864B" w14:textId="77777777" w:rsidR="0038530D" w:rsidRDefault="00020034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0DE42E" w14:textId="77777777" w:rsidR="0038530D" w:rsidRDefault="00020034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03B531C7" w14:textId="77777777" w:rsidR="0038530D" w:rsidRDefault="00020034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</w:t>
      </w:r>
    </w:p>
    <w:p w14:paraId="5943492D" w14:textId="77777777" w:rsidR="0038530D" w:rsidRDefault="0002003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Xxxxxxxxxxxxxxxxxxxxxxxxxxxxxxxxxxxxxxxxxxxxxxxxxxxxxxxxxxxxxxxxxxxxxxxxxxxxxxxxxxxxxxxxxxxxxxxxxxxxxxxxxxxxxxxxxxxxxxxxxxxxxxxxxxxxxxxxxxxxxxxxxxxxxxxxxxxx (Fig. 1).</w:t>
      </w:r>
    </w:p>
    <w:p w14:paraId="055B31CC" w14:textId="77777777" w:rsidR="0038530D" w:rsidRDefault="000200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143F5F8A" wp14:editId="5E40E402">
            <wp:extent cx="3546638" cy="2298747"/>
            <wp:effectExtent l="0" t="0" r="0" b="0"/>
            <wp:docPr id="123374770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6638" cy="2298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92088C" w14:textId="5F2869E0" w:rsidR="0038530D" w:rsidRDefault="000200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 1-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Xxxxxxxxxx</w:t>
      </w:r>
      <w:proofErr w:type="spellEnd"/>
      <w:r w:rsidR="002534D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5EA77E" w14:textId="77777777" w:rsidR="0038530D" w:rsidRDefault="0038530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4C754C" w14:textId="77777777" w:rsidR="0038530D" w:rsidRDefault="0002003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CONCLUSÃO</w:t>
      </w:r>
    </w:p>
    <w:p w14:paraId="053CCD70" w14:textId="77777777" w:rsidR="0038530D" w:rsidRDefault="00020034">
      <w:pPr>
        <w:spacing w:after="0" w:line="360" w:lineRule="auto"/>
        <w:ind w:firstLine="708"/>
        <w:rPr>
          <w:rFonts w:ascii="Times" w:eastAsia="Times" w:hAnsi="Times" w:cs="Times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xxxxxxxxxxxxxxxxxxxxxxxxxxxxxxxxxxxxxxxxxxxxxxxxxxxxxxxxxxxxxxxxxxxxxxxxxxxxxxxxxxxxxxxxxxxxxxxxxxxxxxxxxxxxxxxxxxxxxxxxxxxxxxxxxxxxxxxxxxxxxxxx</w:t>
      </w:r>
      <w:r>
        <w:rPr>
          <w:rFonts w:ascii="Times" w:eastAsia="Times" w:hAnsi="Times" w:cs="Times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Times" w:eastAsia="Times" w:hAnsi="Times" w:cs="Times"/>
          <w:sz w:val="24"/>
          <w:szCs w:val="24"/>
        </w:rPr>
        <w:lastRenderedPageBreak/>
        <w:t>xxxxxxxxxxxxxxxxxxxxxxxxxxxxxxxxxxxxxxxxxxxxxxxxxxxxxxxxxxxxxxxxxxxxxxxxxxxxxxxxxxxxxxxxx</w:t>
      </w:r>
    </w:p>
    <w:p w14:paraId="08A1F9AA" w14:textId="77777777" w:rsidR="0038530D" w:rsidRDefault="0038530D">
      <w:pPr>
        <w:spacing w:after="0" w:line="360" w:lineRule="auto"/>
        <w:rPr>
          <w:rFonts w:ascii="Times" w:eastAsia="Times" w:hAnsi="Times" w:cs="Times"/>
          <w:b/>
          <w:sz w:val="24"/>
          <w:szCs w:val="24"/>
        </w:rPr>
      </w:pPr>
    </w:p>
    <w:p w14:paraId="48F3962B" w14:textId="77777777" w:rsidR="0038530D" w:rsidRDefault="00020034">
      <w:pPr>
        <w:spacing w:after="0" w:line="360" w:lineRule="auto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AGRADECIMENTOS</w:t>
      </w:r>
    </w:p>
    <w:p w14:paraId="43D4DE4A" w14:textId="77777777" w:rsidR="0038530D" w:rsidRDefault="00020034">
      <w:pPr>
        <w:spacing w:after="0" w:line="360" w:lineRule="auto"/>
        <w:ind w:firstLine="851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5860A196" w14:textId="77777777" w:rsidR="0038530D" w:rsidRDefault="0038530D">
      <w:pPr>
        <w:spacing w:after="0" w:line="360" w:lineRule="auto"/>
        <w:rPr>
          <w:rFonts w:ascii="Times" w:eastAsia="Times" w:hAnsi="Times" w:cs="Times"/>
          <w:b/>
          <w:sz w:val="24"/>
          <w:szCs w:val="24"/>
        </w:rPr>
      </w:pPr>
    </w:p>
    <w:p w14:paraId="0E23D621" w14:textId="77777777" w:rsidR="0038530D" w:rsidRDefault="00020034">
      <w:pPr>
        <w:spacing w:after="0" w:line="360" w:lineRule="auto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REFERÊNCIA </w:t>
      </w:r>
    </w:p>
    <w:p w14:paraId="0FDA7347" w14:textId="77777777" w:rsidR="0038530D" w:rsidRDefault="0038530D">
      <w:pPr>
        <w:spacing w:after="0" w:line="360" w:lineRule="auto"/>
        <w:rPr>
          <w:rFonts w:ascii="Times" w:eastAsia="Times" w:hAnsi="Times" w:cs="Times"/>
          <w:sz w:val="24"/>
          <w:szCs w:val="24"/>
        </w:rPr>
      </w:pPr>
    </w:p>
    <w:p w14:paraId="4A85229D" w14:textId="169B042C" w:rsidR="0038530D" w:rsidRDefault="00020034">
      <w:pPr>
        <w:spacing w:after="0" w:line="360" w:lineRule="auto"/>
        <w:rPr>
          <w:rFonts w:ascii="Times" w:eastAsia="Times" w:hAnsi="Times" w:cs="Times"/>
          <w:color w:val="FF0000"/>
          <w:sz w:val="24"/>
          <w:szCs w:val="24"/>
          <w:highlight w:val="white"/>
        </w:rPr>
      </w:pP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A lista de referências deve </w:t>
      </w:r>
      <w:r w:rsidR="002534DC"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ser organizada em </w:t>
      </w: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ordem alfabética </w:t>
      </w:r>
      <w:r w:rsidR="002534DC"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pelo sobrenome </w:t>
      </w: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>dos autores</w:t>
      </w:r>
      <w:r w:rsidR="002534DC"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 e formatada conforme </w:t>
      </w: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>os exemplos a</w:t>
      </w:r>
      <w:r w:rsidR="002534DC"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 seguir</w:t>
      </w:r>
      <w:r>
        <w:rPr>
          <w:rFonts w:ascii="Times" w:eastAsia="Times" w:hAnsi="Times" w:cs="Times"/>
          <w:color w:val="FF0000"/>
          <w:sz w:val="24"/>
          <w:szCs w:val="24"/>
          <w:highlight w:val="white"/>
        </w:rPr>
        <w:t xml:space="preserve">. </w:t>
      </w:r>
    </w:p>
    <w:p w14:paraId="708DC73C" w14:textId="77777777" w:rsidR="0038530D" w:rsidRDefault="0038530D">
      <w:pPr>
        <w:spacing w:after="0" w:line="360" w:lineRule="auto"/>
        <w:rPr>
          <w:rFonts w:ascii="Times" w:eastAsia="Times" w:hAnsi="Times" w:cs="Times"/>
          <w:color w:val="FF0000"/>
          <w:sz w:val="24"/>
          <w:szCs w:val="24"/>
          <w:highlight w:val="white"/>
        </w:rPr>
      </w:pPr>
    </w:p>
    <w:p w14:paraId="0A213FB6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b/>
          <w:i/>
          <w:sz w:val="24"/>
          <w:szCs w:val="24"/>
          <w:highlight w:val="white"/>
        </w:rPr>
      </w:pPr>
      <w:r>
        <w:rPr>
          <w:rFonts w:ascii="Times" w:eastAsia="Times" w:hAnsi="Times" w:cs="Times"/>
          <w:b/>
          <w:i/>
          <w:sz w:val="24"/>
          <w:szCs w:val="24"/>
          <w:highlight w:val="white"/>
        </w:rPr>
        <w:t>Livro</w:t>
      </w:r>
    </w:p>
    <w:p w14:paraId="3895E6C9" w14:textId="77777777" w:rsidR="0038530D" w:rsidRPr="002534DC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sz w:val="24"/>
          <w:szCs w:val="24"/>
          <w:highlight w:val="white"/>
          <w:lang w:val="en-US"/>
        </w:rPr>
      </w:pPr>
      <w:r>
        <w:rPr>
          <w:rFonts w:ascii="Times" w:eastAsia="Times" w:hAnsi="Times" w:cs="Times"/>
          <w:sz w:val="24"/>
          <w:szCs w:val="24"/>
          <w:highlight w:val="white"/>
        </w:rPr>
        <w:t xml:space="preserve">Vinha, V. (Org.). </w:t>
      </w:r>
      <w:r>
        <w:rPr>
          <w:rFonts w:ascii="Times" w:eastAsia="Times" w:hAnsi="Times" w:cs="Times"/>
          <w:i/>
          <w:sz w:val="24"/>
          <w:szCs w:val="24"/>
          <w:highlight w:val="white"/>
        </w:rPr>
        <w:t>Economia do meio ambiente</w:t>
      </w:r>
      <w:r>
        <w:rPr>
          <w:rFonts w:ascii="Times" w:eastAsia="Times" w:hAnsi="Times" w:cs="Times"/>
          <w:sz w:val="24"/>
          <w:szCs w:val="24"/>
          <w:highlight w:val="white"/>
        </w:rPr>
        <w:t xml:space="preserve">: teoria e prática. </w:t>
      </w:r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>Rio de Janeiro: Elsevier, 2003.</w:t>
      </w:r>
    </w:p>
    <w:p w14:paraId="69C3734D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sz w:val="24"/>
          <w:szCs w:val="24"/>
          <w:highlight w:val="white"/>
        </w:rPr>
      </w:pPr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 xml:space="preserve">Ostrom, E. </w:t>
      </w:r>
      <w:r w:rsidRPr="002534DC">
        <w:rPr>
          <w:rFonts w:ascii="Times" w:eastAsia="Times" w:hAnsi="Times" w:cs="Times"/>
          <w:i/>
          <w:sz w:val="24"/>
          <w:szCs w:val="24"/>
          <w:highlight w:val="white"/>
          <w:lang w:val="en-US"/>
        </w:rPr>
        <w:t>Governing the commons</w:t>
      </w:r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 xml:space="preserve">: the evolution of institutions for collective action. </w:t>
      </w:r>
      <w:r>
        <w:rPr>
          <w:rFonts w:ascii="Times" w:eastAsia="Times" w:hAnsi="Times" w:cs="Times"/>
          <w:sz w:val="24"/>
          <w:szCs w:val="24"/>
          <w:highlight w:val="white"/>
        </w:rPr>
        <w:t xml:space="preserve">Cambridge </w:t>
      </w:r>
      <w:proofErr w:type="spellStart"/>
      <w:r>
        <w:rPr>
          <w:rFonts w:ascii="Times" w:eastAsia="Times" w:hAnsi="Times" w:cs="Times"/>
          <w:sz w:val="24"/>
          <w:szCs w:val="24"/>
          <w:highlight w:val="white"/>
        </w:rPr>
        <w:t>University</w:t>
      </w:r>
      <w:proofErr w:type="spellEnd"/>
      <w:r>
        <w:rPr>
          <w:rFonts w:ascii="Times" w:eastAsia="Times" w:hAnsi="Times" w:cs="Times"/>
          <w:sz w:val="24"/>
          <w:szCs w:val="24"/>
          <w:highlight w:val="white"/>
        </w:rPr>
        <w:t xml:space="preserve"> Press, 1990.</w:t>
      </w:r>
    </w:p>
    <w:p w14:paraId="0A2B395A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sz w:val="24"/>
          <w:szCs w:val="24"/>
          <w:highlight w:val="white"/>
        </w:rPr>
      </w:pPr>
      <w:r>
        <w:rPr>
          <w:rFonts w:ascii="Times" w:eastAsia="Times" w:hAnsi="Times" w:cs="Times"/>
          <w:sz w:val="24"/>
          <w:szCs w:val="24"/>
          <w:highlight w:val="white"/>
        </w:rPr>
        <w:t xml:space="preserve">Almeida, J. R. de; Bastos, A. C. S.; Malheiros, T. M.; Silva, M. </w:t>
      </w:r>
      <w:proofErr w:type="spellStart"/>
      <w:r>
        <w:rPr>
          <w:rFonts w:ascii="Times" w:eastAsia="Times" w:hAnsi="Times" w:cs="Times"/>
          <w:sz w:val="24"/>
          <w:szCs w:val="24"/>
          <w:highlight w:val="white"/>
        </w:rPr>
        <w:t>da</w:t>
      </w:r>
      <w:proofErr w:type="spellEnd"/>
      <w:r>
        <w:rPr>
          <w:rFonts w:ascii="Times" w:eastAsia="Times" w:hAnsi="Times" w:cs="Times"/>
          <w:sz w:val="24"/>
          <w:szCs w:val="24"/>
          <w:highlight w:val="white"/>
        </w:rPr>
        <w:t xml:space="preserve"> D. </w:t>
      </w:r>
      <w:r>
        <w:rPr>
          <w:rFonts w:ascii="Times" w:eastAsia="Times" w:hAnsi="Times" w:cs="Times"/>
          <w:i/>
          <w:sz w:val="24"/>
          <w:szCs w:val="24"/>
          <w:highlight w:val="white"/>
        </w:rPr>
        <w:t>Política e planejamento ambiental</w:t>
      </w:r>
      <w:r>
        <w:rPr>
          <w:rFonts w:ascii="Times" w:eastAsia="Times" w:hAnsi="Times" w:cs="Times"/>
          <w:sz w:val="24"/>
          <w:szCs w:val="24"/>
          <w:highlight w:val="white"/>
        </w:rPr>
        <w:t>. Rio de Janeiro: THEX Editora, 3. ed., 2004.</w:t>
      </w:r>
    </w:p>
    <w:p w14:paraId="3743E625" w14:textId="77777777" w:rsidR="0038530D" w:rsidRDefault="0038530D">
      <w:pPr>
        <w:shd w:val="clear" w:color="auto" w:fill="FFFFFF"/>
        <w:spacing w:after="0" w:line="360" w:lineRule="auto"/>
        <w:rPr>
          <w:rFonts w:ascii="Times" w:eastAsia="Times" w:hAnsi="Times" w:cs="Times"/>
          <w:b/>
          <w:i/>
          <w:sz w:val="24"/>
          <w:szCs w:val="24"/>
          <w:highlight w:val="white"/>
        </w:rPr>
      </w:pPr>
    </w:p>
    <w:p w14:paraId="42E0F8FA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b/>
          <w:i/>
          <w:sz w:val="24"/>
          <w:szCs w:val="24"/>
          <w:highlight w:val="white"/>
        </w:rPr>
      </w:pPr>
      <w:r>
        <w:rPr>
          <w:rFonts w:ascii="Times" w:eastAsia="Times" w:hAnsi="Times" w:cs="Times"/>
          <w:b/>
          <w:i/>
          <w:sz w:val="24"/>
          <w:szCs w:val="24"/>
          <w:highlight w:val="white"/>
        </w:rPr>
        <w:t>Capítulo de livro</w:t>
      </w:r>
    </w:p>
    <w:p w14:paraId="4BBC5900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sz w:val="24"/>
          <w:szCs w:val="24"/>
          <w:highlight w:val="white"/>
        </w:rPr>
      </w:pPr>
      <w:r>
        <w:rPr>
          <w:rFonts w:ascii="Times" w:eastAsia="Times" w:hAnsi="Times" w:cs="Times"/>
          <w:sz w:val="24"/>
          <w:szCs w:val="24"/>
          <w:highlight w:val="white"/>
        </w:rPr>
        <w:t xml:space="preserve">Faria, C. A. P. de. A multidisciplinaridade no estudo das políticas públicas. </w:t>
      </w:r>
      <w:r>
        <w:rPr>
          <w:rFonts w:ascii="Times" w:eastAsia="Times" w:hAnsi="Times" w:cs="Times"/>
          <w:i/>
          <w:sz w:val="24"/>
          <w:szCs w:val="24"/>
          <w:highlight w:val="white"/>
        </w:rPr>
        <w:t>In</w:t>
      </w:r>
      <w:r>
        <w:rPr>
          <w:rFonts w:ascii="Times" w:eastAsia="Times" w:hAnsi="Times" w:cs="Times"/>
          <w:sz w:val="24"/>
          <w:szCs w:val="24"/>
          <w:highlight w:val="white"/>
        </w:rPr>
        <w:t>: Marques, E.; Faria, C. A. P. de F. (</w:t>
      </w:r>
      <w:proofErr w:type="spellStart"/>
      <w:r>
        <w:rPr>
          <w:rFonts w:ascii="Times" w:eastAsia="Times" w:hAnsi="Times" w:cs="Times"/>
          <w:sz w:val="24"/>
          <w:szCs w:val="24"/>
          <w:highlight w:val="white"/>
        </w:rPr>
        <w:t>Orgs</w:t>
      </w:r>
      <w:proofErr w:type="spellEnd"/>
      <w:r>
        <w:rPr>
          <w:rFonts w:ascii="Times" w:eastAsia="Times" w:hAnsi="Times" w:cs="Times"/>
          <w:sz w:val="24"/>
          <w:szCs w:val="24"/>
          <w:highlight w:val="white"/>
        </w:rPr>
        <w:t xml:space="preserve">.). </w:t>
      </w:r>
      <w:r>
        <w:rPr>
          <w:rFonts w:ascii="Times" w:eastAsia="Times" w:hAnsi="Times" w:cs="Times"/>
          <w:i/>
          <w:sz w:val="24"/>
          <w:szCs w:val="24"/>
          <w:highlight w:val="white"/>
        </w:rPr>
        <w:t>A política pública como campo multidisciplinar</w:t>
      </w:r>
      <w:r>
        <w:rPr>
          <w:rFonts w:ascii="Times" w:eastAsia="Times" w:hAnsi="Times" w:cs="Times"/>
          <w:sz w:val="24"/>
          <w:szCs w:val="24"/>
          <w:highlight w:val="white"/>
        </w:rPr>
        <w:t>. São Paulo: Editora Unesp; Rio de Janeiro: Editora Fiocruz, p. 11-21, 2013.</w:t>
      </w:r>
    </w:p>
    <w:p w14:paraId="13AF2819" w14:textId="77777777" w:rsidR="0038530D" w:rsidRPr="002534DC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sz w:val="24"/>
          <w:szCs w:val="24"/>
          <w:highlight w:val="white"/>
          <w:lang w:val="en-US"/>
        </w:rPr>
      </w:pPr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 xml:space="preserve">Davidson-Hunt, I. L.; Berkes, F. Nature and society through the lens of resilience: toward a human-in-ecosystem perspective. </w:t>
      </w:r>
      <w:r w:rsidRPr="002534DC">
        <w:rPr>
          <w:rFonts w:ascii="Times" w:eastAsia="Times" w:hAnsi="Times" w:cs="Times"/>
          <w:i/>
          <w:sz w:val="24"/>
          <w:szCs w:val="24"/>
          <w:highlight w:val="white"/>
          <w:lang w:val="en-US"/>
        </w:rPr>
        <w:t>In</w:t>
      </w:r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 xml:space="preserve">: Berkes, F.; Colding, J.; Folke, C. (Eds.). </w:t>
      </w:r>
      <w:r w:rsidRPr="002534DC">
        <w:rPr>
          <w:rFonts w:ascii="Times" w:eastAsia="Times" w:hAnsi="Times" w:cs="Times"/>
          <w:i/>
          <w:sz w:val="24"/>
          <w:szCs w:val="24"/>
          <w:highlight w:val="white"/>
          <w:lang w:val="en-US"/>
        </w:rPr>
        <w:t>Navigating social-ecological systems</w:t>
      </w:r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 xml:space="preserve">: building resilience for complexity and change. Cambridge University Press, 2003. </w:t>
      </w:r>
      <w:proofErr w:type="gramStart"/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>p. 53</w:t>
      </w:r>
      <w:proofErr w:type="gramEnd"/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>-82.</w:t>
      </w:r>
    </w:p>
    <w:p w14:paraId="41A20B6B" w14:textId="77777777" w:rsidR="0038530D" w:rsidRPr="002534DC" w:rsidRDefault="0038530D">
      <w:pPr>
        <w:shd w:val="clear" w:color="auto" w:fill="FFFFFF"/>
        <w:spacing w:after="0" w:line="360" w:lineRule="auto"/>
        <w:rPr>
          <w:rFonts w:ascii="Times" w:eastAsia="Times" w:hAnsi="Times" w:cs="Times"/>
          <w:b/>
          <w:i/>
          <w:sz w:val="24"/>
          <w:szCs w:val="24"/>
          <w:highlight w:val="white"/>
          <w:lang w:val="en-US"/>
        </w:rPr>
      </w:pPr>
    </w:p>
    <w:p w14:paraId="009CD487" w14:textId="77777777" w:rsidR="0038530D" w:rsidRPr="002534DC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b/>
          <w:i/>
          <w:sz w:val="24"/>
          <w:szCs w:val="24"/>
          <w:highlight w:val="white"/>
          <w:lang w:val="en-US"/>
        </w:rPr>
      </w:pPr>
      <w:proofErr w:type="spellStart"/>
      <w:r w:rsidRPr="002534DC">
        <w:rPr>
          <w:rFonts w:ascii="Times" w:eastAsia="Times" w:hAnsi="Times" w:cs="Times"/>
          <w:b/>
          <w:i/>
          <w:sz w:val="24"/>
          <w:szCs w:val="24"/>
          <w:highlight w:val="white"/>
          <w:lang w:val="en-US"/>
        </w:rPr>
        <w:t>Artigos</w:t>
      </w:r>
      <w:proofErr w:type="spellEnd"/>
      <w:r w:rsidRPr="002534DC">
        <w:rPr>
          <w:rFonts w:ascii="Times" w:eastAsia="Times" w:hAnsi="Times" w:cs="Times"/>
          <w:b/>
          <w:i/>
          <w:sz w:val="24"/>
          <w:szCs w:val="24"/>
          <w:highlight w:val="white"/>
          <w:lang w:val="en-US"/>
        </w:rPr>
        <w:t xml:space="preserve"> de </w:t>
      </w:r>
      <w:proofErr w:type="spellStart"/>
      <w:r w:rsidRPr="002534DC">
        <w:rPr>
          <w:rFonts w:ascii="Times" w:eastAsia="Times" w:hAnsi="Times" w:cs="Times"/>
          <w:b/>
          <w:i/>
          <w:sz w:val="24"/>
          <w:szCs w:val="24"/>
          <w:highlight w:val="white"/>
          <w:lang w:val="en-US"/>
        </w:rPr>
        <w:t>periódico</w:t>
      </w:r>
      <w:proofErr w:type="spellEnd"/>
    </w:p>
    <w:p w14:paraId="1B91EB8E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sz w:val="24"/>
          <w:szCs w:val="24"/>
          <w:highlight w:val="white"/>
        </w:rPr>
      </w:pPr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lastRenderedPageBreak/>
        <w:t xml:space="preserve">Gadda, T. M. C.; </w:t>
      </w:r>
      <w:proofErr w:type="spellStart"/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>Marcotullio</w:t>
      </w:r>
      <w:proofErr w:type="spellEnd"/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 xml:space="preserve">, P. J. Changes in Marine Seafood Consumption in Tokyo, Japan. </w:t>
      </w:r>
      <w:r>
        <w:rPr>
          <w:rFonts w:ascii="Times" w:eastAsia="Times" w:hAnsi="Times" w:cs="Times"/>
          <w:i/>
          <w:sz w:val="24"/>
          <w:szCs w:val="24"/>
          <w:highlight w:val="white"/>
        </w:rPr>
        <w:t>Desenvolvimento e Meio Ambiente</w:t>
      </w:r>
      <w:r>
        <w:rPr>
          <w:rFonts w:ascii="Times" w:eastAsia="Times" w:hAnsi="Times" w:cs="Times"/>
          <w:sz w:val="24"/>
          <w:szCs w:val="24"/>
          <w:highlight w:val="white"/>
        </w:rPr>
        <w:t>, 26, 11-33, 2012. Disponível em: http://ojs.c3sl.ufpr.br/ojs2/index.php/made/article/view/26043/19669</w:t>
      </w:r>
    </w:p>
    <w:p w14:paraId="48065604" w14:textId="77777777" w:rsidR="0038530D" w:rsidRPr="002534DC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sz w:val="24"/>
          <w:szCs w:val="24"/>
          <w:highlight w:val="white"/>
          <w:lang w:val="en-US"/>
        </w:rPr>
      </w:pPr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 xml:space="preserve">Walker, P. A. Political ecology: where is </w:t>
      </w:r>
      <w:proofErr w:type="gramStart"/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>the politics</w:t>
      </w:r>
      <w:proofErr w:type="gramEnd"/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 xml:space="preserve">? </w:t>
      </w:r>
      <w:r w:rsidRPr="002534DC">
        <w:rPr>
          <w:rFonts w:ascii="Times" w:eastAsia="Times" w:hAnsi="Times" w:cs="Times"/>
          <w:i/>
          <w:sz w:val="24"/>
          <w:szCs w:val="24"/>
          <w:highlight w:val="white"/>
          <w:lang w:val="en-US"/>
        </w:rPr>
        <w:t>Progress in Human Geography</w:t>
      </w:r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 xml:space="preserve">, 31(3), 363-369, 2007. </w:t>
      </w:r>
      <w:proofErr w:type="spellStart"/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>doi</w:t>
      </w:r>
      <w:proofErr w:type="spellEnd"/>
      <w:r w:rsidRPr="002534DC">
        <w:rPr>
          <w:rFonts w:ascii="Times" w:eastAsia="Times" w:hAnsi="Times" w:cs="Times"/>
          <w:sz w:val="24"/>
          <w:szCs w:val="24"/>
          <w:highlight w:val="white"/>
          <w:lang w:val="en-US"/>
        </w:rPr>
        <w:t>: 10.1177/0309132507077086</w:t>
      </w:r>
    </w:p>
    <w:p w14:paraId="361EBBF8" w14:textId="77777777" w:rsidR="0038530D" w:rsidRPr="002534DC" w:rsidRDefault="0038530D">
      <w:pPr>
        <w:shd w:val="clear" w:color="auto" w:fill="FFFFFF"/>
        <w:spacing w:after="0" w:line="360" w:lineRule="auto"/>
        <w:rPr>
          <w:rFonts w:ascii="Times" w:eastAsia="Times" w:hAnsi="Times" w:cs="Times"/>
          <w:b/>
          <w:i/>
          <w:sz w:val="24"/>
          <w:szCs w:val="24"/>
          <w:highlight w:val="white"/>
          <w:lang w:val="en-US"/>
        </w:rPr>
      </w:pPr>
    </w:p>
    <w:p w14:paraId="541DF973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b/>
          <w:i/>
          <w:sz w:val="24"/>
          <w:szCs w:val="24"/>
          <w:highlight w:val="white"/>
        </w:rPr>
      </w:pPr>
      <w:r>
        <w:rPr>
          <w:rFonts w:ascii="Times" w:eastAsia="Times" w:hAnsi="Times" w:cs="Times"/>
          <w:b/>
          <w:i/>
          <w:sz w:val="24"/>
          <w:szCs w:val="24"/>
          <w:highlight w:val="white"/>
        </w:rPr>
        <w:t>Teses e Dissertações</w:t>
      </w:r>
    </w:p>
    <w:p w14:paraId="1CF7A13F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sz w:val="24"/>
          <w:szCs w:val="24"/>
          <w:highlight w:val="white"/>
        </w:rPr>
      </w:pPr>
      <w:r>
        <w:rPr>
          <w:rFonts w:ascii="Times" w:eastAsia="Times" w:hAnsi="Times" w:cs="Times"/>
          <w:sz w:val="24"/>
          <w:szCs w:val="24"/>
          <w:highlight w:val="white"/>
        </w:rPr>
        <w:t xml:space="preserve">Bitencourt, N. de L. </w:t>
      </w:r>
      <w:proofErr w:type="spellStart"/>
      <w:r>
        <w:rPr>
          <w:rFonts w:ascii="Times" w:eastAsia="Times" w:hAnsi="Times" w:cs="Times"/>
          <w:sz w:val="24"/>
          <w:szCs w:val="24"/>
          <w:highlight w:val="white"/>
        </w:rPr>
        <w:t>da</w:t>
      </w:r>
      <w:proofErr w:type="spellEnd"/>
      <w:r>
        <w:rPr>
          <w:rFonts w:ascii="Times" w:eastAsia="Times" w:hAnsi="Times" w:cs="Times"/>
          <w:sz w:val="24"/>
          <w:szCs w:val="24"/>
          <w:highlight w:val="white"/>
        </w:rPr>
        <w:t xml:space="preserve"> R. </w:t>
      </w:r>
      <w:r>
        <w:rPr>
          <w:rFonts w:ascii="Times" w:eastAsia="Times" w:hAnsi="Times" w:cs="Times"/>
          <w:i/>
          <w:sz w:val="24"/>
          <w:szCs w:val="24"/>
          <w:highlight w:val="white"/>
        </w:rPr>
        <w:t>A problemática da conservação ambiental dos terrenos de marinha</w:t>
      </w:r>
      <w:r>
        <w:rPr>
          <w:rFonts w:ascii="Times" w:eastAsia="Times" w:hAnsi="Times" w:cs="Times"/>
          <w:sz w:val="24"/>
          <w:szCs w:val="24"/>
          <w:highlight w:val="white"/>
        </w:rPr>
        <w:t>: o caso da Orla do Canal da Barra da Lagoa, Ilha de Santa Catarina, Brasil. Florianópolis, Tese (Doutorado em Geografia) – UFSC, 2005.</w:t>
      </w:r>
    </w:p>
    <w:p w14:paraId="62F1BA03" w14:textId="77777777" w:rsidR="0038530D" w:rsidRDefault="0038530D">
      <w:pPr>
        <w:shd w:val="clear" w:color="auto" w:fill="FFFFFF"/>
        <w:spacing w:after="0" w:line="360" w:lineRule="auto"/>
        <w:rPr>
          <w:rFonts w:ascii="Times" w:eastAsia="Times" w:hAnsi="Times" w:cs="Times"/>
          <w:b/>
          <w:i/>
          <w:sz w:val="24"/>
          <w:szCs w:val="24"/>
          <w:highlight w:val="white"/>
        </w:rPr>
      </w:pPr>
    </w:p>
    <w:p w14:paraId="6E79F3E8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b/>
          <w:i/>
          <w:sz w:val="24"/>
          <w:szCs w:val="24"/>
          <w:highlight w:val="white"/>
        </w:rPr>
      </w:pPr>
      <w:r>
        <w:rPr>
          <w:rFonts w:ascii="Times" w:eastAsia="Times" w:hAnsi="Times" w:cs="Times"/>
          <w:b/>
          <w:i/>
          <w:sz w:val="24"/>
          <w:szCs w:val="24"/>
          <w:highlight w:val="white"/>
        </w:rPr>
        <w:t>Documentos em formato eletrônico</w:t>
      </w:r>
    </w:p>
    <w:p w14:paraId="578EFDEC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sz w:val="24"/>
          <w:szCs w:val="24"/>
          <w:highlight w:val="white"/>
        </w:rPr>
      </w:pPr>
      <w:r>
        <w:rPr>
          <w:rFonts w:ascii="Times" w:eastAsia="Times" w:hAnsi="Times" w:cs="Times"/>
          <w:sz w:val="24"/>
          <w:szCs w:val="24"/>
          <w:highlight w:val="white"/>
        </w:rPr>
        <w:t xml:space="preserve">MCT – Ministério da Ciência e Tecnologia. </w:t>
      </w:r>
      <w:r>
        <w:rPr>
          <w:rFonts w:ascii="Times" w:eastAsia="Times" w:hAnsi="Times" w:cs="Times"/>
          <w:i/>
          <w:sz w:val="24"/>
          <w:szCs w:val="24"/>
          <w:highlight w:val="white"/>
        </w:rPr>
        <w:t>Status atual das atividades de projeto no âmbito do Mecanismo de Desenvolvimento Limpo (MDL) no Brasil e no mundo</w:t>
      </w:r>
      <w:r>
        <w:rPr>
          <w:rFonts w:ascii="Times" w:eastAsia="Times" w:hAnsi="Times" w:cs="Times"/>
          <w:sz w:val="24"/>
          <w:szCs w:val="24"/>
          <w:highlight w:val="white"/>
        </w:rPr>
        <w:t>, 2007. Disponível em: &lt;www.mct.gov.br/</w:t>
      </w:r>
      <w:proofErr w:type="spellStart"/>
      <w:r>
        <w:rPr>
          <w:rFonts w:ascii="Times" w:eastAsia="Times" w:hAnsi="Times" w:cs="Times"/>
          <w:sz w:val="24"/>
          <w:szCs w:val="24"/>
          <w:highlight w:val="white"/>
        </w:rPr>
        <w:t>upd_blob</w:t>
      </w:r>
      <w:proofErr w:type="spellEnd"/>
      <w:r>
        <w:rPr>
          <w:rFonts w:ascii="Times" w:eastAsia="Times" w:hAnsi="Times" w:cs="Times"/>
          <w:sz w:val="24"/>
          <w:szCs w:val="24"/>
          <w:highlight w:val="white"/>
        </w:rPr>
        <w:t>/7844.pdf&gt;. Acesso em: jan. 2008.</w:t>
      </w:r>
    </w:p>
    <w:p w14:paraId="23B01D47" w14:textId="77777777" w:rsidR="0038530D" w:rsidRDefault="0038530D">
      <w:pPr>
        <w:shd w:val="clear" w:color="auto" w:fill="FFFFFF"/>
        <w:spacing w:after="0" w:line="360" w:lineRule="auto"/>
        <w:rPr>
          <w:rFonts w:ascii="Times" w:eastAsia="Times" w:hAnsi="Times" w:cs="Times"/>
          <w:b/>
          <w:i/>
          <w:sz w:val="24"/>
          <w:szCs w:val="24"/>
          <w:highlight w:val="white"/>
        </w:rPr>
      </w:pPr>
    </w:p>
    <w:p w14:paraId="365FFEC4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b/>
          <w:i/>
          <w:sz w:val="24"/>
          <w:szCs w:val="24"/>
          <w:highlight w:val="white"/>
        </w:rPr>
      </w:pPr>
      <w:r>
        <w:rPr>
          <w:rFonts w:ascii="Times" w:eastAsia="Times" w:hAnsi="Times" w:cs="Times"/>
          <w:b/>
          <w:i/>
          <w:sz w:val="24"/>
          <w:szCs w:val="24"/>
          <w:highlight w:val="white"/>
        </w:rPr>
        <w:t>Constituição, Leis, Decretos e Resoluções</w:t>
      </w:r>
    </w:p>
    <w:p w14:paraId="1BBD741B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sz w:val="24"/>
          <w:szCs w:val="24"/>
          <w:highlight w:val="white"/>
        </w:rPr>
      </w:pPr>
      <w:r>
        <w:rPr>
          <w:rFonts w:ascii="Times" w:eastAsia="Times" w:hAnsi="Times" w:cs="Times"/>
          <w:sz w:val="24"/>
          <w:szCs w:val="24"/>
          <w:highlight w:val="white"/>
        </w:rPr>
        <w:t xml:space="preserve">Brasil. </w:t>
      </w:r>
      <w:r>
        <w:rPr>
          <w:rFonts w:ascii="Times" w:eastAsia="Times" w:hAnsi="Times" w:cs="Times"/>
          <w:i/>
          <w:sz w:val="24"/>
          <w:szCs w:val="24"/>
          <w:highlight w:val="white"/>
        </w:rPr>
        <w:t>Constituição da República Federativa do Brasil, de 5 de outubro de 1988</w:t>
      </w:r>
      <w:r>
        <w:rPr>
          <w:rFonts w:ascii="Times" w:eastAsia="Times" w:hAnsi="Times" w:cs="Times"/>
          <w:sz w:val="24"/>
          <w:szCs w:val="24"/>
          <w:highlight w:val="white"/>
        </w:rPr>
        <w:t xml:space="preserve">. 11. ed. São Paulo, </w:t>
      </w:r>
      <w:proofErr w:type="spellStart"/>
      <w:r>
        <w:rPr>
          <w:rFonts w:ascii="Times" w:eastAsia="Times" w:hAnsi="Times" w:cs="Times"/>
          <w:sz w:val="24"/>
          <w:szCs w:val="24"/>
          <w:highlight w:val="white"/>
        </w:rPr>
        <w:t>Atlasm</w:t>
      </w:r>
      <w:proofErr w:type="spellEnd"/>
      <w:r>
        <w:rPr>
          <w:rFonts w:ascii="Times" w:eastAsia="Times" w:hAnsi="Times" w:cs="Times"/>
          <w:sz w:val="24"/>
          <w:szCs w:val="24"/>
          <w:highlight w:val="white"/>
        </w:rPr>
        <w:t xml:space="preserve"> 1998.</w:t>
      </w:r>
    </w:p>
    <w:p w14:paraId="4E1BED8D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sz w:val="24"/>
          <w:szCs w:val="24"/>
          <w:highlight w:val="white"/>
        </w:rPr>
      </w:pPr>
      <w:r>
        <w:rPr>
          <w:rFonts w:ascii="Times" w:eastAsia="Times" w:hAnsi="Times" w:cs="Times"/>
          <w:sz w:val="24"/>
          <w:szCs w:val="24"/>
          <w:highlight w:val="white"/>
        </w:rPr>
        <w:t xml:space="preserve">Brasil. </w:t>
      </w:r>
      <w:r>
        <w:rPr>
          <w:rFonts w:ascii="Times" w:eastAsia="Times" w:hAnsi="Times" w:cs="Times"/>
          <w:i/>
          <w:sz w:val="24"/>
          <w:szCs w:val="24"/>
          <w:highlight w:val="white"/>
        </w:rPr>
        <w:t xml:space="preserve">Lei </w:t>
      </w:r>
      <w:proofErr w:type="spellStart"/>
      <w:r>
        <w:rPr>
          <w:rFonts w:ascii="Times" w:eastAsia="Times" w:hAnsi="Times" w:cs="Times"/>
          <w:i/>
          <w:sz w:val="24"/>
          <w:szCs w:val="24"/>
          <w:highlight w:val="white"/>
        </w:rPr>
        <w:t>n.°</w:t>
      </w:r>
      <w:proofErr w:type="spellEnd"/>
      <w:r>
        <w:rPr>
          <w:rFonts w:ascii="Times" w:eastAsia="Times" w:hAnsi="Times" w:cs="Times"/>
          <w:i/>
          <w:sz w:val="24"/>
          <w:szCs w:val="24"/>
          <w:highlight w:val="white"/>
        </w:rPr>
        <w:t xml:space="preserve"> 10.406, de 10 de janeiro de 2002</w:t>
      </w:r>
      <w:r>
        <w:rPr>
          <w:rFonts w:ascii="Times" w:eastAsia="Times" w:hAnsi="Times" w:cs="Times"/>
          <w:sz w:val="24"/>
          <w:szCs w:val="24"/>
          <w:highlight w:val="white"/>
        </w:rPr>
        <w:t>. Institui o Código Civil. Brasília: DOU de 11/1/2002.</w:t>
      </w:r>
    </w:p>
    <w:p w14:paraId="2075077A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sz w:val="24"/>
          <w:szCs w:val="24"/>
          <w:highlight w:val="white"/>
        </w:rPr>
      </w:pPr>
      <w:r>
        <w:rPr>
          <w:rFonts w:ascii="Times" w:eastAsia="Times" w:hAnsi="Times" w:cs="Times"/>
          <w:sz w:val="24"/>
          <w:szCs w:val="24"/>
          <w:highlight w:val="white"/>
        </w:rPr>
        <w:t xml:space="preserve">Brasil. </w:t>
      </w:r>
      <w:r>
        <w:rPr>
          <w:rFonts w:ascii="Times" w:eastAsia="Times" w:hAnsi="Times" w:cs="Times"/>
          <w:i/>
          <w:sz w:val="24"/>
          <w:szCs w:val="24"/>
          <w:highlight w:val="white"/>
        </w:rPr>
        <w:t xml:space="preserve">Decreto </w:t>
      </w:r>
      <w:proofErr w:type="spellStart"/>
      <w:r>
        <w:rPr>
          <w:rFonts w:ascii="Times" w:eastAsia="Times" w:hAnsi="Times" w:cs="Times"/>
          <w:i/>
          <w:sz w:val="24"/>
          <w:szCs w:val="24"/>
          <w:highlight w:val="white"/>
        </w:rPr>
        <w:t>n.°</w:t>
      </w:r>
      <w:proofErr w:type="spellEnd"/>
      <w:r>
        <w:rPr>
          <w:rFonts w:ascii="Times" w:eastAsia="Times" w:hAnsi="Times" w:cs="Times"/>
          <w:i/>
          <w:sz w:val="24"/>
          <w:szCs w:val="24"/>
          <w:highlight w:val="white"/>
        </w:rPr>
        <w:t xml:space="preserve"> 5.300, de 7 de dezembro de 2004</w:t>
      </w:r>
      <w:r>
        <w:rPr>
          <w:rFonts w:ascii="Times" w:eastAsia="Times" w:hAnsi="Times" w:cs="Times"/>
          <w:sz w:val="24"/>
          <w:szCs w:val="24"/>
          <w:highlight w:val="white"/>
        </w:rPr>
        <w:t xml:space="preserve">. Regulamenta a Lei </w:t>
      </w:r>
      <w:proofErr w:type="spellStart"/>
      <w:r>
        <w:rPr>
          <w:rFonts w:ascii="Times" w:eastAsia="Times" w:hAnsi="Times" w:cs="Times"/>
          <w:sz w:val="24"/>
          <w:szCs w:val="24"/>
          <w:highlight w:val="white"/>
        </w:rPr>
        <w:t>n.°</w:t>
      </w:r>
      <w:proofErr w:type="spellEnd"/>
      <w:r>
        <w:rPr>
          <w:rFonts w:ascii="Times" w:eastAsia="Times" w:hAnsi="Times" w:cs="Times"/>
          <w:sz w:val="24"/>
          <w:szCs w:val="24"/>
          <w:highlight w:val="white"/>
        </w:rPr>
        <w:t xml:space="preserve"> 7.661, de 16 de maio de 1988, que institui o Plano Nacional de Gerenciamento Costeiro – PNGC, dispõe sobre regras de uso e ocupação da zona costeira e estabelece critérios de gestão da orla marítima, e dá outras providências. Brasília: DOU de 8/12/2004.</w:t>
      </w:r>
    </w:p>
    <w:p w14:paraId="44AC9136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sz w:val="24"/>
          <w:szCs w:val="24"/>
          <w:highlight w:val="white"/>
        </w:rPr>
      </w:pPr>
      <w:r>
        <w:rPr>
          <w:rFonts w:ascii="Times" w:eastAsia="Times" w:hAnsi="Times" w:cs="Times"/>
          <w:sz w:val="24"/>
          <w:szCs w:val="24"/>
          <w:highlight w:val="white"/>
        </w:rPr>
        <w:t xml:space="preserve">CONAMA – Conselho Nacional do Meio Ambiente. </w:t>
      </w:r>
      <w:r>
        <w:rPr>
          <w:rFonts w:ascii="Times" w:eastAsia="Times" w:hAnsi="Times" w:cs="Times"/>
          <w:i/>
          <w:sz w:val="24"/>
          <w:szCs w:val="24"/>
          <w:highlight w:val="white"/>
        </w:rPr>
        <w:t xml:space="preserve">Resolução </w:t>
      </w:r>
      <w:proofErr w:type="spellStart"/>
      <w:r>
        <w:rPr>
          <w:rFonts w:ascii="Times" w:eastAsia="Times" w:hAnsi="Times" w:cs="Times"/>
          <w:i/>
          <w:sz w:val="24"/>
          <w:szCs w:val="24"/>
          <w:highlight w:val="white"/>
        </w:rPr>
        <w:t>n.°</w:t>
      </w:r>
      <w:proofErr w:type="spellEnd"/>
      <w:r>
        <w:rPr>
          <w:rFonts w:ascii="Times" w:eastAsia="Times" w:hAnsi="Times" w:cs="Times"/>
          <w:i/>
          <w:sz w:val="24"/>
          <w:szCs w:val="24"/>
          <w:highlight w:val="white"/>
        </w:rPr>
        <w:t xml:space="preserve"> 004, de 18 de setembro de 1985</w:t>
      </w:r>
      <w:r>
        <w:rPr>
          <w:rFonts w:ascii="Times" w:eastAsia="Times" w:hAnsi="Times" w:cs="Times"/>
          <w:sz w:val="24"/>
          <w:szCs w:val="24"/>
          <w:highlight w:val="white"/>
        </w:rPr>
        <w:t>. Brasília: DOU de 20/1/1986.</w:t>
      </w:r>
    </w:p>
    <w:p w14:paraId="2B4B9FCE" w14:textId="77777777" w:rsidR="0038530D" w:rsidRDefault="0038530D">
      <w:pPr>
        <w:shd w:val="clear" w:color="auto" w:fill="FFFFFF"/>
        <w:spacing w:after="0" w:line="360" w:lineRule="auto"/>
        <w:rPr>
          <w:rFonts w:ascii="Times" w:eastAsia="Times" w:hAnsi="Times" w:cs="Times"/>
          <w:b/>
          <w:i/>
          <w:sz w:val="24"/>
          <w:szCs w:val="24"/>
          <w:highlight w:val="white"/>
        </w:rPr>
      </w:pPr>
    </w:p>
    <w:p w14:paraId="0F3E7DDA" w14:textId="77777777" w:rsidR="0038530D" w:rsidRDefault="00020034">
      <w:pPr>
        <w:shd w:val="clear" w:color="auto" w:fill="FFFFFF"/>
        <w:spacing w:after="0" w:line="360" w:lineRule="auto"/>
        <w:rPr>
          <w:rFonts w:ascii="Times" w:eastAsia="Times" w:hAnsi="Times" w:cs="Times"/>
          <w:b/>
          <w:i/>
          <w:sz w:val="24"/>
          <w:szCs w:val="24"/>
          <w:highlight w:val="white"/>
        </w:rPr>
      </w:pPr>
      <w:r>
        <w:rPr>
          <w:rFonts w:ascii="Times" w:eastAsia="Times" w:hAnsi="Times" w:cs="Times"/>
          <w:b/>
          <w:i/>
          <w:sz w:val="24"/>
          <w:szCs w:val="24"/>
          <w:highlight w:val="white"/>
        </w:rPr>
        <w:t>Trabalhos em anais de congresso</w:t>
      </w:r>
    </w:p>
    <w:p w14:paraId="6B6EC9C4" w14:textId="77777777" w:rsidR="0038530D" w:rsidRDefault="000200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" w:eastAsia="Times" w:hAnsi="Times" w:cs="Times"/>
          <w:sz w:val="24"/>
          <w:szCs w:val="24"/>
          <w:highlight w:val="white"/>
        </w:rPr>
        <w:t xml:space="preserve">Moura, R.; </w:t>
      </w:r>
      <w:proofErr w:type="spellStart"/>
      <w:r>
        <w:rPr>
          <w:rFonts w:ascii="Times" w:eastAsia="Times" w:hAnsi="Times" w:cs="Times"/>
          <w:sz w:val="24"/>
          <w:szCs w:val="24"/>
          <w:highlight w:val="white"/>
        </w:rPr>
        <w:t>Kleinke</w:t>
      </w:r>
      <w:proofErr w:type="spellEnd"/>
      <w:r>
        <w:rPr>
          <w:rFonts w:ascii="Times" w:eastAsia="Times" w:hAnsi="Times" w:cs="Times"/>
          <w:sz w:val="24"/>
          <w:szCs w:val="24"/>
          <w:highlight w:val="white"/>
        </w:rPr>
        <w:t xml:space="preserve">, M. de L. U. Espacialidades e institucionalidades: uma leitura do arranjo </w:t>
      </w:r>
      <w:proofErr w:type="spellStart"/>
      <w:proofErr w:type="gramStart"/>
      <w:r>
        <w:rPr>
          <w:rFonts w:ascii="Times" w:eastAsia="Times" w:hAnsi="Times" w:cs="Times"/>
          <w:sz w:val="24"/>
          <w:szCs w:val="24"/>
          <w:highlight w:val="white"/>
        </w:rPr>
        <w:t>sócio-espacial</w:t>
      </w:r>
      <w:proofErr w:type="spellEnd"/>
      <w:proofErr w:type="gramEnd"/>
      <w:r>
        <w:rPr>
          <w:rFonts w:ascii="Times" w:eastAsia="Times" w:hAnsi="Times" w:cs="Times"/>
          <w:sz w:val="24"/>
          <w:szCs w:val="24"/>
          <w:highlight w:val="white"/>
        </w:rPr>
        <w:t xml:space="preserve"> e do modelo de gestão das regiões metropolitanas do sul do Brasil. </w:t>
      </w:r>
      <w:r>
        <w:rPr>
          <w:rFonts w:ascii="Times" w:eastAsia="Times" w:hAnsi="Times" w:cs="Times"/>
          <w:i/>
          <w:sz w:val="24"/>
          <w:szCs w:val="24"/>
          <w:highlight w:val="white"/>
        </w:rPr>
        <w:t>In</w:t>
      </w:r>
      <w:r>
        <w:rPr>
          <w:rFonts w:ascii="Times" w:eastAsia="Times" w:hAnsi="Times" w:cs="Times"/>
          <w:sz w:val="24"/>
          <w:szCs w:val="24"/>
          <w:highlight w:val="white"/>
        </w:rPr>
        <w:t xml:space="preserve">: </w:t>
      </w:r>
      <w:r>
        <w:rPr>
          <w:rFonts w:ascii="Times" w:eastAsia="Times" w:hAnsi="Times" w:cs="Times"/>
          <w:i/>
          <w:sz w:val="24"/>
          <w:szCs w:val="24"/>
          <w:highlight w:val="white"/>
        </w:rPr>
        <w:t>Anais do Encontro Anual da ANPOCS</w:t>
      </w:r>
      <w:r>
        <w:rPr>
          <w:rFonts w:ascii="Times" w:eastAsia="Times" w:hAnsi="Times" w:cs="Times"/>
          <w:sz w:val="24"/>
          <w:szCs w:val="24"/>
          <w:highlight w:val="white"/>
        </w:rPr>
        <w:t>. Petrópolis, 24 de out., 2000.</w:t>
      </w:r>
    </w:p>
    <w:sectPr w:rsidR="003853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0EBC9" w14:textId="77777777" w:rsidR="0030138E" w:rsidRDefault="0030138E">
      <w:pPr>
        <w:spacing w:after="0" w:line="240" w:lineRule="auto"/>
      </w:pPr>
      <w:r>
        <w:separator/>
      </w:r>
    </w:p>
  </w:endnote>
  <w:endnote w:type="continuationSeparator" w:id="0">
    <w:p w14:paraId="3EDC88CE" w14:textId="77777777" w:rsidR="0030138E" w:rsidRDefault="00301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214D666-9E94-4F72-A044-E36BDD43A422}"/>
    <w:embedItalic r:id="rId2" w:fontKey="{6E251AB5-C039-4ECD-9F89-770E34187E3E}"/>
  </w:font>
  <w:font w:name="Play">
    <w:charset w:val="00"/>
    <w:family w:val="auto"/>
    <w:pitch w:val="default"/>
    <w:embedRegular r:id="rId3" w:fontKey="{E1CFE79F-8CCD-4A0E-AD16-80145F6A610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8329F1A-708F-4A5D-92EC-DCC4DC0BCEE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C3BB10B-A8BE-4EBA-8A26-1B9EDCB9707D}"/>
    <w:embedBold r:id="rId6" w:fontKey="{EA007221-6B1B-41EE-BBE0-404680AA5AE4}"/>
    <w:embedItalic r:id="rId7" w:fontKey="{183847DB-15FE-4AAE-A6CA-486D8A1FB893}"/>
    <w:embedBoldItalic r:id="rId8" w:fontKey="{6954F7EB-1FE8-46E4-9E28-73D99124AD46}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  <w:embedRegular r:id="rId9" w:fontKey="{8C038D71-774F-47E5-A311-88759DE84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EAE96" w14:textId="77777777" w:rsidR="009A1A24" w:rsidRDefault="009A1A2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97DD4" w14:textId="77777777" w:rsidR="0038530D" w:rsidRDefault="000200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534DC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2393C" w14:textId="77777777" w:rsidR="009A1A24" w:rsidRDefault="009A1A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FE9A5" w14:textId="77777777" w:rsidR="0030138E" w:rsidRDefault="0030138E">
      <w:pPr>
        <w:spacing w:after="0" w:line="240" w:lineRule="auto"/>
      </w:pPr>
      <w:r>
        <w:separator/>
      </w:r>
    </w:p>
  </w:footnote>
  <w:footnote w:type="continuationSeparator" w:id="0">
    <w:p w14:paraId="0DB59566" w14:textId="77777777" w:rsidR="0030138E" w:rsidRDefault="00301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9EDC6" w14:textId="77777777" w:rsidR="009A1A24" w:rsidRDefault="009A1A2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393D0" w14:textId="7BCC7497" w:rsidR="008C6F74" w:rsidRPr="008C6F74" w:rsidRDefault="008C6F74" w:rsidP="008C6F7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bookmarkStart w:id="0" w:name="_Hlk208501442"/>
    <w:r w:rsidRPr="008C6F74">
      <w:rPr>
        <w:noProof/>
        <w:color w:val="000000"/>
      </w:rPr>
      <w:drawing>
        <wp:inline distT="0" distB="0" distL="0" distR="0" wp14:anchorId="12F3A668" wp14:editId="2856E7CA">
          <wp:extent cx="2019300" cy="262932"/>
          <wp:effectExtent l="0" t="0" r="0" b="3810"/>
          <wp:docPr id="52170235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669" cy="279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B520F5" w14:textId="01AD7E6E" w:rsidR="0038530D" w:rsidRPr="002534DC" w:rsidRDefault="002534DC" w:rsidP="002534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Inter" w:hAnsi="Inter"/>
        <w:color w:val="000000"/>
        <w:sz w:val="18"/>
        <w:szCs w:val="18"/>
      </w:rPr>
    </w:pPr>
    <w:r w:rsidRPr="002534DC">
      <w:rPr>
        <w:rFonts w:ascii="Inter" w:hAnsi="Inter"/>
        <w:color w:val="000000"/>
        <w:sz w:val="18"/>
        <w:szCs w:val="18"/>
      </w:rPr>
      <w:t>30 e 31 de outubro 2025</w:t>
    </w:r>
  </w:p>
  <w:p w14:paraId="3231E3E6" w14:textId="04841D4E" w:rsidR="002534DC" w:rsidRDefault="002534DC" w:rsidP="002534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Inter" w:hAnsi="Inter"/>
        <w:color w:val="000000"/>
        <w:sz w:val="18"/>
        <w:szCs w:val="18"/>
      </w:rPr>
    </w:pPr>
    <w:r w:rsidRPr="002534DC">
      <w:rPr>
        <w:rFonts w:ascii="Inter" w:hAnsi="Inter"/>
        <w:color w:val="000000"/>
        <w:sz w:val="18"/>
        <w:szCs w:val="18"/>
      </w:rPr>
      <w:t>Recife/PE</w:t>
    </w:r>
  </w:p>
  <w:bookmarkEnd w:id="0"/>
  <w:p w14:paraId="16A638FE" w14:textId="77777777" w:rsidR="002534DC" w:rsidRPr="002534DC" w:rsidRDefault="002534DC" w:rsidP="002534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Inter" w:hAnsi="Inter"/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72DE8" w14:textId="77777777" w:rsidR="009A1A24" w:rsidRDefault="009A1A2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036C4C"/>
    <w:multiLevelType w:val="multilevel"/>
    <w:tmpl w:val="F2C2C3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76372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30D"/>
    <w:rsid w:val="00020034"/>
    <w:rsid w:val="002534DC"/>
    <w:rsid w:val="0030138E"/>
    <w:rsid w:val="0038530D"/>
    <w:rsid w:val="00416817"/>
    <w:rsid w:val="008C6F74"/>
    <w:rsid w:val="009A1A24"/>
    <w:rsid w:val="009F0AE8"/>
    <w:rsid w:val="00BE70CA"/>
    <w:rsid w:val="00C25019"/>
    <w:rsid w:val="00E5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813D2E"/>
  <w15:docId w15:val="{E61E37CC-36D6-4C17-A33D-D6754187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E6F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E6F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E6F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3E6F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3E6F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3E6F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3E6F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3E6F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3E6F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E6F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E6F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E6F05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3E6F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3E6F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E6F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E6F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E6F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E6F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E6F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E6F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E6F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6A6F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6F9A"/>
  </w:style>
  <w:style w:type="paragraph" w:styleId="Rodap">
    <w:name w:val="footer"/>
    <w:basedOn w:val="Normal"/>
    <w:link w:val="RodapChar"/>
    <w:uiPriority w:val="99"/>
    <w:unhideWhenUsed/>
    <w:rsid w:val="006A6F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6F9A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brzv9ayAjXWWtSqk8I7x93bDGg==">CgMxLjA4AHIhMTBKZ2l0ZWw1bklLZEJwaW9yUmh4R2lOeUhfZzJKaDd2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1317</Words>
  <Characters>7117</Characters>
  <Application>Microsoft Office Word</Application>
  <DocSecurity>0</DocSecurity>
  <Lines>59</Lines>
  <Paragraphs>16</Paragraphs>
  <ScaleCrop>false</ScaleCrop>
  <Company/>
  <LinksUpToDate>false</LinksUpToDate>
  <CharactersWithSpaces>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Observatorio Caatinga</dc:creator>
  <cp:lastModifiedBy>Observatorio Caatinga</cp:lastModifiedBy>
  <cp:revision>3</cp:revision>
  <cp:lastPrinted>2025-09-11T19:47:00Z</cp:lastPrinted>
  <dcterms:created xsi:type="dcterms:W3CDTF">2025-09-18T19:43:00Z</dcterms:created>
  <dcterms:modified xsi:type="dcterms:W3CDTF">2025-09-18T20:08:00Z</dcterms:modified>
</cp:coreProperties>
</file>