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35D1" w14:textId="77777777" w:rsidR="008F4AFF" w:rsidRPr="00D77B3B" w:rsidRDefault="008F4AFF" w:rsidP="008F4AFF">
      <w:pPr>
        <w:spacing w:line="240" w:lineRule="auto"/>
        <w:jc w:val="center"/>
        <w:outlineLvl w:val="0"/>
        <w:rPr>
          <w:b/>
          <w:szCs w:val="22"/>
        </w:rPr>
      </w:pPr>
      <w:r w:rsidRPr="00D77B3B">
        <w:rPr>
          <w:b/>
        </w:rPr>
        <w:t>RÉSUMÉ DES CARACTÉRISTIQUES DU PRODUIT</w:t>
      </w:r>
    </w:p>
    <w:p w14:paraId="79CA5CB5" w14:textId="77777777" w:rsidR="004C60BE" w:rsidRDefault="004C60BE" w:rsidP="008F4AFF">
      <w:pPr>
        <w:spacing w:line="240" w:lineRule="auto"/>
      </w:pPr>
    </w:p>
    <w:p w14:paraId="63537507" w14:textId="77777777" w:rsidR="004C60BE" w:rsidRDefault="004C60BE" w:rsidP="008F4AFF">
      <w:pPr>
        <w:spacing w:line="240" w:lineRule="auto"/>
      </w:pPr>
    </w:p>
    <w:p w14:paraId="13BD6F54" w14:textId="77777777" w:rsidR="004C60BE" w:rsidRDefault="004C60BE" w:rsidP="008F4AFF">
      <w:pPr>
        <w:spacing w:line="240" w:lineRule="auto"/>
      </w:pPr>
    </w:p>
    <w:p w14:paraId="6CEC6A37" w14:textId="09115A85" w:rsidR="008F4AFF" w:rsidRPr="00D77B3B" w:rsidRDefault="008F4AFF" w:rsidP="008F4AFF">
      <w:pPr>
        <w:spacing w:line="240" w:lineRule="auto"/>
        <w:rPr>
          <w:szCs w:val="22"/>
        </w:rPr>
      </w:pPr>
      <w:r w:rsidRPr="00D77B3B">
        <w:rPr>
          <w:noProof/>
          <w:szCs w:val="22"/>
          <w:lang w:bidi="ar-SA"/>
        </w:rPr>
        <w:drawing>
          <wp:inline distT="0" distB="0" distL="0" distR="0" wp14:anchorId="646AEA22" wp14:editId="74A4FDA1">
            <wp:extent cx="197485" cy="160655"/>
            <wp:effectExtent l="0" t="0" r="0" b="0"/>
            <wp:docPr id="1" name="Bild 1" descr="BT_1000x85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503463" name="Bild 1" descr="BT_1000x858px"/>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7485" cy="160655"/>
                    </a:xfrm>
                    <a:prstGeom prst="rect">
                      <a:avLst/>
                    </a:prstGeom>
                    <a:noFill/>
                    <a:ln>
                      <a:noFill/>
                    </a:ln>
                  </pic:spPr>
                </pic:pic>
              </a:graphicData>
            </a:graphic>
          </wp:inline>
        </w:drawing>
      </w:r>
      <w:r w:rsidRPr="00D77B3B">
        <w:t>Ce médicament fait l’objet d’une surveillance supplémentaire qui permettra l’identification rapide de nouvelles informations relatives à la sécurité. Les professionnels de la santé déclarent tout effet indésirable suspecté. Voir rubrique 4.8 pour les modalités de déclaration des effets indésirables.</w:t>
      </w:r>
    </w:p>
    <w:p w14:paraId="44B3B146" w14:textId="77777777" w:rsidR="008F4AFF" w:rsidRPr="00D77B3B" w:rsidRDefault="008F4AFF" w:rsidP="008F4AFF">
      <w:pPr>
        <w:spacing w:line="240" w:lineRule="auto"/>
        <w:rPr>
          <w:szCs w:val="22"/>
        </w:rPr>
      </w:pPr>
    </w:p>
    <w:p w14:paraId="3CA4967C" w14:textId="77777777" w:rsidR="008F4AFF" w:rsidRPr="00D77B3B" w:rsidRDefault="008F4AFF" w:rsidP="008F4AFF">
      <w:pPr>
        <w:spacing w:line="240" w:lineRule="auto"/>
        <w:rPr>
          <w:szCs w:val="22"/>
        </w:rPr>
      </w:pPr>
    </w:p>
    <w:p w14:paraId="112DD48A" w14:textId="77777777" w:rsidR="008F4AFF" w:rsidRPr="00D77B3B" w:rsidRDefault="008F4AFF" w:rsidP="008F4AFF">
      <w:pPr>
        <w:spacing w:line="240" w:lineRule="auto"/>
        <w:ind w:left="567" w:hanging="567"/>
        <w:outlineLvl w:val="0"/>
        <w:rPr>
          <w:b/>
          <w:noProof/>
          <w:szCs w:val="22"/>
        </w:rPr>
      </w:pPr>
      <w:r w:rsidRPr="00D77B3B">
        <w:rPr>
          <w:b/>
          <w:noProof/>
        </w:rPr>
        <w:t>1.</w:t>
      </w:r>
      <w:r w:rsidRPr="00D77B3B">
        <w:tab/>
      </w:r>
      <w:r w:rsidRPr="00D77B3B">
        <w:rPr>
          <w:b/>
          <w:noProof/>
        </w:rPr>
        <w:t>DÉNOMINATION DU MÉDICAMENT</w:t>
      </w:r>
    </w:p>
    <w:p w14:paraId="263F5C2B" w14:textId="77777777" w:rsidR="008F4AFF" w:rsidRPr="00D77B3B" w:rsidRDefault="008F4AFF" w:rsidP="008F4AFF">
      <w:pPr>
        <w:spacing w:line="240" w:lineRule="auto"/>
        <w:rPr>
          <w:iCs/>
          <w:noProof/>
          <w:szCs w:val="22"/>
        </w:rPr>
      </w:pPr>
    </w:p>
    <w:p w14:paraId="67BFB3A3" w14:textId="116A293E" w:rsidR="008F4AFF" w:rsidRPr="00D77B3B" w:rsidRDefault="008737C6" w:rsidP="008F4AFF">
      <w:pPr>
        <w:widowControl w:val="0"/>
        <w:spacing w:line="240" w:lineRule="auto"/>
        <w:rPr>
          <w:noProof/>
          <w:szCs w:val="22"/>
        </w:rPr>
      </w:pPr>
      <w:proofErr w:type="spellStart"/>
      <w:r>
        <w:t>Qarziba</w:t>
      </w:r>
      <w:proofErr w:type="spellEnd"/>
      <w:r w:rsidR="008F4AFF" w:rsidRPr="00D77B3B">
        <w:t xml:space="preserve"> 4,5 mg/</w:t>
      </w:r>
      <w:r w:rsidR="001A084D">
        <w:t xml:space="preserve"> ml</w:t>
      </w:r>
      <w:r w:rsidR="008F4AFF" w:rsidRPr="00D77B3B">
        <w:t xml:space="preserve"> solution à diluer pour perfusion.</w:t>
      </w:r>
    </w:p>
    <w:p w14:paraId="405B6223" w14:textId="77777777" w:rsidR="008F4AFF" w:rsidRPr="00D77B3B" w:rsidRDefault="008F4AFF" w:rsidP="008F4AFF">
      <w:pPr>
        <w:spacing w:line="240" w:lineRule="auto"/>
        <w:rPr>
          <w:iCs/>
          <w:noProof/>
          <w:szCs w:val="22"/>
        </w:rPr>
      </w:pPr>
    </w:p>
    <w:p w14:paraId="0CD09E1A" w14:textId="77777777" w:rsidR="008F4AFF" w:rsidRPr="00D77B3B" w:rsidRDefault="008F4AFF" w:rsidP="008F4AFF">
      <w:pPr>
        <w:spacing w:line="240" w:lineRule="auto"/>
        <w:rPr>
          <w:iCs/>
          <w:noProof/>
          <w:szCs w:val="22"/>
        </w:rPr>
      </w:pPr>
    </w:p>
    <w:p w14:paraId="3A4E0690" w14:textId="77777777" w:rsidR="008F4AFF" w:rsidRPr="00D77B3B" w:rsidRDefault="008F4AFF" w:rsidP="008F4AFF">
      <w:pPr>
        <w:spacing w:line="240" w:lineRule="auto"/>
        <w:ind w:left="567" w:hanging="567"/>
        <w:outlineLvl w:val="0"/>
        <w:rPr>
          <w:b/>
          <w:noProof/>
          <w:szCs w:val="22"/>
        </w:rPr>
      </w:pPr>
      <w:r w:rsidRPr="00D77B3B">
        <w:rPr>
          <w:b/>
          <w:noProof/>
        </w:rPr>
        <w:t>2.</w:t>
      </w:r>
      <w:r w:rsidRPr="00D77B3B">
        <w:tab/>
      </w:r>
      <w:r w:rsidRPr="00D77B3B">
        <w:rPr>
          <w:b/>
          <w:noProof/>
        </w:rPr>
        <w:t>COMPOSITION QUALITATIVE ET QUANTITATIVE</w:t>
      </w:r>
    </w:p>
    <w:p w14:paraId="5E5EA837" w14:textId="77777777" w:rsidR="008F4AFF" w:rsidRPr="00D77B3B" w:rsidRDefault="008F4AFF" w:rsidP="008F4AFF">
      <w:pPr>
        <w:spacing w:line="240" w:lineRule="auto"/>
        <w:rPr>
          <w:iCs/>
          <w:noProof/>
          <w:szCs w:val="22"/>
        </w:rPr>
      </w:pPr>
    </w:p>
    <w:p w14:paraId="70682104" w14:textId="77777777" w:rsidR="008F4AFF" w:rsidRPr="00D77B3B" w:rsidRDefault="008F4AFF" w:rsidP="008F4AFF">
      <w:pPr>
        <w:spacing w:line="240" w:lineRule="auto"/>
        <w:rPr>
          <w:iCs/>
          <w:noProof/>
          <w:szCs w:val="22"/>
        </w:rPr>
      </w:pPr>
      <w:r w:rsidRPr="00D77B3B">
        <w:t xml:space="preserve">1 ml de solution à diluer contient 4,5 mg de </w:t>
      </w:r>
      <w:proofErr w:type="spellStart"/>
      <w:r w:rsidRPr="00D77B3B">
        <w:t>dinutuximab</w:t>
      </w:r>
      <w:proofErr w:type="spellEnd"/>
      <w:r w:rsidRPr="00D77B3B">
        <w:t xml:space="preserve"> bêta.</w:t>
      </w:r>
    </w:p>
    <w:p w14:paraId="65C78AE4" w14:textId="773E3DDA" w:rsidR="008F4AFF" w:rsidRPr="00D77B3B" w:rsidRDefault="008F4AFF" w:rsidP="008F4AFF">
      <w:pPr>
        <w:spacing w:line="240" w:lineRule="auto"/>
        <w:rPr>
          <w:iCs/>
          <w:noProof/>
          <w:szCs w:val="22"/>
        </w:rPr>
      </w:pPr>
      <w:r w:rsidRPr="00D77B3B">
        <w:t xml:space="preserve">Chaque flacon contient 20 mg de </w:t>
      </w:r>
      <w:proofErr w:type="spellStart"/>
      <w:r w:rsidRPr="00D77B3B">
        <w:t>dinutuximab</w:t>
      </w:r>
      <w:proofErr w:type="spellEnd"/>
      <w:r w:rsidRPr="00D77B3B">
        <w:t xml:space="preserve"> bêta </w:t>
      </w:r>
      <w:r w:rsidR="002575F8">
        <w:t xml:space="preserve">dans </w:t>
      </w:r>
      <w:r w:rsidRPr="00D77B3B">
        <w:t>4,5 </w:t>
      </w:r>
      <w:r w:rsidR="001A084D">
        <w:t>ml</w:t>
      </w:r>
      <w:r w:rsidRPr="00D77B3B">
        <w:t>.</w:t>
      </w:r>
    </w:p>
    <w:p w14:paraId="33283129" w14:textId="77777777" w:rsidR="008F4AFF" w:rsidRPr="00D77B3B" w:rsidRDefault="008F4AFF" w:rsidP="008F4AFF">
      <w:pPr>
        <w:spacing w:line="240" w:lineRule="auto"/>
        <w:rPr>
          <w:noProof/>
          <w:szCs w:val="22"/>
        </w:rPr>
      </w:pPr>
    </w:p>
    <w:p w14:paraId="27F2ADB0" w14:textId="77777777" w:rsidR="008F4AFF" w:rsidRPr="00D77B3B" w:rsidRDefault="008F4AFF" w:rsidP="008F4AFF">
      <w:pPr>
        <w:spacing w:line="240" w:lineRule="auto"/>
        <w:rPr>
          <w:noProof/>
          <w:szCs w:val="22"/>
        </w:rPr>
      </w:pPr>
      <w:r w:rsidRPr="00D77B3B">
        <w:t xml:space="preserve">Le </w:t>
      </w:r>
      <w:proofErr w:type="spellStart"/>
      <w:r w:rsidRPr="00D77B3B">
        <w:t>dinutuximab</w:t>
      </w:r>
      <w:proofErr w:type="spellEnd"/>
      <w:r w:rsidRPr="00D77B3B">
        <w:t xml:space="preserve"> bêta est un anticorps monoclonal chimérique murin/humain de type IgG1 produit dans une lignée cellulaire de mammifère (CHO) par la technique de l’ADN recombinant.</w:t>
      </w:r>
    </w:p>
    <w:p w14:paraId="23FE10D5" w14:textId="77777777" w:rsidR="008F4AFF" w:rsidRPr="00D77B3B" w:rsidRDefault="008F4AFF" w:rsidP="008F4AFF">
      <w:pPr>
        <w:spacing w:line="240" w:lineRule="auto"/>
        <w:rPr>
          <w:iCs/>
          <w:noProof/>
          <w:szCs w:val="22"/>
        </w:rPr>
      </w:pPr>
    </w:p>
    <w:p w14:paraId="64D87153" w14:textId="77777777" w:rsidR="008F4AFF" w:rsidRPr="00D77B3B" w:rsidRDefault="008F4AFF" w:rsidP="008F4AFF">
      <w:pPr>
        <w:spacing w:line="240" w:lineRule="auto"/>
        <w:rPr>
          <w:iCs/>
          <w:noProof/>
          <w:szCs w:val="22"/>
        </w:rPr>
      </w:pPr>
      <w:r w:rsidRPr="00D77B3B">
        <w:t>Pour la liste complète des excipients, voir rubrique 6.1.</w:t>
      </w:r>
    </w:p>
    <w:p w14:paraId="5E8074F6" w14:textId="77777777" w:rsidR="008F4AFF" w:rsidRPr="00D77B3B" w:rsidRDefault="008F4AFF" w:rsidP="008F4AFF">
      <w:pPr>
        <w:spacing w:line="240" w:lineRule="auto"/>
        <w:rPr>
          <w:iCs/>
          <w:noProof/>
          <w:szCs w:val="22"/>
        </w:rPr>
      </w:pPr>
    </w:p>
    <w:p w14:paraId="0113EC38" w14:textId="77777777" w:rsidR="008F4AFF" w:rsidRPr="00D77B3B" w:rsidRDefault="008F4AFF" w:rsidP="008F4AFF">
      <w:pPr>
        <w:spacing w:line="240" w:lineRule="auto"/>
        <w:rPr>
          <w:iCs/>
          <w:noProof/>
          <w:szCs w:val="22"/>
        </w:rPr>
      </w:pPr>
    </w:p>
    <w:p w14:paraId="7459D491" w14:textId="77777777" w:rsidR="008F4AFF" w:rsidRPr="00D77B3B" w:rsidRDefault="008F4AFF" w:rsidP="008F4AFF">
      <w:pPr>
        <w:spacing w:line="240" w:lineRule="auto"/>
        <w:ind w:left="567" w:hanging="567"/>
        <w:outlineLvl w:val="0"/>
        <w:rPr>
          <w:b/>
          <w:noProof/>
          <w:szCs w:val="22"/>
        </w:rPr>
      </w:pPr>
      <w:r w:rsidRPr="00D77B3B">
        <w:rPr>
          <w:b/>
          <w:noProof/>
        </w:rPr>
        <w:t>3.</w:t>
      </w:r>
      <w:r w:rsidRPr="00D77B3B">
        <w:tab/>
      </w:r>
      <w:r w:rsidRPr="00D77B3B">
        <w:rPr>
          <w:b/>
          <w:noProof/>
        </w:rPr>
        <w:t>FORME PHARMACEUTIQUE</w:t>
      </w:r>
    </w:p>
    <w:p w14:paraId="353CAFAB" w14:textId="77777777" w:rsidR="008F4AFF" w:rsidRPr="00D77B3B" w:rsidRDefault="008F4AFF" w:rsidP="008F4AFF">
      <w:pPr>
        <w:spacing w:line="240" w:lineRule="auto"/>
        <w:rPr>
          <w:noProof/>
          <w:szCs w:val="22"/>
        </w:rPr>
      </w:pPr>
    </w:p>
    <w:p w14:paraId="742C1533" w14:textId="77777777" w:rsidR="008F4AFF" w:rsidRPr="00D77B3B" w:rsidRDefault="008F4AFF" w:rsidP="008F4AFF">
      <w:pPr>
        <w:spacing w:line="240" w:lineRule="auto"/>
        <w:rPr>
          <w:noProof/>
          <w:szCs w:val="22"/>
        </w:rPr>
      </w:pPr>
      <w:r w:rsidRPr="00D77B3B">
        <w:t>Solution à diluer pour perfusion</w:t>
      </w:r>
    </w:p>
    <w:p w14:paraId="59B58A0B" w14:textId="4D63D139" w:rsidR="00513F70" w:rsidRPr="003D4BE7" w:rsidRDefault="00513F70" w:rsidP="00513F70">
      <w:pPr>
        <w:spacing w:line="240" w:lineRule="auto"/>
      </w:pPr>
      <w:r w:rsidRPr="003D4BE7">
        <w:t>Liquide incolore à légèrement jaune</w:t>
      </w:r>
    </w:p>
    <w:p w14:paraId="6DC7D7FE" w14:textId="77777777" w:rsidR="008F4AFF" w:rsidRPr="00D77B3B" w:rsidRDefault="008F4AFF" w:rsidP="008F4AFF">
      <w:pPr>
        <w:spacing w:line="240" w:lineRule="auto"/>
        <w:rPr>
          <w:noProof/>
          <w:szCs w:val="22"/>
        </w:rPr>
      </w:pPr>
    </w:p>
    <w:p w14:paraId="26B622B6" w14:textId="77777777" w:rsidR="008F4AFF" w:rsidRPr="00D77B3B" w:rsidRDefault="008F4AFF" w:rsidP="008F4AFF">
      <w:pPr>
        <w:spacing w:line="240" w:lineRule="auto"/>
        <w:rPr>
          <w:noProof/>
          <w:szCs w:val="22"/>
        </w:rPr>
      </w:pPr>
    </w:p>
    <w:p w14:paraId="345E6846" w14:textId="77777777" w:rsidR="008F4AFF" w:rsidRPr="00D77B3B" w:rsidRDefault="008F4AFF" w:rsidP="008F4AFF">
      <w:pPr>
        <w:spacing w:line="240" w:lineRule="auto"/>
        <w:ind w:left="567" w:hanging="567"/>
        <w:outlineLvl w:val="0"/>
        <w:rPr>
          <w:b/>
          <w:noProof/>
          <w:szCs w:val="22"/>
        </w:rPr>
      </w:pPr>
      <w:r w:rsidRPr="00D77B3B">
        <w:rPr>
          <w:b/>
          <w:noProof/>
        </w:rPr>
        <w:t>4.</w:t>
      </w:r>
      <w:r w:rsidRPr="00D77B3B">
        <w:tab/>
      </w:r>
      <w:r w:rsidRPr="00D77B3B">
        <w:rPr>
          <w:b/>
          <w:noProof/>
        </w:rPr>
        <w:t>INFORMATIONS CLINIQUES</w:t>
      </w:r>
    </w:p>
    <w:p w14:paraId="24D31C33" w14:textId="77777777" w:rsidR="008F4AFF" w:rsidRPr="00D77B3B" w:rsidRDefault="008F4AFF" w:rsidP="008F4AFF">
      <w:pPr>
        <w:spacing w:line="240" w:lineRule="auto"/>
        <w:rPr>
          <w:noProof/>
          <w:szCs w:val="22"/>
        </w:rPr>
      </w:pPr>
    </w:p>
    <w:p w14:paraId="51ED910A" w14:textId="77777777" w:rsidR="008F4AFF" w:rsidRPr="00D77B3B" w:rsidRDefault="008F4AFF" w:rsidP="008F4AFF">
      <w:pPr>
        <w:spacing w:line="240" w:lineRule="auto"/>
        <w:ind w:left="567" w:hanging="567"/>
        <w:outlineLvl w:val="0"/>
        <w:rPr>
          <w:b/>
          <w:noProof/>
          <w:szCs w:val="22"/>
        </w:rPr>
      </w:pPr>
      <w:r w:rsidRPr="00D77B3B">
        <w:rPr>
          <w:b/>
          <w:noProof/>
        </w:rPr>
        <w:t>4.1</w:t>
      </w:r>
      <w:r w:rsidRPr="00D77B3B">
        <w:tab/>
      </w:r>
      <w:r w:rsidRPr="00D77B3B">
        <w:rPr>
          <w:b/>
          <w:noProof/>
        </w:rPr>
        <w:t>Indications thérapeutiques</w:t>
      </w:r>
    </w:p>
    <w:p w14:paraId="21E21589" w14:textId="77777777" w:rsidR="008F4AFF" w:rsidRPr="00D77B3B" w:rsidRDefault="008F4AFF" w:rsidP="008F4AFF">
      <w:pPr>
        <w:spacing w:line="240" w:lineRule="auto"/>
        <w:rPr>
          <w:noProof/>
          <w:szCs w:val="22"/>
        </w:rPr>
      </w:pPr>
    </w:p>
    <w:p w14:paraId="7960E7A2" w14:textId="5ED3FB10" w:rsidR="008F4AFF" w:rsidRPr="00D77B3B" w:rsidRDefault="008737C6" w:rsidP="008F4AFF">
      <w:pPr>
        <w:suppressLineNumbers/>
        <w:autoSpaceDE w:val="0"/>
        <w:autoSpaceDN w:val="0"/>
        <w:adjustRightInd w:val="0"/>
        <w:spacing w:line="240" w:lineRule="auto"/>
      </w:pPr>
      <w:proofErr w:type="spellStart"/>
      <w:r>
        <w:t>Qarziba</w:t>
      </w:r>
      <w:proofErr w:type="spellEnd"/>
      <w:r w:rsidR="008F4AFF" w:rsidRPr="00D77B3B">
        <w:t xml:space="preserve"> est indiqué dans le traitement des patients âgés de 12 mois et plus atteints d’un neuroblastome à haut risque, qui ont précédemment reçu une chimiothérapie d’induction et ont présenté au moins une réponse partielle, suivie d’un traitement </w:t>
      </w:r>
      <w:proofErr w:type="spellStart"/>
      <w:r w:rsidR="008F4AFF" w:rsidRPr="00D77B3B">
        <w:t>myéloablatif</w:t>
      </w:r>
      <w:proofErr w:type="spellEnd"/>
      <w:r w:rsidR="008F4AFF" w:rsidRPr="00D77B3B">
        <w:t xml:space="preserve"> et d’une greffe de cellules souches, ainsi que chez les patients ayant des antécédents de neuroblastome récidivant ou réfractaire, avec ou sans maladie résiduelle. Avant </w:t>
      </w:r>
      <w:r w:rsidR="00137ADC">
        <w:t xml:space="preserve">d’initier </w:t>
      </w:r>
      <w:r w:rsidR="008F4AFF" w:rsidRPr="00D77B3B">
        <w:t>le traitement d’un neuroblastome récidivant, il convient de stabiliser toute maladie progressant de manière active par d’autres mesures adéquates.</w:t>
      </w:r>
    </w:p>
    <w:p w14:paraId="15A31AE7" w14:textId="77777777" w:rsidR="008F4AFF" w:rsidRPr="00D77B3B" w:rsidRDefault="008F4AFF" w:rsidP="008F4AFF">
      <w:pPr>
        <w:suppressLineNumbers/>
        <w:autoSpaceDE w:val="0"/>
        <w:autoSpaceDN w:val="0"/>
        <w:adjustRightInd w:val="0"/>
        <w:spacing w:line="240" w:lineRule="auto"/>
      </w:pPr>
    </w:p>
    <w:p w14:paraId="2D4BDCDF" w14:textId="6D83A5EE" w:rsidR="008F4AFF" w:rsidRPr="00D77B3B" w:rsidRDefault="008F4AFF" w:rsidP="008F4AFF">
      <w:pPr>
        <w:suppressLineNumbers/>
        <w:autoSpaceDE w:val="0"/>
        <w:autoSpaceDN w:val="0"/>
        <w:adjustRightInd w:val="0"/>
        <w:spacing w:line="240" w:lineRule="auto"/>
        <w:rPr>
          <w:szCs w:val="22"/>
        </w:rPr>
      </w:pPr>
      <w:r w:rsidRPr="00D77B3B">
        <w:t xml:space="preserve">Chez les patients présentant des antécédents de maladie récidivante ou réfractaire et chez les patients n’ayant pas présenté une réponse complète après un traitement de première </w:t>
      </w:r>
      <w:proofErr w:type="gramStart"/>
      <w:r w:rsidRPr="00D77B3B">
        <w:t>ligne;</w:t>
      </w:r>
      <w:proofErr w:type="gramEnd"/>
      <w:r w:rsidRPr="00D77B3B">
        <w:t xml:space="preserve"> </w:t>
      </w:r>
      <w:proofErr w:type="spellStart"/>
      <w:r w:rsidR="008737C6">
        <w:t>Qarziba</w:t>
      </w:r>
      <w:proofErr w:type="spellEnd"/>
      <w:r w:rsidRPr="00D77B3B">
        <w:t xml:space="preserve"> doit être associé à l’interleukine 2 (IL</w:t>
      </w:r>
      <w:r w:rsidRPr="00D77B3B">
        <w:noBreakHyphen/>
        <w:t>2).</w:t>
      </w:r>
    </w:p>
    <w:p w14:paraId="52651F64" w14:textId="77777777" w:rsidR="008F4AFF" w:rsidRPr="00D77B3B" w:rsidRDefault="008F4AFF" w:rsidP="008F4AFF">
      <w:pPr>
        <w:suppressLineNumbers/>
        <w:autoSpaceDE w:val="0"/>
        <w:autoSpaceDN w:val="0"/>
        <w:adjustRightInd w:val="0"/>
        <w:spacing w:line="240" w:lineRule="auto"/>
        <w:rPr>
          <w:noProof/>
          <w:szCs w:val="22"/>
        </w:rPr>
      </w:pPr>
    </w:p>
    <w:p w14:paraId="0C722B01" w14:textId="77777777" w:rsidR="008F4AFF" w:rsidRPr="00D77B3B" w:rsidRDefault="008F4AFF" w:rsidP="008F4AFF">
      <w:pPr>
        <w:spacing w:line="240" w:lineRule="auto"/>
        <w:outlineLvl w:val="0"/>
        <w:rPr>
          <w:b/>
          <w:noProof/>
          <w:szCs w:val="22"/>
        </w:rPr>
      </w:pPr>
      <w:r w:rsidRPr="00D77B3B">
        <w:rPr>
          <w:b/>
          <w:noProof/>
        </w:rPr>
        <w:t>4.2</w:t>
      </w:r>
      <w:r w:rsidRPr="00D77B3B">
        <w:tab/>
      </w:r>
      <w:r w:rsidRPr="00D77B3B">
        <w:rPr>
          <w:b/>
          <w:noProof/>
        </w:rPr>
        <w:t>Posologie et mode d’administration</w:t>
      </w:r>
    </w:p>
    <w:p w14:paraId="12E87984" w14:textId="77777777" w:rsidR="008F4AFF" w:rsidRPr="00D77B3B" w:rsidRDefault="008F4AFF" w:rsidP="008F4AFF">
      <w:pPr>
        <w:spacing w:line="240" w:lineRule="auto"/>
        <w:rPr>
          <w:szCs w:val="22"/>
        </w:rPr>
      </w:pPr>
    </w:p>
    <w:p w14:paraId="7B8A809C" w14:textId="7D463A30" w:rsidR="008F4AFF" w:rsidRPr="00D77B3B" w:rsidRDefault="008F4AFF" w:rsidP="008F4AFF">
      <w:pPr>
        <w:spacing w:line="240" w:lineRule="auto"/>
        <w:rPr>
          <w:szCs w:val="22"/>
        </w:rPr>
      </w:pPr>
      <w:r w:rsidRPr="00D77B3B">
        <w:t xml:space="preserve">L’utilisation de </w:t>
      </w:r>
      <w:proofErr w:type="spellStart"/>
      <w:r w:rsidR="008737C6">
        <w:t>Qarziba</w:t>
      </w:r>
      <w:proofErr w:type="spellEnd"/>
      <w:r w:rsidRPr="00D77B3B">
        <w:t xml:space="preserve"> est strictement réservée au milieu hospitalier. Le traitement doit être administré sous la surveillance d’un médecin expérimenté dans l’administration de médicaments anticancéreux. Il doit être administré par un professionnel de santé capable de prendre en charge les réactions allergiques graves, y compris l</w:t>
      </w:r>
      <w:r w:rsidR="00137ADC">
        <w:t>’</w:t>
      </w:r>
      <w:r w:rsidRPr="00D77B3B">
        <w:t>anaphylaxie, dans un environnement où un équipement complet de réanimation est immédiatement disponible.</w:t>
      </w:r>
    </w:p>
    <w:p w14:paraId="0B74E1B4" w14:textId="77777777" w:rsidR="008F4AFF" w:rsidRPr="00D77B3B" w:rsidRDefault="008F4AFF" w:rsidP="008F4AFF">
      <w:pPr>
        <w:spacing w:line="240" w:lineRule="auto"/>
        <w:rPr>
          <w:szCs w:val="22"/>
          <w:u w:val="single"/>
        </w:rPr>
      </w:pPr>
    </w:p>
    <w:p w14:paraId="5D040602" w14:textId="77777777" w:rsidR="004C60BE" w:rsidRDefault="004C60BE" w:rsidP="008F4AFF">
      <w:pPr>
        <w:spacing w:line="240" w:lineRule="auto"/>
        <w:rPr>
          <w:u w:val="single"/>
        </w:rPr>
      </w:pPr>
    </w:p>
    <w:p w14:paraId="7E6750D1" w14:textId="77777777" w:rsidR="004C60BE" w:rsidRDefault="004C60BE" w:rsidP="008F4AFF">
      <w:pPr>
        <w:spacing w:line="240" w:lineRule="auto"/>
        <w:rPr>
          <w:u w:val="single"/>
        </w:rPr>
      </w:pPr>
    </w:p>
    <w:p w14:paraId="6F4D05C5" w14:textId="77777777" w:rsidR="00B51F82" w:rsidRDefault="00B51F82" w:rsidP="008F4AFF">
      <w:pPr>
        <w:spacing w:line="240" w:lineRule="auto"/>
        <w:rPr>
          <w:u w:val="single"/>
        </w:rPr>
      </w:pPr>
    </w:p>
    <w:p w14:paraId="1E0361C7" w14:textId="77777777" w:rsidR="008F4AFF" w:rsidRPr="00D77B3B" w:rsidRDefault="008F4AFF" w:rsidP="008F4AFF">
      <w:pPr>
        <w:spacing w:line="240" w:lineRule="auto"/>
        <w:rPr>
          <w:szCs w:val="22"/>
          <w:u w:val="single"/>
        </w:rPr>
      </w:pPr>
      <w:r w:rsidRPr="00D77B3B">
        <w:rPr>
          <w:u w:val="single"/>
        </w:rPr>
        <w:lastRenderedPageBreak/>
        <w:t>Posologie</w:t>
      </w:r>
    </w:p>
    <w:p w14:paraId="02CAC94B" w14:textId="6BE4BA41" w:rsidR="008F4AFF" w:rsidRPr="00D77B3B" w:rsidRDefault="008F4AFF" w:rsidP="008F4AFF">
      <w:pPr>
        <w:spacing w:line="240" w:lineRule="auto"/>
        <w:rPr>
          <w:szCs w:val="22"/>
        </w:rPr>
      </w:pPr>
      <w:r w:rsidRPr="00D77B3B">
        <w:t xml:space="preserve">Le traitement par </w:t>
      </w:r>
      <w:proofErr w:type="spellStart"/>
      <w:r w:rsidR="008737C6">
        <w:t>Qarziba</w:t>
      </w:r>
      <w:proofErr w:type="spellEnd"/>
      <w:r w:rsidRPr="00D77B3B">
        <w:t xml:space="preserve"> s’effectue en 5 cycles consécutifs, chaque cycle comprend 35 jours. La dose individuelle est déterminée sur la base de la surface corporelle et doit atteindre un total de 100 mg/m² par cycle.</w:t>
      </w:r>
    </w:p>
    <w:p w14:paraId="3898E5FD" w14:textId="77777777" w:rsidR="008F4AFF" w:rsidRPr="00D77B3B" w:rsidRDefault="008F4AFF" w:rsidP="008F4AFF">
      <w:pPr>
        <w:spacing w:line="240" w:lineRule="auto"/>
        <w:rPr>
          <w:szCs w:val="22"/>
        </w:rPr>
      </w:pPr>
    </w:p>
    <w:p w14:paraId="5CBBE70A" w14:textId="77777777" w:rsidR="008F4AFF" w:rsidRPr="00D77B3B" w:rsidRDefault="008F4AFF" w:rsidP="008F4AFF">
      <w:pPr>
        <w:keepNext/>
        <w:spacing w:line="240" w:lineRule="auto"/>
        <w:rPr>
          <w:szCs w:val="22"/>
        </w:rPr>
      </w:pPr>
      <w:r w:rsidRPr="00D77B3B">
        <w:t xml:space="preserve">Il peut être administré de deux </w:t>
      </w:r>
      <w:proofErr w:type="gramStart"/>
      <w:r w:rsidRPr="00D77B3B">
        <w:t>manières:</w:t>
      </w:r>
      <w:proofErr w:type="gramEnd"/>
    </w:p>
    <w:p w14:paraId="2F9B4A18" w14:textId="77777777" w:rsidR="008F4AFF" w:rsidRPr="00D77B3B" w:rsidRDefault="008F4AFF" w:rsidP="00D070AE">
      <w:pPr>
        <w:pStyle w:val="ListParagraph"/>
        <w:numPr>
          <w:ilvl w:val="0"/>
          <w:numId w:val="8"/>
        </w:numPr>
        <w:tabs>
          <w:tab w:val="clear" w:pos="567"/>
          <w:tab w:val="left" w:pos="709"/>
        </w:tabs>
        <w:spacing w:line="240" w:lineRule="auto"/>
        <w:ind w:left="357" w:hanging="357"/>
        <w:rPr>
          <w:szCs w:val="22"/>
        </w:rPr>
      </w:pPr>
      <w:proofErr w:type="gramStart"/>
      <w:r w:rsidRPr="00D77B3B">
        <w:t>au</w:t>
      </w:r>
      <w:proofErr w:type="gramEnd"/>
      <w:r w:rsidRPr="00D77B3B">
        <w:t xml:space="preserve"> moyen d’une perfusion continue durant les 10 premiers jours de chaque cycle (240 heures au total) à une dose de 10 mg/m² par jour</w:t>
      </w:r>
    </w:p>
    <w:p w14:paraId="73763DED" w14:textId="77777777" w:rsidR="008F4AFF" w:rsidRPr="00D77B3B" w:rsidRDefault="008F4AFF" w:rsidP="00D070AE">
      <w:pPr>
        <w:pStyle w:val="ListParagraph"/>
        <w:numPr>
          <w:ilvl w:val="0"/>
          <w:numId w:val="8"/>
        </w:numPr>
        <w:tabs>
          <w:tab w:val="clear" w:pos="567"/>
          <w:tab w:val="left" w:pos="709"/>
        </w:tabs>
        <w:spacing w:line="240" w:lineRule="auto"/>
        <w:ind w:left="357" w:hanging="357"/>
        <w:rPr>
          <w:szCs w:val="22"/>
        </w:rPr>
      </w:pPr>
      <w:proofErr w:type="gramStart"/>
      <w:r w:rsidRPr="00D77B3B">
        <w:t>ou</w:t>
      </w:r>
      <w:proofErr w:type="gramEnd"/>
      <w:r w:rsidRPr="00D77B3B">
        <w:t xml:space="preserve"> par 5 perfusions quotidiennes de 20 mg/m² administrées sur une durée de 8 heures durant les 5 premiers jours de chaque cycle.</w:t>
      </w:r>
    </w:p>
    <w:p w14:paraId="1A32AAAE" w14:textId="77777777" w:rsidR="008F4AFF" w:rsidRPr="00D77B3B" w:rsidRDefault="008F4AFF" w:rsidP="008F4AFF">
      <w:pPr>
        <w:tabs>
          <w:tab w:val="clear" w:pos="567"/>
        </w:tabs>
        <w:spacing w:line="240" w:lineRule="auto"/>
        <w:rPr>
          <w:szCs w:val="22"/>
        </w:rPr>
      </w:pPr>
    </w:p>
    <w:p w14:paraId="24CA992C" w14:textId="59458F85" w:rsidR="008F4AFF" w:rsidRPr="00D77B3B" w:rsidRDefault="008F4AFF" w:rsidP="008F4AFF">
      <w:pPr>
        <w:tabs>
          <w:tab w:val="clear" w:pos="567"/>
        </w:tabs>
        <w:spacing w:line="240" w:lineRule="auto"/>
        <w:rPr>
          <w:szCs w:val="22"/>
        </w:rPr>
      </w:pPr>
      <w:r w:rsidRPr="00D77B3B">
        <w:t xml:space="preserve">Lorsque l’IL-2 est associée à </w:t>
      </w:r>
      <w:proofErr w:type="spellStart"/>
      <w:r w:rsidR="008737C6">
        <w:t>Qarziba</w:t>
      </w:r>
      <w:proofErr w:type="spellEnd"/>
      <w:r w:rsidRPr="00D77B3B">
        <w:t xml:space="preserve">, elle doit être administrée sous la forme d’injections sous-cutanées de </w:t>
      </w:r>
      <w:r w:rsidR="00513F70" w:rsidRPr="00D77B3B">
        <w:t>6</w:t>
      </w:r>
      <w:r w:rsidR="00513F70">
        <w:t>x</w:t>
      </w:r>
      <w:r w:rsidR="00513F70" w:rsidRPr="00D77B3B">
        <w:t>10</w:t>
      </w:r>
      <w:r w:rsidR="00513F70" w:rsidRPr="00D77B3B">
        <w:rPr>
          <w:vertAlign w:val="superscript"/>
        </w:rPr>
        <w:t>6</w:t>
      </w:r>
      <w:r w:rsidR="00513F70" w:rsidRPr="00D77B3B">
        <w:t> </w:t>
      </w:r>
      <w:r w:rsidRPr="00D77B3B">
        <w:t>UI/m</w:t>
      </w:r>
      <w:r w:rsidRPr="00D77B3B">
        <w:rPr>
          <w:vertAlign w:val="superscript"/>
        </w:rPr>
        <w:t>2</w:t>
      </w:r>
      <w:r w:rsidRPr="00D77B3B">
        <w:t xml:space="preserve">/jour, pendant 2 périodes de 5 jours consécutifs, soit une dose totale de </w:t>
      </w:r>
      <w:r w:rsidR="00513F70" w:rsidRPr="00D77B3B">
        <w:t>60</w:t>
      </w:r>
      <w:r w:rsidR="00513F70">
        <w:t>x</w:t>
      </w:r>
      <w:r w:rsidR="00513F70" w:rsidRPr="00D77B3B">
        <w:t>10</w:t>
      </w:r>
      <w:r w:rsidR="00513F70" w:rsidRPr="00D77B3B">
        <w:rPr>
          <w:vertAlign w:val="superscript"/>
        </w:rPr>
        <w:t>6</w:t>
      </w:r>
      <w:r w:rsidR="00513F70" w:rsidRPr="00D77B3B">
        <w:t> </w:t>
      </w:r>
      <w:r w:rsidRPr="00D77B3B">
        <w:t xml:space="preserve">UI/m² par cycle. La première période de 5 jours doit commencer 7 jours avant la première perfusion de </w:t>
      </w:r>
      <w:proofErr w:type="spellStart"/>
      <w:r w:rsidRPr="00D77B3B">
        <w:t>dinutuximab</w:t>
      </w:r>
      <w:proofErr w:type="spellEnd"/>
      <w:r w:rsidRPr="00D77B3B">
        <w:t xml:space="preserve"> bêta et la deuxième période de 5 jours doit débuter en même temps que la perfusion de </w:t>
      </w:r>
      <w:proofErr w:type="spellStart"/>
      <w:r w:rsidRPr="00D77B3B">
        <w:t>dinutuximab</w:t>
      </w:r>
      <w:proofErr w:type="spellEnd"/>
      <w:r w:rsidRPr="00D77B3B">
        <w:t xml:space="preserve"> bêta (aux jours 1 à 5 de chaque cycle de </w:t>
      </w:r>
      <w:proofErr w:type="spellStart"/>
      <w:r w:rsidRPr="00D77B3B">
        <w:t>dinutuximab</w:t>
      </w:r>
      <w:proofErr w:type="spellEnd"/>
      <w:r w:rsidRPr="00D77B3B">
        <w:t xml:space="preserve"> bêta).</w:t>
      </w:r>
    </w:p>
    <w:p w14:paraId="0B62FD29" w14:textId="77777777" w:rsidR="008F4AFF" w:rsidRPr="00D77B3B" w:rsidRDefault="008F4AFF" w:rsidP="008F4AFF">
      <w:pPr>
        <w:spacing w:line="240" w:lineRule="auto"/>
        <w:rPr>
          <w:szCs w:val="22"/>
        </w:rPr>
      </w:pPr>
    </w:p>
    <w:p w14:paraId="6F96CF01" w14:textId="07859901" w:rsidR="008F4AFF" w:rsidRPr="00D77B3B" w:rsidRDefault="008F4AFF" w:rsidP="008F4AFF">
      <w:pPr>
        <w:keepNext/>
        <w:spacing w:line="240" w:lineRule="auto"/>
        <w:rPr>
          <w:szCs w:val="22"/>
        </w:rPr>
      </w:pPr>
      <w:r w:rsidRPr="00D77B3B">
        <w:t xml:space="preserve">Avant le début de chaque cycle de traitement, les paramètres cliniques suivants doivent être évalués et le traitement doit être </w:t>
      </w:r>
      <w:r w:rsidR="00137ADC">
        <w:t>reporté</w:t>
      </w:r>
      <w:r w:rsidR="00137ADC" w:rsidRPr="00D77B3B">
        <w:t xml:space="preserve"> </w:t>
      </w:r>
      <w:r w:rsidRPr="00D77B3B">
        <w:t xml:space="preserve">jusqu’à ce que les valeurs suivantes soient </w:t>
      </w:r>
      <w:proofErr w:type="gramStart"/>
      <w:r w:rsidRPr="00D77B3B">
        <w:t>atteintes:</w:t>
      </w:r>
      <w:proofErr w:type="gramEnd"/>
    </w:p>
    <w:p w14:paraId="079053A6" w14:textId="2B4B6CE4" w:rsidR="008F4AFF" w:rsidRPr="00D070AE" w:rsidRDefault="00137ADC" w:rsidP="00D070AE">
      <w:pPr>
        <w:pStyle w:val="ListParagraph"/>
        <w:numPr>
          <w:ilvl w:val="0"/>
          <w:numId w:val="8"/>
        </w:numPr>
        <w:tabs>
          <w:tab w:val="clear" w:pos="567"/>
          <w:tab w:val="left" w:pos="709"/>
        </w:tabs>
        <w:spacing w:line="240" w:lineRule="auto"/>
        <w:ind w:left="357" w:hanging="357"/>
      </w:pPr>
      <w:proofErr w:type="gramStart"/>
      <w:r>
        <w:t>saturation</w:t>
      </w:r>
      <w:proofErr w:type="gramEnd"/>
      <w:r>
        <w:t xml:space="preserve"> en oxygène</w:t>
      </w:r>
      <w:r w:rsidR="008F4AFF" w:rsidRPr="00D77B3B">
        <w:t xml:space="preserve"> &gt; 94 % à l’air ambiant</w:t>
      </w:r>
    </w:p>
    <w:p w14:paraId="46E5CB90" w14:textId="19D7073A" w:rsidR="008F4AFF" w:rsidRPr="00D070AE" w:rsidRDefault="008F4AFF" w:rsidP="00D070AE">
      <w:pPr>
        <w:pStyle w:val="ListParagraph"/>
        <w:numPr>
          <w:ilvl w:val="0"/>
          <w:numId w:val="8"/>
        </w:numPr>
        <w:tabs>
          <w:tab w:val="clear" w:pos="567"/>
          <w:tab w:val="left" w:pos="709"/>
        </w:tabs>
        <w:spacing w:line="240" w:lineRule="auto"/>
        <w:ind w:left="357" w:hanging="357"/>
      </w:pPr>
      <w:proofErr w:type="gramStart"/>
      <w:r w:rsidRPr="00D77B3B">
        <w:t>fonction</w:t>
      </w:r>
      <w:proofErr w:type="gramEnd"/>
      <w:r w:rsidRPr="00D77B3B">
        <w:t xml:space="preserve"> </w:t>
      </w:r>
      <w:r w:rsidR="00137ADC">
        <w:t xml:space="preserve">médullaire </w:t>
      </w:r>
      <w:r w:rsidRPr="00D77B3B">
        <w:t xml:space="preserve">adéquate: nombre absolu de </w:t>
      </w:r>
      <w:r w:rsidR="000567C2">
        <w:t xml:space="preserve">polynucléaires </w:t>
      </w:r>
      <w:r w:rsidRPr="00D77B3B">
        <w:t>neutrophiles ≥ 500/µ</w:t>
      </w:r>
      <w:r w:rsidR="000567C2">
        <w:t>L</w:t>
      </w:r>
      <w:r w:rsidRPr="00D77B3B">
        <w:t>, nombre de plaquettes ≥ 20 000/µ</w:t>
      </w:r>
      <w:r w:rsidR="001A084D">
        <w:t>l</w:t>
      </w:r>
      <w:r w:rsidRPr="00D77B3B">
        <w:t>, hémoglobine &gt; 8,0 g/d</w:t>
      </w:r>
      <w:r w:rsidR="001A084D">
        <w:t>l</w:t>
      </w:r>
    </w:p>
    <w:p w14:paraId="78BF3F5B" w14:textId="693D0E0A" w:rsidR="008F4AFF" w:rsidRPr="00D070AE" w:rsidRDefault="008F4AFF" w:rsidP="00D070AE">
      <w:pPr>
        <w:pStyle w:val="ListParagraph"/>
        <w:numPr>
          <w:ilvl w:val="0"/>
          <w:numId w:val="8"/>
        </w:numPr>
        <w:tabs>
          <w:tab w:val="clear" w:pos="567"/>
          <w:tab w:val="left" w:pos="709"/>
        </w:tabs>
        <w:spacing w:line="240" w:lineRule="auto"/>
        <w:ind w:left="357" w:hanging="357"/>
      </w:pPr>
      <w:proofErr w:type="gramStart"/>
      <w:r w:rsidRPr="00D77B3B">
        <w:t>fonction</w:t>
      </w:r>
      <w:proofErr w:type="gramEnd"/>
      <w:r w:rsidRPr="00D77B3B">
        <w:t xml:space="preserve"> hépatique adéquate: alanine aminotransférase (ALAT)/aspartate aminotransférase (ASAT) </w:t>
      </w:r>
      <w:r w:rsidR="000567C2">
        <w:t>&lt;</w:t>
      </w:r>
      <w:r w:rsidRPr="00D77B3B">
        <w:t xml:space="preserve"> 5 fois la limite supérieure de la normale (LSN)</w:t>
      </w:r>
    </w:p>
    <w:p w14:paraId="5BEE836A" w14:textId="77777777" w:rsidR="008F4AFF" w:rsidRPr="00D070AE" w:rsidRDefault="008F4AFF" w:rsidP="00D070AE">
      <w:pPr>
        <w:pStyle w:val="ListParagraph"/>
        <w:numPr>
          <w:ilvl w:val="0"/>
          <w:numId w:val="8"/>
        </w:numPr>
        <w:tabs>
          <w:tab w:val="clear" w:pos="567"/>
          <w:tab w:val="left" w:pos="709"/>
        </w:tabs>
        <w:spacing w:line="240" w:lineRule="auto"/>
        <w:ind w:left="357" w:hanging="357"/>
      </w:pPr>
      <w:proofErr w:type="gramStart"/>
      <w:r w:rsidRPr="00D77B3B">
        <w:t>fonction</w:t>
      </w:r>
      <w:proofErr w:type="gramEnd"/>
      <w:r w:rsidRPr="00D77B3B">
        <w:t xml:space="preserve"> rénale adéquate: clairance de la créatinine ou débit de filtration glomérulaire (DFG) &gt; 60 ml/min/1,73 m².</w:t>
      </w:r>
    </w:p>
    <w:p w14:paraId="68344F00" w14:textId="77777777" w:rsidR="008F4AFF" w:rsidRPr="00D77B3B" w:rsidRDefault="008F4AFF" w:rsidP="008F4AFF">
      <w:pPr>
        <w:spacing w:line="240" w:lineRule="auto"/>
        <w:rPr>
          <w:szCs w:val="22"/>
          <w:u w:val="single"/>
        </w:rPr>
      </w:pPr>
    </w:p>
    <w:p w14:paraId="39C79681" w14:textId="77777777" w:rsidR="008F4AFF" w:rsidRPr="00D77B3B" w:rsidRDefault="008F4AFF" w:rsidP="008F4AFF">
      <w:pPr>
        <w:keepNext/>
        <w:spacing w:line="240" w:lineRule="auto"/>
        <w:rPr>
          <w:i/>
          <w:szCs w:val="22"/>
        </w:rPr>
      </w:pPr>
      <w:r w:rsidRPr="00D77B3B">
        <w:rPr>
          <w:i/>
        </w:rPr>
        <w:t xml:space="preserve">Modification de la dose de </w:t>
      </w:r>
      <w:proofErr w:type="spellStart"/>
      <w:r w:rsidRPr="00D77B3B">
        <w:rPr>
          <w:i/>
        </w:rPr>
        <w:t>dinutuximab</w:t>
      </w:r>
      <w:proofErr w:type="spellEnd"/>
      <w:r w:rsidRPr="00D77B3B">
        <w:rPr>
          <w:i/>
        </w:rPr>
        <w:t xml:space="preserve"> bêta</w:t>
      </w:r>
    </w:p>
    <w:p w14:paraId="38E5B518" w14:textId="77777777" w:rsidR="008F4AFF" w:rsidRPr="00D77B3B" w:rsidRDefault="008F4AFF" w:rsidP="008F4AFF">
      <w:pPr>
        <w:keepNext/>
        <w:spacing w:line="240" w:lineRule="auto"/>
        <w:rPr>
          <w:i/>
          <w:szCs w:val="22"/>
        </w:rPr>
      </w:pPr>
    </w:p>
    <w:p w14:paraId="5F613894" w14:textId="66508AE5" w:rsidR="008F4AFF" w:rsidRPr="00D77B3B" w:rsidRDefault="008F4AFF" w:rsidP="008F4AFF">
      <w:pPr>
        <w:spacing w:line="240" w:lineRule="auto"/>
        <w:rPr>
          <w:szCs w:val="22"/>
        </w:rPr>
      </w:pPr>
      <w:r w:rsidRPr="00D77B3B">
        <w:t xml:space="preserve">Sur la base de l’évaluation de la gravité des effets indésirables du </w:t>
      </w:r>
      <w:proofErr w:type="spellStart"/>
      <w:r w:rsidRPr="00D77B3B">
        <w:t>dinutuximab</w:t>
      </w:r>
      <w:proofErr w:type="spellEnd"/>
      <w:r w:rsidRPr="00D77B3B">
        <w:t xml:space="preserve"> bêta par le médecin, une réduction de 50 % de la dose ou une interruption temporaire de la perfusion peut être appliquée. Par conséquent, la période de perfusion peut être prolongée ou, si le patient le tolère, le débit de perfusion peut être augmenté à 3 ml/h (perfusion continue), afin d’administrer la dose totale.</w:t>
      </w:r>
    </w:p>
    <w:p w14:paraId="2FC45DF5" w14:textId="77777777" w:rsidR="008F4AFF" w:rsidRPr="00D77B3B" w:rsidRDefault="008F4AFF" w:rsidP="008F4AFF">
      <w:pPr>
        <w:spacing w:line="240" w:lineRule="auto"/>
        <w:rPr>
          <w:i/>
          <w:szCs w:val="22"/>
        </w:rPr>
      </w:pPr>
    </w:p>
    <w:p w14:paraId="1B5551D4" w14:textId="77777777" w:rsidR="008F4AFF" w:rsidRPr="00D77B3B" w:rsidRDefault="008F4AFF" w:rsidP="008F4AFF">
      <w:pPr>
        <w:keepNext/>
        <w:spacing w:line="240" w:lineRule="auto"/>
        <w:rPr>
          <w:b/>
          <w:szCs w:val="22"/>
        </w:rPr>
      </w:pPr>
      <w:r w:rsidRPr="00D77B3B">
        <w:rPr>
          <w:b/>
        </w:rPr>
        <w:t xml:space="preserve">Modifications de la dose recommandée pour </w:t>
      </w:r>
      <w:proofErr w:type="spellStart"/>
      <w:r w:rsidRPr="00D77B3B">
        <w:rPr>
          <w:b/>
        </w:rPr>
        <w:t>dinutuximab</w:t>
      </w:r>
      <w:proofErr w:type="spellEnd"/>
      <w:r w:rsidRPr="00D77B3B">
        <w:rPr>
          <w:b/>
        </w:rPr>
        <w:t xml:space="preserve"> bêta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6"/>
        <w:gridCol w:w="3547"/>
        <w:gridCol w:w="3524"/>
      </w:tblGrid>
      <w:tr w:rsidR="00B608FF" w14:paraId="69EE8BA2" w14:textId="77777777" w:rsidTr="00D070AE">
        <w:tc>
          <w:tcPr>
            <w:tcW w:w="2216" w:type="dxa"/>
            <w:shd w:val="clear" w:color="auto" w:fill="auto"/>
          </w:tcPr>
          <w:p w14:paraId="3330F2FB" w14:textId="77777777" w:rsidR="008F4AFF" w:rsidRPr="00D77B3B" w:rsidRDefault="008F4AFF" w:rsidP="008F4AFF">
            <w:pPr>
              <w:pStyle w:val="BodytextAgency"/>
              <w:keepNext/>
              <w:rPr>
                <w:rFonts w:ascii="Times New Roman" w:hAnsi="Times New Roman"/>
                <w:b/>
                <w:sz w:val="22"/>
                <w:szCs w:val="22"/>
              </w:rPr>
            </w:pPr>
            <w:r w:rsidRPr="00D77B3B">
              <w:rPr>
                <w:rFonts w:ascii="Times New Roman" w:hAnsi="Times New Roman"/>
                <w:b/>
                <w:sz w:val="22"/>
              </w:rPr>
              <w:t>Effets indésirables</w:t>
            </w:r>
          </w:p>
        </w:tc>
        <w:tc>
          <w:tcPr>
            <w:tcW w:w="3547" w:type="dxa"/>
            <w:shd w:val="clear" w:color="auto" w:fill="auto"/>
          </w:tcPr>
          <w:p w14:paraId="77E64D2A" w14:textId="77777777" w:rsidR="008F4AFF" w:rsidRPr="00D77B3B" w:rsidRDefault="008F4AFF" w:rsidP="008F4AFF">
            <w:pPr>
              <w:pStyle w:val="BMSTableHeader"/>
              <w:keepNext/>
              <w:keepLines/>
              <w:spacing w:before="0" w:after="0"/>
              <w:jc w:val="left"/>
              <w:rPr>
                <w:sz w:val="22"/>
                <w:szCs w:val="22"/>
              </w:rPr>
            </w:pPr>
            <w:r w:rsidRPr="00D77B3B">
              <w:rPr>
                <w:sz w:val="22"/>
              </w:rPr>
              <w:t>Gravité</w:t>
            </w:r>
          </w:p>
        </w:tc>
        <w:tc>
          <w:tcPr>
            <w:tcW w:w="3524" w:type="dxa"/>
            <w:shd w:val="clear" w:color="auto" w:fill="auto"/>
          </w:tcPr>
          <w:p w14:paraId="592B371F" w14:textId="77777777" w:rsidR="008F4AFF" w:rsidRPr="00D77B3B" w:rsidRDefault="008F4AFF" w:rsidP="008F4AFF">
            <w:pPr>
              <w:pStyle w:val="BMSTableHeader"/>
              <w:keepNext/>
              <w:keepLines/>
              <w:spacing w:before="0" w:after="0"/>
              <w:jc w:val="left"/>
              <w:rPr>
                <w:sz w:val="22"/>
                <w:szCs w:val="22"/>
              </w:rPr>
            </w:pPr>
            <w:r w:rsidRPr="00D77B3B">
              <w:rPr>
                <w:sz w:val="22"/>
              </w:rPr>
              <w:t>Modification de traitement</w:t>
            </w:r>
          </w:p>
        </w:tc>
      </w:tr>
      <w:tr w:rsidR="00B608FF" w14:paraId="443C88F2" w14:textId="77777777" w:rsidTr="00D070AE">
        <w:tc>
          <w:tcPr>
            <w:tcW w:w="2216" w:type="dxa"/>
            <w:shd w:val="clear" w:color="auto" w:fill="auto"/>
          </w:tcPr>
          <w:p w14:paraId="7F6FAADA" w14:textId="77777777" w:rsidR="008F4AFF" w:rsidRPr="00D77B3B" w:rsidRDefault="008F4AFF" w:rsidP="008F4AFF">
            <w:pPr>
              <w:pStyle w:val="BodytextAgency"/>
              <w:keepNext/>
              <w:rPr>
                <w:rFonts w:ascii="Times New Roman" w:hAnsi="Times New Roman"/>
                <w:b/>
                <w:sz w:val="22"/>
                <w:szCs w:val="22"/>
              </w:rPr>
            </w:pPr>
            <w:r w:rsidRPr="00D77B3B">
              <w:rPr>
                <w:rFonts w:ascii="Times New Roman" w:hAnsi="Times New Roman"/>
                <w:b/>
                <w:sz w:val="22"/>
              </w:rPr>
              <w:t>Tous les cas</w:t>
            </w:r>
          </w:p>
        </w:tc>
        <w:tc>
          <w:tcPr>
            <w:tcW w:w="3547" w:type="dxa"/>
            <w:shd w:val="clear" w:color="auto" w:fill="auto"/>
          </w:tcPr>
          <w:p w14:paraId="79FA67B3" w14:textId="77777777" w:rsidR="008F4AFF" w:rsidRPr="00D77B3B" w:rsidRDefault="008F4AFF" w:rsidP="008F4AFF">
            <w:pPr>
              <w:pStyle w:val="BMSTableHeader"/>
              <w:keepNext/>
              <w:keepLines/>
              <w:spacing w:before="0" w:after="0"/>
              <w:jc w:val="left"/>
              <w:rPr>
                <w:sz w:val="22"/>
                <w:szCs w:val="22"/>
              </w:rPr>
            </w:pPr>
            <w:r w:rsidRPr="00D77B3B">
              <w:rPr>
                <w:sz w:val="22"/>
              </w:rPr>
              <w:t>Grade 1 – 2</w:t>
            </w:r>
          </w:p>
        </w:tc>
        <w:tc>
          <w:tcPr>
            <w:tcW w:w="3524" w:type="dxa"/>
            <w:shd w:val="clear" w:color="auto" w:fill="auto"/>
          </w:tcPr>
          <w:p w14:paraId="16693DA2" w14:textId="77777777" w:rsidR="008F4AFF" w:rsidRPr="00D77B3B" w:rsidRDefault="008F4AFF" w:rsidP="008F4AFF">
            <w:pPr>
              <w:pStyle w:val="BMSTableText"/>
              <w:keepNext/>
              <w:keepLines/>
              <w:spacing w:before="0" w:after="0"/>
              <w:jc w:val="left"/>
              <w:rPr>
                <w:sz w:val="22"/>
                <w:szCs w:val="22"/>
              </w:rPr>
            </w:pPr>
            <w:r w:rsidRPr="00D77B3B">
              <w:rPr>
                <w:sz w:val="22"/>
              </w:rPr>
              <w:t>Diminution du débit de perfusion de 50 %</w:t>
            </w:r>
          </w:p>
          <w:p w14:paraId="5E6E3037" w14:textId="77777777" w:rsidR="008F4AFF" w:rsidRPr="00D77B3B" w:rsidRDefault="008F4AFF" w:rsidP="008F4AFF">
            <w:pPr>
              <w:pStyle w:val="BMSTableHeader"/>
              <w:keepNext/>
              <w:keepLines/>
              <w:spacing w:before="0" w:after="0"/>
              <w:jc w:val="left"/>
              <w:rPr>
                <w:b w:val="0"/>
                <w:sz w:val="22"/>
                <w:szCs w:val="22"/>
              </w:rPr>
            </w:pPr>
            <w:r w:rsidRPr="00D77B3B">
              <w:rPr>
                <w:b w:val="0"/>
                <w:sz w:val="22"/>
              </w:rPr>
              <w:t>Après disparition des symptômes, reprendre la perfusion au débit initial</w:t>
            </w:r>
          </w:p>
        </w:tc>
      </w:tr>
      <w:tr w:rsidR="00B608FF" w14:paraId="5DE0B5F6" w14:textId="77777777" w:rsidTr="00D070AE">
        <w:tc>
          <w:tcPr>
            <w:tcW w:w="2216" w:type="dxa"/>
            <w:shd w:val="clear" w:color="auto" w:fill="auto"/>
          </w:tcPr>
          <w:p w14:paraId="615E7305" w14:textId="77777777" w:rsidR="008F4AFF" w:rsidRPr="00D77B3B" w:rsidRDefault="008F4AFF" w:rsidP="008F4AFF">
            <w:pPr>
              <w:pStyle w:val="BodytextAgency"/>
              <w:rPr>
                <w:rFonts w:ascii="Times New Roman" w:hAnsi="Times New Roman"/>
                <w:sz w:val="22"/>
                <w:szCs w:val="22"/>
              </w:rPr>
            </w:pPr>
            <w:r w:rsidRPr="00D77B3B">
              <w:rPr>
                <w:rFonts w:ascii="Times New Roman" w:hAnsi="Times New Roman"/>
                <w:sz w:val="22"/>
              </w:rPr>
              <w:t>Réaction d’hypersensibilité</w:t>
            </w:r>
          </w:p>
        </w:tc>
        <w:tc>
          <w:tcPr>
            <w:tcW w:w="3547" w:type="dxa"/>
            <w:shd w:val="clear" w:color="auto" w:fill="auto"/>
          </w:tcPr>
          <w:p w14:paraId="7F6F6F1D" w14:textId="77777777" w:rsidR="008F4AFF" w:rsidRPr="00D77B3B" w:rsidRDefault="008F4AFF" w:rsidP="008F4AFF">
            <w:pPr>
              <w:pStyle w:val="BMSTableHeader"/>
              <w:keepNext/>
              <w:keepLines/>
              <w:spacing w:before="0" w:after="0"/>
              <w:jc w:val="left"/>
              <w:rPr>
                <w:b w:val="0"/>
                <w:sz w:val="22"/>
                <w:szCs w:val="22"/>
              </w:rPr>
            </w:pPr>
            <w:proofErr w:type="gramStart"/>
            <w:r w:rsidRPr="00D77B3B">
              <w:rPr>
                <w:b w:val="0"/>
                <w:sz w:val="22"/>
              </w:rPr>
              <w:t>par</w:t>
            </w:r>
            <w:proofErr w:type="gramEnd"/>
            <w:r w:rsidRPr="00D77B3B">
              <w:rPr>
                <w:b w:val="0"/>
                <w:sz w:val="22"/>
              </w:rPr>
              <w:t xml:space="preserve"> ex.: hypotension</w:t>
            </w:r>
          </w:p>
        </w:tc>
        <w:tc>
          <w:tcPr>
            <w:tcW w:w="3524" w:type="dxa"/>
            <w:shd w:val="clear" w:color="auto" w:fill="auto"/>
          </w:tcPr>
          <w:p w14:paraId="7106A5BE" w14:textId="77777777" w:rsidR="008F4AFF" w:rsidRPr="00D77B3B" w:rsidRDefault="008F4AFF" w:rsidP="008F4AFF">
            <w:pPr>
              <w:pStyle w:val="BMSTableText"/>
              <w:keepNext/>
              <w:keepLines/>
              <w:spacing w:before="0" w:after="0"/>
              <w:jc w:val="left"/>
              <w:rPr>
                <w:sz w:val="22"/>
                <w:szCs w:val="22"/>
              </w:rPr>
            </w:pPr>
            <w:r w:rsidRPr="00D77B3B">
              <w:rPr>
                <w:sz w:val="22"/>
              </w:rPr>
              <w:t>Interrompre la perfusion et administrer des soins de support</w:t>
            </w:r>
          </w:p>
          <w:p w14:paraId="27114DC1" w14:textId="77777777" w:rsidR="008F4AFF" w:rsidRPr="00D77B3B" w:rsidRDefault="008F4AFF" w:rsidP="008F4AFF">
            <w:pPr>
              <w:pStyle w:val="BMSTableText"/>
              <w:keepNext/>
              <w:keepLines/>
              <w:spacing w:before="0" w:after="0"/>
              <w:jc w:val="left"/>
              <w:rPr>
                <w:sz w:val="22"/>
                <w:szCs w:val="22"/>
              </w:rPr>
            </w:pPr>
            <w:r w:rsidRPr="00D77B3B">
              <w:rPr>
                <w:sz w:val="22"/>
              </w:rPr>
              <w:t>Après disparition des symptômes, reprendre la perfusion au débit initial</w:t>
            </w:r>
          </w:p>
        </w:tc>
      </w:tr>
      <w:tr w:rsidR="00B608FF" w14:paraId="4EBF6BA0" w14:textId="77777777" w:rsidTr="00D070AE">
        <w:tc>
          <w:tcPr>
            <w:tcW w:w="5763" w:type="dxa"/>
            <w:gridSpan w:val="2"/>
            <w:shd w:val="clear" w:color="auto" w:fill="auto"/>
          </w:tcPr>
          <w:p w14:paraId="10B177D6" w14:textId="77777777" w:rsidR="008F4AFF" w:rsidRPr="00D77B3B" w:rsidRDefault="008F4AFF" w:rsidP="008F4AFF">
            <w:pPr>
              <w:pStyle w:val="BodytextAgency"/>
              <w:rPr>
                <w:rFonts w:ascii="Times-Roman" w:hAnsi="Times-Roman" w:cs="Times-Roman"/>
                <w:sz w:val="22"/>
                <w:szCs w:val="22"/>
              </w:rPr>
            </w:pPr>
            <w:r w:rsidRPr="00D77B3B">
              <w:rPr>
                <w:rFonts w:ascii="Times-Roman" w:hAnsi="Times-Roman"/>
                <w:sz w:val="22"/>
              </w:rPr>
              <w:t>Pupilles dilatées avec ralentissement du réflexe photomoteur +/- photophobie</w:t>
            </w:r>
          </w:p>
        </w:tc>
        <w:tc>
          <w:tcPr>
            <w:tcW w:w="3524" w:type="dxa"/>
            <w:shd w:val="clear" w:color="auto" w:fill="auto"/>
          </w:tcPr>
          <w:p w14:paraId="034EFB94" w14:textId="77777777" w:rsidR="008F4AFF" w:rsidRPr="00D77B3B" w:rsidRDefault="008F4AFF" w:rsidP="008F4AFF">
            <w:pPr>
              <w:pStyle w:val="BMSTableText"/>
              <w:keepNext/>
              <w:keepLines/>
              <w:tabs>
                <w:tab w:val="clear" w:pos="360"/>
              </w:tabs>
              <w:spacing w:before="0" w:after="0"/>
              <w:jc w:val="left"/>
              <w:rPr>
                <w:sz w:val="22"/>
                <w:szCs w:val="22"/>
              </w:rPr>
            </w:pPr>
            <w:r w:rsidRPr="00D77B3B">
              <w:rPr>
                <w:sz w:val="22"/>
              </w:rPr>
              <w:t>Interrompre la perfusion</w:t>
            </w:r>
          </w:p>
          <w:p w14:paraId="0815FE0A" w14:textId="77777777" w:rsidR="008F4AFF" w:rsidRPr="00D77B3B" w:rsidRDefault="008F4AFF" w:rsidP="008F4AFF">
            <w:pPr>
              <w:pStyle w:val="BMSTableText"/>
              <w:keepNext/>
              <w:keepLines/>
              <w:tabs>
                <w:tab w:val="clear" w:pos="360"/>
              </w:tabs>
              <w:spacing w:before="0" w:after="0"/>
              <w:jc w:val="left"/>
              <w:rPr>
                <w:sz w:val="22"/>
                <w:szCs w:val="22"/>
              </w:rPr>
            </w:pPr>
            <w:r w:rsidRPr="00D77B3B">
              <w:rPr>
                <w:sz w:val="22"/>
              </w:rPr>
              <w:t>Après disparition des symptômes, reprendre la perfusion à un débit de 50 %</w:t>
            </w:r>
          </w:p>
        </w:tc>
      </w:tr>
      <w:tr w:rsidR="00B608FF" w14:paraId="27006312" w14:textId="77777777" w:rsidTr="00D070AE">
        <w:tc>
          <w:tcPr>
            <w:tcW w:w="2216" w:type="dxa"/>
            <w:shd w:val="clear" w:color="auto" w:fill="auto"/>
          </w:tcPr>
          <w:p w14:paraId="2090A71E" w14:textId="77777777" w:rsidR="008F4AFF" w:rsidRPr="00D77B3B" w:rsidRDefault="008F4AFF" w:rsidP="008F4AFF">
            <w:pPr>
              <w:pStyle w:val="BodytextAgency"/>
              <w:rPr>
                <w:rFonts w:ascii="Times New Roman" w:hAnsi="Times New Roman"/>
                <w:b/>
                <w:sz w:val="22"/>
                <w:szCs w:val="22"/>
              </w:rPr>
            </w:pPr>
            <w:r w:rsidRPr="00D77B3B">
              <w:rPr>
                <w:rFonts w:ascii="Times New Roman" w:hAnsi="Times New Roman"/>
                <w:b/>
                <w:sz w:val="22"/>
              </w:rPr>
              <w:t>Tous les cas</w:t>
            </w:r>
          </w:p>
        </w:tc>
        <w:tc>
          <w:tcPr>
            <w:tcW w:w="3547" w:type="dxa"/>
            <w:shd w:val="clear" w:color="auto" w:fill="auto"/>
          </w:tcPr>
          <w:p w14:paraId="6867F7D2" w14:textId="77777777" w:rsidR="008F4AFF" w:rsidRPr="00D77B3B" w:rsidRDefault="008F4AFF" w:rsidP="008F4AFF">
            <w:pPr>
              <w:pStyle w:val="BMSTableHeader"/>
              <w:keepNext/>
              <w:keepLines/>
              <w:spacing w:before="0" w:after="0"/>
              <w:jc w:val="left"/>
              <w:rPr>
                <w:sz w:val="22"/>
                <w:szCs w:val="22"/>
              </w:rPr>
            </w:pPr>
            <w:r w:rsidRPr="00D77B3B">
              <w:rPr>
                <w:sz w:val="22"/>
              </w:rPr>
              <w:t>Grade ≥ 3</w:t>
            </w:r>
          </w:p>
        </w:tc>
        <w:tc>
          <w:tcPr>
            <w:tcW w:w="3524" w:type="dxa"/>
            <w:shd w:val="clear" w:color="auto" w:fill="auto"/>
          </w:tcPr>
          <w:p w14:paraId="779B2FE4" w14:textId="77777777" w:rsidR="008F4AFF" w:rsidRPr="00D77B3B" w:rsidRDefault="008F4AFF" w:rsidP="008F4AFF">
            <w:pPr>
              <w:pStyle w:val="BMSTableText"/>
              <w:keepNext/>
              <w:keepLines/>
              <w:spacing w:before="0" w:after="0"/>
              <w:jc w:val="left"/>
              <w:rPr>
                <w:sz w:val="22"/>
                <w:szCs w:val="22"/>
              </w:rPr>
            </w:pPr>
            <w:r w:rsidRPr="00D77B3B">
              <w:rPr>
                <w:sz w:val="22"/>
              </w:rPr>
              <w:t>Interrompre la perfusion et administrer des soins de support</w:t>
            </w:r>
          </w:p>
          <w:p w14:paraId="178940A8" w14:textId="77777777" w:rsidR="008F4AFF" w:rsidRPr="00D77B3B" w:rsidRDefault="008F4AFF" w:rsidP="008F4AFF">
            <w:pPr>
              <w:pStyle w:val="BMSTableText"/>
              <w:keepNext/>
              <w:keepLines/>
              <w:spacing w:before="0" w:after="0"/>
              <w:jc w:val="left"/>
              <w:rPr>
                <w:sz w:val="22"/>
                <w:szCs w:val="22"/>
              </w:rPr>
            </w:pPr>
            <w:r w:rsidRPr="00D77B3B">
              <w:rPr>
                <w:sz w:val="22"/>
              </w:rPr>
              <w:t>Reprendre la perfusion à un débit de 50 % si les effets indésirables disparaissent ou s’améliorent jusqu’au grade 1 ou 2</w:t>
            </w:r>
          </w:p>
          <w:p w14:paraId="07822635" w14:textId="77777777" w:rsidR="008F4AFF" w:rsidRPr="00D77B3B" w:rsidRDefault="008F4AFF" w:rsidP="008F4AFF">
            <w:pPr>
              <w:pStyle w:val="BMSTableText"/>
              <w:keepNext/>
              <w:keepLines/>
              <w:spacing w:before="0" w:after="0"/>
              <w:jc w:val="left"/>
              <w:rPr>
                <w:sz w:val="22"/>
                <w:szCs w:val="22"/>
              </w:rPr>
            </w:pPr>
            <w:r w:rsidRPr="00D77B3B">
              <w:rPr>
                <w:sz w:val="22"/>
              </w:rPr>
              <w:t>Après disparition des symptômes, reprendre la perfusion au débit initial</w:t>
            </w:r>
          </w:p>
        </w:tc>
      </w:tr>
      <w:tr w:rsidR="00B608FF" w14:paraId="27A4F7AF" w14:textId="77777777" w:rsidTr="00D070AE">
        <w:tc>
          <w:tcPr>
            <w:tcW w:w="2216" w:type="dxa"/>
            <w:shd w:val="clear" w:color="auto" w:fill="auto"/>
          </w:tcPr>
          <w:p w14:paraId="54E57CA2" w14:textId="77777777" w:rsidR="008F4AFF" w:rsidRPr="00D77B3B" w:rsidRDefault="008F4AFF" w:rsidP="008F4AFF">
            <w:pPr>
              <w:pStyle w:val="BodytextAgency"/>
              <w:rPr>
                <w:rFonts w:ascii="Times New Roman" w:hAnsi="Times New Roman"/>
                <w:b/>
                <w:sz w:val="22"/>
                <w:szCs w:val="22"/>
              </w:rPr>
            </w:pPr>
          </w:p>
        </w:tc>
        <w:tc>
          <w:tcPr>
            <w:tcW w:w="3547" w:type="dxa"/>
            <w:shd w:val="clear" w:color="auto" w:fill="auto"/>
          </w:tcPr>
          <w:p w14:paraId="02EB3D8E" w14:textId="77777777" w:rsidR="008F4AFF" w:rsidRPr="00D77B3B" w:rsidRDefault="008F4AFF" w:rsidP="008F4AFF">
            <w:pPr>
              <w:pStyle w:val="BMSTableHeader"/>
              <w:keepNext/>
              <w:keepLines/>
              <w:spacing w:before="0" w:after="0"/>
              <w:jc w:val="left"/>
              <w:rPr>
                <w:b w:val="0"/>
                <w:sz w:val="22"/>
                <w:szCs w:val="22"/>
              </w:rPr>
            </w:pPr>
            <w:r w:rsidRPr="00D77B3B">
              <w:rPr>
                <w:b w:val="0"/>
                <w:sz w:val="22"/>
              </w:rPr>
              <w:t>Récidive</w:t>
            </w:r>
          </w:p>
        </w:tc>
        <w:tc>
          <w:tcPr>
            <w:tcW w:w="3524" w:type="dxa"/>
            <w:shd w:val="clear" w:color="auto" w:fill="auto"/>
          </w:tcPr>
          <w:p w14:paraId="15A516E1" w14:textId="77777777" w:rsidR="008F4AFF" w:rsidRPr="00D77B3B" w:rsidRDefault="008F4AFF" w:rsidP="008F4AFF">
            <w:pPr>
              <w:pStyle w:val="BMSTableText"/>
              <w:keepNext/>
              <w:keepLines/>
              <w:spacing w:before="0" w:after="0"/>
              <w:jc w:val="left"/>
              <w:rPr>
                <w:sz w:val="22"/>
                <w:szCs w:val="22"/>
              </w:rPr>
            </w:pPr>
            <w:r w:rsidRPr="00D77B3B">
              <w:rPr>
                <w:sz w:val="22"/>
              </w:rPr>
              <w:t>Arrêt de la perfusion</w:t>
            </w:r>
          </w:p>
          <w:p w14:paraId="796B623F" w14:textId="77777777" w:rsidR="008F4AFF" w:rsidRPr="00D77B3B" w:rsidRDefault="008F4AFF" w:rsidP="008F4AFF">
            <w:pPr>
              <w:pStyle w:val="BMSTableText"/>
              <w:keepNext/>
              <w:keepLines/>
              <w:spacing w:before="0" w:after="0"/>
              <w:jc w:val="left"/>
              <w:rPr>
                <w:sz w:val="22"/>
                <w:szCs w:val="22"/>
              </w:rPr>
            </w:pPr>
            <w:r w:rsidRPr="00D77B3B">
              <w:rPr>
                <w:sz w:val="22"/>
              </w:rPr>
              <w:t>Reprendre le lendemain si les effets indésirables disparaissent</w:t>
            </w:r>
          </w:p>
        </w:tc>
      </w:tr>
      <w:tr w:rsidR="00B608FF" w14:paraId="43082042" w14:textId="77777777" w:rsidTr="00D070AE">
        <w:tc>
          <w:tcPr>
            <w:tcW w:w="2216" w:type="dxa"/>
            <w:shd w:val="clear" w:color="auto" w:fill="auto"/>
          </w:tcPr>
          <w:p w14:paraId="7EBEC485" w14:textId="77777777" w:rsidR="008F4AFF" w:rsidRPr="00D77B3B" w:rsidRDefault="008F4AFF" w:rsidP="008F4AFF">
            <w:pPr>
              <w:pStyle w:val="BodytextAgency"/>
              <w:rPr>
                <w:rFonts w:ascii="Times New Roman" w:hAnsi="Times New Roman"/>
                <w:sz w:val="22"/>
                <w:szCs w:val="22"/>
              </w:rPr>
            </w:pPr>
            <w:r w:rsidRPr="00D77B3B">
              <w:rPr>
                <w:rFonts w:ascii="Times New Roman" w:hAnsi="Times New Roman"/>
                <w:sz w:val="22"/>
              </w:rPr>
              <w:t>Réaction d’hypersensibilité</w:t>
            </w:r>
          </w:p>
        </w:tc>
        <w:tc>
          <w:tcPr>
            <w:tcW w:w="3547" w:type="dxa"/>
            <w:shd w:val="clear" w:color="auto" w:fill="auto"/>
          </w:tcPr>
          <w:p w14:paraId="77861B3F" w14:textId="77777777" w:rsidR="008F4AFF" w:rsidRPr="00D77B3B" w:rsidRDefault="008F4AFF" w:rsidP="008F4AFF">
            <w:pPr>
              <w:pStyle w:val="BMSTableHeader"/>
              <w:keepNext/>
              <w:keepLines/>
              <w:spacing w:before="0" w:after="0"/>
              <w:jc w:val="left"/>
              <w:rPr>
                <w:b w:val="0"/>
                <w:sz w:val="22"/>
                <w:szCs w:val="22"/>
              </w:rPr>
            </w:pPr>
            <w:proofErr w:type="gramStart"/>
            <w:r w:rsidRPr="00D77B3B">
              <w:rPr>
                <w:b w:val="0"/>
                <w:sz w:val="22"/>
              </w:rPr>
              <w:t>par</w:t>
            </w:r>
            <w:proofErr w:type="gramEnd"/>
            <w:r w:rsidRPr="00D77B3B">
              <w:rPr>
                <w:b w:val="0"/>
                <w:sz w:val="22"/>
              </w:rPr>
              <w:t xml:space="preserve"> ex.: bronchospasme, </w:t>
            </w:r>
            <w:proofErr w:type="spellStart"/>
            <w:r w:rsidRPr="00D77B3B">
              <w:rPr>
                <w:b w:val="0"/>
                <w:sz w:val="22"/>
              </w:rPr>
              <w:t>angiœdème</w:t>
            </w:r>
            <w:proofErr w:type="spellEnd"/>
          </w:p>
        </w:tc>
        <w:tc>
          <w:tcPr>
            <w:tcW w:w="3524" w:type="dxa"/>
            <w:shd w:val="clear" w:color="auto" w:fill="auto"/>
          </w:tcPr>
          <w:p w14:paraId="6ED046AE" w14:textId="77777777" w:rsidR="008F4AFF" w:rsidRPr="00D77B3B" w:rsidRDefault="008F4AFF" w:rsidP="008F4AFF">
            <w:pPr>
              <w:pStyle w:val="BMSTableText"/>
              <w:keepNext/>
              <w:keepLines/>
              <w:spacing w:before="0" w:after="0"/>
              <w:jc w:val="left"/>
              <w:rPr>
                <w:sz w:val="22"/>
                <w:szCs w:val="22"/>
              </w:rPr>
            </w:pPr>
            <w:r w:rsidRPr="00D77B3B">
              <w:rPr>
                <w:sz w:val="22"/>
              </w:rPr>
              <w:t>Interrompre immédiatement la perfusion et mettre en place un traitement approprié (voir rubrique 4.4)</w:t>
            </w:r>
          </w:p>
          <w:p w14:paraId="473478B9" w14:textId="77777777" w:rsidR="008F4AFF" w:rsidRPr="00D77B3B" w:rsidRDefault="008F4AFF" w:rsidP="008F4AFF">
            <w:pPr>
              <w:pStyle w:val="BMSTableText"/>
              <w:keepNext/>
              <w:keepLines/>
              <w:spacing w:before="0" w:after="0"/>
              <w:jc w:val="left"/>
              <w:rPr>
                <w:sz w:val="22"/>
                <w:szCs w:val="22"/>
              </w:rPr>
            </w:pPr>
            <w:r w:rsidRPr="00D77B3B">
              <w:rPr>
                <w:sz w:val="22"/>
              </w:rPr>
              <w:t>Reprendre le traitement pour les cycles suivants</w:t>
            </w:r>
          </w:p>
        </w:tc>
      </w:tr>
      <w:tr w:rsidR="00B608FF" w14:paraId="002AFC97" w14:textId="77777777" w:rsidTr="00D070AE">
        <w:tc>
          <w:tcPr>
            <w:tcW w:w="2216" w:type="dxa"/>
            <w:shd w:val="clear" w:color="auto" w:fill="auto"/>
          </w:tcPr>
          <w:p w14:paraId="29CA4FA8" w14:textId="77777777" w:rsidR="008F4AFF" w:rsidRPr="00D77B3B" w:rsidRDefault="008F4AFF" w:rsidP="008F4AFF">
            <w:pPr>
              <w:pStyle w:val="BodytextAgency"/>
              <w:rPr>
                <w:rFonts w:ascii="Times New Roman" w:hAnsi="Times New Roman"/>
                <w:sz w:val="22"/>
                <w:szCs w:val="22"/>
              </w:rPr>
            </w:pPr>
            <w:r w:rsidRPr="00D77B3B">
              <w:rPr>
                <w:rFonts w:ascii="Times New Roman" w:hAnsi="Times New Roman"/>
                <w:sz w:val="22"/>
              </w:rPr>
              <w:t>Syndrome de fuite capillaire</w:t>
            </w:r>
          </w:p>
        </w:tc>
        <w:tc>
          <w:tcPr>
            <w:tcW w:w="3547" w:type="dxa"/>
            <w:shd w:val="clear" w:color="auto" w:fill="auto"/>
          </w:tcPr>
          <w:p w14:paraId="515EA50A" w14:textId="77777777" w:rsidR="008F4AFF" w:rsidRPr="00D77B3B" w:rsidRDefault="008F4AFF" w:rsidP="008F4AFF">
            <w:pPr>
              <w:pStyle w:val="BMSTableHeader"/>
              <w:keepNext/>
              <w:keepLines/>
              <w:spacing w:before="0" w:after="0"/>
              <w:jc w:val="left"/>
              <w:rPr>
                <w:b w:val="0"/>
                <w:sz w:val="22"/>
                <w:szCs w:val="22"/>
              </w:rPr>
            </w:pPr>
          </w:p>
        </w:tc>
        <w:tc>
          <w:tcPr>
            <w:tcW w:w="3524" w:type="dxa"/>
            <w:shd w:val="clear" w:color="auto" w:fill="auto"/>
          </w:tcPr>
          <w:p w14:paraId="36EE55A3" w14:textId="77777777" w:rsidR="008F4AFF" w:rsidRPr="00D77B3B" w:rsidRDefault="008F4AFF" w:rsidP="008F4AFF">
            <w:pPr>
              <w:pStyle w:val="BMSTableText"/>
              <w:keepNext/>
              <w:keepLines/>
              <w:spacing w:before="0" w:after="0"/>
              <w:jc w:val="left"/>
              <w:rPr>
                <w:sz w:val="22"/>
                <w:szCs w:val="22"/>
              </w:rPr>
            </w:pPr>
            <w:r w:rsidRPr="00D77B3B">
              <w:rPr>
                <w:sz w:val="22"/>
              </w:rPr>
              <w:t>Interrompre la perfusion et administrer des soins de support</w:t>
            </w:r>
          </w:p>
          <w:p w14:paraId="7058225B" w14:textId="77777777" w:rsidR="008F4AFF" w:rsidRPr="00D77B3B" w:rsidRDefault="008F4AFF" w:rsidP="008F4AFF">
            <w:pPr>
              <w:pStyle w:val="BMSTableText"/>
              <w:keepNext/>
              <w:keepLines/>
              <w:spacing w:before="0" w:after="0"/>
              <w:jc w:val="left"/>
              <w:rPr>
                <w:sz w:val="22"/>
                <w:szCs w:val="22"/>
              </w:rPr>
            </w:pPr>
            <w:r w:rsidRPr="00D77B3B">
              <w:rPr>
                <w:sz w:val="22"/>
              </w:rPr>
              <w:t>Reprendre à un débit de perfusion de 50 % si les effets indésirables disparaissent ou s’améliorent jusqu’au grade 1 ou 2.</w:t>
            </w:r>
          </w:p>
        </w:tc>
      </w:tr>
    </w:tbl>
    <w:p w14:paraId="0C28E654" w14:textId="77777777" w:rsidR="008F4AFF" w:rsidRPr="00D77B3B" w:rsidRDefault="008F4AFF" w:rsidP="008F4AFF">
      <w:pPr>
        <w:spacing w:line="240" w:lineRule="auto"/>
        <w:rPr>
          <w:i/>
          <w:szCs w:val="22"/>
        </w:rPr>
      </w:pPr>
    </w:p>
    <w:p w14:paraId="1818E435" w14:textId="77777777" w:rsidR="008F4AFF" w:rsidRPr="00D77B3B" w:rsidRDefault="008F4AFF" w:rsidP="008F4AFF">
      <w:pPr>
        <w:keepNext/>
        <w:spacing w:line="240" w:lineRule="auto"/>
        <w:rPr>
          <w:szCs w:val="22"/>
        </w:rPr>
      </w:pPr>
      <w:r w:rsidRPr="00D77B3B">
        <w:t xml:space="preserve">Le traitement par </w:t>
      </w:r>
      <w:proofErr w:type="spellStart"/>
      <w:r w:rsidRPr="00D77B3B">
        <w:t>dinutuximab</w:t>
      </w:r>
      <w:proofErr w:type="spellEnd"/>
      <w:r w:rsidRPr="00D77B3B">
        <w:t xml:space="preserve"> bêta doit être arrêté définitivement si les effets toxiques </w:t>
      </w:r>
      <w:proofErr w:type="gramStart"/>
      <w:r w:rsidRPr="00D77B3B">
        <w:t>surviennent:</w:t>
      </w:r>
      <w:proofErr w:type="gramEnd"/>
    </w:p>
    <w:p w14:paraId="0DF7963F" w14:textId="77777777" w:rsidR="008F4AFF" w:rsidRPr="00D77B3B" w:rsidRDefault="008F4AFF" w:rsidP="008F4AFF">
      <w:pPr>
        <w:pStyle w:val="ListParagraph"/>
        <w:numPr>
          <w:ilvl w:val="0"/>
          <w:numId w:val="10"/>
        </w:numPr>
        <w:spacing w:line="240" w:lineRule="auto"/>
        <w:rPr>
          <w:szCs w:val="22"/>
        </w:rPr>
      </w:pPr>
      <w:proofErr w:type="gramStart"/>
      <w:r w:rsidRPr="00D77B3B">
        <w:t>anaphylaxie</w:t>
      </w:r>
      <w:proofErr w:type="gramEnd"/>
      <w:r w:rsidRPr="00D77B3B">
        <w:t xml:space="preserve"> de grade 3 ou 4.</w:t>
      </w:r>
    </w:p>
    <w:p w14:paraId="6E4BA0AD" w14:textId="77777777" w:rsidR="008F4AFF" w:rsidRPr="00D77B3B" w:rsidRDefault="008F4AFF" w:rsidP="008F4AFF">
      <w:pPr>
        <w:pStyle w:val="ListParagraph"/>
        <w:numPr>
          <w:ilvl w:val="0"/>
          <w:numId w:val="10"/>
        </w:numPr>
        <w:spacing w:line="240" w:lineRule="auto"/>
        <w:rPr>
          <w:szCs w:val="22"/>
        </w:rPr>
      </w:pPr>
      <w:proofErr w:type="gramStart"/>
      <w:r w:rsidRPr="00D77B3B">
        <w:t>neuropathie</w:t>
      </w:r>
      <w:proofErr w:type="gramEnd"/>
      <w:r w:rsidRPr="00D77B3B">
        <w:t xml:space="preserve"> motrice périphérique prolongée de grade 2</w:t>
      </w:r>
    </w:p>
    <w:p w14:paraId="665FEE5D" w14:textId="77777777" w:rsidR="008F4AFF" w:rsidRPr="00D77B3B" w:rsidRDefault="008F4AFF" w:rsidP="008F4AFF">
      <w:pPr>
        <w:pStyle w:val="ListParagraph"/>
        <w:numPr>
          <w:ilvl w:val="0"/>
          <w:numId w:val="10"/>
        </w:numPr>
        <w:spacing w:line="240" w:lineRule="auto"/>
        <w:rPr>
          <w:szCs w:val="22"/>
        </w:rPr>
      </w:pPr>
      <w:proofErr w:type="gramStart"/>
      <w:r w:rsidRPr="00D77B3B">
        <w:t>neuropathie</w:t>
      </w:r>
      <w:proofErr w:type="gramEnd"/>
      <w:r w:rsidRPr="00D77B3B">
        <w:t xml:space="preserve"> périphérique de grade 3</w:t>
      </w:r>
    </w:p>
    <w:p w14:paraId="09486265" w14:textId="77777777" w:rsidR="008F4AFF" w:rsidRPr="00D77B3B" w:rsidRDefault="008F4AFF" w:rsidP="008F4AFF">
      <w:pPr>
        <w:pStyle w:val="ListParagraph"/>
        <w:numPr>
          <w:ilvl w:val="0"/>
          <w:numId w:val="10"/>
        </w:numPr>
        <w:spacing w:line="240" w:lineRule="auto"/>
        <w:rPr>
          <w:szCs w:val="22"/>
        </w:rPr>
      </w:pPr>
      <w:proofErr w:type="gramStart"/>
      <w:r w:rsidRPr="00D77B3B">
        <w:t>toxicité</w:t>
      </w:r>
      <w:proofErr w:type="gramEnd"/>
      <w:r w:rsidRPr="00D77B3B">
        <w:t xml:space="preserve"> oculaire de grade 3</w:t>
      </w:r>
    </w:p>
    <w:p w14:paraId="38F372CA" w14:textId="5024EF70" w:rsidR="008F4AFF" w:rsidRPr="00D77B3B" w:rsidRDefault="008F4AFF" w:rsidP="008F4AFF">
      <w:pPr>
        <w:pStyle w:val="ListParagraph"/>
        <w:numPr>
          <w:ilvl w:val="0"/>
          <w:numId w:val="10"/>
        </w:numPr>
        <w:spacing w:line="240" w:lineRule="auto"/>
        <w:rPr>
          <w:szCs w:val="22"/>
        </w:rPr>
      </w:pPr>
      <w:proofErr w:type="gramStart"/>
      <w:r w:rsidRPr="00D77B3B">
        <w:t>hyponatrémie</w:t>
      </w:r>
      <w:proofErr w:type="gramEnd"/>
      <w:r w:rsidRPr="00D77B3B">
        <w:t xml:space="preserve"> de grade 4 (&lt;120 mEq/l) malgré une bonne prise en charge des troubles </w:t>
      </w:r>
      <w:proofErr w:type="spellStart"/>
      <w:r w:rsidRPr="00D77B3B">
        <w:t>hydro</w:t>
      </w:r>
      <w:r w:rsidR="000567C2">
        <w:t>-</w:t>
      </w:r>
      <w:r w:rsidRPr="00D77B3B">
        <w:t>électrolytiques</w:t>
      </w:r>
      <w:proofErr w:type="spellEnd"/>
    </w:p>
    <w:p w14:paraId="6E878EC4" w14:textId="77777777" w:rsidR="008F4AFF" w:rsidRPr="00D77B3B" w:rsidRDefault="008F4AFF" w:rsidP="008F4AFF">
      <w:pPr>
        <w:pStyle w:val="ListParagraph"/>
        <w:numPr>
          <w:ilvl w:val="0"/>
          <w:numId w:val="10"/>
        </w:numPr>
        <w:spacing w:line="240" w:lineRule="auto"/>
        <w:rPr>
          <w:szCs w:val="22"/>
        </w:rPr>
      </w:pPr>
      <w:proofErr w:type="gramStart"/>
      <w:r w:rsidRPr="00D77B3B">
        <w:t>syndrome</w:t>
      </w:r>
      <w:proofErr w:type="gramEnd"/>
      <w:r w:rsidRPr="00D77B3B">
        <w:t xml:space="preserve"> de fuite capillaire récidivant ou de grade 4 (nécessitant une assistance respiratoire)</w:t>
      </w:r>
    </w:p>
    <w:p w14:paraId="617CD7CF" w14:textId="77777777" w:rsidR="008F4AFF" w:rsidRPr="00D77B3B" w:rsidRDefault="008F4AFF" w:rsidP="008F4AFF">
      <w:pPr>
        <w:spacing w:line="240" w:lineRule="auto"/>
        <w:rPr>
          <w:i/>
          <w:szCs w:val="22"/>
        </w:rPr>
      </w:pPr>
    </w:p>
    <w:p w14:paraId="0D6FFB8A" w14:textId="77777777" w:rsidR="008F4AFF" w:rsidRPr="00D77B3B" w:rsidRDefault="008F4AFF" w:rsidP="008F4AFF">
      <w:pPr>
        <w:keepNext/>
        <w:keepLines/>
        <w:spacing w:line="240" w:lineRule="auto"/>
        <w:rPr>
          <w:i/>
          <w:szCs w:val="22"/>
        </w:rPr>
      </w:pPr>
      <w:proofErr w:type="gramStart"/>
      <w:r w:rsidRPr="00D77B3B">
        <w:rPr>
          <w:i/>
        </w:rPr>
        <w:t>Insuffisances rénale</w:t>
      </w:r>
      <w:proofErr w:type="gramEnd"/>
      <w:r w:rsidRPr="00D77B3B">
        <w:rPr>
          <w:i/>
        </w:rPr>
        <w:t xml:space="preserve"> et hépatique</w:t>
      </w:r>
    </w:p>
    <w:p w14:paraId="1C11A0B8" w14:textId="77777777" w:rsidR="008F4AFF" w:rsidRPr="00D77B3B" w:rsidRDefault="008F4AFF" w:rsidP="008F4AFF">
      <w:pPr>
        <w:pStyle w:val="ParagraphStyle"/>
        <w:keepNext/>
        <w:keepLines/>
        <w:spacing w:before="0" w:after="0"/>
        <w:rPr>
          <w:color w:val="auto"/>
          <w:sz w:val="22"/>
        </w:rPr>
      </w:pPr>
      <w:r w:rsidRPr="00D77B3B">
        <w:rPr>
          <w:color w:val="auto"/>
          <w:sz w:val="22"/>
        </w:rPr>
        <w:t>Aucune donnée n’est disponible concernant les patients atteints d’insuffisances rénale et hépatique (voir rubrique 5.2).</w:t>
      </w:r>
    </w:p>
    <w:p w14:paraId="6B4F8689" w14:textId="77777777" w:rsidR="008F4AFF" w:rsidRPr="00D77B3B" w:rsidRDefault="008F4AFF" w:rsidP="008F4AFF">
      <w:pPr>
        <w:pStyle w:val="ParagraphStyle"/>
        <w:spacing w:before="0" w:after="0"/>
        <w:rPr>
          <w:color w:val="auto"/>
          <w:sz w:val="22"/>
        </w:rPr>
      </w:pPr>
    </w:p>
    <w:p w14:paraId="64E931D9" w14:textId="77777777" w:rsidR="008F4AFF" w:rsidRPr="00D77B3B" w:rsidRDefault="008F4AFF" w:rsidP="008F4AFF">
      <w:pPr>
        <w:keepNext/>
        <w:keepLines/>
        <w:spacing w:line="240" w:lineRule="auto"/>
        <w:rPr>
          <w:i/>
          <w:szCs w:val="22"/>
        </w:rPr>
      </w:pPr>
      <w:r w:rsidRPr="00D77B3B">
        <w:rPr>
          <w:i/>
        </w:rPr>
        <w:t>Population pédiatrique</w:t>
      </w:r>
    </w:p>
    <w:p w14:paraId="612A4A3D" w14:textId="7B87DD7C" w:rsidR="008F4AFF" w:rsidRPr="00D77B3B" w:rsidRDefault="008F4AFF" w:rsidP="008F4AFF">
      <w:pPr>
        <w:keepNext/>
        <w:keepLines/>
        <w:suppressLineNumbers/>
        <w:autoSpaceDE w:val="0"/>
        <w:autoSpaceDN w:val="0"/>
        <w:adjustRightInd w:val="0"/>
        <w:spacing w:line="240" w:lineRule="auto"/>
        <w:rPr>
          <w:szCs w:val="22"/>
        </w:rPr>
      </w:pPr>
      <w:r w:rsidRPr="00D77B3B">
        <w:t xml:space="preserve">La sécurité et l’efficacité de </w:t>
      </w:r>
      <w:proofErr w:type="spellStart"/>
      <w:r w:rsidR="008737C6">
        <w:t>Qarziba</w:t>
      </w:r>
      <w:proofErr w:type="spellEnd"/>
      <w:r w:rsidRPr="00D77B3B">
        <w:t xml:space="preserve"> chez les enfants âgés de moins de 12 mois n’ont pas encore été établies. Aucune donnée n’est disponible.</w:t>
      </w:r>
    </w:p>
    <w:p w14:paraId="2E6F0265" w14:textId="77777777" w:rsidR="008F4AFF" w:rsidRPr="00D77B3B" w:rsidRDefault="008F4AFF" w:rsidP="008F4AFF">
      <w:pPr>
        <w:pStyle w:val="ParagraphStyle"/>
        <w:spacing w:before="0" w:after="0"/>
        <w:rPr>
          <w:color w:val="auto"/>
          <w:sz w:val="22"/>
        </w:rPr>
      </w:pPr>
    </w:p>
    <w:p w14:paraId="73BB964F" w14:textId="77777777" w:rsidR="008F4AFF" w:rsidRPr="00D77B3B" w:rsidRDefault="008F4AFF" w:rsidP="008F4AFF">
      <w:pPr>
        <w:keepNext/>
        <w:keepLines/>
        <w:spacing w:line="240" w:lineRule="auto"/>
        <w:rPr>
          <w:szCs w:val="22"/>
          <w:u w:val="single"/>
        </w:rPr>
      </w:pPr>
      <w:r w:rsidRPr="00D77B3B">
        <w:rPr>
          <w:u w:val="single"/>
        </w:rPr>
        <w:t>Mode d’administration</w:t>
      </w:r>
    </w:p>
    <w:p w14:paraId="7E8248AF" w14:textId="51559385" w:rsidR="008F4AFF" w:rsidRPr="00D77B3B" w:rsidRDefault="008737C6" w:rsidP="008F4AFF">
      <w:pPr>
        <w:keepNext/>
        <w:keepLines/>
        <w:suppressLineNumbers/>
        <w:autoSpaceDE w:val="0"/>
        <w:autoSpaceDN w:val="0"/>
        <w:adjustRightInd w:val="0"/>
        <w:spacing w:line="240" w:lineRule="auto"/>
        <w:rPr>
          <w:szCs w:val="22"/>
        </w:rPr>
      </w:pPr>
      <w:proofErr w:type="spellStart"/>
      <w:r>
        <w:t>Qarziba</w:t>
      </w:r>
      <w:proofErr w:type="spellEnd"/>
      <w:r w:rsidR="008F4AFF" w:rsidRPr="00D77B3B">
        <w:t xml:space="preserve"> est destiné à un usage par voie intraveineuse. La solution doit être administrée par une voie veineuse centrale ou périphérique. Les autres agents </w:t>
      </w:r>
      <w:proofErr w:type="spellStart"/>
      <w:r w:rsidR="008F4AFF" w:rsidRPr="00D77B3B">
        <w:t>co-administrés</w:t>
      </w:r>
      <w:proofErr w:type="spellEnd"/>
      <w:r w:rsidR="008F4AFF" w:rsidRPr="00D77B3B">
        <w:t xml:space="preserve"> par voie intraveineuse doivent être administrés par une ligne de perfusion séparée (voir rubrique 6.6).</w:t>
      </w:r>
    </w:p>
    <w:p w14:paraId="672B68AB" w14:textId="77777777" w:rsidR="008F4AFF" w:rsidRPr="00D77B3B" w:rsidRDefault="008F4AFF" w:rsidP="008F4AFF">
      <w:pPr>
        <w:spacing w:line="240" w:lineRule="auto"/>
        <w:rPr>
          <w:szCs w:val="22"/>
        </w:rPr>
      </w:pPr>
    </w:p>
    <w:p w14:paraId="075B5525" w14:textId="77777777" w:rsidR="008F4AFF" w:rsidRPr="00D77B3B" w:rsidRDefault="008F4AFF" w:rsidP="008F4AFF">
      <w:pPr>
        <w:spacing w:line="240" w:lineRule="auto"/>
        <w:rPr>
          <w:szCs w:val="22"/>
        </w:rPr>
      </w:pPr>
      <w:r w:rsidRPr="00D77B3B">
        <w:t>Pour les perfusions continues, la solution doit être administrée à un débit de 2 ml par heure (48 ml par jour) à l’aide d’une pompe à perfusion.</w:t>
      </w:r>
    </w:p>
    <w:p w14:paraId="55DE2AEE" w14:textId="77777777" w:rsidR="008F4AFF" w:rsidRPr="00D77B3B" w:rsidRDefault="008F4AFF" w:rsidP="008F4AFF">
      <w:pPr>
        <w:spacing w:line="240" w:lineRule="auto"/>
        <w:rPr>
          <w:szCs w:val="22"/>
        </w:rPr>
      </w:pPr>
    </w:p>
    <w:p w14:paraId="4721D908" w14:textId="77777777" w:rsidR="008F4AFF" w:rsidRPr="00D77B3B" w:rsidRDefault="008F4AFF" w:rsidP="008F4AFF">
      <w:pPr>
        <w:spacing w:line="240" w:lineRule="auto"/>
        <w:rPr>
          <w:szCs w:val="22"/>
        </w:rPr>
      </w:pPr>
      <w:r w:rsidRPr="00D77B3B">
        <w:t>Pour les perfusions de 8 heures par jour, la solution doit être administrée à un débit approximatif de 13 ml par heure.</w:t>
      </w:r>
    </w:p>
    <w:p w14:paraId="788FE94F" w14:textId="77777777" w:rsidR="008F4AFF" w:rsidRPr="00D77B3B" w:rsidRDefault="008F4AFF" w:rsidP="008F4AFF">
      <w:pPr>
        <w:spacing w:line="240" w:lineRule="auto"/>
        <w:rPr>
          <w:szCs w:val="22"/>
        </w:rPr>
      </w:pPr>
    </w:p>
    <w:p w14:paraId="43F680FF" w14:textId="77777777" w:rsidR="008F4AFF" w:rsidRPr="00D77B3B" w:rsidRDefault="008F4AFF" w:rsidP="008F4AFF">
      <w:pPr>
        <w:spacing w:line="240" w:lineRule="auto"/>
        <w:rPr>
          <w:szCs w:val="22"/>
        </w:rPr>
      </w:pPr>
      <w:r w:rsidRPr="00D77B3B">
        <w:t>Une prémédication doit systématiquement être envisagée avant de commencer chaque perfusion (voir rubrique 4.4).</w:t>
      </w:r>
    </w:p>
    <w:p w14:paraId="62BF95DE" w14:textId="77777777" w:rsidR="008F4AFF" w:rsidRPr="00D77B3B" w:rsidRDefault="008F4AFF" w:rsidP="008F4AFF">
      <w:pPr>
        <w:spacing w:line="240" w:lineRule="auto"/>
        <w:rPr>
          <w:szCs w:val="22"/>
        </w:rPr>
      </w:pPr>
    </w:p>
    <w:p w14:paraId="6AE560AE" w14:textId="77777777" w:rsidR="008F4AFF" w:rsidRPr="00D77B3B" w:rsidRDefault="008F4AFF" w:rsidP="008F4AFF">
      <w:pPr>
        <w:widowControl w:val="0"/>
        <w:autoSpaceDE w:val="0"/>
        <w:autoSpaceDN w:val="0"/>
        <w:adjustRightInd w:val="0"/>
        <w:spacing w:line="240" w:lineRule="auto"/>
        <w:rPr>
          <w:szCs w:val="22"/>
        </w:rPr>
      </w:pPr>
      <w:r w:rsidRPr="00D77B3B">
        <w:t>Pour les instructions concernant la dilution du médicament avant administration, voir la rubrique 6.6.</w:t>
      </w:r>
    </w:p>
    <w:p w14:paraId="7CBAD6CA" w14:textId="77777777" w:rsidR="008F4AFF" w:rsidRPr="00D77B3B" w:rsidRDefault="008F4AFF" w:rsidP="008F4AFF">
      <w:pPr>
        <w:spacing w:line="240" w:lineRule="auto"/>
        <w:rPr>
          <w:szCs w:val="22"/>
        </w:rPr>
      </w:pPr>
    </w:p>
    <w:p w14:paraId="26CEECA9" w14:textId="77777777" w:rsidR="008F4AFF" w:rsidRPr="00D77B3B" w:rsidRDefault="008F4AFF" w:rsidP="008F4AFF">
      <w:pPr>
        <w:keepNext/>
        <w:keepLines/>
        <w:spacing w:line="240" w:lineRule="auto"/>
        <w:outlineLvl w:val="0"/>
        <w:rPr>
          <w:b/>
          <w:noProof/>
          <w:szCs w:val="22"/>
        </w:rPr>
      </w:pPr>
      <w:r w:rsidRPr="00D77B3B">
        <w:rPr>
          <w:b/>
          <w:noProof/>
        </w:rPr>
        <w:t>4.3</w:t>
      </w:r>
      <w:r w:rsidRPr="00D77B3B">
        <w:tab/>
      </w:r>
      <w:r w:rsidRPr="00D77B3B">
        <w:rPr>
          <w:b/>
          <w:noProof/>
        </w:rPr>
        <w:t>Contre-indications</w:t>
      </w:r>
    </w:p>
    <w:p w14:paraId="6B59CACF" w14:textId="77777777" w:rsidR="008F4AFF" w:rsidRPr="00D77B3B" w:rsidRDefault="008F4AFF" w:rsidP="008F4AFF">
      <w:pPr>
        <w:keepNext/>
        <w:keepLines/>
        <w:spacing w:line="240" w:lineRule="auto"/>
        <w:rPr>
          <w:noProof/>
          <w:szCs w:val="22"/>
        </w:rPr>
      </w:pPr>
    </w:p>
    <w:p w14:paraId="6EC668F9" w14:textId="77777777" w:rsidR="008F4AFF" w:rsidRPr="00D77B3B" w:rsidRDefault="008F4AFF" w:rsidP="008F4AFF">
      <w:pPr>
        <w:keepNext/>
        <w:keepLines/>
        <w:spacing w:line="240" w:lineRule="auto"/>
        <w:rPr>
          <w:szCs w:val="22"/>
        </w:rPr>
      </w:pPr>
      <w:r w:rsidRPr="00D77B3B">
        <w:t>Hypersensibilité à la substance active ou à l’un des excipients mentionnés à la rubrique 6.1.</w:t>
      </w:r>
    </w:p>
    <w:p w14:paraId="4CB60960" w14:textId="77777777" w:rsidR="008F4AFF" w:rsidRPr="00D77B3B" w:rsidRDefault="008F4AFF" w:rsidP="008F4AFF">
      <w:pPr>
        <w:widowControl w:val="0"/>
        <w:spacing w:line="240" w:lineRule="auto"/>
        <w:rPr>
          <w:szCs w:val="22"/>
        </w:rPr>
      </w:pPr>
    </w:p>
    <w:p w14:paraId="7E927785" w14:textId="77777777" w:rsidR="008F4AFF" w:rsidRPr="00D77B3B" w:rsidRDefault="008F4AFF" w:rsidP="008F4AFF">
      <w:pPr>
        <w:widowControl w:val="0"/>
        <w:spacing w:line="240" w:lineRule="auto"/>
        <w:rPr>
          <w:szCs w:val="22"/>
        </w:rPr>
      </w:pPr>
      <w:r w:rsidRPr="00D77B3B">
        <w:t>Maladie du greffon contre l’hôte (</w:t>
      </w:r>
      <w:proofErr w:type="spellStart"/>
      <w:r w:rsidRPr="00D77B3B">
        <w:t>GvHD</w:t>
      </w:r>
      <w:proofErr w:type="spellEnd"/>
      <w:r w:rsidRPr="00D77B3B">
        <w:t>) chronique extensive ou aiguë de grade 3 ou 4</w:t>
      </w:r>
    </w:p>
    <w:p w14:paraId="54002CBD" w14:textId="77777777" w:rsidR="008F4AFF" w:rsidRPr="00D77B3B" w:rsidRDefault="008F4AFF" w:rsidP="008F4AFF">
      <w:pPr>
        <w:spacing w:line="240" w:lineRule="auto"/>
        <w:rPr>
          <w:szCs w:val="22"/>
        </w:rPr>
      </w:pPr>
    </w:p>
    <w:p w14:paraId="25C13F94" w14:textId="77777777" w:rsidR="008F4AFF" w:rsidRPr="00D77B3B" w:rsidRDefault="008F4AFF" w:rsidP="008F4AFF">
      <w:pPr>
        <w:keepNext/>
        <w:keepLines/>
        <w:spacing w:line="240" w:lineRule="auto"/>
        <w:outlineLvl w:val="0"/>
        <w:rPr>
          <w:b/>
          <w:noProof/>
          <w:szCs w:val="22"/>
        </w:rPr>
      </w:pPr>
      <w:r w:rsidRPr="00D77B3B">
        <w:rPr>
          <w:b/>
          <w:noProof/>
        </w:rPr>
        <w:lastRenderedPageBreak/>
        <w:t>4.4</w:t>
      </w:r>
      <w:r w:rsidRPr="00D77B3B">
        <w:tab/>
      </w:r>
      <w:r w:rsidRPr="00D77B3B">
        <w:rPr>
          <w:b/>
          <w:noProof/>
        </w:rPr>
        <w:t>Mises en garde spéciales et précautions d’emploi</w:t>
      </w:r>
    </w:p>
    <w:p w14:paraId="01B0E058" w14:textId="77777777" w:rsidR="008F4AFF" w:rsidRPr="00D77B3B" w:rsidRDefault="008F4AFF" w:rsidP="008F4AFF">
      <w:pPr>
        <w:pStyle w:val="BodytextAgency"/>
        <w:keepNext/>
        <w:spacing w:after="0" w:line="240" w:lineRule="auto"/>
        <w:rPr>
          <w:noProof/>
          <w:szCs w:val="22"/>
        </w:rPr>
      </w:pPr>
    </w:p>
    <w:p w14:paraId="5729C5E1" w14:textId="77777777" w:rsidR="008516E0" w:rsidRPr="00510084" w:rsidRDefault="008516E0" w:rsidP="008516E0">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22222"/>
          <w:szCs w:val="22"/>
          <w:u w:val="single"/>
          <w:lang w:bidi="ar-SA"/>
        </w:rPr>
      </w:pPr>
      <w:r w:rsidRPr="00510084">
        <w:rPr>
          <w:color w:val="222222"/>
          <w:szCs w:val="22"/>
          <w:u w:val="single"/>
          <w:lang w:bidi="ar-SA"/>
        </w:rPr>
        <w:t>Traçabilité</w:t>
      </w:r>
    </w:p>
    <w:p w14:paraId="3938510B" w14:textId="4932077F" w:rsidR="008516E0" w:rsidRPr="008516E0" w:rsidRDefault="008516E0" w:rsidP="008516E0">
      <w:pPr>
        <w:spacing w:line="240" w:lineRule="auto"/>
        <w:rPr>
          <w:color w:val="222222"/>
          <w:szCs w:val="22"/>
          <w:lang w:bidi="ar-SA"/>
        </w:rPr>
      </w:pPr>
      <w:r w:rsidRPr="00140819">
        <w:rPr>
          <w:color w:val="222222"/>
          <w:szCs w:val="22"/>
          <w:lang w:bidi="ar-SA"/>
        </w:rPr>
        <w:t>Afin d'améliorer la traçabilité des médicaments biologiques, le nom et le numéro de lot du produit administré doivent être clairement enregistrés.</w:t>
      </w:r>
    </w:p>
    <w:p w14:paraId="0635C095" w14:textId="77777777" w:rsidR="008516E0" w:rsidRDefault="008516E0" w:rsidP="00D070AE">
      <w:pPr>
        <w:pStyle w:val="BodytextAgency"/>
        <w:keepNext/>
        <w:keepLines/>
        <w:spacing w:after="0" w:line="240" w:lineRule="auto"/>
        <w:rPr>
          <w:rFonts w:ascii="Times New Roman" w:hAnsi="Times New Roman"/>
          <w:noProof/>
          <w:sz w:val="22"/>
          <w:szCs w:val="22"/>
          <w:u w:val="single"/>
          <w:lang w:eastAsia="en-GB" w:bidi="ar-SA"/>
        </w:rPr>
      </w:pPr>
    </w:p>
    <w:p w14:paraId="799B3FB2" w14:textId="4089EC29" w:rsidR="008F4AFF" w:rsidRPr="00847902" w:rsidRDefault="008F4AFF" w:rsidP="00D070AE">
      <w:pPr>
        <w:pStyle w:val="BodytextAgency"/>
        <w:keepNext/>
        <w:keepLines/>
        <w:spacing w:after="0" w:line="240" w:lineRule="auto"/>
        <w:rPr>
          <w:rFonts w:ascii="Times New Roman" w:hAnsi="Times New Roman"/>
          <w:noProof/>
          <w:sz w:val="22"/>
          <w:szCs w:val="22"/>
          <w:u w:val="single"/>
          <w:lang w:eastAsia="en-GB" w:bidi="ar-SA"/>
        </w:rPr>
      </w:pPr>
      <w:r w:rsidRPr="00847902">
        <w:rPr>
          <w:rFonts w:ascii="Times New Roman" w:hAnsi="Times New Roman"/>
          <w:noProof/>
          <w:sz w:val="22"/>
          <w:szCs w:val="22"/>
          <w:u w:val="single"/>
          <w:lang w:eastAsia="en-GB" w:bidi="ar-SA"/>
        </w:rPr>
        <w:t>Douleurs</w:t>
      </w:r>
    </w:p>
    <w:p w14:paraId="53E7848E" w14:textId="2721ABDC" w:rsidR="008F4AFF" w:rsidRPr="00D77B3B" w:rsidRDefault="008F4AFF" w:rsidP="008F4AFF">
      <w:pPr>
        <w:pStyle w:val="BodytextAgency"/>
        <w:spacing w:after="0" w:line="240" w:lineRule="auto"/>
        <w:rPr>
          <w:rFonts w:ascii="Times New Roman" w:hAnsi="Times New Roman"/>
          <w:sz w:val="22"/>
          <w:szCs w:val="22"/>
        </w:rPr>
      </w:pPr>
      <w:r w:rsidRPr="00D77B3B">
        <w:rPr>
          <w:rFonts w:ascii="Times New Roman" w:hAnsi="Times New Roman"/>
          <w:sz w:val="22"/>
        </w:rPr>
        <w:t xml:space="preserve">Des douleurs neuropathiques surviennent </w:t>
      </w:r>
      <w:r w:rsidR="0073590C">
        <w:rPr>
          <w:rFonts w:ascii="Times New Roman" w:hAnsi="Times New Roman"/>
          <w:sz w:val="22"/>
        </w:rPr>
        <w:t>généralement</w:t>
      </w:r>
      <w:r w:rsidR="006A0554">
        <w:rPr>
          <w:rFonts w:ascii="Times New Roman" w:hAnsi="Times New Roman"/>
          <w:sz w:val="22"/>
        </w:rPr>
        <w:t xml:space="preserve"> </w:t>
      </w:r>
      <w:r w:rsidRPr="00D77B3B">
        <w:rPr>
          <w:rFonts w:ascii="Times New Roman" w:hAnsi="Times New Roman"/>
          <w:sz w:val="22"/>
        </w:rPr>
        <w:t xml:space="preserve">au début du traitement et nécessitent une prémédication par analgésiques, </w:t>
      </w:r>
      <w:r w:rsidR="0073590C">
        <w:rPr>
          <w:rFonts w:ascii="Times New Roman" w:hAnsi="Times New Roman"/>
          <w:sz w:val="22"/>
        </w:rPr>
        <w:t>incluant</w:t>
      </w:r>
      <w:r w:rsidR="006A0554">
        <w:rPr>
          <w:rFonts w:ascii="Times New Roman" w:hAnsi="Times New Roman"/>
          <w:sz w:val="22"/>
        </w:rPr>
        <w:t xml:space="preserve"> </w:t>
      </w:r>
      <w:r w:rsidRPr="00D77B3B">
        <w:rPr>
          <w:rFonts w:ascii="Times New Roman" w:hAnsi="Times New Roman"/>
          <w:sz w:val="22"/>
        </w:rPr>
        <w:t xml:space="preserve">des opioïdes par voie intraveineuse, avant chaque perfusion de </w:t>
      </w:r>
      <w:proofErr w:type="spellStart"/>
      <w:r w:rsidRPr="00D77B3B">
        <w:rPr>
          <w:rFonts w:ascii="Times New Roman" w:hAnsi="Times New Roman"/>
          <w:sz w:val="22"/>
        </w:rPr>
        <w:t>dinutuximab</w:t>
      </w:r>
      <w:proofErr w:type="spellEnd"/>
      <w:r w:rsidRPr="00D77B3B">
        <w:rPr>
          <w:rFonts w:ascii="Times New Roman" w:hAnsi="Times New Roman"/>
          <w:sz w:val="22"/>
        </w:rPr>
        <w:t xml:space="preserve"> bêta. Une trithérapie, associant des analgésiques non opioïdes (selon les </w:t>
      </w:r>
      <w:r w:rsidR="000567C2">
        <w:rPr>
          <w:rFonts w:ascii="Times New Roman" w:hAnsi="Times New Roman"/>
          <w:sz w:val="22"/>
        </w:rPr>
        <w:t>recommandations</w:t>
      </w:r>
      <w:r w:rsidRPr="00D77B3B">
        <w:rPr>
          <w:rFonts w:ascii="Times New Roman" w:hAnsi="Times New Roman"/>
          <w:sz w:val="22"/>
        </w:rPr>
        <w:t xml:space="preserve"> de l’OMS), de la gabapentine et des opioïdes, est recommandée pour le traitement de la douleur. La dose individuelle peut varier dans des proportions importantes.</w:t>
      </w:r>
    </w:p>
    <w:p w14:paraId="73D513EC" w14:textId="77777777" w:rsidR="008F4AFF" w:rsidRPr="00D77B3B" w:rsidRDefault="008F4AFF" w:rsidP="008F4AFF">
      <w:pPr>
        <w:pStyle w:val="BodytextAgency"/>
        <w:spacing w:after="0" w:line="240" w:lineRule="auto"/>
        <w:rPr>
          <w:noProof/>
          <w:szCs w:val="22"/>
        </w:rPr>
      </w:pPr>
    </w:p>
    <w:p w14:paraId="506A4ADB" w14:textId="77777777" w:rsidR="008F4AFF" w:rsidRPr="00D070AE" w:rsidRDefault="008F4AFF" w:rsidP="008F4AFF">
      <w:pPr>
        <w:pStyle w:val="BodytextAgency"/>
        <w:spacing w:after="0" w:line="240" w:lineRule="auto"/>
        <w:rPr>
          <w:rFonts w:ascii="Times New Roman" w:hAnsi="Times New Roman"/>
          <w:i/>
          <w:noProof/>
          <w:sz w:val="22"/>
          <w:szCs w:val="22"/>
        </w:rPr>
      </w:pPr>
      <w:r w:rsidRPr="00D070AE">
        <w:rPr>
          <w:rFonts w:ascii="Times New Roman" w:hAnsi="Times New Roman"/>
          <w:i/>
          <w:noProof/>
          <w:sz w:val="22"/>
        </w:rPr>
        <w:t>Analgésiques non opioïdes</w:t>
      </w:r>
    </w:p>
    <w:p w14:paraId="18C692CC" w14:textId="51CAD377"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 xml:space="preserve">Des analgésiques non opioïdes doivent être utilisés </w:t>
      </w:r>
      <w:r w:rsidR="000567C2">
        <w:rPr>
          <w:rFonts w:ascii="Times New Roman" w:hAnsi="Times New Roman"/>
          <w:noProof/>
          <w:sz w:val="22"/>
        </w:rPr>
        <w:t>en continu</w:t>
      </w:r>
      <w:r w:rsidRPr="00D77B3B">
        <w:rPr>
          <w:rFonts w:ascii="Times New Roman" w:hAnsi="Times New Roman"/>
          <w:noProof/>
          <w:sz w:val="22"/>
        </w:rPr>
        <w:t xml:space="preserve"> tout au long du traitement, par exemple du paracétamol ou de l’ibuprofène</w:t>
      </w:r>
      <w:r w:rsidR="000567C2">
        <w:rPr>
          <w:rFonts w:ascii="Times New Roman" w:hAnsi="Times New Roman"/>
          <w:noProof/>
          <w:sz w:val="22"/>
        </w:rPr>
        <w:t>.</w:t>
      </w:r>
    </w:p>
    <w:p w14:paraId="14FA4A6B" w14:textId="77777777" w:rsidR="008F4AFF" w:rsidRPr="00D77B3B" w:rsidRDefault="008F4AFF" w:rsidP="008F4AFF">
      <w:pPr>
        <w:pStyle w:val="BodytextAgency"/>
        <w:spacing w:after="0" w:line="240" w:lineRule="auto"/>
        <w:rPr>
          <w:rFonts w:ascii="Times New Roman" w:hAnsi="Times New Roman"/>
          <w:noProof/>
          <w:sz w:val="22"/>
          <w:szCs w:val="22"/>
        </w:rPr>
      </w:pPr>
    </w:p>
    <w:p w14:paraId="6105A816" w14:textId="77777777" w:rsidR="008F4AFF" w:rsidRPr="00D070AE" w:rsidRDefault="008F4AFF" w:rsidP="008F4AFF">
      <w:pPr>
        <w:pStyle w:val="BodytextAgency"/>
        <w:spacing w:after="0" w:line="240" w:lineRule="auto"/>
        <w:rPr>
          <w:rFonts w:ascii="Times New Roman" w:hAnsi="Times New Roman"/>
          <w:i/>
          <w:noProof/>
          <w:sz w:val="22"/>
          <w:szCs w:val="22"/>
        </w:rPr>
      </w:pPr>
      <w:r w:rsidRPr="00D070AE">
        <w:rPr>
          <w:rFonts w:ascii="Times New Roman" w:hAnsi="Times New Roman"/>
          <w:i/>
          <w:noProof/>
          <w:sz w:val="22"/>
        </w:rPr>
        <w:t>Gabapentine</w:t>
      </w:r>
    </w:p>
    <w:p w14:paraId="310E3D31" w14:textId="506A154A" w:rsidR="008F4AFF" w:rsidRPr="00D77B3B" w:rsidRDefault="00917BBF" w:rsidP="008F4AFF">
      <w:pPr>
        <w:pStyle w:val="BodytextAgency"/>
        <w:spacing w:after="0" w:line="240" w:lineRule="auto"/>
        <w:rPr>
          <w:rFonts w:ascii="Times New Roman" w:hAnsi="Times New Roman"/>
          <w:noProof/>
          <w:sz w:val="22"/>
          <w:szCs w:val="22"/>
        </w:rPr>
      </w:pPr>
      <w:r>
        <w:rPr>
          <w:rFonts w:ascii="Times New Roman" w:hAnsi="Times New Roman"/>
          <w:noProof/>
          <w:sz w:val="22"/>
        </w:rPr>
        <w:t xml:space="preserve">Trois </w:t>
      </w:r>
      <w:r w:rsidRPr="00D77B3B">
        <w:rPr>
          <w:rFonts w:ascii="Times New Roman" w:hAnsi="Times New Roman"/>
          <w:noProof/>
          <w:sz w:val="22"/>
        </w:rPr>
        <w:t>jours avant la perfusion de dinutuximab bêta</w:t>
      </w:r>
      <w:r>
        <w:rPr>
          <w:rFonts w:ascii="Times New Roman" w:hAnsi="Times New Roman"/>
          <w:noProof/>
          <w:sz w:val="22"/>
        </w:rPr>
        <w:t>, l</w:t>
      </w:r>
      <w:r w:rsidR="00B7127A">
        <w:rPr>
          <w:rFonts w:ascii="Times New Roman" w:hAnsi="Times New Roman"/>
          <w:noProof/>
          <w:sz w:val="22"/>
        </w:rPr>
        <w:t>e traitement</w:t>
      </w:r>
      <w:r>
        <w:rPr>
          <w:rFonts w:ascii="Times New Roman" w:hAnsi="Times New Roman"/>
          <w:noProof/>
          <w:sz w:val="22"/>
        </w:rPr>
        <w:t xml:space="preserve"> par gabapentine doit </w:t>
      </w:r>
      <w:r w:rsidR="00B7127A">
        <w:rPr>
          <w:rFonts w:ascii="Times New Roman" w:hAnsi="Times New Roman"/>
          <w:noProof/>
          <w:sz w:val="22"/>
        </w:rPr>
        <w:t>être débuté</w:t>
      </w:r>
      <w:r>
        <w:rPr>
          <w:rFonts w:ascii="Times New Roman" w:hAnsi="Times New Roman"/>
          <w:noProof/>
          <w:sz w:val="22"/>
        </w:rPr>
        <w:t xml:space="preserve"> à la dose </w:t>
      </w:r>
      <w:r w:rsidR="008F4AFF" w:rsidRPr="00D77B3B">
        <w:rPr>
          <w:rFonts w:ascii="Times New Roman" w:hAnsi="Times New Roman"/>
          <w:noProof/>
          <w:sz w:val="22"/>
        </w:rPr>
        <w:t xml:space="preserve">10 mg/kg/jour. </w:t>
      </w:r>
      <w:r>
        <w:rPr>
          <w:rFonts w:ascii="Times New Roman" w:hAnsi="Times New Roman"/>
          <w:noProof/>
          <w:sz w:val="22"/>
        </w:rPr>
        <w:t>Le jour suivant, l</w:t>
      </w:r>
      <w:r w:rsidR="008F4AFF" w:rsidRPr="00D77B3B">
        <w:rPr>
          <w:rFonts w:ascii="Times New Roman" w:hAnsi="Times New Roman"/>
          <w:noProof/>
          <w:sz w:val="22"/>
        </w:rPr>
        <w:t xml:space="preserve">a dose journalière de gabapentine est augmentée à 2×10 mg/kg/jour par voie orale, puis à 3×10 mg/kg/jour la veille du traitement par perfusion de dinutuximab bêta et par la suite. La dose maximale </w:t>
      </w:r>
      <w:r w:rsidR="000567C2">
        <w:rPr>
          <w:rFonts w:ascii="Times New Roman" w:hAnsi="Times New Roman"/>
          <w:noProof/>
          <w:sz w:val="22"/>
        </w:rPr>
        <w:t xml:space="preserve">par prise </w:t>
      </w:r>
      <w:r w:rsidR="008F4AFF" w:rsidRPr="00D77B3B">
        <w:rPr>
          <w:rFonts w:ascii="Times New Roman" w:hAnsi="Times New Roman"/>
          <w:noProof/>
          <w:sz w:val="22"/>
        </w:rPr>
        <w:t>de gabapentine est de 300 mg. Ce schéma posologique doit être maintenu aussi longtemps que nécessaire pour le patient.</w:t>
      </w:r>
    </w:p>
    <w:p w14:paraId="0A4E5B8B" w14:textId="7C24C6EB"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 xml:space="preserve">La prise de gabapentine par voie orale doit être </w:t>
      </w:r>
      <w:r w:rsidR="005B5B62">
        <w:rPr>
          <w:rFonts w:ascii="Times New Roman" w:hAnsi="Times New Roman"/>
          <w:noProof/>
          <w:sz w:val="22"/>
        </w:rPr>
        <w:t>diminuée</w:t>
      </w:r>
      <w:r w:rsidRPr="00D77B3B">
        <w:rPr>
          <w:rFonts w:ascii="Times New Roman" w:hAnsi="Times New Roman"/>
          <w:noProof/>
          <w:sz w:val="22"/>
        </w:rPr>
        <w:t xml:space="preserve"> après le sevrage des perfusions intraveineuses de morphine, au plus tard après l’arrêt </w:t>
      </w:r>
      <w:r w:rsidR="00E90C2E">
        <w:rPr>
          <w:rFonts w:ascii="Times New Roman" w:hAnsi="Times New Roman"/>
          <w:noProof/>
          <w:sz w:val="22"/>
        </w:rPr>
        <w:t xml:space="preserve">des </w:t>
      </w:r>
      <w:r w:rsidRPr="00D77B3B">
        <w:rPr>
          <w:rFonts w:ascii="Times New Roman" w:hAnsi="Times New Roman"/>
          <w:noProof/>
          <w:sz w:val="22"/>
        </w:rPr>
        <w:t>perfusion</w:t>
      </w:r>
      <w:r w:rsidR="000567C2">
        <w:rPr>
          <w:rFonts w:ascii="Times New Roman" w:hAnsi="Times New Roman"/>
          <w:noProof/>
          <w:sz w:val="22"/>
        </w:rPr>
        <w:t>s</w:t>
      </w:r>
      <w:r w:rsidRPr="00D77B3B">
        <w:rPr>
          <w:rFonts w:ascii="Times New Roman" w:hAnsi="Times New Roman"/>
          <w:noProof/>
          <w:sz w:val="22"/>
        </w:rPr>
        <w:t xml:space="preserve"> de dinutuximab bêta.</w:t>
      </w:r>
    </w:p>
    <w:p w14:paraId="7B1A95B2" w14:textId="77777777" w:rsidR="008F4AFF" w:rsidRPr="00D77B3B" w:rsidRDefault="008F4AFF" w:rsidP="008F4AFF">
      <w:pPr>
        <w:pStyle w:val="BodytextAgency"/>
        <w:spacing w:after="0" w:line="240" w:lineRule="auto"/>
        <w:rPr>
          <w:rFonts w:ascii="Times New Roman" w:hAnsi="Times New Roman"/>
          <w:noProof/>
          <w:sz w:val="22"/>
          <w:szCs w:val="22"/>
        </w:rPr>
      </w:pPr>
    </w:p>
    <w:p w14:paraId="45EDC254" w14:textId="77777777" w:rsidR="008F4AFF" w:rsidRPr="00D070AE" w:rsidRDefault="008F4AFF" w:rsidP="00D070AE">
      <w:pPr>
        <w:pStyle w:val="BodytextAgency"/>
        <w:spacing w:after="0" w:line="240" w:lineRule="auto"/>
        <w:rPr>
          <w:rFonts w:ascii="Times New Roman" w:hAnsi="Times New Roman"/>
          <w:i/>
          <w:noProof/>
          <w:sz w:val="22"/>
        </w:rPr>
      </w:pPr>
      <w:r w:rsidRPr="00D070AE">
        <w:rPr>
          <w:rFonts w:ascii="Times New Roman" w:hAnsi="Times New Roman"/>
          <w:i/>
          <w:noProof/>
          <w:sz w:val="22"/>
        </w:rPr>
        <w:t>Opioïdes</w:t>
      </w:r>
    </w:p>
    <w:p w14:paraId="4D44E350" w14:textId="56CB7558"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 xml:space="preserve">Le traitement par opioïdes est fréquent avec dinutuximab bêta. Une dose plus élevée est habituellement nécessaire le premier jour </w:t>
      </w:r>
      <w:r w:rsidR="005B5B62">
        <w:rPr>
          <w:rFonts w:ascii="Times New Roman" w:hAnsi="Times New Roman"/>
          <w:noProof/>
          <w:sz w:val="22"/>
        </w:rPr>
        <w:t xml:space="preserve">du premier cycle de traitement </w:t>
      </w:r>
      <w:r w:rsidRPr="00D77B3B">
        <w:rPr>
          <w:rFonts w:ascii="Times New Roman" w:hAnsi="Times New Roman"/>
          <w:noProof/>
          <w:sz w:val="22"/>
        </w:rPr>
        <w:t>par rapport aux jours et cycles suivants.</w:t>
      </w:r>
    </w:p>
    <w:p w14:paraId="66D142E3" w14:textId="77777777" w:rsidR="008F4AFF" w:rsidRPr="00D77B3B" w:rsidRDefault="008F4AFF" w:rsidP="008F4AFF">
      <w:pPr>
        <w:pStyle w:val="BodytextAgency"/>
        <w:spacing w:after="0" w:line="240" w:lineRule="auto"/>
        <w:rPr>
          <w:rFonts w:ascii="Times New Roman" w:hAnsi="Times New Roman"/>
          <w:noProof/>
          <w:sz w:val="22"/>
          <w:szCs w:val="22"/>
        </w:rPr>
      </w:pPr>
    </w:p>
    <w:p w14:paraId="04FFDB9B" w14:textId="77777777" w:rsidR="008F4AFF" w:rsidRPr="00D77B3B" w:rsidRDefault="008F4AFF" w:rsidP="008F4AFF">
      <w:pPr>
        <w:pStyle w:val="BodytextAgency"/>
        <w:numPr>
          <w:ilvl w:val="0"/>
          <w:numId w:val="9"/>
        </w:numPr>
        <w:spacing w:after="0" w:line="240" w:lineRule="auto"/>
        <w:rPr>
          <w:rFonts w:ascii="Times New Roman" w:hAnsi="Times New Roman"/>
          <w:noProof/>
          <w:sz w:val="22"/>
          <w:szCs w:val="22"/>
        </w:rPr>
      </w:pPr>
      <w:r w:rsidRPr="00D77B3B">
        <w:rPr>
          <w:rFonts w:ascii="Times New Roman" w:hAnsi="Times New Roman"/>
          <w:noProof/>
          <w:sz w:val="22"/>
        </w:rPr>
        <w:t>Avant de débuter une perfusion intraveineuse continue de morphine, l’injection d’un bolus de morphine de 0,02 à 0,05 mg/kg/heure doit débuter 2 heures avant la perfusion de dinutuximab bêta.</w:t>
      </w:r>
    </w:p>
    <w:p w14:paraId="66987451" w14:textId="3804FAE6" w:rsidR="008F4AFF" w:rsidRPr="00D77B3B" w:rsidRDefault="008F4AFF" w:rsidP="008F4AFF">
      <w:pPr>
        <w:pStyle w:val="BodytextAgency"/>
        <w:numPr>
          <w:ilvl w:val="0"/>
          <w:numId w:val="9"/>
        </w:numPr>
        <w:spacing w:after="0" w:line="240" w:lineRule="auto"/>
        <w:rPr>
          <w:rFonts w:ascii="Times New Roman" w:hAnsi="Times New Roman"/>
          <w:noProof/>
          <w:sz w:val="22"/>
          <w:szCs w:val="22"/>
        </w:rPr>
      </w:pPr>
      <w:r w:rsidRPr="00D77B3B">
        <w:rPr>
          <w:rFonts w:ascii="Times New Roman" w:hAnsi="Times New Roman"/>
          <w:noProof/>
          <w:sz w:val="22"/>
        </w:rPr>
        <w:t>Par la suite, l</w:t>
      </w:r>
      <w:r w:rsidR="000567C2">
        <w:rPr>
          <w:rFonts w:ascii="Times New Roman" w:hAnsi="Times New Roman"/>
          <w:noProof/>
          <w:sz w:val="22"/>
        </w:rPr>
        <w:t>a</w:t>
      </w:r>
      <w:r w:rsidRPr="00D77B3B">
        <w:rPr>
          <w:rFonts w:ascii="Times New Roman" w:hAnsi="Times New Roman"/>
          <w:noProof/>
          <w:sz w:val="22"/>
        </w:rPr>
        <w:t xml:space="preserve"> do</w:t>
      </w:r>
      <w:r w:rsidR="00B7127A">
        <w:rPr>
          <w:rFonts w:ascii="Times New Roman" w:hAnsi="Times New Roman"/>
          <w:noProof/>
          <w:sz w:val="22"/>
        </w:rPr>
        <w:t>s</w:t>
      </w:r>
      <w:r w:rsidRPr="00D77B3B">
        <w:rPr>
          <w:rFonts w:ascii="Times New Roman" w:hAnsi="Times New Roman"/>
          <w:noProof/>
          <w:sz w:val="22"/>
        </w:rPr>
        <w:t>e recommandé</w:t>
      </w:r>
      <w:r w:rsidR="000567C2">
        <w:rPr>
          <w:rFonts w:ascii="Times New Roman" w:hAnsi="Times New Roman"/>
          <w:noProof/>
          <w:sz w:val="22"/>
        </w:rPr>
        <w:t>e</w:t>
      </w:r>
      <w:r w:rsidRPr="00D77B3B">
        <w:rPr>
          <w:rFonts w:ascii="Times New Roman" w:hAnsi="Times New Roman"/>
          <w:noProof/>
          <w:sz w:val="22"/>
        </w:rPr>
        <w:t xml:space="preserve"> est de 0,03 mg/kg/heure</w:t>
      </w:r>
      <w:r w:rsidR="0073590C">
        <w:rPr>
          <w:rFonts w:ascii="Times New Roman" w:hAnsi="Times New Roman"/>
          <w:noProof/>
          <w:sz w:val="22"/>
        </w:rPr>
        <w:t>,</w:t>
      </w:r>
      <w:r w:rsidRPr="00D77B3B">
        <w:rPr>
          <w:rFonts w:ascii="Times New Roman" w:hAnsi="Times New Roman"/>
          <w:noProof/>
          <w:sz w:val="22"/>
        </w:rPr>
        <w:t xml:space="preserve"> administré</w:t>
      </w:r>
      <w:r w:rsidR="000567C2">
        <w:rPr>
          <w:rFonts w:ascii="Times New Roman" w:hAnsi="Times New Roman"/>
          <w:noProof/>
          <w:sz w:val="22"/>
        </w:rPr>
        <w:t>e</w:t>
      </w:r>
      <w:r w:rsidRPr="00D77B3B">
        <w:rPr>
          <w:rFonts w:ascii="Times New Roman" w:hAnsi="Times New Roman"/>
          <w:noProof/>
          <w:sz w:val="22"/>
        </w:rPr>
        <w:t xml:space="preserve"> de façon concomitante </w:t>
      </w:r>
      <w:r w:rsidR="000567C2">
        <w:rPr>
          <w:rFonts w:ascii="Times New Roman" w:hAnsi="Times New Roman"/>
          <w:noProof/>
          <w:sz w:val="22"/>
        </w:rPr>
        <w:t>à</w:t>
      </w:r>
      <w:r w:rsidR="000567C2" w:rsidRPr="00D77B3B">
        <w:rPr>
          <w:rFonts w:ascii="Times New Roman" w:hAnsi="Times New Roman"/>
          <w:noProof/>
          <w:sz w:val="22"/>
        </w:rPr>
        <w:t xml:space="preserve"> </w:t>
      </w:r>
      <w:r w:rsidRPr="00D77B3B">
        <w:rPr>
          <w:rFonts w:ascii="Times New Roman" w:hAnsi="Times New Roman"/>
          <w:noProof/>
          <w:sz w:val="22"/>
        </w:rPr>
        <w:t>la perfusion de dinutuximab bêta.</w:t>
      </w:r>
    </w:p>
    <w:p w14:paraId="01B32B4F" w14:textId="321A14DC" w:rsidR="008F4AFF" w:rsidRPr="00D77B3B" w:rsidRDefault="008F4AFF" w:rsidP="008F4AFF">
      <w:pPr>
        <w:pStyle w:val="ListParagraph"/>
        <w:numPr>
          <w:ilvl w:val="0"/>
          <w:numId w:val="9"/>
        </w:numPr>
        <w:tabs>
          <w:tab w:val="clear" w:pos="567"/>
        </w:tabs>
        <w:spacing w:line="240" w:lineRule="auto"/>
        <w:rPr>
          <w:noProof/>
          <w:szCs w:val="22"/>
        </w:rPr>
      </w:pPr>
      <w:r w:rsidRPr="00D77B3B">
        <w:t xml:space="preserve">Pour les perfusions quotidiennes de </w:t>
      </w:r>
      <w:proofErr w:type="spellStart"/>
      <w:r w:rsidRPr="00D77B3B">
        <w:t>dinutuximab</w:t>
      </w:r>
      <w:proofErr w:type="spellEnd"/>
      <w:r w:rsidRPr="00D77B3B">
        <w:t xml:space="preserve"> bêta, la perfusion de morphine doit être maintenue à un débit réduit (par ex. 0,01 mg/kg/h) pendant </w:t>
      </w:r>
      <w:r w:rsidR="000567C2">
        <w:t xml:space="preserve">les </w:t>
      </w:r>
      <w:r w:rsidRPr="00D77B3B">
        <w:t xml:space="preserve">4 heures </w:t>
      </w:r>
      <w:r w:rsidR="000567C2">
        <w:t>suivant</w:t>
      </w:r>
      <w:r w:rsidR="000567C2" w:rsidRPr="00D77B3B">
        <w:t xml:space="preserve"> </w:t>
      </w:r>
      <w:r w:rsidRPr="00D77B3B">
        <w:t xml:space="preserve">la fin de la perfusion de </w:t>
      </w:r>
      <w:proofErr w:type="spellStart"/>
      <w:r w:rsidRPr="00D77B3B">
        <w:t>dinutuximab</w:t>
      </w:r>
      <w:proofErr w:type="spellEnd"/>
      <w:r w:rsidRPr="00D77B3B">
        <w:t xml:space="preserve"> bêta.</w:t>
      </w:r>
    </w:p>
    <w:p w14:paraId="51912E0B" w14:textId="24C10D3D" w:rsidR="008F4AFF" w:rsidRPr="00D77B3B" w:rsidRDefault="008F4AFF" w:rsidP="008F4AFF">
      <w:pPr>
        <w:pStyle w:val="ListParagraph"/>
        <w:numPr>
          <w:ilvl w:val="0"/>
          <w:numId w:val="9"/>
        </w:numPr>
        <w:tabs>
          <w:tab w:val="clear" w:pos="567"/>
        </w:tabs>
        <w:spacing w:line="240" w:lineRule="auto"/>
        <w:rPr>
          <w:noProof/>
          <w:szCs w:val="22"/>
        </w:rPr>
      </w:pPr>
      <w:r w:rsidRPr="00D77B3B">
        <w:t>Lors d’une perfusion continue, en fonction de la perception de la douleur du patient, le sevrage de la morphine peut être réalisé en 5 jours en diminuant progressivement l</w:t>
      </w:r>
      <w:r w:rsidR="000567C2">
        <w:t>a</w:t>
      </w:r>
      <w:r w:rsidR="00E90C2E">
        <w:t xml:space="preserve"> </w:t>
      </w:r>
      <w:r w:rsidRPr="00D77B3B">
        <w:t>dose (par ex. à 0,02 mg/kg/heure, puis 0,01 mg/kg/heure, puis 0,005 mg/kg/heure).</w:t>
      </w:r>
    </w:p>
    <w:p w14:paraId="49A04C9E" w14:textId="110F1A2B" w:rsidR="008F4AFF" w:rsidRPr="00D77B3B" w:rsidRDefault="008F4AFF" w:rsidP="008F4AFF">
      <w:pPr>
        <w:pStyle w:val="ListParagraph"/>
        <w:numPr>
          <w:ilvl w:val="0"/>
          <w:numId w:val="9"/>
        </w:numPr>
        <w:tabs>
          <w:tab w:val="clear" w:pos="567"/>
        </w:tabs>
        <w:spacing w:line="240" w:lineRule="auto"/>
        <w:rPr>
          <w:noProof/>
          <w:szCs w:val="22"/>
        </w:rPr>
      </w:pPr>
      <w:r w:rsidRPr="00D77B3B">
        <w:t>Si une perfusion continue de morphine est nécessaire durant plus de 5 jours, l</w:t>
      </w:r>
      <w:r w:rsidR="00C55E4E">
        <w:t xml:space="preserve">a dose </w:t>
      </w:r>
      <w:r w:rsidRPr="00D77B3B">
        <w:t>doit être progressivement réduit</w:t>
      </w:r>
      <w:r w:rsidR="00C55E4E">
        <w:t>e</w:t>
      </w:r>
      <w:r w:rsidRPr="00D77B3B">
        <w:t xml:space="preserve"> de 20 % par jour après le dernier jour de perfusion de </w:t>
      </w:r>
      <w:proofErr w:type="spellStart"/>
      <w:r w:rsidRPr="00D77B3B">
        <w:t>dinutuximab</w:t>
      </w:r>
      <w:proofErr w:type="spellEnd"/>
      <w:r w:rsidRPr="00D77B3B">
        <w:t xml:space="preserve"> bêta.</w:t>
      </w:r>
    </w:p>
    <w:p w14:paraId="25A8141B" w14:textId="77777777" w:rsidR="008F4AFF" w:rsidRPr="00D77B3B" w:rsidRDefault="008F4AFF" w:rsidP="008F4AFF">
      <w:pPr>
        <w:tabs>
          <w:tab w:val="clear" w:pos="567"/>
        </w:tabs>
        <w:spacing w:line="240" w:lineRule="auto"/>
        <w:rPr>
          <w:noProof/>
          <w:szCs w:val="22"/>
        </w:rPr>
      </w:pPr>
    </w:p>
    <w:p w14:paraId="3C1806F5" w14:textId="29D7C4AA" w:rsidR="008F4AFF" w:rsidRPr="00D77B3B" w:rsidRDefault="008F4AFF" w:rsidP="008F4AFF">
      <w:pPr>
        <w:tabs>
          <w:tab w:val="clear" w:pos="567"/>
        </w:tabs>
        <w:spacing w:line="240" w:lineRule="auto"/>
        <w:rPr>
          <w:noProof/>
          <w:szCs w:val="22"/>
        </w:rPr>
      </w:pPr>
      <w:r w:rsidRPr="00D77B3B">
        <w:t xml:space="preserve">Après morphine en intraveineuse et en cas de douleurs neuropathiques sévères, du sulfate de morphine (0,2 à 0,4 mg/kg toutes les 4 à 6 heures) peut être administré par voie orale sur demande. Du </w:t>
      </w:r>
      <w:proofErr w:type="spellStart"/>
      <w:r w:rsidRPr="00D77B3B">
        <w:t>tramadol</w:t>
      </w:r>
      <w:proofErr w:type="spellEnd"/>
      <w:r w:rsidRPr="00D77B3B">
        <w:t xml:space="preserve"> peut être administré par voie orale en cas de douleurs neuropathiques modérées.</w:t>
      </w:r>
    </w:p>
    <w:p w14:paraId="00CFB2DC" w14:textId="77777777" w:rsidR="008F4AFF" w:rsidRPr="00D77B3B" w:rsidRDefault="008F4AFF" w:rsidP="008F4AFF">
      <w:pPr>
        <w:spacing w:line="240" w:lineRule="auto"/>
        <w:rPr>
          <w:noProof/>
          <w:szCs w:val="22"/>
          <w:u w:val="single"/>
        </w:rPr>
      </w:pPr>
    </w:p>
    <w:p w14:paraId="3B0D4AD5" w14:textId="77777777" w:rsidR="008F4AFF" w:rsidRPr="00847902" w:rsidRDefault="008F4AFF" w:rsidP="008F4AFF">
      <w:pPr>
        <w:keepNext/>
        <w:keepLines/>
        <w:spacing w:line="240" w:lineRule="auto"/>
        <w:rPr>
          <w:noProof/>
          <w:szCs w:val="22"/>
          <w:u w:val="single"/>
          <w:lang w:eastAsia="en-US" w:bidi="ar-SA"/>
        </w:rPr>
      </w:pPr>
      <w:r w:rsidRPr="00847902">
        <w:rPr>
          <w:noProof/>
          <w:szCs w:val="22"/>
          <w:u w:val="single"/>
          <w:lang w:eastAsia="en-US" w:bidi="ar-SA"/>
        </w:rPr>
        <w:t>Réactions d’hypersensibilité</w:t>
      </w:r>
    </w:p>
    <w:p w14:paraId="07FCADF7" w14:textId="5DCA6CAF"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 xml:space="preserve">Des réactions graves liées à la perfusion, y compris </w:t>
      </w:r>
      <w:r w:rsidR="00B7127A">
        <w:rPr>
          <w:rFonts w:ascii="Times New Roman" w:hAnsi="Times New Roman"/>
          <w:noProof/>
          <w:sz w:val="22"/>
        </w:rPr>
        <w:t>un</w:t>
      </w:r>
      <w:r w:rsidRPr="00D77B3B">
        <w:rPr>
          <w:rFonts w:ascii="Times New Roman" w:hAnsi="Times New Roman"/>
          <w:noProof/>
          <w:sz w:val="22"/>
        </w:rPr>
        <w:t xml:space="preserve"> syndrome de relargage de cytokines (SRC) ainsi que des réactions anaphylactiques et d’hypersensibilité, peuvent survenir malgré la prémédication. La survenue de réactions </w:t>
      </w:r>
      <w:r w:rsidR="0073590C">
        <w:rPr>
          <w:rFonts w:ascii="Times New Roman" w:hAnsi="Times New Roman"/>
          <w:noProof/>
          <w:sz w:val="22"/>
        </w:rPr>
        <w:t>graves</w:t>
      </w:r>
      <w:r w:rsidR="00B7127A">
        <w:rPr>
          <w:rFonts w:ascii="Times New Roman" w:hAnsi="Times New Roman"/>
          <w:noProof/>
          <w:sz w:val="22"/>
        </w:rPr>
        <w:t xml:space="preserve"> </w:t>
      </w:r>
      <w:r w:rsidRPr="00D77B3B">
        <w:rPr>
          <w:rFonts w:ascii="Times New Roman" w:hAnsi="Times New Roman"/>
          <w:noProof/>
          <w:sz w:val="22"/>
        </w:rPr>
        <w:t>liées à la perfusion (y compris le SRC) nécessite l’arrêt immédiat du traitement par dinutuximab bêta et peut nécessiter un traitement d’urgence.</w:t>
      </w:r>
    </w:p>
    <w:p w14:paraId="03AAA0D8" w14:textId="77777777" w:rsidR="008F4AFF" w:rsidRPr="00D77B3B" w:rsidRDefault="008F4AFF" w:rsidP="008F4AFF">
      <w:pPr>
        <w:pStyle w:val="BodytextAgency"/>
        <w:spacing w:after="0" w:line="240" w:lineRule="auto"/>
        <w:rPr>
          <w:noProof/>
          <w:szCs w:val="22"/>
        </w:rPr>
      </w:pPr>
    </w:p>
    <w:p w14:paraId="43E93637" w14:textId="77777777"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lastRenderedPageBreak/>
        <w:t>Le syndrome de relargage de cytokines se manifeste fréquemment dans les minutes voire les heures qui suivent la première perfusion. Il se caractérise par des symptômes systémiques tels que de la fièvre, une hypotension et de l’urticaire.</w:t>
      </w:r>
    </w:p>
    <w:p w14:paraId="64D1BB36" w14:textId="77777777" w:rsidR="008F4AFF" w:rsidRPr="00D77B3B" w:rsidRDefault="008F4AFF" w:rsidP="008F4AFF">
      <w:pPr>
        <w:pStyle w:val="BodytextAgency"/>
        <w:spacing w:after="0" w:line="240" w:lineRule="auto"/>
        <w:rPr>
          <w:noProof/>
          <w:szCs w:val="22"/>
        </w:rPr>
      </w:pPr>
    </w:p>
    <w:p w14:paraId="5D0801A6" w14:textId="77777777"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Des réactions anaphylactiques peuvent se manifester dès les premières minutes suivant la première perfusion de dinutuximab bêta et sont généralement associées à un bronchospasme et de l’urticaire.</w:t>
      </w:r>
    </w:p>
    <w:p w14:paraId="45DE674D" w14:textId="77777777" w:rsidR="008F4AFF" w:rsidRPr="00D77B3B" w:rsidRDefault="008F4AFF" w:rsidP="008F4AFF">
      <w:pPr>
        <w:keepNext/>
        <w:tabs>
          <w:tab w:val="clear" w:pos="567"/>
        </w:tabs>
        <w:spacing w:line="240" w:lineRule="auto"/>
        <w:rPr>
          <w:i/>
          <w:noProof/>
          <w:szCs w:val="22"/>
        </w:rPr>
      </w:pPr>
      <w:r w:rsidRPr="00D77B3B">
        <w:rPr>
          <w:i/>
          <w:noProof/>
        </w:rPr>
        <w:t>Prémédication</w:t>
      </w:r>
    </w:p>
    <w:p w14:paraId="002DCFB7" w14:textId="77777777" w:rsidR="008F4AFF" w:rsidRPr="00D77B3B" w:rsidRDefault="008F4AFF" w:rsidP="008F4AFF">
      <w:pPr>
        <w:tabs>
          <w:tab w:val="clear" w:pos="567"/>
        </w:tabs>
        <w:spacing w:line="240" w:lineRule="auto"/>
        <w:rPr>
          <w:noProof/>
          <w:szCs w:val="22"/>
        </w:rPr>
      </w:pPr>
      <w:r w:rsidRPr="00D77B3B">
        <w:t xml:space="preserve">Une prémédication par antihistaminique (par exemple par </w:t>
      </w:r>
      <w:proofErr w:type="spellStart"/>
      <w:r w:rsidRPr="00D77B3B">
        <w:t>diphénhydramine</w:t>
      </w:r>
      <w:proofErr w:type="spellEnd"/>
      <w:r w:rsidRPr="00D77B3B">
        <w:t xml:space="preserve">) doit être administrée par voie intraveineuse environ 20 minutes avant le début de chaque perfusion de </w:t>
      </w:r>
      <w:proofErr w:type="spellStart"/>
      <w:r w:rsidRPr="00D77B3B">
        <w:t>dinutuximab</w:t>
      </w:r>
      <w:proofErr w:type="spellEnd"/>
      <w:r w:rsidRPr="00D77B3B">
        <w:t xml:space="preserve"> bêta. Il est recommandé de répéter l’administration du traitement antihistaminique toutes les 4 à 6 heures si nécessaire au cours de la perfusion de </w:t>
      </w:r>
      <w:proofErr w:type="spellStart"/>
      <w:r w:rsidRPr="00D77B3B">
        <w:t>dinutuximab</w:t>
      </w:r>
      <w:proofErr w:type="spellEnd"/>
      <w:r w:rsidRPr="00D77B3B">
        <w:t xml:space="preserve"> bêta.</w:t>
      </w:r>
    </w:p>
    <w:p w14:paraId="788651AE" w14:textId="77777777" w:rsidR="008F4AFF" w:rsidRPr="00D77B3B" w:rsidRDefault="008F4AFF" w:rsidP="008F4AFF">
      <w:pPr>
        <w:tabs>
          <w:tab w:val="clear" w:pos="567"/>
        </w:tabs>
        <w:spacing w:line="240" w:lineRule="auto"/>
        <w:rPr>
          <w:noProof/>
          <w:szCs w:val="22"/>
        </w:rPr>
      </w:pPr>
    </w:p>
    <w:p w14:paraId="53F874E0" w14:textId="77777777" w:rsidR="008F4AFF" w:rsidRPr="00D77B3B" w:rsidRDefault="008F4AFF" w:rsidP="008F4AFF">
      <w:pPr>
        <w:tabs>
          <w:tab w:val="clear" w:pos="567"/>
        </w:tabs>
        <w:spacing w:line="240" w:lineRule="auto"/>
        <w:rPr>
          <w:noProof/>
          <w:szCs w:val="22"/>
        </w:rPr>
      </w:pPr>
      <w:r w:rsidRPr="00D77B3B">
        <w:t>Les patients doivent être surveillés attentivement afin de détecter la survenue de réactions allergiques ou anaphylactiques, en particulier durant le premier et le deuxième cycle de traitement.</w:t>
      </w:r>
    </w:p>
    <w:p w14:paraId="7DA8968E" w14:textId="77777777" w:rsidR="008F4AFF" w:rsidRPr="00D77B3B" w:rsidRDefault="008F4AFF" w:rsidP="008F4AFF">
      <w:pPr>
        <w:tabs>
          <w:tab w:val="clear" w:pos="567"/>
        </w:tabs>
        <w:spacing w:line="240" w:lineRule="auto"/>
        <w:rPr>
          <w:noProof/>
          <w:szCs w:val="22"/>
        </w:rPr>
      </w:pPr>
    </w:p>
    <w:p w14:paraId="47A4B5FA" w14:textId="77777777" w:rsidR="008F4AFF" w:rsidRPr="00D77B3B" w:rsidRDefault="008F4AFF" w:rsidP="008F4AFF">
      <w:pPr>
        <w:keepNext/>
        <w:tabs>
          <w:tab w:val="clear" w:pos="567"/>
        </w:tabs>
        <w:spacing w:line="240" w:lineRule="auto"/>
        <w:rPr>
          <w:i/>
          <w:noProof/>
          <w:szCs w:val="22"/>
        </w:rPr>
      </w:pPr>
      <w:r w:rsidRPr="00D77B3B">
        <w:rPr>
          <w:i/>
          <w:noProof/>
        </w:rPr>
        <w:t>Traitement des réactions d’hypersensibilité</w:t>
      </w:r>
    </w:p>
    <w:p w14:paraId="14E62358" w14:textId="1011B6A3" w:rsidR="008F4AFF" w:rsidRPr="00D77B3B" w:rsidRDefault="008F4AFF" w:rsidP="008F4AFF">
      <w:pPr>
        <w:tabs>
          <w:tab w:val="clear" w:pos="567"/>
        </w:tabs>
        <w:spacing w:line="240" w:lineRule="auto"/>
      </w:pPr>
      <w:r w:rsidRPr="00D77B3B">
        <w:t xml:space="preserve">Un antihistaminique </w:t>
      </w:r>
      <w:r w:rsidR="000567C2">
        <w:t>par voie</w:t>
      </w:r>
      <w:r w:rsidR="000567C2" w:rsidRPr="00D77B3B">
        <w:t xml:space="preserve"> </w:t>
      </w:r>
      <w:r w:rsidRPr="00D77B3B">
        <w:t>intraveineuse, de l’épinéphrine (adrénaline) et d</w:t>
      </w:r>
      <w:r w:rsidR="000567C2">
        <w:t>e la</w:t>
      </w:r>
      <w:r w:rsidRPr="00D77B3B">
        <w:t xml:space="preserve"> prednisolone par voie intraveineuse doivent toujours être à portée de main</w:t>
      </w:r>
      <w:r w:rsidR="000567C2">
        <w:t>,</w:t>
      </w:r>
      <w:r w:rsidRPr="00D77B3B">
        <w:t xml:space="preserve"> à côté du lit du patient</w:t>
      </w:r>
      <w:r w:rsidR="000567C2">
        <w:t>,</w:t>
      </w:r>
      <w:r w:rsidRPr="00D77B3B">
        <w:t xml:space="preserve"> pendant l’administration du </w:t>
      </w:r>
      <w:proofErr w:type="spellStart"/>
      <w:r w:rsidRPr="00D77B3B">
        <w:t>dinutuximab</w:t>
      </w:r>
      <w:proofErr w:type="spellEnd"/>
      <w:r w:rsidRPr="00D77B3B">
        <w:t xml:space="preserve"> bêta afin de pouvoir prendre en charge toute réaction allergique engageant le pronostic vital du patient. </w:t>
      </w:r>
      <w:r w:rsidR="000567C2">
        <w:t>L</w:t>
      </w:r>
      <w:r w:rsidRPr="00D77B3B">
        <w:t xml:space="preserve">e traitement </w:t>
      </w:r>
      <w:r w:rsidR="000567C2">
        <w:t>recommandé</w:t>
      </w:r>
      <w:r w:rsidR="000567C2" w:rsidRPr="00D77B3B">
        <w:t xml:space="preserve"> </w:t>
      </w:r>
      <w:r w:rsidRPr="00D77B3B">
        <w:t xml:space="preserve">pour ce type de réactions </w:t>
      </w:r>
      <w:r w:rsidR="000567C2">
        <w:t>doit comprendre</w:t>
      </w:r>
      <w:r w:rsidR="000567C2" w:rsidRPr="00D77B3B">
        <w:t xml:space="preserve"> </w:t>
      </w:r>
      <w:r w:rsidRPr="00D77B3B">
        <w:t>d</w:t>
      </w:r>
      <w:r w:rsidR="000567C2">
        <w:t>e la</w:t>
      </w:r>
      <w:r w:rsidRPr="00D77B3B">
        <w:t xml:space="preserve"> prednisolone administré</w:t>
      </w:r>
      <w:r w:rsidR="000567C2">
        <w:t>e</w:t>
      </w:r>
      <w:r w:rsidRPr="00D77B3B">
        <w:t xml:space="preserve"> </w:t>
      </w:r>
      <w:r w:rsidR="00692EEF">
        <w:t>en</w:t>
      </w:r>
      <w:r w:rsidR="00B7127A">
        <w:t xml:space="preserve"> </w:t>
      </w:r>
      <w:r w:rsidRPr="00D77B3B">
        <w:t xml:space="preserve">bolus intraveineux et de l’épinéphrine administrée </w:t>
      </w:r>
      <w:r w:rsidR="00692EEF">
        <w:t>en</w:t>
      </w:r>
      <w:r w:rsidR="00B7127A">
        <w:t xml:space="preserve"> </w:t>
      </w:r>
      <w:r w:rsidRPr="00D77B3B">
        <w:t xml:space="preserve">bolus intraveineux toutes les 3 à 5 minutes si nécessaire, selon la réponse clinique. En cas d’hyperréactivité bronchique et/ou </w:t>
      </w:r>
      <w:r w:rsidR="00692EEF">
        <w:t>de réaction</w:t>
      </w:r>
      <w:r w:rsidRPr="00D77B3B">
        <w:t xml:space="preserve"> d’hypersensibilité pulmonaire, l’inhalation d’épinéphrine (adrénaline) est recommandée et doit être répétée toutes les deux heures, selon la réponse clinique.</w:t>
      </w:r>
    </w:p>
    <w:p w14:paraId="5BE6B38B" w14:textId="77777777" w:rsidR="008F4AFF" w:rsidRPr="00D77B3B" w:rsidRDefault="008F4AFF" w:rsidP="008F4AFF">
      <w:pPr>
        <w:tabs>
          <w:tab w:val="clear" w:pos="567"/>
        </w:tabs>
        <w:spacing w:line="240" w:lineRule="auto"/>
        <w:rPr>
          <w:noProof/>
          <w:szCs w:val="22"/>
        </w:rPr>
      </w:pPr>
    </w:p>
    <w:p w14:paraId="3C82CDC3" w14:textId="77777777" w:rsidR="008F4AFF" w:rsidRPr="009B5E58" w:rsidRDefault="008F4AFF" w:rsidP="00D070AE">
      <w:pPr>
        <w:keepNext/>
        <w:keepLines/>
        <w:spacing w:line="240" w:lineRule="auto"/>
        <w:rPr>
          <w:noProof/>
          <w:szCs w:val="22"/>
          <w:u w:val="single"/>
          <w:lang w:eastAsia="en-US" w:bidi="ar-SA"/>
        </w:rPr>
      </w:pPr>
      <w:r w:rsidRPr="009B5E58">
        <w:rPr>
          <w:noProof/>
          <w:szCs w:val="22"/>
          <w:u w:val="single"/>
          <w:lang w:eastAsia="en-US" w:bidi="ar-SA"/>
        </w:rPr>
        <w:t>Syndrome de fuite capillaire (SFC)</w:t>
      </w:r>
    </w:p>
    <w:p w14:paraId="011C8BC2" w14:textId="0578778C" w:rsidR="008F4AFF" w:rsidRPr="00D77B3B" w:rsidRDefault="008F4AFF" w:rsidP="008F4AFF">
      <w:pPr>
        <w:keepNext/>
        <w:keepLines/>
      </w:pPr>
      <w:r w:rsidRPr="00D77B3B">
        <w:t>Le SFC se caractérise par une perte de tonicité vasculaire et une extravasation des protéines plasmatiques ainsi que par une fuite de liquide dans l’espace extravasculaire. Le SFC se</w:t>
      </w:r>
      <w:r w:rsidR="00F67C85">
        <w:t xml:space="preserve"> développe </w:t>
      </w:r>
      <w:r w:rsidRPr="00D77B3B">
        <w:t xml:space="preserve">habituellement dans les heures </w:t>
      </w:r>
      <w:r w:rsidR="00F67C85">
        <w:t>qui suivent</w:t>
      </w:r>
      <w:r w:rsidRPr="00D77B3B">
        <w:t xml:space="preserve"> le début du traitement</w:t>
      </w:r>
      <w:r w:rsidR="00E133C7">
        <w:t xml:space="preserve">, </w:t>
      </w:r>
      <w:r w:rsidR="00F67C85">
        <w:t xml:space="preserve">alors que </w:t>
      </w:r>
      <w:r w:rsidRPr="00D77B3B">
        <w:t xml:space="preserve">les symptômes cliniques </w:t>
      </w:r>
      <w:proofErr w:type="gramStart"/>
      <w:r w:rsidRPr="00D77B3B">
        <w:t>(</w:t>
      </w:r>
      <w:r w:rsidR="00692EEF">
        <w:t> :</w:t>
      </w:r>
      <w:proofErr w:type="gramEnd"/>
      <w:r w:rsidR="00692EEF">
        <w:t xml:space="preserve"> </w:t>
      </w:r>
      <w:r w:rsidRPr="00D77B3B">
        <w:t xml:space="preserve">hypotension, tachycardie) </w:t>
      </w:r>
      <w:r w:rsidR="00F67C85">
        <w:t xml:space="preserve">apparaissent </w:t>
      </w:r>
      <w:r w:rsidRPr="00D77B3B">
        <w:t>après 2 à 12 heures. Une surveillance étroite des fonctions circulatoire et respiratoire est nécessaire.</w:t>
      </w:r>
    </w:p>
    <w:p w14:paraId="3F2A43C1" w14:textId="77777777" w:rsidR="008F4AFF" w:rsidRPr="00D77B3B" w:rsidRDefault="008F4AFF" w:rsidP="008F4AFF">
      <w:pPr>
        <w:tabs>
          <w:tab w:val="clear" w:pos="567"/>
        </w:tabs>
        <w:spacing w:line="240" w:lineRule="auto"/>
        <w:rPr>
          <w:noProof/>
          <w:szCs w:val="22"/>
        </w:rPr>
      </w:pPr>
    </w:p>
    <w:p w14:paraId="53761862" w14:textId="77777777" w:rsidR="008F4AFF" w:rsidRPr="00DB2263" w:rsidRDefault="008F4AFF" w:rsidP="008F4AFF">
      <w:pPr>
        <w:keepNext/>
        <w:keepLines/>
        <w:spacing w:line="240" w:lineRule="auto"/>
        <w:rPr>
          <w:noProof/>
          <w:szCs w:val="22"/>
          <w:u w:val="single"/>
          <w:lang w:eastAsia="en-US" w:bidi="ar-SA"/>
        </w:rPr>
      </w:pPr>
      <w:r w:rsidRPr="00DB2263">
        <w:rPr>
          <w:noProof/>
          <w:szCs w:val="22"/>
          <w:u w:val="single"/>
          <w:lang w:eastAsia="en-US" w:bidi="ar-SA"/>
        </w:rPr>
        <w:t>Affections oculaires neurologiques</w:t>
      </w:r>
    </w:p>
    <w:p w14:paraId="749241AA" w14:textId="7B9FEE24"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 xml:space="preserve">Des troubles oculaires peuvent survenir compte tenu de la capacité de dinutuximab bêta à se lier aux cellules du nerf optique. Aucune modification de dose n’est nécessaire dans le cas d’une altération de l’accommodation visuelle pouvant être corrigée par le port de lunettes, </w:t>
      </w:r>
      <w:r w:rsidR="00F67C85">
        <w:rPr>
          <w:rFonts w:ascii="Times New Roman" w:hAnsi="Times New Roman"/>
          <w:noProof/>
          <w:sz w:val="22"/>
        </w:rPr>
        <w:t xml:space="preserve">tant </w:t>
      </w:r>
      <w:r w:rsidRPr="00D77B3B">
        <w:rPr>
          <w:rFonts w:ascii="Times New Roman" w:hAnsi="Times New Roman"/>
          <w:noProof/>
          <w:sz w:val="22"/>
        </w:rPr>
        <w:t>que cette altération est jugée tolérable.</w:t>
      </w:r>
    </w:p>
    <w:p w14:paraId="29EDFD56" w14:textId="06F3AD7C"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Le traitement doit être interrompu chez les patients souffrant de toxicité oculaire de grade 3 (</w:t>
      </w:r>
      <w:r w:rsidR="00D26434">
        <w:rPr>
          <w:rFonts w:ascii="Times New Roman" w:hAnsi="Times New Roman"/>
          <w:noProof/>
          <w:sz w:val="22"/>
        </w:rPr>
        <w:t xml:space="preserve"> exemple:</w:t>
      </w:r>
      <w:r w:rsidR="00F67C85">
        <w:rPr>
          <w:rFonts w:ascii="Times New Roman" w:hAnsi="Times New Roman"/>
          <w:noProof/>
          <w:sz w:val="22"/>
        </w:rPr>
        <w:t xml:space="preserve"> </w:t>
      </w:r>
      <w:r w:rsidRPr="00D77B3B">
        <w:rPr>
          <w:rFonts w:ascii="Times New Roman" w:hAnsi="Times New Roman"/>
          <w:noProof/>
          <w:sz w:val="22"/>
        </w:rPr>
        <w:t xml:space="preserve">perte </w:t>
      </w:r>
      <w:r w:rsidR="00431558">
        <w:rPr>
          <w:rFonts w:ascii="Times New Roman" w:hAnsi="Times New Roman"/>
          <w:noProof/>
          <w:sz w:val="22"/>
        </w:rPr>
        <w:t xml:space="preserve"> sub-totale</w:t>
      </w:r>
      <w:r w:rsidR="000567C2" w:rsidRPr="00D77B3B">
        <w:rPr>
          <w:rFonts w:ascii="Times New Roman" w:hAnsi="Times New Roman"/>
          <w:noProof/>
          <w:sz w:val="22"/>
        </w:rPr>
        <w:t xml:space="preserve"> </w:t>
      </w:r>
      <w:r w:rsidRPr="00D77B3B">
        <w:rPr>
          <w:rFonts w:ascii="Times New Roman" w:hAnsi="Times New Roman"/>
          <w:noProof/>
          <w:sz w:val="22"/>
        </w:rPr>
        <w:t xml:space="preserve">de la vision ). </w:t>
      </w:r>
      <w:r w:rsidR="00D26434">
        <w:rPr>
          <w:rFonts w:ascii="Times New Roman" w:hAnsi="Times New Roman"/>
          <w:noProof/>
          <w:sz w:val="22"/>
        </w:rPr>
        <w:t>En cas</w:t>
      </w:r>
      <w:r w:rsidR="00F67C85">
        <w:rPr>
          <w:rFonts w:ascii="Times New Roman" w:hAnsi="Times New Roman"/>
          <w:noProof/>
          <w:sz w:val="22"/>
        </w:rPr>
        <w:t xml:space="preserve"> </w:t>
      </w:r>
      <w:r w:rsidRPr="00D77B3B">
        <w:rPr>
          <w:rFonts w:ascii="Times New Roman" w:hAnsi="Times New Roman"/>
          <w:noProof/>
          <w:sz w:val="22"/>
        </w:rPr>
        <w:t xml:space="preserve">de problèmes oculaires, </w:t>
      </w:r>
      <w:r w:rsidR="00D26434">
        <w:rPr>
          <w:rFonts w:ascii="Times New Roman" w:hAnsi="Times New Roman"/>
          <w:noProof/>
          <w:sz w:val="22"/>
        </w:rPr>
        <w:t>quel que soit le grade</w:t>
      </w:r>
      <w:r w:rsidRPr="00D77B3B">
        <w:rPr>
          <w:rFonts w:ascii="Times New Roman" w:hAnsi="Times New Roman"/>
          <w:noProof/>
          <w:sz w:val="22"/>
        </w:rPr>
        <w:t xml:space="preserve">, les patients doivent être rapidement </w:t>
      </w:r>
      <w:r w:rsidR="000567C2">
        <w:rPr>
          <w:rFonts w:ascii="Times New Roman" w:hAnsi="Times New Roman"/>
          <w:noProof/>
          <w:sz w:val="22"/>
        </w:rPr>
        <w:t>orientés</w:t>
      </w:r>
      <w:r w:rsidR="000567C2" w:rsidRPr="00D77B3B">
        <w:rPr>
          <w:rFonts w:ascii="Times New Roman" w:hAnsi="Times New Roman"/>
          <w:noProof/>
          <w:sz w:val="22"/>
        </w:rPr>
        <w:t xml:space="preserve"> </w:t>
      </w:r>
      <w:r w:rsidRPr="00D77B3B">
        <w:rPr>
          <w:rFonts w:ascii="Times New Roman" w:hAnsi="Times New Roman"/>
          <w:noProof/>
          <w:sz w:val="22"/>
        </w:rPr>
        <w:t>vers un ophtalmologiste.</w:t>
      </w:r>
    </w:p>
    <w:p w14:paraId="2A1C9958" w14:textId="77777777" w:rsidR="008F4AFF" w:rsidRPr="00D77B3B" w:rsidRDefault="008F4AFF" w:rsidP="008F4AFF">
      <w:pPr>
        <w:tabs>
          <w:tab w:val="clear" w:pos="567"/>
        </w:tabs>
        <w:spacing w:line="240" w:lineRule="auto"/>
        <w:rPr>
          <w:noProof/>
          <w:szCs w:val="22"/>
        </w:rPr>
      </w:pPr>
    </w:p>
    <w:p w14:paraId="26339B4A" w14:textId="77777777" w:rsidR="008F4AFF" w:rsidRPr="00847902" w:rsidRDefault="008F4AFF" w:rsidP="008F4AFF">
      <w:pPr>
        <w:keepNext/>
        <w:keepLines/>
        <w:spacing w:line="240" w:lineRule="auto"/>
        <w:rPr>
          <w:noProof/>
          <w:szCs w:val="22"/>
          <w:u w:val="single"/>
          <w:lang w:eastAsia="en-US" w:bidi="ar-SA"/>
        </w:rPr>
      </w:pPr>
      <w:r w:rsidRPr="00847902">
        <w:rPr>
          <w:noProof/>
          <w:szCs w:val="22"/>
          <w:u w:val="single"/>
          <w:lang w:eastAsia="en-US" w:bidi="ar-SA"/>
        </w:rPr>
        <w:t>Neuropathie périphérique</w:t>
      </w:r>
    </w:p>
    <w:p w14:paraId="24D922F4" w14:textId="0C9EE979" w:rsidR="008F4AFF" w:rsidRPr="00D77B3B" w:rsidRDefault="00A26250" w:rsidP="008F4AFF">
      <w:pPr>
        <w:pStyle w:val="BodytextAgency"/>
        <w:spacing w:after="0" w:line="240" w:lineRule="auto"/>
        <w:rPr>
          <w:rFonts w:ascii="Times New Roman" w:hAnsi="Times New Roman"/>
          <w:noProof/>
          <w:sz w:val="22"/>
          <w:szCs w:val="22"/>
        </w:rPr>
      </w:pPr>
      <w:r>
        <w:rPr>
          <w:rFonts w:ascii="Times New Roman" w:hAnsi="Times New Roman"/>
          <w:noProof/>
          <w:sz w:val="22"/>
        </w:rPr>
        <w:t xml:space="preserve">Occasionellement, des </w:t>
      </w:r>
      <w:r w:rsidR="008F4AFF" w:rsidRPr="00D77B3B">
        <w:rPr>
          <w:rFonts w:ascii="Times New Roman" w:hAnsi="Times New Roman"/>
          <w:noProof/>
          <w:sz w:val="22"/>
        </w:rPr>
        <w:t>neuropathie</w:t>
      </w:r>
      <w:r>
        <w:rPr>
          <w:rFonts w:ascii="Times New Roman" w:hAnsi="Times New Roman"/>
          <w:noProof/>
          <w:sz w:val="22"/>
        </w:rPr>
        <w:t>s</w:t>
      </w:r>
      <w:r w:rsidR="008F4AFF" w:rsidRPr="00D77B3B">
        <w:rPr>
          <w:rFonts w:ascii="Times New Roman" w:hAnsi="Times New Roman"/>
          <w:noProof/>
          <w:sz w:val="22"/>
        </w:rPr>
        <w:t xml:space="preserve"> périphérique</w:t>
      </w:r>
      <w:r>
        <w:rPr>
          <w:rFonts w:ascii="Times New Roman" w:hAnsi="Times New Roman"/>
          <w:noProof/>
          <w:sz w:val="22"/>
        </w:rPr>
        <w:t>s</w:t>
      </w:r>
      <w:r w:rsidR="008F4AFF" w:rsidRPr="00D77B3B">
        <w:rPr>
          <w:rFonts w:ascii="Times New Roman" w:hAnsi="Times New Roman"/>
          <w:noProof/>
          <w:sz w:val="22"/>
        </w:rPr>
        <w:t xml:space="preserve"> </w:t>
      </w:r>
      <w:r>
        <w:rPr>
          <w:rFonts w:ascii="Times New Roman" w:hAnsi="Times New Roman"/>
          <w:noProof/>
          <w:sz w:val="22"/>
        </w:rPr>
        <w:t>ont</w:t>
      </w:r>
      <w:r w:rsidR="008F4AFF" w:rsidRPr="00D77B3B">
        <w:rPr>
          <w:rFonts w:ascii="Times New Roman" w:hAnsi="Times New Roman"/>
          <w:noProof/>
          <w:sz w:val="22"/>
        </w:rPr>
        <w:t xml:space="preserve"> été signalée</w:t>
      </w:r>
      <w:r>
        <w:rPr>
          <w:rFonts w:ascii="Times New Roman" w:hAnsi="Times New Roman"/>
          <w:noProof/>
          <w:sz w:val="22"/>
        </w:rPr>
        <w:t>s</w:t>
      </w:r>
      <w:r w:rsidR="008F4AFF" w:rsidRPr="00D77B3B">
        <w:rPr>
          <w:rFonts w:ascii="Times New Roman" w:hAnsi="Times New Roman"/>
          <w:noProof/>
          <w:sz w:val="22"/>
        </w:rPr>
        <w:t xml:space="preserve"> </w:t>
      </w:r>
      <w:r>
        <w:rPr>
          <w:rFonts w:ascii="Times New Roman" w:hAnsi="Times New Roman"/>
          <w:noProof/>
          <w:sz w:val="22"/>
        </w:rPr>
        <w:t>avec</w:t>
      </w:r>
      <w:r w:rsidR="008F4AFF" w:rsidRPr="00D77B3B">
        <w:rPr>
          <w:rFonts w:ascii="Times New Roman" w:hAnsi="Times New Roman"/>
          <w:noProof/>
          <w:sz w:val="22"/>
        </w:rPr>
        <w:t xml:space="preserve"> </w:t>
      </w:r>
      <w:r w:rsidR="008737C6">
        <w:rPr>
          <w:rFonts w:ascii="Times New Roman" w:hAnsi="Times New Roman"/>
          <w:noProof/>
          <w:sz w:val="22"/>
        </w:rPr>
        <w:t>Qarziba</w:t>
      </w:r>
      <w:r w:rsidR="008F4AFF" w:rsidRPr="00D77B3B">
        <w:rPr>
          <w:rFonts w:ascii="Times New Roman" w:hAnsi="Times New Roman"/>
          <w:noProof/>
          <w:sz w:val="22"/>
        </w:rPr>
        <w:t>. Les patients atteints de neuropathie sensitive ou motrice durant plus de 4 jours doivent être examinés et les causes non inflammatoires telles que l</w:t>
      </w:r>
      <w:r w:rsidR="00F105E0">
        <w:rPr>
          <w:rFonts w:ascii="Times New Roman" w:hAnsi="Times New Roman"/>
          <w:noProof/>
          <w:sz w:val="22"/>
        </w:rPr>
        <w:t>a progression</w:t>
      </w:r>
      <w:r w:rsidR="008F4AFF" w:rsidRPr="00D77B3B">
        <w:rPr>
          <w:rFonts w:ascii="Times New Roman" w:hAnsi="Times New Roman"/>
          <w:noProof/>
          <w:sz w:val="22"/>
        </w:rPr>
        <w:t xml:space="preserve"> d</w:t>
      </w:r>
      <w:r w:rsidR="00EC7983">
        <w:rPr>
          <w:rFonts w:ascii="Times New Roman" w:hAnsi="Times New Roman"/>
          <w:noProof/>
          <w:sz w:val="22"/>
        </w:rPr>
        <w:t>e la</w:t>
      </w:r>
      <w:r w:rsidR="008F4AFF" w:rsidRPr="00D77B3B">
        <w:rPr>
          <w:rFonts w:ascii="Times New Roman" w:hAnsi="Times New Roman"/>
          <w:noProof/>
          <w:sz w:val="22"/>
        </w:rPr>
        <w:t xml:space="preserve"> maladie, les infections, les syndromes métaboliques et les médicaments concomitants doivent être exclues.</w:t>
      </w:r>
    </w:p>
    <w:p w14:paraId="391E9F8A" w14:textId="77777777" w:rsidR="008F4AFF" w:rsidRPr="00D77B3B" w:rsidRDefault="008F4AFF" w:rsidP="008F4AFF">
      <w:pPr>
        <w:pStyle w:val="BodytextAgency"/>
        <w:spacing w:after="0" w:line="240" w:lineRule="auto"/>
        <w:rPr>
          <w:rFonts w:ascii="Times New Roman" w:hAnsi="Times New Roman"/>
          <w:sz w:val="22"/>
          <w:szCs w:val="22"/>
        </w:rPr>
      </w:pPr>
    </w:p>
    <w:p w14:paraId="66DB541C" w14:textId="2837BEC5"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 xml:space="preserve">Le traitement doit être arrêté définitivement chez les patients souffrant de faiblesse objective prolongée imputable à l’administration de dinutuximab bêta. Chez les patients atteints de neuropathie (motrice </w:t>
      </w:r>
      <w:r w:rsidR="00F105E0">
        <w:rPr>
          <w:rFonts w:ascii="Times New Roman" w:hAnsi="Times New Roman"/>
          <w:noProof/>
          <w:sz w:val="22"/>
        </w:rPr>
        <w:t>avec ou sans composante</w:t>
      </w:r>
      <w:r w:rsidRPr="00D77B3B">
        <w:rPr>
          <w:rFonts w:ascii="Times New Roman" w:hAnsi="Times New Roman"/>
          <w:noProof/>
          <w:sz w:val="22"/>
        </w:rPr>
        <w:t xml:space="preserve"> sensitive) modérée (grade 2), le traitement doit être interrompu et peut être repris après la </w:t>
      </w:r>
      <w:r w:rsidR="00EC7983">
        <w:rPr>
          <w:rFonts w:ascii="Times New Roman" w:hAnsi="Times New Roman"/>
          <w:noProof/>
          <w:sz w:val="22"/>
        </w:rPr>
        <w:t>résolution</w:t>
      </w:r>
      <w:r w:rsidR="00F105E0">
        <w:rPr>
          <w:rFonts w:ascii="Times New Roman" w:hAnsi="Times New Roman"/>
          <w:noProof/>
          <w:sz w:val="22"/>
        </w:rPr>
        <w:t xml:space="preserve"> </w:t>
      </w:r>
      <w:r w:rsidRPr="00D77B3B">
        <w:rPr>
          <w:rFonts w:ascii="Times New Roman" w:hAnsi="Times New Roman"/>
          <w:noProof/>
          <w:sz w:val="22"/>
        </w:rPr>
        <w:t>des symptômes neurologiques.</w:t>
      </w:r>
    </w:p>
    <w:p w14:paraId="0736B45B" w14:textId="77777777" w:rsidR="008F4AFF" w:rsidRPr="00D77B3B" w:rsidRDefault="008F4AFF" w:rsidP="008F4AFF">
      <w:pPr>
        <w:pStyle w:val="BodytextAgency"/>
        <w:spacing w:after="0" w:line="240" w:lineRule="auto"/>
        <w:rPr>
          <w:rFonts w:ascii="Times New Roman" w:hAnsi="Times New Roman"/>
          <w:noProof/>
          <w:sz w:val="22"/>
          <w:szCs w:val="22"/>
        </w:rPr>
      </w:pPr>
    </w:p>
    <w:p w14:paraId="58B1B60A" w14:textId="77777777" w:rsidR="008F4AFF" w:rsidRPr="004C60BE" w:rsidRDefault="008F4AFF" w:rsidP="00D070AE">
      <w:pPr>
        <w:keepNext/>
        <w:keepLines/>
        <w:spacing w:line="240" w:lineRule="auto"/>
        <w:rPr>
          <w:noProof/>
          <w:szCs w:val="22"/>
          <w:u w:val="single"/>
          <w:lang w:eastAsia="en-US" w:bidi="ar-SA"/>
        </w:rPr>
      </w:pPr>
      <w:r w:rsidRPr="004C60BE">
        <w:rPr>
          <w:noProof/>
          <w:szCs w:val="22"/>
          <w:u w:val="single"/>
          <w:lang w:eastAsia="en-US" w:bidi="ar-SA"/>
        </w:rPr>
        <w:t>Infections systémiques</w:t>
      </w:r>
    </w:p>
    <w:p w14:paraId="34A17334" w14:textId="7756EF83" w:rsidR="008F4AFF" w:rsidRPr="00D77B3B" w:rsidRDefault="008F4AFF" w:rsidP="008F4AFF">
      <w:pPr>
        <w:tabs>
          <w:tab w:val="clear" w:pos="567"/>
        </w:tabs>
        <w:autoSpaceDE w:val="0"/>
        <w:autoSpaceDN w:val="0"/>
        <w:adjustRightInd w:val="0"/>
        <w:spacing w:line="240" w:lineRule="auto"/>
        <w:rPr>
          <w:szCs w:val="22"/>
        </w:rPr>
      </w:pPr>
      <w:r w:rsidRPr="00D77B3B">
        <w:t>Les patients sont susceptibles d’être immunodéprimés à la suite de</w:t>
      </w:r>
      <w:r w:rsidR="00F105E0">
        <w:t>s</w:t>
      </w:r>
      <w:r w:rsidRPr="00D77B3B">
        <w:t xml:space="preserve"> traitements </w:t>
      </w:r>
      <w:r w:rsidR="00F105E0">
        <w:t>antérieurs</w:t>
      </w:r>
      <w:r w:rsidRPr="00D77B3B">
        <w:t xml:space="preserve">. </w:t>
      </w:r>
      <w:r w:rsidR="000567C2">
        <w:t>Comme c</w:t>
      </w:r>
      <w:r w:rsidRPr="00D77B3B">
        <w:t>es patients sont généralement porteurs d’un cathéter veineux central in situ</w:t>
      </w:r>
      <w:r w:rsidR="000567C2">
        <w:t>, ils</w:t>
      </w:r>
      <w:r w:rsidRPr="00D77B3B">
        <w:t xml:space="preserve"> risquent de développer </w:t>
      </w:r>
      <w:r w:rsidRPr="00D77B3B">
        <w:lastRenderedPageBreak/>
        <w:t>une infection systémique. Les patients ne doivent montrer aucun signe d’infection systémique et toute infection identifiée doit être contrôlée avant de débuter le traitement.</w:t>
      </w:r>
    </w:p>
    <w:p w14:paraId="30CD5600" w14:textId="77777777" w:rsidR="008F4AFF" w:rsidRPr="00D77B3B" w:rsidRDefault="008F4AFF" w:rsidP="008F4AFF">
      <w:pPr>
        <w:tabs>
          <w:tab w:val="clear" w:pos="567"/>
        </w:tabs>
        <w:spacing w:line="240" w:lineRule="auto"/>
        <w:rPr>
          <w:noProof/>
          <w:szCs w:val="22"/>
        </w:rPr>
      </w:pPr>
    </w:p>
    <w:p w14:paraId="50691C1C" w14:textId="77777777" w:rsidR="008F4AFF" w:rsidRPr="00847902" w:rsidRDefault="008F4AFF" w:rsidP="008F4AFF">
      <w:pPr>
        <w:keepNext/>
        <w:keepLines/>
        <w:spacing w:line="240" w:lineRule="auto"/>
        <w:rPr>
          <w:noProof/>
          <w:szCs w:val="22"/>
          <w:u w:val="single"/>
          <w:lang w:eastAsia="en-US" w:bidi="ar-SA"/>
        </w:rPr>
      </w:pPr>
      <w:r w:rsidRPr="00847902">
        <w:rPr>
          <w:noProof/>
          <w:szCs w:val="22"/>
          <w:u w:val="single"/>
          <w:lang w:eastAsia="en-US" w:bidi="ar-SA"/>
        </w:rPr>
        <w:t>Toxicités hématologiques</w:t>
      </w:r>
    </w:p>
    <w:p w14:paraId="26A0214A" w14:textId="187CBFBC" w:rsidR="000A6B3B" w:rsidRDefault="00F105E0" w:rsidP="008F4AFF">
      <w:pPr>
        <w:pStyle w:val="BodytextAgency"/>
        <w:spacing w:after="0" w:line="240" w:lineRule="auto"/>
        <w:rPr>
          <w:rFonts w:ascii="Times New Roman" w:hAnsi="Times New Roman"/>
          <w:noProof/>
          <w:sz w:val="22"/>
        </w:rPr>
      </w:pPr>
      <w:r>
        <w:rPr>
          <w:rFonts w:ascii="Times New Roman" w:hAnsi="Times New Roman"/>
          <w:noProof/>
          <w:sz w:val="22"/>
        </w:rPr>
        <w:t xml:space="preserve">Des </w:t>
      </w:r>
      <w:r w:rsidR="008F4AFF" w:rsidRPr="00D77B3B">
        <w:rPr>
          <w:rFonts w:ascii="Times New Roman" w:hAnsi="Times New Roman"/>
          <w:noProof/>
          <w:sz w:val="22"/>
        </w:rPr>
        <w:t xml:space="preserve">toxicités hématologiques telles que l’érythropénie, la thrombocytopénie et la neutropénie </w:t>
      </w:r>
      <w:r>
        <w:rPr>
          <w:rFonts w:ascii="Times New Roman" w:hAnsi="Times New Roman"/>
          <w:noProof/>
          <w:sz w:val="22"/>
        </w:rPr>
        <w:t>ont</w:t>
      </w:r>
      <w:r w:rsidR="008F4AFF" w:rsidRPr="00D77B3B">
        <w:rPr>
          <w:rFonts w:ascii="Times New Roman" w:hAnsi="Times New Roman"/>
          <w:noProof/>
          <w:sz w:val="22"/>
        </w:rPr>
        <w:t xml:space="preserve"> été </w:t>
      </w:r>
      <w:r w:rsidR="0085182E">
        <w:rPr>
          <w:rFonts w:ascii="Times New Roman" w:hAnsi="Times New Roman"/>
          <w:noProof/>
          <w:sz w:val="22"/>
        </w:rPr>
        <w:t>rapprotée</w:t>
      </w:r>
      <w:r w:rsidR="008F4AFF" w:rsidRPr="00D77B3B">
        <w:rPr>
          <w:rFonts w:ascii="Times New Roman" w:hAnsi="Times New Roman"/>
          <w:noProof/>
          <w:sz w:val="22"/>
        </w:rPr>
        <w:t xml:space="preserve"> </w:t>
      </w:r>
      <w:r w:rsidR="0085182E">
        <w:rPr>
          <w:rFonts w:ascii="Times New Roman" w:hAnsi="Times New Roman"/>
          <w:noProof/>
          <w:sz w:val="22"/>
        </w:rPr>
        <w:t>avec</w:t>
      </w:r>
      <w:r>
        <w:rPr>
          <w:rFonts w:ascii="Times New Roman" w:hAnsi="Times New Roman"/>
          <w:noProof/>
          <w:sz w:val="22"/>
        </w:rPr>
        <w:t xml:space="preserve"> </w:t>
      </w:r>
      <w:r w:rsidR="008737C6">
        <w:rPr>
          <w:rFonts w:ascii="Times New Roman" w:hAnsi="Times New Roman"/>
          <w:noProof/>
          <w:sz w:val="22"/>
        </w:rPr>
        <w:t>Qarziba</w:t>
      </w:r>
      <w:r w:rsidR="008F4AFF" w:rsidRPr="00D77B3B">
        <w:rPr>
          <w:rFonts w:ascii="Times New Roman" w:hAnsi="Times New Roman"/>
          <w:noProof/>
          <w:sz w:val="22"/>
        </w:rPr>
        <w:t xml:space="preserve">. </w:t>
      </w:r>
      <w:r>
        <w:rPr>
          <w:rFonts w:ascii="Times New Roman" w:hAnsi="Times New Roman"/>
          <w:noProof/>
          <w:sz w:val="22"/>
        </w:rPr>
        <w:t xml:space="preserve"> </w:t>
      </w:r>
      <w:r w:rsidR="000A6B3B">
        <w:rPr>
          <w:rFonts w:ascii="Times New Roman" w:hAnsi="Times New Roman"/>
          <w:noProof/>
          <w:sz w:val="22"/>
        </w:rPr>
        <w:t>Des</w:t>
      </w:r>
      <w:r w:rsidR="008F4AFF" w:rsidRPr="00D77B3B">
        <w:rPr>
          <w:rFonts w:ascii="Times New Roman" w:hAnsi="Times New Roman"/>
          <w:noProof/>
          <w:sz w:val="22"/>
        </w:rPr>
        <w:t xml:space="preserve"> toxicités hématologiques de grade</w:t>
      </w:r>
      <w:r w:rsidR="000A6B3B">
        <w:rPr>
          <w:rFonts w:ascii="Times New Roman" w:hAnsi="Times New Roman"/>
          <w:noProof/>
          <w:sz w:val="22"/>
        </w:rPr>
        <w:t xml:space="preserve"> </w:t>
      </w:r>
      <w:r w:rsidR="008F4AFF" w:rsidRPr="00D77B3B">
        <w:rPr>
          <w:rFonts w:ascii="Times New Roman" w:hAnsi="Times New Roman"/>
          <w:noProof/>
          <w:sz w:val="22"/>
        </w:rPr>
        <w:t>4 qui s’améliorent au moins jusqu’au grade</w:t>
      </w:r>
      <w:r w:rsidR="000A6B3B">
        <w:rPr>
          <w:rFonts w:ascii="Times New Roman" w:hAnsi="Times New Roman"/>
          <w:noProof/>
          <w:sz w:val="22"/>
        </w:rPr>
        <w:t xml:space="preserve"> 2 ou jusqu’au</w:t>
      </w:r>
      <w:r w:rsidR="007C1390">
        <w:rPr>
          <w:rFonts w:ascii="Times New Roman" w:hAnsi="Times New Roman"/>
          <w:noProof/>
          <w:sz w:val="22"/>
        </w:rPr>
        <w:t>x</w:t>
      </w:r>
      <w:r w:rsidR="000A6B3B">
        <w:rPr>
          <w:rFonts w:ascii="Times New Roman" w:hAnsi="Times New Roman"/>
          <w:noProof/>
          <w:sz w:val="22"/>
        </w:rPr>
        <w:t xml:space="preserve"> valeurs notées avant le début du traitement, ne nécessitent pas d’adaptation de la posologie pour le cycle de traitement suivant.</w:t>
      </w:r>
    </w:p>
    <w:p w14:paraId="6B683D67" w14:textId="132F3C8A" w:rsidR="008F4AFF" w:rsidRPr="00D77B3B" w:rsidRDefault="000A6B3B" w:rsidP="008F4AFF">
      <w:pPr>
        <w:pStyle w:val="BodytextAgency"/>
        <w:spacing w:after="0" w:line="240" w:lineRule="auto"/>
        <w:rPr>
          <w:rFonts w:ascii="Times New Roman" w:hAnsi="Times New Roman"/>
          <w:noProof/>
          <w:sz w:val="22"/>
          <w:szCs w:val="22"/>
        </w:rPr>
      </w:pPr>
      <w:r>
        <w:rPr>
          <w:rFonts w:ascii="Times New Roman" w:hAnsi="Times New Roman"/>
          <w:noProof/>
          <w:sz w:val="22"/>
        </w:rPr>
        <w:t xml:space="preserve"> </w:t>
      </w:r>
    </w:p>
    <w:p w14:paraId="19089374" w14:textId="77777777" w:rsidR="008F4AFF" w:rsidRPr="00D77B3B" w:rsidRDefault="008F4AFF" w:rsidP="008F4AFF">
      <w:pPr>
        <w:pStyle w:val="BodytextAgency"/>
        <w:spacing w:after="0" w:line="240" w:lineRule="auto"/>
        <w:rPr>
          <w:rFonts w:ascii="Times New Roman" w:hAnsi="Times New Roman"/>
          <w:noProof/>
          <w:sz w:val="22"/>
          <w:szCs w:val="22"/>
        </w:rPr>
      </w:pPr>
    </w:p>
    <w:p w14:paraId="790D8681" w14:textId="77777777" w:rsidR="008F4AFF" w:rsidRPr="004C60BE" w:rsidRDefault="008F4AFF" w:rsidP="008F4AFF">
      <w:pPr>
        <w:keepNext/>
        <w:keepLines/>
        <w:spacing w:line="240" w:lineRule="auto"/>
        <w:rPr>
          <w:noProof/>
          <w:szCs w:val="22"/>
          <w:u w:val="single"/>
          <w:lang w:eastAsia="en-US" w:bidi="ar-SA"/>
        </w:rPr>
      </w:pPr>
      <w:r w:rsidRPr="004C60BE">
        <w:rPr>
          <w:noProof/>
          <w:szCs w:val="22"/>
          <w:u w:val="single"/>
          <w:lang w:eastAsia="en-US" w:bidi="ar-SA"/>
        </w:rPr>
        <w:t>Anomalies de laboratoire</w:t>
      </w:r>
    </w:p>
    <w:p w14:paraId="16EDFA01" w14:textId="163226F1" w:rsidR="008F4AFF" w:rsidRPr="00D77B3B" w:rsidRDefault="008F4AFF" w:rsidP="008F4AFF">
      <w:pPr>
        <w:pStyle w:val="BodytextAgency"/>
        <w:spacing w:after="0" w:line="240" w:lineRule="auto"/>
        <w:rPr>
          <w:rFonts w:ascii="Times New Roman" w:hAnsi="Times New Roman"/>
          <w:noProof/>
          <w:sz w:val="22"/>
          <w:szCs w:val="22"/>
        </w:rPr>
      </w:pPr>
      <w:r w:rsidRPr="00D77B3B">
        <w:rPr>
          <w:rFonts w:ascii="Times New Roman" w:hAnsi="Times New Roman"/>
          <w:noProof/>
          <w:sz w:val="22"/>
        </w:rPr>
        <w:t xml:space="preserve">Une surveillance </w:t>
      </w:r>
      <w:r w:rsidR="000567C2">
        <w:rPr>
          <w:rFonts w:ascii="Times New Roman" w:hAnsi="Times New Roman"/>
          <w:noProof/>
          <w:sz w:val="22"/>
        </w:rPr>
        <w:t>régulière</w:t>
      </w:r>
      <w:r w:rsidR="000567C2" w:rsidRPr="00D77B3B">
        <w:rPr>
          <w:rFonts w:ascii="Times New Roman" w:hAnsi="Times New Roman"/>
          <w:noProof/>
          <w:sz w:val="22"/>
        </w:rPr>
        <w:t xml:space="preserve"> </w:t>
      </w:r>
      <w:r w:rsidRPr="00D77B3B">
        <w:rPr>
          <w:rFonts w:ascii="Times New Roman" w:hAnsi="Times New Roman"/>
          <w:noProof/>
          <w:sz w:val="22"/>
        </w:rPr>
        <w:t>de la fonction hépatique et des électrolytes est recommandée.</w:t>
      </w:r>
    </w:p>
    <w:p w14:paraId="429CA4A5" w14:textId="77777777" w:rsidR="008F4AFF" w:rsidRPr="00D77B3B" w:rsidRDefault="008F4AFF" w:rsidP="008F4AFF">
      <w:pPr>
        <w:pStyle w:val="NormalWeb"/>
        <w:spacing w:before="0" w:beforeAutospacing="0" w:after="0" w:afterAutospacing="0"/>
        <w:rPr>
          <w:sz w:val="22"/>
          <w:szCs w:val="22"/>
        </w:rPr>
      </w:pPr>
    </w:p>
    <w:p w14:paraId="0E653532" w14:textId="77777777" w:rsidR="008F4AFF" w:rsidRPr="00D77B3B" w:rsidRDefault="008F4AFF" w:rsidP="008F4AFF">
      <w:pPr>
        <w:keepNext/>
        <w:keepLines/>
        <w:spacing w:line="240" w:lineRule="auto"/>
        <w:ind w:left="567" w:hanging="567"/>
        <w:outlineLvl w:val="0"/>
        <w:rPr>
          <w:b/>
          <w:noProof/>
          <w:szCs w:val="22"/>
        </w:rPr>
      </w:pPr>
      <w:r w:rsidRPr="00D77B3B">
        <w:rPr>
          <w:b/>
          <w:noProof/>
        </w:rPr>
        <w:t>4.5</w:t>
      </w:r>
      <w:r w:rsidRPr="00D77B3B">
        <w:tab/>
      </w:r>
      <w:r w:rsidRPr="00D77B3B">
        <w:rPr>
          <w:b/>
          <w:noProof/>
        </w:rPr>
        <w:t>Interactions avec d’autres médicaments et autres formes d’interactions</w:t>
      </w:r>
    </w:p>
    <w:p w14:paraId="5BB67E2D" w14:textId="77777777" w:rsidR="008F4AFF" w:rsidRPr="00D77B3B" w:rsidRDefault="008F4AFF" w:rsidP="008F4AFF">
      <w:pPr>
        <w:keepNext/>
        <w:keepLines/>
        <w:spacing w:line="240" w:lineRule="auto"/>
        <w:rPr>
          <w:szCs w:val="22"/>
        </w:rPr>
      </w:pPr>
    </w:p>
    <w:p w14:paraId="03137B56" w14:textId="55A079F5" w:rsidR="008F4AFF" w:rsidRPr="00D77B3B" w:rsidRDefault="008F4AFF" w:rsidP="008F4AFF">
      <w:pPr>
        <w:keepNext/>
        <w:keepLines/>
        <w:tabs>
          <w:tab w:val="clear" w:pos="567"/>
        </w:tabs>
        <w:spacing w:line="240" w:lineRule="auto"/>
        <w:rPr>
          <w:noProof/>
          <w:szCs w:val="22"/>
        </w:rPr>
      </w:pPr>
      <w:r w:rsidRPr="00D77B3B">
        <w:t xml:space="preserve">Aucune étude d’interaction n’a été réalisée. Un risque de réduction indirecte de l’activité du CYP </w:t>
      </w:r>
      <w:r w:rsidR="000567C2">
        <w:t>due aux</w:t>
      </w:r>
      <w:r w:rsidRPr="00D77B3B">
        <w:t xml:space="preserve"> niveaux </w:t>
      </w:r>
      <w:r w:rsidR="000567C2">
        <w:t xml:space="preserve">plus élevés </w:t>
      </w:r>
      <w:r w:rsidRPr="00D77B3B">
        <w:t>de TNF</w:t>
      </w:r>
      <w:r w:rsidRPr="00D77B3B">
        <w:noBreakHyphen/>
        <w:t>α et d’IL</w:t>
      </w:r>
      <w:r w:rsidRPr="00D77B3B">
        <w:noBreakHyphen/>
        <w:t>6, et, par conséquent, des interactions avec les médicaments pris concomita</w:t>
      </w:r>
      <w:r w:rsidR="000567C2">
        <w:t>mment</w:t>
      </w:r>
      <w:r w:rsidRPr="00D77B3B">
        <w:t xml:space="preserve"> ne peuvent être exclu</w:t>
      </w:r>
      <w:r w:rsidR="00E90C2E">
        <w:t>e</w:t>
      </w:r>
      <w:r w:rsidRPr="00D77B3B">
        <w:t>s.</w:t>
      </w:r>
    </w:p>
    <w:p w14:paraId="1D6F56CE" w14:textId="77777777" w:rsidR="008F4AFF" w:rsidRPr="00D77B3B" w:rsidRDefault="008F4AFF" w:rsidP="008F4AFF">
      <w:pPr>
        <w:spacing w:line="240" w:lineRule="auto"/>
        <w:rPr>
          <w:noProof/>
          <w:szCs w:val="22"/>
        </w:rPr>
      </w:pPr>
    </w:p>
    <w:p w14:paraId="5361D808" w14:textId="33C97BC1" w:rsidR="008F4AFF" w:rsidRPr="00D77B3B" w:rsidRDefault="008F4AFF" w:rsidP="008F4AFF">
      <w:pPr>
        <w:keepNext/>
        <w:keepLines/>
        <w:spacing w:line="240" w:lineRule="auto"/>
        <w:rPr>
          <w:i/>
          <w:noProof/>
          <w:szCs w:val="22"/>
        </w:rPr>
      </w:pPr>
      <w:r w:rsidRPr="00D77B3B">
        <w:rPr>
          <w:i/>
          <w:noProof/>
        </w:rPr>
        <w:t>Corticoïdes</w:t>
      </w:r>
    </w:p>
    <w:p w14:paraId="6BA9886A" w14:textId="59ADF10C" w:rsidR="008F4AFF" w:rsidRPr="00D77B3B" w:rsidRDefault="008F4AFF" w:rsidP="008F4AFF">
      <w:pPr>
        <w:keepNext/>
        <w:keepLines/>
        <w:spacing w:line="240" w:lineRule="auto"/>
        <w:rPr>
          <w:szCs w:val="22"/>
        </w:rPr>
      </w:pPr>
      <w:r w:rsidRPr="00D77B3B">
        <w:t xml:space="preserve">En raison de leur activité </w:t>
      </w:r>
      <w:r w:rsidR="000567C2">
        <w:t>immunosuppressive</w:t>
      </w:r>
      <w:r w:rsidRPr="00D77B3B">
        <w:t xml:space="preserve">, un traitement concomitant par corticoïdes est déconseillé dans les 2 semaines précédant le premier cycle de traitement et jusqu’à 1 semaine après le dernier cycle de traitement par </w:t>
      </w:r>
      <w:proofErr w:type="spellStart"/>
      <w:r w:rsidRPr="00D77B3B">
        <w:t>dinutuximab</w:t>
      </w:r>
      <w:proofErr w:type="spellEnd"/>
      <w:r w:rsidRPr="00D77B3B">
        <w:t xml:space="preserve"> bêta, sauf dans des conditions engageant le pronostic vital du patient.</w:t>
      </w:r>
    </w:p>
    <w:p w14:paraId="61E33EB8" w14:textId="77777777" w:rsidR="008F4AFF" w:rsidRPr="00D77B3B" w:rsidRDefault="008F4AFF" w:rsidP="008F4AFF">
      <w:pPr>
        <w:spacing w:line="240" w:lineRule="auto"/>
        <w:rPr>
          <w:noProof/>
          <w:szCs w:val="22"/>
        </w:rPr>
      </w:pPr>
    </w:p>
    <w:p w14:paraId="65EA0E8E" w14:textId="77777777" w:rsidR="008F4AFF" w:rsidRPr="00D77B3B" w:rsidRDefault="008F4AFF" w:rsidP="008F4AFF">
      <w:pPr>
        <w:keepNext/>
        <w:keepLines/>
        <w:spacing w:line="240" w:lineRule="auto"/>
        <w:rPr>
          <w:i/>
          <w:noProof/>
          <w:szCs w:val="22"/>
        </w:rPr>
      </w:pPr>
      <w:r w:rsidRPr="00D77B3B">
        <w:rPr>
          <w:i/>
          <w:noProof/>
        </w:rPr>
        <w:t>Vaccinations</w:t>
      </w:r>
    </w:p>
    <w:p w14:paraId="5F3D4523" w14:textId="77777777" w:rsidR="008F4AFF" w:rsidRPr="00D77B3B" w:rsidRDefault="008F4AFF" w:rsidP="008F4AFF">
      <w:pPr>
        <w:keepNext/>
        <w:keepLines/>
        <w:spacing w:line="240" w:lineRule="auto"/>
        <w:rPr>
          <w:noProof/>
          <w:szCs w:val="22"/>
        </w:rPr>
      </w:pPr>
      <w:r w:rsidRPr="00D77B3B">
        <w:t xml:space="preserve">Les vaccinations doivent être évitées pendant l’administration du </w:t>
      </w:r>
      <w:proofErr w:type="spellStart"/>
      <w:r w:rsidRPr="00D77B3B">
        <w:t>dinutuximab</w:t>
      </w:r>
      <w:proofErr w:type="spellEnd"/>
      <w:r w:rsidRPr="00D77B3B">
        <w:t xml:space="preserve"> bêta jusqu’à 10 semaines après le dernier cycle de traitement en raison de la stimulation immunitaire induite par </w:t>
      </w:r>
      <w:proofErr w:type="spellStart"/>
      <w:r w:rsidRPr="00D77B3B">
        <w:t>dinutuximab</w:t>
      </w:r>
      <w:proofErr w:type="spellEnd"/>
      <w:r w:rsidRPr="00D77B3B">
        <w:t xml:space="preserve"> bêta et du </w:t>
      </w:r>
      <w:proofErr w:type="gramStart"/>
      <w:r w:rsidRPr="00D77B3B">
        <w:t>risque potentiel</w:t>
      </w:r>
      <w:proofErr w:type="gramEnd"/>
      <w:r w:rsidRPr="00D77B3B">
        <w:t xml:space="preserve"> de toxicités neurologiques rares.</w:t>
      </w:r>
    </w:p>
    <w:p w14:paraId="4C922A9A" w14:textId="77777777" w:rsidR="008F4AFF" w:rsidRPr="00D77B3B" w:rsidRDefault="008F4AFF" w:rsidP="008F4AFF">
      <w:pPr>
        <w:spacing w:line="240" w:lineRule="auto"/>
        <w:rPr>
          <w:noProof/>
          <w:szCs w:val="22"/>
        </w:rPr>
      </w:pPr>
    </w:p>
    <w:p w14:paraId="28CBCE53" w14:textId="4EFAF93B" w:rsidR="00513F70" w:rsidRPr="00D77B3B" w:rsidRDefault="00513F70" w:rsidP="00513F70">
      <w:pPr>
        <w:keepNext/>
        <w:keepLines/>
        <w:spacing w:line="240" w:lineRule="auto"/>
        <w:rPr>
          <w:i/>
          <w:noProof/>
          <w:szCs w:val="22"/>
        </w:rPr>
      </w:pPr>
      <w:r w:rsidRPr="00513F70">
        <w:rPr>
          <w:i/>
          <w:noProof/>
        </w:rPr>
        <w:t xml:space="preserve"> </w:t>
      </w:r>
      <w:r w:rsidRPr="00D77B3B">
        <w:rPr>
          <w:i/>
          <w:noProof/>
        </w:rPr>
        <w:t>Immunoglobuline</w:t>
      </w:r>
      <w:r>
        <w:rPr>
          <w:i/>
          <w:noProof/>
        </w:rPr>
        <w:t>s</w:t>
      </w:r>
      <w:r w:rsidRPr="00D77B3B">
        <w:rPr>
          <w:i/>
          <w:noProof/>
        </w:rPr>
        <w:t xml:space="preserve"> intraveineuse</w:t>
      </w:r>
      <w:r>
        <w:rPr>
          <w:i/>
          <w:noProof/>
        </w:rPr>
        <w:t>s</w:t>
      </w:r>
    </w:p>
    <w:p w14:paraId="2C10CDD6" w14:textId="1C1506B8" w:rsidR="008F4AFF" w:rsidRPr="00D77B3B" w:rsidRDefault="008F4AFF" w:rsidP="008F4AFF">
      <w:pPr>
        <w:keepNext/>
        <w:keepLines/>
        <w:spacing w:line="240" w:lineRule="auto"/>
        <w:rPr>
          <w:noProof/>
          <w:szCs w:val="22"/>
        </w:rPr>
      </w:pPr>
      <w:r w:rsidRPr="00D77B3B">
        <w:t xml:space="preserve">Il est déconseillé d’utiliser en concomitance des immunoglobulines intraveineuses puisqu’elles pourraient interférer avec la cytotoxicité cellulaire dépendante du </w:t>
      </w:r>
      <w:proofErr w:type="spellStart"/>
      <w:r w:rsidRPr="00D77B3B">
        <w:t>dinutuximab</w:t>
      </w:r>
      <w:proofErr w:type="spellEnd"/>
      <w:r w:rsidRPr="00D77B3B">
        <w:t xml:space="preserve"> bêta.</w:t>
      </w:r>
    </w:p>
    <w:p w14:paraId="1BB55E37" w14:textId="77777777" w:rsidR="008F4AFF" w:rsidRPr="00D77B3B" w:rsidRDefault="008F4AFF" w:rsidP="008F4AFF">
      <w:pPr>
        <w:keepNext/>
        <w:keepLines/>
        <w:spacing w:line="240" w:lineRule="auto"/>
        <w:rPr>
          <w:noProof/>
          <w:szCs w:val="22"/>
        </w:rPr>
      </w:pPr>
    </w:p>
    <w:p w14:paraId="17EC24CC" w14:textId="77777777" w:rsidR="008F4AFF" w:rsidRPr="00D77B3B" w:rsidRDefault="008F4AFF" w:rsidP="008F4AFF">
      <w:pPr>
        <w:keepNext/>
        <w:keepLines/>
        <w:spacing w:line="240" w:lineRule="auto"/>
        <w:ind w:left="567" w:hanging="567"/>
        <w:outlineLvl w:val="0"/>
        <w:rPr>
          <w:b/>
          <w:szCs w:val="22"/>
        </w:rPr>
      </w:pPr>
      <w:r w:rsidRPr="00D77B3B">
        <w:rPr>
          <w:b/>
        </w:rPr>
        <w:t>4.6</w:t>
      </w:r>
      <w:r w:rsidRPr="00D77B3B">
        <w:tab/>
      </w:r>
      <w:r w:rsidRPr="00D77B3B">
        <w:rPr>
          <w:b/>
        </w:rPr>
        <w:t>Fertilité, grossesse et allaitement</w:t>
      </w:r>
    </w:p>
    <w:p w14:paraId="594C5E28" w14:textId="77777777" w:rsidR="008F4AFF" w:rsidRPr="00D77B3B" w:rsidRDefault="008F4AFF" w:rsidP="008F4AFF">
      <w:pPr>
        <w:keepNext/>
        <w:keepLines/>
        <w:spacing w:line="240" w:lineRule="auto"/>
        <w:rPr>
          <w:noProof/>
          <w:szCs w:val="22"/>
        </w:rPr>
      </w:pPr>
    </w:p>
    <w:p w14:paraId="61C4F946" w14:textId="77777777" w:rsidR="008F4AFF" w:rsidRPr="00D77B3B" w:rsidRDefault="008F4AFF" w:rsidP="008F4AFF">
      <w:pPr>
        <w:keepNext/>
        <w:keepLines/>
        <w:spacing w:line="240" w:lineRule="auto"/>
        <w:rPr>
          <w:noProof/>
          <w:szCs w:val="22"/>
          <w:u w:val="single"/>
        </w:rPr>
      </w:pPr>
      <w:r w:rsidRPr="00D77B3B">
        <w:rPr>
          <w:noProof/>
          <w:u w:val="single"/>
        </w:rPr>
        <w:t>Grossesse</w:t>
      </w:r>
    </w:p>
    <w:p w14:paraId="5C9BDCFA" w14:textId="12F281E4" w:rsidR="008F4AFF" w:rsidRPr="00D77B3B" w:rsidRDefault="008F4AFF" w:rsidP="008F4AFF">
      <w:pPr>
        <w:keepNext/>
        <w:keepLines/>
        <w:spacing w:line="240" w:lineRule="auto"/>
        <w:rPr>
          <w:szCs w:val="22"/>
        </w:rPr>
      </w:pPr>
      <w:r w:rsidRPr="00D77B3B">
        <w:t xml:space="preserve">Il n’existe pas de données sur l’utilisation du </w:t>
      </w:r>
      <w:proofErr w:type="spellStart"/>
      <w:r w:rsidRPr="00D77B3B">
        <w:t>dinutuximab</w:t>
      </w:r>
      <w:proofErr w:type="spellEnd"/>
      <w:r w:rsidRPr="00D77B3B">
        <w:t xml:space="preserve"> bêta chez la femme enceinte. Il n’existe pas de données </w:t>
      </w:r>
      <w:r w:rsidR="00696156">
        <w:t xml:space="preserve">animales </w:t>
      </w:r>
      <w:r w:rsidRPr="00D77B3B">
        <w:t>sur la tératogénicité ou l’</w:t>
      </w:r>
      <w:proofErr w:type="spellStart"/>
      <w:r w:rsidRPr="00D77B3B">
        <w:t>embryotoxicité</w:t>
      </w:r>
      <w:proofErr w:type="spellEnd"/>
      <w:r w:rsidRPr="00D77B3B">
        <w:t xml:space="preserve"> chez les animaux. La cible GD2 du </w:t>
      </w:r>
      <w:proofErr w:type="spellStart"/>
      <w:r w:rsidRPr="00D77B3B">
        <w:t>dinutuximab</w:t>
      </w:r>
      <w:proofErr w:type="spellEnd"/>
      <w:r w:rsidRPr="00D77B3B">
        <w:t xml:space="preserve"> bêta est exprimée à la surface des tissus nerveux, particulièrement lors du développement </w:t>
      </w:r>
      <w:proofErr w:type="spellStart"/>
      <w:r w:rsidRPr="00D77B3B">
        <w:t>embryofœtal</w:t>
      </w:r>
      <w:proofErr w:type="spellEnd"/>
      <w:r w:rsidRPr="00D77B3B">
        <w:t xml:space="preserve">, et peut traverser le placenta, c’est pourquoi </w:t>
      </w:r>
      <w:proofErr w:type="spellStart"/>
      <w:r w:rsidR="008737C6">
        <w:t>Qarziba</w:t>
      </w:r>
      <w:proofErr w:type="spellEnd"/>
      <w:r w:rsidRPr="00D77B3B">
        <w:t xml:space="preserve"> peut nuire au fœtus lorsqu’il est administré pendant la grossesse.</w:t>
      </w:r>
    </w:p>
    <w:p w14:paraId="627947E6" w14:textId="1BB9CE5A" w:rsidR="008F4AFF" w:rsidRPr="00D77B3B" w:rsidRDefault="008737C6" w:rsidP="008F4AFF">
      <w:pPr>
        <w:spacing w:before="120" w:line="240" w:lineRule="auto"/>
        <w:rPr>
          <w:szCs w:val="22"/>
        </w:rPr>
      </w:pPr>
      <w:proofErr w:type="spellStart"/>
      <w:r>
        <w:t>Qarziba</w:t>
      </w:r>
      <w:proofErr w:type="spellEnd"/>
      <w:r w:rsidR="008F4AFF" w:rsidRPr="00D77B3B">
        <w:t xml:space="preserve"> ne doit pas être utilisé pendant la grossesse.</w:t>
      </w:r>
    </w:p>
    <w:p w14:paraId="61C81DAA" w14:textId="77777777" w:rsidR="008F4AFF" w:rsidRPr="00D77B3B" w:rsidRDefault="008F4AFF" w:rsidP="008F4AFF">
      <w:pPr>
        <w:spacing w:line="240" w:lineRule="auto"/>
        <w:rPr>
          <w:noProof/>
          <w:szCs w:val="22"/>
        </w:rPr>
      </w:pPr>
    </w:p>
    <w:p w14:paraId="5526FE2A" w14:textId="77777777" w:rsidR="008F4AFF" w:rsidRPr="00D77B3B" w:rsidRDefault="008F4AFF" w:rsidP="008F4AFF">
      <w:pPr>
        <w:keepNext/>
        <w:keepLines/>
        <w:spacing w:line="240" w:lineRule="auto"/>
        <w:rPr>
          <w:noProof/>
          <w:szCs w:val="22"/>
          <w:u w:val="single"/>
        </w:rPr>
      </w:pPr>
      <w:r w:rsidRPr="00D77B3B">
        <w:rPr>
          <w:noProof/>
          <w:u w:val="single"/>
        </w:rPr>
        <w:t>Allaitement</w:t>
      </w:r>
    </w:p>
    <w:p w14:paraId="53F17151" w14:textId="7BDA8A34" w:rsidR="008F4AFF" w:rsidRPr="00D77B3B" w:rsidRDefault="008F4AFF" w:rsidP="008F4AFF">
      <w:pPr>
        <w:keepNext/>
        <w:keepLines/>
        <w:spacing w:line="240" w:lineRule="auto"/>
        <w:rPr>
          <w:szCs w:val="22"/>
        </w:rPr>
      </w:pPr>
      <w:r w:rsidRPr="00D77B3B">
        <w:t xml:space="preserve">Il n’existe pas de données sur l’utilisation du </w:t>
      </w:r>
      <w:proofErr w:type="spellStart"/>
      <w:r w:rsidRPr="00D77B3B">
        <w:t>dinutuximab</w:t>
      </w:r>
      <w:proofErr w:type="spellEnd"/>
      <w:r w:rsidRPr="00D77B3B">
        <w:t xml:space="preserve"> bêta chez la femme qui allaite. On ignore si le </w:t>
      </w:r>
      <w:proofErr w:type="spellStart"/>
      <w:r w:rsidRPr="00D77B3B">
        <w:t>dinutuximab</w:t>
      </w:r>
      <w:proofErr w:type="spellEnd"/>
      <w:r w:rsidRPr="00D77B3B">
        <w:t xml:space="preserve"> bêta est excrété dans le lait maternel. L’allaitement doit être interrompu au cours du traitement par </w:t>
      </w:r>
      <w:proofErr w:type="spellStart"/>
      <w:r w:rsidR="008737C6">
        <w:t>Qarziba</w:t>
      </w:r>
      <w:proofErr w:type="spellEnd"/>
      <w:r w:rsidRPr="00D77B3B">
        <w:t xml:space="preserve"> et </w:t>
      </w:r>
      <w:r w:rsidR="00696156">
        <w:t>jusqu’à</w:t>
      </w:r>
      <w:r w:rsidRPr="00D77B3B">
        <w:t xml:space="preserve"> 6 mois </w:t>
      </w:r>
      <w:r w:rsidR="00696156">
        <w:t>après</w:t>
      </w:r>
      <w:r w:rsidR="00696156" w:rsidRPr="00D77B3B">
        <w:t xml:space="preserve"> </w:t>
      </w:r>
      <w:r w:rsidRPr="00D77B3B">
        <w:t>la dernière dose.</w:t>
      </w:r>
    </w:p>
    <w:p w14:paraId="70950504" w14:textId="77777777" w:rsidR="008F4AFF" w:rsidRPr="00D77B3B" w:rsidRDefault="008F4AFF" w:rsidP="008F4AFF">
      <w:pPr>
        <w:spacing w:line="240" w:lineRule="auto"/>
        <w:rPr>
          <w:szCs w:val="22"/>
        </w:rPr>
      </w:pPr>
    </w:p>
    <w:p w14:paraId="1FEE6D6E" w14:textId="77777777" w:rsidR="008F4AFF" w:rsidRPr="00D77B3B" w:rsidRDefault="008F4AFF" w:rsidP="008F4AFF">
      <w:pPr>
        <w:keepNext/>
        <w:keepLines/>
        <w:spacing w:line="240" w:lineRule="auto"/>
        <w:rPr>
          <w:noProof/>
          <w:szCs w:val="22"/>
          <w:u w:val="single"/>
        </w:rPr>
      </w:pPr>
      <w:r w:rsidRPr="00D77B3B">
        <w:rPr>
          <w:noProof/>
          <w:u w:val="single"/>
        </w:rPr>
        <w:t>Fertilité</w:t>
      </w:r>
    </w:p>
    <w:p w14:paraId="18E8DBEC" w14:textId="2E3B41DE" w:rsidR="008F4AFF" w:rsidRPr="00D77B3B" w:rsidRDefault="008F4AFF" w:rsidP="008F4AFF">
      <w:pPr>
        <w:keepNext/>
        <w:keepLines/>
        <w:spacing w:line="240" w:lineRule="auto"/>
        <w:rPr>
          <w:szCs w:val="22"/>
        </w:rPr>
      </w:pPr>
      <w:r w:rsidRPr="00D77B3B">
        <w:t xml:space="preserve">Les effets du </w:t>
      </w:r>
      <w:proofErr w:type="spellStart"/>
      <w:r w:rsidRPr="00D77B3B">
        <w:t>dinutuximab</w:t>
      </w:r>
      <w:proofErr w:type="spellEnd"/>
      <w:r w:rsidRPr="00D77B3B">
        <w:t xml:space="preserve"> bêta sur la fertilité </w:t>
      </w:r>
      <w:r w:rsidR="000B1C25">
        <w:t>l’Homme</w:t>
      </w:r>
      <w:r w:rsidRPr="00D77B3B">
        <w:t xml:space="preserve"> ne sont pas connus. Chez les animaux, aucune étude sur la fertilité n’a été réalisée</w:t>
      </w:r>
      <w:r w:rsidR="000B1C25">
        <w:t>.</w:t>
      </w:r>
      <w:r w:rsidRPr="00D77B3B">
        <w:t xml:space="preserve"> </w:t>
      </w:r>
      <w:r w:rsidR="000B1C25">
        <w:t>C</w:t>
      </w:r>
      <w:r w:rsidRPr="00D77B3B">
        <w:t xml:space="preserve">ependant, aucun effet indésirable sur les organes </w:t>
      </w:r>
      <w:r w:rsidR="00696156">
        <w:t>reproducteurs</w:t>
      </w:r>
      <w:r w:rsidR="00696156" w:rsidRPr="00D77B3B">
        <w:t xml:space="preserve"> </w:t>
      </w:r>
      <w:r w:rsidRPr="00D77B3B">
        <w:t xml:space="preserve">n’a été mis en évidence </w:t>
      </w:r>
      <w:r w:rsidR="000B1C25">
        <w:t>lors</w:t>
      </w:r>
      <w:r w:rsidRPr="00D77B3B">
        <w:t xml:space="preserve"> </w:t>
      </w:r>
      <w:r w:rsidR="000B1C25">
        <w:t>d</w:t>
      </w:r>
      <w:r w:rsidRPr="00D77B3B">
        <w:t xml:space="preserve">es études </w:t>
      </w:r>
      <w:r w:rsidR="00696156">
        <w:t>de</w:t>
      </w:r>
      <w:r w:rsidRPr="00D77B3B">
        <w:t xml:space="preserve"> toxicité</w:t>
      </w:r>
      <w:r w:rsidR="000B1C25">
        <w:t xml:space="preserve"> chez le cobaye et le singe </w:t>
      </w:r>
      <w:proofErr w:type="spellStart"/>
      <w:r w:rsidR="000B1C25">
        <w:t>cynomolgus</w:t>
      </w:r>
      <w:proofErr w:type="spellEnd"/>
      <w:r w:rsidRPr="00D77B3B">
        <w:t>.</w:t>
      </w:r>
    </w:p>
    <w:p w14:paraId="3849A0BC" w14:textId="77777777" w:rsidR="008F4AFF" w:rsidRPr="00D77B3B" w:rsidRDefault="008F4AFF" w:rsidP="008F4AFF">
      <w:pPr>
        <w:keepNext/>
        <w:keepLines/>
        <w:spacing w:line="240" w:lineRule="auto"/>
        <w:rPr>
          <w:noProof/>
          <w:szCs w:val="22"/>
          <w:u w:val="single"/>
        </w:rPr>
      </w:pPr>
    </w:p>
    <w:p w14:paraId="7BA82861" w14:textId="132A4FA0" w:rsidR="008F4AFF" w:rsidRPr="00D77B3B" w:rsidRDefault="008737C6" w:rsidP="008F4AFF">
      <w:pPr>
        <w:spacing w:line="240" w:lineRule="auto"/>
        <w:rPr>
          <w:szCs w:val="22"/>
        </w:rPr>
      </w:pPr>
      <w:proofErr w:type="spellStart"/>
      <w:r>
        <w:t>Qarziba</w:t>
      </w:r>
      <w:proofErr w:type="spellEnd"/>
      <w:r w:rsidR="008F4AFF" w:rsidRPr="00D77B3B">
        <w:t xml:space="preserve"> ne doit pas être utilisé chez les femmes en âge </w:t>
      </w:r>
      <w:r w:rsidR="00696156">
        <w:t>de procréer</w:t>
      </w:r>
      <w:r w:rsidR="008F4AFF" w:rsidRPr="00D77B3B">
        <w:t xml:space="preserve"> </w:t>
      </w:r>
      <w:r w:rsidR="00696156">
        <w:t>n’utilisant pas de méthode de</w:t>
      </w:r>
      <w:r w:rsidR="008F4AFF" w:rsidRPr="00D77B3B">
        <w:t xml:space="preserve"> contraception. Il est recommandé aux femmes en âge de procréer d’avoir recours à </w:t>
      </w:r>
      <w:r w:rsidR="00696156">
        <w:t>une méthode de</w:t>
      </w:r>
      <w:r w:rsidR="00696156" w:rsidRPr="00D77B3B">
        <w:t xml:space="preserve"> </w:t>
      </w:r>
      <w:r w:rsidR="008F4AFF" w:rsidRPr="00D77B3B">
        <w:t xml:space="preserve">contraception pendant au moins 6 mois après l’arrêt du traitement par </w:t>
      </w:r>
      <w:proofErr w:type="spellStart"/>
      <w:r w:rsidR="008F4AFF" w:rsidRPr="00D77B3B">
        <w:t>dinutuximab</w:t>
      </w:r>
      <w:proofErr w:type="spellEnd"/>
      <w:r w:rsidR="008F4AFF" w:rsidRPr="00D77B3B">
        <w:t xml:space="preserve"> bêta.</w:t>
      </w:r>
    </w:p>
    <w:p w14:paraId="78E3478E" w14:textId="77777777" w:rsidR="00B51F82" w:rsidRDefault="00B51F82" w:rsidP="008F4AFF">
      <w:pPr>
        <w:keepNext/>
        <w:keepLines/>
        <w:spacing w:line="240" w:lineRule="auto"/>
        <w:ind w:left="567" w:hanging="567"/>
        <w:outlineLvl w:val="0"/>
        <w:rPr>
          <w:b/>
          <w:noProof/>
        </w:rPr>
      </w:pPr>
    </w:p>
    <w:p w14:paraId="205FBE14" w14:textId="77777777" w:rsidR="008F4AFF" w:rsidRPr="00D77B3B" w:rsidRDefault="008F4AFF" w:rsidP="008F4AFF">
      <w:pPr>
        <w:keepNext/>
        <w:keepLines/>
        <w:spacing w:line="240" w:lineRule="auto"/>
        <w:ind w:left="567" w:hanging="567"/>
        <w:outlineLvl w:val="0"/>
        <w:rPr>
          <w:b/>
          <w:noProof/>
          <w:szCs w:val="22"/>
        </w:rPr>
      </w:pPr>
      <w:r w:rsidRPr="00D77B3B">
        <w:rPr>
          <w:b/>
          <w:noProof/>
        </w:rPr>
        <w:t>4.7</w:t>
      </w:r>
      <w:r w:rsidRPr="00D77B3B">
        <w:tab/>
      </w:r>
      <w:r w:rsidRPr="00D77B3B">
        <w:rPr>
          <w:b/>
          <w:noProof/>
        </w:rPr>
        <w:t>Effets sur l’aptitude à conduire des véhicules et à utiliser des machines</w:t>
      </w:r>
    </w:p>
    <w:p w14:paraId="140BB872" w14:textId="77777777" w:rsidR="008F4AFF" w:rsidRPr="00D77B3B" w:rsidRDefault="008F4AFF" w:rsidP="008F4AFF">
      <w:pPr>
        <w:keepNext/>
        <w:keepLines/>
        <w:spacing w:line="240" w:lineRule="auto"/>
        <w:rPr>
          <w:noProof/>
          <w:szCs w:val="22"/>
        </w:rPr>
      </w:pPr>
    </w:p>
    <w:p w14:paraId="20AFA337" w14:textId="77777777" w:rsidR="008F4AFF" w:rsidRPr="00D77B3B" w:rsidRDefault="008F4AFF" w:rsidP="008F4AFF">
      <w:pPr>
        <w:keepNext/>
        <w:keepLines/>
        <w:spacing w:line="240" w:lineRule="auto"/>
        <w:rPr>
          <w:noProof/>
          <w:szCs w:val="22"/>
        </w:rPr>
      </w:pPr>
      <w:r w:rsidRPr="00D77B3B">
        <w:t xml:space="preserve">Le </w:t>
      </w:r>
      <w:proofErr w:type="spellStart"/>
      <w:r w:rsidRPr="00D77B3B">
        <w:t>dinutuximab</w:t>
      </w:r>
      <w:proofErr w:type="spellEnd"/>
      <w:r w:rsidRPr="00D77B3B">
        <w:t xml:space="preserve"> bêta </w:t>
      </w:r>
      <w:proofErr w:type="gramStart"/>
      <w:r w:rsidRPr="00D77B3B">
        <w:t>a</w:t>
      </w:r>
      <w:proofErr w:type="gramEnd"/>
      <w:r w:rsidRPr="00D77B3B">
        <w:t xml:space="preserve"> une influence importante sur l’aptitude à conduire des véhicules et à utiliser des machines. Les patients ne doivent pas conduire de véhicules ou utiliser de machines pendant le traitement par </w:t>
      </w:r>
      <w:proofErr w:type="spellStart"/>
      <w:r w:rsidRPr="00D77B3B">
        <w:t>dinutuximab</w:t>
      </w:r>
      <w:proofErr w:type="spellEnd"/>
      <w:r w:rsidRPr="00D77B3B">
        <w:t xml:space="preserve"> bêta.</w:t>
      </w:r>
    </w:p>
    <w:p w14:paraId="0D15387F" w14:textId="77777777" w:rsidR="008F4AFF" w:rsidRPr="00D77B3B" w:rsidRDefault="008F4AFF" w:rsidP="008F4AFF">
      <w:pPr>
        <w:spacing w:line="240" w:lineRule="auto"/>
        <w:rPr>
          <w:noProof/>
          <w:szCs w:val="22"/>
        </w:rPr>
      </w:pPr>
    </w:p>
    <w:p w14:paraId="02250681" w14:textId="77777777" w:rsidR="008F4AFF" w:rsidRPr="00D77B3B" w:rsidRDefault="008F4AFF" w:rsidP="008F4AFF">
      <w:pPr>
        <w:keepNext/>
        <w:keepLines/>
        <w:spacing w:line="240" w:lineRule="auto"/>
        <w:outlineLvl w:val="0"/>
        <w:rPr>
          <w:b/>
          <w:noProof/>
          <w:szCs w:val="22"/>
        </w:rPr>
      </w:pPr>
      <w:r w:rsidRPr="00D77B3B">
        <w:rPr>
          <w:b/>
          <w:noProof/>
        </w:rPr>
        <w:t>4.8</w:t>
      </w:r>
      <w:r w:rsidRPr="00D77B3B">
        <w:tab/>
      </w:r>
      <w:r w:rsidRPr="00D77B3B">
        <w:rPr>
          <w:b/>
          <w:noProof/>
        </w:rPr>
        <w:t>Effets indésirables</w:t>
      </w:r>
    </w:p>
    <w:p w14:paraId="61773656" w14:textId="77777777" w:rsidR="008F4AFF" w:rsidRPr="00D77B3B" w:rsidRDefault="008F4AFF" w:rsidP="008F4AFF">
      <w:pPr>
        <w:keepNext/>
        <w:keepLines/>
        <w:suppressLineNumbers/>
        <w:spacing w:line="240" w:lineRule="auto"/>
        <w:rPr>
          <w:szCs w:val="22"/>
          <w:u w:val="single"/>
        </w:rPr>
      </w:pPr>
    </w:p>
    <w:p w14:paraId="356C7948" w14:textId="77777777" w:rsidR="008F4AFF" w:rsidRPr="00D77B3B" w:rsidRDefault="008F4AFF" w:rsidP="008F4AFF">
      <w:pPr>
        <w:keepNext/>
        <w:keepLines/>
        <w:spacing w:line="240" w:lineRule="auto"/>
        <w:rPr>
          <w:noProof/>
          <w:szCs w:val="22"/>
          <w:u w:val="single"/>
        </w:rPr>
      </w:pPr>
      <w:r w:rsidRPr="00D77B3B">
        <w:rPr>
          <w:noProof/>
          <w:u w:val="single"/>
        </w:rPr>
        <w:t>Résumé du profil de sécurité</w:t>
      </w:r>
    </w:p>
    <w:p w14:paraId="1D758930" w14:textId="6EC6551A" w:rsidR="008F4AFF" w:rsidRPr="00D77B3B" w:rsidRDefault="008F4AFF" w:rsidP="008F4AFF">
      <w:pPr>
        <w:keepNext/>
        <w:keepLines/>
        <w:suppressLineNumbers/>
        <w:spacing w:line="240" w:lineRule="auto"/>
        <w:rPr>
          <w:szCs w:val="22"/>
        </w:rPr>
      </w:pPr>
      <w:r w:rsidRPr="00D77B3B">
        <w:t xml:space="preserve">La sécurité du </w:t>
      </w:r>
      <w:proofErr w:type="spellStart"/>
      <w:r w:rsidRPr="00D77B3B">
        <w:t>dinutuximab</w:t>
      </w:r>
      <w:proofErr w:type="spellEnd"/>
      <w:r w:rsidRPr="00D77B3B">
        <w:t xml:space="preserve"> bêta a été évaluée chez </w:t>
      </w:r>
      <w:r w:rsidR="00513F70" w:rsidRPr="00913D4B">
        <w:rPr>
          <w:rStyle w:val="CommentTextChar"/>
          <w:rFonts w:eastAsia="SimSun"/>
        </w:rPr>
        <w:t>62</w:t>
      </w:r>
      <w:r w:rsidR="00513F70">
        <w:rPr>
          <w:rStyle w:val="CommentTextChar"/>
          <w:rFonts w:eastAsia="SimSun"/>
        </w:rPr>
        <w:t>8</w:t>
      </w:r>
      <w:r w:rsidRPr="00D77B3B">
        <w:t>patients présentant un neuroblastome à haut risque et récidivant ou réfractaire et ayant reçu le médicament sous la forme de perfusion continue (</w:t>
      </w:r>
      <w:r w:rsidR="00513F70">
        <w:t>212</w:t>
      </w:r>
      <w:r w:rsidRPr="00D77B3B">
        <w:t xml:space="preserve">) ou de plusieurs perfusions quotidiennes (416). Le </w:t>
      </w:r>
      <w:proofErr w:type="spellStart"/>
      <w:r w:rsidRPr="00D77B3B">
        <w:t>dinutuximab</w:t>
      </w:r>
      <w:proofErr w:type="spellEnd"/>
      <w:r w:rsidRPr="00D77B3B">
        <w:t xml:space="preserve"> bêta a été associé avec l’</w:t>
      </w:r>
      <w:proofErr w:type="spellStart"/>
      <w:r w:rsidRPr="00D77B3B">
        <w:t>isotrétinoïne</w:t>
      </w:r>
      <w:proofErr w:type="spellEnd"/>
      <w:r w:rsidRPr="00D77B3B">
        <w:t xml:space="preserve"> chez la plupart des patients et avec l’IL-2 chez 307 patients.</w:t>
      </w:r>
    </w:p>
    <w:p w14:paraId="411CBB99" w14:textId="77777777" w:rsidR="008F4AFF" w:rsidRPr="00D77B3B" w:rsidRDefault="008F4AFF" w:rsidP="008F4AFF">
      <w:pPr>
        <w:spacing w:line="240" w:lineRule="auto"/>
        <w:rPr>
          <w:szCs w:val="22"/>
        </w:rPr>
      </w:pPr>
    </w:p>
    <w:p w14:paraId="0655A92A" w14:textId="33B11B32" w:rsidR="008F4AFF" w:rsidRPr="00D77B3B" w:rsidRDefault="008F4AFF" w:rsidP="008F4AFF">
      <w:pPr>
        <w:autoSpaceDE w:val="0"/>
        <w:autoSpaceDN w:val="0"/>
        <w:adjustRightInd w:val="0"/>
        <w:spacing w:line="240" w:lineRule="auto"/>
        <w:rPr>
          <w:szCs w:val="22"/>
        </w:rPr>
      </w:pPr>
      <w:r w:rsidRPr="00D77B3B">
        <w:t>Les effets indésirables les plus fréquemment observés étaient la fièvre (8</w:t>
      </w:r>
      <w:r w:rsidR="00503C0D">
        <w:t>8</w:t>
      </w:r>
      <w:r w:rsidRPr="00D77B3B">
        <w:t> %) et la douleur (7</w:t>
      </w:r>
      <w:r w:rsidR="00503C0D">
        <w:t>7</w:t>
      </w:r>
      <w:r w:rsidRPr="00D77B3B">
        <w:t> %), malgré un traitement par analgésique. Parmi les autres effets indésirables fréquents, on retrouve également l’hypersensibilité (</w:t>
      </w:r>
      <w:r w:rsidR="00513F70">
        <w:t>74.1</w:t>
      </w:r>
      <w:r w:rsidRPr="00D77B3B">
        <w:t> %), les vomissements (57 %), la diarrhée (51 %), le syndrome de fuite capillaire (40 %)</w:t>
      </w:r>
      <w:r w:rsidR="00513F70">
        <w:t>, l’anémie (72,3 %), la neutropénie (52 %), la thrombopénie (49,6</w:t>
      </w:r>
      <w:proofErr w:type="gramStart"/>
      <w:r w:rsidR="00513F70">
        <w:t>%) </w:t>
      </w:r>
      <w:r w:rsidRPr="00D77B3B">
        <w:t xml:space="preserve"> et</w:t>
      </w:r>
      <w:proofErr w:type="gramEnd"/>
      <w:r w:rsidRPr="00D77B3B">
        <w:t xml:space="preserve"> l’hypotension (</w:t>
      </w:r>
      <w:r w:rsidR="00513F70">
        <w:t>42.2</w:t>
      </w:r>
      <w:r w:rsidRPr="00D77B3B">
        <w:t> %).</w:t>
      </w:r>
    </w:p>
    <w:p w14:paraId="1F4755CD" w14:textId="77777777" w:rsidR="008F4AFF" w:rsidRPr="00D77B3B" w:rsidRDefault="008F4AFF" w:rsidP="008F4AFF">
      <w:pPr>
        <w:widowControl w:val="0"/>
        <w:suppressLineNumbers/>
        <w:spacing w:line="240" w:lineRule="auto"/>
        <w:rPr>
          <w:szCs w:val="22"/>
          <w:u w:val="single"/>
        </w:rPr>
      </w:pPr>
    </w:p>
    <w:p w14:paraId="0EB34D07" w14:textId="77777777" w:rsidR="008F4AFF" w:rsidRPr="00D77B3B" w:rsidRDefault="008F4AFF" w:rsidP="008F4AFF">
      <w:pPr>
        <w:keepNext/>
        <w:keepLines/>
        <w:spacing w:line="240" w:lineRule="auto"/>
        <w:rPr>
          <w:noProof/>
          <w:szCs w:val="22"/>
          <w:u w:val="single"/>
        </w:rPr>
      </w:pPr>
      <w:r w:rsidRPr="00D77B3B">
        <w:rPr>
          <w:noProof/>
          <w:u w:val="single"/>
        </w:rPr>
        <w:t>Tableau récapitulatif des effets indésirables</w:t>
      </w:r>
    </w:p>
    <w:p w14:paraId="28D0F48A" w14:textId="18B8215E" w:rsidR="0032424B" w:rsidRPr="00D77B3B" w:rsidRDefault="008F4AFF" w:rsidP="0032424B">
      <w:pPr>
        <w:widowControl w:val="0"/>
        <w:suppressLineNumbers/>
        <w:spacing w:line="240" w:lineRule="auto"/>
        <w:rPr>
          <w:szCs w:val="22"/>
        </w:rPr>
      </w:pPr>
      <w:r w:rsidRPr="00D77B3B">
        <w:t xml:space="preserve">Les effets indésirables </w:t>
      </w:r>
      <w:r w:rsidR="00513F70">
        <w:t>rapportés dans les études cliniques</w:t>
      </w:r>
      <w:r w:rsidR="00513F70" w:rsidRPr="00D77B3B">
        <w:t xml:space="preserve"> </w:t>
      </w:r>
      <w:r w:rsidRPr="00D77B3B">
        <w:t>sont</w:t>
      </w:r>
      <w:r w:rsidR="0032424B" w:rsidRPr="0032424B">
        <w:t xml:space="preserve"> </w:t>
      </w:r>
      <w:r w:rsidR="0032424B">
        <w:t>présentés par classe de systèmes d’organe et fréquence et</w:t>
      </w:r>
      <w:r w:rsidRPr="00D77B3B">
        <w:t xml:space="preserve"> résumés dans le tableau ci-dessous Ces effets indésirables sont présentés selon la fréquence et la classe de systèmes d’organes (</w:t>
      </w:r>
      <w:proofErr w:type="spellStart"/>
      <w:r w:rsidRPr="00D77B3B">
        <w:t>MedDRA</w:t>
      </w:r>
      <w:proofErr w:type="spellEnd"/>
      <w:r w:rsidRPr="00D77B3B">
        <w:t xml:space="preserve">). Les catégories de fréquence sont définies comme </w:t>
      </w:r>
      <w:proofErr w:type="gramStart"/>
      <w:r w:rsidRPr="00D77B3B">
        <w:t>suit:</w:t>
      </w:r>
      <w:proofErr w:type="gramEnd"/>
      <w:r w:rsidRPr="00D77B3B">
        <w:t xml:space="preserve"> très fréquent (≥ 1/10; fréquent (≥ 1/100</w:t>
      </w:r>
      <w:r w:rsidR="0032424B" w:rsidRPr="0032424B">
        <w:t xml:space="preserve"> </w:t>
      </w:r>
      <w:r w:rsidRPr="00D77B3B">
        <w:t xml:space="preserve"> &lt; 1/10) et peu fréquent ≥ </w:t>
      </w:r>
      <w:r w:rsidR="0032424B" w:rsidRPr="00D77B3B">
        <w:t>(≥ </w:t>
      </w:r>
      <w:r w:rsidRPr="00D77B3B">
        <w:t>1/</w:t>
      </w:r>
      <w:r w:rsidR="0032424B" w:rsidRPr="00D77B3B">
        <w:t>1</w:t>
      </w:r>
      <w:r w:rsidR="0032424B">
        <w:t> </w:t>
      </w:r>
      <w:r w:rsidR="0032424B" w:rsidRPr="00D77B3B">
        <w:t>000</w:t>
      </w:r>
      <w:r w:rsidR="0032424B">
        <w:t>,</w:t>
      </w:r>
      <w:r w:rsidRPr="00D77B3B">
        <w:t xml:space="preserve"> &lt; 1/100). Les effets indésirables sont classés par ordre décroissant dans chaque catégorie de fréquence.</w:t>
      </w:r>
      <w:r w:rsidR="0032424B" w:rsidRPr="0032424B">
        <w:t xml:space="preserve"> </w:t>
      </w:r>
      <w:r w:rsidR="0032424B">
        <w:t xml:space="preserve">La nature des effets indésirables rapportés depuis la commercialisation est </w:t>
      </w:r>
      <w:proofErr w:type="gramStart"/>
      <w:r w:rsidR="0032424B">
        <w:t>cohérente  avec</w:t>
      </w:r>
      <w:proofErr w:type="gramEnd"/>
      <w:r w:rsidR="0032424B">
        <w:t xml:space="preserve"> celle des effets indésirables observés dans les études cliniques.</w:t>
      </w:r>
    </w:p>
    <w:p w14:paraId="0F9EB7D3" w14:textId="734226B9" w:rsidR="008F4AFF" w:rsidRPr="00D77B3B" w:rsidRDefault="008F4AFF" w:rsidP="008F4AFF">
      <w:pPr>
        <w:widowControl w:val="0"/>
        <w:suppressLineNumbers/>
        <w:spacing w:line="240" w:lineRule="auto"/>
        <w:rPr>
          <w:szCs w:val="22"/>
        </w:rPr>
      </w:pPr>
    </w:p>
    <w:p w14:paraId="56FEC88E" w14:textId="77777777" w:rsidR="008F4AFF" w:rsidRPr="00D77B3B" w:rsidRDefault="008F4AFF" w:rsidP="008F4AFF">
      <w:pPr>
        <w:widowControl w:val="0"/>
        <w:suppressLineNumbers/>
        <w:spacing w:line="240" w:lineRule="auto"/>
        <w:rPr>
          <w:szCs w:val="22"/>
        </w:rPr>
      </w:pPr>
    </w:p>
    <w:tbl>
      <w:tblPr>
        <w:tblStyle w:val="TableGrid"/>
        <w:tblW w:w="0" w:type="auto"/>
        <w:tblLook w:val="04A0" w:firstRow="1" w:lastRow="0" w:firstColumn="1" w:lastColumn="0" w:noHBand="0" w:noVBand="1"/>
      </w:tblPr>
      <w:tblGrid>
        <w:gridCol w:w="2093"/>
        <w:gridCol w:w="2273"/>
        <w:gridCol w:w="2443"/>
        <w:gridCol w:w="2252"/>
      </w:tblGrid>
      <w:tr w:rsidR="00B608FF" w14:paraId="12F4276A" w14:textId="77777777" w:rsidTr="00D070AE">
        <w:trPr>
          <w:trHeight w:val="478"/>
        </w:trPr>
        <w:tc>
          <w:tcPr>
            <w:tcW w:w="2157" w:type="dxa"/>
          </w:tcPr>
          <w:p w14:paraId="0760E48E" w14:textId="77777777" w:rsidR="008F4AFF" w:rsidRPr="00D77B3B" w:rsidRDefault="008F4AFF" w:rsidP="008F4AFF">
            <w:pPr>
              <w:keepNext/>
              <w:autoSpaceDE w:val="0"/>
              <w:autoSpaceDN w:val="0"/>
              <w:adjustRightInd w:val="0"/>
              <w:spacing w:before="120" w:line="240" w:lineRule="auto"/>
              <w:rPr>
                <w:b/>
                <w:highlight w:val="yellow"/>
              </w:rPr>
            </w:pPr>
            <w:r w:rsidRPr="00D77B3B">
              <w:rPr>
                <w:b/>
              </w:rPr>
              <w:lastRenderedPageBreak/>
              <w:t>Classe de systèmes d’organes</w:t>
            </w:r>
          </w:p>
        </w:tc>
        <w:tc>
          <w:tcPr>
            <w:tcW w:w="2322" w:type="dxa"/>
          </w:tcPr>
          <w:p w14:paraId="2B2CBD75" w14:textId="77777777" w:rsidR="008F4AFF" w:rsidRPr="00D77B3B" w:rsidRDefault="008F4AFF" w:rsidP="008F4AFF">
            <w:pPr>
              <w:keepNext/>
              <w:autoSpaceDE w:val="0"/>
              <w:autoSpaceDN w:val="0"/>
              <w:adjustRightInd w:val="0"/>
              <w:spacing w:before="120" w:line="240" w:lineRule="auto"/>
              <w:rPr>
                <w:b/>
                <w:highlight w:val="yellow"/>
              </w:rPr>
            </w:pPr>
            <w:r w:rsidRPr="00D77B3B">
              <w:rPr>
                <w:b/>
              </w:rPr>
              <w:t>Très fréquent</w:t>
            </w:r>
          </w:p>
        </w:tc>
        <w:tc>
          <w:tcPr>
            <w:tcW w:w="2492" w:type="dxa"/>
          </w:tcPr>
          <w:p w14:paraId="6E6CE8E0" w14:textId="77777777" w:rsidR="008F4AFF" w:rsidRPr="00D77B3B" w:rsidRDefault="008F4AFF" w:rsidP="008F4AFF">
            <w:pPr>
              <w:keepNext/>
              <w:autoSpaceDE w:val="0"/>
              <w:autoSpaceDN w:val="0"/>
              <w:adjustRightInd w:val="0"/>
              <w:spacing w:before="120" w:line="240" w:lineRule="auto"/>
              <w:rPr>
                <w:b/>
                <w:highlight w:val="yellow"/>
              </w:rPr>
            </w:pPr>
            <w:r w:rsidRPr="00D77B3B">
              <w:rPr>
                <w:b/>
              </w:rPr>
              <w:t>Fréquent</w:t>
            </w:r>
          </w:p>
        </w:tc>
        <w:tc>
          <w:tcPr>
            <w:tcW w:w="2316" w:type="dxa"/>
          </w:tcPr>
          <w:p w14:paraId="632EBC21" w14:textId="77777777" w:rsidR="008F4AFF" w:rsidRPr="00D77B3B" w:rsidRDefault="008F4AFF" w:rsidP="008F4AFF">
            <w:pPr>
              <w:keepNext/>
              <w:autoSpaceDE w:val="0"/>
              <w:autoSpaceDN w:val="0"/>
              <w:adjustRightInd w:val="0"/>
              <w:spacing w:before="120" w:line="240" w:lineRule="auto"/>
              <w:rPr>
                <w:b/>
                <w:highlight w:val="yellow"/>
              </w:rPr>
            </w:pPr>
            <w:r w:rsidRPr="00D77B3B">
              <w:rPr>
                <w:b/>
              </w:rPr>
              <w:t>Peu fréquent</w:t>
            </w:r>
          </w:p>
        </w:tc>
      </w:tr>
      <w:tr w:rsidR="00B608FF" w14:paraId="040410D0" w14:textId="77777777" w:rsidTr="00D070AE">
        <w:trPr>
          <w:trHeight w:val="637"/>
        </w:trPr>
        <w:tc>
          <w:tcPr>
            <w:tcW w:w="2157" w:type="dxa"/>
            <w:hideMark/>
          </w:tcPr>
          <w:p w14:paraId="3B98D6CA" w14:textId="77777777" w:rsidR="008F4AFF" w:rsidRPr="00D77B3B" w:rsidRDefault="008F4AFF" w:rsidP="008F4AFF">
            <w:pPr>
              <w:keepNext/>
              <w:spacing w:line="240" w:lineRule="auto"/>
              <w:rPr>
                <w:highlight w:val="yellow"/>
              </w:rPr>
            </w:pPr>
            <w:r w:rsidRPr="00D77B3B">
              <w:t>Infections et infestations</w:t>
            </w:r>
          </w:p>
        </w:tc>
        <w:tc>
          <w:tcPr>
            <w:tcW w:w="2322" w:type="dxa"/>
            <w:hideMark/>
          </w:tcPr>
          <w:p w14:paraId="7174CF95" w14:textId="77777777" w:rsidR="008F4AFF" w:rsidRPr="00D77B3B" w:rsidRDefault="008F4AFF" w:rsidP="008F4AFF">
            <w:pPr>
              <w:keepNext/>
              <w:spacing w:line="240" w:lineRule="auto"/>
              <w:rPr>
                <w:highlight w:val="yellow"/>
              </w:rPr>
            </w:pPr>
            <w:proofErr w:type="gramStart"/>
            <w:r w:rsidRPr="00D77B3B">
              <w:t>infection</w:t>
            </w:r>
            <w:proofErr w:type="gramEnd"/>
            <w:r w:rsidRPr="00D77B3B">
              <w:t xml:space="preserve"> (y compris pneumonie, infection de la peau, infection par le virus de l’herpès, myélite, encéphalomyélite), infection liée à un dispositif</w:t>
            </w:r>
          </w:p>
        </w:tc>
        <w:tc>
          <w:tcPr>
            <w:tcW w:w="2492" w:type="dxa"/>
            <w:hideMark/>
          </w:tcPr>
          <w:p w14:paraId="294C7CEB" w14:textId="77777777" w:rsidR="008F4AFF" w:rsidRPr="00D77B3B" w:rsidRDefault="008F4AFF" w:rsidP="008F4AFF">
            <w:pPr>
              <w:keepNext/>
              <w:autoSpaceDE w:val="0"/>
              <w:autoSpaceDN w:val="0"/>
              <w:adjustRightInd w:val="0"/>
              <w:spacing w:line="240" w:lineRule="auto"/>
              <w:rPr>
                <w:highlight w:val="yellow"/>
              </w:rPr>
            </w:pPr>
            <w:proofErr w:type="gramStart"/>
            <w:r w:rsidRPr="00D77B3B">
              <w:t>septicémie</w:t>
            </w:r>
            <w:proofErr w:type="gramEnd"/>
          </w:p>
        </w:tc>
        <w:tc>
          <w:tcPr>
            <w:tcW w:w="2316" w:type="dxa"/>
            <w:hideMark/>
          </w:tcPr>
          <w:p w14:paraId="76610B86" w14:textId="77777777" w:rsidR="008F4AFF" w:rsidRPr="00D77B3B" w:rsidRDefault="008F4AFF" w:rsidP="008F4AFF">
            <w:pPr>
              <w:keepNext/>
              <w:autoSpaceDE w:val="0"/>
              <w:autoSpaceDN w:val="0"/>
              <w:adjustRightInd w:val="0"/>
              <w:spacing w:line="240" w:lineRule="auto"/>
              <w:rPr>
                <w:rFonts w:eastAsia="Times New Roman"/>
                <w:szCs w:val="22"/>
                <w:highlight w:val="yellow"/>
              </w:rPr>
            </w:pPr>
          </w:p>
        </w:tc>
      </w:tr>
      <w:tr w:rsidR="00B608FF" w14:paraId="6E394CCD" w14:textId="77777777" w:rsidTr="008F4AFF">
        <w:tc>
          <w:tcPr>
            <w:tcW w:w="2157" w:type="dxa"/>
            <w:hideMark/>
          </w:tcPr>
          <w:p w14:paraId="2B05BC3A" w14:textId="77777777" w:rsidR="008F4AFF" w:rsidRPr="00D77B3B" w:rsidRDefault="008F4AFF" w:rsidP="008F4AFF">
            <w:pPr>
              <w:keepNext/>
              <w:spacing w:line="240" w:lineRule="auto"/>
              <w:rPr>
                <w:highlight w:val="yellow"/>
              </w:rPr>
            </w:pPr>
            <w:r w:rsidRPr="00D77B3B">
              <w:t>Affections hématologiques et du système lymphatique</w:t>
            </w:r>
          </w:p>
        </w:tc>
        <w:tc>
          <w:tcPr>
            <w:tcW w:w="2322" w:type="dxa"/>
            <w:hideMark/>
          </w:tcPr>
          <w:p w14:paraId="1612CD8C" w14:textId="77777777" w:rsidR="008F4AFF" w:rsidRPr="00D77B3B" w:rsidRDefault="008F4AFF" w:rsidP="008F4AFF">
            <w:pPr>
              <w:keepNext/>
              <w:spacing w:line="240" w:lineRule="auto"/>
              <w:rPr>
                <w:highlight w:val="yellow"/>
              </w:rPr>
            </w:pPr>
            <w:proofErr w:type="gramStart"/>
            <w:r w:rsidRPr="00D77B3B">
              <w:t>anémie</w:t>
            </w:r>
            <w:proofErr w:type="gramEnd"/>
            <w:r w:rsidRPr="00D77B3B">
              <w:t xml:space="preserve">, </w:t>
            </w:r>
            <w:r w:rsidR="00F24F83">
              <w:t>leucopénie</w:t>
            </w:r>
            <w:r w:rsidRPr="00D77B3B">
              <w:t xml:space="preserve"> neutropénie</w:t>
            </w:r>
            <w:r w:rsidR="00F24F83">
              <w:t>, thrombocytopénie.</w:t>
            </w:r>
          </w:p>
        </w:tc>
        <w:tc>
          <w:tcPr>
            <w:tcW w:w="2492" w:type="dxa"/>
            <w:hideMark/>
          </w:tcPr>
          <w:p w14:paraId="6A642A7B" w14:textId="136E29A8" w:rsidR="008F4AFF" w:rsidRPr="00D77B3B" w:rsidRDefault="008F4AFF" w:rsidP="008F4AFF">
            <w:pPr>
              <w:keepNext/>
              <w:spacing w:line="240" w:lineRule="auto"/>
              <w:rPr>
                <w:highlight w:val="yellow"/>
              </w:rPr>
            </w:pPr>
            <w:proofErr w:type="gramStart"/>
            <w:r w:rsidRPr="00D77B3B">
              <w:t>lymphopénie</w:t>
            </w:r>
            <w:proofErr w:type="gramEnd"/>
          </w:p>
        </w:tc>
        <w:tc>
          <w:tcPr>
            <w:tcW w:w="2316" w:type="dxa"/>
            <w:hideMark/>
          </w:tcPr>
          <w:p w14:paraId="1FBE9A7C" w14:textId="77777777" w:rsidR="008F4AFF" w:rsidRPr="00D77B3B" w:rsidRDefault="008F4AFF" w:rsidP="008F4AFF">
            <w:pPr>
              <w:keepNext/>
              <w:spacing w:line="240" w:lineRule="auto"/>
            </w:pPr>
            <w:proofErr w:type="gramStart"/>
            <w:r w:rsidRPr="00D77B3B">
              <w:t>coagulation</w:t>
            </w:r>
            <w:proofErr w:type="gramEnd"/>
            <w:r w:rsidRPr="00D77B3B">
              <w:t xml:space="preserve"> intravasculaire disséminée, éosinophilie</w:t>
            </w:r>
          </w:p>
        </w:tc>
      </w:tr>
      <w:tr w:rsidR="00B608FF" w14:paraId="4475F0A3" w14:textId="77777777" w:rsidTr="008F4AFF">
        <w:tc>
          <w:tcPr>
            <w:tcW w:w="2157" w:type="dxa"/>
            <w:hideMark/>
          </w:tcPr>
          <w:p w14:paraId="274458CC" w14:textId="77777777" w:rsidR="008F4AFF" w:rsidRPr="00D77B3B" w:rsidRDefault="008F4AFF" w:rsidP="008F4AFF">
            <w:pPr>
              <w:keepNext/>
              <w:spacing w:line="240" w:lineRule="auto"/>
              <w:rPr>
                <w:highlight w:val="yellow"/>
              </w:rPr>
            </w:pPr>
            <w:r w:rsidRPr="00D77B3B">
              <w:t>Affections du système immunitaire</w:t>
            </w:r>
          </w:p>
        </w:tc>
        <w:tc>
          <w:tcPr>
            <w:tcW w:w="2322" w:type="dxa"/>
          </w:tcPr>
          <w:p w14:paraId="040F5B8F" w14:textId="77777777" w:rsidR="008F4AFF" w:rsidRPr="00D77B3B" w:rsidRDefault="008F4AFF" w:rsidP="008F4AFF">
            <w:pPr>
              <w:keepNext/>
              <w:spacing w:line="240" w:lineRule="auto"/>
              <w:rPr>
                <w:highlight w:val="yellow"/>
              </w:rPr>
            </w:pPr>
            <w:proofErr w:type="gramStart"/>
            <w:r w:rsidRPr="00D77B3B">
              <w:t>hypersensibilité</w:t>
            </w:r>
            <w:proofErr w:type="gramEnd"/>
            <w:r w:rsidRPr="00D77B3B">
              <w:t>, syndrome de relargage de cytokines</w:t>
            </w:r>
          </w:p>
        </w:tc>
        <w:tc>
          <w:tcPr>
            <w:tcW w:w="2492" w:type="dxa"/>
            <w:hideMark/>
          </w:tcPr>
          <w:p w14:paraId="5C38416F" w14:textId="77777777" w:rsidR="008F4AFF" w:rsidRPr="00D77B3B" w:rsidRDefault="008F4AFF" w:rsidP="008F4AFF">
            <w:pPr>
              <w:keepNext/>
              <w:autoSpaceDE w:val="0"/>
              <w:autoSpaceDN w:val="0"/>
              <w:adjustRightInd w:val="0"/>
              <w:spacing w:line="240" w:lineRule="auto"/>
              <w:rPr>
                <w:highlight w:val="yellow"/>
              </w:rPr>
            </w:pPr>
            <w:proofErr w:type="gramStart"/>
            <w:r w:rsidRPr="00D77B3B">
              <w:t>réaction</w:t>
            </w:r>
            <w:proofErr w:type="gramEnd"/>
            <w:r w:rsidRPr="00D77B3B">
              <w:t xml:space="preserve"> anaphylactique</w:t>
            </w:r>
          </w:p>
        </w:tc>
        <w:tc>
          <w:tcPr>
            <w:tcW w:w="2316" w:type="dxa"/>
            <w:hideMark/>
          </w:tcPr>
          <w:p w14:paraId="753319E9" w14:textId="77777777" w:rsidR="008F4AFF" w:rsidRPr="00D77B3B" w:rsidRDefault="008F4AFF" w:rsidP="008F4AFF">
            <w:pPr>
              <w:keepNext/>
              <w:autoSpaceDE w:val="0"/>
              <w:autoSpaceDN w:val="0"/>
              <w:adjustRightInd w:val="0"/>
              <w:spacing w:line="240" w:lineRule="auto"/>
            </w:pPr>
            <w:proofErr w:type="gramStart"/>
            <w:r w:rsidRPr="00D77B3B">
              <w:t>maladie</w:t>
            </w:r>
            <w:proofErr w:type="gramEnd"/>
            <w:r w:rsidRPr="00D77B3B">
              <w:t xml:space="preserve"> sérique</w:t>
            </w:r>
          </w:p>
        </w:tc>
      </w:tr>
      <w:tr w:rsidR="00B608FF" w14:paraId="5870F2AC" w14:textId="77777777" w:rsidTr="008F4AFF">
        <w:tc>
          <w:tcPr>
            <w:tcW w:w="2157" w:type="dxa"/>
            <w:hideMark/>
          </w:tcPr>
          <w:p w14:paraId="7B9D73C1" w14:textId="77777777" w:rsidR="008F4AFF" w:rsidRPr="00D77B3B" w:rsidRDefault="008F4AFF" w:rsidP="008F4AFF">
            <w:pPr>
              <w:keepNext/>
              <w:spacing w:line="240" w:lineRule="auto"/>
              <w:rPr>
                <w:highlight w:val="yellow"/>
              </w:rPr>
            </w:pPr>
            <w:r w:rsidRPr="00D77B3B">
              <w:t>Troubles du métabolisme et de la nutrition</w:t>
            </w:r>
          </w:p>
        </w:tc>
        <w:tc>
          <w:tcPr>
            <w:tcW w:w="2322" w:type="dxa"/>
            <w:hideMark/>
          </w:tcPr>
          <w:p w14:paraId="626EAB72" w14:textId="77777777" w:rsidR="008F4AFF" w:rsidRPr="00D77B3B" w:rsidRDefault="008F4AFF" w:rsidP="008F4AFF">
            <w:pPr>
              <w:keepNext/>
              <w:spacing w:line="240" w:lineRule="auto"/>
              <w:rPr>
                <w:szCs w:val="22"/>
                <w:highlight w:val="yellow"/>
              </w:rPr>
            </w:pPr>
            <w:proofErr w:type="gramStart"/>
            <w:r w:rsidRPr="00D77B3B">
              <w:t>rétention</w:t>
            </w:r>
            <w:proofErr w:type="gramEnd"/>
            <w:r w:rsidRPr="00D77B3B">
              <w:t xml:space="preserve"> hydrique</w:t>
            </w:r>
          </w:p>
        </w:tc>
        <w:tc>
          <w:tcPr>
            <w:tcW w:w="2492" w:type="dxa"/>
            <w:hideMark/>
          </w:tcPr>
          <w:p w14:paraId="4AB429D4" w14:textId="77777777" w:rsidR="008F4AFF" w:rsidRPr="00D77B3B" w:rsidRDefault="008F4AFF" w:rsidP="008F4AFF">
            <w:pPr>
              <w:keepNext/>
              <w:autoSpaceDE w:val="0"/>
              <w:autoSpaceDN w:val="0"/>
              <w:adjustRightInd w:val="0"/>
              <w:spacing w:line="240" w:lineRule="auto"/>
            </w:pPr>
            <w:proofErr w:type="gramStart"/>
            <w:r w:rsidRPr="00D77B3B">
              <w:t>appétit</w:t>
            </w:r>
            <w:proofErr w:type="gramEnd"/>
            <w:r w:rsidRPr="00D77B3B">
              <w:t xml:space="preserve"> diminué, hypoalbuminémie, hyponatrémie, hypokaliémie, hypophosphatémie, hypomagnésémie, hypocalcémie, déshydratation</w:t>
            </w:r>
          </w:p>
        </w:tc>
        <w:tc>
          <w:tcPr>
            <w:tcW w:w="2316" w:type="dxa"/>
            <w:hideMark/>
          </w:tcPr>
          <w:p w14:paraId="7CB575B1" w14:textId="77777777" w:rsidR="008F4AFF" w:rsidRPr="00D77B3B" w:rsidRDefault="008F4AFF" w:rsidP="008F4AFF">
            <w:pPr>
              <w:keepNext/>
              <w:autoSpaceDE w:val="0"/>
              <w:autoSpaceDN w:val="0"/>
              <w:adjustRightInd w:val="0"/>
              <w:spacing w:line="240" w:lineRule="auto"/>
              <w:rPr>
                <w:rFonts w:eastAsia="Times New Roman"/>
                <w:szCs w:val="22"/>
              </w:rPr>
            </w:pPr>
          </w:p>
        </w:tc>
      </w:tr>
      <w:tr w:rsidR="00B608FF" w14:paraId="03EC021C" w14:textId="77777777" w:rsidTr="008F4AFF">
        <w:tc>
          <w:tcPr>
            <w:tcW w:w="2157" w:type="dxa"/>
          </w:tcPr>
          <w:p w14:paraId="001A9591" w14:textId="77777777" w:rsidR="008F4AFF" w:rsidRPr="00D77B3B" w:rsidRDefault="008F4AFF" w:rsidP="008F4AFF">
            <w:pPr>
              <w:spacing w:line="240" w:lineRule="auto"/>
              <w:rPr>
                <w:highlight w:val="yellow"/>
              </w:rPr>
            </w:pPr>
            <w:r w:rsidRPr="00D77B3B">
              <w:t>Affections psychiatriques</w:t>
            </w:r>
          </w:p>
        </w:tc>
        <w:tc>
          <w:tcPr>
            <w:tcW w:w="2322" w:type="dxa"/>
          </w:tcPr>
          <w:p w14:paraId="16E8906E" w14:textId="77777777" w:rsidR="008F4AFF" w:rsidRPr="00D77B3B" w:rsidRDefault="008F4AFF" w:rsidP="008F4AFF">
            <w:pPr>
              <w:spacing w:line="240" w:lineRule="auto"/>
              <w:rPr>
                <w:szCs w:val="22"/>
                <w:highlight w:val="yellow"/>
              </w:rPr>
            </w:pPr>
          </w:p>
        </w:tc>
        <w:tc>
          <w:tcPr>
            <w:tcW w:w="2492" w:type="dxa"/>
          </w:tcPr>
          <w:p w14:paraId="72F97AA4" w14:textId="77777777" w:rsidR="008F4AFF" w:rsidRPr="00D77B3B" w:rsidRDefault="008F4AFF" w:rsidP="008F4AFF">
            <w:pPr>
              <w:autoSpaceDE w:val="0"/>
              <w:autoSpaceDN w:val="0"/>
              <w:adjustRightInd w:val="0"/>
              <w:spacing w:line="240" w:lineRule="auto"/>
              <w:rPr>
                <w:highlight w:val="yellow"/>
              </w:rPr>
            </w:pPr>
            <w:proofErr w:type="gramStart"/>
            <w:r w:rsidRPr="00D77B3B">
              <w:t>agitation</w:t>
            </w:r>
            <w:proofErr w:type="gramEnd"/>
            <w:r w:rsidRPr="00D77B3B">
              <w:t>, anxiété</w:t>
            </w:r>
          </w:p>
        </w:tc>
        <w:tc>
          <w:tcPr>
            <w:tcW w:w="2316" w:type="dxa"/>
          </w:tcPr>
          <w:p w14:paraId="67E2D400" w14:textId="77777777" w:rsidR="008F4AFF" w:rsidRPr="00D77B3B" w:rsidRDefault="008F4AFF" w:rsidP="008F4AFF">
            <w:pPr>
              <w:autoSpaceDE w:val="0"/>
              <w:autoSpaceDN w:val="0"/>
              <w:adjustRightInd w:val="0"/>
              <w:spacing w:line="240" w:lineRule="auto"/>
              <w:rPr>
                <w:szCs w:val="22"/>
                <w:highlight w:val="yellow"/>
              </w:rPr>
            </w:pPr>
          </w:p>
        </w:tc>
      </w:tr>
      <w:tr w:rsidR="00B608FF" w14:paraId="761AB7C3" w14:textId="77777777" w:rsidTr="008F4AFF">
        <w:tc>
          <w:tcPr>
            <w:tcW w:w="2157" w:type="dxa"/>
            <w:hideMark/>
          </w:tcPr>
          <w:p w14:paraId="10199430" w14:textId="77777777" w:rsidR="008F4AFF" w:rsidRPr="00D77B3B" w:rsidRDefault="008F4AFF" w:rsidP="008F4AFF">
            <w:pPr>
              <w:spacing w:line="240" w:lineRule="auto"/>
              <w:rPr>
                <w:highlight w:val="yellow"/>
              </w:rPr>
            </w:pPr>
            <w:r w:rsidRPr="00D77B3B">
              <w:t>Affections du système nerveux</w:t>
            </w:r>
          </w:p>
        </w:tc>
        <w:tc>
          <w:tcPr>
            <w:tcW w:w="2322" w:type="dxa"/>
          </w:tcPr>
          <w:p w14:paraId="4056A8C4" w14:textId="77777777" w:rsidR="008F4AFF" w:rsidRPr="00D77B3B" w:rsidRDefault="008F4AFF" w:rsidP="008F4AFF">
            <w:pPr>
              <w:spacing w:line="240" w:lineRule="auto"/>
              <w:rPr>
                <w:highlight w:val="yellow"/>
              </w:rPr>
            </w:pPr>
            <w:proofErr w:type="gramStart"/>
            <w:r w:rsidRPr="00D77B3B">
              <w:t>maux</w:t>
            </w:r>
            <w:proofErr w:type="gramEnd"/>
            <w:r w:rsidRPr="00D77B3B">
              <w:t xml:space="preserve"> de tête</w:t>
            </w:r>
          </w:p>
        </w:tc>
        <w:tc>
          <w:tcPr>
            <w:tcW w:w="2492" w:type="dxa"/>
            <w:hideMark/>
          </w:tcPr>
          <w:p w14:paraId="57952AF0" w14:textId="77777777" w:rsidR="008F4AFF" w:rsidRPr="00D77B3B" w:rsidRDefault="008F4AFF" w:rsidP="008F4AFF">
            <w:pPr>
              <w:autoSpaceDE w:val="0"/>
              <w:autoSpaceDN w:val="0"/>
              <w:adjustRightInd w:val="0"/>
              <w:spacing w:line="240" w:lineRule="auto"/>
            </w:pPr>
            <w:proofErr w:type="gramStart"/>
            <w:r w:rsidRPr="00D77B3B">
              <w:t>neuropathie</w:t>
            </w:r>
            <w:proofErr w:type="gramEnd"/>
            <w:r w:rsidRPr="00D77B3B">
              <w:t xml:space="preserve"> périphérique, convulsions, paresthésie, vertiges, tremblement</w:t>
            </w:r>
          </w:p>
        </w:tc>
        <w:tc>
          <w:tcPr>
            <w:tcW w:w="2316" w:type="dxa"/>
            <w:hideMark/>
          </w:tcPr>
          <w:p w14:paraId="109D1AD3" w14:textId="77777777" w:rsidR="008F4AFF" w:rsidRPr="00D77B3B" w:rsidRDefault="008F4AFF" w:rsidP="008F4AFF">
            <w:pPr>
              <w:autoSpaceDE w:val="0"/>
              <w:autoSpaceDN w:val="0"/>
              <w:adjustRightInd w:val="0"/>
              <w:spacing w:line="240" w:lineRule="auto"/>
            </w:pPr>
            <w:proofErr w:type="gramStart"/>
            <w:r w:rsidRPr="00D77B3B">
              <w:t>pression</w:t>
            </w:r>
            <w:proofErr w:type="gramEnd"/>
            <w:r w:rsidRPr="00D77B3B">
              <w:t xml:space="preserve"> intracrânienne accrue, syndrome d’encéphalopathie postérieure réversible</w:t>
            </w:r>
          </w:p>
        </w:tc>
      </w:tr>
      <w:tr w:rsidR="00B608FF" w14:paraId="53435E16" w14:textId="77777777" w:rsidTr="008F4AFF">
        <w:tc>
          <w:tcPr>
            <w:tcW w:w="2157" w:type="dxa"/>
            <w:hideMark/>
          </w:tcPr>
          <w:p w14:paraId="7A08ACFF" w14:textId="77777777" w:rsidR="008F4AFF" w:rsidRPr="00D77B3B" w:rsidRDefault="008F4AFF" w:rsidP="008F4AFF">
            <w:pPr>
              <w:keepNext/>
              <w:spacing w:line="240" w:lineRule="auto"/>
              <w:rPr>
                <w:highlight w:val="yellow"/>
              </w:rPr>
            </w:pPr>
            <w:r w:rsidRPr="00D77B3B">
              <w:t>Affections oculaires</w:t>
            </w:r>
          </w:p>
        </w:tc>
        <w:tc>
          <w:tcPr>
            <w:tcW w:w="2322" w:type="dxa"/>
            <w:hideMark/>
          </w:tcPr>
          <w:p w14:paraId="39E1A7E6" w14:textId="77777777" w:rsidR="008F4AFF" w:rsidRPr="00D77B3B" w:rsidRDefault="008F4AFF" w:rsidP="008F4AFF">
            <w:pPr>
              <w:keepNext/>
              <w:spacing w:line="240" w:lineRule="auto"/>
              <w:rPr>
                <w:highlight w:val="yellow"/>
              </w:rPr>
            </w:pPr>
            <w:proofErr w:type="gramStart"/>
            <w:r w:rsidRPr="00D77B3B">
              <w:t>mydriase</w:t>
            </w:r>
            <w:proofErr w:type="gramEnd"/>
            <w:r w:rsidRPr="00D77B3B">
              <w:t xml:space="preserve">, </w:t>
            </w:r>
            <w:proofErr w:type="spellStart"/>
            <w:r w:rsidRPr="00D77B3B">
              <w:t>pupillotonie</w:t>
            </w:r>
            <w:proofErr w:type="spellEnd"/>
            <w:r w:rsidRPr="00D77B3B">
              <w:t xml:space="preserve">, œdème des yeux (paupière et </w:t>
            </w:r>
            <w:proofErr w:type="spellStart"/>
            <w:r w:rsidRPr="00D77B3B">
              <w:t>périorbital</w:t>
            </w:r>
            <w:proofErr w:type="spellEnd"/>
            <w:r w:rsidRPr="00D77B3B">
              <w:t>)</w:t>
            </w:r>
          </w:p>
        </w:tc>
        <w:tc>
          <w:tcPr>
            <w:tcW w:w="2492" w:type="dxa"/>
            <w:hideMark/>
          </w:tcPr>
          <w:p w14:paraId="20F306BC" w14:textId="77777777" w:rsidR="008F4AFF" w:rsidRPr="00D77B3B" w:rsidRDefault="008F4AFF" w:rsidP="008F4AFF">
            <w:pPr>
              <w:autoSpaceDE w:val="0"/>
              <w:autoSpaceDN w:val="0"/>
              <w:adjustRightInd w:val="0"/>
              <w:spacing w:line="240" w:lineRule="auto"/>
              <w:rPr>
                <w:highlight w:val="yellow"/>
              </w:rPr>
            </w:pPr>
            <w:proofErr w:type="gramStart"/>
            <w:r w:rsidRPr="00D77B3B">
              <w:t>ophtalmoplégie</w:t>
            </w:r>
            <w:proofErr w:type="gramEnd"/>
            <w:r w:rsidRPr="00D77B3B">
              <w:t xml:space="preserve">, </w:t>
            </w:r>
            <w:proofErr w:type="spellStart"/>
            <w:r w:rsidRPr="00D77B3B">
              <w:t>papilloedème</w:t>
            </w:r>
            <w:proofErr w:type="spellEnd"/>
            <w:r w:rsidRPr="00D77B3B">
              <w:t>, trouble de l’accommodation, vision trouble, photophobie</w:t>
            </w:r>
          </w:p>
        </w:tc>
        <w:tc>
          <w:tcPr>
            <w:tcW w:w="2316" w:type="dxa"/>
            <w:hideMark/>
          </w:tcPr>
          <w:p w14:paraId="26562E85" w14:textId="77777777" w:rsidR="008F4AFF" w:rsidRPr="00D77B3B" w:rsidRDefault="008F4AFF" w:rsidP="008F4AFF">
            <w:pPr>
              <w:autoSpaceDE w:val="0"/>
              <w:autoSpaceDN w:val="0"/>
              <w:adjustRightInd w:val="0"/>
              <w:spacing w:line="240" w:lineRule="auto"/>
              <w:rPr>
                <w:rFonts w:eastAsia="Times New Roman"/>
                <w:szCs w:val="22"/>
                <w:highlight w:val="yellow"/>
              </w:rPr>
            </w:pPr>
          </w:p>
        </w:tc>
      </w:tr>
      <w:tr w:rsidR="00B608FF" w14:paraId="5FB54414" w14:textId="77777777" w:rsidTr="008F4AFF">
        <w:tc>
          <w:tcPr>
            <w:tcW w:w="2157" w:type="dxa"/>
            <w:hideMark/>
          </w:tcPr>
          <w:p w14:paraId="5A7D4D8E" w14:textId="77777777" w:rsidR="008F4AFF" w:rsidRPr="00D77B3B" w:rsidRDefault="008F4AFF" w:rsidP="008F4AFF">
            <w:pPr>
              <w:keepNext/>
              <w:spacing w:line="240" w:lineRule="auto"/>
              <w:rPr>
                <w:highlight w:val="yellow"/>
              </w:rPr>
            </w:pPr>
            <w:r w:rsidRPr="00D77B3B">
              <w:t>Affections cardiaques</w:t>
            </w:r>
          </w:p>
        </w:tc>
        <w:tc>
          <w:tcPr>
            <w:tcW w:w="2322" w:type="dxa"/>
            <w:hideMark/>
          </w:tcPr>
          <w:p w14:paraId="14151914" w14:textId="77777777" w:rsidR="008F4AFF" w:rsidRPr="00D77B3B" w:rsidRDefault="008F4AFF" w:rsidP="008F4AFF">
            <w:pPr>
              <w:keepNext/>
              <w:spacing w:line="240" w:lineRule="auto"/>
              <w:rPr>
                <w:highlight w:val="yellow"/>
              </w:rPr>
            </w:pPr>
            <w:proofErr w:type="gramStart"/>
            <w:r w:rsidRPr="00D77B3B">
              <w:t>tachycardie</w:t>
            </w:r>
            <w:proofErr w:type="gramEnd"/>
          </w:p>
        </w:tc>
        <w:tc>
          <w:tcPr>
            <w:tcW w:w="2492" w:type="dxa"/>
            <w:hideMark/>
          </w:tcPr>
          <w:p w14:paraId="086FDB9A" w14:textId="77777777" w:rsidR="008F4AFF" w:rsidRPr="00D77B3B" w:rsidRDefault="008F4AFF" w:rsidP="008F4AFF">
            <w:pPr>
              <w:keepNext/>
              <w:autoSpaceDE w:val="0"/>
              <w:autoSpaceDN w:val="0"/>
              <w:adjustRightInd w:val="0"/>
              <w:spacing w:line="240" w:lineRule="auto"/>
              <w:rPr>
                <w:highlight w:val="yellow"/>
              </w:rPr>
            </w:pPr>
            <w:proofErr w:type="gramStart"/>
            <w:r w:rsidRPr="00D77B3B">
              <w:t>insuffisance</w:t>
            </w:r>
            <w:proofErr w:type="gramEnd"/>
            <w:r w:rsidRPr="00D77B3B">
              <w:t xml:space="preserve"> cardiaque, dysfonction ventriculaire gauche, épanchement péricardique</w:t>
            </w:r>
          </w:p>
        </w:tc>
        <w:tc>
          <w:tcPr>
            <w:tcW w:w="2316" w:type="dxa"/>
          </w:tcPr>
          <w:p w14:paraId="4648536D" w14:textId="77777777" w:rsidR="008F4AFF" w:rsidRPr="00D77B3B" w:rsidRDefault="008F4AFF" w:rsidP="008F4AFF">
            <w:pPr>
              <w:keepNext/>
              <w:autoSpaceDE w:val="0"/>
              <w:autoSpaceDN w:val="0"/>
              <w:adjustRightInd w:val="0"/>
              <w:spacing w:line="240" w:lineRule="auto"/>
              <w:rPr>
                <w:rFonts w:eastAsia="Times New Roman"/>
                <w:szCs w:val="22"/>
                <w:highlight w:val="yellow"/>
              </w:rPr>
            </w:pPr>
          </w:p>
        </w:tc>
      </w:tr>
      <w:tr w:rsidR="00B608FF" w14:paraId="09F94101" w14:textId="77777777" w:rsidTr="008F4AFF">
        <w:tc>
          <w:tcPr>
            <w:tcW w:w="2157" w:type="dxa"/>
            <w:hideMark/>
          </w:tcPr>
          <w:p w14:paraId="4801980B" w14:textId="77777777" w:rsidR="008F4AFF" w:rsidRPr="00D77B3B" w:rsidRDefault="008F4AFF" w:rsidP="008F4AFF">
            <w:pPr>
              <w:spacing w:line="240" w:lineRule="auto"/>
              <w:rPr>
                <w:highlight w:val="yellow"/>
              </w:rPr>
            </w:pPr>
            <w:r w:rsidRPr="00D77B3B">
              <w:t>Affections vasculaires</w:t>
            </w:r>
          </w:p>
        </w:tc>
        <w:tc>
          <w:tcPr>
            <w:tcW w:w="2322" w:type="dxa"/>
            <w:hideMark/>
          </w:tcPr>
          <w:p w14:paraId="0032C39A" w14:textId="77777777" w:rsidR="008F4AFF" w:rsidRPr="00D77B3B" w:rsidRDefault="008F4AFF" w:rsidP="008F4AFF">
            <w:pPr>
              <w:spacing w:line="240" w:lineRule="auto"/>
              <w:rPr>
                <w:highlight w:val="yellow"/>
              </w:rPr>
            </w:pPr>
            <w:proofErr w:type="gramStart"/>
            <w:r w:rsidRPr="00D77B3B">
              <w:t>hypotension</w:t>
            </w:r>
            <w:proofErr w:type="gramEnd"/>
            <w:r w:rsidRPr="00D77B3B">
              <w:t>, syndrome de fuite capillaire</w:t>
            </w:r>
          </w:p>
        </w:tc>
        <w:tc>
          <w:tcPr>
            <w:tcW w:w="2492" w:type="dxa"/>
            <w:hideMark/>
          </w:tcPr>
          <w:p w14:paraId="3686AA1C" w14:textId="77777777" w:rsidR="008F4AFF" w:rsidRPr="00D77B3B" w:rsidRDefault="008F4AFF" w:rsidP="008F4AFF">
            <w:pPr>
              <w:autoSpaceDE w:val="0"/>
              <w:autoSpaceDN w:val="0"/>
              <w:adjustRightInd w:val="0"/>
              <w:spacing w:line="240" w:lineRule="auto"/>
              <w:rPr>
                <w:highlight w:val="yellow"/>
              </w:rPr>
            </w:pPr>
            <w:proofErr w:type="gramStart"/>
            <w:r w:rsidRPr="00D77B3B">
              <w:t>hypertension</w:t>
            </w:r>
            <w:proofErr w:type="gramEnd"/>
          </w:p>
        </w:tc>
        <w:tc>
          <w:tcPr>
            <w:tcW w:w="2316" w:type="dxa"/>
          </w:tcPr>
          <w:p w14:paraId="6738D2BB" w14:textId="77777777" w:rsidR="008F4AFF" w:rsidRPr="00D77B3B" w:rsidRDefault="008F4AFF" w:rsidP="008F4AFF">
            <w:pPr>
              <w:autoSpaceDE w:val="0"/>
              <w:autoSpaceDN w:val="0"/>
              <w:adjustRightInd w:val="0"/>
              <w:spacing w:line="240" w:lineRule="auto"/>
              <w:rPr>
                <w:highlight w:val="yellow"/>
              </w:rPr>
            </w:pPr>
            <w:proofErr w:type="gramStart"/>
            <w:r w:rsidRPr="00D77B3B">
              <w:t>choc</w:t>
            </w:r>
            <w:proofErr w:type="gramEnd"/>
            <w:r w:rsidRPr="00D77B3B">
              <w:t xml:space="preserve"> hypovolémique, maladie </w:t>
            </w:r>
            <w:proofErr w:type="spellStart"/>
            <w:r w:rsidRPr="00D77B3B">
              <w:t>veino</w:t>
            </w:r>
            <w:proofErr w:type="spellEnd"/>
            <w:r w:rsidRPr="00D77B3B">
              <w:t>-occlusive</w:t>
            </w:r>
          </w:p>
        </w:tc>
      </w:tr>
      <w:tr w:rsidR="00B608FF" w14:paraId="6A1E0E4E" w14:textId="77777777" w:rsidTr="008F4AFF">
        <w:tc>
          <w:tcPr>
            <w:tcW w:w="2157" w:type="dxa"/>
            <w:hideMark/>
          </w:tcPr>
          <w:p w14:paraId="3A3F7A83" w14:textId="77777777" w:rsidR="008F4AFF" w:rsidRPr="00D77B3B" w:rsidRDefault="008F4AFF" w:rsidP="008F4AFF">
            <w:pPr>
              <w:spacing w:line="240" w:lineRule="auto"/>
              <w:rPr>
                <w:highlight w:val="yellow"/>
              </w:rPr>
            </w:pPr>
            <w:r w:rsidRPr="00D77B3B">
              <w:t>Affections respiratoires, thoraciques et médiastinales</w:t>
            </w:r>
          </w:p>
        </w:tc>
        <w:tc>
          <w:tcPr>
            <w:tcW w:w="2322" w:type="dxa"/>
            <w:hideMark/>
          </w:tcPr>
          <w:p w14:paraId="304BC171" w14:textId="0440C07E" w:rsidR="008F4AFF" w:rsidRPr="00D77B3B" w:rsidRDefault="002A4F2D" w:rsidP="008F4AFF">
            <w:pPr>
              <w:spacing w:line="240" w:lineRule="auto"/>
              <w:rPr>
                <w:highlight w:val="yellow"/>
              </w:rPr>
            </w:pPr>
            <w:proofErr w:type="gramStart"/>
            <w:r>
              <w:t>h</w:t>
            </w:r>
            <w:r w:rsidR="00BD2525">
              <w:t>ypoxie</w:t>
            </w:r>
            <w:proofErr w:type="gramEnd"/>
            <w:r w:rsidR="00BD2525">
              <w:t xml:space="preserve">, </w:t>
            </w:r>
            <w:r w:rsidR="008F4AFF" w:rsidRPr="00D77B3B">
              <w:t>toux</w:t>
            </w:r>
          </w:p>
        </w:tc>
        <w:tc>
          <w:tcPr>
            <w:tcW w:w="2492" w:type="dxa"/>
            <w:hideMark/>
          </w:tcPr>
          <w:p w14:paraId="6548DB53" w14:textId="43254690" w:rsidR="008F4AFF" w:rsidRPr="00D77B3B" w:rsidRDefault="008F4AFF" w:rsidP="008F4AFF">
            <w:pPr>
              <w:autoSpaceDE w:val="0"/>
              <w:autoSpaceDN w:val="0"/>
              <w:adjustRightInd w:val="0"/>
              <w:spacing w:line="240" w:lineRule="auto"/>
              <w:rPr>
                <w:highlight w:val="yellow"/>
              </w:rPr>
            </w:pPr>
            <w:proofErr w:type="gramStart"/>
            <w:r w:rsidRPr="00D77B3B">
              <w:t>bronchospasme</w:t>
            </w:r>
            <w:proofErr w:type="gramEnd"/>
            <w:r w:rsidRPr="00D77B3B">
              <w:t>, dyspnée, insuffisance respiratoire, infiltration pulmonaire, œdème pulmonaire, épanchements pleuraux, tachypnée, laryngospasme</w:t>
            </w:r>
          </w:p>
        </w:tc>
        <w:tc>
          <w:tcPr>
            <w:tcW w:w="2316" w:type="dxa"/>
            <w:hideMark/>
          </w:tcPr>
          <w:p w14:paraId="3712DFBC" w14:textId="77777777" w:rsidR="008F4AFF" w:rsidRPr="00D77B3B" w:rsidRDefault="008F4AFF" w:rsidP="008F4AFF">
            <w:pPr>
              <w:autoSpaceDE w:val="0"/>
              <w:autoSpaceDN w:val="0"/>
              <w:adjustRightInd w:val="0"/>
              <w:spacing w:line="240" w:lineRule="auto"/>
              <w:rPr>
                <w:rFonts w:eastAsia="Times New Roman"/>
                <w:szCs w:val="22"/>
                <w:highlight w:val="yellow"/>
              </w:rPr>
            </w:pPr>
          </w:p>
        </w:tc>
      </w:tr>
      <w:tr w:rsidR="00B608FF" w14:paraId="463A26F4" w14:textId="77777777" w:rsidTr="008F4AFF">
        <w:tc>
          <w:tcPr>
            <w:tcW w:w="2157" w:type="dxa"/>
            <w:hideMark/>
          </w:tcPr>
          <w:p w14:paraId="1E17AC77" w14:textId="77777777" w:rsidR="008F4AFF" w:rsidRPr="00D77B3B" w:rsidRDefault="008F4AFF" w:rsidP="008F4AFF">
            <w:pPr>
              <w:keepNext/>
              <w:spacing w:line="240" w:lineRule="auto"/>
              <w:rPr>
                <w:highlight w:val="yellow"/>
              </w:rPr>
            </w:pPr>
            <w:r w:rsidRPr="00D77B3B">
              <w:lastRenderedPageBreak/>
              <w:t>Affections gastro-intestinales</w:t>
            </w:r>
          </w:p>
        </w:tc>
        <w:tc>
          <w:tcPr>
            <w:tcW w:w="2322" w:type="dxa"/>
            <w:hideMark/>
          </w:tcPr>
          <w:p w14:paraId="0D401AD0" w14:textId="77777777" w:rsidR="008F4AFF" w:rsidRPr="00D77B3B" w:rsidRDefault="008F4AFF" w:rsidP="008F4AFF">
            <w:pPr>
              <w:keepNext/>
              <w:spacing w:line="240" w:lineRule="auto"/>
              <w:rPr>
                <w:highlight w:val="yellow"/>
              </w:rPr>
            </w:pPr>
            <w:proofErr w:type="gramStart"/>
            <w:r w:rsidRPr="00D77B3B">
              <w:t>vomissement</w:t>
            </w:r>
            <w:proofErr w:type="gramEnd"/>
            <w:r w:rsidRPr="00D77B3B">
              <w:t>, diarrhée, constipation, stomatite</w:t>
            </w:r>
          </w:p>
        </w:tc>
        <w:tc>
          <w:tcPr>
            <w:tcW w:w="2492" w:type="dxa"/>
            <w:hideMark/>
          </w:tcPr>
          <w:p w14:paraId="6F515F46" w14:textId="77777777" w:rsidR="008F4AFF" w:rsidRPr="00D77B3B" w:rsidRDefault="008F4AFF" w:rsidP="008F4AFF">
            <w:pPr>
              <w:keepNext/>
              <w:autoSpaceDE w:val="0"/>
              <w:autoSpaceDN w:val="0"/>
              <w:adjustRightInd w:val="0"/>
              <w:spacing w:line="240" w:lineRule="auto"/>
            </w:pPr>
            <w:proofErr w:type="gramStart"/>
            <w:r w:rsidRPr="00D77B3B">
              <w:t>nausée</w:t>
            </w:r>
            <w:proofErr w:type="gramEnd"/>
            <w:r w:rsidRPr="00D77B3B">
              <w:t>, œdème labial, ascites, distension abdominale, iléus, lèvres sèches</w:t>
            </w:r>
          </w:p>
        </w:tc>
        <w:tc>
          <w:tcPr>
            <w:tcW w:w="2316" w:type="dxa"/>
            <w:hideMark/>
          </w:tcPr>
          <w:p w14:paraId="1FC0E5BC" w14:textId="77777777" w:rsidR="008F4AFF" w:rsidRPr="00D77B3B" w:rsidRDefault="008F4AFF" w:rsidP="008F4AFF">
            <w:pPr>
              <w:keepNext/>
              <w:autoSpaceDE w:val="0"/>
              <w:autoSpaceDN w:val="0"/>
              <w:adjustRightInd w:val="0"/>
              <w:spacing w:line="240" w:lineRule="auto"/>
            </w:pPr>
            <w:proofErr w:type="gramStart"/>
            <w:r w:rsidRPr="00D77B3B">
              <w:t>entérocolite</w:t>
            </w:r>
            <w:proofErr w:type="gramEnd"/>
          </w:p>
        </w:tc>
      </w:tr>
      <w:tr w:rsidR="00B608FF" w14:paraId="684040B0" w14:textId="77777777" w:rsidTr="008F4AFF">
        <w:tc>
          <w:tcPr>
            <w:tcW w:w="2157" w:type="dxa"/>
            <w:hideMark/>
          </w:tcPr>
          <w:p w14:paraId="3FF52752" w14:textId="77777777" w:rsidR="008F4AFF" w:rsidRPr="00D77B3B" w:rsidRDefault="008F4AFF" w:rsidP="008F4AFF">
            <w:pPr>
              <w:keepNext/>
              <w:spacing w:line="240" w:lineRule="auto"/>
              <w:rPr>
                <w:highlight w:val="yellow"/>
              </w:rPr>
            </w:pPr>
            <w:r w:rsidRPr="00D77B3B">
              <w:t>Affections hépatobiliaires</w:t>
            </w:r>
          </w:p>
        </w:tc>
        <w:tc>
          <w:tcPr>
            <w:tcW w:w="2322" w:type="dxa"/>
          </w:tcPr>
          <w:p w14:paraId="3AF255F9" w14:textId="77777777" w:rsidR="008F4AFF" w:rsidRPr="00D77B3B" w:rsidRDefault="008F4AFF" w:rsidP="008F4AFF">
            <w:pPr>
              <w:keepNext/>
              <w:spacing w:line="240" w:lineRule="auto"/>
              <w:rPr>
                <w:szCs w:val="22"/>
                <w:highlight w:val="yellow"/>
              </w:rPr>
            </w:pPr>
          </w:p>
        </w:tc>
        <w:tc>
          <w:tcPr>
            <w:tcW w:w="2492" w:type="dxa"/>
            <w:hideMark/>
          </w:tcPr>
          <w:p w14:paraId="7DD8FB7C" w14:textId="77777777" w:rsidR="008F4AFF" w:rsidRPr="00D77B3B" w:rsidRDefault="008F4AFF" w:rsidP="008F4AFF">
            <w:pPr>
              <w:keepNext/>
              <w:autoSpaceDE w:val="0"/>
              <w:autoSpaceDN w:val="0"/>
              <w:adjustRightInd w:val="0"/>
              <w:spacing w:line="240" w:lineRule="auto"/>
              <w:rPr>
                <w:rFonts w:eastAsia="Times New Roman"/>
                <w:szCs w:val="22"/>
              </w:rPr>
            </w:pPr>
          </w:p>
        </w:tc>
        <w:tc>
          <w:tcPr>
            <w:tcW w:w="2316" w:type="dxa"/>
          </w:tcPr>
          <w:p w14:paraId="0834AF93" w14:textId="77777777" w:rsidR="008F4AFF" w:rsidRPr="00D77B3B" w:rsidRDefault="008F4AFF" w:rsidP="008F4AFF">
            <w:pPr>
              <w:keepNext/>
              <w:autoSpaceDE w:val="0"/>
              <w:autoSpaceDN w:val="0"/>
              <w:adjustRightInd w:val="0"/>
              <w:spacing w:line="240" w:lineRule="auto"/>
            </w:pPr>
            <w:proofErr w:type="gramStart"/>
            <w:r w:rsidRPr="00D77B3B">
              <w:t>lésions</w:t>
            </w:r>
            <w:proofErr w:type="gramEnd"/>
            <w:r w:rsidRPr="00D77B3B">
              <w:t xml:space="preserve"> hépatocellulaires</w:t>
            </w:r>
          </w:p>
        </w:tc>
      </w:tr>
      <w:tr w:rsidR="00B608FF" w14:paraId="63B54AC5" w14:textId="77777777" w:rsidTr="008F4AFF">
        <w:trPr>
          <w:trHeight w:val="624"/>
        </w:trPr>
        <w:tc>
          <w:tcPr>
            <w:tcW w:w="2157" w:type="dxa"/>
            <w:hideMark/>
          </w:tcPr>
          <w:p w14:paraId="03FE992D" w14:textId="77777777" w:rsidR="008F4AFF" w:rsidRPr="00D77B3B" w:rsidRDefault="008F4AFF" w:rsidP="008F4AFF">
            <w:pPr>
              <w:spacing w:line="240" w:lineRule="auto"/>
              <w:rPr>
                <w:highlight w:val="yellow"/>
              </w:rPr>
            </w:pPr>
            <w:r w:rsidRPr="00D77B3B">
              <w:t>Affections de la peau et du tissu sous-cutané</w:t>
            </w:r>
          </w:p>
        </w:tc>
        <w:tc>
          <w:tcPr>
            <w:tcW w:w="2322" w:type="dxa"/>
            <w:hideMark/>
          </w:tcPr>
          <w:p w14:paraId="594702C7" w14:textId="34BBA798" w:rsidR="008F4AFF" w:rsidRPr="00D77B3B" w:rsidRDefault="008F4AFF" w:rsidP="008F4AFF">
            <w:pPr>
              <w:spacing w:line="240" w:lineRule="auto"/>
              <w:rPr>
                <w:highlight w:val="yellow"/>
              </w:rPr>
            </w:pPr>
            <w:proofErr w:type="gramStart"/>
            <w:r w:rsidRPr="00D77B3B">
              <w:t>prurit</w:t>
            </w:r>
            <w:proofErr w:type="gramEnd"/>
            <w:r w:rsidRPr="00D77B3B">
              <w:t xml:space="preserve">, éruption </w:t>
            </w:r>
            <w:r w:rsidR="00252F1A">
              <w:t>cutanée</w:t>
            </w:r>
            <w:r w:rsidR="00BD2525">
              <w:t>, urticaire</w:t>
            </w:r>
          </w:p>
        </w:tc>
        <w:tc>
          <w:tcPr>
            <w:tcW w:w="2492" w:type="dxa"/>
            <w:hideMark/>
          </w:tcPr>
          <w:p w14:paraId="14426550" w14:textId="076E67C0" w:rsidR="008F4AFF" w:rsidRPr="00D77B3B" w:rsidRDefault="008F4AFF" w:rsidP="008F4AFF">
            <w:pPr>
              <w:autoSpaceDE w:val="0"/>
              <w:autoSpaceDN w:val="0"/>
              <w:adjustRightInd w:val="0"/>
              <w:spacing w:line="240" w:lineRule="auto"/>
            </w:pPr>
            <w:proofErr w:type="gramStart"/>
            <w:r w:rsidRPr="00D77B3B">
              <w:t>dermatite</w:t>
            </w:r>
            <w:proofErr w:type="gramEnd"/>
            <w:r w:rsidRPr="00D77B3B">
              <w:t xml:space="preserve"> (y compris exfoliative), érythème, peau sèche, hyperhidrose, pétéchie, photosensib</w:t>
            </w:r>
            <w:r w:rsidR="00BD2525">
              <w:t>ilité</w:t>
            </w:r>
          </w:p>
        </w:tc>
        <w:tc>
          <w:tcPr>
            <w:tcW w:w="2316" w:type="dxa"/>
            <w:hideMark/>
          </w:tcPr>
          <w:p w14:paraId="52355972" w14:textId="77777777" w:rsidR="008F4AFF" w:rsidRPr="00D77B3B" w:rsidRDefault="008F4AFF" w:rsidP="008F4AFF">
            <w:pPr>
              <w:autoSpaceDE w:val="0"/>
              <w:autoSpaceDN w:val="0"/>
              <w:adjustRightInd w:val="0"/>
              <w:spacing w:line="240" w:lineRule="auto"/>
              <w:rPr>
                <w:rFonts w:eastAsia="Times New Roman"/>
                <w:szCs w:val="22"/>
              </w:rPr>
            </w:pPr>
          </w:p>
        </w:tc>
      </w:tr>
      <w:tr w:rsidR="00B608FF" w14:paraId="4A3A9E0A" w14:textId="77777777" w:rsidTr="008F4AFF">
        <w:tc>
          <w:tcPr>
            <w:tcW w:w="2157" w:type="dxa"/>
            <w:hideMark/>
          </w:tcPr>
          <w:p w14:paraId="3D025809" w14:textId="77777777" w:rsidR="008F4AFF" w:rsidRPr="00D77B3B" w:rsidRDefault="008F4AFF" w:rsidP="008F4AFF">
            <w:pPr>
              <w:spacing w:line="240" w:lineRule="auto"/>
              <w:rPr>
                <w:highlight w:val="yellow"/>
              </w:rPr>
            </w:pPr>
            <w:r w:rsidRPr="00D77B3B">
              <w:t xml:space="preserve">Affections </w:t>
            </w:r>
            <w:proofErr w:type="spellStart"/>
            <w:r w:rsidRPr="00D77B3B">
              <w:t>musculo-squelettiques</w:t>
            </w:r>
            <w:proofErr w:type="spellEnd"/>
            <w:r w:rsidRPr="00D77B3B">
              <w:t xml:space="preserve"> et systémiques</w:t>
            </w:r>
          </w:p>
        </w:tc>
        <w:tc>
          <w:tcPr>
            <w:tcW w:w="2322" w:type="dxa"/>
          </w:tcPr>
          <w:p w14:paraId="1DF81D66" w14:textId="77777777" w:rsidR="008F4AFF" w:rsidRPr="00D77B3B" w:rsidRDefault="008F4AFF" w:rsidP="008F4AFF">
            <w:pPr>
              <w:spacing w:line="240" w:lineRule="auto"/>
              <w:rPr>
                <w:szCs w:val="22"/>
                <w:highlight w:val="yellow"/>
              </w:rPr>
            </w:pPr>
          </w:p>
        </w:tc>
        <w:tc>
          <w:tcPr>
            <w:tcW w:w="2492" w:type="dxa"/>
            <w:hideMark/>
          </w:tcPr>
          <w:p w14:paraId="528C9A82" w14:textId="77777777" w:rsidR="008F4AFF" w:rsidRPr="00D77B3B" w:rsidRDefault="008F4AFF" w:rsidP="008F4AFF">
            <w:pPr>
              <w:autoSpaceDE w:val="0"/>
              <w:autoSpaceDN w:val="0"/>
              <w:adjustRightInd w:val="0"/>
              <w:spacing w:line="240" w:lineRule="auto"/>
            </w:pPr>
            <w:proofErr w:type="gramStart"/>
            <w:r w:rsidRPr="00D77B3B">
              <w:t>spasmes</w:t>
            </w:r>
            <w:proofErr w:type="gramEnd"/>
            <w:r w:rsidRPr="00D77B3B">
              <w:t xml:space="preserve"> musculaires</w:t>
            </w:r>
          </w:p>
        </w:tc>
        <w:tc>
          <w:tcPr>
            <w:tcW w:w="2316" w:type="dxa"/>
          </w:tcPr>
          <w:p w14:paraId="77105FDD" w14:textId="77777777" w:rsidR="008F4AFF" w:rsidRPr="00D77B3B" w:rsidRDefault="008F4AFF" w:rsidP="008F4AFF">
            <w:pPr>
              <w:autoSpaceDE w:val="0"/>
              <w:autoSpaceDN w:val="0"/>
              <w:adjustRightInd w:val="0"/>
              <w:spacing w:line="240" w:lineRule="auto"/>
              <w:rPr>
                <w:rFonts w:eastAsia="Times New Roman"/>
                <w:szCs w:val="22"/>
              </w:rPr>
            </w:pPr>
          </w:p>
        </w:tc>
      </w:tr>
      <w:tr w:rsidR="00B608FF" w14:paraId="28721367" w14:textId="77777777" w:rsidTr="008F4AFF">
        <w:tc>
          <w:tcPr>
            <w:tcW w:w="2157" w:type="dxa"/>
            <w:hideMark/>
          </w:tcPr>
          <w:p w14:paraId="45CDD01B" w14:textId="77777777" w:rsidR="008F4AFF" w:rsidRPr="00D77B3B" w:rsidRDefault="008F4AFF" w:rsidP="008F4AFF">
            <w:pPr>
              <w:spacing w:line="240" w:lineRule="auto"/>
              <w:rPr>
                <w:highlight w:val="yellow"/>
              </w:rPr>
            </w:pPr>
            <w:r w:rsidRPr="00D77B3B">
              <w:t>Affections du rein et des voies urinaires</w:t>
            </w:r>
          </w:p>
        </w:tc>
        <w:tc>
          <w:tcPr>
            <w:tcW w:w="2322" w:type="dxa"/>
          </w:tcPr>
          <w:p w14:paraId="03B579EC" w14:textId="318EDCE2" w:rsidR="008F4AFF" w:rsidRPr="00D77B3B" w:rsidRDefault="008F4AFF" w:rsidP="008F4AFF">
            <w:pPr>
              <w:spacing w:line="240" w:lineRule="auto"/>
              <w:rPr>
                <w:highlight w:val="yellow"/>
              </w:rPr>
            </w:pPr>
          </w:p>
        </w:tc>
        <w:tc>
          <w:tcPr>
            <w:tcW w:w="2492" w:type="dxa"/>
            <w:hideMark/>
          </w:tcPr>
          <w:p w14:paraId="64130B9A" w14:textId="77777777" w:rsidR="008F4AFF" w:rsidRPr="00D77B3B" w:rsidRDefault="008F4AFF" w:rsidP="008F4AFF">
            <w:pPr>
              <w:autoSpaceDE w:val="0"/>
              <w:autoSpaceDN w:val="0"/>
              <w:adjustRightInd w:val="0"/>
              <w:spacing w:line="240" w:lineRule="auto"/>
            </w:pPr>
            <w:proofErr w:type="gramStart"/>
            <w:r w:rsidRPr="00D77B3B">
              <w:t>oligurie</w:t>
            </w:r>
            <w:proofErr w:type="gramEnd"/>
            <w:r w:rsidRPr="00D77B3B">
              <w:t xml:space="preserve">, rétention urinaire, </w:t>
            </w:r>
            <w:proofErr w:type="spellStart"/>
            <w:r w:rsidRPr="00D77B3B">
              <w:t>hyperphosphaturie</w:t>
            </w:r>
            <w:proofErr w:type="spellEnd"/>
            <w:r w:rsidRPr="00D77B3B">
              <w:t>, hématurie, protéinurie</w:t>
            </w:r>
          </w:p>
        </w:tc>
        <w:tc>
          <w:tcPr>
            <w:tcW w:w="2316" w:type="dxa"/>
            <w:hideMark/>
          </w:tcPr>
          <w:p w14:paraId="49B10DFA" w14:textId="50BCA36A" w:rsidR="008F4AFF" w:rsidRPr="00D77B3B" w:rsidRDefault="002A4F2D" w:rsidP="008F4AFF">
            <w:pPr>
              <w:autoSpaceDE w:val="0"/>
              <w:autoSpaceDN w:val="0"/>
              <w:adjustRightInd w:val="0"/>
              <w:spacing w:line="240" w:lineRule="auto"/>
              <w:rPr>
                <w:rFonts w:eastAsia="Times New Roman"/>
                <w:szCs w:val="22"/>
              </w:rPr>
            </w:pPr>
            <w:proofErr w:type="gramStart"/>
            <w:r>
              <w:rPr>
                <w:rFonts w:eastAsia="Times New Roman"/>
                <w:szCs w:val="22"/>
              </w:rPr>
              <w:t>i</w:t>
            </w:r>
            <w:r w:rsidR="00BD2525">
              <w:rPr>
                <w:rFonts w:eastAsia="Times New Roman"/>
                <w:szCs w:val="22"/>
              </w:rPr>
              <w:t>nsuffisance</w:t>
            </w:r>
            <w:proofErr w:type="gramEnd"/>
            <w:r w:rsidR="00BD2525">
              <w:rPr>
                <w:rFonts w:eastAsia="Times New Roman"/>
                <w:szCs w:val="22"/>
              </w:rPr>
              <w:t xml:space="preserve"> rénale</w:t>
            </w:r>
          </w:p>
        </w:tc>
      </w:tr>
      <w:tr w:rsidR="00B608FF" w14:paraId="4BD2FC4C" w14:textId="77777777" w:rsidTr="008F4AFF">
        <w:tc>
          <w:tcPr>
            <w:tcW w:w="2157" w:type="dxa"/>
            <w:hideMark/>
          </w:tcPr>
          <w:p w14:paraId="3B5F1941" w14:textId="77777777" w:rsidR="008F4AFF" w:rsidRPr="00D77B3B" w:rsidRDefault="008F4AFF" w:rsidP="008F4AFF">
            <w:pPr>
              <w:keepNext/>
              <w:spacing w:line="240" w:lineRule="auto"/>
            </w:pPr>
            <w:r w:rsidRPr="00D77B3B">
              <w:t>Troubles généraux et anomalies au site d’administration</w:t>
            </w:r>
          </w:p>
        </w:tc>
        <w:tc>
          <w:tcPr>
            <w:tcW w:w="2322" w:type="dxa"/>
            <w:hideMark/>
          </w:tcPr>
          <w:p w14:paraId="4A58AD5A" w14:textId="77777777" w:rsidR="008F4AFF" w:rsidRPr="00D77B3B" w:rsidRDefault="008F4AFF" w:rsidP="008F4AFF">
            <w:pPr>
              <w:keepNext/>
              <w:spacing w:line="240" w:lineRule="auto"/>
            </w:pPr>
            <w:proofErr w:type="gramStart"/>
            <w:r w:rsidRPr="00D77B3B">
              <w:t>fièvre</w:t>
            </w:r>
            <w:proofErr w:type="gramEnd"/>
            <w:r w:rsidRPr="00D77B3B">
              <w:t>, frissons, douleur*, œdème périphérique, œdème de la face</w:t>
            </w:r>
          </w:p>
        </w:tc>
        <w:tc>
          <w:tcPr>
            <w:tcW w:w="2492" w:type="dxa"/>
            <w:hideMark/>
          </w:tcPr>
          <w:p w14:paraId="46FF2E43" w14:textId="77777777" w:rsidR="008F4AFF" w:rsidRPr="00D77B3B" w:rsidRDefault="008F4AFF" w:rsidP="008F4AFF">
            <w:pPr>
              <w:keepNext/>
              <w:autoSpaceDE w:val="0"/>
              <w:autoSpaceDN w:val="0"/>
              <w:adjustRightInd w:val="0"/>
              <w:spacing w:line="240" w:lineRule="auto"/>
            </w:pPr>
            <w:proofErr w:type="gramStart"/>
            <w:r w:rsidRPr="00D77B3B">
              <w:t>réactions</w:t>
            </w:r>
            <w:proofErr w:type="gramEnd"/>
            <w:r w:rsidRPr="00D77B3B">
              <w:t xml:space="preserve"> au site d’injection</w:t>
            </w:r>
          </w:p>
        </w:tc>
        <w:tc>
          <w:tcPr>
            <w:tcW w:w="2316" w:type="dxa"/>
            <w:hideMark/>
          </w:tcPr>
          <w:p w14:paraId="469E8EA4" w14:textId="77777777" w:rsidR="008F4AFF" w:rsidRPr="00D77B3B" w:rsidRDefault="008F4AFF" w:rsidP="008F4AFF">
            <w:pPr>
              <w:keepNext/>
              <w:autoSpaceDE w:val="0"/>
              <w:autoSpaceDN w:val="0"/>
              <w:adjustRightInd w:val="0"/>
              <w:spacing w:line="240" w:lineRule="auto"/>
              <w:rPr>
                <w:rFonts w:eastAsia="Times New Roman"/>
                <w:szCs w:val="22"/>
              </w:rPr>
            </w:pPr>
          </w:p>
        </w:tc>
      </w:tr>
      <w:tr w:rsidR="00B608FF" w14:paraId="028CB2BD" w14:textId="77777777" w:rsidTr="008F4AFF">
        <w:tc>
          <w:tcPr>
            <w:tcW w:w="2157" w:type="dxa"/>
            <w:hideMark/>
          </w:tcPr>
          <w:p w14:paraId="7825DDD3" w14:textId="77777777" w:rsidR="008F4AFF" w:rsidRPr="00D77B3B" w:rsidRDefault="008F4AFF" w:rsidP="008F4AFF">
            <w:pPr>
              <w:keepNext/>
              <w:spacing w:line="240" w:lineRule="auto"/>
            </w:pPr>
            <w:r w:rsidRPr="00D77B3B">
              <w:t>Investigations</w:t>
            </w:r>
          </w:p>
        </w:tc>
        <w:tc>
          <w:tcPr>
            <w:tcW w:w="2322" w:type="dxa"/>
            <w:hideMark/>
          </w:tcPr>
          <w:p w14:paraId="5FBBEF45" w14:textId="77777777" w:rsidR="008F4AFF" w:rsidRPr="00D77B3B" w:rsidRDefault="008F4AFF" w:rsidP="008F4AFF">
            <w:pPr>
              <w:keepNext/>
              <w:spacing w:line="240" w:lineRule="auto"/>
            </w:pPr>
            <w:proofErr w:type="gramStart"/>
            <w:r w:rsidRPr="00D77B3B">
              <w:t>prise</w:t>
            </w:r>
            <w:proofErr w:type="gramEnd"/>
            <w:r w:rsidRPr="00D77B3B">
              <w:t xml:space="preserve"> de poids, transaminase augmentée, gamma-</w:t>
            </w:r>
            <w:proofErr w:type="spellStart"/>
            <w:r w:rsidRPr="00D77B3B">
              <w:t>glutamyltransférase</w:t>
            </w:r>
            <w:proofErr w:type="spellEnd"/>
            <w:r w:rsidRPr="00D77B3B">
              <w:t xml:space="preserve"> augmentée, bilirubinémie augmentée</w:t>
            </w:r>
            <w:r w:rsidR="00BD2525">
              <w:t>, créatininémie augmentée</w:t>
            </w:r>
          </w:p>
        </w:tc>
        <w:tc>
          <w:tcPr>
            <w:tcW w:w="2492" w:type="dxa"/>
            <w:hideMark/>
          </w:tcPr>
          <w:p w14:paraId="47D72194" w14:textId="77777777" w:rsidR="008F4AFF" w:rsidRPr="00D77B3B" w:rsidRDefault="008F4AFF" w:rsidP="008F4AFF">
            <w:pPr>
              <w:keepNext/>
              <w:autoSpaceDE w:val="0"/>
              <w:autoSpaceDN w:val="0"/>
              <w:adjustRightInd w:val="0"/>
              <w:spacing w:line="240" w:lineRule="auto"/>
            </w:pPr>
            <w:proofErr w:type="gramStart"/>
            <w:r w:rsidRPr="00D77B3B">
              <w:t>perte</w:t>
            </w:r>
            <w:proofErr w:type="gramEnd"/>
            <w:r w:rsidRPr="00D77B3B">
              <w:t xml:space="preserve"> de poids, débit de filtration glomérulaire diminué, hypertriglycéridémie, temps de céphaline activée augmenté, temps de prothrombine augmenté, temps de thrombine augmenté</w:t>
            </w:r>
          </w:p>
        </w:tc>
        <w:tc>
          <w:tcPr>
            <w:tcW w:w="2316" w:type="dxa"/>
            <w:hideMark/>
          </w:tcPr>
          <w:p w14:paraId="232FF9BE" w14:textId="77777777" w:rsidR="008F4AFF" w:rsidRPr="00D77B3B" w:rsidRDefault="008F4AFF" w:rsidP="008F4AFF">
            <w:pPr>
              <w:keepNext/>
              <w:autoSpaceDE w:val="0"/>
              <w:autoSpaceDN w:val="0"/>
              <w:adjustRightInd w:val="0"/>
              <w:spacing w:line="240" w:lineRule="auto"/>
              <w:rPr>
                <w:rFonts w:eastAsia="Times New Roman"/>
                <w:szCs w:val="22"/>
              </w:rPr>
            </w:pPr>
          </w:p>
        </w:tc>
      </w:tr>
    </w:tbl>
    <w:p w14:paraId="6AB19F6D" w14:textId="6F8C6BF7" w:rsidR="008F4AFF" w:rsidRPr="00D77B3B" w:rsidRDefault="008F4AFF" w:rsidP="008F4AFF">
      <w:pPr>
        <w:autoSpaceDE w:val="0"/>
        <w:autoSpaceDN w:val="0"/>
        <w:adjustRightInd w:val="0"/>
        <w:spacing w:line="240" w:lineRule="auto"/>
        <w:rPr>
          <w:szCs w:val="22"/>
        </w:rPr>
      </w:pPr>
      <w:r w:rsidRPr="00D77B3B">
        <w:t>*</w:t>
      </w:r>
      <w:r w:rsidR="0032424B" w:rsidRPr="0032424B">
        <w:t xml:space="preserve"> </w:t>
      </w:r>
      <w:r w:rsidR="0032424B">
        <w:t> C</w:t>
      </w:r>
      <w:r w:rsidR="0032424B" w:rsidRPr="00D77B3B">
        <w:t>omprend</w:t>
      </w:r>
      <w:r w:rsidR="0032424B">
        <w:t> </w:t>
      </w:r>
      <w:r w:rsidRPr="00D77B3B">
        <w:t xml:space="preserve">: douleur abdominale, extrémités, </w:t>
      </w:r>
      <w:r w:rsidR="00DF680D">
        <w:t xml:space="preserve">douloureuses, douleur oropharyngée et dorsalgies, rapportées chez &gt; 10 % des patients. De plus, les autres types de douleur fréquemment rapportés étaient : arthralgies, douleur au site </w:t>
      </w:r>
      <w:proofErr w:type="gramStart"/>
      <w:r w:rsidR="00DF680D">
        <w:t>d’</w:t>
      </w:r>
      <w:proofErr w:type="spellStart"/>
      <w:r w:rsidR="00DF680D">
        <w:t>injection,,</w:t>
      </w:r>
      <w:proofErr w:type="gramEnd"/>
      <w:r w:rsidRPr="00D77B3B">
        <w:t>douleur</w:t>
      </w:r>
      <w:proofErr w:type="spellEnd"/>
      <w:r w:rsidRPr="00D77B3B">
        <w:t xml:space="preserve"> </w:t>
      </w:r>
      <w:proofErr w:type="spellStart"/>
      <w:r w:rsidRPr="00D77B3B">
        <w:t>musculo-squelettique</w:t>
      </w:r>
      <w:proofErr w:type="spellEnd"/>
      <w:r w:rsidRPr="00D77B3B">
        <w:t xml:space="preserve">, </w:t>
      </w:r>
      <w:r w:rsidR="00DF680D">
        <w:t xml:space="preserve">douleurs osseuses, </w:t>
      </w:r>
      <w:r w:rsidRPr="00D77B3B">
        <w:t xml:space="preserve">douleur thoracique </w:t>
      </w:r>
      <w:r w:rsidR="00DF680D" w:rsidRPr="00DF680D">
        <w:t xml:space="preserve"> </w:t>
      </w:r>
      <w:r w:rsidR="00DF680D">
        <w:t xml:space="preserve"> et cervicalgie.</w:t>
      </w:r>
    </w:p>
    <w:p w14:paraId="3B3DFD3B" w14:textId="77777777" w:rsidR="008F4AFF" w:rsidRPr="00D77B3B" w:rsidRDefault="008F4AFF" w:rsidP="008F4AFF">
      <w:pPr>
        <w:autoSpaceDE w:val="0"/>
        <w:autoSpaceDN w:val="0"/>
        <w:adjustRightInd w:val="0"/>
        <w:spacing w:line="240" w:lineRule="auto"/>
        <w:rPr>
          <w:szCs w:val="22"/>
        </w:rPr>
      </w:pPr>
    </w:p>
    <w:p w14:paraId="542888BD" w14:textId="77777777" w:rsidR="008F4AFF" w:rsidRPr="00D77B3B" w:rsidRDefault="008F4AFF" w:rsidP="008F4AFF">
      <w:pPr>
        <w:keepNext/>
        <w:keepLines/>
        <w:autoSpaceDE w:val="0"/>
        <w:autoSpaceDN w:val="0"/>
        <w:adjustRightInd w:val="0"/>
        <w:spacing w:line="240" w:lineRule="auto"/>
        <w:jc w:val="both"/>
        <w:rPr>
          <w:szCs w:val="22"/>
          <w:u w:val="single"/>
        </w:rPr>
      </w:pPr>
      <w:r w:rsidRPr="00D77B3B">
        <w:rPr>
          <w:u w:val="single"/>
        </w:rPr>
        <w:t>Description de certains effets indésirables</w:t>
      </w:r>
    </w:p>
    <w:p w14:paraId="32129F5D" w14:textId="77777777" w:rsidR="008F4AFF" w:rsidRPr="00D77B3B" w:rsidRDefault="008F4AFF" w:rsidP="008F4AFF">
      <w:pPr>
        <w:keepNext/>
        <w:keepLines/>
        <w:autoSpaceDE w:val="0"/>
        <w:autoSpaceDN w:val="0"/>
        <w:adjustRightInd w:val="0"/>
        <w:spacing w:line="240" w:lineRule="auto"/>
        <w:jc w:val="both"/>
        <w:rPr>
          <w:szCs w:val="22"/>
          <w:u w:val="single"/>
        </w:rPr>
      </w:pPr>
    </w:p>
    <w:p w14:paraId="0F78916C" w14:textId="77777777" w:rsidR="008F4AFF" w:rsidRPr="00D77B3B" w:rsidRDefault="008F4AFF" w:rsidP="008F4AFF">
      <w:pPr>
        <w:keepNext/>
        <w:keepLines/>
        <w:autoSpaceDE w:val="0"/>
        <w:autoSpaceDN w:val="0"/>
        <w:adjustRightInd w:val="0"/>
        <w:spacing w:line="240" w:lineRule="auto"/>
        <w:rPr>
          <w:i/>
          <w:szCs w:val="22"/>
        </w:rPr>
      </w:pPr>
      <w:r w:rsidRPr="00D77B3B">
        <w:rPr>
          <w:i/>
        </w:rPr>
        <w:t>Hypersensibilité</w:t>
      </w:r>
    </w:p>
    <w:p w14:paraId="1F6F9F86" w14:textId="455246EA" w:rsidR="008F4AFF" w:rsidRPr="00D77B3B" w:rsidRDefault="008F4AFF" w:rsidP="008F4AFF">
      <w:pPr>
        <w:keepNext/>
        <w:keepLines/>
        <w:autoSpaceDE w:val="0"/>
        <w:autoSpaceDN w:val="0"/>
        <w:adjustRightInd w:val="0"/>
        <w:spacing w:line="240" w:lineRule="auto"/>
        <w:rPr>
          <w:szCs w:val="22"/>
        </w:rPr>
      </w:pPr>
      <w:r w:rsidRPr="00D77B3B">
        <w:t>Les réactions d’hypersensibilité les plus fréquentes incluent l’hypotension (</w:t>
      </w:r>
      <w:r w:rsidR="00DF680D">
        <w:t>42.2</w:t>
      </w:r>
      <w:r w:rsidRPr="00D77B3B">
        <w:t>%), l’urticaire (</w:t>
      </w:r>
      <w:r w:rsidR="00DF680D">
        <w:t>15</w:t>
      </w:r>
      <w:r w:rsidRPr="00D77B3B">
        <w:t>%) et le bronchospasme (</w:t>
      </w:r>
      <w:r w:rsidR="00DF680D">
        <w:t>5.3</w:t>
      </w:r>
      <w:r w:rsidRPr="00D77B3B">
        <w:t xml:space="preserve"> %). </w:t>
      </w:r>
      <w:r w:rsidR="00252F1A">
        <w:t>Un</w:t>
      </w:r>
      <w:r w:rsidRPr="00D77B3B">
        <w:t xml:space="preserve"> syndrome de relargage de cytokines a également été signalé chez </w:t>
      </w:r>
      <w:r w:rsidR="00D84FCB">
        <w:t>32</w:t>
      </w:r>
      <w:r w:rsidRPr="00D77B3B">
        <w:t> % des patients. Des réactions anaphylactiques graves se sont produites chez 3,5 % des patients.</w:t>
      </w:r>
    </w:p>
    <w:p w14:paraId="18478F81" w14:textId="77777777" w:rsidR="008F4AFF" w:rsidRPr="00D77B3B" w:rsidRDefault="008F4AFF" w:rsidP="008F4AFF">
      <w:pPr>
        <w:keepNext/>
        <w:keepLines/>
        <w:autoSpaceDE w:val="0"/>
        <w:autoSpaceDN w:val="0"/>
        <w:adjustRightInd w:val="0"/>
        <w:spacing w:line="240" w:lineRule="auto"/>
        <w:rPr>
          <w:szCs w:val="22"/>
        </w:rPr>
      </w:pPr>
    </w:p>
    <w:p w14:paraId="0C5907B5" w14:textId="77777777" w:rsidR="008F4AFF" w:rsidRPr="00D77B3B" w:rsidRDefault="008F4AFF" w:rsidP="008F4AFF">
      <w:pPr>
        <w:keepNext/>
        <w:keepLines/>
        <w:autoSpaceDE w:val="0"/>
        <w:autoSpaceDN w:val="0"/>
        <w:adjustRightInd w:val="0"/>
        <w:spacing w:line="240" w:lineRule="auto"/>
        <w:rPr>
          <w:i/>
          <w:szCs w:val="22"/>
        </w:rPr>
      </w:pPr>
      <w:r w:rsidRPr="00D77B3B">
        <w:rPr>
          <w:i/>
        </w:rPr>
        <w:t>Douleur</w:t>
      </w:r>
    </w:p>
    <w:p w14:paraId="4E8954F0" w14:textId="77777777" w:rsidR="008F4AFF" w:rsidRPr="00D77B3B" w:rsidRDefault="008F4AFF" w:rsidP="008F4AFF">
      <w:pPr>
        <w:keepNext/>
        <w:keepLines/>
        <w:autoSpaceDE w:val="0"/>
        <w:autoSpaceDN w:val="0"/>
        <w:adjustRightInd w:val="0"/>
        <w:spacing w:line="240" w:lineRule="auto"/>
        <w:rPr>
          <w:szCs w:val="22"/>
        </w:rPr>
      </w:pPr>
      <w:r w:rsidRPr="00D77B3B">
        <w:t xml:space="preserve">La douleur survient généralement pendant la première perfusion de </w:t>
      </w:r>
      <w:proofErr w:type="spellStart"/>
      <w:r w:rsidRPr="00D77B3B">
        <w:t>dinutuximab</w:t>
      </w:r>
      <w:proofErr w:type="spellEnd"/>
      <w:r w:rsidRPr="00D77B3B">
        <w:t xml:space="preserve"> bêta et diminue au fil des cycles de traitement. Les patients ont le plus souvent fait état de douleur abdominale, de douleur aux extrémités, de douleur dorsale, de douleur thoracique ou d’arthralgie.</w:t>
      </w:r>
    </w:p>
    <w:p w14:paraId="058C5F25" w14:textId="77777777" w:rsidR="008F4AFF" w:rsidRPr="00D77B3B" w:rsidRDefault="008F4AFF" w:rsidP="008F4AFF">
      <w:pPr>
        <w:autoSpaceDE w:val="0"/>
        <w:autoSpaceDN w:val="0"/>
        <w:adjustRightInd w:val="0"/>
        <w:spacing w:line="240" w:lineRule="auto"/>
        <w:rPr>
          <w:szCs w:val="22"/>
        </w:rPr>
      </w:pPr>
    </w:p>
    <w:p w14:paraId="752ACDC1" w14:textId="77777777" w:rsidR="008F4AFF" w:rsidRPr="00D77B3B" w:rsidRDefault="008F4AFF" w:rsidP="008F4AFF">
      <w:pPr>
        <w:keepNext/>
        <w:keepLines/>
        <w:autoSpaceDE w:val="0"/>
        <w:autoSpaceDN w:val="0"/>
        <w:adjustRightInd w:val="0"/>
        <w:spacing w:line="240" w:lineRule="auto"/>
        <w:rPr>
          <w:i/>
          <w:szCs w:val="22"/>
        </w:rPr>
      </w:pPr>
      <w:r w:rsidRPr="00D77B3B">
        <w:rPr>
          <w:i/>
        </w:rPr>
        <w:t>Syndrome de fuite capillaire (SFC)</w:t>
      </w:r>
    </w:p>
    <w:p w14:paraId="0624519D" w14:textId="77777777" w:rsidR="008F4AFF" w:rsidRPr="00D77B3B" w:rsidRDefault="008F4AFF" w:rsidP="008F4AFF">
      <w:pPr>
        <w:keepNext/>
        <w:keepLines/>
      </w:pPr>
      <w:r w:rsidRPr="00D77B3B">
        <w:t>De façon générale, seuls 10 % des syndromes de fuite capillaire étaient sévères (grade 3-4) et leur fréquence a diminué au fil des cycles de traitement.</w:t>
      </w:r>
    </w:p>
    <w:p w14:paraId="3A5BA81C" w14:textId="77777777" w:rsidR="008F4AFF" w:rsidRPr="00D77B3B" w:rsidRDefault="008F4AFF" w:rsidP="008F4AFF">
      <w:pPr>
        <w:autoSpaceDE w:val="0"/>
        <w:autoSpaceDN w:val="0"/>
        <w:adjustRightInd w:val="0"/>
        <w:spacing w:line="240" w:lineRule="auto"/>
      </w:pPr>
    </w:p>
    <w:p w14:paraId="694D1D3A" w14:textId="77777777" w:rsidR="008F4AFF" w:rsidRPr="00D77B3B" w:rsidRDefault="008F4AFF" w:rsidP="008F4AFF">
      <w:pPr>
        <w:keepNext/>
        <w:keepLines/>
        <w:autoSpaceDE w:val="0"/>
        <w:autoSpaceDN w:val="0"/>
        <w:adjustRightInd w:val="0"/>
        <w:spacing w:line="240" w:lineRule="auto"/>
        <w:rPr>
          <w:i/>
          <w:szCs w:val="22"/>
        </w:rPr>
      </w:pPr>
      <w:r w:rsidRPr="00D77B3B">
        <w:rPr>
          <w:i/>
        </w:rPr>
        <w:lastRenderedPageBreak/>
        <w:t>Problèmes oculaires</w:t>
      </w:r>
    </w:p>
    <w:p w14:paraId="4E6718DB" w14:textId="7F501AB7" w:rsidR="008F4AFF" w:rsidRPr="00D77B3B" w:rsidRDefault="008F4AFF" w:rsidP="008F4AFF">
      <w:pPr>
        <w:keepNext/>
        <w:keepLines/>
      </w:pPr>
      <w:r w:rsidRPr="00D77B3B">
        <w:t>Ils incluent les troubles de l’accommodation visuelle corrigibles par le port de lunettes ainsi que la mydriase (</w:t>
      </w:r>
      <w:r w:rsidR="00DF680D">
        <w:t>10.7 %</w:t>
      </w:r>
      <w:r w:rsidR="00DF680D" w:rsidRPr="00D77B3B">
        <w:t xml:space="preserve">), </w:t>
      </w:r>
      <w:r w:rsidR="00DF680D">
        <w:t>l’œdème périorbitaire et l’œdème palpébral (7,1</w:t>
      </w:r>
      <w:r w:rsidRPr="00D77B3B">
        <w:t> %), la vision floue (3 %) ou la photophobie (3 %), qui étaient généralement réversibles après l’arrêt du traitement. Des troubles oculaires graves ont également été signalés, dont une ophtalmoplégie et une atrophie optique.</w:t>
      </w:r>
    </w:p>
    <w:p w14:paraId="64315AC7" w14:textId="77777777" w:rsidR="008F4AFF" w:rsidRPr="00D77B3B" w:rsidRDefault="008F4AFF" w:rsidP="008F4AFF"/>
    <w:p w14:paraId="54748099" w14:textId="77777777" w:rsidR="008F4AFF" w:rsidRPr="00D77B3B" w:rsidRDefault="008F4AFF" w:rsidP="008F4AFF">
      <w:pPr>
        <w:keepNext/>
        <w:keepLines/>
        <w:autoSpaceDE w:val="0"/>
        <w:autoSpaceDN w:val="0"/>
        <w:adjustRightInd w:val="0"/>
        <w:spacing w:line="240" w:lineRule="auto"/>
        <w:rPr>
          <w:i/>
          <w:szCs w:val="22"/>
        </w:rPr>
      </w:pPr>
      <w:r w:rsidRPr="00D77B3B">
        <w:rPr>
          <w:i/>
        </w:rPr>
        <w:t>Neuropathie périphérique</w:t>
      </w:r>
    </w:p>
    <w:p w14:paraId="14765489" w14:textId="77777777" w:rsidR="008F4AFF" w:rsidRPr="00D77B3B" w:rsidRDefault="008F4AFF" w:rsidP="008F4AFF">
      <w:pPr>
        <w:keepNext/>
        <w:keepLines/>
      </w:pPr>
      <w:r w:rsidRPr="00D77B3B">
        <w:t>Des neuropathies périphériques sensitives et motrices ont été signalées chez un total de 9 % des patients. La plupart des événements étaient de grade 1-2 et ont disparu.</w:t>
      </w:r>
    </w:p>
    <w:p w14:paraId="1A95D547" w14:textId="77777777" w:rsidR="008F4AFF" w:rsidRPr="00D77B3B" w:rsidRDefault="008F4AFF" w:rsidP="008F4AFF">
      <w:pPr>
        <w:rPr>
          <w:i/>
          <w:szCs w:val="22"/>
        </w:rPr>
      </w:pPr>
    </w:p>
    <w:p w14:paraId="0123BF8A" w14:textId="77777777" w:rsidR="008F4AFF" w:rsidRPr="00D77B3B" w:rsidRDefault="008F4AFF" w:rsidP="008F4AFF">
      <w:pPr>
        <w:keepNext/>
        <w:rPr>
          <w:i/>
          <w:szCs w:val="22"/>
        </w:rPr>
      </w:pPr>
      <w:r w:rsidRPr="00D77B3B">
        <w:rPr>
          <w:i/>
        </w:rPr>
        <w:t>Profil de sécurité avec et sans IL-2</w:t>
      </w:r>
    </w:p>
    <w:p w14:paraId="5377D431" w14:textId="09A163FB" w:rsidR="008F4AFF" w:rsidRPr="00D77B3B" w:rsidRDefault="008F4AFF" w:rsidP="008F4AFF">
      <w:r w:rsidRPr="00D77B3B">
        <w:t xml:space="preserve">L’association de </w:t>
      </w:r>
      <w:proofErr w:type="spellStart"/>
      <w:r w:rsidR="008737C6">
        <w:t>Qarziba</w:t>
      </w:r>
      <w:proofErr w:type="spellEnd"/>
      <w:r w:rsidRPr="00D77B3B">
        <w:t xml:space="preserve"> et </w:t>
      </w:r>
      <w:proofErr w:type="gramStart"/>
      <w:r w:rsidRPr="00D77B3B">
        <w:t>de IL</w:t>
      </w:r>
      <w:proofErr w:type="gramEnd"/>
      <w:r w:rsidRPr="00D77B3B">
        <w:noBreakHyphen/>
        <w:t xml:space="preserve">2 augmente le risque de survenue des effets indésirables par rapport à l’utilisation de </w:t>
      </w:r>
      <w:proofErr w:type="spellStart"/>
      <w:r w:rsidR="008737C6">
        <w:t>Qarziba</w:t>
      </w:r>
      <w:proofErr w:type="spellEnd"/>
      <w:r w:rsidRPr="00D77B3B">
        <w:t xml:space="preserve"> sans IL</w:t>
      </w:r>
      <w:r w:rsidRPr="00D77B3B">
        <w:noBreakHyphen/>
        <w:t xml:space="preserve">2, en particulier pour la fièvre (92 % contre 79 %), le syndrome de fuite capillaire (50 % contre 25 %), la douleur liée au </w:t>
      </w:r>
      <w:proofErr w:type="spellStart"/>
      <w:r w:rsidRPr="00D77B3B">
        <w:t>dinutuximab</w:t>
      </w:r>
      <w:proofErr w:type="spellEnd"/>
      <w:r w:rsidRPr="00D77B3B">
        <w:t xml:space="preserve"> bêta (75 % contre 63 %), l’hypotension (43 % contre 26 %) et la neuropathie périphérique (14 % contre 7 %), respectivement.</w:t>
      </w:r>
    </w:p>
    <w:p w14:paraId="37144B72" w14:textId="77777777" w:rsidR="008F4AFF" w:rsidRPr="00D77B3B" w:rsidRDefault="008F4AFF" w:rsidP="008F4AFF"/>
    <w:p w14:paraId="209F2C15" w14:textId="77777777" w:rsidR="008F4AFF" w:rsidRPr="00D77B3B" w:rsidRDefault="008F4AFF" w:rsidP="008F4AFF">
      <w:pPr>
        <w:keepNext/>
        <w:keepLines/>
        <w:autoSpaceDE w:val="0"/>
        <w:autoSpaceDN w:val="0"/>
        <w:adjustRightInd w:val="0"/>
        <w:spacing w:line="240" w:lineRule="auto"/>
        <w:rPr>
          <w:i/>
          <w:szCs w:val="22"/>
        </w:rPr>
      </w:pPr>
      <w:r w:rsidRPr="00D77B3B">
        <w:rPr>
          <w:i/>
        </w:rPr>
        <w:t>Déclaration des effets indésirables suspectés</w:t>
      </w:r>
    </w:p>
    <w:p w14:paraId="156AE90A" w14:textId="0CEC9FA1" w:rsidR="008F4AFF" w:rsidRDefault="008F4AFF" w:rsidP="008F4AFF">
      <w:pPr>
        <w:keepNext/>
        <w:keepLines/>
        <w:autoSpaceDE w:val="0"/>
        <w:autoSpaceDN w:val="0"/>
        <w:adjustRightInd w:val="0"/>
        <w:spacing w:line="240" w:lineRule="auto"/>
      </w:pPr>
      <w:r w:rsidRPr="00D77B3B">
        <w:t>La déclaration des effets indésirables suspectés après autorisation du médicament est importante. Elle permet une surveillance continue du rapport bénéfice/risque du médicament. Les professionnels de santé déclarent tout effet indésirable suspecté via</w:t>
      </w:r>
      <w:r w:rsidR="004C60BE">
        <w:t> :</w:t>
      </w:r>
    </w:p>
    <w:p w14:paraId="50CB90AE" w14:textId="77777777" w:rsidR="00497B89" w:rsidRDefault="00497B89" w:rsidP="004C60BE">
      <w:pPr>
        <w:spacing w:line="240" w:lineRule="auto"/>
        <w:rPr>
          <w:b/>
          <w:i/>
          <w:noProof/>
          <w:szCs w:val="22"/>
          <w:lang w:val="de-DE"/>
        </w:rPr>
      </w:pPr>
    </w:p>
    <w:p w14:paraId="0401DCB5" w14:textId="2F079428" w:rsidR="004C60BE" w:rsidRPr="004C60BE" w:rsidRDefault="004C60BE" w:rsidP="004C60BE">
      <w:pPr>
        <w:spacing w:line="240" w:lineRule="auto"/>
        <w:rPr>
          <w:b/>
          <w:i/>
          <w:noProof/>
          <w:szCs w:val="22"/>
          <w:lang w:val="de-DE"/>
        </w:rPr>
      </w:pPr>
      <w:r w:rsidRPr="004C60BE">
        <w:rPr>
          <w:b/>
          <w:i/>
          <w:noProof/>
          <w:szCs w:val="22"/>
          <w:lang w:val="de-DE"/>
        </w:rPr>
        <w:t xml:space="preserve">France : </w:t>
      </w:r>
    </w:p>
    <w:p w14:paraId="567CBD95" w14:textId="01CDE27F" w:rsidR="004C60BE" w:rsidRPr="004C60BE" w:rsidRDefault="004C60BE" w:rsidP="004C60BE">
      <w:pPr>
        <w:spacing w:line="240" w:lineRule="auto"/>
        <w:rPr>
          <w:noProof/>
          <w:szCs w:val="22"/>
          <w:lang w:val="de-DE"/>
        </w:rPr>
      </w:pPr>
      <w:r w:rsidRPr="004C60BE">
        <w:rPr>
          <w:noProof/>
          <w:szCs w:val="22"/>
          <w:lang w:val="de-DE"/>
        </w:rPr>
        <w:t>Agence nationale de sécurité du médicament et des produits de santé (</w:t>
      </w:r>
      <w:r w:rsidR="005B13B6">
        <w:rPr>
          <w:noProof/>
          <w:szCs w:val="22"/>
          <w:lang w:val="de-DE"/>
        </w:rPr>
        <w:t>ANSM</w:t>
      </w:r>
      <w:r w:rsidRPr="004C60BE">
        <w:rPr>
          <w:noProof/>
          <w:szCs w:val="22"/>
          <w:lang w:val="de-DE"/>
        </w:rPr>
        <w:t>) et réseau des Centres Régionaux de Pharmacovigilance  - Site internet:</w:t>
      </w:r>
      <w:r w:rsidR="005B13B6">
        <w:rPr>
          <w:noProof/>
          <w:szCs w:val="22"/>
          <w:lang w:val="de-DE"/>
        </w:rPr>
        <w:t xml:space="preserve"> </w:t>
      </w:r>
      <w:hyperlink r:id="rId12" w:history="1">
        <w:r w:rsidR="005B13B6" w:rsidRPr="00514520">
          <w:rPr>
            <w:rStyle w:val="Hyperlink"/>
            <w:rFonts w:eastAsia="Calibri"/>
            <w:noProof/>
            <w:color w:val="auto"/>
            <w:lang w:eastAsia="zh-CN"/>
          </w:rPr>
          <w:t>www.signalement-sante.gouv.fr</w:t>
        </w:r>
      </w:hyperlink>
    </w:p>
    <w:p w14:paraId="6B1CEF85" w14:textId="77777777" w:rsidR="00497B89" w:rsidRDefault="00497B89" w:rsidP="004C60BE">
      <w:pPr>
        <w:spacing w:line="240" w:lineRule="auto"/>
        <w:rPr>
          <w:b/>
          <w:i/>
          <w:noProof/>
          <w:szCs w:val="22"/>
          <w:lang w:val="de-DE"/>
        </w:rPr>
      </w:pPr>
    </w:p>
    <w:p w14:paraId="635DE236" w14:textId="2C7A4E5C" w:rsidR="005B13B6" w:rsidRDefault="004C60BE" w:rsidP="004C60BE">
      <w:pPr>
        <w:spacing w:line="240" w:lineRule="auto"/>
        <w:rPr>
          <w:b/>
          <w:i/>
          <w:noProof/>
          <w:szCs w:val="22"/>
          <w:lang w:val="de-DE"/>
        </w:rPr>
      </w:pPr>
      <w:r w:rsidRPr="004C60BE">
        <w:rPr>
          <w:b/>
          <w:i/>
          <w:noProof/>
          <w:szCs w:val="22"/>
          <w:lang w:val="de-DE"/>
        </w:rPr>
        <w:t>Belgique :</w:t>
      </w:r>
    </w:p>
    <w:p w14:paraId="23BC0D1B" w14:textId="77777777" w:rsidR="005B13B6" w:rsidRPr="005B13B6" w:rsidRDefault="005B13B6" w:rsidP="005B13B6">
      <w:pPr>
        <w:rPr>
          <w:rFonts w:eastAsia="Calibri"/>
          <w:szCs w:val="22"/>
          <w:lang w:eastAsia="zh-CN"/>
        </w:rPr>
      </w:pPr>
      <w:r w:rsidRPr="005B13B6">
        <w:rPr>
          <w:rFonts w:eastAsia="Calibri"/>
          <w:szCs w:val="22"/>
          <w:lang w:eastAsia="zh-CN"/>
        </w:rPr>
        <w:t>Agence fédérale des médicaments et des produits de santé</w:t>
      </w:r>
    </w:p>
    <w:p w14:paraId="004F9656" w14:textId="77777777" w:rsidR="005B13B6" w:rsidRDefault="005B13B6" w:rsidP="005B13B6">
      <w:pPr>
        <w:rPr>
          <w:rFonts w:eastAsia="Calibri"/>
          <w:szCs w:val="22"/>
          <w:lang w:val="fr-BE" w:eastAsia="zh-CN"/>
        </w:rPr>
      </w:pPr>
      <w:r w:rsidRPr="00BB06F8">
        <w:rPr>
          <w:rFonts w:eastAsia="Calibri"/>
          <w:szCs w:val="22"/>
          <w:lang w:val="fr-BE" w:eastAsia="zh-CN"/>
        </w:rPr>
        <w:t>Division Vigilance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843"/>
      </w:tblGrid>
      <w:tr w:rsidR="005B13B6" w14:paraId="715A7F6A" w14:textId="77777777" w:rsidTr="00497B89">
        <w:tc>
          <w:tcPr>
            <w:tcW w:w="2547" w:type="dxa"/>
            <w:tcBorders>
              <w:top w:val="single" w:sz="4" w:space="0" w:color="auto"/>
              <w:left w:val="single" w:sz="4" w:space="0" w:color="auto"/>
              <w:bottom w:val="single" w:sz="4" w:space="0" w:color="auto"/>
              <w:right w:val="single" w:sz="4" w:space="0" w:color="auto"/>
            </w:tcBorders>
            <w:hideMark/>
          </w:tcPr>
          <w:p w14:paraId="673B54CC" w14:textId="77777777" w:rsidR="00875214" w:rsidRDefault="00875214" w:rsidP="00875214">
            <w:pPr>
              <w:rPr>
                <w:szCs w:val="22"/>
                <w:lang w:eastAsia="zh-CN"/>
              </w:rPr>
            </w:pPr>
            <w:r>
              <w:rPr>
                <w:szCs w:val="22"/>
                <w:lang w:eastAsia="zh-CN"/>
              </w:rPr>
              <w:t>Avenue Galilée 5/03</w:t>
            </w:r>
          </w:p>
          <w:p w14:paraId="28684CB7" w14:textId="233F0D5E" w:rsidR="005B13B6" w:rsidRPr="00A6650F" w:rsidRDefault="00875214" w:rsidP="00497B89">
            <w:pPr>
              <w:rPr>
                <w:rFonts w:eastAsia="Calibri"/>
                <w:szCs w:val="22"/>
                <w:lang w:val="fr-BE" w:eastAsia="zh-CN"/>
              </w:rPr>
            </w:pPr>
            <w:r>
              <w:rPr>
                <w:szCs w:val="22"/>
                <w:lang w:eastAsia="zh-CN"/>
              </w:rPr>
              <w:t xml:space="preserve">1210 BRUSSEL </w:t>
            </w:r>
          </w:p>
        </w:tc>
        <w:tc>
          <w:tcPr>
            <w:tcW w:w="1843" w:type="dxa"/>
            <w:tcBorders>
              <w:top w:val="single" w:sz="4" w:space="0" w:color="auto"/>
              <w:left w:val="single" w:sz="4" w:space="0" w:color="auto"/>
              <w:bottom w:val="single" w:sz="4" w:space="0" w:color="auto"/>
              <w:right w:val="single" w:sz="4" w:space="0" w:color="auto"/>
            </w:tcBorders>
            <w:hideMark/>
          </w:tcPr>
          <w:p w14:paraId="4453C775" w14:textId="77777777" w:rsidR="005B13B6" w:rsidRDefault="005B13B6" w:rsidP="00497B89">
            <w:pPr>
              <w:rPr>
                <w:rFonts w:eastAsia="Calibri"/>
                <w:szCs w:val="22"/>
                <w:lang w:val="fr-BE" w:eastAsia="zh-CN"/>
              </w:rPr>
            </w:pPr>
            <w:r>
              <w:rPr>
                <w:rFonts w:eastAsia="Calibri"/>
                <w:szCs w:val="22"/>
                <w:lang w:val="fr-BE" w:eastAsia="zh-CN"/>
              </w:rPr>
              <w:t>Boîte Postale 97</w:t>
            </w:r>
          </w:p>
          <w:p w14:paraId="5D17B3D3" w14:textId="44F08998" w:rsidR="005B13B6" w:rsidRPr="00E85249" w:rsidRDefault="005B13B6" w:rsidP="00497B89">
            <w:pPr>
              <w:rPr>
                <w:rFonts w:eastAsia="Calibri"/>
                <w:szCs w:val="22"/>
                <w:lang w:val="fr-BE" w:eastAsia="zh-CN"/>
              </w:rPr>
            </w:pPr>
            <w:r>
              <w:rPr>
                <w:rFonts w:eastAsia="Calibri"/>
                <w:szCs w:val="22"/>
                <w:lang w:val="fr-BE" w:eastAsia="zh-CN"/>
              </w:rPr>
              <w:t xml:space="preserve">1000 </w:t>
            </w:r>
            <w:r w:rsidR="00497B89">
              <w:rPr>
                <w:rFonts w:eastAsia="Calibri"/>
                <w:szCs w:val="22"/>
                <w:lang w:val="fr-BE" w:eastAsia="zh-CN"/>
              </w:rPr>
              <w:t xml:space="preserve">BRUXELLES </w:t>
            </w:r>
            <w:r>
              <w:rPr>
                <w:rFonts w:eastAsia="Calibri"/>
                <w:szCs w:val="22"/>
                <w:lang w:val="fr-BE" w:eastAsia="zh-CN"/>
              </w:rPr>
              <w:t>Madou</w:t>
            </w:r>
          </w:p>
        </w:tc>
      </w:tr>
    </w:tbl>
    <w:p w14:paraId="0753FD6E" w14:textId="21D0482F" w:rsidR="00564B75" w:rsidRDefault="00564B75" w:rsidP="00564B75">
      <w:pPr>
        <w:ind w:right="34"/>
        <w:rPr>
          <w:rFonts w:eastAsia="Calibri"/>
          <w:noProof/>
          <w:szCs w:val="22"/>
          <w:lang w:eastAsia="zh-CN"/>
        </w:rPr>
      </w:pPr>
      <w:r>
        <w:rPr>
          <w:rFonts w:eastAsia="Calibri"/>
          <w:szCs w:val="22"/>
          <w:lang w:eastAsia="zh-CN"/>
        </w:rPr>
        <w:t xml:space="preserve">Site </w:t>
      </w:r>
      <w:proofErr w:type="gramStart"/>
      <w:r>
        <w:rPr>
          <w:rFonts w:eastAsia="Calibri"/>
          <w:szCs w:val="22"/>
          <w:lang w:eastAsia="zh-CN"/>
        </w:rPr>
        <w:t>internet:</w:t>
      </w:r>
      <w:proofErr w:type="gramEnd"/>
      <w:r>
        <w:rPr>
          <w:rFonts w:eastAsia="Calibri"/>
          <w:szCs w:val="22"/>
          <w:lang w:eastAsia="zh-CN"/>
        </w:rPr>
        <w:t xml:space="preserve"> www.notifieruneffetindesirable.be</w:t>
      </w:r>
      <w:r>
        <w:t xml:space="preserve"> </w:t>
      </w:r>
      <w:hyperlink w:history="1"/>
      <w:r>
        <w:t xml:space="preserve"> </w:t>
      </w:r>
    </w:p>
    <w:p w14:paraId="4F275576" w14:textId="77777777" w:rsidR="00564B75" w:rsidRPr="00564B75" w:rsidRDefault="00564B75" w:rsidP="00564B75">
      <w:pPr>
        <w:rPr>
          <w:sz w:val="24"/>
          <w:szCs w:val="24"/>
          <w:lang w:eastAsia="en-GB"/>
        </w:rPr>
      </w:pPr>
      <w:proofErr w:type="gramStart"/>
      <w:r>
        <w:rPr>
          <w:rFonts w:eastAsia="Calibri"/>
          <w:szCs w:val="22"/>
          <w:lang w:eastAsia="zh-CN"/>
        </w:rPr>
        <w:t>e-mail:</w:t>
      </w:r>
      <w:proofErr w:type="gramEnd"/>
      <w:r>
        <w:rPr>
          <w:rFonts w:eastAsia="Calibri"/>
          <w:szCs w:val="22"/>
          <w:lang w:eastAsia="zh-CN"/>
        </w:rPr>
        <w:t xml:space="preserve"> adr@afmps.be</w:t>
      </w:r>
      <w:r>
        <w:rPr>
          <w:sz w:val="24"/>
          <w:szCs w:val="24"/>
        </w:rPr>
        <w:t xml:space="preserve"> </w:t>
      </w:r>
    </w:p>
    <w:p w14:paraId="34ACE228" w14:textId="3E4EE047" w:rsidR="00564B75" w:rsidRDefault="00564B75" w:rsidP="004C60BE">
      <w:pPr>
        <w:spacing w:line="240" w:lineRule="auto"/>
        <w:rPr>
          <w:b/>
          <w:i/>
          <w:noProof/>
          <w:szCs w:val="22"/>
          <w:lang w:val="de-DE"/>
        </w:rPr>
      </w:pPr>
      <w:r w:rsidRPr="005B13B6" w:rsidDel="00564B75">
        <w:rPr>
          <w:rFonts w:eastAsia="Calibri"/>
          <w:szCs w:val="22"/>
          <w:lang w:eastAsia="zh-CN"/>
        </w:rPr>
        <w:t xml:space="preserve"> </w:t>
      </w:r>
    </w:p>
    <w:p w14:paraId="479892AF" w14:textId="53531080" w:rsidR="004C60BE" w:rsidRDefault="004C60BE" w:rsidP="004C60BE">
      <w:pPr>
        <w:spacing w:line="240" w:lineRule="auto"/>
        <w:rPr>
          <w:b/>
          <w:i/>
          <w:noProof/>
          <w:szCs w:val="22"/>
          <w:lang w:val="de-DE"/>
        </w:rPr>
      </w:pPr>
      <w:r w:rsidRPr="004C60BE">
        <w:rPr>
          <w:b/>
          <w:i/>
          <w:noProof/>
          <w:szCs w:val="22"/>
          <w:lang w:val="de-DE"/>
        </w:rPr>
        <w:t>Luxembourg :</w:t>
      </w:r>
    </w:p>
    <w:p w14:paraId="6205E345" w14:textId="77777777" w:rsidR="00CB7EAC" w:rsidRPr="00CB7EAC" w:rsidRDefault="00CB7EAC" w:rsidP="00CB7EAC">
      <w:pPr>
        <w:pStyle w:val="xmsonormal"/>
        <w:rPr>
          <w:sz w:val="22"/>
          <w:szCs w:val="22"/>
          <w:lang w:val="fr-FR"/>
        </w:rPr>
      </w:pPr>
      <w:r w:rsidRPr="00CB7EAC">
        <w:rPr>
          <w:sz w:val="22"/>
          <w:szCs w:val="22"/>
          <w:lang w:val="fr-FR"/>
        </w:rPr>
        <w:t>Centre Régional de Pharmacovigilance de Nancy</w:t>
      </w:r>
    </w:p>
    <w:p w14:paraId="16ECCAD3" w14:textId="77777777" w:rsidR="00CB7EAC" w:rsidRPr="00CB7EAC" w:rsidRDefault="00CB7EAC" w:rsidP="00CB7EAC">
      <w:pPr>
        <w:pStyle w:val="xmsonormal"/>
        <w:rPr>
          <w:sz w:val="22"/>
          <w:szCs w:val="22"/>
          <w:lang w:val="fr-FR"/>
        </w:rPr>
      </w:pPr>
      <w:r w:rsidRPr="00CB7EAC">
        <w:rPr>
          <w:sz w:val="22"/>
          <w:szCs w:val="22"/>
          <w:lang w:val="fr-FR"/>
        </w:rPr>
        <w:t xml:space="preserve">Bâtiment de Biologie Moléculaire et de </w:t>
      </w:r>
      <w:proofErr w:type="spellStart"/>
      <w:r w:rsidRPr="00CB7EAC">
        <w:rPr>
          <w:sz w:val="22"/>
          <w:szCs w:val="22"/>
          <w:lang w:val="fr-FR"/>
        </w:rPr>
        <w:t>Biopathologie</w:t>
      </w:r>
      <w:proofErr w:type="spellEnd"/>
      <w:r w:rsidRPr="00CB7EAC">
        <w:rPr>
          <w:sz w:val="22"/>
          <w:szCs w:val="22"/>
          <w:lang w:val="fr-FR"/>
        </w:rPr>
        <w:t xml:space="preserve"> (BBB)</w:t>
      </w:r>
    </w:p>
    <w:p w14:paraId="152DC4B1" w14:textId="77777777" w:rsidR="00CB7EAC" w:rsidRPr="00CB7EAC" w:rsidRDefault="00CB7EAC" w:rsidP="00CB7EAC">
      <w:pPr>
        <w:pStyle w:val="xmsonormal"/>
        <w:rPr>
          <w:sz w:val="22"/>
          <w:szCs w:val="22"/>
          <w:lang w:val="fr-FR"/>
        </w:rPr>
      </w:pPr>
      <w:r w:rsidRPr="00CB7EAC">
        <w:rPr>
          <w:sz w:val="22"/>
          <w:szCs w:val="22"/>
          <w:lang w:val="fr-FR"/>
        </w:rPr>
        <w:t>CHRU de Nancy – Hôpitaux de Brabois</w:t>
      </w:r>
    </w:p>
    <w:p w14:paraId="17DF6B15" w14:textId="77777777" w:rsidR="00CB7EAC" w:rsidRPr="00CB7EAC" w:rsidRDefault="00CB7EAC" w:rsidP="00CB7EAC">
      <w:pPr>
        <w:pStyle w:val="xmsonormal"/>
        <w:rPr>
          <w:sz w:val="22"/>
          <w:szCs w:val="22"/>
          <w:lang w:val="fr-FR"/>
        </w:rPr>
      </w:pPr>
      <w:r w:rsidRPr="00CB7EAC">
        <w:rPr>
          <w:sz w:val="22"/>
          <w:szCs w:val="22"/>
          <w:lang w:val="fr-FR"/>
        </w:rPr>
        <w:t>Rue du Morvan</w:t>
      </w:r>
    </w:p>
    <w:p w14:paraId="711BC19E" w14:textId="77777777" w:rsidR="00CB7EAC" w:rsidRDefault="00CB7EAC" w:rsidP="00CB7EAC">
      <w:pPr>
        <w:pStyle w:val="xmsonormal"/>
        <w:rPr>
          <w:sz w:val="22"/>
          <w:szCs w:val="22"/>
          <w:lang w:val="fr-FR"/>
        </w:rPr>
      </w:pPr>
      <w:r w:rsidRPr="00CB7EAC">
        <w:rPr>
          <w:sz w:val="22"/>
          <w:szCs w:val="22"/>
          <w:lang w:val="fr-FR"/>
        </w:rPr>
        <w:t xml:space="preserve">54 511 VANDOEUVRE LES NANCY CEDEX </w:t>
      </w:r>
    </w:p>
    <w:p w14:paraId="50DFC50E" w14:textId="77777777" w:rsidR="00CB7EAC" w:rsidRPr="00CB7EAC" w:rsidRDefault="00CB7EAC" w:rsidP="00CB7EAC">
      <w:pPr>
        <w:pStyle w:val="xmsonormal"/>
        <w:rPr>
          <w:sz w:val="22"/>
          <w:szCs w:val="22"/>
          <w:lang w:val="fr-FR"/>
        </w:rPr>
      </w:pPr>
      <w:r w:rsidRPr="00CB7EAC">
        <w:rPr>
          <w:sz w:val="22"/>
          <w:szCs w:val="22"/>
          <w:lang w:val="fr-FR"/>
        </w:rPr>
        <w:t>Tél : (+33) 3 83 65 60 85 / 87</w:t>
      </w:r>
    </w:p>
    <w:p w14:paraId="58AC95C0" w14:textId="0E5D7305" w:rsidR="00CB7EAC" w:rsidRPr="00DA2C0F" w:rsidRDefault="00564B75" w:rsidP="00CB7EAC">
      <w:pPr>
        <w:pStyle w:val="xmsonormal"/>
        <w:rPr>
          <w:rStyle w:val="Hyperlink"/>
          <w:bCs/>
          <w:sz w:val="22"/>
          <w:szCs w:val="22"/>
          <w:lang w:val="fr-FR"/>
        </w:rPr>
      </w:pPr>
      <w:proofErr w:type="gramStart"/>
      <w:r w:rsidRPr="00DA2C0F">
        <w:rPr>
          <w:bCs/>
          <w:sz w:val="22"/>
          <w:szCs w:val="22"/>
          <w:lang w:val="fr-FR"/>
        </w:rPr>
        <w:t>e</w:t>
      </w:r>
      <w:r w:rsidR="00CB7EAC" w:rsidRPr="00DA2C0F">
        <w:rPr>
          <w:bCs/>
          <w:sz w:val="22"/>
          <w:szCs w:val="22"/>
          <w:lang w:val="fr-FR"/>
        </w:rPr>
        <w:t>-mail</w:t>
      </w:r>
      <w:proofErr w:type="gramEnd"/>
      <w:r w:rsidR="00CB7EAC" w:rsidRPr="00DA2C0F">
        <w:rPr>
          <w:bCs/>
          <w:sz w:val="22"/>
          <w:szCs w:val="22"/>
          <w:lang w:val="fr-FR"/>
        </w:rPr>
        <w:t xml:space="preserve"> : </w:t>
      </w:r>
      <w:hyperlink r:id="rId13" w:history="1">
        <w:r w:rsidR="00A4566C" w:rsidRPr="00DA2C0F">
          <w:rPr>
            <w:rStyle w:val="Hyperlink"/>
            <w:bCs/>
            <w:sz w:val="22"/>
            <w:szCs w:val="22"/>
            <w:lang w:val="fr-FR"/>
          </w:rPr>
          <w:t>crpv@hru-nancy.fr</w:t>
        </w:r>
      </w:hyperlink>
    </w:p>
    <w:p w14:paraId="32123426" w14:textId="77777777" w:rsidR="00A93DBF" w:rsidRPr="00DA2C0F" w:rsidRDefault="00A93DBF" w:rsidP="00CB7EAC">
      <w:pPr>
        <w:pStyle w:val="xmsonormal"/>
        <w:rPr>
          <w:bCs/>
          <w:sz w:val="22"/>
          <w:szCs w:val="22"/>
          <w:lang w:val="fr-FR"/>
        </w:rPr>
      </w:pPr>
    </w:p>
    <w:p w14:paraId="6FF9BB7E" w14:textId="02956D1C" w:rsidR="00CB7EAC" w:rsidRDefault="00CB7EAC" w:rsidP="00CB7EAC">
      <w:pPr>
        <w:pStyle w:val="xmsonormal"/>
        <w:rPr>
          <w:bCs/>
          <w:sz w:val="22"/>
          <w:szCs w:val="22"/>
          <w:lang w:val="fr-CH"/>
        </w:rPr>
      </w:pPr>
      <w:proofErr w:type="gramStart"/>
      <w:r w:rsidRPr="008E350B">
        <w:rPr>
          <w:bCs/>
          <w:sz w:val="22"/>
          <w:szCs w:val="22"/>
          <w:lang w:val="fr-CH"/>
        </w:rPr>
        <w:t>ou</w:t>
      </w:r>
      <w:proofErr w:type="gramEnd"/>
    </w:p>
    <w:p w14:paraId="39878E3C" w14:textId="77777777" w:rsidR="00A93DBF" w:rsidRPr="00CB7EAC" w:rsidRDefault="00A93DBF" w:rsidP="00CB7EAC">
      <w:pPr>
        <w:pStyle w:val="xmsonormal"/>
        <w:rPr>
          <w:sz w:val="22"/>
          <w:szCs w:val="22"/>
          <w:lang w:val="fr-FR"/>
        </w:rPr>
      </w:pPr>
    </w:p>
    <w:p w14:paraId="5A9ABB52" w14:textId="77777777" w:rsidR="00CB7EAC" w:rsidRDefault="00CB7EAC" w:rsidP="00CB7EAC">
      <w:pPr>
        <w:rPr>
          <w:rFonts w:eastAsia="Calibri"/>
          <w:noProof/>
          <w:szCs w:val="22"/>
          <w:lang w:val="fr-CH" w:eastAsia="zh-CN"/>
        </w:rPr>
      </w:pPr>
      <w:r w:rsidRPr="00BB06F8">
        <w:rPr>
          <w:rFonts w:eastAsia="Calibri"/>
          <w:noProof/>
          <w:szCs w:val="22"/>
          <w:lang w:val="fr-CH" w:eastAsia="zh-CN"/>
        </w:rPr>
        <w:t>Direction de la Santé</w:t>
      </w:r>
    </w:p>
    <w:p w14:paraId="7D111E04" w14:textId="77777777" w:rsidR="00CB7EAC" w:rsidRPr="00BB06F8" w:rsidRDefault="00CB7EAC" w:rsidP="00CB7EAC">
      <w:pPr>
        <w:rPr>
          <w:rFonts w:eastAsia="Calibri"/>
          <w:noProof/>
          <w:szCs w:val="22"/>
          <w:lang w:eastAsia="zh-CN"/>
        </w:rPr>
      </w:pPr>
      <w:r w:rsidRPr="00BB06F8">
        <w:rPr>
          <w:rFonts w:eastAsia="Calibri"/>
          <w:noProof/>
          <w:szCs w:val="22"/>
          <w:lang w:val="fr-CH" w:eastAsia="zh-CN"/>
        </w:rPr>
        <w:t>Division de la Pharmacie et des Médicaments</w:t>
      </w:r>
      <w:r w:rsidRPr="00BB06F8">
        <w:rPr>
          <w:rFonts w:eastAsia="Calibri"/>
          <w:noProof/>
          <w:szCs w:val="22"/>
          <w:lang w:eastAsia="zh-CN"/>
        </w:rPr>
        <w:t xml:space="preserve"> </w:t>
      </w:r>
    </w:p>
    <w:p w14:paraId="22662FEA" w14:textId="77777777" w:rsidR="00BB18B9" w:rsidRDefault="00BB18B9" w:rsidP="00BB18B9">
      <w:pPr>
        <w:rPr>
          <w:rFonts w:eastAsia="Calibri"/>
          <w:noProof/>
          <w:szCs w:val="22"/>
          <w:lang w:val="fr-CH" w:eastAsia="zh-CN"/>
        </w:rPr>
      </w:pPr>
      <w:r>
        <w:rPr>
          <w:rFonts w:eastAsia="Calibri"/>
          <w:noProof/>
          <w:szCs w:val="22"/>
          <w:lang w:val="fr-CH" w:eastAsia="zh-CN"/>
        </w:rPr>
        <w:t>20, rue de Bitbourg</w:t>
      </w:r>
    </w:p>
    <w:p w14:paraId="27EAE9D1" w14:textId="75627A66" w:rsidR="00CB7EAC" w:rsidRDefault="00CB7EAC" w:rsidP="00CB7EAC">
      <w:pPr>
        <w:pStyle w:val="xmsonormal"/>
        <w:rPr>
          <w:noProof/>
          <w:sz w:val="22"/>
          <w:szCs w:val="22"/>
          <w:lang w:val="fr-CH" w:eastAsia="zh-CN" w:bidi="fr-FR"/>
        </w:rPr>
      </w:pPr>
      <w:r w:rsidRPr="00BB18B9">
        <w:rPr>
          <w:noProof/>
          <w:sz w:val="22"/>
          <w:szCs w:val="22"/>
          <w:lang w:val="fr-CH" w:eastAsia="zh-CN" w:bidi="fr-FR"/>
        </w:rPr>
        <w:t>L-</w:t>
      </w:r>
      <w:r w:rsidR="00175F2E">
        <w:rPr>
          <w:noProof/>
          <w:sz w:val="22"/>
          <w:szCs w:val="22"/>
          <w:lang w:val="fr-CH" w:eastAsia="zh-CN" w:bidi="fr-FR"/>
        </w:rPr>
        <w:t>1273</w:t>
      </w:r>
      <w:r w:rsidRPr="00BB06F8">
        <w:rPr>
          <w:noProof/>
          <w:sz w:val="22"/>
          <w:szCs w:val="22"/>
          <w:lang w:val="fr-CH" w:eastAsia="zh-CN" w:bidi="fr-FR"/>
        </w:rPr>
        <w:t xml:space="preserve"> </w:t>
      </w:r>
      <w:r w:rsidR="001352A1">
        <w:rPr>
          <w:noProof/>
          <w:sz w:val="22"/>
          <w:szCs w:val="22"/>
          <w:lang w:val="fr-CH" w:eastAsia="zh-CN" w:bidi="fr-FR"/>
        </w:rPr>
        <w:t>Luxembourg-Hamm</w:t>
      </w:r>
    </w:p>
    <w:p w14:paraId="7A18BF4E" w14:textId="50C9B947" w:rsidR="00CB7EAC" w:rsidRDefault="00CB7EAC" w:rsidP="00CB7EAC">
      <w:pPr>
        <w:pStyle w:val="xmsonormal"/>
        <w:rPr>
          <w:noProof/>
          <w:sz w:val="22"/>
          <w:szCs w:val="22"/>
          <w:lang w:val="fr-CH" w:eastAsia="zh-CN"/>
        </w:rPr>
      </w:pPr>
      <w:r>
        <w:rPr>
          <w:noProof/>
          <w:sz w:val="22"/>
          <w:szCs w:val="22"/>
          <w:lang w:val="fr-CH" w:eastAsia="zh-CN"/>
        </w:rPr>
        <w:t>Tél : (+352) 247</w:t>
      </w:r>
      <w:r w:rsidRPr="00AE445A">
        <w:rPr>
          <w:noProof/>
          <w:sz w:val="22"/>
          <w:szCs w:val="22"/>
          <w:lang w:val="fr-CH" w:eastAsia="zh-CN"/>
        </w:rPr>
        <w:t>8</w:t>
      </w:r>
      <w:r>
        <w:rPr>
          <w:noProof/>
          <w:sz w:val="22"/>
          <w:szCs w:val="22"/>
          <w:lang w:val="fr-CH" w:eastAsia="zh-CN"/>
        </w:rPr>
        <w:t xml:space="preserve"> </w:t>
      </w:r>
      <w:r w:rsidRPr="00AE445A">
        <w:rPr>
          <w:noProof/>
          <w:sz w:val="22"/>
          <w:szCs w:val="22"/>
          <w:lang w:val="fr-CH" w:eastAsia="zh-CN"/>
        </w:rPr>
        <w:t>5592</w:t>
      </w:r>
    </w:p>
    <w:p w14:paraId="3D96CA51" w14:textId="74F657E9" w:rsidR="00CB7EAC" w:rsidRPr="00DA2C0F" w:rsidRDefault="00564B75" w:rsidP="00CB7EAC">
      <w:pPr>
        <w:pStyle w:val="xmsonormal"/>
        <w:rPr>
          <w:sz w:val="22"/>
          <w:szCs w:val="22"/>
          <w:lang w:val="fr-FR"/>
        </w:rPr>
      </w:pPr>
      <w:r w:rsidRPr="00DA2C0F">
        <w:rPr>
          <w:noProof/>
          <w:sz w:val="22"/>
          <w:szCs w:val="22"/>
          <w:lang w:val="fr-FR" w:eastAsia="zh-CN"/>
        </w:rPr>
        <w:t>e</w:t>
      </w:r>
      <w:r w:rsidR="00CB7EAC" w:rsidRPr="00DA2C0F">
        <w:rPr>
          <w:noProof/>
          <w:sz w:val="22"/>
          <w:szCs w:val="22"/>
          <w:lang w:val="fr-FR" w:eastAsia="zh-CN"/>
        </w:rPr>
        <w:t>-mail : pharmacovigilance@ms.etat.lu</w:t>
      </w:r>
      <w:hyperlink w:history="1"/>
    </w:p>
    <w:p w14:paraId="5CDC500E" w14:textId="77777777" w:rsidR="00CB7EAC" w:rsidRPr="008E350B" w:rsidRDefault="00CB7EAC" w:rsidP="00CB7EAC">
      <w:pPr>
        <w:autoSpaceDE w:val="0"/>
        <w:autoSpaceDN w:val="0"/>
        <w:adjustRightInd w:val="0"/>
        <w:rPr>
          <w:rFonts w:eastAsia="Calibri"/>
          <w:szCs w:val="22"/>
          <w:u w:val="single"/>
          <w:lang w:val="de-DE" w:eastAsia="zh-CN"/>
        </w:rPr>
      </w:pPr>
    </w:p>
    <w:p w14:paraId="0AF7FFA2" w14:textId="299769AD" w:rsidR="00CB7EAC" w:rsidRPr="00CB7EAC" w:rsidRDefault="00CB7EAC" w:rsidP="00CB7EAC">
      <w:pPr>
        <w:autoSpaceDE w:val="0"/>
        <w:autoSpaceDN w:val="0"/>
        <w:adjustRightInd w:val="0"/>
        <w:rPr>
          <w:rFonts w:eastAsia="Calibri"/>
          <w:noProof/>
          <w:szCs w:val="22"/>
          <w:highlight w:val="green"/>
          <w:lang w:eastAsia="zh-CN"/>
        </w:rPr>
      </w:pPr>
      <w:r w:rsidRPr="008E350B">
        <w:rPr>
          <w:szCs w:val="22"/>
          <w:lang w:val="fr-CH"/>
        </w:rPr>
        <w:t xml:space="preserve">Link pour le formulaire : </w:t>
      </w:r>
      <w:hyperlink r:id="rId14" w:history="1">
        <w:r w:rsidR="00564B75" w:rsidRPr="0038693F">
          <w:rPr>
            <w:rStyle w:val="Hyperlink"/>
            <w:rFonts w:ascii="Verdana" w:hAnsi="Verdana"/>
            <w:sz w:val="18"/>
          </w:rPr>
          <w:t>https://guichet.public.lu/fr/entreprises/sectoriel/sante/medecins/notification-effets-indesirables-medicaments.html</w:t>
        </w:r>
      </w:hyperlink>
    </w:p>
    <w:p w14:paraId="417ADC14" w14:textId="77777777" w:rsidR="008F4AFF" w:rsidRPr="00D77B3B" w:rsidRDefault="008F4AFF" w:rsidP="008F4AFF">
      <w:pPr>
        <w:spacing w:line="240" w:lineRule="auto"/>
        <w:rPr>
          <w:noProof/>
          <w:szCs w:val="22"/>
        </w:rPr>
      </w:pPr>
    </w:p>
    <w:p w14:paraId="2159D4FE" w14:textId="77777777" w:rsidR="008F4AFF" w:rsidRPr="00D77B3B" w:rsidRDefault="008F4AFF" w:rsidP="008F4AFF">
      <w:pPr>
        <w:keepNext/>
        <w:keepLines/>
        <w:spacing w:line="240" w:lineRule="auto"/>
        <w:ind w:left="567" w:hanging="567"/>
        <w:outlineLvl w:val="0"/>
        <w:rPr>
          <w:b/>
          <w:noProof/>
          <w:szCs w:val="22"/>
        </w:rPr>
      </w:pPr>
      <w:r w:rsidRPr="00D77B3B">
        <w:rPr>
          <w:b/>
          <w:noProof/>
        </w:rPr>
        <w:t>4.9</w:t>
      </w:r>
      <w:r w:rsidRPr="00D77B3B">
        <w:tab/>
      </w:r>
      <w:r w:rsidRPr="00D77B3B">
        <w:rPr>
          <w:b/>
          <w:noProof/>
        </w:rPr>
        <w:t>Surdosage</w:t>
      </w:r>
    </w:p>
    <w:p w14:paraId="0E4CD311" w14:textId="77777777" w:rsidR="008F4AFF" w:rsidRPr="00D77B3B" w:rsidRDefault="008F4AFF" w:rsidP="008F4AFF">
      <w:pPr>
        <w:keepNext/>
        <w:keepLines/>
        <w:spacing w:line="240" w:lineRule="auto"/>
        <w:rPr>
          <w:noProof/>
          <w:szCs w:val="22"/>
        </w:rPr>
      </w:pPr>
    </w:p>
    <w:p w14:paraId="3449EEE5" w14:textId="77777777" w:rsidR="008F4AFF" w:rsidRPr="00D77B3B" w:rsidRDefault="008F4AFF" w:rsidP="008F4AFF">
      <w:pPr>
        <w:keepNext/>
        <w:keepLines/>
        <w:spacing w:line="240" w:lineRule="auto"/>
        <w:rPr>
          <w:noProof/>
          <w:szCs w:val="22"/>
        </w:rPr>
      </w:pPr>
      <w:r w:rsidRPr="00D77B3B">
        <w:t xml:space="preserve">Aucun cas de surdosage sous </w:t>
      </w:r>
      <w:proofErr w:type="spellStart"/>
      <w:r w:rsidRPr="00D77B3B">
        <w:t>dinutuximab</w:t>
      </w:r>
      <w:proofErr w:type="spellEnd"/>
      <w:r w:rsidRPr="00D77B3B">
        <w:t xml:space="preserve"> bêta n’a été signalé.</w:t>
      </w:r>
    </w:p>
    <w:p w14:paraId="135E981E" w14:textId="0873A1CB" w:rsidR="008F4AFF" w:rsidRPr="00D77B3B" w:rsidRDefault="008F4AFF" w:rsidP="008F4AFF">
      <w:pPr>
        <w:tabs>
          <w:tab w:val="clear" w:pos="567"/>
        </w:tabs>
        <w:autoSpaceDE w:val="0"/>
        <w:autoSpaceDN w:val="0"/>
        <w:adjustRightInd w:val="0"/>
        <w:spacing w:line="240" w:lineRule="auto"/>
        <w:rPr>
          <w:szCs w:val="22"/>
        </w:rPr>
      </w:pPr>
      <w:r w:rsidRPr="00D77B3B">
        <w:t xml:space="preserve">En cas de surdosage, les patients doivent être surveillés attentivement pour déceler d’éventuels signes ou symptômes d’effets indésirables et </w:t>
      </w:r>
      <w:r w:rsidR="00D84FCB">
        <w:t xml:space="preserve">selon la clinique/si besoin </w:t>
      </w:r>
      <w:r w:rsidRPr="00D77B3B">
        <w:t>des soins de support devront être mis en place</w:t>
      </w:r>
      <w:r w:rsidR="00D84FCB">
        <w:t>.</w:t>
      </w:r>
    </w:p>
    <w:p w14:paraId="2EFE70F8" w14:textId="77777777" w:rsidR="008F4AFF" w:rsidRPr="00D77B3B" w:rsidRDefault="008F4AFF" w:rsidP="008F4AFF">
      <w:pPr>
        <w:spacing w:line="240" w:lineRule="auto"/>
        <w:rPr>
          <w:noProof/>
          <w:szCs w:val="22"/>
        </w:rPr>
      </w:pPr>
    </w:p>
    <w:p w14:paraId="35F358A1" w14:textId="77777777" w:rsidR="008F4AFF" w:rsidRPr="00D77B3B" w:rsidRDefault="008F4AFF" w:rsidP="008F4AFF">
      <w:pPr>
        <w:keepNext/>
        <w:keepLines/>
        <w:spacing w:line="240" w:lineRule="auto"/>
        <w:ind w:left="567" w:hanging="567"/>
        <w:outlineLvl w:val="0"/>
        <w:rPr>
          <w:b/>
          <w:szCs w:val="22"/>
        </w:rPr>
      </w:pPr>
      <w:r w:rsidRPr="00D77B3B">
        <w:rPr>
          <w:b/>
        </w:rPr>
        <w:t>5.</w:t>
      </w:r>
      <w:r w:rsidRPr="00D77B3B">
        <w:tab/>
      </w:r>
      <w:r w:rsidRPr="00D77B3B">
        <w:rPr>
          <w:b/>
        </w:rPr>
        <w:t>PROPRIÉTÉS PHARMACOLOGIQUES</w:t>
      </w:r>
    </w:p>
    <w:p w14:paraId="539BE165" w14:textId="77777777" w:rsidR="008F4AFF" w:rsidRPr="00D77B3B" w:rsidRDefault="008F4AFF" w:rsidP="008F4AFF">
      <w:pPr>
        <w:keepNext/>
        <w:keepLines/>
        <w:spacing w:line="240" w:lineRule="auto"/>
        <w:rPr>
          <w:szCs w:val="22"/>
        </w:rPr>
      </w:pPr>
    </w:p>
    <w:p w14:paraId="1E22AF6B" w14:textId="77777777" w:rsidR="008F4AFF" w:rsidRPr="00D77B3B" w:rsidRDefault="008F4AFF" w:rsidP="008F4AFF">
      <w:pPr>
        <w:keepNext/>
        <w:keepLines/>
        <w:spacing w:line="240" w:lineRule="auto"/>
        <w:ind w:left="567" w:hanging="567"/>
        <w:outlineLvl w:val="0"/>
        <w:rPr>
          <w:b/>
          <w:szCs w:val="22"/>
        </w:rPr>
      </w:pPr>
      <w:r w:rsidRPr="00D77B3B">
        <w:rPr>
          <w:b/>
        </w:rPr>
        <w:t xml:space="preserve">5.1 </w:t>
      </w:r>
      <w:r w:rsidRPr="00D77B3B">
        <w:tab/>
      </w:r>
      <w:r w:rsidRPr="00D77B3B">
        <w:rPr>
          <w:b/>
        </w:rPr>
        <w:t>Propriétés pharmacodynamiques</w:t>
      </w:r>
    </w:p>
    <w:p w14:paraId="33B0598A" w14:textId="77777777" w:rsidR="008F4AFF" w:rsidRPr="00D77B3B" w:rsidRDefault="008F4AFF" w:rsidP="008F4AFF">
      <w:pPr>
        <w:keepNext/>
        <w:keepLines/>
        <w:spacing w:line="240" w:lineRule="auto"/>
        <w:rPr>
          <w:szCs w:val="22"/>
        </w:rPr>
      </w:pPr>
    </w:p>
    <w:p w14:paraId="66394ED7" w14:textId="091041E6" w:rsidR="000665BB" w:rsidRPr="00D77B3B" w:rsidRDefault="008F4AFF" w:rsidP="000665BB">
      <w:pPr>
        <w:keepNext/>
        <w:keepLines/>
        <w:autoSpaceDE w:val="0"/>
        <w:autoSpaceDN w:val="0"/>
        <w:adjustRightInd w:val="0"/>
        <w:spacing w:line="240" w:lineRule="auto"/>
        <w:rPr>
          <w:szCs w:val="22"/>
        </w:rPr>
      </w:pPr>
      <w:r w:rsidRPr="00D77B3B">
        <w:t xml:space="preserve">Classe </w:t>
      </w:r>
      <w:proofErr w:type="gramStart"/>
      <w:r w:rsidRPr="00D77B3B">
        <w:t>pharmacothérapeutique:</w:t>
      </w:r>
      <w:proofErr w:type="gramEnd"/>
      <w:r w:rsidRPr="00D77B3B">
        <w:t xml:space="preserve"> antinéoplasiques, anticorps monoclonaux, Code ATC: </w:t>
      </w:r>
      <w:r w:rsidR="000665BB" w:rsidRPr="000665BB">
        <w:t xml:space="preserve"> </w:t>
      </w:r>
      <w:r w:rsidR="000665BB" w:rsidRPr="00D77B3B">
        <w:t>L01XC</w:t>
      </w:r>
      <w:r w:rsidR="000665BB">
        <w:t>16</w:t>
      </w:r>
    </w:p>
    <w:p w14:paraId="0F67C96B" w14:textId="3F926FAA" w:rsidR="008F4AFF" w:rsidRPr="00D77B3B" w:rsidRDefault="008F4AFF" w:rsidP="008F4AFF">
      <w:pPr>
        <w:keepNext/>
        <w:keepLines/>
        <w:autoSpaceDE w:val="0"/>
        <w:autoSpaceDN w:val="0"/>
        <w:adjustRightInd w:val="0"/>
        <w:spacing w:line="240" w:lineRule="auto"/>
        <w:rPr>
          <w:szCs w:val="22"/>
        </w:rPr>
      </w:pPr>
    </w:p>
    <w:p w14:paraId="1BA6CFE3" w14:textId="77777777" w:rsidR="008F4AFF" w:rsidRPr="00D77B3B" w:rsidRDefault="008F4AFF" w:rsidP="008F4AFF">
      <w:pPr>
        <w:autoSpaceDE w:val="0"/>
        <w:autoSpaceDN w:val="0"/>
        <w:adjustRightInd w:val="0"/>
        <w:spacing w:line="240" w:lineRule="auto"/>
        <w:rPr>
          <w:szCs w:val="22"/>
        </w:rPr>
      </w:pPr>
    </w:p>
    <w:p w14:paraId="6981EBEA" w14:textId="77777777" w:rsidR="008F4AFF" w:rsidRPr="00D77B3B" w:rsidRDefault="008F4AFF" w:rsidP="008F4AFF">
      <w:pPr>
        <w:keepNext/>
        <w:keepLines/>
        <w:numPr>
          <w:ilvl w:val="12"/>
          <w:numId w:val="0"/>
        </w:numPr>
        <w:spacing w:line="240" w:lineRule="auto"/>
        <w:rPr>
          <w:szCs w:val="22"/>
          <w:u w:val="single"/>
        </w:rPr>
      </w:pPr>
      <w:r w:rsidRPr="00D77B3B">
        <w:rPr>
          <w:u w:val="single"/>
        </w:rPr>
        <w:t>Mécanisme d’action</w:t>
      </w:r>
    </w:p>
    <w:p w14:paraId="38444F8B" w14:textId="46DD8572" w:rsidR="008F4AFF" w:rsidRPr="00D77B3B" w:rsidRDefault="008F4AFF" w:rsidP="008F4AFF">
      <w:pPr>
        <w:keepNext/>
        <w:keepLines/>
        <w:autoSpaceDE w:val="0"/>
        <w:autoSpaceDN w:val="0"/>
        <w:adjustRightInd w:val="0"/>
        <w:spacing w:line="240" w:lineRule="auto"/>
        <w:rPr>
          <w:iCs/>
          <w:noProof/>
          <w:szCs w:val="22"/>
        </w:rPr>
      </w:pPr>
      <w:r w:rsidRPr="00D77B3B">
        <w:t xml:space="preserve">Le </w:t>
      </w:r>
      <w:proofErr w:type="spellStart"/>
      <w:r w:rsidRPr="00D77B3B">
        <w:t>dinutuximab</w:t>
      </w:r>
      <w:proofErr w:type="spellEnd"/>
      <w:r w:rsidRPr="00D77B3B">
        <w:t xml:space="preserve"> bêta est un anticorps monoclonal chimérique de type IgG1 qui réagit spécifiquement avec les groupements carbohydrates du </w:t>
      </w:r>
      <w:proofErr w:type="spellStart"/>
      <w:r w:rsidRPr="00D77B3B">
        <w:t>disialoganglioside</w:t>
      </w:r>
      <w:proofErr w:type="spellEnd"/>
      <w:r w:rsidRPr="00D77B3B">
        <w:t xml:space="preserve"> 2 (GD2), qui est fortement exprimé à la surface des </w:t>
      </w:r>
      <w:r w:rsidR="00696156">
        <w:t xml:space="preserve">cellules de </w:t>
      </w:r>
      <w:r w:rsidRPr="00D77B3B">
        <w:t>neuroblastomes.</w:t>
      </w:r>
    </w:p>
    <w:p w14:paraId="2FAC51AD" w14:textId="77777777" w:rsidR="008F4AFF" w:rsidRPr="00D77B3B" w:rsidRDefault="008F4AFF" w:rsidP="008F4AFF">
      <w:pPr>
        <w:autoSpaceDE w:val="0"/>
        <w:autoSpaceDN w:val="0"/>
        <w:adjustRightInd w:val="0"/>
        <w:spacing w:line="240" w:lineRule="auto"/>
        <w:rPr>
          <w:iCs/>
          <w:noProof/>
          <w:szCs w:val="22"/>
        </w:rPr>
      </w:pPr>
    </w:p>
    <w:p w14:paraId="00C62CF3" w14:textId="77777777" w:rsidR="008F4AFF" w:rsidRPr="00D77B3B" w:rsidRDefault="008F4AFF" w:rsidP="008F4AFF">
      <w:pPr>
        <w:keepNext/>
        <w:keepLines/>
        <w:numPr>
          <w:ilvl w:val="12"/>
          <w:numId w:val="0"/>
        </w:numPr>
        <w:spacing w:line="240" w:lineRule="auto"/>
        <w:rPr>
          <w:szCs w:val="22"/>
          <w:u w:val="single"/>
        </w:rPr>
      </w:pPr>
      <w:r w:rsidRPr="00D77B3B">
        <w:rPr>
          <w:u w:val="single"/>
        </w:rPr>
        <w:t>Effets pharmacodynamiques</w:t>
      </w:r>
    </w:p>
    <w:p w14:paraId="4DB70440" w14:textId="3668764B" w:rsidR="008F4AFF" w:rsidRPr="00D77B3B" w:rsidRDefault="008F4AFF" w:rsidP="008F4AFF">
      <w:pPr>
        <w:keepNext/>
        <w:keepLines/>
        <w:autoSpaceDE w:val="0"/>
        <w:autoSpaceDN w:val="0"/>
        <w:adjustRightInd w:val="0"/>
        <w:spacing w:line="240" w:lineRule="auto"/>
        <w:rPr>
          <w:iCs/>
          <w:noProof/>
          <w:szCs w:val="22"/>
        </w:rPr>
      </w:pPr>
      <w:r w:rsidRPr="00D77B3B">
        <w:t xml:space="preserve">Il a été démontré </w:t>
      </w:r>
      <w:r w:rsidRPr="00D77B3B">
        <w:rPr>
          <w:i/>
          <w:noProof/>
        </w:rPr>
        <w:t>in vitro</w:t>
      </w:r>
      <w:r w:rsidRPr="00D77B3B">
        <w:t xml:space="preserve"> que le </w:t>
      </w:r>
      <w:proofErr w:type="spellStart"/>
      <w:r w:rsidRPr="00D77B3B">
        <w:t>dinutuximab</w:t>
      </w:r>
      <w:proofErr w:type="spellEnd"/>
      <w:r w:rsidRPr="00D77B3B">
        <w:t xml:space="preserve"> bêta pouvait se lier aux lignées cellulaires de neuroblastomes dont on sait qu’elles expriment le GD2 et qu’elles entraînent une cytotoxicité dépendante du complément (CDC) et une cytotoxicité à médiation cellulaire dépendante des anticorps (ADCC). En présence de cellules effectrices humaines, y compris des cellules nucléées du sang périphérique et granulocytes de donneurs </w:t>
      </w:r>
      <w:r w:rsidR="00696156">
        <w:t xml:space="preserve">sains </w:t>
      </w:r>
      <w:r w:rsidRPr="00D77B3B">
        <w:t xml:space="preserve">humains, le </w:t>
      </w:r>
      <w:proofErr w:type="spellStart"/>
      <w:r w:rsidRPr="00D77B3B">
        <w:t>dinutuximab</w:t>
      </w:r>
      <w:proofErr w:type="spellEnd"/>
      <w:r w:rsidRPr="00D77B3B">
        <w:t xml:space="preserve"> bêta a permis d’induire la lyse de lignées cellulaires de mélanome et de neuroblastome de manière dose-dépendante. De plus, les études </w:t>
      </w:r>
      <w:r w:rsidRPr="00D77B3B">
        <w:rPr>
          <w:i/>
          <w:noProof/>
        </w:rPr>
        <w:t>in vivo</w:t>
      </w:r>
      <w:r w:rsidRPr="00D77B3B">
        <w:t xml:space="preserve"> ont démontré que le </w:t>
      </w:r>
      <w:proofErr w:type="spellStart"/>
      <w:r w:rsidRPr="00D77B3B">
        <w:t>dinutuximab</w:t>
      </w:r>
      <w:proofErr w:type="spellEnd"/>
      <w:r w:rsidRPr="00D77B3B">
        <w:t xml:space="preserve"> bêta pouvait éliminer les métastases hépatiques dans un modèle de foie </w:t>
      </w:r>
      <w:proofErr w:type="spellStart"/>
      <w:r w:rsidRPr="00D77B3B">
        <w:t>syngénique</w:t>
      </w:r>
      <w:proofErr w:type="spellEnd"/>
      <w:r w:rsidRPr="00D77B3B">
        <w:t xml:space="preserve"> chez la souris</w:t>
      </w:r>
      <w:r w:rsidRPr="00D77B3B">
        <w:rPr>
          <w:i/>
          <w:noProof/>
        </w:rPr>
        <w:t>.</w:t>
      </w:r>
    </w:p>
    <w:p w14:paraId="012AD7E8" w14:textId="77777777" w:rsidR="008F4AFF" w:rsidRPr="00D77B3B" w:rsidRDefault="008F4AFF" w:rsidP="008F4AFF">
      <w:pPr>
        <w:autoSpaceDE w:val="0"/>
        <w:autoSpaceDN w:val="0"/>
        <w:adjustRightInd w:val="0"/>
        <w:spacing w:line="240" w:lineRule="auto"/>
        <w:rPr>
          <w:iCs/>
          <w:noProof/>
          <w:szCs w:val="22"/>
        </w:rPr>
      </w:pPr>
    </w:p>
    <w:p w14:paraId="63A99740" w14:textId="6471C049" w:rsidR="008F4AFF" w:rsidRPr="00D77B3B" w:rsidRDefault="008F4AFF" w:rsidP="008F4AFF">
      <w:pPr>
        <w:autoSpaceDE w:val="0"/>
        <w:autoSpaceDN w:val="0"/>
        <w:adjustRightInd w:val="0"/>
        <w:spacing w:line="240" w:lineRule="auto"/>
        <w:rPr>
          <w:iCs/>
          <w:noProof/>
          <w:szCs w:val="22"/>
        </w:rPr>
      </w:pPr>
      <w:r w:rsidRPr="00D77B3B">
        <w:t xml:space="preserve">La neurotoxicité </w:t>
      </w:r>
      <w:r w:rsidR="00696156">
        <w:t>associée au</w:t>
      </w:r>
      <w:r w:rsidRPr="00D77B3B">
        <w:t xml:space="preserve"> </w:t>
      </w:r>
      <w:proofErr w:type="spellStart"/>
      <w:r w:rsidRPr="00D77B3B">
        <w:t>dinutuximab</w:t>
      </w:r>
      <w:proofErr w:type="spellEnd"/>
      <w:r w:rsidRPr="00D77B3B">
        <w:t xml:space="preserve"> bêta est probablement due à l’induction d’une allodynie mécanique pouvant être provoquée par la réaction du </w:t>
      </w:r>
      <w:proofErr w:type="spellStart"/>
      <w:r w:rsidRPr="00D77B3B">
        <w:t>dinutuximab</w:t>
      </w:r>
      <w:proofErr w:type="spellEnd"/>
      <w:r w:rsidRPr="00D77B3B">
        <w:t xml:space="preserve"> bêta avec l’antigène GD2 situé à la surface des fibres nerveuses périphériques et de la gaine de myéline.</w:t>
      </w:r>
    </w:p>
    <w:p w14:paraId="7C1C6663" w14:textId="77777777" w:rsidR="008F4AFF" w:rsidRPr="00D77B3B" w:rsidRDefault="008F4AFF" w:rsidP="008F4AFF">
      <w:pPr>
        <w:autoSpaceDE w:val="0"/>
        <w:autoSpaceDN w:val="0"/>
        <w:adjustRightInd w:val="0"/>
        <w:spacing w:line="240" w:lineRule="auto"/>
        <w:rPr>
          <w:szCs w:val="22"/>
        </w:rPr>
      </w:pPr>
    </w:p>
    <w:p w14:paraId="6890DE19" w14:textId="77777777" w:rsidR="008F4AFF" w:rsidRPr="00D77B3B" w:rsidRDefault="008F4AFF" w:rsidP="008F4AFF">
      <w:pPr>
        <w:keepNext/>
        <w:keepLines/>
        <w:numPr>
          <w:ilvl w:val="12"/>
          <w:numId w:val="0"/>
        </w:numPr>
        <w:spacing w:line="240" w:lineRule="auto"/>
        <w:rPr>
          <w:szCs w:val="22"/>
          <w:u w:val="single"/>
        </w:rPr>
      </w:pPr>
      <w:r w:rsidRPr="00D77B3B">
        <w:rPr>
          <w:u w:val="single"/>
        </w:rPr>
        <w:t>Efficacité clinique</w:t>
      </w:r>
    </w:p>
    <w:p w14:paraId="18A541EC" w14:textId="77777777" w:rsidR="008F4AFF" w:rsidRPr="00D77B3B" w:rsidRDefault="008F4AFF" w:rsidP="008F4AFF">
      <w:pPr>
        <w:pStyle w:val="BodytextAgency"/>
        <w:spacing w:after="0" w:line="240" w:lineRule="auto"/>
        <w:rPr>
          <w:rFonts w:ascii="Times New Roman" w:hAnsi="Times New Roman"/>
          <w:sz w:val="22"/>
          <w:szCs w:val="22"/>
        </w:rPr>
      </w:pPr>
      <w:r w:rsidRPr="00D77B3B">
        <w:rPr>
          <w:rFonts w:ascii="Times New Roman" w:hAnsi="Times New Roman"/>
          <w:sz w:val="22"/>
        </w:rPr>
        <w:t xml:space="preserve">L’efficacité du </w:t>
      </w:r>
      <w:proofErr w:type="spellStart"/>
      <w:r w:rsidRPr="00D77B3B">
        <w:rPr>
          <w:rFonts w:ascii="Times New Roman" w:hAnsi="Times New Roman"/>
          <w:sz w:val="22"/>
        </w:rPr>
        <w:t>dinutuximab</w:t>
      </w:r>
      <w:proofErr w:type="spellEnd"/>
      <w:r w:rsidRPr="00D77B3B">
        <w:rPr>
          <w:rFonts w:ascii="Times New Roman" w:hAnsi="Times New Roman"/>
          <w:sz w:val="22"/>
        </w:rPr>
        <w:t xml:space="preserve"> bêta a été évaluée lors d’un essai contrôlé randomisé comparant l’administration du </w:t>
      </w:r>
      <w:proofErr w:type="spellStart"/>
      <w:r w:rsidRPr="00D77B3B">
        <w:rPr>
          <w:rFonts w:ascii="Times New Roman" w:hAnsi="Times New Roman"/>
          <w:sz w:val="22"/>
        </w:rPr>
        <w:t>dinutuximab</w:t>
      </w:r>
      <w:proofErr w:type="spellEnd"/>
      <w:r w:rsidRPr="00D77B3B">
        <w:rPr>
          <w:rFonts w:ascii="Times New Roman" w:hAnsi="Times New Roman"/>
          <w:sz w:val="22"/>
        </w:rPr>
        <w:t xml:space="preserve"> bêta avec et sans l’IL-2 dans le traitement de première ligne des patients présentant un neuroblastome à haut risque ainsi que dans deux études à bras unique menées sur des patients en rechute/réfractaires.</w:t>
      </w:r>
    </w:p>
    <w:p w14:paraId="16DEB03C" w14:textId="77777777" w:rsidR="008F4AFF" w:rsidRPr="00D77B3B" w:rsidRDefault="008F4AFF" w:rsidP="008F4AFF">
      <w:pPr>
        <w:pStyle w:val="BodytextAgency"/>
        <w:spacing w:after="0" w:line="240" w:lineRule="auto"/>
        <w:rPr>
          <w:rFonts w:ascii="Times New Roman" w:hAnsi="Times New Roman"/>
          <w:sz w:val="22"/>
          <w:szCs w:val="22"/>
        </w:rPr>
      </w:pPr>
    </w:p>
    <w:p w14:paraId="781BBBCB" w14:textId="77777777" w:rsidR="008F4AFF" w:rsidRPr="00D77B3B" w:rsidRDefault="008F4AFF" w:rsidP="008F4AFF">
      <w:pPr>
        <w:keepNext/>
        <w:keepLines/>
        <w:spacing w:line="240" w:lineRule="auto"/>
        <w:rPr>
          <w:i/>
          <w:noProof/>
          <w:szCs w:val="22"/>
        </w:rPr>
      </w:pPr>
      <w:r w:rsidRPr="00D77B3B">
        <w:rPr>
          <w:i/>
          <w:noProof/>
        </w:rPr>
        <w:lastRenderedPageBreak/>
        <w:t>Patients en rechute/réfractaires</w:t>
      </w:r>
    </w:p>
    <w:p w14:paraId="5B005E52" w14:textId="77777777" w:rsidR="008F4AFF" w:rsidRPr="00D77B3B" w:rsidRDefault="008F4AFF" w:rsidP="008F4AFF">
      <w:pPr>
        <w:keepNext/>
        <w:keepLines/>
        <w:autoSpaceDE w:val="0"/>
        <w:autoSpaceDN w:val="0"/>
        <w:adjustRightInd w:val="0"/>
        <w:spacing w:line="240" w:lineRule="auto"/>
        <w:rPr>
          <w:iCs/>
          <w:noProof/>
          <w:szCs w:val="22"/>
        </w:rPr>
      </w:pPr>
      <w:r w:rsidRPr="00D77B3B">
        <w:t xml:space="preserve">Dans le cadre d’un programme d’utilisation compassionnelle (étude 1), 54 patients ont reçu 10 mg/m²/jour de </w:t>
      </w:r>
      <w:proofErr w:type="spellStart"/>
      <w:r w:rsidRPr="00D77B3B">
        <w:t>dinutuximab</w:t>
      </w:r>
      <w:proofErr w:type="spellEnd"/>
      <w:r w:rsidRPr="00D77B3B">
        <w:t xml:space="preserve"> bêta sous forme de perfusions continues de 10 jours lors d’un cycle de traitement de 5 semaines en même temps que du IL</w:t>
      </w:r>
      <w:r w:rsidRPr="00D77B3B">
        <w:noBreakHyphen/>
        <w:t>2 par voie sous-cutanée (6x10</w:t>
      </w:r>
      <w:r w:rsidRPr="00D77B3B">
        <w:rPr>
          <w:noProof/>
          <w:vertAlign w:val="superscript"/>
        </w:rPr>
        <w:t>6</w:t>
      </w:r>
      <w:r w:rsidRPr="00D77B3B">
        <w:t> UI/m²/jour les jours 1-5 et 8-12 de chaque cycle), suivis d’un traitement à l’</w:t>
      </w:r>
      <w:proofErr w:type="spellStart"/>
      <w:r w:rsidRPr="00D77B3B">
        <w:t>isotrétinoïne</w:t>
      </w:r>
      <w:proofErr w:type="spellEnd"/>
      <w:r w:rsidRPr="00D77B3B">
        <w:t xml:space="preserve"> par voie orale (160 mg/m</w:t>
      </w:r>
      <w:r w:rsidRPr="00D77B3B">
        <w:rPr>
          <w:noProof/>
          <w:vertAlign w:val="superscript"/>
        </w:rPr>
        <w:t>2</w:t>
      </w:r>
      <w:r w:rsidRPr="00D77B3B">
        <w:t>/jour pendant 14 jours par cycle). Le même schéma thérapeutique a été utilisé lors d’une étude de phase II (étude 2) à laquelle ont participé 44 patients.</w:t>
      </w:r>
    </w:p>
    <w:p w14:paraId="382F4821" w14:textId="77777777" w:rsidR="008F4AFF" w:rsidRPr="00D77B3B" w:rsidRDefault="008F4AFF" w:rsidP="008F4AFF">
      <w:pPr>
        <w:keepNext/>
        <w:keepLines/>
        <w:autoSpaceDE w:val="0"/>
        <w:autoSpaceDN w:val="0"/>
        <w:adjustRightInd w:val="0"/>
        <w:spacing w:line="240" w:lineRule="auto"/>
        <w:rPr>
          <w:iCs/>
          <w:noProof/>
          <w:szCs w:val="22"/>
        </w:rPr>
      </w:pPr>
    </w:p>
    <w:p w14:paraId="08EEF9C0" w14:textId="10D848AF" w:rsidR="008F4AFF" w:rsidRPr="00D77B3B" w:rsidRDefault="00696156" w:rsidP="008F4AFF">
      <w:pPr>
        <w:keepNext/>
        <w:keepLines/>
        <w:autoSpaceDE w:val="0"/>
        <w:autoSpaceDN w:val="0"/>
        <w:adjustRightInd w:val="0"/>
        <w:spacing w:line="240" w:lineRule="auto"/>
        <w:rPr>
          <w:iCs/>
          <w:noProof/>
          <w:szCs w:val="22"/>
        </w:rPr>
      </w:pPr>
      <w:r>
        <w:t>Ces</w:t>
      </w:r>
      <w:r w:rsidR="008F4AFF" w:rsidRPr="00D77B3B">
        <w:t xml:space="preserve"> 98 patients souffraient de neuroblastome réfractaire primaire (40) ou de neuroblastome récidivant (49). Neuf autres patients ont ensuite </w:t>
      </w:r>
      <w:r>
        <w:t>été inclus</w:t>
      </w:r>
      <w:r w:rsidR="008F4AFF" w:rsidRPr="00D77B3B">
        <w:t xml:space="preserve"> à l’étude après </w:t>
      </w:r>
      <w:r>
        <w:t>une première ligne de</w:t>
      </w:r>
      <w:r w:rsidRPr="00D77B3B">
        <w:t xml:space="preserve"> </w:t>
      </w:r>
      <w:r w:rsidR="008F4AFF" w:rsidRPr="00D77B3B">
        <w:t>traitement</w:t>
      </w:r>
      <w:r>
        <w:t>.</w:t>
      </w:r>
      <w:r w:rsidR="00294EA2">
        <w:t xml:space="preserve"> </w:t>
      </w:r>
      <w:r w:rsidR="008F4AFF" w:rsidRPr="00D77B3B">
        <w:t>La cohorte de patients était composée de 61 garçons et de 37 filles, âgés de 1 à 26 ans (</w:t>
      </w:r>
      <w:r>
        <w:t xml:space="preserve">médiane </w:t>
      </w:r>
      <w:r w:rsidR="008F4AFF" w:rsidRPr="00D77B3B">
        <w:t>: 5 ans). La plupart avaient été diagnostiqués comme souffrant d’un neuroblastome de stade 4 (selon l’INSS) sans amplification du N-Myc (16 % des patients étaient atteints de tumeurs amplifiées par le N-Myc et l’information était manquante pour 14 % d’entre eux). La plupart des patients dont la maladie était récidivante ont participé à l’étude après leur première rechute. La durée moyenne entre le diagnostic et la première rechute était d’environ 14 mois. Avant l’immunothérapie, le traitement de la maladie incluait de la chimiothérapie intensive suivie par une autogreffe de cellules souches (AGCS), de la radiothérapie et une intervention chirurgicale. Au départ, 72 patients présentaient une maladie observable tandis qu’elle n’était pas détectable chez 26 patients.</w:t>
      </w:r>
    </w:p>
    <w:p w14:paraId="52EFF378" w14:textId="77777777" w:rsidR="008F4AFF" w:rsidRPr="00D77B3B" w:rsidRDefault="008F4AFF" w:rsidP="008F4AFF">
      <w:pPr>
        <w:keepNext/>
        <w:keepLines/>
        <w:autoSpaceDE w:val="0"/>
        <w:autoSpaceDN w:val="0"/>
        <w:adjustRightInd w:val="0"/>
        <w:spacing w:line="240" w:lineRule="auto"/>
        <w:rPr>
          <w:iCs/>
          <w:noProof/>
          <w:szCs w:val="22"/>
          <w:highlight w:val="yellow"/>
        </w:rPr>
      </w:pPr>
    </w:p>
    <w:p w14:paraId="5A5C2FB0" w14:textId="77777777" w:rsidR="008F4AFF" w:rsidRPr="00D77B3B" w:rsidRDefault="008F4AFF" w:rsidP="008F4AFF">
      <w:pPr>
        <w:keepNext/>
        <w:keepLines/>
        <w:autoSpaceDE w:val="0"/>
        <w:autoSpaceDN w:val="0"/>
        <w:adjustRightInd w:val="0"/>
        <w:spacing w:line="240" w:lineRule="auto"/>
        <w:rPr>
          <w:iCs/>
          <w:noProof/>
          <w:szCs w:val="22"/>
        </w:rPr>
      </w:pPr>
      <w:r w:rsidRPr="00D77B3B">
        <w:t>Les taux de survie (survie sans événement, survie globale) sont présentés par type de maladie dans le tableau 1. Le taux de réponse global (réponse complète et réponse partielle) chez les patients montrant des signes de maladie avant l’étude était de 36 % (intervalle de confiance à 95 % [</w:t>
      </w:r>
      <w:proofErr w:type="gramStart"/>
      <w:r w:rsidRPr="00D77B3B">
        <w:t>25;</w:t>
      </w:r>
      <w:proofErr w:type="gramEnd"/>
      <w:r w:rsidRPr="00D77B3B">
        <w:t xml:space="preserve"> 48]) et était plus favorable chez les patients souffrant de maladie récidivante (41 % [23; 57]) que chez les patients souffrant de maladie réfractaire (29 % [15; 46]).</w:t>
      </w:r>
    </w:p>
    <w:p w14:paraId="1D9E5EC3" w14:textId="77777777" w:rsidR="008F4AFF" w:rsidRPr="00D77B3B" w:rsidRDefault="008F4AFF" w:rsidP="008F4AFF">
      <w:pPr>
        <w:autoSpaceDE w:val="0"/>
        <w:autoSpaceDN w:val="0"/>
        <w:adjustRightInd w:val="0"/>
        <w:spacing w:line="240" w:lineRule="auto"/>
        <w:rPr>
          <w:szCs w:val="22"/>
        </w:rPr>
      </w:pPr>
    </w:p>
    <w:p w14:paraId="5FA620ED" w14:textId="77777777" w:rsidR="008F4AFF" w:rsidRPr="00D77B3B" w:rsidRDefault="008F4AFF" w:rsidP="008F4AFF">
      <w:pPr>
        <w:keepNext/>
        <w:keepLines/>
        <w:autoSpaceDE w:val="0"/>
        <w:autoSpaceDN w:val="0"/>
        <w:adjustRightInd w:val="0"/>
        <w:spacing w:line="240" w:lineRule="auto"/>
        <w:rPr>
          <w:szCs w:val="22"/>
        </w:rPr>
      </w:pPr>
      <w:r w:rsidRPr="00D77B3B">
        <w:t>Tableau </w:t>
      </w:r>
      <w:proofErr w:type="gramStart"/>
      <w:r w:rsidRPr="00D77B3B">
        <w:t>1:</w:t>
      </w:r>
      <w:proofErr w:type="gramEnd"/>
      <w:r w:rsidRPr="00D77B3B">
        <w:t xml:space="preserve"> Taux de survie sans événement et de survie globale chez les patients souffrant de maladie récidivante et réfractaire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86"/>
        <w:gridCol w:w="1263"/>
        <w:gridCol w:w="1730"/>
        <w:gridCol w:w="1444"/>
        <w:gridCol w:w="1623"/>
        <w:gridCol w:w="1515"/>
      </w:tblGrid>
      <w:tr w:rsidR="00B608FF" w14:paraId="26CD8A9A" w14:textId="77777777" w:rsidTr="00D070AE">
        <w:trPr>
          <w:trHeight w:val="230"/>
        </w:trPr>
        <w:tc>
          <w:tcPr>
            <w:tcW w:w="707" w:type="dxa"/>
            <w:vAlign w:val="center"/>
          </w:tcPr>
          <w:p w14:paraId="034A05E2" w14:textId="77777777" w:rsidR="008F4AFF" w:rsidRPr="00D77B3B" w:rsidRDefault="008F4AFF" w:rsidP="008F4AFF">
            <w:pPr>
              <w:pStyle w:val="TableHeader"/>
              <w:rPr>
                <w:sz w:val="22"/>
                <w:szCs w:val="22"/>
              </w:rPr>
            </w:pPr>
          </w:p>
        </w:tc>
        <w:tc>
          <w:tcPr>
            <w:tcW w:w="993" w:type="dxa"/>
            <w:tcMar>
              <w:top w:w="57" w:type="dxa"/>
              <w:left w:w="108" w:type="dxa"/>
              <w:bottom w:w="57" w:type="dxa"/>
              <w:right w:w="108" w:type="dxa"/>
            </w:tcMar>
            <w:vAlign w:val="center"/>
          </w:tcPr>
          <w:p w14:paraId="49D06427" w14:textId="77777777" w:rsidR="008F4AFF" w:rsidRPr="00D77B3B" w:rsidRDefault="008F4AFF" w:rsidP="008F4AFF">
            <w:pPr>
              <w:pStyle w:val="TableHeader"/>
              <w:rPr>
                <w:sz w:val="22"/>
                <w:szCs w:val="22"/>
              </w:rPr>
            </w:pPr>
          </w:p>
        </w:tc>
        <w:tc>
          <w:tcPr>
            <w:tcW w:w="1360" w:type="dxa"/>
          </w:tcPr>
          <w:p w14:paraId="5A9EF6B9" w14:textId="77777777" w:rsidR="008F4AFF" w:rsidRPr="00D77B3B" w:rsidRDefault="008F4AFF" w:rsidP="008F4AFF">
            <w:pPr>
              <w:pStyle w:val="TableHeader"/>
              <w:jc w:val="center"/>
              <w:rPr>
                <w:sz w:val="22"/>
                <w:szCs w:val="22"/>
              </w:rPr>
            </w:pPr>
            <w:r w:rsidRPr="00D77B3B">
              <w:rPr>
                <w:sz w:val="22"/>
              </w:rPr>
              <w:t>Étude 1</w:t>
            </w:r>
          </w:p>
          <w:p w14:paraId="1F6BFDC9" w14:textId="77777777" w:rsidR="008F4AFF" w:rsidRPr="00D77B3B" w:rsidRDefault="008F4AFF" w:rsidP="008F4AFF">
            <w:pPr>
              <w:pStyle w:val="TableHeader"/>
              <w:ind w:right="119"/>
              <w:jc w:val="center"/>
              <w:rPr>
                <w:sz w:val="22"/>
                <w:szCs w:val="22"/>
              </w:rPr>
            </w:pPr>
            <w:r w:rsidRPr="00D77B3B">
              <w:rPr>
                <w:sz w:val="22"/>
              </w:rPr>
              <w:t>N = 29</w:t>
            </w:r>
          </w:p>
        </w:tc>
        <w:tc>
          <w:tcPr>
            <w:tcW w:w="1135" w:type="dxa"/>
          </w:tcPr>
          <w:p w14:paraId="0CF3D50D" w14:textId="77777777" w:rsidR="008F4AFF" w:rsidRPr="00D77B3B" w:rsidRDefault="008F4AFF" w:rsidP="008F4AFF">
            <w:pPr>
              <w:pStyle w:val="TableHeader"/>
              <w:jc w:val="center"/>
              <w:rPr>
                <w:sz w:val="22"/>
                <w:szCs w:val="22"/>
              </w:rPr>
            </w:pPr>
            <w:r w:rsidRPr="00D77B3B">
              <w:rPr>
                <w:sz w:val="22"/>
              </w:rPr>
              <w:t>Étude 2</w:t>
            </w:r>
          </w:p>
          <w:p w14:paraId="0140FCB6" w14:textId="77777777" w:rsidR="008F4AFF" w:rsidRPr="00D77B3B" w:rsidRDefault="008F4AFF" w:rsidP="008F4AFF">
            <w:pPr>
              <w:pStyle w:val="TableHeader"/>
              <w:jc w:val="center"/>
              <w:rPr>
                <w:sz w:val="22"/>
                <w:szCs w:val="22"/>
              </w:rPr>
            </w:pPr>
            <w:r w:rsidRPr="00D77B3B">
              <w:rPr>
                <w:sz w:val="22"/>
              </w:rPr>
              <w:t>N = 19</w:t>
            </w:r>
          </w:p>
        </w:tc>
        <w:tc>
          <w:tcPr>
            <w:tcW w:w="1276" w:type="dxa"/>
          </w:tcPr>
          <w:p w14:paraId="352B934E" w14:textId="77777777" w:rsidR="008F4AFF" w:rsidRPr="00D77B3B" w:rsidRDefault="008F4AFF" w:rsidP="008F4AFF">
            <w:pPr>
              <w:pStyle w:val="TableHeader"/>
              <w:jc w:val="center"/>
              <w:rPr>
                <w:sz w:val="22"/>
                <w:szCs w:val="22"/>
              </w:rPr>
            </w:pPr>
            <w:r w:rsidRPr="00D77B3B">
              <w:rPr>
                <w:sz w:val="22"/>
              </w:rPr>
              <w:t>Étude 1</w:t>
            </w:r>
          </w:p>
          <w:p w14:paraId="63BEF239" w14:textId="77777777" w:rsidR="008F4AFF" w:rsidRPr="00D77B3B" w:rsidRDefault="008F4AFF" w:rsidP="008F4AFF">
            <w:pPr>
              <w:pStyle w:val="TableHeader"/>
              <w:jc w:val="center"/>
              <w:rPr>
                <w:sz w:val="22"/>
                <w:szCs w:val="22"/>
              </w:rPr>
            </w:pPr>
            <w:r w:rsidRPr="00D77B3B">
              <w:rPr>
                <w:sz w:val="22"/>
              </w:rPr>
              <w:t>N = 15</w:t>
            </w:r>
          </w:p>
        </w:tc>
        <w:tc>
          <w:tcPr>
            <w:tcW w:w="1191" w:type="dxa"/>
          </w:tcPr>
          <w:p w14:paraId="2F5F66B6" w14:textId="77777777" w:rsidR="008F4AFF" w:rsidRPr="00D77B3B" w:rsidRDefault="008F4AFF" w:rsidP="008F4AFF">
            <w:pPr>
              <w:pStyle w:val="TableHeader"/>
              <w:jc w:val="center"/>
              <w:rPr>
                <w:sz w:val="22"/>
                <w:szCs w:val="22"/>
              </w:rPr>
            </w:pPr>
            <w:r w:rsidRPr="00D77B3B">
              <w:rPr>
                <w:sz w:val="22"/>
              </w:rPr>
              <w:t>Étude 2</w:t>
            </w:r>
          </w:p>
          <w:p w14:paraId="79F428C8" w14:textId="77777777" w:rsidR="008F4AFF" w:rsidRPr="00D77B3B" w:rsidRDefault="008F4AFF" w:rsidP="008F4AFF">
            <w:pPr>
              <w:pStyle w:val="TableHeader"/>
              <w:jc w:val="center"/>
              <w:rPr>
                <w:sz w:val="22"/>
                <w:szCs w:val="22"/>
              </w:rPr>
            </w:pPr>
            <w:r w:rsidRPr="00D77B3B">
              <w:rPr>
                <w:sz w:val="22"/>
              </w:rPr>
              <w:t>N = 25</w:t>
            </w:r>
          </w:p>
        </w:tc>
      </w:tr>
      <w:tr w:rsidR="00B608FF" w14:paraId="705781C0" w14:textId="77777777" w:rsidTr="00D070AE">
        <w:trPr>
          <w:trHeight w:val="230"/>
        </w:trPr>
        <w:tc>
          <w:tcPr>
            <w:tcW w:w="707" w:type="dxa"/>
            <w:vAlign w:val="center"/>
          </w:tcPr>
          <w:p w14:paraId="364AF8DB" w14:textId="77777777" w:rsidR="008F4AFF" w:rsidRPr="00D77B3B" w:rsidRDefault="008F4AFF" w:rsidP="008F4AFF">
            <w:pPr>
              <w:pStyle w:val="TableHeader"/>
              <w:rPr>
                <w:sz w:val="22"/>
                <w:szCs w:val="22"/>
              </w:rPr>
            </w:pPr>
          </w:p>
        </w:tc>
        <w:tc>
          <w:tcPr>
            <w:tcW w:w="993" w:type="dxa"/>
            <w:tcMar>
              <w:top w:w="57" w:type="dxa"/>
              <w:left w:w="108" w:type="dxa"/>
              <w:bottom w:w="57" w:type="dxa"/>
              <w:right w:w="108" w:type="dxa"/>
            </w:tcMar>
            <w:vAlign w:val="center"/>
          </w:tcPr>
          <w:p w14:paraId="7539CB43" w14:textId="77777777" w:rsidR="008F4AFF" w:rsidRPr="00D77B3B" w:rsidRDefault="008F4AFF" w:rsidP="008F4AFF">
            <w:pPr>
              <w:pStyle w:val="TableHeader"/>
              <w:rPr>
                <w:sz w:val="22"/>
                <w:szCs w:val="22"/>
              </w:rPr>
            </w:pPr>
          </w:p>
        </w:tc>
        <w:tc>
          <w:tcPr>
            <w:tcW w:w="2495" w:type="dxa"/>
            <w:gridSpan w:val="2"/>
          </w:tcPr>
          <w:p w14:paraId="4537C426" w14:textId="77777777" w:rsidR="008F4AFF" w:rsidRPr="00D77B3B" w:rsidRDefault="008F4AFF" w:rsidP="008F4AFF">
            <w:pPr>
              <w:pStyle w:val="TableHeader"/>
              <w:jc w:val="center"/>
              <w:rPr>
                <w:sz w:val="22"/>
                <w:szCs w:val="22"/>
              </w:rPr>
            </w:pPr>
            <w:r w:rsidRPr="00D77B3B">
              <w:rPr>
                <w:sz w:val="22"/>
              </w:rPr>
              <w:t>Patients en récidive</w:t>
            </w:r>
          </w:p>
        </w:tc>
        <w:tc>
          <w:tcPr>
            <w:tcW w:w="2467" w:type="dxa"/>
            <w:gridSpan w:val="2"/>
          </w:tcPr>
          <w:p w14:paraId="076CB48F" w14:textId="77777777" w:rsidR="008F4AFF" w:rsidRPr="00D77B3B" w:rsidRDefault="008F4AFF" w:rsidP="008F4AFF">
            <w:pPr>
              <w:pStyle w:val="TableHeader"/>
              <w:jc w:val="center"/>
              <w:rPr>
                <w:sz w:val="22"/>
                <w:szCs w:val="22"/>
              </w:rPr>
            </w:pPr>
            <w:r w:rsidRPr="00D77B3B">
              <w:rPr>
                <w:sz w:val="22"/>
              </w:rPr>
              <w:t>Patients réfractaires</w:t>
            </w:r>
          </w:p>
        </w:tc>
      </w:tr>
      <w:tr w:rsidR="00B608FF" w14:paraId="2930EC06" w14:textId="77777777" w:rsidTr="00D070AE">
        <w:trPr>
          <w:trHeight w:val="230"/>
        </w:trPr>
        <w:tc>
          <w:tcPr>
            <w:tcW w:w="707" w:type="dxa"/>
            <w:vMerge w:val="restart"/>
            <w:vAlign w:val="center"/>
          </w:tcPr>
          <w:p w14:paraId="68199E9B" w14:textId="77777777" w:rsidR="008F4AFF" w:rsidRPr="00D77B3B" w:rsidRDefault="008F4AFF" w:rsidP="008F4AFF">
            <w:pPr>
              <w:pStyle w:val="Tabletext"/>
              <w:keepNext/>
              <w:widowControl/>
              <w:spacing w:before="0" w:after="0"/>
              <w:rPr>
                <w:sz w:val="22"/>
                <w:szCs w:val="22"/>
              </w:rPr>
            </w:pPr>
            <w:r w:rsidRPr="00D77B3B">
              <w:rPr>
                <w:sz w:val="22"/>
              </w:rPr>
              <w:t>Survie sans événement</w:t>
            </w:r>
          </w:p>
        </w:tc>
        <w:tc>
          <w:tcPr>
            <w:tcW w:w="993" w:type="dxa"/>
            <w:tcMar>
              <w:top w:w="57" w:type="dxa"/>
              <w:left w:w="108" w:type="dxa"/>
              <w:bottom w:w="57" w:type="dxa"/>
              <w:right w:w="108" w:type="dxa"/>
            </w:tcMar>
          </w:tcPr>
          <w:p w14:paraId="39E683E4" w14:textId="77777777" w:rsidR="008F4AFF" w:rsidRPr="00D77B3B" w:rsidRDefault="008F4AFF" w:rsidP="008F4AFF">
            <w:pPr>
              <w:pStyle w:val="Tabletext"/>
              <w:keepNext/>
              <w:widowControl/>
              <w:spacing w:before="0" w:after="0"/>
              <w:rPr>
                <w:sz w:val="22"/>
                <w:szCs w:val="22"/>
              </w:rPr>
            </w:pPr>
            <w:r w:rsidRPr="00D77B3B">
              <w:rPr>
                <w:sz w:val="22"/>
              </w:rPr>
              <w:t>1 an</w:t>
            </w:r>
          </w:p>
        </w:tc>
        <w:tc>
          <w:tcPr>
            <w:tcW w:w="1360" w:type="dxa"/>
          </w:tcPr>
          <w:p w14:paraId="5B5E84AA" w14:textId="77777777" w:rsidR="008F4AFF" w:rsidRPr="00D77B3B" w:rsidRDefault="008F4AFF" w:rsidP="008F4AFF">
            <w:pPr>
              <w:pStyle w:val="TableHeader"/>
              <w:jc w:val="center"/>
              <w:rPr>
                <w:b w:val="0"/>
                <w:snapToGrid w:val="0"/>
                <w:sz w:val="22"/>
                <w:szCs w:val="22"/>
              </w:rPr>
            </w:pPr>
            <w:r w:rsidRPr="00D77B3B">
              <w:rPr>
                <w:b w:val="0"/>
                <w:snapToGrid w:val="0"/>
                <w:sz w:val="22"/>
              </w:rPr>
              <w:t>45 %</w:t>
            </w:r>
          </w:p>
        </w:tc>
        <w:tc>
          <w:tcPr>
            <w:tcW w:w="1135" w:type="dxa"/>
          </w:tcPr>
          <w:p w14:paraId="5414487F" w14:textId="77777777" w:rsidR="008F4AFF" w:rsidRPr="00D77B3B" w:rsidRDefault="008F4AFF" w:rsidP="008F4AFF">
            <w:pPr>
              <w:pStyle w:val="TableHeader"/>
              <w:jc w:val="center"/>
              <w:rPr>
                <w:b w:val="0"/>
                <w:snapToGrid w:val="0"/>
                <w:sz w:val="22"/>
                <w:szCs w:val="22"/>
              </w:rPr>
            </w:pPr>
            <w:r w:rsidRPr="00D77B3B">
              <w:rPr>
                <w:b w:val="0"/>
                <w:snapToGrid w:val="0"/>
                <w:sz w:val="22"/>
              </w:rPr>
              <w:t>42 %</w:t>
            </w:r>
          </w:p>
        </w:tc>
        <w:tc>
          <w:tcPr>
            <w:tcW w:w="1276" w:type="dxa"/>
          </w:tcPr>
          <w:p w14:paraId="292E08B4" w14:textId="77777777" w:rsidR="008F4AFF" w:rsidRPr="00D77B3B" w:rsidRDefault="008F4AFF" w:rsidP="008F4AFF">
            <w:pPr>
              <w:pStyle w:val="TableHeader"/>
              <w:jc w:val="center"/>
              <w:rPr>
                <w:b w:val="0"/>
                <w:sz w:val="22"/>
                <w:szCs w:val="22"/>
              </w:rPr>
            </w:pPr>
            <w:r w:rsidRPr="00D77B3B">
              <w:rPr>
                <w:b w:val="0"/>
                <w:sz w:val="22"/>
              </w:rPr>
              <w:t>58 %</w:t>
            </w:r>
          </w:p>
        </w:tc>
        <w:tc>
          <w:tcPr>
            <w:tcW w:w="1191" w:type="dxa"/>
          </w:tcPr>
          <w:p w14:paraId="6610AFB0" w14:textId="77777777" w:rsidR="008F4AFF" w:rsidRPr="00D77B3B" w:rsidRDefault="008F4AFF" w:rsidP="008F4AFF">
            <w:pPr>
              <w:pStyle w:val="TableHeader"/>
              <w:jc w:val="center"/>
              <w:rPr>
                <w:b w:val="0"/>
                <w:sz w:val="22"/>
                <w:szCs w:val="22"/>
              </w:rPr>
            </w:pPr>
            <w:r w:rsidRPr="00D77B3B">
              <w:rPr>
                <w:b w:val="0"/>
                <w:sz w:val="22"/>
              </w:rPr>
              <w:t>60 %</w:t>
            </w:r>
          </w:p>
        </w:tc>
      </w:tr>
      <w:tr w:rsidR="00B608FF" w14:paraId="39405903" w14:textId="77777777" w:rsidTr="00D070AE">
        <w:trPr>
          <w:trHeight w:val="230"/>
        </w:trPr>
        <w:tc>
          <w:tcPr>
            <w:tcW w:w="707" w:type="dxa"/>
            <w:vMerge/>
            <w:vAlign w:val="center"/>
          </w:tcPr>
          <w:p w14:paraId="54DB6A09" w14:textId="77777777" w:rsidR="008F4AFF" w:rsidRPr="00D77B3B" w:rsidRDefault="008F4AFF" w:rsidP="008F4AFF">
            <w:pPr>
              <w:pStyle w:val="Tabletext"/>
              <w:keepNext/>
              <w:widowControl/>
              <w:spacing w:before="0" w:after="0"/>
              <w:rPr>
                <w:sz w:val="22"/>
                <w:szCs w:val="22"/>
              </w:rPr>
            </w:pPr>
          </w:p>
        </w:tc>
        <w:tc>
          <w:tcPr>
            <w:tcW w:w="993" w:type="dxa"/>
            <w:tcMar>
              <w:top w:w="57" w:type="dxa"/>
              <w:left w:w="108" w:type="dxa"/>
              <w:bottom w:w="57" w:type="dxa"/>
              <w:right w:w="108" w:type="dxa"/>
            </w:tcMar>
          </w:tcPr>
          <w:p w14:paraId="007FBC88" w14:textId="77777777" w:rsidR="008F4AFF" w:rsidRPr="00D77B3B" w:rsidRDefault="008F4AFF" w:rsidP="008F4AFF">
            <w:pPr>
              <w:pStyle w:val="Tabletext"/>
              <w:keepNext/>
              <w:widowControl/>
              <w:spacing w:before="0" w:after="0"/>
              <w:rPr>
                <w:sz w:val="22"/>
                <w:szCs w:val="22"/>
              </w:rPr>
            </w:pPr>
            <w:r w:rsidRPr="00D77B3B">
              <w:rPr>
                <w:sz w:val="22"/>
              </w:rPr>
              <w:t>2 ans</w:t>
            </w:r>
          </w:p>
        </w:tc>
        <w:tc>
          <w:tcPr>
            <w:tcW w:w="1360" w:type="dxa"/>
          </w:tcPr>
          <w:p w14:paraId="3F70580A" w14:textId="77777777" w:rsidR="008F4AFF" w:rsidRPr="00D77B3B" w:rsidRDefault="008F4AFF" w:rsidP="008F4AFF">
            <w:pPr>
              <w:pStyle w:val="Tabletext"/>
              <w:keepNext/>
              <w:widowControl/>
              <w:spacing w:before="0" w:after="0"/>
              <w:jc w:val="center"/>
              <w:rPr>
                <w:sz w:val="22"/>
                <w:szCs w:val="22"/>
              </w:rPr>
            </w:pPr>
            <w:r w:rsidRPr="00D77B3B">
              <w:rPr>
                <w:sz w:val="22"/>
              </w:rPr>
              <w:t>31 %</w:t>
            </w:r>
          </w:p>
        </w:tc>
        <w:tc>
          <w:tcPr>
            <w:tcW w:w="1135" w:type="dxa"/>
          </w:tcPr>
          <w:p w14:paraId="53EE5F09" w14:textId="77777777" w:rsidR="008F4AFF" w:rsidRPr="00D77B3B" w:rsidRDefault="008F4AFF" w:rsidP="008F4AFF">
            <w:pPr>
              <w:pStyle w:val="Tabletext"/>
              <w:keepNext/>
              <w:widowControl/>
              <w:spacing w:before="0" w:after="0"/>
              <w:jc w:val="center"/>
              <w:rPr>
                <w:sz w:val="22"/>
                <w:szCs w:val="22"/>
              </w:rPr>
            </w:pPr>
            <w:r w:rsidRPr="00D77B3B">
              <w:rPr>
                <w:sz w:val="22"/>
              </w:rPr>
              <w:t>37 %</w:t>
            </w:r>
          </w:p>
        </w:tc>
        <w:tc>
          <w:tcPr>
            <w:tcW w:w="1276" w:type="dxa"/>
          </w:tcPr>
          <w:p w14:paraId="7AC0B4AF" w14:textId="77777777" w:rsidR="008F4AFF" w:rsidRPr="00D77B3B" w:rsidRDefault="008F4AFF" w:rsidP="008F4AFF">
            <w:pPr>
              <w:pStyle w:val="Tabletext"/>
              <w:keepNext/>
              <w:widowControl/>
              <w:spacing w:before="0" w:after="0"/>
              <w:jc w:val="center"/>
              <w:rPr>
                <w:sz w:val="22"/>
                <w:szCs w:val="22"/>
              </w:rPr>
            </w:pPr>
            <w:r w:rsidRPr="00D77B3B">
              <w:rPr>
                <w:sz w:val="22"/>
              </w:rPr>
              <w:t>29 %</w:t>
            </w:r>
          </w:p>
        </w:tc>
        <w:tc>
          <w:tcPr>
            <w:tcW w:w="1191" w:type="dxa"/>
          </w:tcPr>
          <w:p w14:paraId="4DE0844D" w14:textId="77777777" w:rsidR="008F4AFF" w:rsidRPr="00D77B3B" w:rsidRDefault="008F4AFF" w:rsidP="008F4AFF">
            <w:pPr>
              <w:pStyle w:val="Tabletext"/>
              <w:keepNext/>
              <w:widowControl/>
              <w:spacing w:before="0" w:after="0"/>
              <w:jc w:val="center"/>
              <w:rPr>
                <w:sz w:val="22"/>
                <w:szCs w:val="22"/>
              </w:rPr>
            </w:pPr>
            <w:r w:rsidRPr="00D77B3B">
              <w:rPr>
                <w:sz w:val="22"/>
              </w:rPr>
              <w:t>56 %</w:t>
            </w:r>
          </w:p>
        </w:tc>
      </w:tr>
      <w:tr w:rsidR="00B608FF" w14:paraId="56EC379B" w14:textId="77777777" w:rsidTr="00D070AE">
        <w:trPr>
          <w:trHeight w:val="230"/>
        </w:trPr>
        <w:tc>
          <w:tcPr>
            <w:tcW w:w="707" w:type="dxa"/>
            <w:vMerge w:val="restart"/>
            <w:vAlign w:val="center"/>
          </w:tcPr>
          <w:p w14:paraId="74A3962A" w14:textId="77777777" w:rsidR="008F4AFF" w:rsidRPr="00D77B3B" w:rsidRDefault="008F4AFF" w:rsidP="008F4AFF">
            <w:pPr>
              <w:pStyle w:val="Tabletext"/>
              <w:keepNext/>
              <w:widowControl/>
              <w:spacing w:before="0" w:after="0"/>
              <w:rPr>
                <w:sz w:val="22"/>
                <w:szCs w:val="22"/>
              </w:rPr>
            </w:pPr>
            <w:r w:rsidRPr="00D77B3B">
              <w:rPr>
                <w:sz w:val="22"/>
              </w:rPr>
              <w:t>Survie globale</w:t>
            </w:r>
          </w:p>
        </w:tc>
        <w:tc>
          <w:tcPr>
            <w:tcW w:w="993" w:type="dxa"/>
            <w:tcMar>
              <w:top w:w="57" w:type="dxa"/>
              <w:left w:w="108" w:type="dxa"/>
              <w:bottom w:w="57" w:type="dxa"/>
              <w:right w:w="108" w:type="dxa"/>
            </w:tcMar>
          </w:tcPr>
          <w:p w14:paraId="42C4AD70" w14:textId="77777777" w:rsidR="008F4AFF" w:rsidRPr="00D77B3B" w:rsidRDefault="008F4AFF" w:rsidP="008F4AFF">
            <w:pPr>
              <w:pStyle w:val="Tabletext"/>
              <w:keepNext/>
              <w:widowControl/>
              <w:spacing w:before="0" w:after="0"/>
              <w:rPr>
                <w:sz w:val="22"/>
                <w:szCs w:val="22"/>
              </w:rPr>
            </w:pPr>
            <w:r w:rsidRPr="00D77B3B">
              <w:rPr>
                <w:sz w:val="22"/>
              </w:rPr>
              <w:t>1 an</w:t>
            </w:r>
          </w:p>
        </w:tc>
        <w:tc>
          <w:tcPr>
            <w:tcW w:w="1360" w:type="dxa"/>
          </w:tcPr>
          <w:p w14:paraId="0E3E75FC" w14:textId="77777777" w:rsidR="008F4AFF" w:rsidRPr="00D77B3B" w:rsidRDefault="008F4AFF" w:rsidP="008F4AFF">
            <w:pPr>
              <w:pStyle w:val="Tabletext"/>
              <w:keepNext/>
              <w:widowControl/>
              <w:spacing w:before="0" w:after="0"/>
              <w:jc w:val="center"/>
              <w:rPr>
                <w:sz w:val="22"/>
                <w:szCs w:val="22"/>
              </w:rPr>
            </w:pPr>
            <w:r w:rsidRPr="00D77B3B">
              <w:rPr>
                <w:sz w:val="22"/>
              </w:rPr>
              <w:t>90 %</w:t>
            </w:r>
          </w:p>
        </w:tc>
        <w:tc>
          <w:tcPr>
            <w:tcW w:w="1135" w:type="dxa"/>
          </w:tcPr>
          <w:p w14:paraId="0D41054A" w14:textId="77777777" w:rsidR="008F4AFF" w:rsidRPr="00D77B3B" w:rsidRDefault="008F4AFF" w:rsidP="008F4AFF">
            <w:pPr>
              <w:pStyle w:val="Tabletext"/>
              <w:keepNext/>
              <w:widowControl/>
              <w:spacing w:before="0" w:after="0"/>
              <w:jc w:val="center"/>
              <w:rPr>
                <w:sz w:val="22"/>
                <w:szCs w:val="22"/>
              </w:rPr>
            </w:pPr>
            <w:r w:rsidRPr="00D77B3B">
              <w:rPr>
                <w:sz w:val="22"/>
              </w:rPr>
              <w:t>74 %</w:t>
            </w:r>
          </w:p>
        </w:tc>
        <w:tc>
          <w:tcPr>
            <w:tcW w:w="1276" w:type="dxa"/>
          </w:tcPr>
          <w:p w14:paraId="127498F7" w14:textId="77777777" w:rsidR="008F4AFF" w:rsidRPr="00D77B3B" w:rsidRDefault="008F4AFF" w:rsidP="008F4AFF">
            <w:pPr>
              <w:pStyle w:val="Tabletext"/>
              <w:keepNext/>
              <w:widowControl/>
              <w:spacing w:before="0" w:after="0"/>
              <w:jc w:val="center"/>
              <w:rPr>
                <w:sz w:val="22"/>
                <w:szCs w:val="22"/>
              </w:rPr>
            </w:pPr>
            <w:r w:rsidRPr="00D77B3B">
              <w:rPr>
                <w:sz w:val="22"/>
              </w:rPr>
              <w:t>93 %</w:t>
            </w:r>
          </w:p>
        </w:tc>
        <w:tc>
          <w:tcPr>
            <w:tcW w:w="1191" w:type="dxa"/>
          </w:tcPr>
          <w:p w14:paraId="1E1CEE3C" w14:textId="77777777" w:rsidR="008F4AFF" w:rsidRPr="00D77B3B" w:rsidRDefault="008F4AFF" w:rsidP="008F4AFF">
            <w:pPr>
              <w:pStyle w:val="Tabletext"/>
              <w:keepNext/>
              <w:widowControl/>
              <w:spacing w:before="0" w:after="0"/>
              <w:jc w:val="center"/>
              <w:rPr>
                <w:sz w:val="22"/>
                <w:szCs w:val="22"/>
              </w:rPr>
            </w:pPr>
            <w:r w:rsidRPr="00D77B3B">
              <w:rPr>
                <w:sz w:val="22"/>
              </w:rPr>
              <w:t>100 %</w:t>
            </w:r>
          </w:p>
        </w:tc>
      </w:tr>
      <w:tr w:rsidR="00B608FF" w14:paraId="64695E6F" w14:textId="77777777" w:rsidTr="00D070AE">
        <w:trPr>
          <w:trHeight w:val="230"/>
        </w:trPr>
        <w:tc>
          <w:tcPr>
            <w:tcW w:w="707" w:type="dxa"/>
            <w:vMerge/>
            <w:vAlign w:val="center"/>
          </w:tcPr>
          <w:p w14:paraId="3F1E1DE9" w14:textId="77777777" w:rsidR="008F4AFF" w:rsidRPr="00D77B3B" w:rsidRDefault="008F4AFF" w:rsidP="008F4AFF">
            <w:pPr>
              <w:pStyle w:val="Tabletext"/>
              <w:keepNext/>
              <w:widowControl/>
              <w:spacing w:before="0" w:after="0"/>
              <w:rPr>
                <w:sz w:val="22"/>
                <w:szCs w:val="22"/>
              </w:rPr>
            </w:pPr>
          </w:p>
        </w:tc>
        <w:tc>
          <w:tcPr>
            <w:tcW w:w="993" w:type="dxa"/>
            <w:tcMar>
              <w:top w:w="57" w:type="dxa"/>
              <w:left w:w="108" w:type="dxa"/>
              <w:bottom w:w="57" w:type="dxa"/>
              <w:right w:w="108" w:type="dxa"/>
            </w:tcMar>
          </w:tcPr>
          <w:p w14:paraId="016E3D01" w14:textId="77777777" w:rsidR="008F4AFF" w:rsidRPr="00D77B3B" w:rsidRDefault="008F4AFF" w:rsidP="008F4AFF">
            <w:pPr>
              <w:pStyle w:val="Tabletext"/>
              <w:keepNext/>
              <w:widowControl/>
              <w:spacing w:before="0" w:after="0"/>
              <w:rPr>
                <w:sz w:val="22"/>
                <w:szCs w:val="22"/>
              </w:rPr>
            </w:pPr>
            <w:r w:rsidRPr="00D77B3B">
              <w:rPr>
                <w:sz w:val="22"/>
              </w:rPr>
              <w:t>2 ans</w:t>
            </w:r>
          </w:p>
        </w:tc>
        <w:tc>
          <w:tcPr>
            <w:tcW w:w="1360" w:type="dxa"/>
          </w:tcPr>
          <w:p w14:paraId="7D26FC2B" w14:textId="77777777" w:rsidR="008F4AFF" w:rsidRPr="00D77B3B" w:rsidRDefault="008F4AFF" w:rsidP="008F4AFF">
            <w:pPr>
              <w:pStyle w:val="Tabletext"/>
              <w:keepNext/>
              <w:widowControl/>
              <w:spacing w:before="0" w:after="0"/>
              <w:jc w:val="center"/>
              <w:rPr>
                <w:sz w:val="22"/>
                <w:szCs w:val="22"/>
              </w:rPr>
            </w:pPr>
            <w:r w:rsidRPr="00D77B3B">
              <w:rPr>
                <w:sz w:val="22"/>
              </w:rPr>
              <w:t>69 %</w:t>
            </w:r>
          </w:p>
        </w:tc>
        <w:tc>
          <w:tcPr>
            <w:tcW w:w="1135" w:type="dxa"/>
          </w:tcPr>
          <w:p w14:paraId="5BA4EF4A" w14:textId="77777777" w:rsidR="008F4AFF" w:rsidRPr="00D77B3B" w:rsidRDefault="008F4AFF" w:rsidP="008F4AFF">
            <w:pPr>
              <w:pStyle w:val="Tabletext"/>
              <w:keepNext/>
              <w:widowControl/>
              <w:spacing w:before="0" w:after="0"/>
              <w:jc w:val="center"/>
              <w:rPr>
                <w:sz w:val="22"/>
                <w:szCs w:val="22"/>
              </w:rPr>
            </w:pPr>
            <w:r w:rsidRPr="00D77B3B">
              <w:rPr>
                <w:sz w:val="22"/>
              </w:rPr>
              <w:t>42 %</w:t>
            </w:r>
          </w:p>
        </w:tc>
        <w:tc>
          <w:tcPr>
            <w:tcW w:w="1276" w:type="dxa"/>
          </w:tcPr>
          <w:p w14:paraId="617CBE07" w14:textId="77777777" w:rsidR="008F4AFF" w:rsidRPr="00D77B3B" w:rsidRDefault="008F4AFF" w:rsidP="008F4AFF">
            <w:pPr>
              <w:pStyle w:val="Tabletext"/>
              <w:keepNext/>
              <w:widowControl/>
              <w:spacing w:before="0" w:after="0"/>
              <w:jc w:val="center"/>
              <w:rPr>
                <w:sz w:val="22"/>
                <w:szCs w:val="22"/>
              </w:rPr>
            </w:pPr>
            <w:r w:rsidRPr="00D77B3B">
              <w:rPr>
                <w:sz w:val="22"/>
              </w:rPr>
              <w:t>70 %</w:t>
            </w:r>
          </w:p>
        </w:tc>
        <w:tc>
          <w:tcPr>
            <w:tcW w:w="1191" w:type="dxa"/>
          </w:tcPr>
          <w:p w14:paraId="0992EBB6" w14:textId="77777777" w:rsidR="008F4AFF" w:rsidRPr="00D77B3B" w:rsidRDefault="008F4AFF" w:rsidP="008F4AFF">
            <w:pPr>
              <w:pStyle w:val="Tabletext"/>
              <w:keepNext/>
              <w:widowControl/>
              <w:spacing w:before="0" w:after="0"/>
              <w:jc w:val="center"/>
              <w:rPr>
                <w:sz w:val="22"/>
                <w:szCs w:val="22"/>
              </w:rPr>
            </w:pPr>
            <w:r w:rsidRPr="00D77B3B">
              <w:rPr>
                <w:sz w:val="22"/>
              </w:rPr>
              <w:t>78 %</w:t>
            </w:r>
          </w:p>
        </w:tc>
      </w:tr>
    </w:tbl>
    <w:p w14:paraId="3958C6CE" w14:textId="77777777" w:rsidR="008F4AFF" w:rsidRPr="00D77B3B" w:rsidRDefault="008F4AFF" w:rsidP="008F4AFF">
      <w:pPr>
        <w:autoSpaceDE w:val="0"/>
        <w:autoSpaceDN w:val="0"/>
        <w:adjustRightInd w:val="0"/>
        <w:spacing w:line="240" w:lineRule="auto"/>
        <w:rPr>
          <w:iCs/>
          <w:noProof/>
          <w:szCs w:val="22"/>
        </w:rPr>
      </w:pPr>
    </w:p>
    <w:p w14:paraId="1DCF97B1" w14:textId="77777777" w:rsidR="008F4AFF" w:rsidRPr="00D77B3B" w:rsidRDefault="008F4AFF" w:rsidP="008F4AFF">
      <w:pPr>
        <w:keepNext/>
        <w:keepLines/>
        <w:spacing w:line="240" w:lineRule="auto"/>
        <w:rPr>
          <w:i/>
          <w:noProof/>
          <w:szCs w:val="22"/>
        </w:rPr>
      </w:pPr>
      <w:r w:rsidRPr="00D77B3B">
        <w:rPr>
          <w:i/>
          <w:noProof/>
        </w:rPr>
        <w:lastRenderedPageBreak/>
        <w:t>Patients de première ligne qui ont reçu une autogreffe de cellules souches</w:t>
      </w:r>
    </w:p>
    <w:p w14:paraId="3FFB2663" w14:textId="0F400538" w:rsidR="008F4AFF" w:rsidRPr="00D77B3B" w:rsidRDefault="008F4AFF" w:rsidP="008F4AFF">
      <w:pPr>
        <w:keepNext/>
        <w:keepLines/>
        <w:spacing w:line="240" w:lineRule="auto"/>
        <w:rPr>
          <w:iCs/>
          <w:noProof/>
          <w:szCs w:val="22"/>
        </w:rPr>
      </w:pPr>
      <w:r w:rsidRPr="00D77B3B">
        <w:t xml:space="preserve">Dans l’étude 3, les patients présentant un neuroblastome à haut risque ont participé à l’étude après avoir reçu une chimiothérapie d’induction et obtenu au moins une réponse partielle, suivie d’un traitement </w:t>
      </w:r>
      <w:proofErr w:type="spellStart"/>
      <w:r w:rsidRPr="00D77B3B">
        <w:t>myéloablatif</w:t>
      </w:r>
      <w:proofErr w:type="spellEnd"/>
      <w:r w:rsidRPr="00D77B3B">
        <w:t xml:space="preserve"> et d’une greffe de cellules souches. Les patients dont la maladie </w:t>
      </w:r>
      <w:r w:rsidR="00696156" w:rsidRPr="00D77B3B">
        <w:t>progress</w:t>
      </w:r>
      <w:r w:rsidR="00696156">
        <w:t>ait</w:t>
      </w:r>
      <w:r w:rsidR="00696156" w:rsidRPr="00D77B3B">
        <w:t xml:space="preserve"> </w:t>
      </w:r>
      <w:r w:rsidRPr="00D77B3B">
        <w:t xml:space="preserve">ont été exclus. Une dose de 20 mg/m²/jour de </w:t>
      </w:r>
      <w:proofErr w:type="spellStart"/>
      <w:r w:rsidRPr="00D77B3B">
        <w:t>dinutuximab</w:t>
      </w:r>
      <w:proofErr w:type="spellEnd"/>
      <w:r w:rsidRPr="00D77B3B">
        <w:t xml:space="preserve"> bêta a été administrée pendant 5 jours consécutifs, par perfusion intraveineuse de 8 heures pendant un cycle de traitement de 5 semaines, et associée à de l’</w:t>
      </w:r>
      <w:proofErr w:type="spellStart"/>
      <w:r w:rsidRPr="00D77B3B">
        <w:t>isotrétinoïne</w:t>
      </w:r>
      <w:proofErr w:type="spellEnd"/>
      <w:r w:rsidRPr="00D77B3B">
        <w:t xml:space="preserve"> avec ou sans IL</w:t>
      </w:r>
      <w:r w:rsidRPr="00D77B3B">
        <w:noBreakHyphen/>
        <w:t xml:space="preserve">2 </w:t>
      </w:r>
      <w:r w:rsidR="00696156">
        <w:t>en</w:t>
      </w:r>
      <w:r w:rsidRPr="00D77B3B">
        <w:t xml:space="preserve"> injection sous-cutanée selon les mêmes posologies que dans les études précédentes.</w:t>
      </w:r>
    </w:p>
    <w:p w14:paraId="20FC6993" w14:textId="77777777" w:rsidR="008F4AFF" w:rsidRPr="00D77B3B" w:rsidRDefault="008F4AFF" w:rsidP="008F4AFF">
      <w:pPr>
        <w:keepNext/>
        <w:keepLines/>
        <w:spacing w:line="240" w:lineRule="auto"/>
        <w:rPr>
          <w:iCs/>
          <w:noProof/>
          <w:szCs w:val="22"/>
        </w:rPr>
      </w:pPr>
    </w:p>
    <w:p w14:paraId="0E6AFC6E" w14:textId="73E00B9B" w:rsidR="008F4AFF" w:rsidRPr="00D77B3B" w:rsidRDefault="008F4AFF" w:rsidP="008F4AFF">
      <w:pPr>
        <w:keepNext/>
        <w:keepLines/>
        <w:spacing w:line="240" w:lineRule="auto"/>
        <w:rPr>
          <w:iCs/>
          <w:noProof/>
          <w:szCs w:val="22"/>
        </w:rPr>
      </w:pPr>
      <w:r w:rsidRPr="00D77B3B">
        <w:t xml:space="preserve">Au total, 370 patients ont été randomisés et ont reçu un traitement. Parmi eux, 64 % étaient de sexe masculin et 36 % de sexe féminin. </w:t>
      </w:r>
      <w:r w:rsidR="00696156">
        <w:t>L’âge médian était de</w:t>
      </w:r>
      <w:r w:rsidRPr="00D77B3B">
        <w:t xml:space="preserve"> 3 ans (0,6 à 20</w:t>
      </w:r>
      <w:r w:rsidR="00696156">
        <w:t xml:space="preserve"> ans</w:t>
      </w:r>
      <w:r w:rsidRPr="00D77B3B">
        <w:t xml:space="preserve">). 89 % souffraient d’une tumeur de stade 4, selon le classement de l’INSS, et une amplification du N-Myc a été signalée dans 44 % des cas. Le critère d’efficacité </w:t>
      </w:r>
      <w:r w:rsidR="00696156">
        <w:t xml:space="preserve">principal </w:t>
      </w:r>
      <w:r w:rsidRPr="00D77B3B">
        <w:t xml:space="preserve">était un taux de survie sans événement de 3 ans, </w:t>
      </w:r>
      <w:r w:rsidR="00696156">
        <w:t>et</w:t>
      </w:r>
      <w:r w:rsidRPr="00D77B3B">
        <w:t xml:space="preserve"> le critère</w:t>
      </w:r>
      <w:r w:rsidR="00696156">
        <w:t xml:space="preserve"> secondaire</w:t>
      </w:r>
      <w:r w:rsidRPr="00D77B3B">
        <w:t xml:space="preserve"> était le taux de survie globale. Les taux de survie sans événement et de survie globale sont présentés dans les tableaux 2 et 3 selon les signes de la maladie au début de l’étude.</w:t>
      </w:r>
    </w:p>
    <w:p w14:paraId="3962BB23" w14:textId="77777777" w:rsidR="008F4AFF" w:rsidRPr="00D77B3B" w:rsidRDefault="008F4AFF" w:rsidP="008F4AFF">
      <w:pPr>
        <w:keepNext/>
        <w:keepLines/>
        <w:spacing w:line="240" w:lineRule="auto"/>
        <w:rPr>
          <w:iCs/>
          <w:noProof/>
          <w:szCs w:val="22"/>
        </w:rPr>
      </w:pPr>
    </w:p>
    <w:p w14:paraId="1BB209E1" w14:textId="70B09F8A" w:rsidR="008F4AFF" w:rsidRPr="00D77B3B" w:rsidRDefault="008F4AFF" w:rsidP="008F4AFF">
      <w:pPr>
        <w:keepNext/>
        <w:keepLines/>
        <w:spacing w:line="240" w:lineRule="auto"/>
        <w:rPr>
          <w:szCs w:val="22"/>
        </w:rPr>
      </w:pPr>
      <w:r w:rsidRPr="00D77B3B">
        <w:t xml:space="preserve">Pour les patients ne montrant aucun signe de maladie au début de l’étude, l’association </w:t>
      </w:r>
      <w:r w:rsidR="00696156">
        <w:t>à</w:t>
      </w:r>
      <w:r w:rsidR="00696156" w:rsidRPr="00D77B3B">
        <w:t xml:space="preserve"> </w:t>
      </w:r>
      <w:r w:rsidRPr="00D77B3B">
        <w:t>l’IL</w:t>
      </w:r>
      <w:r w:rsidRPr="00D77B3B">
        <w:noBreakHyphen/>
        <w:t xml:space="preserve">2 n’a pas amélioré les taux de survie sans événement </w:t>
      </w:r>
      <w:r w:rsidR="00696156">
        <w:t>ni</w:t>
      </w:r>
      <w:r w:rsidRPr="00D77B3B">
        <w:t xml:space="preserve"> de survie globale.</w:t>
      </w:r>
    </w:p>
    <w:p w14:paraId="1831C040" w14:textId="77777777" w:rsidR="008F4AFF" w:rsidRPr="00D77B3B" w:rsidRDefault="008F4AFF" w:rsidP="008F4AFF">
      <w:pPr>
        <w:autoSpaceDE w:val="0"/>
        <w:autoSpaceDN w:val="0"/>
        <w:adjustRightInd w:val="0"/>
        <w:spacing w:line="240" w:lineRule="auto"/>
        <w:rPr>
          <w:iCs/>
          <w:noProof/>
          <w:szCs w:val="22"/>
        </w:rPr>
      </w:pPr>
    </w:p>
    <w:p w14:paraId="47A923FA" w14:textId="42E56C3D" w:rsidR="008F4AFF" w:rsidRPr="00D77B3B" w:rsidRDefault="008F4AFF" w:rsidP="008F4AFF">
      <w:pPr>
        <w:keepNext/>
        <w:autoSpaceDE w:val="0"/>
        <w:autoSpaceDN w:val="0"/>
        <w:adjustRightInd w:val="0"/>
        <w:spacing w:line="240" w:lineRule="auto"/>
        <w:rPr>
          <w:szCs w:val="22"/>
        </w:rPr>
      </w:pPr>
      <w:r w:rsidRPr="00D77B3B">
        <w:t>Tableau </w:t>
      </w:r>
      <w:proofErr w:type="gramStart"/>
      <w:r w:rsidRPr="00D77B3B">
        <w:t>2:</w:t>
      </w:r>
      <w:proofErr w:type="gramEnd"/>
      <w:r w:rsidRPr="00D77B3B">
        <w:t xml:space="preserve"> Taux de survie sans événement et de survie globale (intervalle de confiance à 95 %) chez les patients ne montrant aucun signe de maladie au </w:t>
      </w:r>
      <w:r w:rsidR="00696156">
        <w:t>début de l’étude</w:t>
      </w:r>
      <w:r w:rsidR="00696156" w:rsidRPr="00D77B3B">
        <w:t xml:space="preserve"> </w:t>
      </w:r>
      <w:r w:rsidRPr="00D77B3B">
        <w:t>(réponse complète au traitement initial)</w:t>
      </w:r>
    </w:p>
    <w:tbl>
      <w:tblPr>
        <w:tblStyle w:val="TableGrid"/>
        <w:tblW w:w="0" w:type="auto"/>
        <w:tblLook w:val="04A0" w:firstRow="1" w:lastRow="0" w:firstColumn="1" w:lastColumn="0" w:noHBand="0" w:noVBand="1"/>
      </w:tblPr>
      <w:tblGrid>
        <w:gridCol w:w="1461"/>
        <w:gridCol w:w="1291"/>
        <w:gridCol w:w="1228"/>
        <w:gridCol w:w="1298"/>
        <w:gridCol w:w="1291"/>
        <w:gridCol w:w="1200"/>
        <w:gridCol w:w="1292"/>
      </w:tblGrid>
      <w:tr w:rsidR="00B608FF" w14:paraId="54FF2877" w14:textId="77777777" w:rsidTr="00D070AE">
        <w:trPr>
          <w:trHeight w:val="539"/>
        </w:trPr>
        <w:tc>
          <w:tcPr>
            <w:tcW w:w="1479" w:type="dxa"/>
            <w:vMerge w:val="restart"/>
            <w:vAlign w:val="center"/>
          </w:tcPr>
          <w:p w14:paraId="3ED607A9" w14:textId="77777777" w:rsidR="008F4AFF" w:rsidRPr="00D77B3B" w:rsidRDefault="008F4AFF" w:rsidP="008F4AFF">
            <w:pPr>
              <w:keepNext/>
              <w:autoSpaceDE w:val="0"/>
              <w:autoSpaceDN w:val="0"/>
              <w:adjustRightInd w:val="0"/>
              <w:spacing w:line="240" w:lineRule="auto"/>
              <w:rPr>
                <w:b/>
                <w:szCs w:val="22"/>
              </w:rPr>
            </w:pPr>
            <w:r w:rsidRPr="00D77B3B">
              <w:rPr>
                <w:b/>
              </w:rPr>
              <w:t>Efficacité</w:t>
            </w:r>
          </w:p>
        </w:tc>
        <w:tc>
          <w:tcPr>
            <w:tcW w:w="3922" w:type="dxa"/>
            <w:gridSpan w:val="3"/>
            <w:vAlign w:val="center"/>
          </w:tcPr>
          <w:p w14:paraId="33F0B011" w14:textId="77777777" w:rsidR="008F4AFF" w:rsidRPr="00D77B3B" w:rsidRDefault="008F4AFF" w:rsidP="008F4AFF">
            <w:pPr>
              <w:keepNext/>
              <w:autoSpaceDE w:val="0"/>
              <w:autoSpaceDN w:val="0"/>
              <w:adjustRightInd w:val="0"/>
              <w:spacing w:line="240" w:lineRule="auto"/>
              <w:jc w:val="center"/>
              <w:rPr>
                <w:b/>
                <w:szCs w:val="22"/>
              </w:rPr>
            </w:pPr>
            <w:proofErr w:type="gramStart"/>
            <w:r w:rsidRPr="00D77B3B">
              <w:rPr>
                <w:b/>
              </w:rPr>
              <w:t>sans</w:t>
            </w:r>
            <w:proofErr w:type="gramEnd"/>
            <w:r w:rsidRPr="00D77B3B">
              <w:rPr>
                <w:b/>
              </w:rPr>
              <w:t xml:space="preserve"> l’IL-2</w:t>
            </w:r>
          </w:p>
          <w:p w14:paraId="339F5591" w14:textId="77777777" w:rsidR="008F4AFF" w:rsidRPr="00D77B3B" w:rsidRDefault="008F4AFF" w:rsidP="008F4AFF">
            <w:pPr>
              <w:keepNext/>
              <w:autoSpaceDE w:val="0"/>
              <w:autoSpaceDN w:val="0"/>
              <w:adjustRightInd w:val="0"/>
              <w:spacing w:line="240" w:lineRule="auto"/>
              <w:jc w:val="center"/>
              <w:rPr>
                <w:b/>
                <w:szCs w:val="22"/>
              </w:rPr>
            </w:pPr>
            <w:r w:rsidRPr="00D77B3B">
              <w:rPr>
                <w:b/>
              </w:rPr>
              <w:t>N = 104</w:t>
            </w:r>
          </w:p>
        </w:tc>
        <w:tc>
          <w:tcPr>
            <w:tcW w:w="3886" w:type="dxa"/>
            <w:gridSpan w:val="3"/>
            <w:vAlign w:val="center"/>
          </w:tcPr>
          <w:p w14:paraId="02A269E8" w14:textId="77777777" w:rsidR="008F4AFF" w:rsidRPr="00D77B3B" w:rsidRDefault="008F4AFF" w:rsidP="008F4AFF">
            <w:pPr>
              <w:keepNext/>
              <w:autoSpaceDE w:val="0"/>
              <w:autoSpaceDN w:val="0"/>
              <w:adjustRightInd w:val="0"/>
              <w:spacing w:line="240" w:lineRule="auto"/>
              <w:jc w:val="center"/>
              <w:rPr>
                <w:b/>
                <w:szCs w:val="22"/>
              </w:rPr>
            </w:pPr>
            <w:proofErr w:type="gramStart"/>
            <w:r w:rsidRPr="00D77B3B">
              <w:rPr>
                <w:b/>
              </w:rPr>
              <w:t>avec</w:t>
            </w:r>
            <w:proofErr w:type="gramEnd"/>
            <w:r w:rsidRPr="00D77B3B">
              <w:rPr>
                <w:b/>
              </w:rPr>
              <w:t xml:space="preserve"> l’IL-2</w:t>
            </w:r>
          </w:p>
          <w:p w14:paraId="2BC58EAC" w14:textId="77777777" w:rsidR="008F4AFF" w:rsidRPr="00D77B3B" w:rsidRDefault="008F4AFF" w:rsidP="008F4AFF">
            <w:pPr>
              <w:keepNext/>
              <w:autoSpaceDE w:val="0"/>
              <w:autoSpaceDN w:val="0"/>
              <w:adjustRightInd w:val="0"/>
              <w:spacing w:line="240" w:lineRule="auto"/>
              <w:jc w:val="center"/>
              <w:rPr>
                <w:b/>
                <w:szCs w:val="22"/>
              </w:rPr>
            </w:pPr>
            <w:r w:rsidRPr="00D77B3B">
              <w:rPr>
                <w:b/>
              </w:rPr>
              <w:t>N = 107</w:t>
            </w:r>
          </w:p>
        </w:tc>
      </w:tr>
      <w:tr w:rsidR="00B608FF" w14:paraId="1E28F429" w14:textId="77777777" w:rsidTr="00D070AE">
        <w:trPr>
          <w:trHeight w:val="561"/>
        </w:trPr>
        <w:tc>
          <w:tcPr>
            <w:tcW w:w="1479" w:type="dxa"/>
            <w:vMerge/>
            <w:vAlign w:val="center"/>
          </w:tcPr>
          <w:p w14:paraId="5BC02EC0" w14:textId="77777777" w:rsidR="008F4AFF" w:rsidRPr="00D77B3B" w:rsidRDefault="008F4AFF" w:rsidP="008F4AFF">
            <w:pPr>
              <w:keepNext/>
              <w:autoSpaceDE w:val="0"/>
              <w:autoSpaceDN w:val="0"/>
              <w:adjustRightInd w:val="0"/>
              <w:spacing w:line="240" w:lineRule="auto"/>
              <w:rPr>
                <w:b/>
                <w:szCs w:val="22"/>
              </w:rPr>
            </w:pPr>
          </w:p>
        </w:tc>
        <w:tc>
          <w:tcPr>
            <w:tcW w:w="1328" w:type="dxa"/>
            <w:vAlign w:val="center"/>
          </w:tcPr>
          <w:p w14:paraId="76CE6D90" w14:textId="77777777" w:rsidR="008F4AFF" w:rsidRPr="00D77B3B" w:rsidRDefault="008F4AFF" w:rsidP="008F4AFF">
            <w:pPr>
              <w:keepNext/>
              <w:autoSpaceDE w:val="0"/>
              <w:autoSpaceDN w:val="0"/>
              <w:adjustRightInd w:val="0"/>
              <w:spacing w:line="240" w:lineRule="auto"/>
              <w:jc w:val="center"/>
              <w:rPr>
                <w:b/>
                <w:szCs w:val="22"/>
              </w:rPr>
            </w:pPr>
            <w:r w:rsidRPr="00D77B3B">
              <w:rPr>
                <w:b/>
              </w:rPr>
              <w:t>1 an</w:t>
            </w:r>
          </w:p>
        </w:tc>
        <w:tc>
          <w:tcPr>
            <w:tcW w:w="1260" w:type="dxa"/>
            <w:vAlign w:val="center"/>
          </w:tcPr>
          <w:p w14:paraId="684E2A24" w14:textId="77777777" w:rsidR="008F4AFF" w:rsidRPr="00D77B3B" w:rsidRDefault="008F4AFF" w:rsidP="008F4AFF">
            <w:pPr>
              <w:keepNext/>
              <w:autoSpaceDE w:val="0"/>
              <w:autoSpaceDN w:val="0"/>
              <w:adjustRightInd w:val="0"/>
              <w:spacing w:line="240" w:lineRule="auto"/>
              <w:jc w:val="center"/>
              <w:rPr>
                <w:b/>
                <w:szCs w:val="22"/>
              </w:rPr>
            </w:pPr>
            <w:r w:rsidRPr="00D77B3B">
              <w:rPr>
                <w:b/>
              </w:rPr>
              <w:t>2 ans</w:t>
            </w:r>
          </w:p>
        </w:tc>
        <w:tc>
          <w:tcPr>
            <w:tcW w:w="1334" w:type="dxa"/>
            <w:vAlign w:val="center"/>
          </w:tcPr>
          <w:p w14:paraId="19B39899" w14:textId="77777777" w:rsidR="008F4AFF" w:rsidRPr="00D77B3B" w:rsidRDefault="008F4AFF" w:rsidP="008F4AFF">
            <w:pPr>
              <w:keepNext/>
              <w:autoSpaceDE w:val="0"/>
              <w:autoSpaceDN w:val="0"/>
              <w:adjustRightInd w:val="0"/>
              <w:spacing w:line="240" w:lineRule="auto"/>
              <w:jc w:val="center"/>
              <w:rPr>
                <w:b/>
                <w:szCs w:val="22"/>
              </w:rPr>
            </w:pPr>
            <w:r w:rsidRPr="00D77B3B">
              <w:rPr>
                <w:b/>
              </w:rPr>
              <w:t>3 ans</w:t>
            </w:r>
          </w:p>
        </w:tc>
        <w:tc>
          <w:tcPr>
            <w:tcW w:w="1328" w:type="dxa"/>
            <w:vAlign w:val="center"/>
          </w:tcPr>
          <w:p w14:paraId="19F1E02E" w14:textId="77777777" w:rsidR="008F4AFF" w:rsidRPr="00D77B3B" w:rsidRDefault="008F4AFF" w:rsidP="008F4AFF">
            <w:pPr>
              <w:keepNext/>
              <w:autoSpaceDE w:val="0"/>
              <w:autoSpaceDN w:val="0"/>
              <w:adjustRightInd w:val="0"/>
              <w:spacing w:line="240" w:lineRule="auto"/>
              <w:jc w:val="center"/>
              <w:rPr>
                <w:b/>
                <w:szCs w:val="22"/>
              </w:rPr>
            </w:pPr>
            <w:r w:rsidRPr="00D77B3B">
              <w:rPr>
                <w:b/>
              </w:rPr>
              <w:t>1 an</w:t>
            </w:r>
          </w:p>
        </w:tc>
        <w:tc>
          <w:tcPr>
            <w:tcW w:w="1230" w:type="dxa"/>
            <w:vAlign w:val="center"/>
          </w:tcPr>
          <w:p w14:paraId="6F31F9D5" w14:textId="77777777" w:rsidR="008F4AFF" w:rsidRPr="00D77B3B" w:rsidRDefault="008F4AFF" w:rsidP="008F4AFF">
            <w:pPr>
              <w:keepNext/>
              <w:autoSpaceDE w:val="0"/>
              <w:autoSpaceDN w:val="0"/>
              <w:adjustRightInd w:val="0"/>
              <w:spacing w:line="240" w:lineRule="auto"/>
              <w:jc w:val="center"/>
              <w:rPr>
                <w:b/>
                <w:szCs w:val="22"/>
              </w:rPr>
            </w:pPr>
            <w:r w:rsidRPr="00D77B3B">
              <w:rPr>
                <w:b/>
              </w:rPr>
              <w:t>2 ans</w:t>
            </w:r>
          </w:p>
        </w:tc>
        <w:tc>
          <w:tcPr>
            <w:tcW w:w="1328" w:type="dxa"/>
            <w:vAlign w:val="center"/>
          </w:tcPr>
          <w:p w14:paraId="6B4A5843" w14:textId="77777777" w:rsidR="008F4AFF" w:rsidRPr="00D77B3B" w:rsidRDefault="008F4AFF" w:rsidP="008F4AFF">
            <w:pPr>
              <w:keepNext/>
              <w:autoSpaceDE w:val="0"/>
              <w:autoSpaceDN w:val="0"/>
              <w:adjustRightInd w:val="0"/>
              <w:spacing w:line="240" w:lineRule="auto"/>
              <w:jc w:val="center"/>
              <w:rPr>
                <w:b/>
                <w:szCs w:val="22"/>
              </w:rPr>
            </w:pPr>
            <w:r w:rsidRPr="00D77B3B">
              <w:rPr>
                <w:b/>
              </w:rPr>
              <w:t>3 ans</w:t>
            </w:r>
          </w:p>
        </w:tc>
      </w:tr>
      <w:tr w:rsidR="00B608FF" w14:paraId="076861D7" w14:textId="77777777" w:rsidTr="00D070AE">
        <w:trPr>
          <w:trHeight w:val="555"/>
        </w:trPr>
        <w:tc>
          <w:tcPr>
            <w:tcW w:w="1479" w:type="dxa"/>
            <w:vAlign w:val="center"/>
          </w:tcPr>
          <w:p w14:paraId="242B7913" w14:textId="77777777" w:rsidR="008F4AFF" w:rsidRPr="00D77B3B" w:rsidRDefault="008F4AFF" w:rsidP="008F4AFF">
            <w:pPr>
              <w:keepNext/>
              <w:autoSpaceDE w:val="0"/>
              <w:autoSpaceDN w:val="0"/>
              <w:adjustRightInd w:val="0"/>
              <w:spacing w:line="240" w:lineRule="auto"/>
              <w:rPr>
                <w:iCs/>
                <w:noProof/>
                <w:szCs w:val="22"/>
              </w:rPr>
            </w:pPr>
            <w:r w:rsidRPr="00D77B3B">
              <w:t>Survie sans événement</w:t>
            </w:r>
          </w:p>
        </w:tc>
        <w:tc>
          <w:tcPr>
            <w:tcW w:w="1328" w:type="dxa"/>
            <w:vAlign w:val="center"/>
          </w:tcPr>
          <w:p w14:paraId="32D09FE0" w14:textId="77777777" w:rsidR="008F4AFF" w:rsidRPr="00D77B3B" w:rsidRDefault="008F4AFF" w:rsidP="008F4AFF">
            <w:pPr>
              <w:keepNext/>
              <w:autoSpaceDE w:val="0"/>
              <w:autoSpaceDN w:val="0"/>
              <w:adjustRightInd w:val="0"/>
              <w:spacing w:line="240" w:lineRule="auto"/>
              <w:jc w:val="center"/>
              <w:rPr>
                <w:szCs w:val="22"/>
              </w:rPr>
            </w:pPr>
            <w:r w:rsidRPr="00D77B3B">
              <w:t>77 %</w:t>
            </w:r>
          </w:p>
          <w:p w14:paraId="08922347"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67;</w:t>
            </w:r>
            <w:proofErr w:type="gramEnd"/>
            <w:r w:rsidRPr="00D77B3B">
              <w:t xml:space="preserve"> 84]</w:t>
            </w:r>
          </w:p>
        </w:tc>
        <w:tc>
          <w:tcPr>
            <w:tcW w:w="1260" w:type="dxa"/>
            <w:vAlign w:val="center"/>
          </w:tcPr>
          <w:p w14:paraId="69601888" w14:textId="77777777" w:rsidR="008F4AFF" w:rsidRPr="00D77B3B" w:rsidRDefault="008F4AFF" w:rsidP="008F4AFF">
            <w:pPr>
              <w:keepNext/>
              <w:autoSpaceDE w:val="0"/>
              <w:autoSpaceDN w:val="0"/>
              <w:adjustRightInd w:val="0"/>
              <w:spacing w:line="240" w:lineRule="auto"/>
              <w:jc w:val="center"/>
              <w:rPr>
                <w:szCs w:val="22"/>
              </w:rPr>
            </w:pPr>
            <w:r w:rsidRPr="00D77B3B">
              <w:t>67 %</w:t>
            </w:r>
          </w:p>
          <w:p w14:paraId="269A0D06"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57;</w:t>
            </w:r>
            <w:proofErr w:type="gramEnd"/>
            <w:r w:rsidRPr="00D77B3B">
              <w:t xml:space="preserve"> 75]</w:t>
            </w:r>
          </w:p>
        </w:tc>
        <w:tc>
          <w:tcPr>
            <w:tcW w:w="1334" w:type="dxa"/>
            <w:vAlign w:val="center"/>
          </w:tcPr>
          <w:p w14:paraId="7EF25D11" w14:textId="77777777" w:rsidR="008F4AFF" w:rsidRPr="00D77B3B" w:rsidRDefault="008F4AFF" w:rsidP="008F4AFF">
            <w:pPr>
              <w:keepNext/>
              <w:autoSpaceDE w:val="0"/>
              <w:autoSpaceDN w:val="0"/>
              <w:adjustRightInd w:val="0"/>
              <w:spacing w:line="240" w:lineRule="auto"/>
              <w:jc w:val="center"/>
              <w:rPr>
                <w:szCs w:val="22"/>
              </w:rPr>
            </w:pPr>
            <w:r w:rsidRPr="00D77B3B">
              <w:t>62 %</w:t>
            </w:r>
          </w:p>
          <w:p w14:paraId="32E956BA"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51;</w:t>
            </w:r>
            <w:proofErr w:type="gramEnd"/>
            <w:r w:rsidRPr="00D77B3B">
              <w:t xml:space="preserve"> 71]</w:t>
            </w:r>
          </w:p>
        </w:tc>
        <w:tc>
          <w:tcPr>
            <w:tcW w:w="1328" w:type="dxa"/>
            <w:vAlign w:val="center"/>
          </w:tcPr>
          <w:p w14:paraId="3CB0F9A8" w14:textId="77777777" w:rsidR="008F4AFF" w:rsidRPr="00D77B3B" w:rsidRDefault="008F4AFF" w:rsidP="008F4AFF">
            <w:pPr>
              <w:keepNext/>
              <w:autoSpaceDE w:val="0"/>
              <w:autoSpaceDN w:val="0"/>
              <w:adjustRightInd w:val="0"/>
              <w:spacing w:line="240" w:lineRule="auto"/>
              <w:jc w:val="center"/>
              <w:rPr>
                <w:szCs w:val="22"/>
              </w:rPr>
            </w:pPr>
            <w:r w:rsidRPr="00D77B3B">
              <w:t>73 %</w:t>
            </w:r>
          </w:p>
          <w:p w14:paraId="6C6684EF"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63;</w:t>
            </w:r>
            <w:proofErr w:type="gramEnd"/>
            <w:r w:rsidRPr="00D77B3B">
              <w:t xml:space="preserve"> 80]</w:t>
            </w:r>
          </w:p>
        </w:tc>
        <w:tc>
          <w:tcPr>
            <w:tcW w:w="1230" w:type="dxa"/>
            <w:vAlign w:val="center"/>
          </w:tcPr>
          <w:p w14:paraId="3406BC09" w14:textId="77777777" w:rsidR="008F4AFF" w:rsidRPr="00D77B3B" w:rsidRDefault="008F4AFF" w:rsidP="008F4AFF">
            <w:pPr>
              <w:keepNext/>
              <w:autoSpaceDE w:val="0"/>
              <w:autoSpaceDN w:val="0"/>
              <w:adjustRightInd w:val="0"/>
              <w:spacing w:line="240" w:lineRule="auto"/>
              <w:jc w:val="center"/>
              <w:rPr>
                <w:szCs w:val="22"/>
              </w:rPr>
            </w:pPr>
            <w:r w:rsidRPr="00D77B3B">
              <w:t>70%</w:t>
            </w:r>
          </w:p>
          <w:p w14:paraId="01687ED0"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60;</w:t>
            </w:r>
            <w:proofErr w:type="gramEnd"/>
            <w:r w:rsidRPr="00D77B3B">
              <w:t xml:space="preserve"> 77]</w:t>
            </w:r>
          </w:p>
        </w:tc>
        <w:tc>
          <w:tcPr>
            <w:tcW w:w="1328" w:type="dxa"/>
            <w:vAlign w:val="center"/>
          </w:tcPr>
          <w:p w14:paraId="20D5A75D" w14:textId="77777777" w:rsidR="008F4AFF" w:rsidRPr="00D77B3B" w:rsidRDefault="008F4AFF" w:rsidP="008F4AFF">
            <w:pPr>
              <w:keepNext/>
              <w:autoSpaceDE w:val="0"/>
              <w:autoSpaceDN w:val="0"/>
              <w:adjustRightInd w:val="0"/>
              <w:spacing w:line="240" w:lineRule="auto"/>
              <w:jc w:val="center"/>
              <w:rPr>
                <w:szCs w:val="22"/>
              </w:rPr>
            </w:pPr>
            <w:r w:rsidRPr="00D77B3B">
              <w:t>66 %</w:t>
            </w:r>
          </w:p>
          <w:p w14:paraId="3F825E4C"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56;</w:t>
            </w:r>
            <w:proofErr w:type="gramEnd"/>
            <w:r w:rsidRPr="00D77B3B">
              <w:t xml:space="preserve"> 75]</w:t>
            </w:r>
          </w:p>
        </w:tc>
      </w:tr>
      <w:tr w:rsidR="00B608FF" w14:paraId="779A900F" w14:textId="77777777" w:rsidTr="00D070AE">
        <w:trPr>
          <w:trHeight w:val="563"/>
        </w:trPr>
        <w:tc>
          <w:tcPr>
            <w:tcW w:w="1479" w:type="dxa"/>
            <w:vAlign w:val="center"/>
          </w:tcPr>
          <w:p w14:paraId="4A7E3731" w14:textId="77777777" w:rsidR="008F4AFF" w:rsidRPr="00D77B3B" w:rsidRDefault="008F4AFF" w:rsidP="008F4AFF">
            <w:pPr>
              <w:keepNext/>
              <w:autoSpaceDE w:val="0"/>
              <w:autoSpaceDN w:val="0"/>
              <w:adjustRightInd w:val="0"/>
              <w:spacing w:line="240" w:lineRule="auto"/>
              <w:rPr>
                <w:szCs w:val="22"/>
              </w:rPr>
            </w:pPr>
            <w:r w:rsidRPr="00D77B3B">
              <w:t>Survie globale</w:t>
            </w:r>
          </w:p>
        </w:tc>
        <w:tc>
          <w:tcPr>
            <w:tcW w:w="1328" w:type="dxa"/>
            <w:vAlign w:val="center"/>
          </w:tcPr>
          <w:p w14:paraId="67183495" w14:textId="77777777" w:rsidR="008F4AFF" w:rsidRPr="00D77B3B" w:rsidRDefault="008F4AFF" w:rsidP="008F4AFF">
            <w:pPr>
              <w:keepNext/>
              <w:autoSpaceDE w:val="0"/>
              <w:autoSpaceDN w:val="0"/>
              <w:adjustRightInd w:val="0"/>
              <w:spacing w:line="240" w:lineRule="auto"/>
              <w:jc w:val="center"/>
              <w:rPr>
                <w:szCs w:val="22"/>
              </w:rPr>
            </w:pPr>
            <w:r w:rsidRPr="00D77B3B">
              <w:t>89 %</w:t>
            </w:r>
          </w:p>
          <w:p w14:paraId="26A6138B"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81;</w:t>
            </w:r>
            <w:proofErr w:type="gramEnd"/>
            <w:r w:rsidRPr="00D77B3B">
              <w:t xml:space="preserve"> 94]</w:t>
            </w:r>
          </w:p>
        </w:tc>
        <w:tc>
          <w:tcPr>
            <w:tcW w:w="1260" w:type="dxa"/>
            <w:vAlign w:val="center"/>
          </w:tcPr>
          <w:p w14:paraId="4C48860D" w14:textId="77777777" w:rsidR="008F4AFF" w:rsidRPr="00D77B3B" w:rsidRDefault="008F4AFF" w:rsidP="008F4AFF">
            <w:pPr>
              <w:keepNext/>
              <w:autoSpaceDE w:val="0"/>
              <w:autoSpaceDN w:val="0"/>
              <w:adjustRightInd w:val="0"/>
              <w:spacing w:line="240" w:lineRule="auto"/>
              <w:jc w:val="center"/>
              <w:rPr>
                <w:szCs w:val="22"/>
              </w:rPr>
            </w:pPr>
            <w:r w:rsidRPr="00D77B3B">
              <w:t>78 %</w:t>
            </w:r>
          </w:p>
          <w:p w14:paraId="154B704D"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68;</w:t>
            </w:r>
            <w:proofErr w:type="gramEnd"/>
            <w:r w:rsidRPr="00D77B3B">
              <w:t xml:space="preserve"> 85]</w:t>
            </w:r>
          </w:p>
        </w:tc>
        <w:tc>
          <w:tcPr>
            <w:tcW w:w="1334" w:type="dxa"/>
            <w:vAlign w:val="center"/>
          </w:tcPr>
          <w:p w14:paraId="0A1FE9B5" w14:textId="77777777" w:rsidR="008F4AFF" w:rsidRPr="00D77B3B" w:rsidRDefault="008F4AFF" w:rsidP="008F4AFF">
            <w:pPr>
              <w:keepNext/>
              <w:autoSpaceDE w:val="0"/>
              <w:autoSpaceDN w:val="0"/>
              <w:adjustRightInd w:val="0"/>
              <w:spacing w:line="240" w:lineRule="auto"/>
              <w:jc w:val="center"/>
              <w:rPr>
                <w:szCs w:val="22"/>
              </w:rPr>
            </w:pPr>
            <w:r w:rsidRPr="00D77B3B">
              <w:t>71 %</w:t>
            </w:r>
          </w:p>
          <w:p w14:paraId="05556CEB"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60;</w:t>
            </w:r>
            <w:proofErr w:type="gramEnd"/>
            <w:r w:rsidRPr="00D77B3B">
              <w:t xml:space="preserve"> 80]</w:t>
            </w:r>
          </w:p>
        </w:tc>
        <w:tc>
          <w:tcPr>
            <w:tcW w:w="1328" w:type="dxa"/>
            <w:vAlign w:val="center"/>
          </w:tcPr>
          <w:p w14:paraId="394034A2" w14:textId="77777777" w:rsidR="008F4AFF" w:rsidRPr="00D77B3B" w:rsidRDefault="008F4AFF" w:rsidP="008F4AFF">
            <w:pPr>
              <w:keepNext/>
              <w:autoSpaceDE w:val="0"/>
              <w:autoSpaceDN w:val="0"/>
              <w:adjustRightInd w:val="0"/>
              <w:spacing w:line="240" w:lineRule="auto"/>
              <w:jc w:val="center"/>
              <w:rPr>
                <w:szCs w:val="22"/>
              </w:rPr>
            </w:pPr>
            <w:r w:rsidRPr="00D77B3B">
              <w:t>89 %</w:t>
            </w:r>
          </w:p>
          <w:p w14:paraId="6F300CB5"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81;</w:t>
            </w:r>
            <w:proofErr w:type="gramEnd"/>
            <w:r w:rsidRPr="00D77B3B">
              <w:t xml:space="preserve"> 93]</w:t>
            </w:r>
          </w:p>
        </w:tc>
        <w:tc>
          <w:tcPr>
            <w:tcW w:w="1230" w:type="dxa"/>
            <w:vAlign w:val="center"/>
          </w:tcPr>
          <w:p w14:paraId="21645E23" w14:textId="77777777" w:rsidR="008F4AFF" w:rsidRPr="00D77B3B" w:rsidRDefault="008F4AFF" w:rsidP="008F4AFF">
            <w:pPr>
              <w:keepNext/>
              <w:autoSpaceDE w:val="0"/>
              <w:autoSpaceDN w:val="0"/>
              <w:adjustRightInd w:val="0"/>
              <w:spacing w:line="240" w:lineRule="auto"/>
              <w:jc w:val="center"/>
              <w:rPr>
                <w:szCs w:val="22"/>
              </w:rPr>
            </w:pPr>
            <w:r w:rsidRPr="00D77B3B">
              <w:t>78 %</w:t>
            </w:r>
          </w:p>
          <w:p w14:paraId="227C2B39"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68;</w:t>
            </w:r>
            <w:proofErr w:type="gramEnd"/>
            <w:r w:rsidRPr="00D77B3B">
              <w:t xml:space="preserve"> 85]</w:t>
            </w:r>
          </w:p>
        </w:tc>
        <w:tc>
          <w:tcPr>
            <w:tcW w:w="1328" w:type="dxa"/>
            <w:vAlign w:val="center"/>
          </w:tcPr>
          <w:p w14:paraId="109300A1" w14:textId="77777777" w:rsidR="008F4AFF" w:rsidRPr="00D77B3B" w:rsidRDefault="008F4AFF" w:rsidP="008F4AFF">
            <w:pPr>
              <w:keepNext/>
              <w:autoSpaceDE w:val="0"/>
              <w:autoSpaceDN w:val="0"/>
              <w:adjustRightInd w:val="0"/>
              <w:spacing w:line="240" w:lineRule="auto"/>
              <w:jc w:val="center"/>
              <w:rPr>
                <w:szCs w:val="22"/>
              </w:rPr>
            </w:pPr>
            <w:r w:rsidRPr="00D77B3B">
              <w:t>72 %</w:t>
            </w:r>
          </w:p>
          <w:p w14:paraId="728BC892"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61;</w:t>
            </w:r>
            <w:proofErr w:type="gramEnd"/>
            <w:r w:rsidRPr="00D77B3B">
              <w:t xml:space="preserve"> 80]</w:t>
            </w:r>
          </w:p>
        </w:tc>
      </w:tr>
    </w:tbl>
    <w:p w14:paraId="7F957593" w14:textId="77777777" w:rsidR="008F4AFF" w:rsidRPr="00D77B3B" w:rsidRDefault="008F4AFF" w:rsidP="008F4AFF">
      <w:pPr>
        <w:autoSpaceDE w:val="0"/>
        <w:autoSpaceDN w:val="0"/>
        <w:adjustRightInd w:val="0"/>
        <w:spacing w:line="240" w:lineRule="auto"/>
        <w:rPr>
          <w:szCs w:val="22"/>
        </w:rPr>
      </w:pPr>
    </w:p>
    <w:p w14:paraId="23CC786C" w14:textId="76764AC8" w:rsidR="008F4AFF" w:rsidRPr="00D77B3B" w:rsidRDefault="008F4AFF" w:rsidP="008F4AFF">
      <w:pPr>
        <w:keepNext/>
        <w:autoSpaceDE w:val="0"/>
        <w:autoSpaceDN w:val="0"/>
        <w:adjustRightInd w:val="0"/>
        <w:spacing w:line="240" w:lineRule="auto"/>
        <w:rPr>
          <w:szCs w:val="22"/>
        </w:rPr>
      </w:pPr>
      <w:r w:rsidRPr="00D77B3B">
        <w:t>Tableau </w:t>
      </w:r>
      <w:proofErr w:type="gramStart"/>
      <w:r w:rsidRPr="00D77B3B">
        <w:t>3:</w:t>
      </w:r>
      <w:proofErr w:type="gramEnd"/>
      <w:r w:rsidRPr="00D77B3B">
        <w:t xml:space="preserve"> Taux de survie sans événement et de survie globale (intervalle de confiance à 95 %) chez les patients montrant des signes de maladie au </w:t>
      </w:r>
      <w:r w:rsidR="00696156">
        <w:t>début de l’étude</w:t>
      </w:r>
      <w:r w:rsidR="00696156" w:rsidRPr="00D77B3B">
        <w:t xml:space="preserve"> </w:t>
      </w:r>
      <w:r w:rsidRPr="00D77B3B">
        <w:t>(pas de réponse complète au traitement initial)</w:t>
      </w:r>
    </w:p>
    <w:tbl>
      <w:tblPr>
        <w:tblStyle w:val="TableGrid"/>
        <w:tblW w:w="0" w:type="auto"/>
        <w:tblLook w:val="04A0" w:firstRow="1" w:lastRow="0" w:firstColumn="1" w:lastColumn="0" w:noHBand="0" w:noVBand="1"/>
      </w:tblPr>
      <w:tblGrid>
        <w:gridCol w:w="1446"/>
        <w:gridCol w:w="1167"/>
        <w:gridCol w:w="1188"/>
        <w:gridCol w:w="1337"/>
        <w:gridCol w:w="1477"/>
        <w:gridCol w:w="1174"/>
        <w:gridCol w:w="1272"/>
      </w:tblGrid>
      <w:tr w:rsidR="00B608FF" w14:paraId="4BCE1168" w14:textId="77777777" w:rsidTr="00A60D1E">
        <w:trPr>
          <w:trHeight w:val="539"/>
        </w:trPr>
        <w:tc>
          <w:tcPr>
            <w:tcW w:w="1462" w:type="dxa"/>
            <w:vMerge w:val="restart"/>
            <w:vAlign w:val="center"/>
          </w:tcPr>
          <w:p w14:paraId="76348FFD" w14:textId="77777777" w:rsidR="008F4AFF" w:rsidRPr="00D77B3B" w:rsidRDefault="008F4AFF" w:rsidP="008F4AFF">
            <w:pPr>
              <w:keepNext/>
              <w:autoSpaceDE w:val="0"/>
              <w:autoSpaceDN w:val="0"/>
              <w:adjustRightInd w:val="0"/>
              <w:spacing w:line="240" w:lineRule="auto"/>
              <w:rPr>
                <w:b/>
                <w:szCs w:val="22"/>
              </w:rPr>
            </w:pPr>
            <w:r w:rsidRPr="00D77B3B">
              <w:rPr>
                <w:b/>
              </w:rPr>
              <w:t>Efficacité</w:t>
            </w:r>
          </w:p>
        </w:tc>
        <w:tc>
          <w:tcPr>
            <w:tcW w:w="3790" w:type="dxa"/>
            <w:gridSpan w:val="3"/>
            <w:vAlign w:val="center"/>
          </w:tcPr>
          <w:p w14:paraId="5984C50F" w14:textId="77777777" w:rsidR="008F4AFF" w:rsidRPr="00D77B3B" w:rsidRDefault="008F4AFF" w:rsidP="008F4AFF">
            <w:pPr>
              <w:keepNext/>
              <w:autoSpaceDE w:val="0"/>
              <w:autoSpaceDN w:val="0"/>
              <w:adjustRightInd w:val="0"/>
              <w:spacing w:line="240" w:lineRule="auto"/>
              <w:jc w:val="center"/>
              <w:rPr>
                <w:b/>
                <w:szCs w:val="22"/>
              </w:rPr>
            </w:pPr>
            <w:proofErr w:type="gramStart"/>
            <w:r w:rsidRPr="00D77B3B">
              <w:rPr>
                <w:b/>
              </w:rPr>
              <w:t>sans</w:t>
            </w:r>
            <w:proofErr w:type="gramEnd"/>
            <w:r w:rsidRPr="00D77B3B">
              <w:rPr>
                <w:b/>
              </w:rPr>
              <w:t xml:space="preserve"> l’IL-2</w:t>
            </w:r>
          </w:p>
          <w:p w14:paraId="5588BCDF" w14:textId="77777777" w:rsidR="008F4AFF" w:rsidRPr="00D77B3B" w:rsidRDefault="008F4AFF" w:rsidP="008F4AFF">
            <w:pPr>
              <w:keepNext/>
              <w:autoSpaceDE w:val="0"/>
              <w:autoSpaceDN w:val="0"/>
              <w:adjustRightInd w:val="0"/>
              <w:spacing w:line="240" w:lineRule="auto"/>
              <w:jc w:val="center"/>
              <w:rPr>
                <w:b/>
                <w:szCs w:val="22"/>
              </w:rPr>
            </w:pPr>
            <w:r w:rsidRPr="00D77B3B">
              <w:rPr>
                <w:b/>
              </w:rPr>
              <w:t>N = 73</w:t>
            </w:r>
          </w:p>
        </w:tc>
        <w:tc>
          <w:tcPr>
            <w:tcW w:w="4035" w:type="dxa"/>
            <w:gridSpan w:val="3"/>
            <w:vAlign w:val="center"/>
          </w:tcPr>
          <w:p w14:paraId="79C28A7B" w14:textId="77777777" w:rsidR="008F4AFF" w:rsidRPr="00D77B3B" w:rsidRDefault="008F4AFF" w:rsidP="008F4AFF">
            <w:pPr>
              <w:keepNext/>
              <w:autoSpaceDE w:val="0"/>
              <w:autoSpaceDN w:val="0"/>
              <w:adjustRightInd w:val="0"/>
              <w:spacing w:line="240" w:lineRule="auto"/>
              <w:jc w:val="center"/>
              <w:rPr>
                <w:b/>
                <w:szCs w:val="22"/>
              </w:rPr>
            </w:pPr>
            <w:proofErr w:type="gramStart"/>
            <w:r w:rsidRPr="00D77B3B">
              <w:rPr>
                <w:b/>
              </w:rPr>
              <w:t>avec</w:t>
            </w:r>
            <w:proofErr w:type="gramEnd"/>
            <w:r w:rsidRPr="00D77B3B">
              <w:rPr>
                <w:b/>
              </w:rPr>
              <w:t xml:space="preserve"> l’IL-2</w:t>
            </w:r>
          </w:p>
          <w:p w14:paraId="374777DC" w14:textId="77777777" w:rsidR="008F4AFF" w:rsidRPr="00D77B3B" w:rsidRDefault="008F4AFF" w:rsidP="008F4AFF">
            <w:pPr>
              <w:keepNext/>
              <w:autoSpaceDE w:val="0"/>
              <w:autoSpaceDN w:val="0"/>
              <w:adjustRightInd w:val="0"/>
              <w:spacing w:line="240" w:lineRule="auto"/>
              <w:jc w:val="center"/>
              <w:rPr>
                <w:b/>
                <w:szCs w:val="22"/>
              </w:rPr>
            </w:pPr>
            <w:r w:rsidRPr="00D77B3B">
              <w:rPr>
                <w:b/>
              </w:rPr>
              <w:t>N = 76</w:t>
            </w:r>
          </w:p>
        </w:tc>
      </w:tr>
      <w:tr w:rsidR="00B608FF" w14:paraId="68AFFA86" w14:textId="77777777" w:rsidTr="00A60D1E">
        <w:trPr>
          <w:trHeight w:val="561"/>
        </w:trPr>
        <w:tc>
          <w:tcPr>
            <w:tcW w:w="1462" w:type="dxa"/>
            <w:vMerge/>
            <w:vAlign w:val="center"/>
          </w:tcPr>
          <w:p w14:paraId="3B7E9E7E" w14:textId="77777777" w:rsidR="008F4AFF" w:rsidRPr="00D77B3B" w:rsidRDefault="008F4AFF" w:rsidP="008F4AFF">
            <w:pPr>
              <w:keepNext/>
              <w:autoSpaceDE w:val="0"/>
              <w:autoSpaceDN w:val="0"/>
              <w:adjustRightInd w:val="0"/>
              <w:spacing w:line="240" w:lineRule="auto"/>
              <w:rPr>
                <w:b/>
                <w:szCs w:val="22"/>
              </w:rPr>
            </w:pPr>
          </w:p>
        </w:tc>
        <w:tc>
          <w:tcPr>
            <w:tcW w:w="1196" w:type="dxa"/>
            <w:vAlign w:val="center"/>
          </w:tcPr>
          <w:p w14:paraId="03932E34" w14:textId="77777777" w:rsidR="008F4AFF" w:rsidRPr="00D77B3B" w:rsidRDefault="008F4AFF" w:rsidP="008F4AFF">
            <w:pPr>
              <w:keepNext/>
              <w:autoSpaceDE w:val="0"/>
              <w:autoSpaceDN w:val="0"/>
              <w:adjustRightInd w:val="0"/>
              <w:spacing w:line="240" w:lineRule="auto"/>
              <w:jc w:val="center"/>
              <w:rPr>
                <w:b/>
                <w:szCs w:val="22"/>
              </w:rPr>
            </w:pPr>
            <w:r w:rsidRPr="00D77B3B">
              <w:rPr>
                <w:b/>
              </w:rPr>
              <w:t>1 an</w:t>
            </w:r>
          </w:p>
        </w:tc>
        <w:tc>
          <w:tcPr>
            <w:tcW w:w="1218" w:type="dxa"/>
            <w:vAlign w:val="center"/>
          </w:tcPr>
          <w:p w14:paraId="40603FFB" w14:textId="77777777" w:rsidR="008F4AFF" w:rsidRPr="00D77B3B" w:rsidRDefault="008F4AFF" w:rsidP="008F4AFF">
            <w:pPr>
              <w:keepNext/>
              <w:autoSpaceDE w:val="0"/>
              <w:autoSpaceDN w:val="0"/>
              <w:adjustRightInd w:val="0"/>
              <w:spacing w:line="240" w:lineRule="auto"/>
              <w:jc w:val="center"/>
              <w:rPr>
                <w:b/>
                <w:szCs w:val="22"/>
              </w:rPr>
            </w:pPr>
            <w:r w:rsidRPr="00D77B3B">
              <w:rPr>
                <w:b/>
              </w:rPr>
              <w:t>2 ans</w:t>
            </w:r>
          </w:p>
        </w:tc>
        <w:tc>
          <w:tcPr>
            <w:tcW w:w="1376" w:type="dxa"/>
            <w:vAlign w:val="center"/>
          </w:tcPr>
          <w:p w14:paraId="478357C6" w14:textId="77777777" w:rsidR="008F4AFF" w:rsidRPr="00D77B3B" w:rsidRDefault="008F4AFF" w:rsidP="008F4AFF">
            <w:pPr>
              <w:keepNext/>
              <w:autoSpaceDE w:val="0"/>
              <w:autoSpaceDN w:val="0"/>
              <w:adjustRightInd w:val="0"/>
              <w:spacing w:line="240" w:lineRule="auto"/>
              <w:jc w:val="center"/>
              <w:rPr>
                <w:b/>
                <w:szCs w:val="22"/>
              </w:rPr>
            </w:pPr>
            <w:r w:rsidRPr="00D77B3B">
              <w:rPr>
                <w:b/>
              </w:rPr>
              <w:t>3 ans</w:t>
            </w:r>
          </w:p>
        </w:tc>
        <w:tc>
          <w:tcPr>
            <w:tcW w:w="1525" w:type="dxa"/>
            <w:vAlign w:val="center"/>
          </w:tcPr>
          <w:p w14:paraId="14CB2DBC" w14:textId="77777777" w:rsidR="008F4AFF" w:rsidRPr="00D77B3B" w:rsidRDefault="008F4AFF" w:rsidP="008F4AFF">
            <w:pPr>
              <w:keepNext/>
              <w:autoSpaceDE w:val="0"/>
              <w:autoSpaceDN w:val="0"/>
              <w:adjustRightInd w:val="0"/>
              <w:spacing w:line="240" w:lineRule="auto"/>
              <w:jc w:val="center"/>
              <w:rPr>
                <w:b/>
                <w:szCs w:val="22"/>
              </w:rPr>
            </w:pPr>
            <w:r w:rsidRPr="00D77B3B">
              <w:rPr>
                <w:b/>
              </w:rPr>
              <w:t>1 an</w:t>
            </w:r>
          </w:p>
        </w:tc>
        <w:tc>
          <w:tcPr>
            <w:tcW w:w="1203" w:type="dxa"/>
            <w:vAlign w:val="center"/>
          </w:tcPr>
          <w:p w14:paraId="51A640DD" w14:textId="77777777" w:rsidR="008F4AFF" w:rsidRPr="00D77B3B" w:rsidRDefault="008F4AFF" w:rsidP="008F4AFF">
            <w:pPr>
              <w:keepNext/>
              <w:autoSpaceDE w:val="0"/>
              <w:autoSpaceDN w:val="0"/>
              <w:adjustRightInd w:val="0"/>
              <w:spacing w:line="240" w:lineRule="auto"/>
              <w:jc w:val="center"/>
              <w:rPr>
                <w:b/>
                <w:szCs w:val="22"/>
              </w:rPr>
            </w:pPr>
            <w:r w:rsidRPr="00D77B3B">
              <w:rPr>
                <w:b/>
              </w:rPr>
              <w:t>2 ans</w:t>
            </w:r>
          </w:p>
        </w:tc>
        <w:tc>
          <w:tcPr>
            <w:tcW w:w="1307" w:type="dxa"/>
            <w:vAlign w:val="center"/>
          </w:tcPr>
          <w:p w14:paraId="721347A2" w14:textId="77777777" w:rsidR="008F4AFF" w:rsidRPr="00D77B3B" w:rsidRDefault="008F4AFF" w:rsidP="008F4AFF">
            <w:pPr>
              <w:keepNext/>
              <w:autoSpaceDE w:val="0"/>
              <w:autoSpaceDN w:val="0"/>
              <w:adjustRightInd w:val="0"/>
              <w:spacing w:line="240" w:lineRule="auto"/>
              <w:jc w:val="center"/>
              <w:rPr>
                <w:b/>
                <w:szCs w:val="22"/>
              </w:rPr>
            </w:pPr>
            <w:r w:rsidRPr="00D77B3B">
              <w:rPr>
                <w:b/>
              </w:rPr>
              <w:t>3 ans</w:t>
            </w:r>
          </w:p>
        </w:tc>
      </w:tr>
      <w:tr w:rsidR="00B608FF" w14:paraId="0D8021B3" w14:textId="77777777" w:rsidTr="00A60D1E">
        <w:trPr>
          <w:trHeight w:val="555"/>
        </w:trPr>
        <w:tc>
          <w:tcPr>
            <w:tcW w:w="1462" w:type="dxa"/>
            <w:vAlign w:val="center"/>
          </w:tcPr>
          <w:p w14:paraId="422ADD71" w14:textId="77777777" w:rsidR="008F4AFF" w:rsidRPr="00D77B3B" w:rsidRDefault="008F4AFF" w:rsidP="008F4AFF">
            <w:pPr>
              <w:keepNext/>
              <w:autoSpaceDE w:val="0"/>
              <w:autoSpaceDN w:val="0"/>
              <w:adjustRightInd w:val="0"/>
              <w:spacing w:line="240" w:lineRule="auto"/>
              <w:rPr>
                <w:iCs/>
                <w:noProof/>
                <w:szCs w:val="22"/>
              </w:rPr>
            </w:pPr>
            <w:r w:rsidRPr="00D77B3B">
              <w:t>Survie sans événement</w:t>
            </w:r>
          </w:p>
        </w:tc>
        <w:tc>
          <w:tcPr>
            <w:tcW w:w="1196" w:type="dxa"/>
            <w:vAlign w:val="center"/>
          </w:tcPr>
          <w:p w14:paraId="017E0E13" w14:textId="77777777" w:rsidR="008F4AFF" w:rsidRPr="00D77B3B" w:rsidRDefault="008F4AFF" w:rsidP="008F4AFF">
            <w:pPr>
              <w:keepNext/>
              <w:autoSpaceDE w:val="0"/>
              <w:autoSpaceDN w:val="0"/>
              <w:adjustRightInd w:val="0"/>
              <w:spacing w:line="240" w:lineRule="auto"/>
              <w:jc w:val="center"/>
              <w:rPr>
                <w:szCs w:val="22"/>
              </w:rPr>
            </w:pPr>
            <w:r w:rsidRPr="00D77B3B">
              <w:t>67 %</w:t>
            </w:r>
          </w:p>
          <w:p w14:paraId="5BEE9018"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55;</w:t>
            </w:r>
            <w:proofErr w:type="gramEnd"/>
            <w:r w:rsidRPr="00D77B3B">
              <w:t xml:space="preserve"> 76]</w:t>
            </w:r>
          </w:p>
        </w:tc>
        <w:tc>
          <w:tcPr>
            <w:tcW w:w="1218" w:type="dxa"/>
            <w:vAlign w:val="center"/>
          </w:tcPr>
          <w:p w14:paraId="6A1AD477" w14:textId="77777777" w:rsidR="008F4AFF" w:rsidRPr="00D77B3B" w:rsidRDefault="008F4AFF" w:rsidP="008F4AFF">
            <w:pPr>
              <w:keepNext/>
              <w:autoSpaceDE w:val="0"/>
              <w:autoSpaceDN w:val="0"/>
              <w:adjustRightInd w:val="0"/>
              <w:spacing w:line="240" w:lineRule="auto"/>
              <w:jc w:val="center"/>
              <w:rPr>
                <w:szCs w:val="22"/>
              </w:rPr>
            </w:pPr>
            <w:r w:rsidRPr="00D77B3B">
              <w:t>58 %</w:t>
            </w:r>
          </w:p>
          <w:p w14:paraId="2255C62E"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45;</w:t>
            </w:r>
            <w:proofErr w:type="gramEnd"/>
            <w:r w:rsidRPr="00D77B3B">
              <w:t xml:space="preserve"> 69]</w:t>
            </w:r>
          </w:p>
        </w:tc>
        <w:tc>
          <w:tcPr>
            <w:tcW w:w="1376" w:type="dxa"/>
            <w:vAlign w:val="center"/>
          </w:tcPr>
          <w:p w14:paraId="4FA08A3B" w14:textId="77777777" w:rsidR="008F4AFF" w:rsidRPr="00D77B3B" w:rsidRDefault="008F4AFF" w:rsidP="008F4AFF">
            <w:pPr>
              <w:keepNext/>
              <w:autoSpaceDE w:val="0"/>
              <w:autoSpaceDN w:val="0"/>
              <w:adjustRightInd w:val="0"/>
              <w:spacing w:line="240" w:lineRule="auto"/>
              <w:jc w:val="center"/>
              <w:rPr>
                <w:szCs w:val="22"/>
              </w:rPr>
            </w:pPr>
            <w:r w:rsidRPr="00D77B3B">
              <w:t>46 %</w:t>
            </w:r>
          </w:p>
          <w:p w14:paraId="5CE3EA20"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33;</w:t>
            </w:r>
            <w:proofErr w:type="gramEnd"/>
            <w:r w:rsidRPr="00D77B3B">
              <w:t xml:space="preserve"> 58]</w:t>
            </w:r>
          </w:p>
        </w:tc>
        <w:tc>
          <w:tcPr>
            <w:tcW w:w="1525" w:type="dxa"/>
            <w:vAlign w:val="center"/>
          </w:tcPr>
          <w:p w14:paraId="2E99AEA9" w14:textId="77777777" w:rsidR="008F4AFF" w:rsidRPr="00D77B3B" w:rsidRDefault="008F4AFF" w:rsidP="008F4AFF">
            <w:pPr>
              <w:keepNext/>
              <w:autoSpaceDE w:val="0"/>
              <w:autoSpaceDN w:val="0"/>
              <w:adjustRightInd w:val="0"/>
              <w:spacing w:line="240" w:lineRule="auto"/>
              <w:jc w:val="center"/>
              <w:rPr>
                <w:szCs w:val="22"/>
              </w:rPr>
            </w:pPr>
            <w:r w:rsidRPr="00D77B3B">
              <w:t>72 %</w:t>
            </w:r>
          </w:p>
          <w:p w14:paraId="58CE457C"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60;</w:t>
            </w:r>
            <w:proofErr w:type="gramEnd"/>
            <w:r w:rsidRPr="00D77B3B">
              <w:t xml:space="preserve"> 81]</w:t>
            </w:r>
          </w:p>
        </w:tc>
        <w:tc>
          <w:tcPr>
            <w:tcW w:w="1203" w:type="dxa"/>
            <w:vAlign w:val="center"/>
          </w:tcPr>
          <w:p w14:paraId="7C4C99CF" w14:textId="77777777" w:rsidR="008F4AFF" w:rsidRPr="00D77B3B" w:rsidRDefault="008F4AFF" w:rsidP="008F4AFF">
            <w:pPr>
              <w:keepNext/>
              <w:autoSpaceDE w:val="0"/>
              <w:autoSpaceDN w:val="0"/>
              <w:adjustRightInd w:val="0"/>
              <w:spacing w:line="240" w:lineRule="auto"/>
              <w:jc w:val="center"/>
              <w:rPr>
                <w:szCs w:val="22"/>
              </w:rPr>
            </w:pPr>
            <w:r w:rsidRPr="00D77B3B">
              <w:t>62 %</w:t>
            </w:r>
          </w:p>
          <w:p w14:paraId="21B58C64"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49;</w:t>
            </w:r>
            <w:proofErr w:type="gramEnd"/>
            <w:r w:rsidRPr="00D77B3B">
              <w:t xml:space="preserve"> 72]</w:t>
            </w:r>
          </w:p>
        </w:tc>
        <w:tc>
          <w:tcPr>
            <w:tcW w:w="1307" w:type="dxa"/>
            <w:vAlign w:val="center"/>
          </w:tcPr>
          <w:p w14:paraId="4CD7AB46" w14:textId="77777777" w:rsidR="008F4AFF" w:rsidRPr="00D77B3B" w:rsidRDefault="008F4AFF" w:rsidP="008F4AFF">
            <w:pPr>
              <w:keepNext/>
              <w:autoSpaceDE w:val="0"/>
              <w:autoSpaceDN w:val="0"/>
              <w:adjustRightInd w:val="0"/>
              <w:spacing w:line="240" w:lineRule="auto"/>
              <w:jc w:val="center"/>
              <w:rPr>
                <w:szCs w:val="22"/>
              </w:rPr>
            </w:pPr>
            <w:r w:rsidRPr="00D77B3B">
              <w:t>54 %</w:t>
            </w:r>
          </w:p>
          <w:p w14:paraId="08D27932"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41;</w:t>
            </w:r>
            <w:proofErr w:type="gramEnd"/>
            <w:r w:rsidRPr="00D77B3B">
              <w:t xml:space="preserve"> 65]</w:t>
            </w:r>
          </w:p>
        </w:tc>
      </w:tr>
      <w:tr w:rsidR="00B608FF" w14:paraId="088E28AA" w14:textId="77777777" w:rsidTr="00A60D1E">
        <w:trPr>
          <w:trHeight w:val="563"/>
        </w:trPr>
        <w:tc>
          <w:tcPr>
            <w:tcW w:w="1462" w:type="dxa"/>
            <w:vAlign w:val="center"/>
          </w:tcPr>
          <w:p w14:paraId="07997BCA" w14:textId="77777777" w:rsidR="008F4AFF" w:rsidRPr="00D77B3B" w:rsidRDefault="008F4AFF" w:rsidP="008F4AFF">
            <w:pPr>
              <w:keepNext/>
              <w:autoSpaceDE w:val="0"/>
              <w:autoSpaceDN w:val="0"/>
              <w:adjustRightInd w:val="0"/>
              <w:spacing w:line="240" w:lineRule="auto"/>
              <w:rPr>
                <w:szCs w:val="22"/>
              </w:rPr>
            </w:pPr>
            <w:r w:rsidRPr="00D77B3B">
              <w:t>Survie globale</w:t>
            </w:r>
          </w:p>
        </w:tc>
        <w:tc>
          <w:tcPr>
            <w:tcW w:w="1196" w:type="dxa"/>
            <w:vAlign w:val="center"/>
          </w:tcPr>
          <w:p w14:paraId="262EAADC" w14:textId="77777777" w:rsidR="008F4AFF" w:rsidRPr="00D77B3B" w:rsidRDefault="008F4AFF" w:rsidP="008F4AFF">
            <w:pPr>
              <w:keepNext/>
              <w:autoSpaceDE w:val="0"/>
              <w:autoSpaceDN w:val="0"/>
              <w:adjustRightInd w:val="0"/>
              <w:spacing w:line="240" w:lineRule="auto"/>
              <w:jc w:val="center"/>
              <w:rPr>
                <w:szCs w:val="22"/>
              </w:rPr>
            </w:pPr>
            <w:r w:rsidRPr="00D77B3B">
              <w:t>83 %</w:t>
            </w:r>
          </w:p>
          <w:p w14:paraId="675D6F6B"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72;</w:t>
            </w:r>
            <w:proofErr w:type="gramEnd"/>
            <w:r w:rsidRPr="00D77B3B">
              <w:t xml:space="preserve"> 90]</w:t>
            </w:r>
          </w:p>
        </w:tc>
        <w:tc>
          <w:tcPr>
            <w:tcW w:w="1218" w:type="dxa"/>
            <w:vAlign w:val="center"/>
          </w:tcPr>
          <w:p w14:paraId="0688503D" w14:textId="77777777" w:rsidR="008F4AFF" w:rsidRPr="00D77B3B" w:rsidRDefault="008F4AFF" w:rsidP="008F4AFF">
            <w:pPr>
              <w:keepNext/>
              <w:autoSpaceDE w:val="0"/>
              <w:autoSpaceDN w:val="0"/>
              <w:adjustRightInd w:val="0"/>
              <w:spacing w:line="240" w:lineRule="auto"/>
              <w:jc w:val="center"/>
              <w:rPr>
                <w:szCs w:val="22"/>
              </w:rPr>
            </w:pPr>
            <w:r w:rsidRPr="00D77B3B">
              <w:t>73 %</w:t>
            </w:r>
          </w:p>
          <w:p w14:paraId="367AEB02"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61;</w:t>
            </w:r>
            <w:proofErr w:type="gramEnd"/>
            <w:r w:rsidRPr="00D77B3B">
              <w:t xml:space="preserve"> 82]</w:t>
            </w:r>
          </w:p>
        </w:tc>
        <w:tc>
          <w:tcPr>
            <w:tcW w:w="1376" w:type="dxa"/>
            <w:vAlign w:val="center"/>
          </w:tcPr>
          <w:p w14:paraId="24968412" w14:textId="77777777" w:rsidR="008F4AFF" w:rsidRPr="00D77B3B" w:rsidRDefault="008F4AFF" w:rsidP="008F4AFF">
            <w:pPr>
              <w:keepNext/>
              <w:autoSpaceDE w:val="0"/>
              <w:autoSpaceDN w:val="0"/>
              <w:adjustRightInd w:val="0"/>
              <w:spacing w:line="240" w:lineRule="auto"/>
              <w:jc w:val="center"/>
              <w:rPr>
                <w:szCs w:val="22"/>
              </w:rPr>
            </w:pPr>
            <w:r w:rsidRPr="00D77B3B">
              <w:t>54 %</w:t>
            </w:r>
          </w:p>
          <w:p w14:paraId="3D555FEF"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40;</w:t>
            </w:r>
            <w:proofErr w:type="gramEnd"/>
            <w:r w:rsidRPr="00D77B3B">
              <w:t xml:space="preserve"> 66]</w:t>
            </w:r>
          </w:p>
        </w:tc>
        <w:tc>
          <w:tcPr>
            <w:tcW w:w="1525" w:type="dxa"/>
            <w:vAlign w:val="center"/>
          </w:tcPr>
          <w:p w14:paraId="0F4E32E9" w14:textId="77777777" w:rsidR="008F4AFF" w:rsidRPr="00D77B3B" w:rsidRDefault="008F4AFF" w:rsidP="008F4AFF">
            <w:pPr>
              <w:keepNext/>
              <w:autoSpaceDE w:val="0"/>
              <w:autoSpaceDN w:val="0"/>
              <w:adjustRightInd w:val="0"/>
              <w:spacing w:line="240" w:lineRule="auto"/>
              <w:jc w:val="center"/>
              <w:rPr>
                <w:szCs w:val="22"/>
              </w:rPr>
            </w:pPr>
            <w:r w:rsidRPr="00D77B3B">
              <w:t>86 %</w:t>
            </w:r>
          </w:p>
          <w:p w14:paraId="4603DB60"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75;</w:t>
            </w:r>
            <w:proofErr w:type="gramEnd"/>
            <w:r w:rsidRPr="00D77B3B">
              <w:t xml:space="preserve"> 92]</w:t>
            </w:r>
          </w:p>
        </w:tc>
        <w:tc>
          <w:tcPr>
            <w:tcW w:w="1203" w:type="dxa"/>
            <w:vAlign w:val="center"/>
          </w:tcPr>
          <w:p w14:paraId="1D03DDB3" w14:textId="77777777" w:rsidR="008F4AFF" w:rsidRPr="00D77B3B" w:rsidRDefault="008F4AFF" w:rsidP="008F4AFF">
            <w:pPr>
              <w:keepNext/>
              <w:autoSpaceDE w:val="0"/>
              <w:autoSpaceDN w:val="0"/>
              <w:adjustRightInd w:val="0"/>
              <w:spacing w:line="240" w:lineRule="auto"/>
              <w:jc w:val="center"/>
              <w:rPr>
                <w:szCs w:val="22"/>
              </w:rPr>
            </w:pPr>
            <w:r w:rsidRPr="00D77B3B">
              <w:t>71 %</w:t>
            </w:r>
          </w:p>
          <w:p w14:paraId="385CDE1D"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58;</w:t>
            </w:r>
            <w:proofErr w:type="gramEnd"/>
            <w:r w:rsidRPr="00D77B3B">
              <w:t xml:space="preserve"> 80]</w:t>
            </w:r>
          </w:p>
        </w:tc>
        <w:tc>
          <w:tcPr>
            <w:tcW w:w="1307" w:type="dxa"/>
            <w:vAlign w:val="center"/>
          </w:tcPr>
          <w:p w14:paraId="5DC1E051" w14:textId="77777777" w:rsidR="008F4AFF" w:rsidRPr="00D77B3B" w:rsidRDefault="008F4AFF" w:rsidP="008F4AFF">
            <w:pPr>
              <w:keepNext/>
              <w:autoSpaceDE w:val="0"/>
              <w:autoSpaceDN w:val="0"/>
              <w:adjustRightInd w:val="0"/>
              <w:spacing w:line="240" w:lineRule="auto"/>
              <w:jc w:val="center"/>
              <w:rPr>
                <w:szCs w:val="22"/>
              </w:rPr>
            </w:pPr>
            <w:r w:rsidRPr="00D77B3B">
              <w:t>63 %</w:t>
            </w:r>
          </w:p>
          <w:p w14:paraId="71C75ED6" w14:textId="77777777" w:rsidR="008F4AFF" w:rsidRPr="00D77B3B" w:rsidRDefault="008F4AFF" w:rsidP="008F4AFF">
            <w:pPr>
              <w:keepNext/>
              <w:autoSpaceDE w:val="0"/>
              <w:autoSpaceDN w:val="0"/>
              <w:adjustRightInd w:val="0"/>
              <w:spacing w:line="240" w:lineRule="auto"/>
              <w:jc w:val="center"/>
              <w:rPr>
                <w:szCs w:val="22"/>
              </w:rPr>
            </w:pPr>
            <w:r w:rsidRPr="00D77B3B">
              <w:t>[</w:t>
            </w:r>
            <w:proofErr w:type="gramStart"/>
            <w:r w:rsidRPr="00D77B3B">
              <w:t>50;</w:t>
            </w:r>
            <w:proofErr w:type="gramEnd"/>
            <w:r w:rsidRPr="00D77B3B">
              <w:t xml:space="preserve"> 74]</w:t>
            </w:r>
          </w:p>
        </w:tc>
      </w:tr>
    </w:tbl>
    <w:p w14:paraId="50BAAB0B" w14:textId="77777777" w:rsidR="008F4AFF" w:rsidRPr="00D77B3B" w:rsidRDefault="008F4AFF" w:rsidP="008F4AFF">
      <w:pPr>
        <w:spacing w:line="240" w:lineRule="auto"/>
        <w:rPr>
          <w:iCs/>
          <w:noProof/>
          <w:szCs w:val="22"/>
        </w:rPr>
      </w:pPr>
    </w:p>
    <w:p w14:paraId="2440A20F" w14:textId="77777777" w:rsidR="008F4AFF" w:rsidRPr="00D77B3B" w:rsidRDefault="008F4AFF" w:rsidP="008F4AFF">
      <w:pPr>
        <w:keepNext/>
        <w:keepLines/>
        <w:spacing w:line="240" w:lineRule="auto"/>
        <w:rPr>
          <w:iCs/>
          <w:noProof/>
          <w:szCs w:val="22"/>
          <w:u w:val="single"/>
        </w:rPr>
      </w:pPr>
      <w:r w:rsidRPr="00D77B3B">
        <w:rPr>
          <w:noProof/>
          <w:u w:val="single"/>
        </w:rPr>
        <w:t>Immunogénicité</w:t>
      </w:r>
    </w:p>
    <w:p w14:paraId="5E95E3DA" w14:textId="6516BE88" w:rsidR="008F4AFF" w:rsidRPr="00D77B3B" w:rsidRDefault="008F4AFF" w:rsidP="008F4AFF">
      <w:pPr>
        <w:keepNext/>
        <w:keepLines/>
        <w:spacing w:line="240" w:lineRule="auto"/>
        <w:rPr>
          <w:iCs/>
          <w:noProof/>
          <w:szCs w:val="22"/>
        </w:rPr>
      </w:pPr>
      <w:r w:rsidRPr="00D77B3B">
        <w:t xml:space="preserve">Le développement d’anticorps anti-médicaments (AAM) est un effet de classe des anticorps monoclonaux chimériques. </w:t>
      </w:r>
      <w:r w:rsidR="00696156">
        <w:t>D</w:t>
      </w:r>
      <w:r w:rsidRPr="00D77B3B">
        <w:t>es taux d’AAM mesurables ont été détectés chez 65 (62 %) des 105 patients étudiés.</w:t>
      </w:r>
    </w:p>
    <w:p w14:paraId="37530A32" w14:textId="77777777" w:rsidR="008F4AFF" w:rsidRPr="00D77B3B" w:rsidRDefault="008F4AFF" w:rsidP="008F4AFF">
      <w:pPr>
        <w:keepNext/>
        <w:keepLines/>
        <w:spacing w:line="240" w:lineRule="auto"/>
      </w:pPr>
    </w:p>
    <w:p w14:paraId="07BAFE81" w14:textId="34984AC3" w:rsidR="008F4AFF" w:rsidRPr="00D77B3B" w:rsidRDefault="008F4AFF" w:rsidP="008F4AFF">
      <w:pPr>
        <w:keepNext/>
        <w:keepLines/>
        <w:spacing w:line="240" w:lineRule="auto"/>
      </w:pPr>
      <w:r w:rsidRPr="00D77B3B">
        <w:t xml:space="preserve">Au vu des limites des méthodes </w:t>
      </w:r>
      <w:proofErr w:type="spellStart"/>
      <w:r w:rsidRPr="00D77B3B">
        <w:t>bioanalytiques</w:t>
      </w:r>
      <w:proofErr w:type="spellEnd"/>
      <w:r w:rsidRPr="00D77B3B">
        <w:t xml:space="preserve">, les données sont actuellement insuffisantes pour évaluer correctement </w:t>
      </w:r>
      <w:r w:rsidR="00696156">
        <w:t>l’impact</w:t>
      </w:r>
      <w:r w:rsidRPr="00D77B3B">
        <w:t xml:space="preserve"> de la formation d’anticorps anti-médicaments sur les paramètres pharmacocinétiques et pharmacodynamiques ainsi que sur l’efficacité et la sécurité du </w:t>
      </w:r>
      <w:proofErr w:type="spellStart"/>
      <w:r w:rsidRPr="00D77B3B">
        <w:t>dinutuximab</w:t>
      </w:r>
      <w:proofErr w:type="spellEnd"/>
      <w:r w:rsidRPr="00D77B3B">
        <w:t xml:space="preserve"> bêta.</w:t>
      </w:r>
    </w:p>
    <w:p w14:paraId="2BC24247" w14:textId="77777777" w:rsidR="008F4AFF" w:rsidRPr="00D77B3B" w:rsidRDefault="008F4AFF" w:rsidP="008F4AFF">
      <w:pPr>
        <w:spacing w:line="240" w:lineRule="auto"/>
        <w:rPr>
          <w:iCs/>
          <w:noProof/>
          <w:szCs w:val="22"/>
        </w:rPr>
      </w:pPr>
    </w:p>
    <w:p w14:paraId="56756619" w14:textId="77777777" w:rsidR="008F4AFF" w:rsidRPr="00D77B3B" w:rsidRDefault="008F4AFF" w:rsidP="008F4AFF">
      <w:pPr>
        <w:keepNext/>
        <w:keepLines/>
        <w:spacing w:line="240" w:lineRule="auto"/>
        <w:rPr>
          <w:iCs/>
          <w:noProof/>
          <w:szCs w:val="22"/>
          <w:u w:val="single"/>
        </w:rPr>
      </w:pPr>
      <w:r w:rsidRPr="00D77B3B">
        <w:rPr>
          <w:noProof/>
          <w:u w:val="single"/>
        </w:rPr>
        <w:lastRenderedPageBreak/>
        <w:t>Population pédiatrique</w:t>
      </w:r>
    </w:p>
    <w:p w14:paraId="70DAB1C8" w14:textId="076B6C73" w:rsidR="008F4AFF" w:rsidRPr="00D77B3B" w:rsidRDefault="008F4AFF" w:rsidP="008F4AFF">
      <w:pPr>
        <w:keepNext/>
        <w:keepLines/>
        <w:spacing w:line="240" w:lineRule="auto"/>
        <w:rPr>
          <w:szCs w:val="22"/>
        </w:rPr>
      </w:pPr>
      <w:r w:rsidRPr="00D77B3B">
        <w:t xml:space="preserve">L’Agence européenne des médicaments a différé l’obligation de soumettre les résultats d’études réalisées avec </w:t>
      </w:r>
      <w:proofErr w:type="spellStart"/>
      <w:r w:rsidR="008737C6">
        <w:t>Qarziba</w:t>
      </w:r>
      <w:proofErr w:type="spellEnd"/>
      <w:r w:rsidRPr="00D77B3B">
        <w:t xml:space="preserve"> dans un ou plusieurs sous-groupes de la population pédiatrique </w:t>
      </w:r>
      <w:r w:rsidR="00696156">
        <w:t xml:space="preserve">atteint de </w:t>
      </w:r>
      <w:proofErr w:type="spellStart"/>
      <w:r w:rsidR="00696156">
        <w:t>neuroblasome</w:t>
      </w:r>
      <w:proofErr w:type="spellEnd"/>
      <w:r w:rsidR="00696156">
        <w:t xml:space="preserve"> </w:t>
      </w:r>
      <w:r w:rsidRPr="00D77B3B">
        <w:t>(voir rubrique 4.2 pour les informations concernant l’usage pédiatrique).</w:t>
      </w:r>
    </w:p>
    <w:p w14:paraId="10E34AA8" w14:textId="77777777" w:rsidR="008F4AFF" w:rsidRPr="00D77B3B" w:rsidRDefault="008F4AFF" w:rsidP="008F4AFF">
      <w:pPr>
        <w:autoSpaceDE w:val="0"/>
        <w:autoSpaceDN w:val="0"/>
        <w:adjustRightInd w:val="0"/>
        <w:spacing w:line="240" w:lineRule="auto"/>
        <w:rPr>
          <w:iCs/>
          <w:noProof/>
          <w:szCs w:val="22"/>
        </w:rPr>
      </w:pPr>
    </w:p>
    <w:p w14:paraId="7AB3D263" w14:textId="77777777" w:rsidR="008F4AFF" w:rsidRPr="00D77B3B" w:rsidRDefault="008F4AFF" w:rsidP="008F4AFF">
      <w:pPr>
        <w:autoSpaceDE w:val="0"/>
        <w:autoSpaceDN w:val="0"/>
        <w:adjustRightInd w:val="0"/>
        <w:spacing w:line="240" w:lineRule="auto"/>
        <w:rPr>
          <w:iCs/>
          <w:noProof/>
          <w:szCs w:val="22"/>
        </w:rPr>
      </w:pPr>
      <w:r w:rsidRPr="00D77B3B">
        <w:t>Une autorisation de mise sur le marché</w:t>
      </w:r>
      <w:proofErr w:type="gramStart"/>
      <w:r w:rsidRPr="00D77B3B">
        <w:t xml:space="preserve"> «sous</w:t>
      </w:r>
      <w:proofErr w:type="gramEnd"/>
      <w:r w:rsidRPr="00D77B3B">
        <w:t xml:space="preserve"> circonstances exceptionnelles» a été délivrée pour ce médicament.</w:t>
      </w:r>
    </w:p>
    <w:p w14:paraId="5F9B2B7B" w14:textId="77777777" w:rsidR="008F4AFF" w:rsidRPr="00D77B3B" w:rsidRDefault="008F4AFF" w:rsidP="008F4AFF">
      <w:pPr>
        <w:autoSpaceDE w:val="0"/>
        <w:autoSpaceDN w:val="0"/>
        <w:adjustRightInd w:val="0"/>
        <w:spacing w:line="240" w:lineRule="auto"/>
        <w:rPr>
          <w:iCs/>
          <w:noProof/>
          <w:szCs w:val="22"/>
        </w:rPr>
      </w:pPr>
      <w:r w:rsidRPr="00D77B3B">
        <w:t>Cela signifie que, pour des raisons éthiques, il n’a pas été possible d’obtenir des informations complètes concernant ce médicament. L’Agence européenne des médicaments réévaluera chaque année toute nouvelle information qui pourrait être disponible, et, si nécessaire, ce RCP sera mis à jour.</w:t>
      </w:r>
    </w:p>
    <w:p w14:paraId="5EDFEFEA" w14:textId="77777777" w:rsidR="008F4AFF" w:rsidRPr="00D77B3B" w:rsidRDefault="008F4AFF" w:rsidP="008F4AFF">
      <w:pPr>
        <w:autoSpaceDE w:val="0"/>
        <w:autoSpaceDN w:val="0"/>
        <w:adjustRightInd w:val="0"/>
        <w:spacing w:line="240" w:lineRule="auto"/>
        <w:rPr>
          <w:iCs/>
          <w:noProof/>
          <w:szCs w:val="22"/>
        </w:rPr>
      </w:pPr>
    </w:p>
    <w:p w14:paraId="5003C2DE" w14:textId="77777777" w:rsidR="008F4AFF" w:rsidRPr="00D77B3B" w:rsidRDefault="008F4AFF" w:rsidP="008F4AFF">
      <w:pPr>
        <w:keepNext/>
        <w:keepLines/>
        <w:spacing w:line="240" w:lineRule="auto"/>
        <w:ind w:left="567" w:hanging="567"/>
        <w:outlineLvl w:val="0"/>
        <w:rPr>
          <w:b/>
          <w:noProof/>
          <w:szCs w:val="22"/>
        </w:rPr>
      </w:pPr>
      <w:r w:rsidRPr="00D77B3B">
        <w:rPr>
          <w:b/>
          <w:noProof/>
        </w:rPr>
        <w:t>5.2</w:t>
      </w:r>
      <w:r w:rsidRPr="00D77B3B">
        <w:tab/>
      </w:r>
      <w:r w:rsidRPr="00D77B3B">
        <w:rPr>
          <w:b/>
          <w:noProof/>
        </w:rPr>
        <w:t>Propriétés pharmacocinétiques</w:t>
      </w:r>
    </w:p>
    <w:p w14:paraId="3B5796D7" w14:textId="77777777" w:rsidR="008F4AFF" w:rsidRPr="00D77B3B" w:rsidRDefault="008F4AFF" w:rsidP="008F4AFF">
      <w:pPr>
        <w:keepNext/>
        <w:keepLines/>
        <w:autoSpaceDE w:val="0"/>
        <w:autoSpaceDN w:val="0"/>
        <w:adjustRightInd w:val="0"/>
        <w:spacing w:line="240" w:lineRule="auto"/>
        <w:rPr>
          <w:iCs/>
          <w:noProof/>
          <w:szCs w:val="22"/>
        </w:rPr>
      </w:pPr>
    </w:p>
    <w:p w14:paraId="2A4287EE" w14:textId="77777777" w:rsidR="008F4AFF" w:rsidRPr="00D77B3B" w:rsidRDefault="008F4AFF" w:rsidP="008F4AFF">
      <w:pPr>
        <w:keepNext/>
        <w:keepLines/>
        <w:autoSpaceDE w:val="0"/>
        <w:autoSpaceDN w:val="0"/>
        <w:adjustRightInd w:val="0"/>
        <w:spacing w:line="240" w:lineRule="auto"/>
        <w:rPr>
          <w:iCs/>
          <w:noProof/>
          <w:szCs w:val="22"/>
          <w:u w:val="single"/>
        </w:rPr>
      </w:pPr>
      <w:r w:rsidRPr="00D77B3B">
        <w:rPr>
          <w:noProof/>
          <w:u w:val="single"/>
        </w:rPr>
        <w:t>Distribution</w:t>
      </w:r>
    </w:p>
    <w:p w14:paraId="5565766C" w14:textId="77777777" w:rsidR="008F4AFF" w:rsidRPr="00D77B3B" w:rsidRDefault="008F4AFF" w:rsidP="008F4AFF">
      <w:pPr>
        <w:keepNext/>
        <w:keepLines/>
        <w:autoSpaceDE w:val="0"/>
        <w:autoSpaceDN w:val="0"/>
        <w:adjustRightInd w:val="0"/>
        <w:spacing w:line="240" w:lineRule="auto"/>
      </w:pPr>
      <w:r w:rsidRPr="00D77B3B">
        <w:t xml:space="preserve">Les propriétés pharmacocinétiques du </w:t>
      </w:r>
      <w:proofErr w:type="spellStart"/>
      <w:r w:rsidRPr="00D77B3B">
        <w:t>dinutuximab</w:t>
      </w:r>
      <w:proofErr w:type="spellEnd"/>
      <w:r w:rsidRPr="00D77B3B">
        <w:t xml:space="preserve"> bêta ont été calculées sur la base de mesures obtenues à l’aide de méthodes </w:t>
      </w:r>
      <w:proofErr w:type="spellStart"/>
      <w:r w:rsidRPr="00D77B3B">
        <w:t>bioanalytiques</w:t>
      </w:r>
      <w:proofErr w:type="spellEnd"/>
      <w:r w:rsidRPr="00D77B3B">
        <w:t xml:space="preserve"> non validées. Cet aspect doit être pris en compte au moment d’interpréter les paramètres pharmacocinétiques (C</w:t>
      </w:r>
      <w:r w:rsidRPr="00D77B3B">
        <w:rPr>
          <w:vertAlign w:val="subscript"/>
        </w:rPr>
        <w:t>max</w:t>
      </w:r>
      <w:r w:rsidRPr="00D77B3B">
        <w:t>, exposition, demi-vie) repris ci-dessous.</w:t>
      </w:r>
    </w:p>
    <w:p w14:paraId="307CF995" w14:textId="77777777" w:rsidR="008F4AFF" w:rsidRPr="00D77B3B" w:rsidRDefault="008F4AFF" w:rsidP="008F4AFF">
      <w:pPr>
        <w:keepNext/>
        <w:keepLines/>
        <w:autoSpaceDE w:val="0"/>
        <w:autoSpaceDN w:val="0"/>
        <w:adjustRightInd w:val="0"/>
        <w:spacing w:line="240" w:lineRule="auto"/>
        <w:rPr>
          <w:iCs/>
          <w:noProof/>
          <w:szCs w:val="22"/>
        </w:rPr>
      </w:pPr>
    </w:p>
    <w:p w14:paraId="457F95A1" w14:textId="77777777" w:rsidR="008F4AFF" w:rsidRPr="00D77B3B" w:rsidRDefault="008F4AFF" w:rsidP="008F4AFF">
      <w:pPr>
        <w:keepNext/>
        <w:keepLines/>
        <w:autoSpaceDE w:val="0"/>
        <w:autoSpaceDN w:val="0"/>
        <w:adjustRightInd w:val="0"/>
        <w:spacing w:line="240" w:lineRule="auto"/>
        <w:rPr>
          <w:iCs/>
          <w:noProof/>
          <w:szCs w:val="22"/>
        </w:rPr>
      </w:pPr>
      <w:r w:rsidRPr="00D77B3B">
        <w:t xml:space="preserve">Les propriétés pharmacocinétiques du </w:t>
      </w:r>
      <w:proofErr w:type="spellStart"/>
      <w:r w:rsidRPr="00D77B3B">
        <w:t>dinutuximab</w:t>
      </w:r>
      <w:proofErr w:type="spellEnd"/>
      <w:r w:rsidRPr="00D77B3B">
        <w:t xml:space="preserve"> bêta, sur la base de perfusions continues en intraveineuse de 10 mg/m²/jour pendant 10 jours (pour un total de 100 mg/m²/cycle), ont été évaluées dans les études 1 et 2. La concentration plasmatique moyenne maximale (environ 12 microgrammes/ml) a été atteinte le dernier jour de perfusion. La concentration plasmatique moyenne maximale, observée pendant les perfusions de 8 heures (20 mg/m²/jour sur 5 jours consécutifs), a été déterminée dans une autre étude (n = 15). La concentration plasmatique maximale</w:t>
      </w:r>
      <w:r w:rsidRPr="00D77B3B">
        <w:rPr>
          <w:noProof/>
          <w:vertAlign w:val="subscript"/>
        </w:rPr>
        <w:t xml:space="preserve"> </w:t>
      </w:r>
      <w:r w:rsidRPr="00D77B3B">
        <w:t>était légèrement supérieure (16,5 microgrammes/ml) et a été atteinte à la 5</w:t>
      </w:r>
      <w:r w:rsidRPr="00D77B3B">
        <w:rPr>
          <w:vertAlign w:val="superscript"/>
        </w:rPr>
        <w:t>e</w:t>
      </w:r>
      <w:r w:rsidRPr="00D77B3B">
        <w:t> perfusion.</w:t>
      </w:r>
    </w:p>
    <w:p w14:paraId="4A9C2CC9" w14:textId="77777777" w:rsidR="008F4AFF" w:rsidRPr="00D77B3B" w:rsidRDefault="008F4AFF" w:rsidP="008F4AFF">
      <w:pPr>
        <w:autoSpaceDE w:val="0"/>
        <w:autoSpaceDN w:val="0"/>
        <w:adjustRightInd w:val="0"/>
        <w:spacing w:line="240" w:lineRule="auto"/>
        <w:rPr>
          <w:iCs/>
          <w:noProof/>
          <w:szCs w:val="22"/>
        </w:rPr>
      </w:pPr>
    </w:p>
    <w:p w14:paraId="646EF90D" w14:textId="77777777" w:rsidR="008F4AFF" w:rsidRPr="00D77B3B" w:rsidRDefault="008F4AFF" w:rsidP="008F4AFF">
      <w:pPr>
        <w:keepNext/>
        <w:keepLines/>
        <w:autoSpaceDE w:val="0"/>
        <w:autoSpaceDN w:val="0"/>
        <w:adjustRightInd w:val="0"/>
        <w:spacing w:line="240" w:lineRule="auto"/>
        <w:rPr>
          <w:iCs/>
          <w:noProof/>
          <w:szCs w:val="22"/>
          <w:u w:val="single"/>
        </w:rPr>
      </w:pPr>
      <w:r w:rsidRPr="00D77B3B">
        <w:rPr>
          <w:noProof/>
          <w:u w:val="single"/>
        </w:rPr>
        <w:t>Biotransformation</w:t>
      </w:r>
    </w:p>
    <w:p w14:paraId="1055665B" w14:textId="5178EF22" w:rsidR="008F4AFF" w:rsidRPr="00D77B3B" w:rsidRDefault="008F4AFF" w:rsidP="008F4AFF">
      <w:pPr>
        <w:keepNext/>
        <w:keepLines/>
        <w:autoSpaceDE w:val="0"/>
        <w:autoSpaceDN w:val="0"/>
        <w:adjustRightInd w:val="0"/>
        <w:spacing w:line="240" w:lineRule="auto"/>
        <w:rPr>
          <w:iCs/>
          <w:noProof/>
          <w:szCs w:val="22"/>
        </w:rPr>
      </w:pPr>
      <w:r w:rsidRPr="00D77B3B">
        <w:t xml:space="preserve">Le </w:t>
      </w:r>
      <w:proofErr w:type="spellStart"/>
      <w:r w:rsidRPr="00D77B3B">
        <w:t>dinutuximab</w:t>
      </w:r>
      <w:proofErr w:type="spellEnd"/>
      <w:r w:rsidRPr="00D77B3B">
        <w:t xml:space="preserve"> bêta est une protéine pour laquelle la voie métabolique attendue est une dégradation en petits peptides et acides aminés par des enzymes protéolytiques ubiquitaires. Aucune étude sur la biotransformation classique n’a été réalisée.</w:t>
      </w:r>
    </w:p>
    <w:p w14:paraId="3744637C" w14:textId="77777777" w:rsidR="008F4AFF" w:rsidRPr="00D77B3B" w:rsidRDefault="008F4AFF" w:rsidP="008F4AFF">
      <w:pPr>
        <w:autoSpaceDE w:val="0"/>
        <w:autoSpaceDN w:val="0"/>
        <w:adjustRightInd w:val="0"/>
        <w:spacing w:line="240" w:lineRule="auto"/>
        <w:rPr>
          <w:iCs/>
          <w:noProof/>
          <w:szCs w:val="22"/>
        </w:rPr>
      </w:pPr>
    </w:p>
    <w:p w14:paraId="55A96F40" w14:textId="77777777" w:rsidR="008F4AFF" w:rsidRPr="00D77B3B" w:rsidRDefault="008F4AFF" w:rsidP="008F4AFF">
      <w:pPr>
        <w:keepNext/>
        <w:keepLines/>
        <w:autoSpaceDE w:val="0"/>
        <w:autoSpaceDN w:val="0"/>
        <w:adjustRightInd w:val="0"/>
        <w:spacing w:line="240" w:lineRule="auto"/>
        <w:rPr>
          <w:iCs/>
          <w:noProof/>
          <w:szCs w:val="22"/>
          <w:u w:val="single"/>
        </w:rPr>
      </w:pPr>
      <w:r w:rsidRPr="00D77B3B">
        <w:rPr>
          <w:noProof/>
          <w:u w:val="single"/>
        </w:rPr>
        <w:t>Élimination</w:t>
      </w:r>
    </w:p>
    <w:p w14:paraId="601DD6F8" w14:textId="77777777" w:rsidR="008F4AFF" w:rsidRPr="00D77B3B" w:rsidRDefault="008F4AFF" w:rsidP="008F4AFF">
      <w:pPr>
        <w:keepNext/>
        <w:keepLines/>
        <w:autoSpaceDE w:val="0"/>
        <w:autoSpaceDN w:val="0"/>
        <w:adjustRightInd w:val="0"/>
        <w:spacing w:line="240" w:lineRule="auto"/>
        <w:rPr>
          <w:iCs/>
          <w:noProof/>
          <w:szCs w:val="22"/>
        </w:rPr>
      </w:pPr>
      <w:r w:rsidRPr="00D77B3B">
        <w:t>La demi-vie observée dans les études 1 et 2 était d’environ 190 heures, soit 8 jours.</w:t>
      </w:r>
    </w:p>
    <w:p w14:paraId="73CCD76F" w14:textId="77777777" w:rsidR="008F4AFF" w:rsidRPr="00D77B3B" w:rsidRDefault="008F4AFF" w:rsidP="008F4AFF">
      <w:pPr>
        <w:autoSpaceDE w:val="0"/>
        <w:autoSpaceDN w:val="0"/>
        <w:adjustRightInd w:val="0"/>
        <w:spacing w:line="240" w:lineRule="auto"/>
        <w:rPr>
          <w:iCs/>
          <w:noProof/>
          <w:szCs w:val="22"/>
        </w:rPr>
      </w:pPr>
    </w:p>
    <w:p w14:paraId="1471BA62" w14:textId="77777777" w:rsidR="008F4AFF" w:rsidRPr="00D77B3B" w:rsidRDefault="008F4AFF" w:rsidP="008F4AFF">
      <w:pPr>
        <w:keepNext/>
        <w:keepLines/>
        <w:autoSpaceDE w:val="0"/>
        <w:autoSpaceDN w:val="0"/>
        <w:adjustRightInd w:val="0"/>
        <w:spacing w:line="240" w:lineRule="auto"/>
        <w:rPr>
          <w:iCs/>
          <w:noProof/>
          <w:szCs w:val="22"/>
          <w:u w:val="single"/>
        </w:rPr>
      </w:pPr>
      <w:r w:rsidRPr="00D77B3B">
        <w:rPr>
          <w:noProof/>
          <w:u w:val="single"/>
        </w:rPr>
        <w:t>Populations particulières</w:t>
      </w:r>
    </w:p>
    <w:p w14:paraId="6A07FB38" w14:textId="77777777" w:rsidR="008F4AFF" w:rsidRPr="00D77B3B" w:rsidRDefault="008F4AFF" w:rsidP="008F4AFF">
      <w:pPr>
        <w:pStyle w:val="CommentText"/>
        <w:rPr>
          <w:sz w:val="22"/>
          <w:szCs w:val="22"/>
        </w:rPr>
      </w:pPr>
      <w:r w:rsidRPr="00D77B3B">
        <w:rPr>
          <w:sz w:val="22"/>
        </w:rPr>
        <w:t xml:space="preserve">Une approche de modélisation pharmacocinétique de population a été utilisée pour évaluer l’influence de </w:t>
      </w:r>
      <w:proofErr w:type="spellStart"/>
      <w:r w:rsidRPr="00D77B3B">
        <w:rPr>
          <w:sz w:val="22"/>
        </w:rPr>
        <w:t>covariables</w:t>
      </w:r>
      <w:proofErr w:type="spellEnd"/>
      <w:r w:rsidRPr="00D77B3B">
        <w:rPr>
          <w:sz w:val="22"/>
        </w:rPr>
        <w:t>. Le modèle pharmacocinétique de population comprend une mise à l’échelle allométrique (poids de référence de 18,1 kg) de la clairance et du volume de distribution avec des exposants de 0,75 et 1, respectivement.</w:t>
      </w:r>
    </w:p>
    <w:p w14:paraId="4F3D8755" w14:textId="77777777" w:rsidR="008F4AFF" w:rsidRPr="00D77B3B" w:rsidRDefault="008F4AFF" w:rsidP="008F4AFF">
      <w:pPr>
        <w:pStyle w:val="CommentText"/>
        <w:rPr>
          <w:sz w:val="22"/>
          <w:szCs w:val="22"/>
        </w:rPr>
      </w:pPr>
    </w:p>
    <w:p w14:paraId="067DA89D" w14:textId="4C0CC3FE" w:rsidR="008F4AFF" w:rsidRPr="00D77B3B" w:rsidRDefault="008F4AFF" w:rsidP="008F4AFF">
      <w:pPr>
        <w:pStyle w:val="CommentText"/>
        <w:rPr>
          <w:sz w:val="22"/>
          <w:szCs w:val="22"/>
        </w:rPr>
      </w:pPr>
      <w:r w:rsidRPr="00D77B3B">
        <w:rPr>
          <w:sz w:val="22"/>
        </w:rPr>
        <w:t>L’exposition (Cmax et ASC</w:t>
      </w:r>
      <w:r w:rsidRPr="00D77B3B">
        <w:rPr>
          <w:sz w:val="22"/>
          <w:vertAlign w:val="subscript"/>
        </w:rPr>
        <w:t xml:space="preserve">24h </w:t>
      </w:r>
      <w:r w:rsidRPr="00D77B3B">
        <w:rPr>
          <w:sz w:val="22"/>
        </w:rPr>
        <w:t xml:space="preserve">les jours 1 et 10 durant une période de perfusion de 10 jours) devrait être similaire chez les sujets âgés de 12 ans ou moins et elle devrait diminuer légèrement chez les sujets plus âgés et plus lourds. </w:t>
      </w:r>
      <w:r w:rsidR="00696156">
        <w:rPr>
          <w:sz w:val="22"/>
        </w:rPr>
        <w:t>L</w:t>
      </w:r>
      <w:r w:rsidRPr="00D77B3B">
        <w:rPr>
          <w:sz w:val="22"/>
        </w:rPr>
        <w:t xml:space="preserve">’âge et </w:t>
      </w:r>
      <w:r w:rsidR="00696156">
        <w:rPr>
          <w:sz w:val="22"/>
        </w:rPr>
        <w:t>le</w:t>
      </w:r>
      <w:r w:rsidR="00696156" w:rsidRPr="00D77B3B">
        <w:rPr>
          <w:sz w:val="22"/>
        </w:rPr>
        <w:t xml:space="preserve"> </w:t>
      </w:r>
      <w:r w:rsidRPr="00D77B3B">
        <w:rPr>
          <w:sz w:val="22"/>
        </w:rPr>
        <w:t xml:space="preserve">sexe </w:t>
      </w:r>
      <w:r w:rsidR="00696156">
        <w:rPr>
          <w:sz w:val="22"/>
        </w:rPr>
        <w:t>ne semble pas influencer</w:t>
      </w:r>
      <w:r w:rsidRPr="00D77B3B">
        <w:rPr>
          <w:sz w:val="22"/>
        </w:rPr>
        <w:t xml:space="preserve"> les propriétés pharmacocinétiques du </w:t>
      </w:r>
      <w:proofErr w:type="spellStart"/>
      <w:r w:rsidRPr="00D77B3B">
        <w:rPr>
          <w:sz w:val="22"/>
        </w:rPr>
        <w:t>dinutuximab</w:t>
      </w:r>
      <w:proofErr w:type="spellEnd"/>
      <w:r w:rsidRPr="00D77B3B">
        <w:rPr>
          <w:sz w:val="22"/>
        </w:rPr>
        <w:t xml:space="preserve"> bêta, mais les données concernant les enfants de moins de 2 ans sont très limitées et ne permettent pas d’étayer le dosage.</w:t>
      </w:r>
    </w:p>
    <w:p w14:paraId="1DBA559F" w14:textId="77777777" w:rsidR="008F4AFF" w:rsidRPr="00D77B3B" w:rsidRDefault="008F4AFF" w:rsidP="008F4AFF">
      <w:pPr>
        <w:pStyle w:val="CommentText"/>
        <w:rPr>
          <w:sz w:val="22"/>
          <w:szCs w:val="22"/>
        </w:rPr>
      </w:pPr>
    </w:p>
    <w:p w14:paraId="10736C49" w14:textId="77777777" w:rsidR="008F4AFF" w:rsidRPr="00D77B3B" w:rsidRDefault="008F4AFF" w:rsidP="008F4AFF">
      <w:pPr>
        <w:pStyle w:val="CommentText"/>
        <w:rPr>
          <w:sz w:val="22"/>
          <w:szCs w:val="22"/>
        </w:rPr>
      </w:pPr>
      <w:r w:rsidRPr="00D77B3B">
        <w:rPr>
          <w:sz w:val="22"/>
        </w:rPr>
        <w:t>Un effet de la formation d’AAM sur le volume de distribution a été établi (augmentation de 37 % du volume). Par conséquent, la formation d’AAM devrait avoir de légers effets (diminution de moins de 10 %) sur l’exposition dans les 24 heures après l’administration, dans des conditions n’étant pas à l’état d’équilibre. Après avoir atteint l’état d’équilibre, aucune différence d’exposition n’est attendue, avec ou sans la formation d’AAM.</w:t>
      </w:r>
    </w:p>
    <w:p w14:paraId="370DF6D9" w14:textId="77777777" w:rsidR="008F4AFF" w:rsidRPr="00D77B3B" w:rsidRDefault="008F4AFF" w:rsidP="008F4AFF">
      <w:pPr>
        <w:pStyle w:val="CommentText"/>
        <w:rPr>
          <w:sz w:val="22"/>
          <w:szCs w:val="22"/>
        </w:rPr>
      </w:pPr>
    </w:p>
    <w:p w14:paraId="2DC3C3DE" w14:textId="77777777" w:rsidR="008F4AFF" w:rsidRPr="00D77B3B" w:rsidRDefault="008F4AFF" w:rsidP="008F4AFF">
      <w:pPr>
        <w:autoSpaceDE w:val="0"/>
        <w:autoSpaceDN w:val="0"/>
        <w:adjustRightInd w:val="0"/>
        <w:spacing w:line="240" w:lineRule="auto"/>
        <w:rPr>
          <w:szCs w:val="22"/>
        </w:rPr>
      </w:pPr>
      <w:r w:rsidRPr="00D77B3B">
        <w:t>Les marqueurs de fonctions rénale (</w:t>
      </w:r>
      <w:proofErr w:type="spellStart"/>
      <w:r w:rsidRPr="00D77B3B">
        <w:t>eGFR</w:t>
      </w:r>
      <w:proofErr w:type="spellEnd"/>
      <w:r w:rsidRPr="00D77B3B">
        <w:t>) et hépatique (bilirubine) n’ont démontré aucun lien avec l’exposition (C</w:t>
      </w:r>
      <w:r w:rsidRPr="00D77B3B">
        <w:rPr>
          <w:vertAlign w:val="subscript"/>
        </w:rPr>
        <w:t>max</w:t>
      </w:r>
      <w:r w:rsidRPr="00D77B3B">
        <w:t xml:space="preserve"> et ASC</w:t>
      </w:r>
      <w:r w:rsidRPr="00D77B3B">
        <w:rPr>
          <w:vertAlign w:val="subscript"/>
        </w:rPr>
        <w:t>24h</w:t>
      </w:r>
      <w:r w:rsidRPr="00D77B3B">
        <w:t xml:space="preserve"> le jour 1 et le jour 10 pendant une perfusion d’une durée de 10 jours).</w:t>
      </w:r>
    </w:p>
    <w:p w14:paraId="4A3DD7BE" w14:textId="77777777" w:rsidR="008F4AFF" w:rsidRPr="00D77B3B" w:rsidRDefault="008F4AFF" w:rsidP="008F4AFF">
      <w:pPr>
        <w:autoSpaceDE w:val="0"/>
        <w:autoSpaceDN w:val="0"/>
        <w:adjustRightInd w:val="0"/>
        <w:spacing w:line="240" w:lineRule="auto"/>
        <w:rPr>
          <w:iCs/>
          <w:noProof/>
          <w:szCs w:val="22"/>
        </w:rPr>
      </w:pPr>
    </w:p>
    <w:p w14:paraId="418A616D" w14:textId="77777777" w:rsidR="008F4AFF" w:rsidRPr="00D77B3B" w:rsidRDefault="008F4AFF" w:rsidP="008F4AFF">
      <w:pPr>
        <w:keepNext/>
        <w:keepLines/>
        <w:spacing w:line="240" w:lineRule="auto"/>
        <w:ind w:left="567" w:hanging="567"/>
        <w:outlineLvl w:val="0"/>
        <w:rPr>
          <w:b/>
          <w:noProof/>
          <w:szCs w:val="22"/>
        </w:rPr>
      </w:pPr>
      <w:r w:rsidRPr="00D77B3B">
        <w:rPr>
          <w:b/>
          <w:noProof/>
        </w:rPr>
        <w:lastRenderedPageBreak/>
        <w:t>5.3</w:t>
      </w:r>
      <w:r w:rsidRPr="00D77B3B">
        <w:tab/>
      </w:r>
      <w:r w:rsidRPr="00D77B3B">
        <w:rPr>
          <w:b/>
          <w:noProof/>
        </w:rPr>
        <w:t>Données de sécurité préclinique</w:t>
      </w:r>
    </w:p>
    <w:p w14:paraId="74C85E6C" w14:textId="77777777" w:rsidR="008F4AFF" w:rsidRPr="00D77B3B" w:rsidRDefault="008F4AFF" w:rsidP="008F4AFF">
      <w:pPr>
        <w:keepNext/>
        <w:keepLines/>
        <w:spacing w:line="240" w:lineRule="auto"/>
        <w:rPr>
          <w:noProof/>
          <w:szCs w:val="22"/>
        </w:rPr>
      </w:pPr>
    </w:p>
    <w:p w14:paraId="45DB4E8B" w14:textId="77777777" w:rsidR="008F4AFF" w:rsidRPr="00D77B3B" w:rsidRDefault="008F4AFF" w:rsidP="008F4AFF">
      <w:pPr>
        <w:keepNext/>
        <w:keepLines/>
        <w:spacing w:line="240" w:lineRule="auto"/>
        <w:rPr>
          <w:iCs/>
          <w:noProof/>
          <w:szCs w:val="22"/>
          <w:u w:val="single"/>
        </w:rPr>
      </w:pPr>
      <w:r w:rsidRPr="00D77B3B">
        <w:rPr>
          <w:noProof/>
          <w:u w:val="single"/>
        </w:rPr>
        <w:t>Toxicologie générale</w:t>
      </w:r>
    </w:p>
    <w:p w14:paraId="09610756" w14:textId="4DC43905" w:rsidR="008F4AFF" w:rsidRPr="00D77B3B" w:rsidRDefault="008F4AFF" w:rsidP="008F4AFF">
      <w:pPr>
        <w:keepNext/>
        <w:keepLines/>
        <w:spacing w:line="240" w:lineRule="auto"/>
        <w:rPr>
          <w:iCs/>
          <w:noProof/>
          <w:szCs w:val="22"/>
        </w:rPr>
      </w:pPr>
      <w:r w:rsidRPr="00D77B3B">
        <w:t xml:space="preserve">Le </w:t>
      </w:r>
      <w:proofErr w:type="spellStart"/>
      <w:r w:rsidRPr="00D77B3B">
        <w:t>dinutuximab</w:t>
      </w:r>
      <w:proofErr w:type="spellEnd"/>
      <w:r w:rsidRPr="00D77B3B">
        <w:t xml:space="preserve"> bêta a été administré à de jeunes cobayes mâles et femelles, ainsi qu’à de jeunes singes </w:t>
      </w:r>
      <w:proofErr w:type="spellStart"/>
      <w:r w:rsidRPr="00D77B3B">
        <w:t>cynomolgus</w:t>
      </w:r>
      <w:proofErr w:type="spellEnd"/>
      <w:r w:rsidRPr="00D77B3B">
        <w:t xml:space="preserve"> mâles et femelles, sous forme de doses </w:t>
      </w:r>
      <w:r w:rsidR="000F7151">
        <w:t xml:space="preserve">répétées </w:t>
      </w:r>
      <w:r w:rsidRPr="00D77B3B">
        <w:t>supérieures à la dose clinique recommandée. Des diminution</w:t>
      </w:r>
      <w:r w:rsidR="000F7151">
        <w:t>s</w:t>
      </w:r>
      <w:r w:rsidRPr="00D77B3B">
        <w:t xml:space="preserve"> du poids du thymus ainsi que des altérations de la moelle osseuse (atrophie </w:t>
      </w:r>
      <w:r w:rsidR="000F7151">
        <w:t xml:space="preserve">affectant </w:t>
      </w:r>
      <w:r w:rsidRPr="00D77B3B">
        <w:t xml:space="preserve">les lignées </w:t>
      </w:r>
      <w:r w:rsidR="000F7151">
        <w:t xml:space="preserve">cellulaires </w:t>
      </w:r>
      <w:r w:rsidRPr="00D77B3B">
        <w:t>précurseurs myéloïde</w:t>
      </w:r>
      <w:r w:rsidR="0089596F">
        <w:t>s</w:t>
      </w:r>
      <w:r w:rsidRPr="00D77B3B">
        <w:t xml:space="preserve"> et érythroïde</w:t>
      </w:r>
      <w:r w:rsidR="0089596F">
        <w:t>s</w:t>
      </w:r>
      <w:r w:rsidRPr="00D77B3B">
        <w:t>) ont été constatés. Les altérations de la moelle osseuse allaient d’une sévérité légère à importante et se sont résorbées après l’arrêt du traitement. Aucun effet sur les fonctions cardio-vasculaires (ECG, pression artérielle) n’a été observé chez les singes.</w:t>
      </w:r>
    </w:p>
    <w:p w14:paraId="6A6323BD" w14:textId="77777777" w:rsidR="008F4AFF" w:rsidRPr="00D77B3B" w:rsidRDefault="008F4AFF" w:rsidP="008F4AFF">
      <w:pPr>
        <w:spacing w:line="240" w:lineRule="auto"/>
        <w:rPr>
          <w:iCs/>
          <w:noProof/>
          <w:szCs w:val="22"/>
        </w:rPr>
      </w:pPr>
    </w:p>
    <w:p w14:paraId="785EFE05" w14:textId="77777777" w:rsidR="008F4AFF" w:rsidRPr="00D77B3B" w:rsidRDefault="008F4AFF" w:rsidP="008F4AFF">
      <w:pPr>
        <w:keepNext/>
        <w:keepLines/>
        <w:spacing w:line="240" w:lineRule="auto"/>
        <w:rPr>
          <w:iCs/>
          <w:noProof/>
          <w:szCs w:val="22"/>
          <w:u w:val="single"/>
        </w:rPr>
      </w:pPr>
      <w:r w:rsidRPr="00D77B3B">
        <w:rPr>
          <w:noProof/>
          <w:u w:val="single"/>
        </w:rPr>
        <w:t>Autre</w:t>
      </w:r>
    </w:p>
    <w:p w14:paraId="6F440963" w14:textId="23205D9D" w:rsidR="008F4AFF" w:rsidRPr="00D77B3B" w:rsidRDefault="008F4AFF" w:rsidP="008F4AFF">
      <w:pPr>
        <w:keepNext/>
        <w:keepLines/>
        <w:spacing w:line="240" w:lineRule="auto"/>
        <w:rPr>
          <w:iCs/>
          <w:noProof/>
          <w:szCs w:val="22"/>
        </w:rPr>
      </w:pPr>
      <w:r w:rsidRPr="00D77B3B">
        <w:t xml:space="preserve">Aucune étude non clinique n’a été réalisée afin d’évaluer </w:t>
      </w:r>
      <w:r w:rsidR="000F7151">
        <w:t xml:space="preserve">le potentiel cancérogène, génotoxique ou une possible toxicité sur le développement et la reproduction. </w:t>
      </w:r>
      <w:r w:rsidRPr="00D77B3B">
        <w:t xml:space="preserve">Dans les études </w:t>
      </w:r>
      <w:r w:rsidR="00EA5D08">
        <w:t>de</w:t>
      </w:r>
      <w:r w:rsidRPr="00D77B3B">
        <w:t xml:space="preserve"> toxicité en administration répétée menées sur des cobayes et des singes </w:t>
      </w:r>
      <w:proofErr w:type="spellStart"/>
      <w:r w:rsidRPr="00D77B3B">
        <w:t>cynomolgus</w:t>
      </w:r>
      <w:proofErr w:type="spellEnd"/>
      <w:r w:rsidRPr="00D77B3B">
        <w:t xml:space="preserve">, aucun effet secondaire sur les organes </w:t>
      </w:r>
      <w:r w:rsidR="00696156">
        <w:t>reproducteurs</w:t>
      </w:r>
      <w:r w:rsidRPr="00D77B3B">
        <w:t xml:space="preserve"> n’a été observé </w:t>
      </w:r>
      <w:r w:rsidR="00EA5D08">
        <w:t>à des</w:t>
      </w:r>
      <w:r w:rsidRPr="00D77B3B">
        <w:t xml:space="preserve"> niveaux d’exposition supérieurs aux niveaux cliniques.</w:t>
      </w:r>
    </w:p>
    <w:p w14:paraId="202919AC" w14:textId="77777777" w:rsidR="008F4AFF" w:rsidRPr="00D77B3B" w:rsidRDefault="008F4AFF" w:rsidP="008F4AFF">
      <w:pPr>
        <w:suppressAutoHyphens/>
        <w:spacing w:line="240" w:lineRule="auto"/>
        <w:ind w:left="567" w:hanging="567"/>
        <w:rPr>
          <w:iCs/>
          <w:noProof/>
          <w:szCs w:val="22"/>
        </w:rPr>
      </w:pPr>
    </w:p>
    <w:p w14:paraId="63CA94F4" w14:textId="77777777" w:rsidR="008F4AFF" w:rsidRPr="00D77B3B" w:rsidRDefault="008F4AFF" w:rsidP="008F4AFF">
      <w:pPr>
        <w:suppressAutoHyphens/>
        <w:spacing w:line="240" w:lineRule="auto"/>
        <w:ind w:left="567" w:hanging="567"/>
        <w:rPr>
          <w:iCs/>
          <w:noProof/>
          <w:szCs w:val="22"/>
        </w:rPr>
      </w:pPr>
    </w:p>
    <w:p w14:paraId="6DC13AB1" w14:textId="77777777" w:rsidR="008F4AFF" w:rsidRPr="00D77B3B" w:rsidRDefault="008F4AFF" w:rsidP="008F4AFF">
      <w:pPr>
        <w:keepNext/>
        <w:spacing w:line="240" w:lineRule="auto"/>
        <w:ind w:left="567" w:hanging="567"/>
        <w:outlineLvl w:val="0"/>
        <w:rPr>
          <w:b/>
          <w:szCs w:val="22"/>
        </w:rPr>
      </w:pPr>
      <w:r w:rsidRPr="00D77B3B">
        <w:rPr>
          <w:b/>
        </w:rPr>
        <w:t>6.</w:t>
      </w:r>
      <w:r w:rsidRPr="00D77B3B">
        <w:tab/>
      </w:r>
      <w:r w:rsidRPr="00D77B3B">
        <w:rPr>
          <w:b/>
        </w:rPr>
        <w:t>DONNÉES PHARMACEUTIQUES</w:t>
      </w:r>
    </w:p>
    <w:p w14:paraId="28F58147" w14:textId="77777777" w:rsidR="008F4AFF" w:rsidRPr="00D77B3B" w:rsidRDefault="008F4AFF" w:rsidP="008F4AFF">
      <w:pPr>
        <w:keepNext/>
        <w:keepLines/>
        <w:spacing w:line="240" w:lineRule="auto"/>
        <w:rPr>
          <w:noProof/>
          <w:szCs w:val="22"/>
        </w:rPr>
      </w:pPr>
    </w:p>
    <w:p w14:paraId="6D6D46B3" w14:textId="77777777" w:rsidR="008F4AFF" w:rsidRPr="00D77B3B" w:rsidRDefault="008F4AFF" w:rsidP="008F4AFF">
      <w:pPr>
        <w:keepNext/>
        <w:keepLines/>
        <w:spacing w:line="240" w:lineRule="auto"/>
        <w:ind w:left="567" w:hanging="567"/>
        <w:outlineLvl w:val="0"/>
        <w:rPr>
          <w:b/>
          <w:noProof/>
          <w:szCs w:val="22"/>
        </w:rPr>
      </w:pPr>
      <w:r w:rsidRPr="00D77B3B">
        <w:rPr>
          <w:b/>
          <w:noProof/>
        </w:rPr>
        <w:t>6.1</w:t>
      </w:r>
      <w:r w:rsidRPr="00D77B3B">
        <w:tab/>
      </w:r>
      <w:r w:rsidRPr="00D77B3B">
        <w:rPr>
          <w:b/>
          <w:noProof/>
        </w:rPr>
        <w:t>Liste des excipients</w:t>
      </w:r>
    </w:p>
    <w:p w14:paraId="143E2CED" w14:textId="77777777" w:rsidR="008F4AFF" w:rsidRPr="00D77B3B" w:rsidRDefault="008F4AFF" w:rsidP="008F4AFF">
      <w:pPr>
        <w:keepNext/>
        <w:keepLines/>
        <w:spacing w:line="240" w:lineRule="auto"/>
        <w:rPr>
          <w:i/>
          <w:noProof/>
          <w:szCs w:val="22"/>
        </w:rPr>
      </w:pPr>
    </w:p>
    <w:p w14:paraId="304E4927" w14:textId="77777777" w:rsidR="008F4AFF" w:rsidRPr="00D77B3B" w:rsidRDefault="008F4AFF" w:rsidP="008F4AFF">
      <w:pPr>
        <w:keepNext/>
        <w:keepLines/>
        <w:spacing w:line="240" w:lineRule="auto"/>
        <w:rPr>
          <w:szCs w:val="22"/>
        </w:rPr>
      </w:pPr>
      <w:r w:rsidRPr="00D77B3B">
        <w:t>Histidine</w:t>
      </w:r>
    </w:p>
    <w:p w14:paraId="46593AD4" w14:textId="77777777" w:rsidR="008F4AFF" w:rsidRPr="00D77B3B" w:rsidRDefault="008F4AFF" w:rsidP="008F4AFF">
      <w:pPr>
        <w:keepNext/>
        <w:keepLines/>
        <w:spacing w:line="240" w:lineRule="auto"/>
        <w:rPr>
          <w:szCs w:val="22"/>
        </w:rPr>
      </w:pPr>
      <w:r w:rsidRPr="00D77B3B">
        <w:t>Saccharose</w:t>
      </w:r>
    </w:p>
    <w:p w14:paraId="6832B2CD" w14:textId="77777777" w:rsidR="008F4AFF" w:rsidRPr="00D77B3B" w:rsidRDefault="008F4AFF" w:rsidP="008F4AFF">
      <w:pPr>
        <w:keepNext/>
        <w:keepLines/>
        <w:spacing w:line="240" w:lineRule="auto"/>
        <w:rPr>
          <w:szCs w:val="22"/>
        </w:rPr>
      </w:pPr>
      <w:proofErr w:type="spellStart"/>
      <w:r w:rsidRPr="00D77B3B">
        <w:t>Polysorbate</w:t>
      </w:r>
      <w:proofErr w:type="spellEnd"/>
      <w:r w:rsidRPr="00D77B3B">
        <w:t> 20</w:t>
      </w:r>
    </w:p>
    <w:p w14:paraId="7C024FDD" w14:textId="77777777" w:rsidR="008F4AFF" w:rsidRPr="00D77B3B" w:rsidRDefault="008F4AFF" w:rsidP="008F4AFF">
      <w:pPr>
        <w:keepNext/>
        <w:keepLines/>
        <w:spacing w:line="240" w:lineRule="auto"/>
        <w:rPr>
          <w:szCs w:val="22"/>
        </w:rPr>
      </w:pPr>
      <w:r w:rsidRPr="00D77B3B">
        <w:t>Eau pour préparations injectables</w:t>
      </w:r>
    </w:p>
    <w:p w14:paraId="7FBED8FA" w14:textId="77777777" w:rsidR="008F4AFF" w:rsidRPr="00D77B3B" w:rsidRDefault="008F4AFF" w:rsidP="008F4AFF">
      <w:pPr>
        <w:keepNext/>
        <w:keepLines/>
        <w:spacing w:line="240" w:lineRule="auto"/>
        <w:rPr>
          <w:noProof/>
          <w:szCs w:val="22"/>
        </w:rPr>
      </w:pPr>
      <w:r w:rsidRPr="00D77B3B">
        <w:t>Acide chlorhydrique (pour l’ajustement du pH)</w:t>
      </w:r>
    </w:p>
    <w:p w14:paraId="5796ED39" w14:textId="77777777" w:rsidR="008F4AFF" w:rsidRPr="00D77B3B" w:rsidRDefault="008F4AFF" w:rsidP="008F4AFF">
      <w:pPr>
        <w:spacing w:line="240" w:lineRule="auto"/>
        <w:rPr>
          <w:noProof/>
          <w:szCs w:val="22"/>
        </w:rPr>
      </w:pPr>
    </w:p>
    <w:p w14:paraId="54178E08" w14:textId="77777777" w:rsidR="008F4AFF" w:rsidRPr="00D77B3B" w:rsidRDefault="008F4AFF" w:rsidP="008F4AFF">
      <w:pPr>
        <w:keepNext/>
        <w:keepLines/>
        <w:spacing w:line="240" w:lineRule="auto"/>
        <w:ind w:left="567" w:hanging="567"/>
        <w:outlineLvl w:val="0"/>
        <w:rPr>
          <w:b/>
          <w:noProof/>
          <w:szCs w:val="22"/>
        </w:rPr>
      </w:pPr>
      <w:r w:rsidRPr="00D77B3B">
        <w:rPr>
          <w:b/>
          <w:noProof/>
        </w:rPr>
        <w:t>6.2</w:t>
      </w:r>
      <w:r w:rsidRPr="00D77B3B">
        <w:tab/>
      </w:r>
      <w:r w:rsidRPr="00D77B3B">
        <w:rPr>
          <w:b/>
          <w:noProof/>
        </w:rPr>
        <w:t>Incompatibilités</w:t>
      </w:r>
    </w:p>
    <w:p w14:paraId="26B09915" w14:textId="77777777" w:rsidR="008F4AFF" w:rsidRPr="00D77B3B" w:rsidRDefault="008F4AFF" w:rsidP="008F4AFF">
      <w:pPr>
        <w:keepNext/>
        <w:keepLines/>
        <w:spacing w:line="240" w:lineRule="auto"/>
        <w:rPr>
          <w:noProof/>
          <w:szCs w:val="22"/>
        </w:rPr>
      </w:pPr>
    </w:p>
    <w:p w14:paraId="5FED7BBD" w14:textId="77777777" w:rsidR="008F4AFF" w:rsidRPr="00D77B3B" w:rsidRDefault="008F4AFF" w:rsidP="008F4AFF">
      <w:pPr>
        <w:keepNext/>
        <w:keepLines/>
        <w:spacing w:line="240" w:lineRule="auto"/>
        <w:rPr>
          <w:noProof/>
          <w:szCs w:val="22"/>
        </w:rPr>
      </w:pPr>
      <w:r w:rsidRPr="00D77B3B">
        <w:t>Ce médicament ne doit pas être mélangé avec d’autres médicaments à l’exception de ceux mentionnés dans la rubrique 6.6.</w:t>
      </w:r>
    </w:p>
    <w:p w14:paraId="34B0FBF2" w14:textId="77777777" w:rsidR="008F4AFF" w:rsidRPr="00D77B3B" w:rsidRDefault="008F4AFF" w:rsidP="008F4AFF">
      <w:pPr>
        <w:spacing w:line="240" w:lineRule="auto"/>
        <w:rPr>
          <w:noProof/>
          <w:szCs w:val="22"/>
        </w:rPr>
      </w:pPr>
    </w:p>
    <w:p w14:paraId="04BE372D" w14:textId="77777777" w:rsidR="008F4AFF" w:rsidRPr="00D77B3B" w:rsidRDefault="008F4AFF" w:rsidP="008F4AFF">
      <w:pPr>
        <w:keepNext/>
        <w:keepLines/>
        <w:spacing w:line="240" w:lineRule="auto"/>
        <w:ind w:left="567" w:hanging="567"/>
        <w:outlineLvl w:val="0"/>
        <w:rPr>
          <w:b/>
          <w:noProof/>
          <w:szCs w:val="22"/>
        </w:rPr>
      </w:pPr>
      <w:r w:rsidRPr="00D77B3B">
        <w:rPr>
          <w:b/>
          <w:noProof/>
        </w:rPr>
        <w:t>6.3</w:t>
      </w:r>
      <w:r w:rsidRPr="00D77B3B">
        <w:tab/>
      </w:r>
      <w:r w:rsidRPr="00D77B3B">
        <w:rPr>
          <w:b/>
          <w:noProof/>
        </w:rPr>
        <w:t>Durée de conservation</w:t>
      </w:r>
    </w:p>
    <w:p w14:paraId="10577F09" w14:textId="77777777" w:rsidR="008F4AFF" w:rsidRPr="00D77B3B" w:rsidRDefault="008F4AFF" w:rsidP="008F4AFF">
      <w:pPr>
        <w:keepNext/>
        <w:keepLines/>
        <w:spacing w:line="240" w:lineRule="auto"/>
        <w:rPr>
          <w:noProof/>
          <w:szCs w:val="22"/>
        </w:rPr>
      </w:pPr>
    </w:p>
    <w:p w14:paraId="07B12CE7" w14:textId="77777777" w:rsidR="008F4AFF" w:rsidRPr="00D77B3B" w:rsidRDefault="008F4AFF" w:rsidP="008F4AFF">
      <w:pPr>
        <w:keepNext/>
        <w:keepLines/>
        <w:spacing w:line="240" w:lineRule="auto"/>
        <w:rPr>
          <w:noProof/>
          <w:szCs w:val="22"/>
          <w:u w:val="single"/>
        </w:rPr>
      </w:pPr>
      <w:r w:rsidRPr="00D77B3B">
        <w:rPr>
          <w:noProof/>
          <w:u w:val="single"/>
        </w:rPr>
        <w:t>Flacon avant ouverture</w:t>
      </w:r>
    </w:p>
    <w:p w14:paraId="331448F9" w14:textId="2A448F48" w:rsidR="008F4AFF" w:rsidRPr="00D77B3B" w:rsidRDefault="00552F4F" w:rsidP="008F4AFF">
      <w:pPr>
        <w:keepNext/>
        <w:keepLines/>
        <w:spacing w:line="240" w:lineRule="auto"/>
        <w:rPr>
          <w:noProof/>
          <w:szCs w:val="22"/>
        </w:rPr>
      </w:pPr>
      <w:r>
        <w:t>3</w:t>
      </w:r>
      <w:r w:rsidR="008F4AFF" w:rsidRPr="00D77B3B">
        <w:t> ans</w:t>
      </w:r>
    </w:p>
    <w:p w14:paraId="2C4054FF" w14:textId="77777777" w:rsidR="008F4AFF" w:rsidRPr="00D77B3B" w:rsidRDefault="008F4AFF" w:rsidP="008F4AFF">
      <w:pPr>
        <w:spacing w:line="240" w:lineRule="auto"/>
        <w:rPr>
          <w:noProof/>
          <w:szCs w:val="22"/>
        </w:rPr>
      </w:pPr>
    </w:p>
    <w:p w14:paraId="3B097AA0" w14:textId="77777777" w:rsidR="008F4AFF" w:rsidRPr="00D77B3B" w:rsidRDefault="008F4AFF" w:rsidP="008F4AFF">
      <w:pPr>
        <w:keepNext/>
        <w:keepLines/>
        <w:spacing w:line="240" w:lineRule="auto"/>
        <w:rPr>
          <w:noProof/>
          <w:szCs w:val="22"/>
          <w:u w:val="single"/>
        </w:rPr>
      </w:pPr>
      <w:r w:rsidRPr="00D77B3B">
        <w:rPr>
          <w:noProof/>
          <w:u w:val="single"/>
        </w:rPr>
        <w:t>Solution diluée (solution pour perfusion)</w:t>
      </w:r>
    </w:p>
    <w:p w14:paraId="75B22A9B" w14:textId="6B305D05" w:rsidR="008F4AFF" w:rsidRPr="00D77B3B" w:rsidRDefault="008F4AFF" w:rsidP="008F4AFF">
      <w:pPr>
        <w:keepNext/>
        <w:keepLines/>
        <w:spacing w:line="240" w:lineRule="auto"/>
        <w:rPr>
          <w:noProof/>
          <w:szCs w:val="22"/>
        </w:rPr>
      </w:pPr>
      <w:r w:rsidRPr="00D77B3B">
        <w:t>La stabilité physico-chimique de la solution diluée a été démontrée jusqu’à 48 heures à 25 °C (seringue de 50 m</w:t>
      </w:r>
      <w:r w:rsidR="001263B7">
        <w:t>l</w:t>
      </w:r>
      <w:r w:rsidRPr="00D77B3B">
        <w:t>) et jusqu’à 7 jours à 37 °C (poche à perfusion de 250 m</w:t>
      </w:r>
      <w:r w:rsidR="001263B7">
        <w:t>l</w:t>
      </w:r>
      <w:r w:rsidRPr="00D77B3B">
        <w:t xml:space="preserve">) après conservation </w:t>
      </w:r>
      <w:r w:rsidR="00F337CD">
        <w:t>au</w:t>
      </w:r>
      <w:r w:rsidRPr="00D77B3B">
        <w:t xml:space="preserve"> réfrigérateur (2 °C – 8 °C) pendant 72 heures (voir rubrique 6.6).</w:t>
      </w:r>
    </w:p>
    <w:p w14:paraId="4F197E62" w14:textId="77777777" w:rsidR="008F4AFF" w:rsidRPr="00D77B3B" w:rsidRDefault="008F4AFF" w:rsidP="008F4AFF">
      <w:pPr>
        <w:keepNext/>
        <w:keepLines/>
        <w:spacing w:line="240" w:lineRule="auto"/>
        <w:rPr>
          <w:noProof/>
          <w:szCs w:val="22"/>
        </w:rPr>
      </w:pPr>
    </w:p>
    <w:p w14:paraId="20125C08" w14:textId="653FAA1F" w:rsidR="008F4AFF" w:rsidRPr="00D77B3B" w:rsidRDefault="00737C68" w:rsidP="008F4AFF">
      <w:pPr>
        <w:keepNext/>
        <w:keepLines/>
        <w:spacing w:line="240" w:lineRule="auto"/>
        <w:rPr>
          <w:noProof/>
          <w:szCs w:val="22"/>
        </w:rPr>
      </w:pPr>
      <w:r>
        <w:t>Toutefois du</w:t>
      </w:r>
      <w:r w:rsidR="008F4AFF" w:rsidRPr="00D77B3B">
        <w:t xml:space="preserve"> point de vue microbiologique, le médicament doit être utilisé immédiatement. En cas d’utilisation non immédiate, les durées et conditions de conservation avant utilisation relèvent de la seule responsabilité de l’utilisateur et ne </w:t>
      </w:r>
      <w:r w:rsidR="00F337CD">
        <w:t>devraient</w:t>
      </w:r>
      <w:r w:rsidR="008F4AFF" w:rsidRPr="00D77B3B">
        <w:t xml:space="preserve"> pas dépasser 24 heures entre 2 et 8 °C, sauf </w:t>
      </w:r>
      <w:r>
        <w:t>en cas de</w:t>
      </w:r>
      <w:r w:rsidR="008F4AFF" w:rsidRPr="00D77B3B">
        <w:t xml:space="preserve"> dilution réalisée dans des conditions d’asepsie </w:t>
      </w:r>
      <w:r>
        <w:t xml:space="preserve">dûment </w:t>
      </w:r>
      <w:r w:rsidR="008F4AFF" w:rsidRPr="00D77B3B">
        <w:t>contrôlées et validées.</w:t>
      </w:r>
    </w:p>
    <w:p w14:paraId="7B615DFE" w14:textId="77777777" w:rsidR="008F4AFF" w:rsidRPr="00D77B3B" w:rsidRDefault="008F4AFF" w:rsidP="008F4AFF">
      <w:pPr>
        <w:spacing w:line="240" w:lineRule="auto"/>
        <w:rPr>
          <w:noProof/>
          <w:szCs w:val="22"/>
        </w:rPr>
      </w:pPr>
    </w:p>
    <w:p w14:paraId="615FD73A" w14:textId="77777777" w:rsidR="008F4AFF" w:rsidRPr="00D77B3B" w:rsidRDefault="008F4AFF" w:rsidP="008F4AFF">
      <w:pPr>
        <w:keepNext/>
        <w:keepLines/>
        <w:spacing w:line="240" w:lineRule="auto"/>
        <w:outlineLvl w:val="0"/>
        <w:rPr>
          <w:b/>
          <w:noProof/>
          <w:szCs w:val="22"/>
        </w:rPr>
      </w:pPr>
      <w:r w:rsidRPr="00D77B3B">
        <w:rPr>
          <w:b/>
          <w:noProof/>
        </w:rPr>
        <w:t>6.4</w:t>
      </w:r>
      <w:r w:rsidRPr="00D77B3B">
        <w:tab/>
      </w:r>
      <w:r w:rsidRPr="00D77B3B">
        <w:rPr>
          <w:b/>
          <w:noProof/>
        </w:rPr>
        <w:t>Précautions particulières de conservation</w:t>
      </w:r>
    </w:p>
    <w:p w14:paraId="34D0B2F3" w14:textId="77777777" w:rsidR="008F4AFF" w:rsidRPr="00D77B3B" w:rsidRDefault="008F4AFF" w:rsidP="008F4AFF">
      <w:pPr>
        <w:keepNext/>
        <w:keepLines/>
        <w:spacing w:line="240" w:lineRule="auto"/>
        <w:rPr>
          <w:noProof/>
          <w:szCs w:val="22"/>
        </w:rPr>
      </w:pPr>
    </w:p>
    <w:p w14:paraId="456DD6D0" w14:textId="77777777" w:rsidR="008F4AFF" w:rsidRPr="00D77B3B" w:rsidRDefault="008F4AFF" w:rsidP="008F4AFF">
      <w:pPr>
        <w:keepNext/>
        <w:keepLines/>
        <w:spacing w:line="240" w:lineRule="auto"/>
        <w:rPr>
          <w:szCs w:val="22"/>
        </w:rPr>
      </w:pPr>
      <w:r w:rsidRPr="00D77B3B">
        <w:t>À conserver au réfrigérateur (entre 2 °C et 8 °C).</w:t>
      </w:r>
    </w:p>
    <w:p w14:paraId="21D6CECB" w14:textId="77777777" w:rsidR="008F4AFF" w:rsidRPr="00D77B3B" w:rsidRDefault="008F4AFF" w:rsidP="008F4AFF">
      <w:pPr>
        <w:spacing w:line="240" w:lineRule="auto"/>
        <w:rPr>
          <w:noProof/>
          <w:szCs w:val="22"/>
        </w:rPr>
      </w:pPr>
    </w:p>
    <w:p w14:paraId="48C8046F" w14:textId="77777777" w:rsidR="008F4AFF" w:rsidRPr="00D77B3B" w:rsidRDefault="008F4AFF" w:rsidP="008F4AFF">
      <w:pPr>
        <w:spacing w:line="240" w:lineRule="auto"/>
        <w:rPr>
          <w:noProof/>
          <w:szCs w:val="22"/>
        </w:rPr>
      </w:pPr>
      <w:r w:rsidRPr="00D77B3B">
        <w:t>Conserver le flacon dans l’emballage extérieur à l’abri de la lumière.</w:t>
      </w:r>
    </w:p>
    <w:p w14:paraId="3C5EE320" w14:textId="77777777" w:rsidR="008F4AFF" w:rsidRPr="00D77B3B" w:rsidRDefault="008F4AFF" w:rsidP="008F4AFF">
      <w:pPr>
        <w:spacing w:line="240" w:lineRule="auto"/>
        <w:rPr>
          <w:szCs w:val="22"/>
        </w:rPr>
      </w:pPr>
    </w:p>
    <w:p w14:paraId="1F3C236F" w14:textId="77777777" w:rsidR="008F4AFF" w:rsidRPr="00D77B3B" w:rsidRDefault="008F4AFF" w:rsidP="008F4AFF">
      <w:pPr>
        <w:spacing w:line="240" w:lineRule="auto"/>
        <w:rPr>
          <w:noProof/>
          <w:szCs w:val="22"/>
        </w:rPr>
      </w:pPr>
      <w:r w:rsidRPr="00D77B3B">
        <w:t>Pour les conditions de conservation du médicament après dilution, voir la rubrique 6.3.</w:t>
      </w:r>
    </w:p>
    <w:p w14:paraId="612826E0" w14:textId="77777777" w:rsidR="008F4AFF" w:rsidRPr="00D77B3B" w:rsidRDefault="008F4AFF" w:rsidP="008F4AFF">
      <w:pPr>
        <w:spacing w:line="240" w:lineRule="auto"/>
        <w:rPr>
          <w:szCs w:val="22"/>
        </w:rPr>
      </w:pPr>
    </w:p>
    <w:p w14:paraId="5C683923" w14:textId="77777777" w:rsidR="008F4AFF" w:rsidRPr="00D77B3B" w:rsidRDefault="008F4AFF" w:rsidP="008F4AFF">
      <w:pPr>
        <w:keepNext/>
        <w:keepLines/>
        <w:spacing w:line="240" w:lineRule="auto"/>
        <w:outlineLvl w:val="0"/>
        <w:rPr>
          <w:b/>
          <w:noProof/>
          <w:szCs w:val="22"/>
        </w:rPr>
      </w:pPr>
      <w:r w:rsidRPr="00D77B3B">
        <w:rPr>
          <w:b/>
          <w:noProof/>
        </w:rPr>
        <w:lastRenderedPageBreak/>
        <w:t>6.5</w:t>
      </w:r>
      <w:r w:rsidRPr="00D77B3B">
        <w:tab/>
      </w:r>
      <w:r w:rsidRPr="00D77B3B">
        <w:rPr>
          <w:b/>
          <w:noProof/>
        </w:rPr>
        <w:t>Nature et contenu de l’emballage extérieur</w:t>
      </w:r>
    </w:p>
    <w:p w14:paraId="2564E4C9" w14:textId="77777777" w:rsidR="008F4AFF" w:rsidRPr="00D77B3B" w:rsidRDefault="008F4AFF" w:rsidP="008F4AFF">
      <w:pPr>
        <w:keepNext/>
        <w:keepLines/>
        <w:spacing w:line="240" w:lineRule="auto"/>
        <w:rPr>
          <w:szCs w:val="22"/>
        </w:rPr>
      </w:pPr>
    </w:p>
    <w:p w14:paraId="2AA9AA2B" w14:textId="60960AA1" w:rsidR="008F4AFF" w:rsidRPr="00D77B3B" w:rsidRDefault="008F4AFF" w:rsidP="008F4AFF">
      <w:pPr>
        <w:keepNext/>
        <w:keepLines/>
        <w:spacing w:line="240" w:lineRule="auto"/>
        <w:rPr>
          <w:szCs w:val="22"/>
        </w:rPr>
      </w:pPr>
      <w:r w:rsidRPr="00D77B3B">
        <w:t>Flacon en verre transparent de type I (6 ml) avec un bouchon en caoutchouc d’</w:t>
      </w:r>
      <w:proofErr w:type="spellStart"/>
      <w:r w:rsidRPr="00D77B3B">
        <w:t>halobutyle</w:t>
      </w:r>
      <w:proofErr w:type="spellEnd"/>
      <w:r w:rsidRPr="00D77B3B">
        <w:t xml:space="preserve"> et un opercule amovible en aluminium, contenant un volume extractible minimum de 4,5 m</w:t>
      </w:r>
      <w:r w:rsidR="001263B7">
        <w:t>l</w:t>
      </w:r>
      <w:r w:rsidRPr="00D77B3B">
        <w:t xml:space="preserve"> de solution à diluer pour perfusion.</w:t>
      </w:r>
    </w:p>
    <w:p w14:paraId="49F20179" w14:textId="77777777" w:rsidR="008F4AFF" w:rsidRPr="00D77B3B" w:rsidRDefault="008F4AFF" w:rsidP="008F4AFF">
      <w:pPr>
        <w:spacing w:line="240" w:lineRule="auto"/>
        <w:rPr>
          <w:szCs w:val="22"/>
        </w:rPr>
      </w:pPr>
    </w:p>
    <w:p w14:paraId="642F4E3B" w14:textId="77777777" w:rsidR="008F4AFF" w:rsidRPr="00D77B3B" w:rsidRDefault="008F4AFF" w:rsidP="008F4AFF">
      <w:pPr>
        <w:spacing w:line="240" w:lineRule="auto"/>
        <w:rPr>
          <w:szCs w:val="22"/>
        </w:rPr>
      </w:pPr>
      <w:r w:rsidRPr="00D77B3B">
        <w:t>Chaque emballage contient un flacon.</w:t>
      </w:r>
    </w:p>
    <w:p w14:paraId="05D90E05" w14:textId="77777777" w:rsidR="008F4AFF" w:rsidRPr="00D77B3B" w:rsidRDefault="008F4AFF" w:rsidP="008F4AFF">
      <w:pPr>
        <w:spacing w:line="240" w:lineRule="auto"/>
        <w:rPr>
          <w:noProof/>
          <w:szCs w:val="22"/>
        </w:rPr>
      </w:pPr>
    </w:p>
    <w:p w14:paraId="72FB8E76" w14:textId="77777777" w:rsidR="008F4AFF" w:rsidRPr="00D77B3B" w:rsidRDefault="008F4AFF" w:rsidP="008F4AFF">
      <w:pPr>
        <w:keepNext/>
        <w:keepLines/>
        <w:spacing w:line="240" w:lineRule="auto"/>
        <w:ind w:left="567" w:hanging="567"/>
        <w:outlineLvl w:val="0"/>
        <w:rPr>
          <w:b/>
          <w:noProof/>
          <w:szCs w:val="22"/>
        </w:rPr>
      </w:pPr>
      <w:r w:rsidRPr="00D77B3B">
        <w:rPr>
          <w:b/>
          <w:noProof/>
        </w:rPr>
        <w:t>6.6</w:t>
      </w:r>
      <w:r w:rsidRPr="00D77B3B">
        <w:tab/>
      </w:r>
      <w:r w:rsidRPr="00D77B3B">
        <w:rPr>
          <w:b/>
          <w:noProof/>
        </w:rPr>
        <w:t>Précautions particulières d’élimination et manipulation</w:t>
      </w:r>
    </w:p>
    <w:p w14:paraId="37952AFF" w14:textId="77777777" w:rsidR="008F4AFF" w:rsidRPr="00D77B3B" w:rsidRDefault="008F4AFF" w:rsidP="008F4AFF">
      <w:pPr>
        <w:keepNext/>
        <w:keepLines/>
        <w:spacing w:line="240" w:lineRule="auto"/>
        <w:rPr>
          <w:szCs w:val="22"/>
        </w:rPr>
      </w:pPr>
    </w:p>
    <w:p w14:paraId="709F424A" w14:textId="77777777" w:rsidR="008F4AFF" w:rsidRPr="00D77B3B" w:rsidRDefault="008F4AFF" w:rsidP="008F4AFF">
      <w:pPr>
        <w:keepNext/>
        <w:keepLines/>
        <w:spacing w:line="240" w:lineRule="auto"/>
        <w:rPr>
          <w:szCs w:val="22"/>
        </w:rPr>
      </w:pPr>
      <w:r w:rsidRPr="00D77B3B">
        <w:t>La solution pour perfusion doit être préparée dans des conditions aseptisées. La solution ne doit pas être exposée directement à la lumière du soleil ou à la chaleur.</w:t>
      </w:r>
    </w:p>
    <w:p w14:paraId="28BEFFEE" w14:textId="77777777" w:rsidR="008F4AFF" w:rsidRPr="00D77B3B" w:rsidRDefault="008F4AFF" w:rsidP="008F4AFF">
      <w:pPr>
        <w:spacing w:line="240" w:lineRule="auto"/>
        <w:rPr>
          <w:szCs w:val="22"/>
        </w:rPr>
      </w:pPr>
    </w:p>
    <w:p w14:paraId="426D086E" w14:textId="1C676F95" w:rsidR="008F4AFF" w:rsidRPr="00D77B3B" w:rsidRDefault="008F4AFF" w:rsidP="008F4AFF">
      <w:pPr>
        <w:spacing w:line="240" w:lineRule="auto"/>
        <w:rPr>
          <w:szCs w:val="22"/>
        </w:rPr>
      </w:pPr>
      <w:r w:rsidRPr="00D77B3B">
        <w:t xml:space="preserve">La dose journalière de </w:t>
      </w:r>
      <w:proofErr w:type="spellStart"/>
      <w:r w:rsidR="008737C6">
        <w:t>Qarziba</w:t>
      </w:r>
      <w:proofErr w:type="spellEnd"/>
      <w:r w:rsidRPr="00D77B3B">
        <w:t xml:space="preserve"> spécifique au patient est calculée sur la base de la surface corporelle (voir rubrique 4.2).</w:t>
      </w:r>
    </w:p>
    <w:p w14:paraId="6BE93BED" w14:textId="256CB9D8" w:rsidR="008F4AFF" w:rsidRPr="00D77B3B" w:rsidRDefault="008737C6" w:rsidP="008F4AFF">
      <w:pPr>
        <w:spacing w:line="240" w:lineRule="auto"/>
        <w:rPr>
          <w:szCs w:val="22"/>
        </w:rPr>
      </w:pPr>
      <w:proofErr w:type="spellStart"/>
      <w:r>
        <w:t>Qarziba</w:t>
      </w:r>
      <w:proofErr w:type="spellEnd"/>
      <w:r w:rsidR="008F4AFF" w:rsidRPr="00D77B3B">
        <w:t xml:space="preserve"> doit être dilué </w:t>
      </w:r>
      <w:r w:rsidR="008F4AFF">
        <w:t xml:space="preserve">de manière aseptique </w:t>
      </w:r>
      <w:r w:rsidR="008F4AFF" w:rsidRPr="00D77B3B">
        <w:t>dans une solution pour perfusion de chlorure de sodium à 9 mg/m</w:t>
      </w:r>
      <w:r w:rsidR="001263B7">
        <w:t>l</w:t>
      </w:r>
      <w:r w:rsidR="008F4AFF" w:rsidRPr="00D77B3B">
        <w:t xml:space="preserve"> (0,9 %) contenant 1 % d’albumine d’origine humaine (par ex. 5 m</w:t>
      </w:r>
      <w:r w:rsidR="001263B7">
        <w:t>l</w:t>
      </w:r>
      <w:r w:rsidR="008F4AFF" w:rsidRPr="00D77B3B">
        <w:t xml:space="preserve"> d’albumine d’origine humaine à 20 % pour 100 m</w:t>
      </w:r>
      <w:r w:rsidR="001263B7">
        <w:t>l</w:t>
      </w:r>
      <w:r w:rsidR="008F4AFF" w:rsidRPr="00D77B3B">
        <w:t xml:space="preserve"> de solution de chlorure de sodium) selon la dose/concentration spécifique au patient.</w:t>
      </w:r>
    </w:p>
    <w:p w14:paraId="6DACD660" w14:textId="77777777" w:rsidR="008F4AFF" w:rsidRPr="00D77B3B" w:rsidRDefault="008F4AFF" w:rsidP="008F4AFF">
      <w:pPr>
        <w:spacing w:line="240" w:lineRule="auto"/>
        <w:rPr>
          <w:szCs w:val="22"/>
        </w:rPr>
      </w:pPr>
    </w:p>
    <w:p w14:paraId="1AA914A4" w14:textId="118AC3A7" w:rsidR="008F4AFF" w:rsidRPr="00D77B3B" w:rsidRDefault="008F4AFF" w:rsidP="008F4AFF">
      <w:pPr>
        <w:spacing w:line="240" w:lineRule="auto"/>
        <w:rPr>
          <w:szCs w:val="22"/>
        </w:rPr>
      </w:pPr>
      <w:r w:rsidRPr="00D77B3B">
        <w:rPr>
          <w:u w:val="single"/>
        </w:rPr>
        <w:t>Pour les perfusions continues,</w:t>
      </w:r>
      <w:r w:rsidRPr="00D77B3B">
        <w:t xml:space="preserve"> la solution pour perfusion peut être préparée chaque jour ou en quantité suffisante pour une durée allant jusqu’à 5 jours. La dose quotidienne recommandée est de 10 mg/m</w:t>
      </w:r>
      <w:r w:rsidRPr="00D77B3B">
        <w:rPr>
          <w:vertAlign w:val="superscript"/>
        </w:rPr>
        <w:t>2</w:t>
      </w:r>
      <w:r w:rsidRPr="00D77B3B">
        <w:t>. La quantité de solution quotidienne devant être administrée par perfusion (dans un cycle de traitement de 10 jours consécutifs) doit être de 48 m</w:t>
      </w:r>
      <w:r w:rsidR="001263B7">
        <w:t>l</w:t>
      </w:r>
      <w:r w:rsidRPr="00D77B3B">
        <w:t>, soit 240 m</w:t>
      </w:r>
      <w:r w:rsidR="001263B7">
        <w:t>l</w:t>
      </w:r>
      <w:r w:rsidRPr="00D77B3B">
        <w:t xml:space="preserve"> pour une dose de 5 jours. Il est recommandé de préparer une solution de 50 m</w:t>
      </w:r>
      <w:r w:rsidR="001263B7">
        <w:t>l</w:t>
      </w:r>
      <w:r w:rsidRPr="00D77B3B">
        <w:t xml:space="preserve"> dans une seringue de 50 m</w:t>
      </w:r>
      <w:r w:rsidR="001263B7">
        <w:t>l</w:t>
      </w:r>
      <w:r w:rsidRPr="00D77B3B">
        <w:t xml:space="preserve"> ou 250 m</w:t>
      </w:r>
      <w:r w:rsidR="001263B7">
        <w:t>l</w:t>
      </w:r>
      <w:r w:rsidRPr="00D77B3B">
        <w:t xml:space="preserve"> dans une poche pour perfusion adaptée à la pompe à perfusion employée, soit un excès de 2 m</w:t>
      </w:r>
      <w:r w:rsidR="001263B7">
        <w:t>l</w:t>
      </w:r>
      <w:r w:rsidRPr="00D77B3B">
        <w:t xml:space="preserve"> (seringue) ou 10 m</w:t>
      </w:r>
      <w:r w:rsidR="001263B7">
        <w:t>l</w:t>
      </w:r>
      <w:r w:rsidRPr="00D77B3B">
        <w:t xml:space="preserve"> (poche pour perfusion) pour permettre des volumes morts dans les systèmes de perfusion.</w:t>
      </w:r>
    </w:p>
    <w:p w14:paraId="6389A37B" w14:textId="77777777" w:rsidR="008F4AFF" w:rsidRPr="00D77B3B" w:rsidRDefault="008F4AFF" w:rsidP="008F4AFF">
      <w:pPr>
        <w:spacing w:line="240" w:lineRule="auto"/>
        <w:rPr>
          <w:szCs w:val="22"/>
        </w:rPr>
      </w:pPr>
    </w:p>
    <w:p w14:paraId="32517F99" w14:textId="57C75E93" w:rsidR="008F4AFF" w:rsidRPr="00D77B3B" w:rsidRDefault="008F4AFF" w:rsidP="008F4AFF">
      <w:pPr>
        <w:spacing w:line="240" w:lineRule="auto"/>
        <w:rPr>
          <w:szCs w:val="22"/>
        </w:rPr>
      </w:pPr>
      <w:r w:rsidRPr="00D77B3B">
        <w:rPr>
          <w:u w:val="single"/>
        </w:rPr>
        <w:t>Pour les perfusions multiples de 8 heures par jour</w:t>
      </w:r>
      <w:r w:rsidRPr="00D77B3B">
        <w:t>, la dose quotidienne est de 20 mg/m² et la dose calculée doit être diluée dans 100 m</w:t>
      </w:r>
      <w:r w:rsidR="001263B7">
        <w:t>l</w:t>
      </w:r>
      <w:r w:rsidRPr="00D77B3B">
        <w:t xml:space="preserve"> de solution de chlorure de sodium à 9 mg/m</w:t>
      </w:r>
      <w:r w:rsidR="001263B7">
        <w:t>l</w:t>
      </w:r>
      <w:r w:rsidRPr="00D77B3B">
        <w:t xml:space="preserve"> (0,9 %) contenant 1 % d’albumine d’origine humaine.</w:t>
      </w:r>
    </w:p>
    <w:p w14:paraId="7B98E938" w14:textId="77777777" w:rsidR="008F4AFF" w:rsidRPr="00D77B3B" w:rsidRDefault="008F4AFF" w:rsidP="008F4AFF">
      <w:pPr>
        <w:spacing w:line="240" w:lineRule="auto"/>
        <w:rPr>
          <w:szCs w:val="22"/>
        </w:rPr>
      </w:pPr>
    </w:p>
    <w:p w14:paraId="343804FA" w14:textId="77777777" w:rsidR="008F4AFF" w:rsidRPr="00D77B3B" w:rsidRDefault="008F4AFF" w:rsidP="008F4AFF">
      <w:pPr>
        <w:spacing w:line="240" w:lineRule="auto"/>
        <w:rPr>
          <w:szCs w:val="22"/>
        </w:rPr>
      </w:pPr>
      <w:r w:rsidRPr="00D77B3B">
        <w:t xml:space="preserve">La solution pour perfusion doit être administrée par une voie veineuse centrale ou périphérique. Les autres agents </w:t>
      </w:r>
      <w:proofErr w:type="spellStart"/>
      <w:r w:rsidRPr="00D77B3B">
        <w:t>co-administrés</w:t>
      </w:r>
      <w:proofErr w:type="spellEnd"/>
      <w:r w:rsidRPr="00D77B3B">
        <w:t xml:space="preserve"> par voie intraveineuse doivent être administrés par une ligne de perfusion séparée. Le récipient doit être inspecté visuellement à la recherche d’éventuelles particules avant administration. L’utilisation d’un filtre en ligne de 0,22 micromètre est recommandée durant la perfusion.</w:t>
      </w:r>
    </w:p>
    <w:p w14:paraId="6423B991" w14:textId="77777777" w:rsidR="008F4AFF" w:rsidRPr="00D77B3B" w:rsidRDefault="008F4AFF" w:rsidP="008F4AFF">
      <w:pPr>
        <w:spacing w:line="240" w:lineRule="auto"/>
        <w:rPr>
          <w:szCs w:val="22"/>
        </w:rPr>
      </w:pPr>
    </w:p>
    <w:p w14:paraId="4992EC35" w14:textId="64F3A637" w:rsidR="008F4AFF" w:rsidRPr="00D77B3B" w:rsidRDefault="008F4AFF" w:rsidP="008F4AFF">
      <w:pPr>
        <w:spacing w:line="240" w:lineRule="auto"/>
        <w:rPr>
          <w:szCs w:val="22"/>
        </w:rPr>
      </w:pPr>
      <w:r w:rsidRPr="00D77B3B">
        <w:t>Pour les perfusions continues, n’importe quel dispositif adapté à une perfusion à un débit de 2 m</w:t>
      </w:r>
      <w:r w:rsidR="001263B7">
        <w:t>l</w:t>
      </w:r>
      <w:r w:rsidRPr="00D77B3B">
        <w:t xml:space="preserve"> par heure peut être utilisé, par </w:t>
      </w:r>
      <w:proofErr w:type="gramStart"/>
      <w:r w:rsidRPr="00D77B3B">
        <w:t>ex.:</w:t>
      </w:r>
      <w:proofErr w:type="gramEnd"/>
      <w:r w:rsidRPr="00D77B3B">
        <w:t xml:space="preserve"> pompes à infusion avec seringue/perfuseurs, pompes à infusion ambulatoires électroniques. Veuillez noter que les pompes </w:t>
      </w:r>
      <w:proofErr w:type="spellStart"/>
      <w:r w:rsidRPr="00D77B3B">
        <w:t>élastomériques</w:t>
      </w:r>
      <w:proofErr w:type="spellEnd"/>
      <w:r w:rsidRPr="00D77B3B">
        <w:t xml:space="preserve"> ne sont pas considérées comme adaptées à une association avec les filtres en ligne.</w:t>
      </w:r>
    </w:p>
    <w:p w14:paraId="247C82C0" w14:textId="77777777" w:rsidR="008F4AFF" w:rsidRPr="00D77B3B" w:rsidRDefault="008F4AFF" w:rsidP="008F4AFF">
      <w:pPr>
        <w:spacing w:line="240" w:lineRule="auto"/>
        <w:rPr>
          <w:szCs w:val="22"/>
        </w:rPr>
      </w:pPr>
    </w:p>
    <w:p w14:paraId="57B0BCE4" w14:textId="77777777" w:rsidR="008F4AFF" w:rsidRPr="00D77B3B" w:rsidRDefault="008F4AFF" w:rsidP="008F4AFF">
      <w:pPr>
        <w:spacing w:line="240" w:lineRule="auto"/>
        <w:rPr>
          <w:szCs w:val="22"/>
        </w:rPr>
      </w:pPr>
      <w:r w:rsidRPr="00D77B3B">
        <w:t>Tout médicament non utilisé ou déchet doit être éliminé conformément à la réglementation en vigueur.</w:t>
      </w:r>
    </w:p>
    <w:p w14:paraId="324B590F" w14:textId="77777777" w:rsidR="008F4AFF" w:rsidRPr="00D77B3B" w:rsidRDefault="008F4AFF" w:rsidP="008F4AFF">
      <w:pPr>
        <w:spacing w:line="240" w:lineRule="auto"/>
        <w:rPr>
          <w:szCs w:val="22"/>
        </w:rPr>
      </w:pPr>
    </w:p>
    <w:p w14:paraId="0FA47350" w14:textId="77777777" w:rsidR="008F4AFF" w:rsidRPr="00D77B3B" w:rsidRDefault="008F4AFF" w:rsidP="008F4AFF">
      <w:pPr>
        <w:spacing w:line="240" w:lineRule="auto"/>
        <w:rPr>
          <w:noProof/>
          <w:szCs w:val="22"/>
        </w:rPr>
      </w:pPr>
    </w:p>
    <w:p w14:paraId="32E875E4" w14:textId="77777777" w:rsidR="008F4AFF" w:rsidRPr="00D77B3B" w:rsidRDefault="008F4AFF" w:rsidP="008F4AFF">
      <w:pPr>
        <w:spacing w:line="240" w:lineRule="auto"/>
        <w:ind w:left="567" w:hanging="567"/>
        <w:outlineLvl w:val="0"/>
        <w:rPr>
          <w:b/>
          <w:szCs w:val="22"/>
        </w:rPr>
      </w:pPr>
      <w:r w:rsidRPr="00D77B3B">
        <w:rPr>
          <w:b/>
        </w:rPr>
        <w:t>7.</w:t>
      </w:r>
      <w:r w:rsidRPr="00D77B3B">
        <w:tab/>
      </w:r>
      <w:r w:rsidRPr="00D77B3B">
        <w:rPr>
          <w:b/>
        </w:rPr>
        <w:t>TITULAIRE DE L’AUTORISATION DE MISE SUR LE MARCHÉ</w:t>
      </w:r>
    </w:p>
    <w:p w14:paraId="1AFF7DA7" w14:textId="77777777" w:rsidR="008F4AFF" w:rsidRPr="00D77B3B" w:rsidRDefault="008F4AFF" w:rsidP="008F4AFF">
      <w:pPr>
        <w:keepNext/>
        <w:keepLines/>
        <w:spacing w:line="240" w:lineRule="auto"/>
        <w:rPr>
          <w:noProof/>
          <w:szCs w:val="22"/>
        </w:rPr>
      </w:pPr>
    </w:p>
    <w:p w14:paraId="0AE1E751" w14:textId="6BEC9C6E" w:rsidR="003A799A" w:rsidRDefault="009B5E58" w:rsidP="009B5E58">
      <w:pPr>
        <w:rPr>
          <w:color w:val="000000"/>
          <w:szCs w:val="22"/>
          <w:lang w:val="de-DE"/>
        </w:rPr>
      </w:pPr>
      <w:r w:rsidRPr="00B25949">
        <w:rPr>
          <w:color w:val="000000"/>
          <w:szCs w:val="22"/>
          <w:lang w:val="de-DE"/>
        </w:rPr>
        <w:t>EUSA Pharma</w:t>
      </w:r>
      <w:r w:rsidR="000665BB">
        <w:rPr>
          <w:color w:val="000000"/>
          <w:szCs w:val="22"/>
          <w:lang w:val="de-DE"/>
        </w:rPr>
        <w:t xml:space="preserve"> </w:t>
      </w:r>
      <w:r w:rsidR="000665BB" w:rsidRPr="006270BF">
        <w:rPr>
          <w:color w:val="000000"/>
          <w:szCs w:val="22"/>
          <w:lang w:val="de-DE"/>
        </w:rPr>
        <w:t>(Netherlands) B.V.</w:t>
      </w:r>
    </w:p>
    <w:p w14:paraId="48EC5CBC" w14:textId="3A23F3F6" w:rsidR="00F71283" w:rsidRPr="00F71283" w:rsidRDefault="000665BB" w:rsidP="00F71283">
      <w:pPr>
        <w:rPr>
          <w:color w:val="000000"/>
          <w:szCs w:val="22"/>
          <w:lang w:val="de-DE"/>
        </w:rPr>
      </w:pPr>
      <w:r w:rsidRPr="000665BB">
        <w:rPr>
          <w:color w:val="000000"/>
          <w:szCs w:val="22"/>
          <w:lang w:val="de-DE"/>
        </w:rPr>
        <w:t xml:space="preserve"> </w:t>
      </w:r>
      <w:r w:rsidR="00F71283" w:rsidRPr="00F71283">
        <w:rPr>
          <w:color w:val="000000"/>
          <w:szCs w:val="22"/>
          <w:lang w:val="de-DE"/>
        </w:rPr>
        <w:t>Beechavenue 54,</w:t>
      </w:r>
    </w:p>
    <w:p w14:paraId="1A20FF04" w14:textId="77777777" w:rsidR="00F71283" w:rsidRDefault="00F71283" w:rsidP="00F71283">
      <w:pPr>
        <w:rPr>
          <w:color w:val="000000"/>
          <w:szCs w:val="22"/>
          <w:lang w:val="de-DE"/>
        </w:rPr>
      </w:pPr>
      <w:r w:rsidRPr="00F71283">
        <w:rPr>
          <w:color w:val="000000"/>
          <w:szCs w:val="22"/>
          <w:lang w:val="de-DE"/>
        </w:rPr>
        <w:t>1119PW Schiphol-Rijk</w:t>
      </w:r>
    </w:p>
    <w:p w14:paraId="04905154" w14:textId="76D99696" w:rsidR="008F4AFF" w:rsidRDefault="009B5E58" w:rsidP="009B5E58">
      <w:pPr>
        <w:spacing w:line="240" w:lineRule="auto"/>
        <w:rPr>
          <w:szCs w:val="22"/>
        </w:rPr>
      </w:pPr>
      <w:r w:rsidRPr="001957D7">
        <w:rPr>
          <w:szCs w:val="22"/>
        </w:rPr>
        <w:t>Pays-Bas</w:t>
      </w:r>
    </w:p>
    <w:p w14:paraId="1472E3DE" w14:textId="77777777" w:rsidR="009B5E58" w:rsidRPr="00D77B3B" w:rsidRDefault="009B5E58" w:rsidP="009B5E58">
      <w:pPr>
        <w:spacing w:line="240" w:lineRule="auto"/>
        <w:rPr>
          <w:noProof/>
          <w:szCs w:val="22"/>
        </w:rPr>
      </w:pPr>
    </w:p>
    <w:p w14:paraId="2F8CB56B" w14:textId="77777777" w:rsidR="008F4AFF" w:rsidRPr="00D77B3B" w:rsidRDefault="008F4AFF" w:rsidP="008F4AFF">
      <w:pPr>
        <w:spacing w:line="240" w:lineRule="auto"/>
        <w:rPr>
          <w:noProof/>
          <w:szCs w:val="22"/>
        </w:rPr>
      </w:pPr>
    </w:p>
    <w:p w14:paraId="4418A2A9" w14:textId="77777777" w:rsidR="008F4AFF" w:rsidRPr="00D77B3B" w:rsidRDefault="008F4AFF" w:rsidP="008F4AFF">
      <w:pPr>
        <w:keepNext/>
        <w:spacing w:line="240" w:lineRule="auto"/>
        <w:ind w:left="567" w:hanging="567"/>
        <w:outlineLvl w:val="0"/>
        <w:rPr>
          <w:b/>
          <w:szCs w:val="22"/>
        </w:rPr>
      </w:pPr>
      <w:r w:rsidRPr="00D77B3B">
        <w:rPr>
          <w:b/>
        </w:rPr>
        <w:t>8.</w:t>
      </w:r>
      <w:r w:rsidRPr="00D77B3B">
        <w:tab/>
      </w:r>
      <w:r w:rsidRPr="00D77B3B">
        <w:rPr>
          <w:b/>
        </w:rPr>
        <w:t>NUMÉRO(S) D’AUTORISATION DE MISE SUR LE MARCHÉ</w:t>
      </w:r>
    </w:p>
    <w:p w14:paraId="0025109B" w14:textId="77777777" w:rsidR="008F4AFF" w:rsidRPr="00D77B3B" w:rsidRDefault="008F4AFF" w:rsidP="008F4AFF">
      <w:pPr>
        <w:keepNext/>
        <w:spacing w:line="240" w:lineRule="auto"/>
        <w:rPr>
          <w:noProof/>
          <w:szCs w:val="22"/>
        </w:rPr>
      </w:pPr>
    </w:p>
    <w:p w14:paraId="28FAAA4E" w14:textId="77777777" w:rsidR="008F4AFF" w:rsidRPr="00D77B3B" w:rsidRDefault="008F4AFF" w:rsidP="008F4AFF">
      <w:pPr>
        <w:spacing w:line="240" w:lineRule="auto"/>
        <w:rPr>
          <w:noProof/>
          <w:szCs w:val="22"/>
        </w:rPr>
      </w:pPr>
      <w:r w:rsidRPr="00D77B3B">
        <w:t>EU/1/17/1191/001</w:t>
      </w:r>
    </w:p>
    <w:p w14:paraId="33643B52" w14:textId="77777777" w:rsidR="008F4AFF" w:rsidRDefault="008F4AFF" w:rsidP="008F4AFF">
      <w:pPr>
        <w:spacing w:line="240" w:lineRule="auto"/>
        <w:rPr>
          <w:noProof/>
          <w:szCs w:val="22"/>
        </w:rPr>
      </w:pPr>
    </w:p>
    <w:p w14:paraId="010AF75D" w14:textId="77777777" w:rsidR="00B0160F" w:rsidRPr="00D77B3B" w:rsidRDefault="00B0160F" w:rsidP="008F4AFF">
      <w:pPr>
        <w:spacing w:line="240" w:lineRule="auto"/>
        <w:rPr>
          <w:noProof/>
          <w:szCs w:val="22"/>
        </w:rPr>
      </w:pPr>
    </w:p>
    <w:p w14:paraId="27447782" w14:textId="77777777" w:rsidR="008F4AFF" w:rsidRPr="00D77B3B" w:rsidRDefault="008F4AFF" w:rsidP="008F4AFF">
      <w:pPr>
        <w:spacing w:line="240" w:lineRule="auto"/>
        <w:ind w:left="567" w:hanging="567"/>
        <w:outlineLvl w:val="0"/>
        <w:rPr>
          <w:b/>
          <w:szCs w:val="22"/>
        </w:rPr>
      </w:pPr>
      <w:r w:rsidRPr="00D77B3B">
        <w:rPr>
          <w:b/>
        </w:rPr>
        <w:t>9.</w:t>
      </w:r>
      <w:r w:rsidRPr="00D77B3B">
        <w:tab/>
      </w:r>
      <w:r w:rsidRPr="00D77B3B">
        <w:rPr>
          <w:b/>
        </w:rPr>
        <w:t>DATE DE PREMIÈRE AUTORISATION/DE RENOUVELLEMENT DE L’AUTORISATION</w:t>
      </w:r>
    </w:p>
    <w:p w14:paraId="08A96AFB" w14:textId="77777777" w:rsidR="008F4AFF" w:rsidRDefault="008F4AFF" w:rsidP="008F4AFF">
      <w:pPr>
        <w:spacing w:line="240" w:lineRule="auto"/>
        <w:rPr>
          <w:noProof/>
          <w:szCs w:val="22"/>
        </w:rPr>
      </w:pPr>
    </w:p>
    <w:p w14:paraId="1CC05FFD" w14:textId="3A41D7EA" w:rsidR="00B0160F" w:rsidRDefault="00B0160F" w:rsidP="008F4AFF">
      <w:pPr>
        <w:spacing w:line="240" w:lineRule="auto"/>
        <w:rPr>
          <w:noProof/>
          <w:szCs w:val="22"/>
        </w:rPr>
      </w:pPr>
      <w:r w:rsidRPr="00B0160F">
        <w:rPr>
          <w:noProof/>
          <w:szCs w:val="22"/>
        </w:rPr>
        <w:t xml:space="preserve">Date de première autorisation : 8 </w:t>
      </w:r>
      <w:r w:rsidR="00097430">
        <w:rPr>
          <w:noProof/>
          <w:szCs w:val="22"/>
        </w:rPr>
        <w:t>m</w:t>
      </w:r>
      <w:r w:rsidRPr="00B0160F">
        <w:rPr>
          <w:noProof/>
          <w:szCs w:val="22"/>
        </w:rPr>
        <w:t>ay 201</w:t>
      </w:r>
      <w:r>
        <w:rPr>
          <w:noProof/>
          <w:szCs w:val="22"/>
        </w:rPr>
        <w:t>7</w:t>
      </w:r>
    </w:p>
    <w:p w14:paraId="4EE84A8B" w14:textId="07DB06AB" w:rsidR="00B0160F" w:rsidRPr="00D77B3B" w:rsidRDefault="00553C80" w:rsidP="008F4AFF">
      <w:pPr>
        <w:spacing w:line="240" w:lineRule="auto"/>
        <w:rPr>
          <w:noProof/>
          <w:szCs w:val="22"/>
        </w:rPr>
      </w:pPr>
      <w:r>
        <w:rPr>
          <w:szCs w:val="22"/>
        </w:rPr>
        <w:t xml:space="preserve">Date du dernier renouvellement : 06 </w:t>
      </w:r>
      <w:proofErr w:type="gramStart"/>
      <w:r>
        <w:rPr>
          <w:szCs w:val="22"/>
        </w:rPr>
        <w:t>Janvier</w:t>
      </w:r>
      <w:proofErr w:type="gramEnd"/>
      <w:r>
        <w:rPr>
          <w:szCs w:val="22"/>
        </w:rPr>
        <w:t xml:space="preserve"> 2022</w:t>
      </w:r>
    </w:p>
    <w:p w14:paraId="6679CDDD" w14:textId="77777777" w:rsidR="008F4AFF" w:rsidRPr="00D77B3B" w:rsidRDefault="008F4AFF" w:rsidP="008F4AFF">
      <w:pPr>
        <w:spacing w:line="240" w:lineRule="auto"/>
        <w:rPr>
          <w:noProof/>
          <w:szCs w:val="22"/>
        </w:rPr>
      </w:pPr>
    </w:p>
    <w:p w14:paraId="494CD169" w14:textId="77777777" w:rsidR="00F073BA" w:rsidRDefault="008F4AFF" w:rsidP="00F073BA">
      <w:pPr>
        <w:keepNext/>
        <w:spacing w:line="240" w:lineRule="auto"/>
        <w:ind w:left="567" w:hanging="567"/>
        <w:outlineLvl w:val="0"/>
        <w:rPr>
          <w:b/>
          <w:szCs w:val="22"/>
        </w:rPr>
      </w:pPr>
      <w:r w:rsidRPr="00D77B3B">
        <w:rPr>
          <w:b/>
        </w:rPr>
        <w:t>10.</w:t>
      </w:r>
      <w:r w:rsidRPr="00D77B3B">
        <w:tab/>
      </w:r>
      <w:r w:rsidRPr="00D77B3B">
        <w:rPr>
          <w:b/>
        </w:rPr>
        <w:t>DATE DE MISE À JOUR DU TEXTE</w:t>
      </w:r>
    </w:p>
    <w:p w14:paraId="66F93C14" w14:textId="77777777" w:rsidR="00F073BA" w:rsidRDefault="00F073BA" w:rsidP="00F073BA">
      <w:pPr>
        <w:keepNext/>
        <w:spacing w:line="240" w:lineRule="auto"/>
        <w:ind w:left="567" w:hanging="567"/>
        <w:outlineLvl w:val="0"/>
        <w:rPr>
          <w:b/>
          <w:szCs w:val="22"/>
        </w:rPr>
      </w:pPr>
    </w:p>
    <w:p w14:paraId="423D0F7E" w14:textId="05D8B16F" w:rsidR="00B51F82" w:rsidRDefault="003B2643" w:rsidP="008F4AFF">
      <w:pPr>
        <w:keepNext/>
        <w:numPr>
          <w:ilvl w:val="12"/>
          <w:numId w:val="0"/>
        </w:numPr>
        <w:spacing w:line="240" w:lineRule="auto"/>
        <w:ind w:right="-2"/>
        <w:rPr>
          <w:noProof/>
          <w:szCs w:val="22"/>
        </w:rPr>
      </w:pPr>
      <w:r>
        <w:rPr>
          <w:noProof/>
          <w:szCs w:val="22"/>
        </w:rPr>
        <w:t>01/2022</w:t>
      </w:r>
    </w:p>
    <w:p w14:paraId="16A16677" w14:textId="77777777" w:rsidR="00820E9C" w:rsidRPr="00D77B3B" w:rsidRDefault="00820E9C" w:rsidP="008F4AFF">
      <w:pPr>
        <w:keepNext/>
        <w:numPr>
          <w:ilvl w:val="12"/>
          <w:numId w:val="0"/>
        </w:numPr>
        <w:spacing w:line="240" w:lineRule="auto"/>
        <w:ind w:right="-2"/>
        <w:rPr>
          <w:b/>
          <w:noProof/>
          <w:szCs w:val="22"/>
        </w:rPr>
      </w:pPr>
    </w:p>
    <w:p w14:paraId="26F5720E" w14:textId="77777777" w:rsidR="008F4AFF" w:rsidRPr="00D77B3B" w:rsidRDefault="008F4AFF" w:rsidP="008F4AFF">
      <w:pPr>
        <w:numPr>
          <w:ilvl w:val="12"/>
          <w:numId w:val="0"/>
        </w:numPr>
        <w:spacing w:line="240" w:lineRule="auto"/>
        <w:ind w:right="-2"/>
        <w:rPr>
          <w:szCs w:val="22"/>
        </w:rPr>
      </w:pPr>
      <w:r w:rsidRPr="00D77B3B">
        <w:t xml:space="preserve">Des informations détaillées sur ce médicament sont disponibles sur le site internet de l’Agence européenne des médicaments </w:t>
      </w:r>
      <w:hyperlink r:id="rId15" w:history="1">
        <w:r w:rsidRPr="00D77B3B">
          <w:rPr>
            <w:rStyle w:val="Hyperlink"/>
            <w:noProof/>
          </w:rPr>
          <w:t>http://www.ema.europa.eu</w:t>
        </w:r>
      </w:hyperlink>
      <w:r w:rsidRPr="00D77B3B">
        <w:rPr>
          <w:color w:val="0000FF"/>
        </w:rPr>
        <w:t>.</w:t>
      </w:r>
    </w:p>
    <w:p w14:paraId="55818227" w14:textId="2DCC1368" w:rsidR="008F4AFF" w:rsidRPr="004C60BE" w:rsidRDefault="008F4AFF" w:rsidP="004C60BE">
      <w:pPr>
        <w:numPr>
          <w:ilvl w:val="12"/>
          <w:numId w:val="0"/>
        </w:numPr>
        <w:spacing w:line="240" w:lineRule="auto"/>
        <w:ind w:right="-2"/>
        <w:rPr>
          <w:szCs w:val="22"/>
        </w:rPr>
      </w:pPr>
    </w:p>
    <w:sectPr w:rsidR="008F4AFF" w:rsidRPr="004C60BE" w:rsidSect="00F073BA">
      <w:footerReference w:type="default" r:id="rId16"/>
      <w:footerReference w:type="first" r:id="rId17"/>
      <w:pgSz w:w="11907" w:h="16840" w:code="9"/>
      <w:pgMar w:top="1134" w:right="1418" w:bottom="1134" w:left="1418" w:header="73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97E2" w14:textId="77777777" w:rsidR="00B32062" w:rsidRDefault="00B32062">
      <w:pPr>
        <w:spacing w:line="240" w:lineRule="auto"/>
      </w:pPr>
      <w:r>
        <w:separator/>
      </w:r>
    </w:p>
  </w:endnote>
  <w:endnote w:type="continuationSeparator" w:id="0">
    <w:p w14:paraId="667806BA" w14:textId="77777777" w:rsidR="00B32062" w:rsidRDefault="00B32062">
      <w:pPr>
        <w:spacing w:line="240" w:lineRule="auto"/>
      </w:pPr>
      <w:r>
        <w:continuationSeparator/>
      </w:r>
    </w:p>
  </w:endnote>
  <w:endnote w:type="continuationNotice" w:id="1">
    <w:p w14:paraId="12A32F4E" w14:textId="77777777" w:rsidR="00B32062" w:rsidRDefault="00B320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2F68" w14:textId="521ECC6E" w:rsidR="00497B89" w:rsidRDefault="00497B89" w:rsidP="00BC4F8E">
    <w:pPr>
      <w:pStyle w:val="Footer"/>
      <w:jc w:val="center"/>
    </w:pPr>
    <w:r>
      <w:t>SPC/DIN/FR/693/</w:t>
    </w:r>
    <w:r w:rsidR="00553C80">
      <w:t>10</w:t>
    </w:r>
    <w:r>
      <w:tab/>
    </w:r>
    <w:r>
      <w:tab/>
      <w:t xml:space="preserve"> </w:t>
    </w:r>
    <w:sdt>
      <w:sdtPr>
        <w:id w:val="501485566"/>
        <w:docPartObj>
          <w:docPartGallery w:val="Page Numbers (Bottom of Page)"/>
          <w:docPartUnique/>
        </w:docPartObj>
      </w:sdtPr>
      <w:sdtEndPr/>
      <w:sdtContent>
        <w:r>
          <w:fldChar w:fldCharType="begin"/>
        </w:r>
        <w:r>
          <w:instrText>PAGE   \* MERGEFORMAT</w:instrText>
        </w:r>
        <w:r>
          <w:fldChar w:fldCharType="separate"/>
        </w:r>
        <w:r>
          <w:t>10</w:t>
        </w:r>
        <w:r>
          <w:fldChar w:fldCharType="end"/>
        </w:r>
        <w:r>
          <w:t>/1</w:t>
        </w:r>
        <w:r w:rsidR="00175F2E">
          <w:t>7</w:t>
        </w:r>
      </w:sdtContent>
    </w:sdt>
  </w:p>
  <w:p w14:paraId="66F4915D" w14:textId="15177A5E" w:rsidR="00497B89" w:rsidRPr="00DA4DD7" w:rsidRDefault="00497B89">
    <w:pPr>
      <w:pStyle w:val="Footer"/>
      <w:tabs>
        <w:tab w:val="right" w:pos="8931"/>
      </w:tabs>
      <w:ind w:right="9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C8C" w14:textId="77777777" w:rsidR="00497B89" w:rsidRPr="00DA4DD7" w:rsidRDefault="00497B89">
    <w:pPr>
      <w:pStyle w:val="Footer"/>
      <w:tabs>
        <w:tab w:val="right" w:pos="8931"/>
      </w:tabs>
      <w:ind w:right="96"/>
      <w:jc w:val="center"/>
    </w:pPr>
    <w:r w:rsidRPr="00DA4DD7">
      <w:fldChar w:fldCharType="begin"/>
    </w:r>
    <w:r w:rsidRPr="00DA4DD7">
      <w:instrText xml:space="preserve"> EQ </w:instrText>
    </w:r>
    <w:r w:rsidRPr="00DA4DD7">
      <w:fldChar w:fldCharType="end"/>
    </w:r>
    <w:r w:rsidRPr="00DA4DD7">
      <w:fldChar w:fldCharType="begin"/>
    </w:r>
    <w:r w:rsidRPr="00DA4DD7">
      <w:instrText xml:space="preserve">PAGE  </w:instrText>
    </w:r>
    <w:r w:rsidRPr="00DA4DD7">
      <w:fldChar w:fldCharType="separate"/>
    </w:r>
    <w:r>
      <w:t>1</w:t>
    </w:r>
    <w:r w:rsidRPr="00DA4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C2BAF" w14:textId="77777777" w:rsidR="00B32062" w:rsidRDefault="00B32062">
      <w:pPr>
        <w:spacing w:line="240" w:lineRule="auto"/>
      </w:pPr>
      <w:r>
        <w:separator/>
      </w:r>
    </w:p>
  </w:footnote>
  <w:footnote w:type="continuationSeparator" w:id="0">
    <w:p w14:paraId="23AD0103" w14:textId="77777777" w:rsidR="00B32062" w:rsidRDefault="00B32062">
      <w:pPr>
        <w:spacing w:line="240" w:lineRule="auto"/>
      </w:pPr>
      <w:r>
        <w:continuationSeparator/>
      </w:r>
    </w:p>
  </w:footnote>
  <w:footnote w:type="continuationNotice" w:id="1">
    <w:p w14:paraId="5F25B794" w14:textId="77777777" w:rsidR="00B32062" w:rsidRDefault="00B3206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CC1"/>
    <w:multiLevelType w:val="hybridMultilevel"/>
    <w:tmpl w:val="7FF2C56E"/>
    <w:lvl w:ilvl="0" w:tplc="48B25624">
      <w:start w:val="1"/>
      <w:numFmt w:val="bullet"/>
      <w:lvlText w:val=""/>
      <w:lvlJc w:val="left"/>
      <w:pPr>
        <w:tabs>
          <w:tab w:val="num" w:pos="720"/>
        </w:tabs>
        <w:ind w:left="720" w:hanging="360"/>
      </w:pPr>
      <w:rPr>
        <w:rFonts w:ascii="Symbol" w:hAnsi="Symbol" w:hint="default"/>
      </w:rPr>
    </w:lvl>
    <w:lvl w:ilvl="1" w:tplc="2E749490" w:tentative="1">
      <w:start w:val="1"/>
      <w:numFmt w:val="bullet"/>
      <w:lvlText w:val="o"/>
      <w:lvlJc w:val="left"/>
      <w:pPr>
        <w:tabs>
          <w:tab w:val="num" w:pos="1440"/>
        </w:tabs>
        <w:ind w:left="1440" w:hanging="360"/>
      </w:pPr>
      <w:rPr>
        <w:rFonts w:ascii="Courier New" w:hAnsi="Courier New" w:cs="Courier New" w:hint="default"/>
      </w:rPr>
    </w:lvl>
    <w:lvl w:ilvl="2" w:tplc="04B62188" w:tentative="1">
      <w:start w:val="1"/>
      <w:numFmt w:val="bullet"/>
      <w:lvlText w:val=""/>
      <w:lvlJc w:val="left"/>
      <w:pPr>
        <w:tabs>
          <w:tab w:val="num" w:pos="2160"/>
        </w:tabs>
        <w:ind w:left="2160" w:hanging="360"/>
      </w:pPr>
      <w:rPr>
        <w:rFonts w:ascii="Wingdings" w:hAnsi="Wingdings" w:hint="default"/>
      </w:rPr>
    </w:lvl>
    <w:lvl w:ilvl="3" w:tplc="DFDEF56E" w:tentative="1">
      <w:start w:val="1"/>
      <w:numFmt w:val="bullet"/>
      <w:lvlText w:val=""/>
      <w:lvlJc w:val="left"/>
      <w:pPr>
        <w:tabs>
          <w:tab w:val="num" w:pos="2880"/>
        </w:tabs>
        <w:ind w:left="2880" w:hanging="360"/>
      </w:pPr>
      <w:rPr>
        <w:rFonts w:ascii="Symbol" w:hAnsi="Symbol" w:hint="default"/>
      </w:rPr>
    </w:lvl>
    <w:lvl w:ilvl="4" w:tplc="17880BE2" w:tentative="1">
      <w:start w:val="1"/>
      <w:numFmt w:val="bullet"/>
      <w:lvlText w:val="o"/>
      <w:lvlJc w:val="left"/>
      <w:pPr>
        <w:tabs>
          <w:tab w:val="num" w:pos="3600"/>
        </w:tabs>
        <w:ind w:left="3600" w:hanging="360"/>
      </w:pPr>
      <w:rPr>
        <w:rFonts w:ascii="Courier New" w:hAnsi="Courier New" w:cs="Courier New" w:hint="default"/>
      </w:rPr>
    </w:lvl>
    <w:lvl w:ilvl="5" w:tplc="4C2A5AA0" w:tentative="1">
      <w:start w:val="1"/>
      <w:numFmt w:val="bullet"/>
      <w:lvlText w:val=""/>
      <w:lvlJc w:val="left"/>
      <w:pPr>
        <w:tabs>
          <w:tab w:val="num" w:pos="4320"/>
        </w:tabs>
        <w:ind w:left="4320" w:hanging="360"/>
      </w:pPr>
      <w:rPr>
        <w:rFonts w:ascii="Wingdings" w:hAnsi="Wingdings" w:hint="default"/>
      </w:rPr>
    </w:lvl>
    <w:lvl w:ilvl="6" w:tplc="38BE39DC" w:tentative="1">
      <w:start w:val="1"/>
      <w:numFmt w:val="bullet"/>
      <w:lvlText w:val=""/>
      <w:lvlJc w:val="left"/>
      <w:pPr>
        <w:tabs>
          <w:tab w:val="num" w:pos="5040"/>
        </w:tabs>
        <w:ind w:left="5040" w:hanging="360"/>
      </w:pPr>
      <w:rPr>
        <w:rFonts w:ascii="Symbol" w:hAnsi="Symbol" w:hint="default"/>
      </w:rPr>
    </w:lvl>
    <w:lvl w:ilvl="7" w:tplc="16C286AA" w:tentative="1">
      <w:start w:val="1"/>
      <w:numFmt w:val="bullet"/>
      <w:lvlText w:val="o"/>
      <w:lvlJc w:val="left"/>
      <w:pPr>
        <w:tabs>
          <w:tab w:val="num" w:pos="5760"/>
        </w:tabs>
        <w:ind w:left="5760" w:hanging="360"/>
      </w:pPr>
      <w:rPr>
        <w:rFonts w:ascii="Courier New" w:hAnsi="Courier New" w:cs="Courier New" w:hint="default"/>
      </w:rPr>
    </w:lvl>
    <w:lvl w:ilvl="8" w:tplc="BE262FA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56F58"/>
    <w:multiLevelType w:val="hybridMultilevel"/>
    <w:tmpl w:val="92E00BBE"/>
    <w:lvl w:ilvl="0" w:tplc="C4F0A30E">
      <w:start w:val="1"/>
      <w:numFmt w:val="bullet"/>
      <w:lvlText w:val=""/>
      <w:lvlJc w:val="left"/>
      <w:pPr>
        <w:ind w:left="720" w:hanging="360"/>
      </w:pPr>
      <w:rPr>
        <w:rFonts w:ascii="Symbol" w:hAnsi="Symbol" w:hint="default"/>
      </w:rPr>
    </w:lvl>
    <w:lvl w:ilvl="1" w:tplc="CCA67D24" w:tentative="1">
      <w:start w:val="1"/>
      <w:numFmt w:val="bullet"/>
      <w:lvlText w:val="o"/>
      <w:lvlJc w:val="left"/>
      <w:pPr>
        <w:ind w:left="1440" w:hanging="360"/>
      </w:pPr>
      <w:rPr>
        <w:rFonts w:ascii="Courier New" w:hAnsi="Courier New" w:cs="Courier New" w:hint="default"/>
      </w:rPr>
    </w:lvl>
    <w:lvl w:ilvl="2" w:tplc="3856A688" w:tentative="1">
      <w:start w:val="1"/>
      <w:numFmt w:val="bullet"/>
      <w:lvlText w:val=""/>
      <w:lvlJc w:val="left"/>
      <w:pPr>
        <w:ind w:left="2160" w:hanging="360"/>
      </w:pPr>
      <w:rPr>
        <w:rFonts w:ascii="Wingdings" w:hAnsi="Wingdings" w:hint="default"/>
      </w:rPr>
    </w:lvl>
    <w:lvl w:ilvl="3" w:tplc="2C36625C" w:tentative="1">
      <w:start w:val="1"/>
      <w:numFmt w:val="bullet"/>
      <w:lvlText w:val=""/>
      <w:lvlJc w:val="left"/>
      <w:pPr>
        <w:ind w:left="2880" w:hanging="360"/>
      </w:pPr>
      <w:rPr>
        <w:rFonts w:ascii="Symbol" w:hAnsi="Symbol" w:hint="default"/>
      </w:rPr>
    </w:lvl>
    <w:lvl w:ilvl="4" w:tplc="D6F6234A" w:tentative="1">
      <w:start w:val="1"/>
      <w:numFmt w:val="bullet"/>
      <w:lvlText w:val="o"/>
      <w:lvlJc w:val="left"/>
      <w:pPr>
        <w:ind w:left="3600" w:hanging="360"/>
      </w:pPr>
      <w:rPr>
        <w:rFonts w:ascii="Courier New" w:hAnsi="Courier New" w:cs="Courier New" w:hint="default"/>
      </w:rPr>
    </w:lvl>
    <w:lvl w:ilvl="5" w:tplc="1AA0AC2A" w:tentative="1">
      <w:start w:val="1"/>
      <w:numFmt w:val="bullet"/>
      <w:lvlText w:val=""/>
      <w:lvlJc w:val="left"/>
      <w:pPr>
        <w:ind w:left="4320" w:hanging="360"/>
      </w:pPr>
      <w:rPr>
        <w:rFonts w:ascii="Wingdings" w:hAnsi="Wingdings" w:hint="default"/>
      </w:rPr>
    </w:lvl>
    <w:lvl w:ilvl="6" w:tplc="469C34A4" w:tentative="1">
      <w:start w:val="1"/>
      <w:numFmt w:val="bullet"/>
      <w:lvlText w:val=""/>
      <w:lvlJc w:val="left"/>
      <w:pPr>
        <w:ind w:left="5040" w:hanging="360"/>
      </w:pPr>
      <w:rPr>
        <w:rFonts w:ascii="Symbol" w:hAnsi="Symbol" w:hint="default"/>
      </w:rPr>
    </w:lvl>
    <w:lvl w:ilvl="7" w:tplc="EF2E7B0C" w:tentative="1">
      <w:start w:val="1"/>
      <w:numFmt w:val="bullet"/>
      <w:lvlText w:val="o"/>
      <w:lvlJc w:val="left"/>
      <w:pPr>
        <w:ind w:left="5760" w:hanging="360"/>
      </w:pPr>
      <w:rPr>
        <w:rFonts w:ascii="Courier New" w:hAnsi="Courier New" w:cs="Courier New" w:hint="default"/>
      </w:rPr>
    </w:lvl>
    <w:lvl w:ilvl="8" w:tplc="E676E640" w:tentative="1">
      <w:start w:val="1"/>
      <w:numFmt w:val="bullet"/>
      <w:lvlText w:val=""/>
      <w:lvlJc w:val="left"/>
      <w:pPr>
        <w:ind w:left="6480" w:hanging="360"/>
      </w:pPr>
      <w:rPr>
        <w:rFonts w:ascii="Wingdings" w:hAnsi="Wingdings" w:hint="default"/>
      </w:rPr>
    </w:lvl>
  </w:abstractNum>
  <w:abstractNum w:abstractNumId="2" w15:restartNumberingAfterBreak="0">
    <w:nsid w:val="246449C4"/>
    <w:multiLevelType w:val="hybridMultilevel"/>
    <w:tmpl w:val="363CE284"/>
    <w:lvl w:ilvl="0" w:tplc="ECC26468">
      <w:start w:val="1"/>
      <w:numFmt w:val="bullet"/>
      <w:lvlText w:val=""/>
      <w:lvlJc w:val="left"/>
      <w:pPr>
        <w:ind w:left="1287" w:hanging="360"/>
      </w:pPr>
      <w:rPr>
        <w:rFonts w:ascii="Symbol" w:hAnsi="Symbol" w:hint="default"/>
      </w:rPr>
    </w:lvl>
    <w:lvl w:ilvl="1" w:tplc="4704CE46" w:tentative="1">
      <w:start w:val="1"/>
      <w:numFmt w:val="bullet"/>
      <w:lvlText w:val="o"/>
      <w:lvlJc w:val="left"/>
      <w:pPr>
        <w:ind w:left="2007" w:hanging="360"/>
      </w:pPr>
      <w:rPr>
        <w:rFonts w:ascii="Courier New" w:hAnsi="Courier New" w:cs="Courier New" w:hint="default"/>
      </w:rPr>
    </w:lvl>
    <w:lvl w:ilvl="2" w:tplc="F7E80ED2" w:tentative="1">
      <w:start w:val="1"/>
      <w:numFmt w:val="bullet"/>
      <w:lvlText w:val=""/>
      <w:lvlJc w:val="left"/>
      <w:pPr>
        <w:ind w:left="2727" w:hanging="360"/>
      </w:pPr>
      <w:rPr>
        <w:rFonts w:ascii="Wingdings" w:hAnsi="Wingdings" w:hint="default"/>
      </w:rPr>
    </w:lvl>
    <w:lvl w:ilvl="3" w:tplc="104463CE" w:tentative="1">
      <w:start w:val="1"/>
      <w:numFmt w:val="bullet"/>
      <w:lvlText w:val=""/>
      <w:lvlJc w:val="left"/>
      <w:pPr>
        <w:ind w:left="3447" w:hanging="360"/>
      </w:pPr>
      <w:rPr>
        <w:rFonts w:ascii="Symbol" w:hAnsi="Symbol" w:hint="default"/>
      </w:rPr>
    </w:lvl>
    <w:lvl w:ilvl="4" w:tplc="443E939C" w:tentative="1">
      <w:start w:val="1"/>
      <w:numFmt w:val="bullet"/>
      <w:lvlText w:val="o"/>
      <w:lvlJc w:val="left"/>
      <w:pPr>
        <w:ind w:left="4167" w:hanging="360"/>
      </w:pPr>
      <w:rPr>
        <w:rFonts w:ascii="Courier New" w:hAnsi="Courier New" w:cs="Courier New" w:hint="default"/>
      </w:rPr>
    </w:lvl>
    <w:lvl w:ilvl="5" w:tplc="48CAD54A" w:tentative="1">
      <w:start w:val="1"/>
      <w:numFmt w:val="bullet"/>
      <w:lvlText w:val=""/>
      <w:lvlJc w:val="left"/>
      <w:pPr>
        <w:ind w:left="4887" w:hanging="360"/>
      </w:pPr>
      <w:rPr>
        <w:rFonts w:ascii="Wingdings" w:hAnsi="Wingdings" w:hint="default"/>
      </w:rPr>
    </w:lvl>
    <w:lvl w:ilvl="6" w:tplc="F992178E" w:tentative="1">
      <w:start w:val="1"/>
      <w:numFmt w:val="bullet"/>
      <w:lvlText w:val=""/>
      <w:lvlJc w:val="left"/>
      <w:pPr>
        <w:ind w:left="5607" w:hanging="360"/>
      </w:pPr>
      <w:rPr>
        <w:rFonts w:ascii="Symbol" w:hAnsi="Symbol" w:hint="default"/>
      </w:rPr>
    </w:lvl>
    <w:lvl w:ilvl="7" w:tplc="1012FA44" w:tentative="1">
      <w:start w:val="1"/>
      <w:numFmt w:val="bullet"/>
      <w:lvlText w:val="o"/>
      <w:lvlJc w:val="left"/>
      <w:pPr>
        <w:ind w:left="6327" w:hanging="360"/>
      </w:pPr>
      <w:rPr>
        <w:rFonts w:ascii="Courier New" w:hAnsi="Courier New" w:cs="Courier New" w:hint="default"/>
      </w:rPr>
    </w:lvl>
    <w:lvl w:ilvl="8" w:tplc="B0263362" w:tentative="1">
      <w:start w:val="1"/>
      <w:numFmt w:val="bullet"/>
      <w:lvlText w:val=""/>
      <w:lvlJc w:val="left"/>
      <w:pPr>
        <w:ind w:left="7047" w:hanging="360"/>
      </w:pPr>
      <w:rPr>
        <w:rFonts w:ascii="Wingdings" w:hAnsi="Wingdings" w:hint="default"/>
      </w:rPr>
    </w:lvl>
  </w:abstractNum>
  <w:abstractNum w:abstractNumId="3" w15:restartNumberingAfterBreak="0">
    <w:nsid w:val="29C810F5"/>
    <w:multiLevelType w:val="hybridMultilevel"/>
    <w:tmpl w:val="5E5ED574"/>
    <w:lvl w:ilvl="0" w:tplc="5C1882C6">
      <w:start w:val="1"/>
      <w:numFmt w:val="upperLetter"/>
      <w:lvlText w:val="%1."/>
      <w:lvlJc w:val="left"/>
      <w:pPr>
        <w:ind w:left="1713" w:hanging="360"/>
      </w:pPr>
      <w:rPr>
        <w:rFonts w:hint="default"/>
      </w:rPr>
    </w:lvl>
    <w:lvl w:ilvl="1" w:tplc="7348FF80" w:tentative="1">
      <w:start w:val="1"/>
      <w:numFmt w:val="lowerLetter"/>
      <w:lvlText w:val="%2."/>
      <w:lvlJc w:val="left"/>
      <w:pPr>
        <w:ind w:left="1440" w:hanging="360"/>
      </w:pPr>
    </w:lvl>
    <w:lvl w:ilvl="2" w:tplc="7F0A112E" w:tentative="1">
      <w:start w:val="1"/>
      <w:numFmt w:val="lowerRoman"/>
      <w:lvlText w:val="%3."/>
      <w:lvlJc w:val="right"/>
      <w:pPr>
        <w:ind w:left="2160" w:hanging="180"/>
      </w:pPr>
    </w:lvl>
    <w:lvl w:ilvl="3" w:tplc="5748E408" w:tentative="1">
      <w:start w:val="1"/>
      <w:numFmt w:val="decimal"/>
      <w:lvlText w:val="%4."/>
      <w:lvlJc w:val="left"/>
      <w:pPr>
        <w:ind w:left="2880" w:hanging="360"/>
      </w:pPr>
    </w:lvl>
    <w:lvl w:ilvl="4" w:tplc="93B2848E" w:tentative="1">
      <w:start w:val="1"/>
      <w:numFmt w:val="lowerLetter"/>
      <w:lvlText w:val="%5."/>
      <w:lvlJc w:val="left"/>
      <w:pPr>
        <w:ind w:left="3600" w:hanging="360"/>
      </w:pPr>
    </w:lvl>
    <w:lvl w:ilvl="5" w:tplc="C00887CC" w:tentative="1">
      <w:start w:val="1"/>
      <w:numFmt w:val="lowerRoman"/>
      <w:lvlText w:val="%6."/>
      <w:lvlJc w:val="right"/>
      <w:pPr>
        <w:ind w:left="4320" w:hanging="180"/>
      </w:pPr>
    </w:lvl>
    <w:lvl w:ilvl="6" w:tplc="38D00C38" w:tentative="1">
      <w:start w:val="1"/>
      <w:numFmt w:val="decimal"/>
      <w:lvlText w:val="%7."/>
      <w:lvlJc w:val="left"/>
      <w:pPr>
        <w:ind w:left="5040" w:hanging="360"/>
      </w:pPr>
    </w:lvl>
    <w:lvl w:ilvl="7" w:tplc="FB2A4334" w:tentative="1">
      <w:start w:val="1"/>
      <w:numFmt w:val="lowerLetter"/>
      <w:lvlText w:val="%8."/>
      <w:lvlJc w:val="left"/>
      <w:pPr>
        <w:ind w:left="5760" w:hanging="360"/>
      </w:pPr>
    </w:lvl>
    <w:lvl w:ilvl="8" w:tplc="793C66D4" w:tentative="1">
      <w:start w:val="1"/>
      <w:numFmt w:val="lowerRoman"/>
      <w:lvlText w:val="%9."/>
      <w:lvlJc w:val="right"/>
      <w:pPr>
        <w:ind w:left="6480" w:hanging="180"/>
      </w:pPr>
    </w:lvl>
  </w:abstractNum>
  <w:abstractNum w:abstractNumId="4" w15:restartNumberingAfterBreak="0">
    <w:nsid w:val="2EA077BF"/>
    <w:multiLevelType w:val="hybridMultilevel"/>
    <w:tmpl w:val="6318201A"/>
    <w:lvl w:ilvl="0" w:tplc="67C8CA78">
      <w:start w:val="1"/>
      <w:numFmt w:val="bullet"/>
      <w:lvlText w:val=""/>
      <w:lvlJc w:val="left"/>
      <w:pPr>
        <w:ind w:left="720" w:hanging="360"/>
      </w:pPr>
      <w:rPr>
        <w:rFonts w:ascii="Symbol" w:hAnsi="Symbol" w:hint="default"/>
      </w:rPr>
    </w:lvl>
    <w:lvl w:ilvl="1" w:tplc="FB4AEB56" w:tentative="1">
      <w:start w:val="1"/>
      <w:numFmt w:val="bullet"/>
      <w:lvlText w:val="o"/>
      <w:lvlJc w:val="left"/>
      <w:pPr>
        <w:ind w:left="1440" w:hanging="360"/>
      </w:pPr>
      <w:rPr>
        <w:rFonts w:ascii="Courier New" w:hAnsi="Courier New" w:cs="Courier New" w:hint="default"/>
      </w:rPr>
    </w:lvl>
    <w:lvl w:ilvl="2" w:tplc="01487D96" w:tentative="1">
      <w:start w:val="1"/>
      <w:numFmt w:val="bullet"/>
      <w:lvlText w:val=""/>
      <w:lvlJc w:val="left"/>
      <w:pPr>
        <w:ind w:left="2160" w:hanging="360"/>
      </w:pPr>
      <w:rPr>
        <w:rFonts w:ascii="Wingdings" w:hAnsi="Wingdings" w:hint="default"/>
      </w:rPr>
    </w:lvl>
    <w:lvl w:ilvl="3" w:tplc="4AB0B876" w:tentative="1">
      <w:start w:val="1"/>
      <w:numFmt w:val="bullet"/>
      <w:lvlText w:val=""/>
      <w:lvlJc w:val="left"/>
      <w:pPr>
        <w:ind w:left="2880" w:hanging="360"/>
      </w:pPr>
      <w:rPr>
        <w:rFonts w:ascii="Symbol" w:hAnsi="Symbol" w:hint="default"/>
      </w:rPr>
    </w:lvl>
    <w:lvl w:ilvl="4" w:tplc="17683216" w:tentative="1">
      <w:start w:val="1"/>
      <w:numFmt w:val="bullet"/>
      <w:lvlText w:val="o"/>
      <w:lvlJc w:val="left"/>
      <w:pPr>
        <w:ind w:left="3600" w:hanging="360"/>
      </w:pPr>
      <w:rPr>
        <w:rFonts w:ascii="Courier New" w:hAnsi="Courier New" w:cs="Courier New" w:hint="default"/>
      </w:rPr>
    </w:lvl>
    <w:lvl w:ilvl="5" w:tplc="D19AAF3C" w:tentative="1">
      <w:start w:val="1"/>
      <w:numFmt w:val="bullet"/>
      <w:lvlText w:val=""/>
      <w:lvlJc w:val="left"/>
      <w:pPr>
        <w:ind w:left="4320" w:hanging="360"/>
      </w:pPr>
      <w:rPr>
        <w:rFonts w:ascii="Wingdings" w:hAnsi="Wingdings" w:hint="default"/>
      </w:rPr>
    </w:lvl>
    <w:lvl w:ilvl="6" w:tplc="32BA9412" w:tentative="1">
      <w:start w:val="1"/>
      <w:numFmt w:val="bullet"/>
      <w:lvlText w:val=""/>
      <w:lvlJc w:val="left"/>
      <w:pPr>
        <w:ind w:left="5040" w:hanging="360"/>
      </w:pPr>
      <w:rPr>
        <w:rFonts w:ascii="Symbol" w:hAnsi="Symbol" w:hint="default"/>
      </w:rPr>
    </w:lvl>
    <w:lvl w:ilvl="7" w:tplc="0E98550E" w:tentative="1">
      <w:start w:val="1"/>
      <w:numFmt w:val="bullet"/>
      <w:lvlText w:val="o"/>
      <w:lvlJc w:val="left"/>
      <w:pPr>
        <w:ind w:left="5760" w:hanging="360"/>
      </w:pPr>
      <w:rPr>
        <w:rFonts w:ascii="Courier New" w:hAnsi="Courier New" w:cs="Courier New" w:hint="default"/>
      </w:rPr>
    </w:lvl>
    <w:lvl w:ilvl="8" w:tplc="84F08588" w:tentative="1">
      <w:start w:val="1"/>
      <w:numFmt w:val="bullet"/>
      <w:lvlText w:val=""/>
      <w:lvlJc w:val="left"/>
      <w:pPr>
        <w:ind w:left="6480" w:hanging="360"/>
      </w:pPr>
      <w:rPr>
        <w:rFonts w:ascii="Wingdings" w:hAnsi="Wingdings" w:hint="default"/>
      </w:rPr>
    </w:lvl>
  </w:abstractNum>
  <w:abstractNum w:abstractNumId="5" w15:restartNumberingAfterBreak="0">
    <w:nsid w:val="34014F4F"/>
    <w:multiLevelType w:val="hybridMultilevel"/>
    <w:tmpl w:val="B14AD1DA"/>
    <w:lvl w:ilvl="0" w:tplc="D3BA00CC">
      <w:start w:val="1"/>
      <w:numFmt w:val="bullet"/>
      <w:lvlText w:val=""/>
      <w:lvlJc w:val="left"/>
      <w:pPr>
        <w:ind w:left="360" w:hanging="360"/>
      </w:pPr>
      <w:rPr>
        <w:rFonts w:ascii="Symbol" w:hAnsi="Symbol" w:hint="default"/>
      </w:rPr>
    </w:lvl>
    <w:lvl w:ilvl="1" w:tplc="E9E6C9A0" w:tentative="1">
      <w:start w:val="1"/>
      <w:numFmt w:val="bullet"/>
      <w:lvlText w:val="o"/>
      <w:lvlJc w:val="left"/>
      <w:pPr>
        <w:ind w:left="1080" w:hanging="360"/>
      </w:pPr>
      <w:rPr>
        <w:rFonts w:ascii="Courier New" w:hAnsi="Courier New" w:cs="Courier New" w:hint="default"/>
      </w:rPr>
    </w:lvl>
    <w:lvl w:ilvl="2" w:tplc="7DB4CEB8" w:tentative="1">
      <w:start w:val="1"/>
      <w:numFmt w:val="bullet"/>
      <w:lvlText w:val=""/>
      <w:lvlJc w:val="left"/>
      <w:pPr>
        <w:ind w:left="1800" w:hanging="360"/>
      </w:pPr>
      <w:rPr>
        <w:rFonts w:ascii="Wingdings" w:hAnsi="Wingdings" w:hint="default"/>
      </w:rPr>
    </w:lvl>
    <w:lvl w:ilvl="3" w:tplc="187EFF70" w:tentative="1">
      <w:start w:val="1"/>
      <w:numFmt w:val="bullet"/>
      <w:lvlText w:val=""/>
      <w:lvlJc w:val="left"/>
      <w:pPr>
        <w:ind w:left="2520" w:hanging="360"/>
      </w:pPr>
      <w:rPr>
        <w:rFonts w:ascii="Symbol" w:hAnsi="Symbol" w:hint="default"/>
      </w:rPr>
    </w:lvl>
    <w:lvl w:ilvl="4" w:tplc="157474CE" w:tentative="1">
      <w:start w:val="1"/>
      <w:numFmt w:val="bullet"/>
      <w:lvlText w:val="o"/>
      <w:lvlJc w:val="left"/>
      <w:pPr>
        <w:ind w:left="3240" w:hanging="360"/>
      </w:pPr>
      <w:rPr>
        <w:rFonts w:ascii="Courier New" w:hAnsi="Courier New" w:cs="Courier New" w:hint="default"/>
      </w:rPr>
    </w:lvl>
    <w:lvl w:ilvl="5" w:tplc="6BC4AC64" w:tentative="1">
      <w:start w:val="1"/>
      <w:numFmt w:val="bullet"/>
      <w:lvlText w:val=""/>
      <w:lvlJc w:val="left"/>
      <w:pPr>
        <w:ind w:left="3960" w:hanging="360"/>
      </w:pPr>
      <w:rPr>
        <w:rFonts w:ascii="Wingdings" w:hAnsi="Wingdings" w:hint="default"/>
      </w:rPr>
    </w:lvl>
    <w:lvl w:ilvl="6" w:tplc="F3849C60" w:tentative="1">
      <w:start w:val="1"/>
      <w:numFmt w:val="bullet"/>
      <w:lvlText w:val=""/>
      <w:lvlJc w:val="left"/>
      <w:pPr>
        <w:ind w:left="4680" w:hanging="360"/>
      </w:pPr>
      <w:rPr>
        <w:rFonts w:ascii="Symbol" w:hAnsi="Symbol" w:hint="default"/>
      </w:rPr>
    </w:lvl>
    <w:lvl w:ilvl="7" w:tplc="A8786D80" w:tentative="1">
      <w:start w:val="1"/>
      <w:numFmt w:val="bullet"/>
      <w:lvlText w:val="o"/>
      <w:lvlJc w:val="left"/>
      <w:pPr>
        <w:ind w:left="5400" w:hanging="360"/>
      </w:pPr>
      <w:rPr>
        <w:rFonts w:ascii="Courier New" w:hAnsi="Courier New" w:cs="Courier New" w:hint="default"/>
      </w:rPr>
    </w:lvl>
    <w:lvl w:ilvl="8" w:tplc="559A4C48" w:tentative="1">
      <w:start w:val="1"/>
      <w:numFmt w:val="bullet"/>
      <w:lvlText w:val=""/>
      <w:lvlJc w:val="left"/>
      <w:pPr>
        <w:ind w:left="6120" w:hanging="360"/>
      </w:pPr>
      <w:rPr>
        <w:rFonts w:ascii="Wingdings" w:hAnsi="Wingdings" w:hint="default"/>
      </w:rPr>
    </w:lvl>
  </w:abstractNum>
  <w:abstractNum w:abstractNumId="6" w15:restartNumberingAfterBreak="0">
    <w:nsid w:val="354671E0"/>
    <w:multiLevelType w:val="hybridMultilevel"/>
    <w:tmpl w:val="FCE0A36C"/>
    <w:lvl w:ilvl="0" w:tplc="A7362F7A">
      <w:start w:val="1"/>
      <w:numFmt w:val="upperLetter"/>
      <w:lvlText w:val="%1."/>
      <w:lvlJc w:val="left"/>
      <w:pPr>
        <w:ind w:left="1713" w:hanging="360"/>
      </w:pPr>
      <w:rPr>
        <w:rFonts w:hint="default"/>
      </w:rPr>
    </w:lvl>
    <w:lvl w:ilvl="1" w:tplc="C172B7A2" w:tentative="1">
      <w:start w:val="1"/>
      <w:numFmt w:val="lowerLetter"/>
      <w:lvlText w:val="%2."/>
      <w:lvlJc w:val="left"/>
      <w:pPr>
        <w:ind w:left="1440" w:hanging="360"/>
      </w:pPr>
    </w:lvl>
    <w:lvl w:ilvl="2" w:tplc="32A09E60" w:tentative="1">
      <w:start w:val="1"/>
      <w:numFmt w:val="lowerRoman"/>
      <w:lvlText w:val="%3."/>
      <w:lvlJc w:val="right"/>
      <w:pPr>
        <w:ind w:left="2160" w:hanging="180"/>
      </w:pPr>
    </w:lvl>
    <w:lvl w:ilvl="3" w:tplc="5D54EC8C" w:tentative="1">
      <w:start w:val="1"/>
      <w:numFmt w:val="decimal"/>
      <w:lvlText w:val="%4."/>
      <w:lvlJc w:val="left"/>
      <w:pPr>
        <w:ind w:left="2880" w:hanging="360"/>
      </w:pPr>
    </w:lvl>
    <w:lvl w:ilvl="4" w:tplc="34D43336" w:tentative="1">
      <w:start w:val="1"/>
      <w:numFmt w:val="lowerLetter"/>
      <w:lvlText w:val="%5."/>
      <w:lvlJc w:val="left"/>
      <w:pPr>
        <w:ind w:left="3600" w:hanging="360"/>
      </w:pPr>
    </w:lvl>
    <w:lvl w:ilvl="5" w:tplc="2E1A1D62" w:tentative="1">
      <w:start w:val="1"/>
      <w:numFmt w:val="lowerRoman"/>
      <w:lvlText w:val="%6."/>
      <w:lvlJc w:val="right"/>
      <w:pPr>
        <w:ind w:left="4320" w:hanging="180"/>
      </w:pPr>
    </w:lvl>
    <w:lvl w:ilvl="6" w:tplc="8EE0C912" w:tentative="1">
      <w:start w:val="1"/>
      <w:numFmt w:val="decimal"/>
      <w:lvlText w:val="%7."/>
      <w:lvlJc w:val="left"/>
      <w:pPr>
        <w:ind w:left="5040" w:hanging="360"/>
      </w:pPr>
    </w:lvl>
    <w:lvl w:ilvl="7" w:tplc="341EEEE8" w:tentative="1">
      <w:start w:val="1"/>
      <w:numFmt w:val="lowerLetter"/>
      <w:lvlText w:val="%8."/>
      <w:lvlJc w:val="left"/>
      <w:pPr>
        <w:ind w:left="5760" w:hanging="360"/>
      </w:pPr>
    </w:lvl>
    <w:lvl w:ilvl="8" w:tplc="EB3E3086" w:tentative="1">
      <w:start w:val="1"/>
      <w:numFmt w:val="lowerRoman"/>
      <w:lvlText w:val="%9."/>
      <w:lvlJc w:val="right"/>
      <w:pPr>
        <w:ind w:left="6480" w:hanging="180"/>
      </w:pPr>
    </w:lvl>
  </w:abstractNum>
  <w:abstractNum w:abstractNumId="7" w15:restartNumberingAfterBreak="0">
    <w:nsid w:val="4172622A"/>
    <w:multiLevelType w:val="multilevel"/>
    <w:tmpl w:val="F0EAF7B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4"/>
      <w:lvlText w:val="%1.%2.%3"/>
      <w:lvlJc w:val="left"/>
      <w:pPr>
        <w:ind w:left="720" w:hanging="720"/>
      </w:pPr>
      <w:rPr>
        <w:rFonts w:cs="Times New Roman"/>
      </w:rPr>
    </w:lvl>
    <w:lvl w:ilvl="3">
      <w:start w:val="1"/>
      <w:numFmt w:val="decimal"/>
      <w:pStyle w:val="Heading6"/>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41884B10"/>
    <w:multiLevelType w:val="hybridMultilevel"/>
    <w:tmpl w:val="EBF4A372"/>
    <w:lvl w:ilvl="0" w:tplc="0F3CE3BC">
      <w:start w:val="1"/>
      <w:numFmt w:val="bullet"/>
      <w:lvlText w:val=""/>
      <w:lvlJc w:val="left"/>
      <w:pPr>
        <w:ind w:left="1287" w:hanging="360"/>
      </w:pPr>
      <w:rPr>
        <w:rFonts w:ascii="Symbol" w:hAnsi="Symbol" w:hint="default"/>
      </w:rPr>
    </w:lvl>
    <w:lvl w:ilvl="1" w:tplc="2BEA3720" w:tentative="1">
      <w:start w:val="1"/>
      <w:numFmt w:val="bullet"/>
      <w:lvlText w:val="o"/>
      <w:lvlJc w:val="left"/>
      <w:pPr>
        <w:ind w:left="2007" w:hanging="360"/>
      </w:pPr>
      <w:rPr>
        <w:rFonts w:ascii="Courier New" w:hAnsi="Courier New" w:hint="default"/>
      </w:rPr>
    </w:lvl>
    <w:lvl w:ilvl="2" w:tplc="291430E6" w:tentative="1">
      <w:start w:val="1"/>
      <w:numFmt w:val="bullet"/>
      <w:lvlText w:val=""/>
      <w:lvlJc w:val="left"/>
      <w:pPr>
        <w:ind w:left="2727" w:hanging="360"/>
      </w:pPr>
      <w:rPr>
        <w:rFonts w:ascii="Wingdings" w:hAnsi="Wingdings" w:hint="default"/>
      </w:rPr>
    </w:lvl>
    <w:lvl w:ilvl="3" w:tplc="4470FD30" w:tentative="1">
      <w:start w:val="1"/>
      <w:numFmt w:val="bullet"/>
      <w:lvlText w:val=""/>
      <w:lvlJc w:val="left"/>
      <w:pPr>
        <w:ind w:left="3447" w:hanging="360"/>
      </w:pPr>
      <w:rPr>
        <w:rFonts w:ascii="Symbol" w:hAnsi="Symbol" w:hint="default"/>
      </w:rPr>
    </w:lvl>
    <w:lvl w:ilvl="4" w:tplc="D4BE3842" w:tentative="1">
      <w:start w:val="1"/>
      <w:numFmt w:val="bullet"/>
      <w:lvlText w:val="o"/>
      <w:lvlJc w:val="left"/>
      <w:pPr>
        <w:ind w:left="4167" w:hanging="360"/>
      </w:pPr>
      <w:rPr>
        <w:rFonts w:ascii="Courier New" w:hAnsi="Courier New" w:hint="default"/>
      </w:rPr>
    </w:lvl>
    <w:lvl w:ilvl="5" w:tplc="A7CA83F2" w:tentative="1">
      <w:start w:val="1"/>
      <w:numFmt w:val="bullet"/>
      <w:lvlText w:val=""/>
      <w:lvlJc w:val="left"/>
      <w:pPr>
        <w:ind w:left="4887" w:hanging="360"/>
      </w:pPr>
      <w:rPr>
        <w:rFonts w:ascii="Wingdings" w:hAnsi="Wingdings" w:hint="default"/>
      </w:rPr>
    </w:lvl>
    <w:lvl w:ilvl="6" w:tplc="7DC217F6" w:tentative="1">
      <w:start w:val="1"/>
      <w:numFmt w:val="bullet"/>
      <w:lvlText w:val=""/>
      <w:lvlJc w:val="left"/>
      <w:pPr>
        <w:ind w:left="5607" w:hanging="360"/>
      </w:pPr>
      <w:rPr>
        <w:rFonts w:ascii="Symbol" w:hAnsi="Symbol" w:hint="default"/>
      </w:rPr>
    </w:lvl>
    <w:lvl w:ilvl="7" w:tplc="BF76C46A" w:tentative="1">
      <w:start w:val="1"/>
      <w:numFmt w:val="bullet"/>
      <w:lvlText w:val="o"/>
      <w:lvlJc w:val="left"/>
      <w:pPr>
        <w:ind w:left="6327" w:hanging="360"/>
      </w:pPr>
      <w:rPr>
        <w:rFonts w:ascii="Courier New" w:hAnsi="Courier New" w:hint="default"/>
      </w:rPr>
    </w:lvl>
    <w:lvl w:ilvl="8" w:tplc="9CC49BD8" w:tentative="1">
      <w:start w:val="1"/>
      <w:numFmt w:val="bullet"/>
      <w:lvlText w:val=""/>
      <w:lvlJc w:val="left"/>
      <w:pPr>
        <w:ind w:left="7047" w:hanging="360"/>
      </w:pPr>
      <w:rPr>
        <w:rFonts w:ascii="Wingdings" w:hAnsi="Wingdings" w:hint="default"/>
      </w:rPr>
    </w:lvl>
  </w:abstractNum>
  <w:abstractNum w:abstractNumId="9" w15:restartNumberingAfterBreak="0">
    <w:nsid w:val="45C603DC"/>
    <w:multiLevelType w:val="multilevel"/>
    <w:tmpl w:val="946807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CD72124"/>
    <w:multiLevelType w:val="hybridMultilevel"/>
    <w:tmpl w:val="2334033A"/>
    <w:lvl w:ilvl="0" w:tplc="E3887CC8">
      <w:start w:val="1"/>
      <w:numFmt w:val="bullet"/>
      <w:lvlText w:val=""/>
      <w:lvlJc w:val="left"/>
      <w:pPr>
        <w:ind w:left="1004" w:hanging="360"/>
      </w:pPr>
      <w:rPr>
        <w:rFonts w:ascii="Symbol" w:hAnsi="Symbol" w:hint="default"/>
      </w:rPr>
    </w:lvl>
    <w:lvl w:ilvl="1" w:tplc="A6C8F086" w:tentative="1">
      <w:start w:val="1"/>
      <w:numFmt w:val="bullet"/>
      <w:lvlText w:val="o"/>
      <w:lvlJc w:val="left"/>
      <w:pPr>
        <w:ind w:left="1724" w:hanging="360"/>
      </w:pPr>
      <w:rPr>
        <w:rFonts w:ascii="Courier New" w:hAnsi="Courier New" w:cs="Courier New" w:hint="default"/>
      </w:rPr>
    </w:lvl>
    <w:lvl w:ilvl="2" w:tplc="0E2E4D76" w:tentative="1">
      <w:start w:val="1"/>
      <w:numFmt w:val="bullet"/>
      <w:lvlText w:val=""/>
      <w:lvlJc w:val="left"/>
      <w:pPr>
        <w:ind w:left="2444" w:hanging="360"/>
      </w:pPr>
      <w:rPr>
        <w:rFonts w:ascii="Wingdings" w:hAnsi="Wingdings" w:hint="default"/>
      </w:rPr>
    </w:lvl>
    <w:lvl w:ilvl="3" w:tplc="0D26E052" w:tentative="1">
      <w:start w:val="1"/>
      <w:numFmt w:val="bullet"/>
      <w:lvlText w:val=""/>
      <w:lvlJc w:val="left"/>
      <w:pPr>
        <w:ind w:left="3164" w:hanging="360"/>
      </w:pPr>
      <w:rPr>
        <w:rFonts w:ascii="Symbol" w:hAnsi="Symbol" w:hint="default"/>
      </w:rPr>
    </w:lvl>
    <w:lvl w:ilvl="4" w:tplc="2E92DBA0" w:tentative="1">
      <w:start w:val="1"/>
      <w:numFmt w:val="bullet"/>
      <w:lvlText w:val="o"/>
      <w:lvlJc w:val="left"/>
      <w:pPr>
        <w:ind w:left="3884" w:hanging="360"/>
      </w:pPr>
      <w:rPr>
        <w:rFonts w:ascii="Courier New" w:hAnsi="Courier New" w:cs="Courier New" w:hint="default"/>
      </w:rPr>
    </w:lvl>
    <w:lvl w:ilvl="5" w:tplc="3ED02100" w:tentative="1">
      <w:start w:val="1"/>
      <w:numFmt w:val="bullet"/>
      <w:lvlText w:val=""/>
      <w:lvlJc w:val="left"/>
      <w:pPr>
        <w:ind w:left="4604" w:hanging="360"/>
      </w:pPr>
      <w:rPr>
        <w:rFonts w:ascii="Wingdings" w:hAnsi="Wingdings" w:hint="default"/>
      </w:rPr>
    </w:lvl>
    <w:lvl w:ilvl="6" w:tplc="6A442594" w:tentative="1">
      <w:start w:val="1"/>
      <w:numFmt w:val="bullet"/>
      <w:lvlText w:val=""/>
      <w:lvlJc w:val="left"/>
      <w:pPr>
        <w:ind w:left="5324" w:hanging="360"/>
      </w:pPr>
      <w:rPr>
        <w:rFonts w:ascii="Symbol" w:hAnsi="Symbol" w:hint="default"/>
      </w:rPr>
    </w:lvl>
    <w:lvl w:ilvl="7" w:tplc="2A9E456E" w:tentative="1">
      <w:start w:val="1"/>
      <w:numFmt w:val="bullet"/>
      <w:lvlText w:val="o"/>
      <w:lvlJc w:val="left"/>
      <w:pPr>
        <w:ind w:left="6044" w:hanging="360"/>
      </w:pPr>
      <w:rPr>
        <w:rFonts w:ascii="Courier New" w:hAnsi="Courier New" w:cs="Courier New" w:hint="default"/>
      </w:rPr>
    </w:lvl>
    <w:lvl w:ilvl="8" w:tplc="229289CC" w:tentative="1">
      <w:start w:val="1"/>
      <w:numFmt w:val="bullet"/>
      <w:lvlText w:val=""/>
      <w:lvlJc w:val="left"/>
      <w:pPr>
        <w:ind w:left="6764" w:hanging="360"/>
      </w:pPr>
      <w:rPr>
        <w:rFonts w:ascii="Wingdings" w:hAnsi="Wingdings" w:hint="default"/>
      </w:rPr>
    </w:lvl>
  </w:abstractNum>
  <w:abstractNum w:abstractNumId="11" w15:restartNumberingAfterBreak="0">
    <w:nsid w:val="533D12EB"/>
    <w:multiLevelType w:val="hybridMultilevel"/>
    <w:tmpl w:val="E506A1DC"/>
    <w:lvl w:ilvl="0" w:tplc="344A7042">
      <w:start w:val="1"/>
      <w:numFmt w:val="bullet"/>
      <w:lvlText w:val=""/>
      <w:lvlJc w:val="left"/>
      <w:pPr>
        <w:ind w:left="360" w:hanging="360"/>
      </w:pPr>
      <w:rPr>
        <w:rFonts w:ascii="Symbol" w:hAnsi="Symbol" w:hint="default"/>
      </w:rPr>
    </w:lvl>
    <w:lvl w:ilvl="1" w:tplc="FE28D900" w:tentative="1">
      <w:start w:val="1"/>
      <w:numFmt w:val="bullet"/>
      <w:lvlText w:val="o"/>
      <w:lvlJc w:val="left"/>
      <w:pPr>
        <w:ind w:left="1080" w:hanging="360"/>
      </w:pPr>
      <w:rPr>
        <w:rFonts w:ascii="Courier New" w:hAnsi="Courier New" w:hint="default"/>
      </w:rPr>
    </w:lvl>
    <w:lvl w:ilvl="2" w:tplc="91C0DB96" w:tentative="1">
      <w:start w:val="1"/>
      <w:numFmt w:val="bullet"/>
      <w:lvlText w:val=""/>
      <w:lvlJc w:val="left"/>
      <w:pPr>
        <w:ind w:left="1800" w:hanging="360"/>
      </w:pPr>
      <w:rPr>
        <w:rFonts w:ascii="Wingdings" w:hAnsi="Wingdings" w:hint="default"/>
      </w:rPr>
    </w:lvl>
    <w:lvl w:ilvl="3" w:tplc="AE407730" w:tentative="1">
      <w:start w:val="1"/>
      <w:numFmt w:val="bullet"/>
      <w:lvlText w:val=""/>
      <w:lvlJc w:val="left"/>
      <w:pPr>
        <w:ind w:left="2520" w:hanging="360"/>
      </w:pPr>
      <w:rPr>
        <w:rFonts w:ascii="Symbol" w:hAnsi="Symbol" w:hint="default"/>
      </w:rPr>
    </w:lvl>
    <w:lvl w:ilvl="4" w:tplc="D33EA8DC" w:tentative="1">
      <w:start w:val="1"/>
      <w:numFmt w:val="bullet"/>
      <w:lvlText w:val="o"/>
      <w:lvlJc w:val="left"/>
      <w:pPr>
        <w:ind w:left="3240" w:hanging="360"/>
      </w:pPr>
      <w:rPr>
        <w:rFonts w:ascii="Courier New" w:hAnsi="Courier New" w:hint="default"/>
      </w:rPr>
    </w:lvl>
    <w:lvl w:ilvl="5" w:tplc="80E2CED4" w:tentative="1">
      <w:start w:val="1"/>
      <w:numFmt w:val="bullet"/>
      <w:lvlText w:val=""/>
      <w:lvlJc w:val="left"/>
      <w:pPr>
        <w:ind w:left="3960" w:hanging="360"/>
      </w:pPr>
      <w:rPr>
        <w:rFonts w:ascii="Wingdings" w:hAnsi="Wingdings" w:hint="default"/>
      </w:rPr>
    </w:lvl>
    <w:lvl w:ilvl="6" w:tplc="5224A5BC" w:tentative="1">
      <w:start w:val="1"/>
      <w:numFmt w:val="bullet"/>
      <w:lvlText w:val=""/>
      <w:lvlJc w:val="left"/>
      <w:pPr>
        <w:ind w:left="4680" w:hanging="360"/>
      </w:pPr>
      <w:rPr>
        <w:rFonts w:ascii="Symbol" w:hAnsi="Symbol" w:hint="default"/>
      </w:rPr>
    </w:lvl>
    <w:lvl w:ilvl="7" w:tplc="9E0A57EA" w:tentative="1">
      <w:start w:val="1"/>
      <w:numFmt w:val="bullet"/>
      <w:lvlText w:val="o"/>
      <w:lvlJc w:val="left"/>
      <w:pPr>
        <w:ind w:left="5400" w:hanging="360"/>
      </w:pPr>
      <w:rPr>
        <w:rFonts w:ascii="Courier New" w:hAnsi="Courier New" w:hint="default"/>
      </w:rPr>
    </w:lvl>
    <w:lvl w:ilvl="8" w:tplc="06880E82" w:tentative="1">
      <w:start w:val="1"/>
      <w:numFmt w:val="bullet"/>
      <w:lvlText w:val=""/>
      <w:lvlJc w:val="left"/>
      <w:pPr>
        <w:ind w:left="6120" w:hanging="360"/>
      </w:pPr>
      <w:rPr>
        <w:rFonts w:ascii="Wingdings" w:hAnsi="Wingdings" w:hint="default"/>
      </w:rPr>
    </w:lvl>
  </w:abstractNum>
  <w:abstractNum w:abstractNumId="12" w15:restartNumberingAfterBreak="0">
    <w:nsid w:val="62506954"/>
    <w:multiLevelType w:val="hybridMultilevel"/>
    <w:tmpl w:val="FD6CC078"/>
    <w:lvl w:ilvl="0" w:tplc="9A567598">
      <w:start w:val="1"/>
      <w:numFmt w:val="bullet"/>
      <w:lvlText w:val=""/>
      <w:lvlJc w:val="left"/>
      <w:pPr>
        <w:ind w:left="1287" w:hanging="360"/>
      </w:pPr>
      <w:rPr>
        <w:rFonts w:ascii="Symbol" w:hAnsi="Symbol" w:hint="default"/>
      </w:rPr>
    </w:lvl>
    <w:lvl w:ilvl="1" w:tplc="D212B47A" w:tentative="1">
      <w:start w:val="1"/>
      <w:numFmt w:val="bullet"/>
      <w:lvlText w:val="o"/>
      <w:lvlJc w:val="left"/>
      <w:pPr>
        <w:ind w:left="2007" w:hanging="360"/>
      </w:pPr>
      <w:rPr>
        <w:rFonts w:ascii="Courier New" w:hAnsi="Courier New" w:cs="Courier New" w:hint="default"/>
      </w:rPr>
    </w:lvl>
    <w:lvl w:ilvl="2" w:tplc="3A703C44" w:tentative="1">
      <w:start w:val="1"/>
      <w:numFmt w:val="bullet"/>
      <w:lvlText w:val=""/>
      <w:lvlJc w:val="left"/>
      <w:pPr>
        <w:ind w:left="2727" w:hanging="360"/>
      </w:pPr>
      <w:rPr>
        <w:rFonts w:ascii="Wingdings" w:hAnsi="Wingdings" w:hint="default"/>
      </w:rPr>
    </w:lvl>
    <w:lvl w:ilvl="3" w:tplc="5510B0F0" w:tentative="1">
      <w:start w:val="1"/>
      <w:numFmt w:val="bullet"/>
      <w:lvlText w:val=""/>
      <w:lvlJc w:val="left"/>
      <w:pPr>
        <w:ind w:left="3447" w:hanging="360"/>
      </w:pPr>
      <w:rPr>
        <w:rFonts w:ascii="Symbol" w:hAnsi="Symbol" w:hint="default"/>
      </w:rPr>
    </w:lvl>
    <w:lvl w:ilvl="4" w:tplc="965842F4" w:tentative="1">
      <w:start w:val="1"/>
      <w:numFmt w:val="bullet"/>
      <w:lvlText w:val="o"/>
      <w:lvlJc w:val="left"/>
      <w:pPr>
        <w:ind w:left="4167" w:hanging="360"/>
      </w:pPr>
      <w:rPr>
        <w:rFonts w:ascii="Courier New" w:hAnsi="Courier New" w:cs="Courier New" w:hint="default"/>
      </w:rPr>
    </w:lvl>
    <w:lvl w:ilvl="5" w:tplc="EB64D990" w:tentative="1">
      <w:start w:val="1"/>
      <w:numFmt w:val="bullet"/>
      <w:lvlText w:val=""/>
      <w:lvlJc w:val="left"/>
      <w:pPr>
        <w:ind w:left="4887" w:hanging="360"/>
      </w:pPr>
      <w:rPr>
        <w:rFonts w:ascii="Wingdings" w:hAnsi="Wingdings" w:hint="default"/>
      </w:rPr>
    </w:lvl>
    <w:lvl w:ilvl="6" w:tplc="E4F88F00" w:tentative="1">
      <w:start w:val="1"/>
      <w:numFmt w:val="bullet"/>
      <w:lvlText w:val=""/>
      <w:lvlJc w:val="left"/>
      <w:pPr>
        <w:ind w:left="5607" w:hanging="360"/>
      </w:pPr>
      <w:rPr>
        <w:rFonts w:ascii="Symbol" w:hAnsi="Symbol" w:hint="default"/>
      </w:rPr>
    </w:lvl>
    <w:lvl w:ilvl="7" w:tplc="6540DF80" w:tentative="1">
      <w:start w:val="1"/>
      <w:numFmt w:val="bullet"/>
      <w:lvlText w:val="o"/>
      <w:lvlJc w:val="left"/>
      <w:pPr>
        <w:ind w:left="6327" w:hanging="360"/>
      </w:pPr>
      <w:rPr>
        <w:rFonts w:ascii="Courier New" w:hAnsi="Courier New" w:cs="Courier New" w:hint="default"/>
      </w:rPr>
    </w:lvl>
    <w:lvl w:ilvl="8" w:tplc="ED0A2D6C" w:tentative="1">
      <w:start w:val="1"/>
      <w:numFmt w:val="bullet"/>
      <w:lvlText w:val=""/>
      <w:lvlJc w:val="left"/>
      <w:pPr>
        <w:ind w:left="7047" w:hanging="360"/>
      </w:pPr>
      <w:rPr>
        <w:rFonts w:ascii="Wingdings" w:hAnsi="Wingdings" w:hint="default"/>
      </w:rPr>
    </w:lvl>
  </w:abstractNum>
  <w:abstractNum w:abstractNumId="13" w15:restartNumberingAfterBreak="0">
    <w:nsid w:val="66191C43"/>
    <w:multiLevelType w:val="hybridMultilevel"/>
    <w:tmpl w:val="7952C560"/>
    <w:lvl w:ilvl="0" w:tplc="E8780790">
      <w:start w:val="1"/>
      <w:numFmt w:val="bullet"/>
      <w:lvlText w:val=""/>
      <w:lvlJc w:val="left"/>
      <w:pPr>
        <w:ind w:left="360" w:hanging="360"/>
      </w:pPr>
      <w:rPr>
        <w:rFonts w:ascii="Symbol" w:hAnsi="Symbol" w:hint="default"/>
      </w:rPr>
    </w:lvl>
    <w:lvl w:ilvl="1" w:tplc="6B76F548" w:tentative="1">
      <w:start w:val="1"/>
      <w:numFmt w:val="bullet"/>
      <w:lvlText w:val="o"/>
      <w:lvlJc w:val="left"/>
      <w:pPr>
        <w:ind w:left="1080" w:hanging="360"/>
      </w:pPr>
      <w:rPr>
        <w:rFonts w:ascii="Courier New" w:hAnsi="Courier New" w:cs="Courier New" w:hint="default"/>
      </w:rPr>
    </w:lvl>
    <w:lvl w:ilvl="2" w:tplc="871A5FA8" w:tentative="1">
      <w:start w:val="1"/>
      <w:numFmt w:val="bullet"/>
      <w:lvlText w:val=""/>
      <w:lvlJc w:val="left"/>
      <w:pPr>
        <w:ind w:left="1800" w:hanging="360"/>
      </w:pPr>
      <w:rPr>
        <w:rFonts w:ascii="Wingdings" w:hAnsi="Wingdings" w:hint="default"/>
      </w:rPr>
    </w:lvl>
    <w:lvl w:ilvl="3" w:tplc="4BE86364" w:tentative="1">
      <w:start w:val="1"/>
      <w:numFmt w:val="bullet"/>
      <w:lvlText w:val=""/>
      <w:lvlJc w:val="left"/>
      <w:pPr>
        <w:ind w:left="2520" w:hanging="360"/>
      </w:pPr>
      <w:rPr>
        <w:rFonts w:ascii="Symbol" w:hAnsi="Symbol" w:hint="default"/>
      </w:rPr>
    </w:lvl>
    <w:lvl w:ilvl="4" w:tplc="76483ADE" w:tentative="1">
      <w:start w:val="1"/>
      <w:numFmt w:val="bullet"/>
      <w:lvlText w:val="o"/>
      <w:lvlJc w:val="left"/>
      <w:pPr>
        <w:ind w:left="3240" w:hanging="360"/>
      </w:pPr>
      <w:rPr>
        <w:rFonts w:ascii="Courier New" w:hAnsi="Courier New" w:cs="Courier New" w:hint="default"/>
      </w:rPr>
    </w:lvl>
    <w:lvl w:ilvl="5" w:tplc="B6102BD6" w:tentative="1">
      <w:start w:val="1"/>
      <w:numFmt w:val="bullet"/>
      <w:lvlText w:val=""/>
      <w:lvlJc w:val="left"/>
      <w:pPr>
        <w:ind w:left="3960" w:hanging="360"/>
      </w:pPr>
      <w:rPr>
        <w:rFonts w:ascii="Wingdings" w:hAnsi="Wingdings" w:hint="default"/>
      </w:rPr>
    </w:lvl>
    <w:lvl w:ilvl="6" w:tplc="029C52A8" w:tentative="1">
      <w:start w:val="1"/>
      <w:numFmt w:val="bullet"/>
      <w:lvlText w:val=""/>
      <w:lvlJc w:val="left"/>
      <w:pPr>
        <w:ind w:left="4680" w:hanging="360"/>
      </w:pPr>
      <w:rPr>
        <w:rFonts w:ascii="Symbol" w:hAnsi="Symbol" w:hint="default"/>
      </w:rPr>
    </w:lvl>
    <w:lvl w:ilvl="7" w:tplc="541C3A9C" w:tentative="1">
      <w:start w:val="1"/>
      <w:numFmt w:val="bullet"/>
      <w:lvlText w:val="o"/>
      <w:lvlJc w:val="left"/>
      <w:pPr>
        <w:ind w:left="5400" w:hanging="360"/>
      </w:pPr>
      <w:rPr>
        <w:rFonts w:ascii="Courier New" w:hAnsi="Courier New" w:cs="Courier New" w:hint="default"/>
      </w:rPr>
    </w:lvl>
    <w:lvl w:ilvl="8" w:tplc="E49A6CA2" w:tentative="1">
      <w:start w:val="1"/>
      <w:numFmt w:val="bullet"/>
      <w:lvlText w:val=""/>
      <w:lvlJc w:val="left"/>
      <w:pPr>
        <w:ind w:left="6120" w:hanging="360"/>
      </w:pPr>
      <w:rPr>
        <w:rFonts w:ascii="Wingdings" w:hAnsi="Wingdings" w:hint="default"/>
      </w:rPr>
    </w:lvl>
  </w:abstractNum>
  <w:abstractNum w:abstractNumId="14" w15:restartNumberingAfterBreak="0">
    <w:nsid w:val="69E95A54"/>
    <w:multiLevelType w:val="multilevel"/>
    <w:tmpl w:val="00000079"/>
    <w:lvl w:ilvl="0">
      <w:start w:val="1"/>
      <w:numFmt w:val="bullet"/>
      <w:lvlText w:val=""/>
      <w:lvlJc w:val="left"/>
      <w:pPr>
        <w:tabs>
          <w:tab w:val="num" w:pos="505"/>
        </w:tabs>
        <w:ind w:left="505" w:hanging="397"/>
      </w:pPr>
      <w:rPr>
        <w:rFonts w:ascii="Symbol" w:hAnsi="Symbol" w:cs="Symbol"/>
        <w:color w:val="000000"/>
        <w:sz w:val="24"/>
        <w:szCs w:val="24"/>
      </w:rPr>
    </w:lvl>
    <w:lvl w:ilvl="1">
      <w:start w:val="1"/>
      <w:numFmt w:val="bullet"/>
      <w:lvlText w:val="o"/>
      <w:lvlJc w:val="left"/>
      <w:pPr>
        <w:tabs>
          <w:tab w:val="num" w:pos="1548"/>
        </w:tabs>
        <w:ind w:left="1548" w:hanging="360"/>
      </w:pPr>
      <w:rPr>
        <w:rFonts w:ascii="Courier New" w:hAnsi="Courier New" w:cs="Courier New"/>
        <w:color w:val="000000"/>
        <w:sz w:val="24"/>
        <w:szCs w:val="24"/>
      </w:rPr>
    </w:lvl>
    <w:lvl w:ilvl="2">
      <w:start w:val="1"/>
      <w:numFmt w:val="bullet"/>
      <w:lvlText w:val=""/>
      <w:lvlJc w:val="left"/>
      <w:pPr>
        <w:tabs>
          <w:tab w:val="num" w:pos="2268"/>
        </w:tabs>
        <w:ind w:left="2268" w:hanging="360"/>
      </w:pPr>
      <w:rPr>
        <w:rFonts w:ascii="Arial" w:hAnsi="Arial" w:cs="Arial"/>
        <w:color w:val="000000"/>
        <w:sz w:val="24"/>
        <w:szCs w:val="24"/>
      </w:rPr>
    </w:lvl>
    <w:lvl w:ilvl="3">
      <w:start w:val="1"/>
      <w:numFmt w:val="bullet"/>
      <w:lvlText w:val=""/>
      <w:lvlJc w:val="left"/>
      <w:pPr>
        <w:tabs>
          <w:tab w:val="num" w:pos="2988"/>
        </w:tabs>
        <w:ind w:left="2988" w:hanging="360"/>
      </w:pPr>
      <w:rPr>
        <w:rFonts w:ascii="Symbol" w:hAnsi="Symbol" w:cs="Symbol"/>
        <w:color w:val="000000"/>
        <w:sz w:val="24"/>
        <w:szCs w:val="24"/>
      </w:rPr>
    </w:lvl>
    <w:lvl w:ilvl="4">
      <w:start w:val="1"/>
      <w:numFmt w:val="bullet"/>
      <w:lvlText w:val="o"/>
      <w:lvlJc w:val="left"/>
      <w:pPr>
        <w:tabs>
          <w:tab w:val="num" w:pos="3708"/>
        </w:tabs>
        <w:ind w:left="3708" w:hanging="360"/>
      </w:pPr>
      <w:rPr>
        <w:rFonts w:ascii="Courier New" w:hAnsi="Courier New" w:cs="Courier New"/>
        <w:color w:val="000000"/>
        <w:sz w:val="24"/>
        <w:szCs w:val="24"/>
      </w:rPr>
    </w:lvl>
    <w:lvl w:ilvl="5">
      <w:start w:val="1"/>
      <w:numFmt w:val="bullet"/>
      <w:lvlText w:val=""/>
      <w:lvlJc w:val="left"/>
      <w:pPr>
        <w:tabs>
          <w:tab w:val="num" w:pos="4428"/>
        </w:tabs>
        <w:ind w:left="4428" w:hanging="360"/>
      </w:pPr>
      <w:rPr>
        <w:rFonts w:ascii="Arial" w:hAnsi="Arial" w:cs="Arial"/>
        <w:color w:val="000000"/>
        <w:sz w:val="24"/>
        <w:szCs w:val="24"/>
      </w:rPr>
    </w:lvl>
    <w:lvl w:ilvl="6">
      <w:start w:val="1"/>
      <w:numFmt w:val="bullet"/>
      <w:lvlText w:val=""/>
      <w:lvlJc w:val="left"/>
      <w:pPr>
        <w:tabs>
          <w:tab w:val="num" w:pos="5148"/>
        </w:tabs>
        <w:ind w:left="5148" w:hanging="360"/>
      </w:pPr>
      <w:rPr>
        <w:rFonts w:ascii="Symbol" w:hAnsi="Symbol" w:cs="Symbol"/>
        <w:color w:val="000000"/>
        <w:sz w:val="24"/>
        <w:szCs w:val="24"/>
      </w:rPr>
    </w:lvl>
    <w:lvl w:ilvl="7">
      <w:start w:val="1"/>
      <w:numFmt w:val="bullet"/>
      <w:lvlText w:val="o"/>
      <w:lvlJc w:val="left"/>
      <w:pPr>
        <w:tabs>
          <w:tab w:val="num" w:pos="5868"/>
        </w:tabs>
        <w:ind w:left="5868" w:hanging="360"/>
      </w:pPr>
      <w:rPr>
        <w:rFonts w:ascii="Courier New" w:hAnsi="Courier New" w:cs="Courier New"/>
        <w:color w:val="000000"/>
        <w:sz w:val="24"/>
        <w:szCs w:val="24"/>
      </w:rPr>
    </w:lvl>
    <w:lvl w:ilvl="8">
      <w:start w:val="1"/>
      <w:numFmt w:val="bullet"/>
      <w:lvlText w:val=""/>
      <w:lvlJc w:val="left"/>
      <w:pPr>
        <w:tabs>
          <w:tab w:val="num" w:pos="6588"/>
        </w:tabs>
        <w:ind w:left="6588" w:hanging="360"/>
      </w:pPr>
      <w:rPr>
        <w:rFonts w:ascii="Arial" w:hAnsi="Arial" w:cs="Arial"/>
        <w:color w:val="000000"/>
        <w:sz w:val="24"/>
        <w:szCs w:val="24"/>
      </w:rPr>
    </w:lvl>
  </w:abstractNum>
  <w:abstractNum w:abstractNumId="15" w15:restartNumberingAfterBreak="0">
    <w:nsid w:val="6F9337D0"/>
    <w:multiLevelType w:val="hybridMultilevel"/>
    <w:tmpl w:val="B6C885E6"/>
    <w:lvl w:ilvl="0" w:tplc="C8F0515E">
      <w:start w:val="1"/>
      <w:numFmt w:val="bullet"/>
      <w:lvlText w:val=""/>
      <w:lvlJc w:val="left"/>
      <w:pPr>
        <w:tabs>
          <w:tab w:val="num" w:pos="720"/>
        </w:tabs>
        <w:ind w:left="720" w:hanging="360"/>
      </w:pPr>
      <w:rPr>
        <w:rFonts w:ascii="Symbol" w:hAnsi="Symbol" w:hint="default"/>
      </w:rPr>
    </w:lvl>
    <w:lvl w:ilvl="1" w:tplc="0EFC438C" w:tentative="1">
      <w:start w:val="1"/>
      <w:numFmt w:val="bullet"/>
      <w:lvlText w:val="o"/>
      <w:lvlJc w:val="left"/>
      <w:pPr>
        <w:tabs>
          <w:tab w:val="num" w:pos="1440"/>
        </w:tabs>
        <w:ind w:left="1440" w:hanging="360"/>
      </w:pPr>
      <w:rPr>
        <w:rFonts w:ascii="Courier New" w:hAnsi="Courier New" w:cs="Courier New" w:hint="default"/>
      </w:rPr>
    </w:lvl>
    <w:lvl w:ilvl="2" w:tplc="E7AC67EA" w:tentative="1">
      <w:start w:val="1"/>
      <w:numFmt w:val="bullet"/>
      <w:lvlText w:val=""/>
      <w:lvlJc w:val="left"/>
      <w:pPr>
        <w:tabs>
          <w:tab w:val="num" w:pos="2160"/>
        </w:tabs>
        <w:ind w:left="2160" w:hanging="360"/>
      </w:pPr>
      <w:rPr>
        <w:rFonts w:ascii="Wingdings" w:hAnsi="Wingdings" w:hint="default"/>
      </w:rPr>
    </w:lvl>
    <w:lvl w:ilvl="3" w:tplc="0CD213DE" w:tentative="1">
      <w:start w:val="1"/>
      <w:numFmt w:val="bullet"/>
      <w:lvlText w:val=""/>
      <w:lvlJc w:val="left"/>
      <w:pPr>
        <w:tabs>
          <w:tab w:val="num" w:pos="2880"/>
        </w:tabs>
        <w:ind w:left="2880" w:hanging="360"/>
      </w:pPr>
      <w:rPr>
        <w:rFonts w:ascii="Symbol" w:hAnsi="Symbol" w:hint="default"/>
      </w:rPr>
    </w:lvl>
    <w:lvl w:ilvl="4" w:tplc="6ACEC8F0" w:tentative="1">
      <w:start w:val="1"/>
      <w:numFmt w:val="bullet"/>
      <w:lvlText w:val="o"/>
      <w:lvlJc w:val="left"/>
      <w:pPr>
        <w:tabs>
          <w:tab w:val="num" w:pos="3600"/>
        </w:tabs>
        <w:ind w:left="3600" w:hanging="360"/>
      </w:pPr>
      <w:rPr>
        <w:rFonts w:ascii="Courier New" w:hAnsi="Courier New" w:cs="Courier New" w:hint="default"/>
      </w:rPr>
    </w:lvl>
    <w:lvl w:ilvl="5" w:tplc="2690E828" w:tentative="1">
      <w:start w:val="1"/>
      <w:numFmt w:val="bullet"/>
      <w:lvlText w:val=""/>
      <w:lvlJc w:val="left"/>
      <w:pPr>
        <w:tabs>
          <w:tab w:val="num" w:pos="4320"/>
        </w:tabs>
        <w:ind w:left="4320" w:hanging="360"/>
      </w:pPr>
      <w:rPr>
        <w:rFonts w:ascii="Wingdings" w:hAnsi="Wingdings" w:hint="default"/>
      </w:rPr>
    </w:lvl>
    <w:lvl w:ilvl="6" w:tplc="CC649808" w:tentative="1">
      <w:start w:val="1"/>
      <w:numFmt w:val="bullet"/>
      <w:lvlText w:val=""/>
      <w:lvlJc w:val="left"/>
      <w:pPr>
        <w:tabs>
          <w:tab w:val="num" w:pos="5040"/>
        </w:tabs>
        <w:ind w:left="5040" w:hanging="360"/>
      </w:pPr>
      <w:rPr>
        <w:rFonts w:ascii="Symbol" w:hAnsi="Symbol" w:hint="default"/>
      </w:rPr>
    </w:lvl>
    <w:lvl w:ilvl="7" w:tplc="DC2AEE40" w:tentative="1">
      <w:start w:val="1"/>
      <w:numFmt w:val="bullet"/>
      <w:lvlText w:val="o"/>
      <w:lvlJc w:val="left"/>
      <w:pPr>
        <w:tabs>
          <w:tab w:val="num" w:pos="5760"/>
        </w:tabs>
        <w:ind w:left="5760" w:hanging="360"/>
      </w:pPr>
      <w:rPr>
        <w:rFonts w:ascii="Courier New" w:hAnsi="Courier New" w:cs="Courier New" w:hint="default"/>
      </w:rPr>
    </w:lvl>
    <w:lvl w:ilvl="8" w:tplc="97E0EE7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8D6905"/>
    <w:multiLevelType w:val="hybridMultilevel"/>
    <w:tmpl w:val="64F8DCF4"/>
    <w:lvl w:ilvl="0" w:tplc="C34E106E">
      <w:start w:val="1"/>
      <w:numFmt w:val="bullet"/>
      <w:lvlText w:val=""/>
      <w:lvlJc w:val="left"/>
      <w:pPr>
        <w:ind w:left="780" w:hanging="360"/>
      </w:pPr>
      <w:rPr>
        <w:rFonts w:ascii="Symbol" w:hAnsi="Symbol" w:hint="default"/>
      </w:rPr>
    </w:lvl>
    <w:lvl w:ilvl="1" w:tplc="8C74DE2A" w:tentative="1">
      <w:start w:val="1"/>
      <w:numFmt w:val="bullet"/>
      <w:lvlText w:val="o"/>
      <w:lvlJc w:val="left"/>
      <w:pPr>
        <w:ind w:left="1500" w:hanging="360"/>
      </w:pPr>
      <w:rPr>
        <w:rFonts w:ascii="Courier New" w:hAnsi="Courier New" w:cs="Courier New" w:hint="default"/>
      </w:rPr>
    </w:lvl>
    <w:lvl w:ilvl="2" w:tplc="9CD4EE22" w:tentative="1">
      <w:start w:val="1"/>
      <w:numFmt w:val="bullet"/>
      <w:lvlText w:val=""/>
      <w:lvlJc w:val="left"/>
      <w:pPr>
        <w:ind w:left="2220" w:hanging="360"/>
      </w:pPr>
      <w:rPr>
        <w:rFonts w:ascii="Wingdings" w:hAnsi="Wingdings" w:hint="default"/>
      </w:rPr>
    </w:lvl>
    <w:lvl w:ilvl="3" w:tplc="3D4C16DE" w:tentative="1">
      <w:start w:val="1"/>
      <w:numFmt w:val="bullet"/>
      <w:lvlText w:val=""/>
      <w:lvlJc w:val="left"/>
      <w:pPr>
        <w:ind w:left="2940" w:hanging="360"/>
      </w:pPr>
      <w:rPr>
        <w:rFonts w:ascii="Symbol" w:hAnsi="Symbol" w:hint="default"/>
      </w:rPr>
    </w:lvl>
    <w:lvl w:ilvl="4" w:tplc="843C6F76" w:tentative="1">
      <w:start w:val="1"/>
      <w:numFmt w:val="bullet"/>
      <w:lvlText w:val="o"/>
      <w:lvlJc w:val="left"/>
      <w:pPr>
        <w:ind w:left="3660" w:hanging="360"/>
      </w:pPr>
      <w:rPr>
        <w:rFonts w:ascii="Courier New" w:hAnsi="Courier New" w:cs="Courier New" w:hint="default"/>
      </w:rPr>
    </w:lvl>
    <w:lvl w:ilvl="5" w:tplc="A4828302" w:tentative="1">
      <w:start w:val="1"/>
      <w:numFmt w:val="bullet"/>
      <w:lvlText w:val=""/>
      <w:lvlJc w:val="left"/>
      <w:pPr>
        <w:ind w:left="4380" w:hanging="360"/>
      </w:pPr>
      <w:rPr>
        <w:rFonts w:ascii="Wingdings" w:hAnsi="Wingdings" w:hint="default"/>
      </w:rPr>
    </w:lvl>
    <w:lvl w:ilvl="6" w:tplc="81309572" w:tentative="1">
      <w:start w:val="1"/>
      <w:numFmt w:val="bullet"/>
      <w:lvlText w:val=""/>
      <w:lvlJc w:val="left"/>
      <w:pPr>
        <w:ind w:left="5100" w:hanging="360"/>
      </w:pPr>
      <w:rPr>
        <w:rFonts w:ascii="Symbol" w:hAnsi="Symbol" w:hint="default"/>
      </w:rPr>
    </w:lvl>
    <w:lvl w:ilvl="7" w:tplc="B936BAB8" w:tentative="1">
      <w:start w:val="1"/>
      <w:numFmt w:val="bullet"/>
      <w:lvlText w:val="o"/>
      <w:lvlJc w:val="left"/>
      <w:pPr>
        <w:ind w:left="5820" w:hanging="360"/>
      </w:pPr>
      <w:rPr>
        <w:rFonts w:ascii="Courier New" w:hAnsi="Courier New" w:cs="Courier New" w:hint="default"/>
      </w:rPr>
    </w:lvl>
    <w:lvl w:ilvl="8" w:tplc="B1CA0016" w:tentative="1">
      <w:start w:val="1"/>
      <w:numFmt w:val="bullet"/>
      <w:lvlText w:val=""/>
      <w:lvlJc w:val="left"/>
      <w:pPr>
        <w:ind w:left="6540" w:hanging="360"/>
      </w:pPr>
      <w:rPr>
        <w:rFonts w:ascii="Wingdings" w:hAnsi="Wingdings" w:hint="default"/>
      </w:rPr>
    </w:lvl>
  </w:abstractNum>
  <w:abstractNum w:abstractNumId="17" w15:restartNumberingAfterBreak="0">
    <w:nsid w:val="7ED45433"/>
    <w:multiLevelType w:val="hybridMultilevel"/>
    <w:tmpl w:val="27DC6DEC"/>
    <w:lvl w:ilvl="0" w:tplc="5770B5A0">
      <w:start w:val="1"/>
      <w:numFmt w:val="bullet"/>
      <w:lvlText w:val=""/>
      <w:lvlJc w:val="left"/>
      <w:pPr>
        <w:ind w:left="360" w:hanging="360"/>
      </w:pPr>
      <w:rPr>
        <w:rFonts w:ascii="Symbol" w:hAnsi="Symbol" w:hint="default"/>
      </w:rPr>
    </w:lvl>
    <w:lvl w:ilvl="1" w:tplc="364A2B44" w:tentative="1">
      <w:start w:val="1"/>
      <w:numFmt w:val="bullet"/>
      <w:lvlText w:val="o"/>
      <w:lvlJc w:val="left"/>
      <w:pPr>
        <w:ind w:left="1080" w:hanging="360"/>
      </w:pPr>
      <w:rPr>
        <w:rFonts w:ascii="Courier New" w:hAnsi="Courier New" w:cs="Courier New" w:hint="default"/>
      </w:rPr>
    </w:lvl>
    <w:lvl w:ilvl="2" w:tplc="2BA490BE" w:tentative="1">
      <w:start w:val="1"/>
      <w:numFmt w:val="bullet"/>
      <w:lvlText w:val=""/>
      <w:lvlJc w:val="left"/>
      <w:pPr>
        <w:ind w:left="1800" w:hanging="360"/>
      </w:pPr>
      <w:rPr>
        <w:rFonts w:ascii="Wingdings" w:hAnsi="Wingdings" w:hint="default"/>
      </w:rPr>
    </w:lvl>
    <w:lvl w:ilvl="3" w:tplc="2C7CFBF4" w:tentative="1">
      <w:start w:val="1"/>
      <w:numFmt w:val="bullet"/>
      <w:lvlText w:val=""/>
      <w:lvlJc w:val="left"/>
      <w:pPr>
        <w:ind w:left="2520" w:hanging="360"/>
      </w:pPr>
      <w:rPr>
        <w:rFonts w:ascii="Symbol" w:hAnsi="Symbol" w:hint="default"/>
      </w:rPr>
    </w:lvl>
    <w:lvl w:ilvl="4" w:tplc="891ECA2E" w:tentative="1">
      <w:start w:val="1"/>
      <w:numFmt w:val="bullet"/>
      <w:lvlText w:val="o"/>
      <w:lvlJc w:val="left"/>
      <w:pPr>
        <w:ind w:left="3240" w:hanging="360"/>
      </w:pPr>
      <w:rPr>
        <w:rFonts w:ascii="Courier New" w:hAnsi="Courier New" w:cs="Courier New" w:hint="default"/>
      </w:rPr>
    </w:lvl>
    <w:lvl w:ilvl="5" w:tplc="CA2CA1D2" w:tentative="1">
      <w:start w:val="1"/>
      <w:numFmt w:val="bullet"/>
      <w:lvlText w:val=""/>
      <w:lvlJc w:val="left"/>
      <w:pPr>
        <w:ind w:left="3960" w:hanging="360"/>
      </w:pPr>
      <w:rPr>
        <w:rFonts w:ascii="Wingdings" w:hAnsi="Wingdings" w:hint="default"/>
      </w:rPr>
    </w:lvl>
    <w:lvl w:ilvl="6" w:tplc="94C4C8BA" w:tentative="1">
      <w:start w:val="1"/>
      <w:numFmt w:val="bullet"/>
      <w:lvlText w:val=""/>
      <w:lvlJc w:val="left"/>
      <w:pPr>
        <w:ind w:left="4680" w:hanging="360"/>
      </w:pPr>
      <w:rPr>
        <w:rFonts w:ascii="Symbol" w:hAnsi="Symbol" w:hint="default"/>
      </w:rPr>
    </w:lvl>
    <w:lvl w:ilvl="7" w:tplc="446C3AD0" w:tentative="1">
      <w:start w:val="1"/>
      <w:numFmt w:val="bullet"/>
      <w:lvlText w:val="o"/>
      <w:lvlJc w:val="left"/>
      <w:pPr>
        <w:ind w:left="5400" w:hanging="360"/>
      </w:pPr>
      <w:rPr>
        <w:rFonts w:ascii="Courier New" w:hAnsi="Courier New" w:cs="Courier New" w:hint="default"/>
      </w:rPr>
    </w:lvl>
    <w:lvl w:ilvl="8" w:tplc="9B5CC7B8"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8"/>
  </w:num>
  <w:num w:numId="4">
    <w:abstractNumId w:val="1"/>
  </w:num>
  <w:num w:numId="5">
    <w:abstractNumId w:val="12"/>
  </w:num>
  <w:num w:numId="6">
    <w:abstractNumId w:val="2"/>
  </w:num>
  <w:num w:numId="7">
    <w:abstractNumId w:val="10"/>
  </w:num>
  <w:num w:numId="8">
    <w:abstractNumId w:val="4"/>
  </w:num>
  <w:num w:numId="9">
    <w:abstractNumId w:val="17"/>
  </w:num>
  <w:num w:numId="10">
    <w:abstractNumId w:val="5"/>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0"/>
  </w:num>
  <w:num w:numId="23">
    <w:abstractNumId w:val="15"/>
  </w:num>
  <w:num w:numId="24">
    <w:abstractNumId w:val="15"/>
  </w:num>
  <w:num w:numId="25">
    <w:abstractNumId w:val="14"/>
  </w:num>
  <w:num w:numId="26">
    <w:abstractNumId w:val="3"/>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B608FF"/>
    <w:rsid w:val="0005003F"/>
    <w:rsid w:val="000567C2"/>
    <w:rsid w:val="000665BB"/>
    <w:rsid w:val="00074BBD"/>
    <w:rsid w:val="00097430"/>
    <w:rsid w:val="000A6B3B"/>
    <w:rsid w:val="000B1C25"/>
    <w:rsid w:val="000F3F43"/>
    <w:rsid w:val="000F7151"/>
    <w:rsid w:val="00107B36"/>
    <w:rsid w:val="001263B7"/>
    <w:rsid w:val="001352A1"/>
    <w:rsid w:val="00137ADC"/>
    <w:rsid w:val="00175F2E"/>
    <w:rsid w:val="001A084D"/>
    <w:rsid w:val="001B167B"/>
    <w:rsid w:val="001B2DAB"/>
    <w:rsid w:val="001E5A63"/>
    <w:rsid w:val="00252F1A"/>
    <w:rsid w:val="002575F8"/>
    <w:rsid w:val="002602AE"/>
    <w:rsid w:val="00294EA2"/>
    <w:rsid w:val="002A4F2D"/>
    <w:rsid w:val="002A5ED1"/>
    <w:rsid w:val="002C3051"/>
    <w:rsid w:val="0032424B"/>
    <w:rsid w:val="00353180"/>
    <w:rsid w:val="0038693F"/>
    <w:rsid w:val="0038797F"/>
    <w:rsid w:val="0039684F"/>
    <w:rsid w:val="003A799A"/>
    <w:rsid w:val="003B2643"/>
    <w:rsid w:val="003C0CD5"/>
    <w:rsid w:val="003E090E"/>
    <w:rsid w:val="0040747C"/>
    <w:rsid w:val="00431558"/>
    <w:rsid w:val="00447A46"/>
    <w:rsid w:val="004661DD"/>
    <w:rsid w:val="00497B89"/>
    <w:rsid w:val="004C60BE"/>
    <w:rsid w:val="004E47AB"/>
    <w:rsid w:val="004E4FC5"/>
    <w:rsid w:val="00503C0D"/>
    <w:rsid w:val="00510084"/>
    <w:rsid w:val="00513F70"/>
    <w:rsid w:val="00552F4F"/>
    <w:rsid w:val="00553C80"/>
    <w:rsid w:val="00564B75"/>
    <w:rsid w:val="00577B39"/>
    <w:rsid w:val="005A50D5"/>
    <w:rsid w:val="005B13B6"/>
    <w:rsid w:val="005B5B62"/>
    <w:rsid w:val="006021A7"/>
    <w:rsid w:val="006045BD"/>
    <w:rsid w:val="00692EEF"/>
    <w:rsid w:val="00696156"/>
    <w:rsid w:val="006A0554"/>
    <w:rsid w:val="006C2E45"/>
    <w:rsid w:val="00726271"/>
    <w:rsid w:val="0073246C"/>
    <w:rsid w:val="0073590C"/>
    <w:rsid w:val="00737C68"/>
    <w:rsid w:val="00742F1F"/>
    <w:rsid w:val="00780BC9"/>
    <w:rsid w:val="007A0808"/>
    <w:rsid w:val="007C1390"/>
    <w:rsid w:val="00816132"/>
    <w:rsid w:val="00820E9C"/>
    <w:rsid w:val="00834BDC"/>
    <w:rsid w:val="00847902"/>
    <w:rsid w:val="008516E0"/>
    <w:rsid w:val="0085182E"/>
    <w:rsid w:val="0086653C"/>
    <w:rsid w:val="008737C6"/>
    <w:rsid w:val="00875214"/>
    <w:rsid w:val="0089596F"/>
    <w:rsid w:val="008F4AFF"/>
    <w:rsid w:val="00917BBF"/>
    <w:rsid w:val="00932E58"/>
    <w:rsid w:val="0094643A"/>
    <w:rsid w:val="00976C01"/>
    <w:rsid w:val="009B1110"/>
    <w:rsid w:val="009B5E58"/>
    <w:rsid w:val="00A133CC"/>
    <w:rsid w:val="00A26250"/>
    <w:rsid w:val="00A4566C"/>
    <w:rsid w:val="00A51866"/>
    <w:rsid w:val="00A60D1E"/>
    <w:rsid w:val="00A93DBF"/>
    <w:rsid w:val="00B0160F"/>
    <w:rsid w:val="00B02B21"/>
    <w:rsid w:val="00B163AF"/>
    <w:rsid w:val="00B23777"/>
    <w:rsid w:val="00B32062"/>
    <w:rsid w:val="00B51F82"/>
    <w:rsid w:val="00B56ACE"/>
    <w:rsid w:val="00B608FF"/>
    <w:rsid w:val="00B7127A"/>
    <w:rsid w:val="00B81239"/>
    <w:rsid w:val="00BA0627"/>
    <w:rsid w:val="00BA0B72"/>
    <w:rsid w:val="00BB16AF"/>
    <w:rsid w:val="00BB18B9"/>
    <w:rsid w:val="00BC4F8E"/>
    <w:rsid w:val="00BD2525"/>
    <w:rsid w:val="00BF671F"/>
    <w:rsid w:val="00C17981"/>
    <w:rsid w:val="00C53790"/>
    <w:rsid w:val="00C55E4E"/>
    <w:rsid w:val="00C9038D"/>
    <w:rsid w:val="00CA19DE"/>
    <w:rsid w:val="00CB7EAC"/>
    <w:rsid w:val="00CC2C74"/>
    <w:rsid w:val="00CC4462"/>
    <w:rsid w:val="00D070AE"/>
    <w:rsid w:val="00D226DB"/>
    <w:rsid w:val="00D26434"/>
    <w:rsid w:val="00D651BD"/>
    <w:rsid w:val="00D84FCB"/>
    <w:rsid w:val="00D93751"/>
    <w:rsid w:val="00DA2C0F"/>
    <w:rsid w:val="00DB2263"/>
    <w:rsid w:val="00DF680D"/>
    <w:rsid w:val="00E10FB7"/>
    <w:rsid w:val="00E133C7"/>
    <w:rsid w:val="00E352B3"/>
    <w:rsid w:val="00E42286"/>
    <w:rsid w:val="00E90C2E"/>
    <w:rsid w:val="00EA5D08"/>
    <w:rsid w:val="00EC7983"/>
    <w:rsid w:val="00EE5747"/>
    <w:rsid w:val="00EE7C43"/>
    <w:rsid w:val="00F073BA"/>
    <w:rsid w:val="00F105E0"/>
    <w:rsid w:val="00F12F39"/>
    <w:rsid w:val="00F24F83"/>
    <w:rsid w:val="00F337CD"/>
    <w:rsid w:val="00F67C85"/>
    <w:rsid w:val="00F71283"/>
    <w:rsid w:val="00F870EB"/>
    <w:rsid w:val="00FF3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DCD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fr-FR" w:eastAsia="fr-FR" w:bidi="fr-FR"/>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D16"/>
    <w:pPr>
      <w:tabs>
        <w:tab w:val="left" w:pos="567"/>
      </w:tabs>
      <w:spacing w:line="260" w:lineRule="exact"/>
    </w:pPr>
    <w:rPr>
      <w:szCs w:val="20"/>
    </w:rPr>
  </w:style>
  <w:style w:type="paragraph" w:styleId="Heading1">
    <w:name w:val="heading 1"/>
    <w:basedOn w:val="Normal"/>
    <w:next w:val="Normal"/>
    <w:link w:val="Heading1Char"/>
    <w:uiPriority w:val="99"/>
    <w:qFormat/>
    <w:rsid w:val="000760BA"/>
    <w:pPr>
      <w:keepNext/>
      <w:numPr>
        <w:numId w:val="1"/>
      </w:numPr>
      <w:tabs>
        <w:tab w:val="clear" w:pos="567"/>
      </w:tabs>
      <w:autoSpaceDE w:val="0"/>
      <w:autoSpaceDN w:val="0"/>
      <w:adjustRightInd w:val="0"/>
      <w:spacing w:before="360" w:after="120" w:line="240" w:lineRule="auto"/>
      <w:outlineLvl w:val="0"/>
    </w:pPr>
    <w:rPr>
      <w:rFonts w:ascii="Arial" w:hAnsi="Arial" w:cs="Arial"/>
      <w:b/>
      <w:bCs/>
      <w:caps/>
      <w:color w:val="000000"/>
      <w:sz w:val="24"/>
      <w:szCs w:val="24"/>
    </w:rPr>
  </w:style>
  <w:style w:type="paragraph" w:styleId="Heading2">
    <w:name w:val="heading 2"/>
    <w:basedOn w:val="Normal"/>
    <w:next w:val="Normal"/>
    <w:link w:val="Heading2Char"/>
    <w:uiPriority w:val="99"/>
    <w:qFormat/>
    <w:rsid w:val="000760BA"/>
    <w:pPr>
      <w:keepNext/>
      <w:numPr>
        <w:ilvl w:val="1"/>
        <w:numId w:val="1"/>
      </w:numPr>
      <w:tabs>
        <w:tab w:val="clear" w:pos="567"/>
      </w:tabs>
      <w:autoSpaceDE w:val="0"/>
      <w:autoSpaceDN w:val="0"/>
      <w:adjustRightInd w:val="0"/>
      <w:spacing w:before="240" w:after="120" w:line="240" w:lineRule="auto"/>
      <w:outlineLvl w:val="1"/>
    </w:pPr>
    <w:rPr>
      <w:rFonts w:cs="Arial"/>
      <w:b/>
      <w:color w:val="000000"/>
      <w:sz w:val="24"/>
      <w:szCs w:val="24"/>
    </w:rPr>
  </w:style>
  <w:style w:type="paragraph" w:styleId="Heading3">
    <w:name w:val="heading 3"/>
    <w:basedOn w:val="Normal"/>
    <w:next w:val="Normal"/>
    <w:link w:val="Heading3Char"/>
    <w:uiPriority w:val="99"/>
    <w:qFormat/>
    <w:rsid w:val="000760BA"/>
    <w:pPr>
      <w:keepNext/>
      <w:keepLines/>
      <w:spacing w:before="200"/>
      <w:outlineLvl w:val="2"/>
    </w:pPr>
    <w:rPr>
      <w:rFonts w:ascii="Cambria" w:eastAsia="MS Gothic" w:hAnsi="Cambria"/>
      <w:b/>
      <w:bCs/>
      <w:color w:val="4F81BD"/>
    </w:rPr>
  </w:style>
  <w:style w:type="paragraph" w:styleId="Heading4">
    <w:name w:val="heading 4"/>
    <w:basedOn w:val="Heading3"/>
    <w:next w:val="Normal"/>
    <w:link w:val="Heading4Char"/>
    <w:uiPriority w:val="99"/>
    <w:qFormat/>
    <w:rsid w:val="000760BA"/>
    <w:pPr>
      <w:keepLines w:val="0"/>
      <w:numPr>
        <w:ilvl w:val="2"/>
        <w:numId w:val="1"/>
      </w:numPr>
      <w:tabs>
        <w:tab w:val="clear" w:pos="567"/>
      </w:tabs>
      <w:autoSpaceDE w:val="0"/>
      <w:autoSpaceDN w:val="0"/>
      <w:adjustRightInd w:val="0"/>
      <w:spacing w:before="240" w:after="120" w:line="240" w:lineRule="auto"/>
      <w:outlineLvl w:val="3"/>
    </w:pPr>
    <w:rPr>
      <w:rFonts w:ascii="Arial" w:eastAsia="SimSun" w:hAnsi="Arial" w:cs="Arial"/>
      <w:bCs w:val="0"/>
      <w:color w:val="000000"/>
      <w:sz w:val="24"/>
      <w:szCs w:val="24"/>
    </w:rPr>
  </w:style>
  <w:style w:type="paragraph" w:styleId="Heading5">
    <w:name w:val="heading 5"/>
    <w:aliases w:val="Graphikbeschriftung"/>
    <w:basedOn w:val="Normal"/>
    <w:next w:val="Normal"/>
    <w:link w:val="Heading5Char"/>
    <w:uiPriority w:val="99"/>
    <w:qFormat/>
    <w:rsid w:val="000760BA"/>
    <w:pPr>
      <w:keepNext/>
      <w:numPr>
        <w:ilvl w:val="4"/>
        <w:numId w:val="1"/>
      </w:numPr>
      <w:tabs>
        <w:tab w:val="clear" w:pos="567"/>
      </w:tabs>
      <w:autoSpaceDE w:val="0"/>
      <w:autoSpaceDN w:val="0"/>
      <w:adjustRightInd w:val="0"/>
      <w:spacing w:before="120" w:after="120" w:line="240" w:lineRule="auto"/>
      <w:outlineLvl w:val="4"/>
    </w:pPr>
    <w:rPr>
      <w:rFonts w:cs="Arial"/>
      <w:b/>
      <w:iCs/>
      <w:color w:val="000000"/>
      <w:sz w:val="24"/>
      <w:szCs w:val="24"/>
    </w:rPr>
  </w:style>
  <w:style w:type="paragraph" w:styleId="Heading6">
    <w:name w:val="heading 6"/>
    <w:basedOn w:val="Heading4"/>
    <w:next w:val="Normal"/>
    <w:link w:val="Heading6Char"/>
    <w:uiPriority w:val="99"/>
    <w:qFormat/>
    <w:rsid w:val="000760BA"/>
    <w:pPr>
      <w:numPr>
        <w:ilvl w:val="3"/>
      </w:numPr>
      <w:outlineLvl w:val="5"/>
    </w:pPr>
  </w:style>
  <w:style w:type="paragraph" w:styleId="Heading7">
    <w:name w:val="heading 7"/>
    <w:basedOn w:val="Normal"/>
    <w:next w:val="Normal"/>
    <w:link w:val="Heading7Char"/>
    <w:uiPriority w:val="99"/>
    <w:qFormat/>
    <w:rsid w:val="000760BA"/>
    <w:pPr>
      <w:keepNext/>
      <w:numPr>
        <w:ilvl w:val="6"/>
        <w:numId w:val="1"/>
      </w:numPr>
      <w:tabs>
        <w:tab w:val="clear" w:pos="567"/>
      </w:tabs>
      <w:autoSpaceDE w:val="0"/>
      <w:autoSpaceDN w:val="0"/>
      <w:adjustRightInd w:val="0"/>
      <w:spacing w:before="120" w:after="120" w:line="240" w:lineRule="auto"/>
      <w:outlineLvl w:val="6"/>
    </w:pPr>
    <w:rPr>
      <w:rFonts w:cs="Arial"/>
      <w:color w:val="000000"/>
      <w:sz w:val="24"/>
      <w:szCs w:val="24"/>
    </w:rPr>
  </w:style>
  <w:style w:type="paragraph" w:styleId="Heading8">
    <w:name w:val="heading 8"/>
    <w:basedOn w:val="Normal"/>
    <w:next w:val="Normal"/>
    <w:link w:val="Heading8Char"/>
    <w:uiPriority w:val="99"/>
    <w:qFormat/>
    <w:rsid w:val="000760BA"/>
    <w:pPr>
      <w:keepNext/>
      <w:numPr>
        <w:ilvl w:val="7"/>
        <w:numId w:val="1"/>
      </w:numPr>
      <w:tabs>
        <w:tab w:val="clear" w:pos="567"/>
      </w:tabs>
      <w:autoSpaceDE w:val="0"/>
      <w:autoSpaceDN w:val="0"/>
      <w:adjustRightInd w:val="0"/>
      <w:spacing w:before="120" w:after="120" w:line="240" w:lineRule="auto"/>
      <w:outlineLvl w:val="7"/>
    </w:pPr>
    <w:rPr>
      <w:rFonts w:cs="Arial"/>
      <w:color w:val="000000"/>
      <w:sz w:val="24"/>
      <w:szCs w:val="24"/>
      <w:u w:val="single"/>
    </w:rPr>
  </w:style>
  <w:style w:type="paragraph" w:styleId="Heading9">
    <w:name w:val="heading 9"/>
    <w:basedOn w:val="Normal"/>
    <w:next w:val="Normal"/>
    <w:link w:val="Heading9Char"/>
    <w:uiPriority w:val="99"/>
    <w:qFormat/>
    <w:rsid w:val="000760BA"/>
    <w:pPr>
      <w:keepNext/>
      <w:numPr>
        <w:ilvl w:val="8"/>
        <w:numId w:val="1"/>
      </w:numPr>
      <w:tabs>
        <w:tab w:val="clear" w:pos="567"/>
      </w:tabs>
      <w:autoSpaceDE w:val="0"/>
      <w:autoSpaceDN w:val="0"/>
      <w:adjustRightInd w:val="0"/>
      <w:spacing w:before="120" w:after="120" w:line="240" w:lineRule="auto"/>
      <w:outlineLvl w:val="8"/>
    </w:pPr>
    <w:rPr>
      <w:rFonts w:cs="Arial"/>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60BA"/>
    <w:rPr>
      <w:rFonts w:ascii="Arial" w:hAnsi="Arial" w:cs="Arial"/>
      <w:b/>
      <w:bCs/>
      <w:caps/>
      <w:color w:val="000000"/>
      <w:sz w:val="24"/>
      <w:szCs w:val="24"/>
      <w:lang w:val="fr-FR" w:eastAsia="fr-FR"/>
    </w:rPr>
  </w:style>
  <w:style w:type="character" w:customStyle="1" w:styleId="Heading2Char">
    <w:name w:val="Heading 2 Char"/>
    <w:basedOn w:val="DefaultParagraphFont"/>
    <w:link w:val="Heading2"/>
    <w:uiPriority w:val="99"/>
    <w:locked/>
    <w:rsid w:val="000760BA"/>
    <w:rPr>
      <w:rFonts w:cs="Arial"/>
      <w:b/>
      <w:color w:val="000000"/>
      <w:sz w:val="24"/>
      <w:szCs w:val="24"/>
      <w:lang w:val="fr-FR" w:eastAsia="fr-FR"/>
    </w:rPr>
  </w:style>
  <w:style w:type="character" w:customStyle="1" w:styleId="Heading3Char">
    <w:name w:val="Heading 3 Char"/>
    <w:basedOn w:val="DefaultParagraphFont"/>
    <w:link w:val="Heading3"/>
    <w:uiPriority w:val="99"/>
    <w:semiHidden/>
    <w:locked/>
    <w:rsid w:val="000760BA"/>
    <w:rPr>
      <w:rFonts w:ascii="Cambria" w:eastAsia="MS Gothic" w:hAnsi="Cambria" w:cs="Times New Roman"/>
      <w:b/>
      <w:bCs/>
      <w:color w:val="4F81BD"/>
      <w:sz w:val="22"/>
      <w:lang w:val="fr-FR"/>
    </w:rPr>
  </w:style>
  <w:style w:type="character" w:customStyle="1" w:styleId="Heading4Char">
    <w:name w:val="Heading 4 Char"/>
    <w:basedOn w:val="DefaultParagraphFont"/>
    <w:link w:val="Heading4"/>
    <w:uiPriority w:val="99"/>
    <w:locked/>
    <w:rsid w:val="000760BA"/>
    <w:rPr>
      <w:rFonts w:ascii="Arial" w:hAnsi="Arial" w:cs="Arial"/>
      <w:b/>
      <w:color w:val="000000"/>
      <w:sz w:val="24"/>
      <w:szCs w:val="24"/>
      <w:lang w:val="fr-FR"/>
    </w:rPr>
  </w:style>
  <w:style w:type="character" w:customStyle="1" w:styleId="Heading5Char">
    <w:name w:val="Heading 5 Char"/>
    <w:aliases w:val="Graphikbeschriftung Char"/>
    <w:basedOn w:val="DefaultParagraphFont"/>
    <w:link w:val="Heading5"/>
    <w:uiPriority w:val="99"/>
    <w:locked/>
    <w:rsid w:val="000760BA"/>
    <w:rPr>
      <w:rFonts w:cs="Arial"/>
      <w:b/>
      <w:iCs/>
      <w:color w:val="000000"/>
      <w:sz w:val="24"/>
      <w:szCs w:val="24"/>
      <w:lang w:val="fr-FR" w:eastAsia="fr-FR"/>
    </w:rPr>
  </w:style>
  <w:style w:type="character" w:customStyle="1" w:styleId="Heading6Char">
    <w:name w:val="Heading 6 Char"/>
    <w:basedOn w:val="DefaultParagraphFont"/>
    <w:link w:val="Heading6"/>
    <w:uiPriority w:val="99"/>
    <w:locked/>
    <w:rsid w:val="000760BA"/>
    <w:rPr>
      <w:rFonts w:ascii="Arial" w:hAnsi="Arial" w:cs="Arial"/>
      <w:b/>
      <w:color w:val="000000"/>
      <w:sz w:val="24"/>
      <w:szCs w:val="24"/>
      <w:lang w:val="fr-FR"/>
    </w:rPr>
  </w:style>
  <w:style w:type="character" w:customStyle="1" w:styleId="Heading7Char">
    <w:name w:val="Heading 7 Char"/>
    <w:basedOn w:val="DefaultParagraphFont"/>
    <w:link w:val="Heading7"/>
    <w:uiPriority w:val="99"/>
    <w:locked/>
    <w:rsid w:val="000760BA"/>
    <w:rPr>
      <w:rFonts w:cs="Arial"/>
      <w:color w:val="000000"/>
      <w:sz w:val="24"/>
      <w:szCs w:val="24"/>
      <w:lang w:val="fr-FR" w:eastAsia="fr-FR"/>
    </w:rPr>
  </w:style>
  <w:style w:type="character" w:customStyle="1" w:styleId="Heading8Char">
    <w:name w:val="Heading 8 Char"/>
    <w:basedOn w:val="DefaultParagraphFont"/>
    <w:link w:val="Heading8"/>
    <w:uiPriority w:val="99"/>
    <w:locked/>
    <w:rsid w:val="000760BA"/>
    <w:rPr>
      <w:rFonts w:cs="Arial"/>
      <w:color w:val="000000"/>
      <w:sz w:val="24"/>
      <w:szCs w:val="24"/>
      <w:u w:val="single"/>
      <w:lang w:val="fr-FR" w:eastAsia="fr-FR"/>
    </w:rPr>
  </w:style>
  <w:style w:type="character" w:customStyle="1" w:styleId="Heading9Char">
    <w:name w:val="Heading 9 Char"/>
    <w:basedOn w:val="DefaultParagraphFont"/>
    <w:link w:val="Heading9"/>
    <w:uiPriority w:val="99"/>
    <w:locked/>
    <w:rsid w:val="000760BA"/>
    <w:rPr>
      <w:rFonts w:cs="Arial"/>
      <w:color w:val="000000"/>
      <w:sz w:val="24"/>
      <w:szCs w:val="24"/>
      <w:u w:val="single"/>
      <w:lang w:val="fr-FR" w:eastAsia="fr-FR"/>
    </w:rPr>
  </w:style>
  <w:style w:type="paragraph" w:styleId="Footer">
    <w:name w:val="footer"/>
    <w:basedOn w:val="Normal"/>
    <w:link w:val="FooterChar"/>
    <w:uiPriority w:val="99"/>
    <w:rsid w:val="00F54E23"/>
    <w:pPr>
      <w:tabs>
        <w:tab w:val="center" w:pos="4536"/>
        <w:tab w:val="right" w:pos="8306"/>
      </w:tabs>
    </w:pPr>
    <w:rPr>
      <w:rFonts w:ascii="Arial" w:hAnsi="Arial"/>
      <w:noProof/>
      <w:sz w:val="16"/>
    </w:rPr>
  </w:style>
  <w:style w:type="character" w:customStyle="1" w:styleId="FooterChar">
    <w:name w:val="Footer Char"/>
    <w:basedOn w:val="DefaultParagraphFont"/>
    <w:link w:val="Footer"/>
    <w:uiPriority w:val="99"/>
    <w:locked/>
    <w:rsid w:val="0093026B"/>
    <w:rPr>
      <w:rFonts w:cs="Times New Roman"/>
      <w:sz w:val="20"/>
      <w:szCs w:val="20"/>
      <w:lang w:eastAsia="fr-FR"/>
    </w:rPr>
  </w:style>
  <w:style w:type="paragraph" w:styleId="Header">
    <w:name w:val="header"/>
    <w:basedOn w:val="Normal"/>
    <w:link w:val="HeaderChar"/>
    <w:uiPriority w:val="99"/>
    <w:rsid w:val="00F54E23"/>
    <w:pPr>
      <w:tabs>
        <w:tab w:val="center" w:pos="4153"/>
        <w:tab w:val="right" w:pos="8306"/>
      </w:tabs>
    </w:pPr>
    <w:rPr>
      <w:rFonts w:ascii="Arial" w:hAnsi="Arial"/>
      <w:sz w:val="20"/>
    </w:rPr>
  </w:style>
  <w:style w:type="character" w:customStyle="1" w:styleId="HeaderChar">
    <w:name w:val="Header Char"/>
    <w:basedOn w:val="DefaultParagraphFont"/>
    <w:link w:val="Header"/>
    <w:uiPriority w:val="99"/>
    <w:semiHidden/>
    <w:locked/>
    <w:rsid w:val="0093026B"/>
    <w:rPr>
      <w:rFonts w:cs="Times New Roman"/>
      <w:sz w:val="20"/>
      <w:szCs w:val="20"/>
      <w:lang w:eastAsia="fr-FR"/>
    </w:rPr>
  </w:style>
  <w:style w:type="paragraph" w:customStyle="1" w:styleId="MemoHeaderStyle">
    <w:name w:val="MemoHeaderStyle"/>
    <w:basedOn w:val="Normal"/>
    <w:next w:val="Normal"/>
    <w:uiPriority w:val="99"/>
    <w:rsid w:val="00F54E23"/>
    <w:pPr>
      <w:spacing w:line="120" w:lineRule="atLeast"/>
      <w:ind w:left="1418"/>
      <w:jc w:val="both"/>
    </w:pPr>
    <w:rPr>
      <w:rFonts w:ascii="Arial" w:hAnsi="Arial"/>
      <w:b/>
      <w:smallCaps/>
    </w:rPr>
  </w:style>
  <w:style w:type="character" w:styleId="PageNumber">
    <w:name w:val="page number"/>
    <w:basedOn w:val="DefaultParagraphFont"/>
    <w:uiPriority w:val="99"/>
    <w:rsid w:val="00812D16"/>
    <w:rPr>
      <w:rFonts w:cs="Times New Roman"/>
    </w:rPr>
  </w:style>
  <w:style w:type="paragraph" w:styleId="BodyText">
    <w:name w:val="Body Text"/>
    <w:basedOn w:val="Normal"/>
    <w:link w:val="BodyTextChar"/>
    <w:uiPriority w:val="99"/>
    <w:rsid w:val="00812D16"/>
    <w:pPr>
      <w:tabs>
        <w:tab w:val="clear" w:pos="567"/>
      </w:tabs>
      <w:spacing w:line="240" w:lineRule="auto"/>
    </w:pPr>
    <w:rPr>
      <w:i/>
      <w:color w:val="008000"/>
    </w:rPr>
  </w:style>
  <w:style w:type="character" w:customStyle="1" w:styleId="BodyTextChar">
    <w:name w:val="Body Text Char"/>
    <w:basedOn w:val="DefaultParagraphFont"/>
    <w:link w:val="BodyText"/>
    <w:uiPriority w:val="99"/>
    <w:semiHidden/>
    <w:locked/>
    <w:rsid w:val="0093026B"/>
    <w:rPr>
      <w:rFonts w:cs="Times New Roman"/>
      <w:sz w:val="20"/>
      <w:szCs w:val="20"/>
      <w:lang w:eastAsia="fr-FR"/>
    </w:rPr>
  </w:style>
  <w:style w:type="paragraph" w:styleId="CommentText">
    <w:name w:val="annotation text"/>
    <w:basedOn w:val="Normal"/>
    <w:link w:val="CommentTextChar"/>
    <w:uiPriority w:val="99"/>
    <w:rsid w:val="00812D16"/>
    <w:rPr>
      <w:sz w:val="20"/>
    </w:rPr>
  </w:style>
  <w:style w:type="character" w:customStyle="1" w:styleId="CommentTextChar">
    <w:name w:val="Comment Text Char"/>
    <w:basedOn w:val="DefaultParagraphFont"/>
    <w:link w:val="CommentText"/>
    <w:uiPriority w:val="99"/>
    <w:locked/>
    <w:rsid w:val="00BC6DC2"/>
    <w:rPr>
      <w:rFonts w:eastAsia="Times New Roman" w:cs="Times New Roman"/>
      <w:lang w:eastAsia="fr-FR"/>
    </w:rPr>
  </w:style>
  <w:style w:type="character" w:styleId="Hyperlink">
    <w:name w:val="Hyperlink"/>
    <w:basedOn w:val="DefaultParagraphFont"/>
    <w:uiPriority w:val="99"/>
    <w:rsid w:val="00812D16"/>
    <w:rPr>
      <w:rFonts w:cs="Times New Roman"/>
      <w:color w:val="0000FF"/>
      <w:u w:val="single"/>
    </w:rPr>
  </w:style>
  <w:style w:type="paragraph" w:customStyle="1" w:styleId="EMEAEnBodyText">
    <w:name w:val="EMEA En Body Text"/>
    <w:basedOn w:val="Normal"/>
    <w:uiPriority w:val="99"/>
    <w:rsid w:val="00812D16"/>
    <w:pPr>
      <w:tabs>
        <w:tab w:val="clear" w:pos="567"/>
      </w:tabs>
      <w:spacing w:before="120" w:after="120" w:line="240" w:lineRule="auto"/>
      <w:jc w:val="both"/>
    </w:pPr>
  </w:style>
  <w:style w:type="paragraph" w:styleId="BalloonText">
    <w:name w:val="Balloon Text"/>
    <w:basedOn w:val="Normal"/>
    <w:link w:val="BalloonTextChar"/>
    <w:uiPriority w:val="99"/>
    <w:semiHidden/>
    <w:rsid w:val="00A20C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26B"/>
    <w:rPr>
      <w:rFonts w:cs="Times New Roman"/>
      <w:sz w:val="2"/>
      <w:lang w:eastAsia="fr-FR"/>
    </w:rPr>
  </w:style>
  <w:style w:type="paragraph" w:customStyle="1" w:styleId="BodytextAgency">
    <w:name w:val="Body text (Agency)"/>
    <w:basedOn w:val="Normal"/>
    <w:link w:val="BodytextAgencyChar"/>
    <w:qFormat/>
    <w:rsid w:val="00345F9C"/>
    <w:pPr>
      <w:tabs>
        <w:tab w:val="clear" w:pos="567"/>
      </w:tabs>
      <w:spacing w:after="140" w:line="280" w:lineRule="atLeast"/>
    </w:pPr>
    <w:rPr>
      <w:rFonts w:ascii="Verdana" w:hAnsi="Verdana"/>
      <w:sz w:val="18"/>
    </w:rPr>
  </w:style>
  <w:style w:type="character" w:customStyle="1" w:styleId="BodytextAgencyChar">
    <w:name w:val="Body text (Agency) Char"/>
    <w:link w:val="BodytextAgency"/>
    <w:locked/>
    <w:rsid w:val="00345F9C"/>
    <w:rPr>
      <w:rFonts w:ascii="Verdana" w:hAnsi="Verdana"/>
      <w:sz w:val="18"/>
      <w:lang w:val="fr-FR" w:eastAsia="fr-FR"/>
    </w:rPr>
  </w:style>
  <w:style w:type="paragraph" w:customStyle="1" w:styleId="DraftingNotesAgency">
    <w:name w:val="Drafting Notes (Agency)"/>
    <w:basedOn w:val="Normal"/>
    <w:next w:val="BodytextAgency"/>
    <w:link w:val="DraftingNotesAgencyChar"/>
    <w:uiPriority w:val="99"/>
    <w:rsid w:val="00345F9C"/>
    <w:pPr>
      <w:tabs>
        <w:tab w:val="clear" w:pos="567"/>
      </w:tabs>
      <w:spacing w:after="140" w:line="280" w:lineRule="atLeast"/>
    </w:pPr>
    <w:rPr>
      <w:rFonts w:ascii="Courier New" w:hAnsi="Courier New"/>
      <w:i/>
      <w:color w:val="339966"/>
      <w:sz w:val="18"/>
    </w:rPr>
  </w:style>
  <w:style w:type="character" w:customStyle="1" w:styleId="DraftingNotesAgencyChar">
    <w:name w:val="Drafting Notes (Agency) Char"/>
    <w:link w:val="DraftingNotesAgency"/>
    <w:uiPriority w:val="99"/>
    <w:locked/>
    <w:rsid w:val="00345F9C"/>
    <w:rPr>
      <w:rFonts w:ascii="Courier New" w:hAnsi="Courier New"/>
      <w:i/>
      <w:color w:val="339966"/>
      <w:sz w:val="18"/>
      <w:lang w:val="fr-FR" w:eastAsia="fr-FR"/>
    </w:rPr>
  </w:style>
  <w:style w:type="paragraph" w:customStyle="1" w:styleId="NormalAgency">
    <w:name w:val="Normal (Agency)"/>
    <w:link w:val="NormalAgencyChar"/>
    <w:rsid w:val="00C179B0"/>
    <w:rPr>
      <w:rFonts w:ascii="Verdana" w:hAnsi="Verdana"/>
    </w:rPr>
  </w:style>
  <w:style w:type="table" w:customStyle="1" w:styleId="TablegridAgencyblack">
    <w:name w:val="Table grid (Agency) black"/>
    <w:uiPriority w:val="99"/>
    <w:semiHidden/>
    <w:rsid w:val="00C179B0"/>
    <w:rPr>
      <w:rFonts w:ascii="Verdana" w:hAnsi="Verdana"/>
      <w:sz w:val="18"/>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paragraph" w:customStyle="1" w:styleId="TableheadingrowsAgency">
    <w:name w:val="Table heading rows (Agency)"/>
    <w:basedOn w:val="BodytextAgency"/>
    <w:uiPriority w:val="99"/>
    <w:rsid w:val="00C179B0"/>
    <w:pPr>
      <w:keepNext/>
    </w:pPr>
    <w:rPr>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rPr>
  </w:style>
  <w:style w:type="character" w:customStyle="1" w:styleId="NormalAgencyChar">
    <w:name w:val="Normal (Agency) Char"/>
    <w:link w:val="NormalAgency"/>
    <w:locked/>
    <w:rsid w:val="00C179B0"/>
    <w:rPr>
      <w:rFonts w:ascii="Verdana" w:hAnsi="Verdana"/>
      <w:sz w:val="22"/>
      <w:lang w:val="fr-FR" w:eastAsia="fr-FR"/>
    </w:rPr>
  </w:style>
  <w:style w:type="character" w:styleId="CommentReference">
    <w:name w:val="annotation reference"/>
    <w:basedOn w:val="DefaultParagraphFont"/>
    <w:uiPriority w:val="99"/>
    <w:rsid w:val="00BC6DC2"/>
    <w:rPr>
      <w:rFonts w:cs="Times New Roman"/>
      <w:sz w:val="16"/>
    </w:rPr>
  </w:style>
  <w:style w:type="paragraph" w:styleId="CommentSubject">
    <w:name w:val="annotation subject"/>
    <w:basedOn w:val="CommentText"/>
    <w:next w:val="CommentText"/>
    <w:link w:val="CommentSubjectChar"/>
    <w:uiPriority w:val="99"/>
    <w:rsid w:val="00BC6DC2"/>
    <w:rPr>
      <w:b/>
      <w:bCs/>
    </w:rPr>
  </w:style>
  <w:style w:type="character" w:customStyle="1" w:styleId="CommentSubjectChar">
    <w:name w:val="Comment Subject Char"/>
    <w:basedOn w:val="CommentTextChar"/>
    <w:link w:val="CommentSubject"/>
    <w:uiPriority w:val="99"/>
    <w:locked/>
    <w:rsid w:val="00BC6DC2"/>
    <w:rPr>
      <w:rFonts w:eastAsia="Times New Roman" w:cs="Times New Roman"/>
      <w:b/>
      <w:lang w:eastAsia="fr-FR"/>
    </w:rPr>
  </w:style>
  <w:style w:type="paragraph" w:customStyle="1" w:styleId="ParagraphStyle">
    <w:name w:val="Paragraph Style"/>
    <w:basedOn w:val="Normal"/>
    <w:uiPriority w:val="99"/>
    <w:rsid w:val="00390178"/>
    <w:pPr>
      <w:tabs>
        <w:tab w:val="clear" w:pos="567"/>
      </w:tabs>
      <w:spacing w:before="120" w:after="120" w:line="240" w:lineRule="auto"/>
    </w:pPr>
    <w:rPr>
      <w:color w:val="000000"/>
      <w:sz w:val="24"/>
      <w:szCs w:val="22"/>
    </w:rPr>
  </w:style>
  <w:style w:type="paragraph" w:customStyle="1" w:styleId="Default">
    <w:name w:val="Default"/>
    <w:uiPriority w:val="99"/>
    <w:rsid w:val="00BF3007"/>
    <w:pPr>
      <w:autoSpaceDE w:val="0"/>
      <w:autoSpaceDN w:val="0"/>
      <w:adjustRightInd w:val="0"/>
    </w:pPr>
    <w:rPr>
      <w:color w:val="000000"/>
      <w:sz w:val="24"/>
      <w:szCs w:val="24"/>
    </w:rPr>
  </w:style>
  <w:style w:type="character" w:styleId="FollowedHyperlink">
    <w:name w:val="FollowedHyperlink"/>
    <w:basedOn w:val="DefaultParagraphFont"/>
    <w:uiPriority w:val="99"/>
    <w:rsid w:val="006F632C"/>
    <w:rPr>
      <w:rFonts w:cs="Times New Roman"/>
      <w:color w:val="800080"/>
      <w:u w:val="single"/>
    </w:rPr>
  </w:style>
  <w:style w:type="paragraph" w:styleId="ListParagraph">
    <w:name w:val="List Paragraph"/>
    <w:basedOn w:val="Normal"/>
    <w:uiPriority w:val="99"/>
    <w:qFormat/>
    <w:rsid w:val="00FB5B91"/>
    <w:pPr>
      <w:ind w:left="720"/>
      <w:contextualSpacing/>
    </w:pPr>
  </w:style>
  <w:style w:type="character" w:styleId="PlaceholderText">
    <w:name w:val="Placeholder Text"/>
    <w:basedOn w:val="DefaultParagraphFont"/>
    <w:uiPriority w:val="99"/>
    <w:semiHidden/>
    <w:rsid w:val="00E316BF"/>
    <w:rPr>
      <w:rFonts w:cs="Times New Roman"/>
      <w:color w:val="808080"/>
    </w:rPr>
  </w:style>
  <w:style w:type="paragraph" w:customStyle="1" w:styleId="ParagraphFont">
    <w:name w:val="Paragraph Font"/>
    <w:basedOn w:val="Normal"/>
    <w:link w:val="ParagraphFontChar"/>
    <w:rsid w:val="000760BA"/>
    <w:pPr>
      <w:tabs>
        <w:tab w:val="clear" w:pos="567"/>
      </w:tabs>
      <w:autoSpaceDE w:val="0"/>
      <w:autoSpaceDN w:val="0"/>
      <w:adjustRightInd w:val="0"/>
      <w:spacing w:line="240" w:lineRule="auto"/>
      <w:jc w:val="both"/>
    </w:pPr>
    <w:rPr>
      <w:color w:val="000000"/>
      <w:sz w:val="24"/>
    </w:rPr>
  </w:style>
  <w:style w:type="character" w:customStyle="1" w:styleId="ParagraphFontChar">
    <w:name w:val="Paragraph Font Char"/>
    <w:link w:val="ParagraphFont"/>
    <w:locked/>
    <w:rsid w:val="000760BA"/>
    <w:rPr>
      <w:rFonts w:eastAsia="Times New Roman"/>
      <w:color w:val="000000"/>
      <w:sz w:val="24"/>
    </w:rPr>
  </w:style>
  <w:style w:type="paragraph" w:styleId="BodyTextIndent3">
    <w:name w:val="Body Text Indent 3"/>
    <w:basedOn w:val="Normal"/>
    <w:link w:val="BodyTextIndent3Char"/>
    <w:uiPriority w:val="99"/>
    <w:rsid w:val="00530A5D"/>
    <w:pPr>
      <w:tabs>
        <w:tab w:val="clear" w:pos="567"/>
      </w:tabs>
      <w:spacing w:after="120" w:line="240" w:lineRule="auto"/>
      <w:ind w:left="283"/>
    </w:pPr>
    <w:rPr>
      <w:sz w:val="16"/>
      <w:szCs w:val="16"/>
    </w:rPr>
  </w:style>
  <w:style w:type="character" w:customStyle="1" w:styleId="BodyTextIndent3Char">
    <w:name w:val="Body Text Indent 3 Char"/>
    <w:basedOn w:val="DefaultParagraphFont"/>
    <w:link w:val="BodyTextIndent3"/>
    <w:uiPriority w:val="99"/>
    <w:locked/>
    <w:rsid w:val="00530A5D"/>
    <w:rPr>
      <w:rFonts w:eastAsia="Times New Roman" w:cs="Times New Roman"/>
      <w:sz w:val="16"/>
      <w:szCs w:val="16"/>
      <w:lang w:eastAsia="fr-FR"/>
    </w:rPr>
  </w:style>
  <w:style w:type="paragraph" w:styleId="NormalWeb">
    <w:name w:val="Normal (Web)"/>
    <w:basedOn w:val="Normal"/>
    <w:uiPriority w:val="99"/>
    <w:rsid w:val="00F955CA"/>
    <w:pPr>
      <w:tabs>
        <w:tab w:val="clear" w:pos="567"/>
      </w:tabs>
      <w:spacing w:before="100" w:beforeAutospacing="1" w:after="100" w:afterAutospacing="1" w:line="240" w:lineRule="auto"/>
    </w:pPr>
    <w:rPr>
      <w:sz w:val="24"/>
      <w:szCs w:val="24"/>
    </w:rPr>
  </w:style>
  <w:style w:type="character" w:styleId="Strong">
    <w:name w:val="Strong"/>
    <w:basedOn w:val="DefaultParagraphFont"/>
    <w:uiPriority w:val="99"/>
    <w:qFormat/>
    <w:rsid w:val="00873A5B"/>
    <w:rPr>
      <w:rFonts w:cs="Times New Roman"/>
      <w:b/>
    </w:rPr>
  </w:style>
  <w:style w:type="paragraph" w:customStyle="1" w:styleId="CM25">
    <w:name w:val="CM25"/>
    <w:basedOn w:val="Default"/>
    <w:next w:val="Default"/>
    <w:uiPriority w:val="99"/>
    <w:rsid w:val="00730D65"/>
    <w:rPr>
      <w:rFonts w:ascii="Arial" w:hAnsi="Arial" w:cs="Arial"/>
      <w:color w:val="auto"/>
    </w:rPr>
  </w:style>
  <w:style w:type="paragraph" w:styleId="Revision">
    <w:name w:val="Revision"/>
    <w:hidden/>
    <w:uiPriority w:val="99"/>
    <w:semiHidden/>
    <w:rsid w:val="00287B33"/>
    <w:rPr>
      <w:szCs w:val="20"/>
    </w:rPr>
  </w:style>
  <w:style w:type="character" w:customStyle="1" w:styleId="shorttext">
    <w:name w:val="short_text"/>
    <w:basedOn w:val="DefaultParagraphFont"/>
    <w:uiPriority w:val="99"/>
    <w:rsid w:val="008E07A3"/>
    <w:rPr>
      <w:rFonts w:cs="Times New Roman"/>
    </w:rPr>
  </w:style>
  <w:style w:type="character" w:customStyle="1" w:styleId="hps">
    <w:name w:val="hps"/>
    <w:basedOn w:val="DefaultParagraphFont"/>
    <w:uiPriority w:val="99"/>
    <w:rsid w:val="008E07A3"/>
    <w:rPr>
      <w:rFonts w:cs="Times New Roman"/>
    </w:rPr>
  </w:style>
  <w:style w:type="table" w:styleId="TableGrid">
    <w:name w:val="Table Grid"/>
    <w:basedOn w:val="TableNormal"/>
    <w:uiPriority w:val="59"/>
    <w:locked/>
    <w:rsid w:val="00B7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STableHeader">
    <w:name w:val="BMS Table Header"/>
    <w:basedOn w:val="BMSTableText"/>
    <w:link w:val="BMSTableHeaderChar"/>
    <w:rsid w:val="00DA268A"/>
    <w:rPr>
      <w:b/>
    </w:rPr>
  </w:style>
  <w:style w:type="paragraph" w:customStyle="1" w:styleId="BMSTableText">
    <w:name w:val="BMS Table Text"/>
    <w:link w:val="BMSTableTextChar"/>
    <w:rsid w:val="00DA268A"/>
    <w:pPr>
      <w:tabs>
        <w:tab w:val="left" w:pos="360"/>
      </w:tabs>
      <w:spacing w:before="60" w:after="60"/>
      <w:jc w:val="center"/>
    </w:pPr>
    <w:rPr>
      <w:rFonts w:eastAsia="Times New Roman"/>
      <w:sz w:val="20"/>
      <w:szCs w:val="20"/>
    </w:rPr>
  </w:style>
  <w:style w:type="character" w:customStyle="1" w:styleId="BMSTableTextChar">
    <w:name w:val="BMS Table Text Char"/>
    <w:link w:val="BMSTableText"/>
    <w:rsid w:val="00DA268A"/>
    <w:rPr>
      <w:rFonts w:eastAsia="Times New Roman"/>
      <w:sz w:val="20"/>
      <w:szCs w:val="20"/>
      <w:lang w:val="fr-FR" w:eastAsia="fr-FR"/>
    </w:rPr>
  </w:style>
  <w:style w:type="character" w:customStyle="1" w:styleId="BMSTableHeaderChar">
    <w:name w:val="BMS Table Header Char"/>
    <w:link w:val="BMSTableHeader"/>
    <w:rsid w:val="00DA268A"/>
    <w:rPr>
      <w:rFonts w:eastAsia="Times New Roman"/>
      <w:b/>
      <w:sz w:val="20"/>
      <w:szCs w:val="20"/>
      <w:lang w:val="fr-FR" w:eastAsia="fr-FR"/>
    </w:rPr>
  </w:style>
  <w:style w:type="paragraph" w:customStyle="1" w:styleId="TableHeader">
    <w:name w:val="Table Header"/>
    <w:basedOn w:val="Normal"/>
    <w:rsid w:val="00AD06C4"/>
    <w:pPr>
      <w:keepNext/>
      <w:tabs>
        <w:tab w:val="clear" w:pos="567"/>
      </w:tabs>
      <w:spacing w:line="240" w:lineRule="auto"/>
    </w:pPr>
    <w:rPr>
      <w:rFonts w:eastAsia="Times New Roman"/>
      <w:b/>
      <w:sz w:val="20"/>
    </w:rPr>
  </w:style>
  <w:style w:type="paragraph" w:customStyle="1" w:styleId="Tabletext">
    <w:name w:val="Tabletext"/>
    <w:basedOn w:val="Normal"/>
    <w:rsid w:val="00AD06C4"/>
    <w:pPr>
      <w:widowControl w:val="0"/>
      <w:tabs>
        <w:tab w:val="clear" w:pos="567"/>
      </w:tabs>
      <w:spacing w:before="40" w:after="40" w:line="240" w:lineRule="auto"/>
    </w:pPr>
    <w:rPr>
      <w:rFonts w:eastAsia="Times New Roman"/>
      <w:snapToGrid w:val="0"/>
      <w:sz w:val="20"/>
    </w:rPr>
  </w:style>
  <w:style w:type="character" w:styleId="Emphasis">
    <w:name w:val="Emphasis"/>
    <w:basedOn w:val="DefaultParagraphFont"/>
    <w:uiPriority w:val="20"/>
    <w:qFormat/>
    <w:locked/>
    <w:rsid w:val="003D0193"/>
    <w:rPr>
      <w:i/>
      <w:iCs/>
    </w:rPr>
  </w:style>
  <w:style w:type="paragraph" w:customStyle="1" w:styleId="xmsonormal">
    <w:name w:val="x_msonormal"/>
    <w:basedOn w:val="Normal"/>
    <w:uiPriority w:val="99"/>
    <w:rsid w:val="00EE5747"/>
    <w:pPr>
      <w:tabs>
        <w:tab w:val="clear" w:pos="567"/>
      </w:tabs>
      <w:spacing w:line="240" w:lineRule="auto"/>
    </w:pPr>
    <w:rPr>
      <w:rFonts w:eastAsia="Calibri"/>
      <w:sz w:val="24"/>
      <w:szCs w:val="24"/>
      <w:lang w:val="en-GB" w:eastAsia="en-GB" w:bidi="ar-SA"/>
    </w:rPr>
  </w:style>
  <w:style w:type="character" w:styleId="UnresolvedMention">
    <w:name w:val="Unresolved Mention"/>
    <w:basedOn w:val="DefaultParagraphFont"/>
    <w:uiPriority w:val="99"/>
    <w:semiHidden/>
    <w:unhideWhenUsed/>
    <w:rsid w:val="00A45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01745">
      <w:bodyDiv w:val="1"/>
      <w:marLeft w:val="0"/>
      <w:marRight w:val="0"/>
      <w:marTop w:val="0"/>
      <w:marBottom w:val="0"/>
      <w:divBdr>
        <w:top w:val="none" w:sz="0" w:space="0" w:color="auto"/>
        <w:left w:val="none" w:sz="0" w:space="0" w:color="auto"/>
        <w:bottom w:val="none" w:sz="0" w:space="0" w:color="auto"/>
        <w:right w:val="none" w:sz="0" w:space="0" w:color="auto"/>
      </w:divBdr>
    </w:div>
    <w:div w:id="20522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pv@hru-nancy.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ignalement-sante.gouv.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ma.europa.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ichet.public.lu/fr/entreprises/sectoriel/sante/medecins/notification-effets-indesirables-medica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1FC5C4B8C23D499E4C56489163C428" ma:contentTypeVersion="0" ma:contentTypeDescription="Create a new document." ma:contentTypeScope="" ma:versionID="09c7a8f4cb42b47b4ed33fa66165eb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33E77DC-89E8-4648-AB70-06ABF83A1151}">
  <ds:schemaRefs>
    <ds:schemaRef ds:uri="http://schemas.openxmlformats.org/officeDocument/2006/bibliography"/>
  </ds:schemaRefs>
</ds:datastoreItem>
</file>

<file path=customXml/itemProps2.xml><?xml version="1.0" encoding="utf-8"?>
<ds:datastoreItem xmlns:ds="http://schemas.openxmlformats.org/officeDocument/2006/customXml" ds:itemID="{2DDB0740-5B51-4C39-9C55-637BD3129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4DBF43-5AC3-48D1-9CB2-9696FED98229}">
  <ds:schemaRefs>
    <ds:schemaRef ds:uri="http://schemas.microsoft.com/sharepoint/v3/contenttype/forms"/>
  </ds:schemaRefs>
</ds:datastoreItem>
</file>

<file path=customXml/itemProps4.xml><?xml version="1.0" encoding="utf-8"?>
<ds:datastoreItem xmlns:ds="http://schemas.openxmlformats.org/officeDocument/2006/customXml" ds:itemID="{2604F949-6FD6-425F-B845-0C41A273BD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6382</Words>
  <Characters>36950</Characters>
  <Application>Microsoft Office Word</Application>
  <DocSecurity>0</DocSecurity>
  <Lines>307</Lines>
  <Paragraphs>86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43246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2022-02-04T17:10:00Z</dcterms:created>
  <dcterms:modified xsi:type="dcterms:W3CDTF">2022-02-04T17:12:00Z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0x010100091FC5C4B8C23D499E4C56489163C428</vt:lpwstr>
  </property>
</Properties>
</file>