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16661" w14:textId="77777777" w:rsidR="00812D16" w:rsidRPr="00DC2F2C" w:rsidRDefault="00812D16" w:rsidP="00073C28">
      <w:pPr>
        <w:ind w:right="550"/>
        <w:jc w:val="center"/>
        <w:rPr>
          <w:szCs w:val="22"/>
          <w:lang w:val="fr-FR"/>
        </w:rPr>
      </w:pPr>
    </w:p>
    <w:p w14:paraId="27614B04" w14:textId="77777777" w:rsidR="00812D16" w:rsidRPr="00DC2F2C" w:rsidRDefault="00812D16" w:rsidP="00073C28">
      <w:pPr>
        <w:ind w:right="550"/>
        <w:jc w:val="center"/>
        <w:rPr>
          <w:szCs w:val="22"/>
          <w:lang w:val="fr-FR"/>
        </w:rPr>
      </w:pPr>
    </w:p>
    <w:p w14:paraId="5A879FA2" w14:textId="77777777" w:rsidR="00812D16" w:rsidRPr="00DC2F2C" w:rsidRDefault="00812D16" w:rsidP="009D43DC">
      <w:pPr>
        <w:suppressLineNumbers/>
        <w:tabs>
          <w:tab w:val="left" w:pos="-1440"/>
          <w:tab w:val="left" w:pos="-720"/>
        </w:tabs>
        <w:ind w:right="549"/>
        <w:jc w:val="center"/>
        <w:rPr>
          <w:szCs w:val="22"/>
          <w:lang w:val="fr-FR"/>
        </w:rPr>
      </w:pPr>
    </w:p>
    <w:p w14:paraId="2003F91F" w14:textId="77777777" w:rsidR="00812D16" w:rsidRPr="00DC2F2C" w:rsidRDefault="00812D16" w:rsidP="009D43DC">
      <w:pPr>
        <w:suppressLineNumbers/>
        <w:tabs>
          <w:tab w:val="left" w:pos="-1440"/>
          <w:tab w:val="left" w:pos="-720"/>
        </w:tabs>
        <w:ind w:right="549"/>
        <w:jc w:val="center"/>
        <w:rPr>
          <w:szCs w:val="22"/>
          <w:lang w:val="fr-FR"/>
        </w:rPr>
      </w:pPr>
    </w:p>
    <w:p w14:paraId="5378E9FC" w14:textId="77777777" w:rsidR="00812D16" w:rsidRPr="00DC2F2C" w:rsidRDefault="00812D16" w:rsidP="009D43DC">
      <w:pPr>
        <w:suppressLineNumbers/>
        <w:tabs>
          <w:tab w:val="left" w:pos="-1440"/>
          <w:tab w:val="left" w:pos="-720"/>
        </w:tabs>
        <w:ind w:right="549"/>
        <w:jc w:val="center"/>
        <w:rPr>
          <w:szCs w:val="22"/>
          <w:lang w:val="fr-FR"/>
        </w:rPr>
      </w:pPr>
    </w:p>
    <w:p w14:paraId="60B54C93" w14:textId="77777777" w:rsidR="00812D16" w:rsidRPr="00DC2F2C" w:rsidRDefault="00812D16" w:rsidP="009D43DC">
      <w:pPr>
        <w:suppressLineNumbers/>
        <w:tabs>
          <w:tab w:val="left" w:pos="-1440"/>
          <w:tab w:val="left" w:pos="-720"/>
        </w:tabs>
        <w:ind w:right="549"/>
        <w:jc w:val="center"/>
        <w:rPr>
          <w:szCs w:val="22"/>
          <w:lang w:val="fr-FR"/>
        </w:rPr>
      </w:pPr>
    </w:p>
    <w:p w14:paraId="2647900D" w14:textId="77777777" w:rsidR="00812D16" w:rsidRPr="00DC2F2C" w:rsidRDefault="00812D16" w:rsidP="009D43DC">
      <w:pPr>
        <w:suppressLineNumbers/>
        <w:tabs>
          <w:tab w:val="left" w:pos="-1440"/>
          <w:tab w:val="left" w:pos="-720"/>
        </w:tabs>
        <w:ind w:right="549"/>
        <w:jc w:val="center"/>
        <w:rPr>
          <w:szCs w:val="22"/>
          <w:lang w:val="fr-FR"/>
        </w:rPr>
      </w:pPr>
    </w:p>
    <w:p w14:paraId="226E04BD" w14:textId="77777777" w:rsidR="00812D16" w:rsidRPr="00DC2F2C" w:rsidRDefault="00812D16" w:rsidP="009D43DC">
      <w:pPr>
        <w:suppressLineNumbers/>
        <w:tabs>
          <w:tab w:val="left" w:pos="-1440"/>
          <w:tab w:val="left" w:pos="-720"/>
        </w:tabs>
        <w:ind w:right="549"/>
        <w:jc w:val="center"/>
        <w:rPr>
          <w:szCs w:val="22"/>
          <w:lang w:val="fr-FR"/>
        </w:rPr>
      </w:pPr>
    </w:p>
    <w:p w14:paraId="71B87B1B" w14:textId="77777777" w:rsidR="00812D16" w:rsidRPr="00DC2F2C" w:rsidRDefault="00812D16" w:rsidP="009D43DC">
      <w:pPr>
        <w:suppressLineNumbers/>
        <w:tabs>
          <w:tab w:val="left" w:pos="-1440"/>
          <w:tab w:val="left" w:pos="-720"/>
        </w:tabs>
        <w:ind w:right="549"/>
        <w:jc w:val="center"/>
        <w:rPr>
          <w:szCs w:val="22"/>
          <w:lang w:val="fr-FR"/>
        </w:rPr>
      </w:pPr>
    </w:p>
    <w:p w14:paraId="4D57C0B4" w14:textId="77777777" w:rsidR="00812D16" w:rsidRPr="00DC2F2C" w:rsidRDefault="00812D16" w:rsidP="009D43DC">
      <w:pPr>
        <w:suppressLineNumbers/>
        <w:tabs>
          <w:tab w:val="left" w:pos="-1440"/>
          <w:tab w:val="left" w:pos="-720"/>
        </w:tabs>
        <w:ind w:right="549"/>
        <w:jc w:val="center"/>
        <w:rPr>
          <w:szCs w:val="22"/>
          <w:lang w:val="fr-FR"/>
        </w:rPr>
      </w:pPr>
    </w:p>
    <w:p w14:paraId="3A88AA02" w14:textId="77777777" w:rsidR="00812D16" w:rsidRPr="00DC2F2C" w:rsidRDefault="00812D16" w:rsidP="009D43DC">
      <w:pPr>
        <w:suppressLineNumbers/>
        <w:tabs>
          <w:tab w:val="left" w:pos="-1440"/>
          <w:tab w:val="left" w:pos="-720"/>
        </w:tabs>
        <w:ind w:right="549"/>
        <w:jc w:val="center"/>
        <w:rPr>
          <w:szCs w:val="22"/>
          <w:lang w:val="fr-FR"/>
        </w:rPr>
      </w:pPr>
    </w:p>
    <w:p w14:paraId="27EEE8CB" w14:textId="77777777" w:rsidR="00812D16" w:rsidRPr="00DC2F2C" w:rsidRDefault="00812D16" w:rsidP="009D43DC">
      <w:pPr>
        <w:suppressLineNumbers/>
        <w:tabs>
          <w:tab w:val="left" w:pos="-1440"/>
          <w:tab w:val="left" w:pos="-720"/>
        </w:tabs>
        <w:ind w:right="549"/>
        <w:jc w:val="center"/>
        <w:rPr>
          <w:szCs w:val="22"/>
          <w:lang w:val="fr-FR"/>
        </w:rPr>
      </w:pPr>
    </w:p>
    <w:p w14:paraId="136573F6" w14:textId="77777777" w:rsidR="00812D16" w:rsidRPr="00DC2F2C" w:rsidRDefault="00812D16" w:rsidP="009D43DC">
      <w:pPr>
        <w:suppressLineNumbers/>
        <w:tabs>
          <w:tab w:val="left" w:pos="-1440"/>
          <w:tab w:val="left" w:pos="-720"/>
        </w:tabs>
        <w:ind w:right="549"/>
        <w:jc w:val="center"/>
        <w:rPr>
          <w:szCs w:val="22"/>
          <w:lang w:val="fr-FR"/>
        </w:rPr>
      </w:pPr>
    </w:p>
    <w:p w14:paraId="361E7165" w14:textId="77777777" w:rsidR="00812D16" w:rsidRPr="00DC2F2C" w:rsidRDefault="00812D16" w:rsidP="009D43DC">
      <w:pPr>
        <w:suppressLineNumbers/>
        <w:tabs>
          <w:tab w:val="left" w:pos="-1440"/>
          <w:tab w:val="left" w:pos="-720"/>
        </w:tabs>
        <w:ind w:right="549"/>
        <w:jc w:val="center"/>
        <w:rPr>
          <w:szCs w:val="22"/>
          <w:lang w:val="fr-FR"/>
        </w:rPr>
      </w:pPr>
    </w:p>
    <w:p w14:paraId="48F0FF0A" w14:textId="77777777" w:rsidR="00812D16" w:rsidRPr="00DC2F2C" w:rsidRDefault="00812D16" w:rsidP="009D43DC">
      <w:pPr>
        <w:suppressLineNumbers/>
        <w:tabs>
          <w:tab w:val="left" w:pos="-1440"/>
          <w:tab w:val="left" w:pos="-720"/>
        </w:tabs>
        <w:ind w:right="549"/>
        <w:jc w:val="center"/>
        <w:rPr>
          <w:szCs w:val="22"/>
          <w:lang w:val="fr-FR"/>
        </w:rPr>
      </w:pPr>
    </w:p>
    <w:p w14:paraId="60750A2F" w14:textId="77777777" w:rsidR="00812D16" w:rsidRPr="00DC2F2C" w:rsidRDefault="00812D16" w:rsidP="009D43DC">
      <w:pPr>
        <w:suppressLineNumbers/>
        <w:tabs>
          <w:tab w:val="left" w:pos="-1440"/>
          <w:tab w:val="left" w:pos="-720"/>
        </w:tabs>
        <w:ind w:right="549"/>
        <w:jc w:val="center"/>
        <w:rPr>
          <w:szCs w:val="22"/>
          <w:lang w:val="fr-FR"/>
        </w:rPr>
      </w:pPr>
    </w:p>
    <w:p w14:paraId="051487F7" w14:textId="77777777" w:rsidR="00812D16" w:rsidRPr="00DC2F2C" w:rsidRDefault="00812D16" w:rsidP="009D43DC">
      <w:pPr>
        <w:suppressLineNumbers/>
        <w:tabs>
          <w:tab w:val="left" w:pos="-1440"/>
          <w:tab w:val="left" w:pos="-720"/>
        </w:tabs>
        <w:ind w:right="549"/>
        <w:jc w:val="center"/>
        <w:rPr>
          <w:szCs w:val="22"/>
          <w:lang w:val="fr-FR"/>
        </w:rPr>
      </w:pPr>
    </w:p>
    <w:p w14:paraId="7FB0CEDE" w14:textId="77777777" w:rsidR="00BD5D8B" w:rsidRPr="00DC2F2C" w:rsidRDefault="00BD5D8B" w:rsidP="009D43DC">
      <w:pPr>
        <w:suppressLineNumbers/>
        <w:tabs>
          <w:tab w:val="left" w:pos="-1440"/>
          <w:tab w:val="left" w:pos="-720"/>
        </w:tabs>
        <w:ind w:right="549"/>
        <w:jc w:val="center"/>
        <w:rPr>
          <w:szCs w:val="22"/>
          <w:lang w:val="fr-FR"/>
        </w:rPr>
      </w:pPr>
    </w:p>
    <w:p w14:paraId="3CFD0712" w14:textId="77777777" w:rsidR="00BD5D8B" w:rsidRPr="00DC2F2C" w:rsidRDefault="00BD5D8B" w:rsidP="009D43DC">
      <w:pPr>
        <w:suppressLineNumbers/>
        <w:tabs>
          <w:tab w:val="left" w:pos="-1440"/>
          <w:tab w:val="left" w:pos="-720"/>
        </w:tabs>
        <w:ind w:right="549"/>
        <w:jc w:val="center"/>
        <w:rPr>
          <w:szCs w:val="22"/>
          <w:lang w:val="fr-FR"/>
        </w:rPr>
      </w:pPr>
    </w:p>
    <w:p w14:paraId="52051115" w14:textId="77777777" w:rsidR="00BD5D8B" w:rsidRPr="00DC2F2C" w:rsidRDefault="00BD5D8B" w:rsidP="009D43DC">
      <w:pPr>
        <w:suppressLineNumbers/>
        <w:tabs>
          <w:tab w:val="left" w:pos="-1440"/>
          <w:tab w:val="left" w:pos="-720"/>
        </w:tabs>
        <w:ind w:right="549"/>
        <w:jc w:val="center"/>
        <w:rPr>
          <w:szCs w:val="22"/>
          <w:lang w:val="fr-FR"/>
        </w:rPr>
      </w:pPr>
    </w:p>
    <w:p w14:paraId="276D40C6" w14:textId="77777777" w:rsidR="00BD5D8B" w:rsidRDefault="00BD5D8B" w:rsidP="009D43DC">
      <w:pPr>
        <w:suppressLineNumbers/>
        <w:tabs>
          <w:tab w:val="left" w:pos="-1440"/>
          <w:tab w:val="left" w:pos="-720"/>
        </w:tabs>
        <w:ind w:right="549"/>
        <w:jc w:val="center"/>
        <w:rPr>
          <w:szCs w:val="22"/>
          <w:lang w:val="fr-FR"/>
        </w:rPr>
      </w:pPr>
    </w:p>
    <w:p w14:paraId="255AC638" w14:textId="77777777" w:rsidR="00581EF8" w:rsidRPr="00DC2F2C" w:rsidRDefault="00581EF8" w:rsidP="009D43DC">
      <w:pPr>
        <w:suppressLineNumbers/>
        <w:tabs>
          <w:tab w:val="left" w:pos="-1440"/>
          <w:tab w:val="left" w:pos="-720"/>
        </w:tabs>
        <w:ind w:right="549"/>
        <w:jc w:val="center"/>
        <w:rPr>
          <w:szCs w:val="22"/>
          <w:lang w:val="fr-FR"/>
        </w:rPr>
      </w:pPr>
    </w:p>
    <w:p w14:paraId="26732777" w14:textId="77777777" w:rsidR="00BD5D8B" w:rsidRPr="00DC2F2C" w:rsidRDefault="00BD5D8B" w:rsidP="009D43DC">
      <w:pPr>
        <w:suppressLineNumbers/>
        <w:tabs>
          <w:tab w:val="left" w:pos="-1440"/>
          <w:tab w:val="left" w:pos="-720"/>
        </w:tabs>
        <w:ind w:right="549"/>
        <w:jc w:val="center"/>
        <w:rPr>
          <w:szCs w:val="22"/>
          <w:lang w:val="fr-FR"/>
        </w:rPr>
      </w:pPr>
    </w:p>
    <w:p w14:paraId="2ABDC0E5" w14:textId="77777777" w:rsidR="00812D16" w:rsidRPr="00DC2F2C" w:rsidRDefault="00812D16" w:rsidP="009D43DC">
      <w:pPr>
        <w:suppressLineNumbers/>
        <w:tabs>
          <w:tab w:val="left" w:pos="-1440"/>
          <w:tab w:val="left" w:pos="-720"/>
        </w:tabs>
        <w:ind w:right="549"/>
        <w:jc w:val="center"/>
        <w:rPr>
          <w:szCs w:val="22"/>
          <w:lang w:val="fr-FR"/>
        </w:rPr>
      </w:pPr>
      <w:r w:rsidRPr="00DC2F2C">
        <w:rPr>
          <w:b/>
          <w:szCs w:val="22"/>
          <w:lang w:val="fr-FR"/>
        </w:rPr>
        <w:t>ANNEX</w:t>
      </w:r>
      <w:r w:rsidR="00D176D5" w:rsidRPr="00DC2F2C">
        <w:rPr>
          <w:b/>
          <w:szCs w:val="22"/>
          <w:lang w:val="fr-FR"/>
        </w:rPr>
        <w:t>E</w:t>
      </w:r>
      <w:r w:rsidRPr="00DC2F2C">
        <w:rPr>
          <w:b/>
          <w:szCs w:val="22"/>
          <w:lang w:val="fr-FR"/>
        </w:rPr>
        <w:t xml:space="preserve"> I</w:t>
      </w:r>
    </w:p>
    <w:p w14:paraId="4C9DE1AA" w14:textId="77777777" w:rsidR="00812D16" w:rsidRPr="00DC2F2C" w:rsidRDefault="00812D16" w:rsidP="009D43DC">
      <w:pPr>
        <w:suppressLineNumbers/>
        <w:tabs>
          <w:tab w:val="left" w:pos="-1440"/>
          <w:tab w:val="left" w:pos="-720"/>
        </w:tabs>
        <w:ind w:right="549"/>
        <w:jc w:val="center"/>
        <w:rPr>
          <w:szCs w:val="22"/>
          <w:lang w:val="fr-FR"/>
        </w:rPr>
      </w:pPr>
    </w:p>
    <w:p w14:paraId="5FE713BE" w14:textId="77777777" w:rsidR="00812D16" w:rsidRPr="00DC2F2C" w:rsidRDefault="00D176D5" w:rsidP="00073C28">
      <w:pPr>
        <w:suppressLineNumbers/>
        <w:tabs>
          <w:tab w:val="left" w:pos="-1440"/>
          <w:tab w:val="left" w:pos="-720"/>
        </w:tabs>
        <w:ind w:right="550"/>
        <w:jc w:val="center"/>
        <w:outlineLvl w:val="0"/>
        <w:rPr>
          <w:szCs w:val="22"/>
          <w:lang w:val="fr-FR"/>
        </w:rPr>
      </w:pPr>
      <w:r w:rsidRPr="00DC2F2C">
        <w:rPr>
          <w:b/>
          <w:lang w:val="fr-FR"/>
        </w:rPr>
        <w:t>RÉSUMÉ DES CARACTÉRISTIQUES DU PRODUIT</w:t>
      </w:r>
    </w:p>
    <w:p w14:paraId="3EED49D3" w14:textId="77777777" w:rsidR="00812D16" w:rsidRPr="00DC2F2C" w:rsidRDefault="00812D16" w:rsidP="009D43DC">
      <w:pPr>
        <w:suppressLineNumbers/>
        <w:tabs>
          <w:tab w:val="left" w:pos="-1440"/>
          <w:tab w:val="left" w:pos="-720"/>
        </w:tabs>
        <w:ind w:right="549"/>
        <w:jc w:val="center"/>
        <w:rPr>
          <w:szCs w:val="22"/>
          <w:lang w:val="fr-FR"/>
        </w:rPr>
      </w:pPr>
    </w:p>
    <w:p w14:paraId="3035E969" w14:textId="77777777" w:rsidR="00BD5D8B" w:rsidRPr="00DC2F2C" w:rsidRDefault="00812D16" w:rsidP="009D43DC">
      <w:pPr>
        <w:rPr>
          <w:szCs w:val="22"/>
          <w:lang w:val="fr-FR"/>
        </w:rPr>
      </w:pPr>
      <w:r w:rsidRPr="00DC2F2C">
        <w:rPr>
          <w:szCs w:val="22"/>
          <w:lang w:val="fr-FR"/>
        </w:rPr>
        <w:br w:type="page"/>
      </w:r>
      <w:r w:rsidR="00C34CB1" w:rsidRPr="005E5CC3">
        <w:rPr>
          <w:noProof/>
          <w:lang w:eastAsia="en-GB"/>
        </w:rPr>
        <w:lastRenderedPageBreak/>
        <w:drawing>
          <wp:inline distT="0" distB="0" distL="0" distR="0" wp14:anchorId="04B49DB7" wp14:editId="201326DC">
            <wp:extent cx="200025" cy="171450"/>
            <wp:effectExtent l="0" t="0" r="9525" b="0"/>
            <wp:docPr id="1" name="Image 1" descr="BT_1000x85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_1000x858p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r w:rsidR="00AB2BFA" w:rsidRPr="00DC2F2C">
        <w:rPr>
          <w:lang w:val="fr-FR"/>
        </w:rPr>
        <w:t xml:space="preserve">Ce médicament fait l'objet d'une surveillance supplémentaire qui permettra l'identification rapide de nouvelles informations relatives à la sécurité. Les professionnels de la santé </w:t>
      </w:r>
      <w:r w:rsidR="006D196B" w:rsidRPr="00DC2F2C">
        <w:rPr>
          <w:lang w:val="fr-FR"/>
        </w:rPr>
        <w:t xml:space="preserve">doivent déclarer </w:t>
      </w:r>
      <w:r w:rsidR="00AB2BFA" w:rsidRPr="00DC2F2C">
        <w:rPr>
          <w:lang w:val="fr-FR"/>
        </w:rPr>
        <w:t>tout effet indésirable suspecté. Voir rubrique 4.8 pour les modalités de déclaration des effets indésirables</w:t>
      </w:r>
      <w:r w:rsidR="00BD5D8B" w:rsidRPr="00DC2F2C">
        <w:rPr>
          <w:szCs w:val="22"/>
          <w:lang w:val="fr-FR"/>
        </w:rPr>
        <w:t>.</w:t>
      </w:r>
    </w:p>
    <w:p w14:paraId="1F483F1B" w14:textId="77777777" w:rsidR="00BD5D8B" w:rsidRPr="00DC2F2C" w:rsidRDefault="00BD5D8B" w:rsidP="009D43DC">
      <w:pPr>
        <w:rPr>
          <w:szCs w:val="22"/>
          <w:lang w:val="fr-FR"/>
        </w:rPr>
      </w:pPr>
    </w:p>
    <w:p w14:paraId="31A9C01B" w14:textId="77777777" w:rsidR="00BD5D8B" w:rsidRPr="00DC2F2C" w:rsidRDefault="00BD5D8B" w:rsidP="009D43DC">
      <w:pPr>
        <w:rPr>
          <w:szCs w:val="22"/>
          <w:lang w:val="fr-FR"/>
        </w:rPr>
      </w:pPr>
    </w:p>
    <w:p w14:paraId="583BA8B8" w14:textId="77777777" w:rsidR="00812D16" w:rsidRPr="00DC2F2C" w:rsidRDefault="00812D16" w:rsidP="00073C28">
      <w:pPr>
        <w:rPr>
          <w:b/>
          <w:szCs w:val="22"/>
          <w:lang w:val="fr-FR"/>
        </w:rPr>
      </w:pPr>
      <w:r w:rsidRPr="00DC2F2C">
        <w:rPr>
          <w:b/>
          <w:szCs w:val="22"/>
          <w:lang w:val="fr-FR"/>
        </w:rPr>
        <w:t>1.</w:t>
      </w:r>
      <w:r w:rsidRPr="00DC2F2C">
        <w:rPr>
          <w:b/>
          <w:szCs w:val="22"/>
          <w:lang w:val="fr-FR"/>
        </w:rPr>
        <w:tab/>
      </w:r>
      <w:r w:rsidR="00A177C5" w:rsidRPr="00DC2F2C">
        <w:rPr>
          <w:b/>
          <w:lang w:val="fr-FR"/>
        </w:rPr>
        <w:t>DÉNOMINATION DU MÉDICAMENT</w:t>
      </w:r>
    </w:p>
    <w:p w14:paraId="03C47DAE" w14:textId="77777777" w:rsidR="00812D16" w:rsidRPr="00DC2F2C" w:rsidRDefault="00812D16" w:rsidP="009D43DC">
      <w:pPr>
        <w:numPr>
          <w:ilvl w:val="12"/>
          <w:numId w:val="0"/>
        </w:numPr>
        <w:tabs>
          <w:tab w:val="clear" w:pos="567"/>
        </w:tabs>
        <w:ind w:right="549"/>
        <w:rPr>
          <w:szCs w:val="22"/>
          <w:lang w:val="fr-FR"/>
        </w:rPr>
      </w:pPr>
    </w:p>
    <w:p w14:paraId="24161FBB" w14:textId="77777777" w:rsidR="00BF37A5" w:rsidRPr="00DC2F2C" w:rsidRDefault="00BD5D8B" w:rsidP="009D43DC">
      <w:pPr>
        <w:numPr>
          <w:ilvl w:val="12"/>
          <w:numId w:val="0"/>
        </w:numPr>
        <w:tabs>
          <w:tab w:val="clear" w:pos="567"/>
        </w:tabs>
        <w:ind w:right="549"/>
        <w:rPr>
          <w:szCs w:val="22"/>
          <w:lang w:val="fr-FR"/>
        </w:rPr>
      </w:pPr>
      <w:r w:rsidRPr="00DC2F2C">
        <w:rPr>
          <w:szCs w:val="22"/>
          <w:lang w:val="fr-FR"/>
        </w:rPr>
        <w:t>Fotivda</w:t>
      </w:r>
      <w:r w:rsidR="00BF37A5" w:rsidRPr="00DC2F2C">
        <w:rPr>
          <w:szCs w:val="22"/>
          <w:lang w:val="fr-FR"/>
        </w:rPr>
        <w:t xml:space="preserve"> </w:t>
      </w:r>
      <w:r w:rsidR="007A74A9" w:rsidRPr="00DC2F2C">
        <w:rPr>
          <w:szCs w:val="22"/>
          <w:lang w:val="fr-FR"/>
        </w:rPr>
        <w:t>890</w:t>
      </w:r>
      <w:r w:rsidRPr="00DC2F2C">
        <w:rPr>
          <w:szCs w:val="22"/>
          <w:lang w:val="fr-FR"/>
        </w:rPr>
        <w:t> </w:t>
      </w:r>
      <w:r w:rsidR="00BF37A5" w:rsidRPr="00DC2F2C">
        <w:rPr>
          <w:szCs w:val="22"/>
          <w:lang w:val="fr-FR"/>
        </w:rPr>
        <w:t>m</w:t>
      </w:r>
      <w:r w:rsidR="007A74A9" w:rsidRPr="00DC2F2C">
        <w:rPr>
          <w:szCs w:val="22"/>
          <w:lang w:val="fr-FR"/>
        </w:rPr>
        <w:t>icro</w:t>
      </w:r>
      <w:r w:rsidR="00BF37A5" w:rsidRPr="00DC2F2C">
        <w:rPr>
          <w:szCs w:val="22"/>
          <w:lang w:val="fr-FR"/>
        </w:rPr>
        <w:t>g</w:t>
      </w:r>
      <w:r w:rsidR="007A74A9" w:rsidRPr="00DC2F2C">
        <w:rPr>
          <w:szCs w:val="22"/>
          <w:lang w:val="fr-FR"/>
        </w:rPr>
        <w:t>ram</w:t>
      </w:r>
      <w:r w:rsidR="0092139A" w:rsidRPr="00DC2F2C">
        <w:rPr>
          <w:szCs w:val="22"/>
          <w:lang w:val="fr-FR"/>
        </w:rPr>
        <w:t>mes,</w:t>
      </w:r>
      <w:r w:rsidR="00BF37A5" w:rsidRPr="00DC2F2C">
        <w:rPr>
          <w:szCs w:val="22"/>
          <w:lang w:val="fr-FR"/>
        </w:rPr>
        <w:t xml:space="preserve"> </w:t>
      </w:r>
      <w:r w:rsidR="00B36224" w:rsidRPr="00DC2F2C">
        <w:rPr>
          <w:szCs w:val="22"/>
          <w:lang w:val="fr-FR"/>
        </w:rPr>
        <w:t>gélule</w:t>
      </w:r>
    </w:p>
    <w:p w14:paraId="7FCC0027" w14:textId="77777777" w:rsidR="00A25867" w:rsidRPr="00DC2F2C" w:rsidRDefault="00A25867" w:rsidP="00A25867">
      <w:pPr>
        <w:numPr>
          <w:ilvl w:val="12"/>
          <w:numId w:val="0"/>
        </w:numPr>
        <w:tabs>
          <w:tab w:val="clear" w:pos="567"/>
        </w:tabs>
        <w:ind w:right="549"/>
        <w:rPr>
          <w:szCs w:val="22"/>
          <w:lang w:val="fr-FR"/>
        </w:rPr>
      </w:pPr>
      <w:r w:rsidRPr="00DC2F2C">
        <w:rPr>
          <w:szCs w:val="22"/>
          <w:lang w:val="fr-FR"/>
        </w:rPr>
        <w:t>Fotivda 1</w:t>
      </w:r>
      <w:r w:rsidR="00483203" w:rsidRPr="00DC2F2C">
        <w:rPr>
          <w:szCs w:val="22"/>
          <w:lang w:val="fr-FR"/>
        </w:rPr>
        <w:t> </w:t>
      </w:r>
      <w:r w:rsidR="007A74A9" w:rsidRPr="00DC2F2C">
        <w:rPr>
          <w:szCs w:val="22"/>
          <w:lang w:val="fr-FR"/>
        </w:rPr>
        <w:t>340</w:t>
      </w:r>
      <w:r w:rsidRPr="00DC2F2C">
        <w:rPr>
          <w:szCs w:val="22"/>
          <w:lang w:val="fr-FR"/>
        </w:rPr>
        <w:t> m</w:t>
      </w:r>
      <w:r w:rsidR="007A74A9" w:rsidRPr="00DC2F2C">
        <w:rPr>
          <w:szCs w:val="22"/>
          <w:lang w:val="fr-FR"/>
        </w:rPr>
        <w:t>icro</w:t>
      </w:r>
      <w:r w:rsidRPr="00DC2F2C">
        <w:rPr>
          <w:szCs w:val="22"/>
          <w:lang w:val="fr-FR"/>
        </w:rPr>
        <w:t>g</w:t>
      </w:r>
      <w:r w:rsidR="007A74A9" w:rsidRPr="00DC2F2C">
        <w:rPr>
          <w:szCs w:val="22"/>
          <w:lang w:val="fr-FR"/>
        </w:rPr>
        <w:t>ram</w:t>
      </w:r>
      <w:r w:rsidR="00B36224" w:rsidRPr="00DC2F2C">
        <w:rPr>
          <w:szCs w:val="22"/>
          <w:lang w:val="fr-FR"/>
        </w:rPr>
        <w:t>mes, gélule</w:t>
      </w:r>
    </w:p>
    <w:p w14:paraId="502ED359" w14:textId="77777777" w:rsidR="004C63A8" w:rsidRPr="00DC2F2C" w:rsidRDefault="004C63A8" w:rsidP="009D43DC">
      <w:pPr>
        <w:numPr>
          <w:ilvl w:val="12"/>
          <w:numId w:val="0"/>
        </w:numPr>
        <w:tabs>
          <w:tab w:val="clear" w:pos="567"/>
        </w:tabs>
        <w:ind w:right="549"/>
        <w:rPr>
          <w:szCs w:val="22"/>
          <w:shd w:val="pct15" w:color="auto" w:fill="FFFFFF"/>
          <w:lang w:val="fr-FR"/>
        </w:rPr>
      </w:pPr>
    </w:p>
    <w:p w14:paraId="2F6EEEDA" w14:textId="77777777" w:rsidR="00BD5D8B" w:rsidRPr="00DC2F2C" w:rsidRDefault="00BD5D8B" w:rsidP="009D43DC">
      <w:pPr>
        <w:numPr>
          <w:ilvl w:val="12"/>
          <w:numId w:val="0"/>
        </w:numPr>
        <w:tabs>
          <w:tab w:val="clear" w:pos="567"/>
        </w:tabs>
        <w:ind w:right="549"/>
        <w:rPr>
          <w:szCs w:val="22"/>
          <w:shd w:val="pct15" w:color="auto" w:fill="FFFFFF"/>
          <w:lang w:val="fr-FR"/>
        </w:rPr>
      </w:pPr>
    </w:p>
    <w:p w14:paraId="4DCDDBCA" w14:textId="77777777" w:rsidR="00812D16" w:rsidRPr="00DC2F2C" w:rsidRDefault="00812D16" w:rsidP="00073C28">
      <w:pPr>
        <w:rPr>
          <w:szCs w:val="22"/>
          <w:lang w:val="fr-FR"/>
        </w:rPr>
      </w:pPr>
      <w:r w:rsidRPr="00DC2F2C">
        <w:rPr>
          <w:b/>
          <w:szCs w:val="22"/>
          <w:lang w:val="fr-FR"/>
        </w:rPr>
        <w:t>2.</w:t>
      </w:r>
      <w:r w:rsidRPr="00DC2F2C">
        <w:rPr>
          <w:b/>
          <w:szCs w:val="22"/>
          <w:lang w:val="fr-FR"/>
        </w:rPr>
        <w:tab/>
      </w:r>
      <w:r w:rsidR="00A177C5" w:rsidRPr="00DC2F2C">
        <w:rPr>
          <w:b/>
          <w:lang w:val="fr-FR"/>
        </w:rPr>
        <w:t>COMPOSITION QUALITATIVE ET QUANTITATIVE</w:t>
      </w:r>
    </w:p>
    <w:p w14:paraId="6D75AFDE" w14:textId="77777777" w:rsidR="00812D16" w:rsidRPr="00DC2F2C" w:rsidRDefault="00812D16" w:rsidP="009D43DC">
      <w:pPr>
        <w:numPr>
          <w:ilvl w:val="12"/>
          <w:numId w:val="0"/>
        </w:numPr>
        <w:tabs>
          <w:tab w:val="clear" w:pos="567"/>
        </w:tabs>
        <w:ind w:right="549"/>
        <w:rPr>
          <w:szCs w:val="22"/>
          <w:lang w:val="fr-FR"/>
        </w:rPr>
      </w:pPr>
    </w:p>
    <w:p w14:paraId="56E8CF88" w14:textId="77777777" w:rsidR="00A25867" w:rsidRPr="00DC2F2C" w:rsidRDefault="00A25867" w:rsidP="00A25867">
      <w:pPr>
        <w:numPr>
          <w:ilvl w:val="12"/>
          <w:numId w:val="0"/>
        </w:numPr>
        <w:tabs>
          <w:tab w:val="clear" w:pos="567"/>
        </w:tabs>
        <w:ind w:right="549"/>
        <w:rPr>
          <w:szCs w:val="22"/>
          <w:u w:val="single"/>
          <w:lang w:val="fr-FR"/>
        </w:rPr>
      </w:pPr>
      <w:r w:rsidRPr="00DC2F2C">
        <w:rPr>
          <w:szCs w:val="22"/>
          <w:u w:val="single"/>
          <w:lang w:val="fr-FR"/>
        </w:rPr>
        <w:t xml:space="preserve">Fotivda </w:t>
      </w:r>
      <w:r w:rsidR="005A37B3" w:rsidRPr="00DC2F2C">
        <w:rPr>
          <w:szCs w:val="22"/>
          <w:u w:val="single"/>
          <w:lang w:val="fr-FR"/>
        </w:rPr>
        <w:t>890</w:t>
      </w:r>
      <w:r w:rsidRPr="00DC2F2C">
        <w:rPr>
          <w:szCs w:val="22"/>
          <w:u w:val="single"/>
          <w:lang w:val="fr-FR"/>
        </w:rPr>
        <w:t> m</w:t>
      </w:r>
      <w:r w:rsidR="005A37B3" w:rsidRPr="00DC2F2C">
        <w:rPr>
          <w:szCs w:val="22"/>
          <w:u w:val="single"/>
          <w:lang w:val="fr-FR"/>
        </w:rPr>
        <w:t>icro</w:t>
      </w:r>
      <w:r w:rsidRPr="00DC2F2C">
        <w:rPr>
          <w:szCs w:val="22"/>
          <w:u w:val="single"/>
          <w:lang w:val="fr-FR"/>
        </w:rPr>
        <w:t>g</w:t>
      </w:r>
      <w:r w:rsidR="005A37B3" w:rsidRPr="00DC2F2C">
        <w:rPr>
          <w:szCs w:val="22"/>
          <w:u w:val="single"/>
          <w:lang w:val="fr-FR"/>
        </w:rPr>
        <w:t>ram</w:t>
      </w:r>
      <w:r w:rsidR="00483203" w:rsidRPr="00DC2F2C">
        <w:rPr>
          <w:szCs w:val="22"/>
          <w:u w:val="single"/>
          <w:lang w:val="fr-FR"/>
        </w:rPr>
        <w:t>mes, gélule</w:t>
      </w:r>
    </w:p>
    <w:p w14:paraId="3C6E8639" w14:textId="77777777" w:rsidR="00A25867" w:rsidRPr="00DC2F2C" w:rsidRDefault="00483203" w:rsidP="000A5BB2">
      <w:pPr>
        <w:rPr>
          <w:lang w:val="fr-FR"/>
        </w:rPr>
      </w:pPr>
      <w:r w:rsidRPr="00DC2F2C">
        <w:rPr>
          <w:lang w:val="fr-FR"/>
        </w:rPr>
        <w:t>Chaque gélule contient du chlorhydrate de</w:t>
      </w:r>
      <w:r w:rsidR="00A25867" w:rsidRPr="00DC2F2C">
        <w:rPr>
          <w:lang w:val="fr-FR"/>
        </w:rPr>
        <w:t xml:space="preserve"> </w:t>
      </w:r>
      <w:proofErr w:type="spellStart"/>
      <w:r w:rsidR="00A25867" w:rsidRPr="00DC2F2C">
        <w:rPr>
          <w:lang w:val="fr-FR"/>
        </w:rPr>
        <w:t>tivozanib</w:t>
      </w:r>
      <w:proofErr w:type="spellEnd"/>
      <w:r w:rsidR="00A25867" w:rsidRPr="00DC2F2C">
        <w:rPr>
          <w:lang w:val="fr-FR"/>
        </w:rPr>
        <w:t xml:space="preserve"> monohydrat</w:t>
      </w:r>
      <w:r w:rsidR="00EE16B1" w:rsidRPr="00DC2F2C">
        <w:rPr>
          <w:lang w:val="fr-FR"/>
        </w:rPr>
        <w:t>é é</w:t>
      </w:r>
      <w:r w:rsidRPr="00DC2F2C">
        <w:rPr>
          <w:lang w:val="fr-FR"/>
        </w:rPr>
        <w:t>quivala</w:t>
      </w:r>
      <w:r w:rsidR="00A25867" w:rsidRPr="00DC2F2C">
        <w:rPr>
          <w:lang w:val="fr-FR"/>
        </w:rPr>
        <w:t xml:space="preserve">nt </w:t>
      </w:r>
      <w:r w:rsidRPr="00DC2F2C">
        <w:rPr>
          <w:lang w:val="fr-FR"/>
        </w:rPr>
        <w:t>à</w:t>
      </w:r>
      <w:r w:rsidR="00A25867" w:rsidRPr="00DC2F2C">
        <w:rPr>
          <w:lang w:val="fr-FR"/>
        </w:rPr>
        <w:t xml:space="preserve"> 89</w:t>
      </w:r>
      <w:r w:rsidR="005A37B3" w:rsidRPr="00DC2F2C">
        <w:rPr>
          <w:lang w:val="fr-FR"/>
        </w:rPr>
        <w:t>0</w:t>
      </w:r>
      <w:r w:rsidR="00A25867" w:rsidRPr="00DC2F2C">
        <w:rPr>
          <w:lang w:val="fr-FR"/>
        </w:rPr>
        <w:t> m</w:t>
      </w:r>
      <w:r w:rsidR="005A37B3" w:rsidRPr="00DC2F2C">
        <w:rPr>
          <w:lang w:val="fr-FR"/>
        </w:rPr>
        <w:t>icro</w:t>
      </w:r>
      <w:r w:rsidR="00A25867" w:rsidRPr="00DC2F2C">
        <w:rPr>
          <w:lang w:val="fr-FR"/>
        </w:rPr>
        <w:t>g</w:t>
      </w:r>
      <w:r w:rsidR="005A37B3" w:rsidRPr="00DC2F2C">
        <w:rPr>
          <w:lang w:val="fr-FR"/>
        </w:rPr>
        <w:t>ram</w:t>
      </w:r>
      <w:r w:rsidRPr="00DC2F2C">
        <w:rPr>
          <w:lang w:val="fr-FR"/>
        </w:rPr>
        <w:t>mes de</w:t>
      </w:r>
      <w:r w:rsidR="00A25867" w:rsidRPr="00DC2F2C">
        <w:rPr>
          <w:lang w:val="fr-FR"/>
        </w:rPr>
        <w:t xml:space="preserve"> </w:t>
      </w:r>
      <w:proofErr w:type="spellStart"/>
      <w:r w:rsidR="00A25867" w:rsidRPr="00DC2F2C">
        <w:rPr>
          <w:lang w:val="fr-FR"/>
        </w:rPr>
        <w:t>tivozanib</w:t>
      </w:r>
      <w:proofErr w:type="spellEnd"/>
      <w:r w:rsidR="00A25867" w:rsidRPr="00DC2F2C">
        <w:rPr>
          <w:lang w:val="fr-FR"/>
        </w:rPr>
        <w:t>.</w:t>
      </w:r>
    </w:p>
    <w:p w14:paraId="77200F2C" w14:textId="77777777" w:rsidR="00A25867" w:rsidRDefault="00A25867" w:rsidP="00A25867">
      <w:pPr>
        <w:numPr>
          <w:ilvl w:val="12"/>
          <w:numId w:val="0"/>
        </w:numPr>
        <w:tabs>
          <w:tab w:val="clear" w:pos="567"/>
        </w:tabs>
        <w:ind w:right="549"/>
        <w:rPr>
          <w:szCs w:val="22"/>
          <w:lang w:val="fr-FR"/>
        </w:rPr>
      </w:pPr>
    </w:p>
    <w:p w14:paraId="23F2FC5A" w14:textId="77777777" w:rsidR="002A2A7C" w:rsidRPr="00CA0EC1" w:rsidRDefault="002A2A7C" w:rsidP="002A2A7C">
      <w:pPr>
        <w:ind w:right="549"/>
        <w:rPr>
          <w:i/>
          <w:iCs/>
          <w:lang w:val="fr-FR"/>
        </w:rPr>
      </w:pPr>
      <w:r w:rsidRPr="00CA0EC1">
        <w:rPr>
          <w:i/>
          <w:iCs/>
          <w:lang w:val="fr-FR"/>
        </w:rPr>
        <w:t>Excipients aux effets connus</w:t>
      </w:r>
    </w:p>
    <w:p w14:paraId="3BC7DBCB" w14:textId="77777777" w:rsidR="002A2A7C" w:rsidRDefault="002A2A7C" w:rsidP="002A2A7C">
      <w:pPr>
        <w:numPr>
          <w:ilvl w:val="12"/>
          <w:numId w:val="0"/>
        </w:numPr>
        <w:tabs>
          <w:tab w:val="clear" w:pos="567"/>
        </w:tabs>
        <w:ind w:right="549"/>
        <w:rPr>
          <w:lang w:val="fr-FR"/>
        </w:rPr>
      </w:pPr>
      <w:r w:rsidRPr="00A341AE">
        <w:rPr>
          <w:lang w:val="fr-FR"/>
        </w:rPr>
        <w:t>Chaque gélule contient des traces de tartrazine (E102) (</w:t>
      </w:r>
      <w:r>
        <w:rPr>
          <w:color w:val="000000"/>
          <w:lang w:val="fr-FR"/>
        </w:rPr>
        <w:t>8</w:t>
      </w:r>
      <w:r>
        <w:rPr>
          <w:color w:val="000000"/>
          <w:lang w:val="fr-FR"/>
        </w:rPr>
        <w:noBreakHyphen/>
      </w:r>
      <w:r w:rsidRPr="00A341AE">
        <w:rPr>
          <w:color w:val="000000"/>
          <w:lang w:val="fr-FR"/>
        </w:rPr>
        <w:t>12</w:t>
      </w:r>
      <w:r w:rsidRPr="00A341AE">
        <w:rPr>
          <w:lang w:val="fr-FR"/>
        </w:rPr>
        <w:t> </w:t>
      </w:r>
      <w:r w:rsidRPr="00A341AE">
        <w:rPr>
          <w:color w:val="000000"/>
          <w:lang w:val="fr-FR"/>
        </w:rPr>
        <w:t>%</w:t>
      </w:r>
      <w:r w:rsidRPr="00A341AE">
        <w:rPr>
          <w:lang w:val="fr-FR"/>
        </w:rPr>
        <w:t xml:space="preserve"> de la composition de l’encre d’impression jaune) (</w:t>
      </w:r>
      <w:r>
        <w:rPr>
          <w:lang w:val="fr-FR"/>
        </w:rPr>
        <w:t>voir rubrique</w:t>
      </w:r>
      <w:r w:rsidRPr="00A341AE">
        <w:rPr>
          <w:lang w:val="fr-FR"/>
        </w:rPr>
        <w:t xml:space="preserve"> 4.4).</w:t>
      </w:r>
    </w:p>
    <w:p w14:paraId="7D47BF14" w14:textId="77777777" w:rsidR="002A2A7C" w:rsidRPr="00DC2F2C" w:rsidRDefault="002A2A7C" w:rsidP="002A2A7C">
      <w:pPr>
        <w:numPr>
          <w:ilvl w:val="12"/>
          <w:numId w:val="0"/>
        </w:numPr>
        <w:tabs>
          <w:tab w:val="clear" w:pos="567"/>
        </w:tabs>
        <w:ind w:right="549"/>
        <w:rPr>
          <w:szCs w:val="22"/>
          <w:lang w:val="fr-FR"/>
        </w:rPr>
      </w:pPr>
    </w:p>
    <w:p w14:paraId="447A5548" w14:textId="77777777" w:rsidR="00F025F1" w:rsidRPr="00DC2F2C" w:rsidRDefault="00F025F1" w:rsidP="009D43DC">
      <w:pPr>
        <w:numPr>
          <w:ilvl w:val="12"/>
          <w:numId w:val="0"/>
        </w:numPr>
        <w:tabs>
          <w:tab w:val="clear" w:pos="567"/>
        </w:tabs>
        <w:ind w:right="549"/>
        <w:rPr>
          <w:szCs w:val="22"/>
          <w:u w:val="single"/>
          <w:lang w:val="fr-FR"/>
        </w:rPr>
      </w:pPr>
      <w:r w:rsidRPr="00DC2F2C">
        <w:rPr>
          <w:szCs w:val="22"/>
          <w:u w:val="single"/>
          <w:lang w:val="fr-FR"/>
        </w:rPr>
        <w:t>Fotivda 1</w:t>
      </w:r>
      <w:r w:rsidR="00483203" w:rsidRPr="00DC2F2C">
        <w:rPr>
          <w:szCs w:val="22"/>
          <w:u w:val="single"/>
          <w:lang w:val="fr-FR"/>
        </w:rPr>
        <w:t> </w:t>
      </w:r>
      <w:r w:rsidR="005A37B3" w:rsidRPr="00DC2F2C">
        <w:rPr>
          <w:szCs w:val="22"/>
          <w:u w:val="single"/>
          <w:lang w:val="fr-FR"/>
        </w:rPr>
        <w:t>340</w:t>
      </w:r>
      <w:r w:rsidRPr="00DC2F2C">
        <w:rPr>
          <w:szCs w:val="22"/>
          <w:u w:val="single"/>
          <w:lang w:val="fr-FR"/>
        </w:rPr>
        <w:t> m</w:t>
      </w:r>
      <w:r w:rsidR="005A37B3" w:rsidRPr="00DC2F2C">
        <w:rPr>
          <w:szCs w:val="22"/>
          <w:u w:val="single"/>
          <w:lang w:val="fr-FR"/>
        </w:rPr>
        <w:t>icro</w:t>
      </w:r>
      <w:r w:rsidRPr="00DC2F2C">
        <w:rPr>
          <w:szCs w:val="22"/>
          <w:u w:val="single"/>
          <w:lang w:val="fr-FR"/>
        </w:rPr>
        <w:t>g</w:t>
      </w:r>
      <w:r w:rsidR="005A37B3" w:rsidRPr="00DC2F2C">
        <w:rPr>
          <w:szCs w:val="22"/>
          <w:u w:val="single"/>
          <w:lang w:val="fr-FR"/>
        </w:rPr>
        <w:t>ram</w:t>
      </w:r>
      <w:r w:rsidR="00483203" w:rsidRPr="00DC2F2C">
        <w:rPr>
          <w:szCs w:val="22"/>
          <w:u w:val="single"/>
          <w:lang w:val="fr-FR"/>
        </w:rPr>
        <w:t>mes, gélule</w:t>
      </w:r>
    </w:p>
    <w:p w14:paraId="24267E1B" w14:textId="77777777" w:rsidR="00B317C2" w:rsidRPr="00DC2F2C" w:rsidRDefault="00483203" w:rsidP="000A5BB2">
      <w:pPr>
        <w:rPr>
          <w:lang w:val="fr-FR"/>
        </w:rPr>
      </w:pPr>
      <w:r w:rsidRPr="00DC2F2C">
        <w:rPr>
          <w:lang w:val="fr-FR"/>
        </w:rPr>
        <w:t>Chaque gélule contient du chlorhy</w:t>
      </w:r>
      <w:r w:rsidR="00EE16B1" w:rsidRPr="00DC2F2C">
        <w:rPr>
          <w:lang w:val="fr-FR"/>
        </w:rPr>
        <w:t xml:space="preserve">drate de </w:t>
      </w:r>
      <w:proofErr w:type="spellStart"/>
      <w:r w:rsidR="00EE16B1" w:rsidRPr="00DC2F2C">
        <w:rPr>
          <w:lang w:val="fr-FR"/>
        </w:rPr>
        <w:t>tivozanib</w:t>
      </w:r>
      <w:proofErr w:type="spellEnd"/>
      <w:r w:rsidR="00EE16B1" w:rsidRPr="00DC2F2C">
        <w:rPr>
          <w:lang w:val="fr-FR"/>
        </w:rPr>
        <w:t xml:space="preserve"> monohydraté é</w:t>
      </w:r>
      <w:r w:rsidRPr="00DC2F2C">
        <w:rPr>
          <w:lang w:val="fr-FR"/>
        </w:rPr>
        <w:t xml:space="preserve">quivalant à </w:t>
      </w:r>
      <w:r w:rsidR="00456309" w:rsidRPr="00DC2F2C">
        <w:rPr>
          <w:lang w:val="fr-FR"/>
        </w:rPr>
        <w:t>1</w:t>
      </w:r>
      <w:r w:rsidRPr="00DC2F2C">
        <w:rPr>
          <w:lang w:val="fr-FR"/>
        </w:rPr>
        <w:t> </w:t>
      </w:r>
      <w:r w:rsidR="00456309" w:rsidRPr="00DC2F2C">
        <w:rPr>
          <w:lang w:val="fr-FR"/>
        </w:rPr>
        <w:t>34</w:t>
      </w:r>
      <w:r w:rsidR="005A37B3" w:rsidRPr="00DC2F2C">
        <w:rPr>
          <w:lang w:val="fr-FR"/>
        </w:rPr>
        <w:t>0</w:t>
      </w:r>
      <w:r w:rsidR="00602083" w:rsidRPr="00DC2F2C">
        <w:rPr>
          <w:lang w:val="fr-FR"/>
        </w:rPr>
        <w:t> </w:t>
      </w:r>
      <w:r w:rsidR="00D6495C" w:rsidRPr="00DC2F2C">
        <w:rPr>
          <w:lang w:val="fr-FR"/>
        </w:rPr>
        <w:t>m</w:t>
      </w:r>
      <w:r w:rsidR="005A37B3" w:rsidRPr="00DC2F2C">
        <w:rPr>
          <w:lang w:val="fr-FR"/>
        </w:rPr>
        <w:t>icro</w:t>
      </w:r>
      <w:r w:rsidR="00D6495C" w:rsidRPr="00DC2F2C">
        <w:rPr>
          <w:lang w:val="fr-FR"/>
        </w:rPr>
        <w:t>g</w:t>
      </w:r>
      <w:r w:rsidR="005A37B3" w:rsidRPr="00DC2F2C">
        <w:rPr>
          <w:lang w:val="fr-FR"/>
        </w:rPr>
        <w:t>ram</w:t>
      </w:r>
      <w:r w:rsidRPr="00DC2F2C">
        <w:rPr>
          <w:lang w:val="fr-FR"/>
        </w:rPr>
        <w:t>mes de</w:t>
      </w:r>
      <w:r w:rsidR="00D6495C" w:rsidRPr="00DC2F2C">
        <w:rPr>
          <w:lang w:val="fr-FR"/>
        </w:rPr>
        <w:t xml:space="preserve"> </w:t>
      </w:r>
      <w:proofErr w:type="spellStart"/>
      <w:r w:rsidR="002D51B7" w:rsidRPr="00DC2F2C">
        <w:rPr>
          <w:lang w:val="fr-FR"/>
        </w:rPr>
        <w:t>tivozanib</w:t>
      </w:r>
      <w:proofErr w:type="spellEnd"/>
      <w:r w:rsidR="002D51B7" w:rsidRPr="00DC2F2C">
        <w:rPr>
          <w:lang w:val="fr-FR"/>
        </w:rPr>
        <w:t>.</w:t>
      </w:r>
      <w:r w:rsidR="00B317C2" w:rsidRPr="00DC2F2C">
        <w:rPr>
          <w:lang w:val="fr-FR"/>
        </w:rPr>
        <w:t xml:space="preserve"> </w:t>
      </w:r>
    </w:p>
    <w:p w14:paraId="73C08834" w14:textId="77777777" w:rsidR="00EE25FB" w:rsidRPr="00DC2F2C" w:rsidRDefault="00EE25FB" w:rsidP="00FC01BC">
      <w:pPr>
        <w:numPr>
          <w:ilvl w:val="12"/>
          <w:numId w:val="0"/>
        </w:numPr>
        <w:tabs>
          <w:tab w:val="clear" w:pos="567"/>
        </w:tabs>
        <w:ind w:right="549"/>
        <w:rPr>
          <w:szCs w:val="22"/>
          <w:lang w:val="fr-FR"/>
        </w:rPr>
      </w:pPr>
    </w:p>
    <w:p w14:paraId="3C362E26" w14:textId="77777777" w:rsidR="00812D16" w:rsidRPr="00DC2F2C" w:rsidRDefault="00264617" w:rsidP="000A5BB2">
      <w:pPr>
        <w:rPr>
          <w:szCs w:val="22"/>
          <w:lang w:val="fr-FR"/>
        </w:rPr>
      </w:pPr>
      <w:r w:rsidRPr="00DC2F2C">
        <w:rPr>
          <w:lang w:val="fr-FR"/>
        </w:rPr>
        <w:t>Pour la liste complète des excipients, voir rubrique 6.1</w:t>
      </w:r>
      <w:r w:rsidR="00812D16" w:rsidRPr="00DC2F2C">
        <w:rPr>
          <w:szCs w:val="22"/>
          <w:lang w:val="fr-FR"/>
        </w:rPr>
        <w:t>.</w:t>
      </w:r>
    </w:p>
    <w:p w14:paraId="05953A01" w14:textId="77777777" w:rsidR="00812D16" w:rsidRPr="00DC2F2C" w:rsidRDefault="00812D16" w:rsidP="009D43DC">
      <w:pPr>
        <w:numPr>
          <w:ilvl w:val="12"/>
          <w:numId w:val="0"/>
        </w:numPr>
        <w:tabs>
          <w:tab w:val="clear" w:pos="567"/>
        </w:tabs>
        <w:ind w:right="549"/>
        <w:rPr>
          <w:szCs w:val="22"/>
          <w:lang w:val="fr-FR"/>
        </w:rPr>
      </w:pPr>
    </w:p>
    <w:p w14:paraId="48DEF5CE" w14:textId="77777777" w:rsidR="00BD5D8B" w:rsidRPr="00DC2F2C" w:rsidRDefault="00BD5D8B" w:rsidP="009D43DC">
      <w:pPr>
        <w:numPr>
          <w:ilvl w:val="12"/>
          <w:numId w:val="0"/>
        </w:numPr>
        <w:tabs>
          <w:tab w:val="clear" w:pos="567"/>
        </w:tabs>
        <w:ind w:right="549"/>
        <w:rPr>
          <w:szCs w:val="22"/>
          <w:lang w:val="fr-FR"/>
        </w:rPr>
      </w:pPr>
    </w:p>
    <w:p w14:paraId="2C88B794" w14:textId="77777777" w:rsidR="00812D16" w:rsidRPr="00DC2F2C" w:rsidRDefault="00812D16" w:rsidP="00073C28">
      <w:pPr>
        <w:rPr>
          <w:caps/>
          <w:szCs w:val="22"/>
          <w:lang w:val="fr-FR"/>
        </w:rPr>
      </w:pPr>
      <w:r w:rsidRPr="00DC2F2C">
        <w:rPr>
          <w:b/>
          <w:szCs w:val="22"/>
          <w:lang w:val="fr-FR"/>
        </w:rPr>
        <w:t>3.</w:t>
      </w:r>
      <w:r w:rsidRPr="00DC2F2C">
        <w:rPr>
          <w:b/>
          <w:szCs w:val="22"/>
          <w:lang w:val="fr-FR"/>
        </w:rPr>
        <w:tab/>
      </w:r>
      <w:r w:rsidR="00264617" w:rsidRPr="00DC2F2C">
        <w:rPr>
          <w:b/>
          <w:lang w:val="fr-FR"/>
        </w:rPr>
        <w:t>FORME PHARMACEUTIQUE</w:t>
      </w:r>
    </w:p>
    <w:p w14:paraId="13F77725" w14:textId="77777777" w:rsidR="00812D16" w:rsidRPr="00DC2F2C" w:rsidRDefault="00812D16" w:rsidP="009D43DC">
      <w:pPr>
        <w:numPr>
          <w:ilvl w:val="12"/>
          <w:numId w:val="0"/>
        </w:numPr>
        <w:tabs>
          <w:tab w:val="clear" w:pos="567"/>
        </w:tabs>
        <w:ind w:right="549"/>
        <w:rPr>
          <w:szCs w:val="22"/>
          <w:lang w:val="fr-FR"/>
        </w:rPr>
      </w:pPr>
    </w:p>
    <w:p w14:paraId="17A279C5" w14:textId="77777777" w:rsidR="00786BC8" w:rsidRPr="00DC2F2C" w:rsidRDefault="00483203" w:rsidP="009D43DC">
      <w:pPr>
        <w:numPr>
          <w:ilvl w:val="12"/>
          <w:numId w:val="0"/>
        </w:numPr>
        <w:tabs>
          <w:tab w:val="clear" w:pos="567"/>
        </w:tabs>
        <w:ind w:right="549"/>
        <w:rPr>
          <w:szCs w:val="22"/>
          <w:lang w:val="fr-FR"/>
        </w:rPr>
      </w:pPr>
      <w:r w:rsidRPr="00DC2F2C">
        <w:rPr>
          <w:szCs w:val="22"/>
          <w:lang w:val="fr-FR"/>
        </w:rPr>
        <w:t>Gélule</w:t>
      </w:r>
      <w:r w:rsidR="00622F77" w:rsidRPr="00DC2F2C">
        <w:rPr>
          <w:szCs w:val="22"/>
          <w:lang w:val="fr-FR"/>
        </w:rPr>
        <w:t>.</w:t>
      </w:r>
    </w:p>
    <w:p w14:paraId="4F263E4D" w14:textId="77777777" w:rsidR="00BF37A5" w:rsidRPr="00DC2F2C" w:rsidRDefault="00BF37A5" w:rsidP="009D43DC">
      <w:pPr>
        <w:numPr>
          <w:ilvl w:val="12"/>
          <w:numId w:val="0"/>
        </w:numPr>
        <w:tabs>
          <w:tab w:val="clear" w:pos="567"/>
        </w:tabs>
        <w:ind w:right="549"/>
        <w:rPr>
          <w:szCs w:val="22"/>
          <w:lang w:val="fr-FR"/>
        </w:rPr>
      </w:pPr>
    </w:p>
    <w:p w14:paraId="0930F19C" w14:textId="77777777" w:rsidR="00F025F1" w:rsidRPr="00DC2F2C" w:rsidRDefault="00F025F1" w:rsidP="009D43DC">
      <w:pPr>
        <w:numPr>
          <w:ilvl w:val="12"/>
          <w:numId w:val="0"/>
        </w:numPr>
        <w:tabs>
          <w:tab w:val="clear" w:pos="567"/>
        </w:tabs>
        <w:ind w:right="549"/>
        <w:rPr>
          <w:szCs w:val="22"/>
          <w:u w:val="single"/>
          <w:lang w:val="fr-FR"/>
        </w:rPr>
      </w:pPr>
      <w:r w:rsidRPr="00DC2F2C">
        <w:rPr>
          <w:szCs w:val="22"/>
          <w:u w:val="single"/>
          <w:lang w:val="fr-FR"/>
        </w:rPr>
        <w:t xml:space="preserve">Fotivda </w:t>
      </w:r>
      <w:r w:rsidR="005A37B3" w:rsidRPr="00DC2F2C">
        <w:rPr>
          <w:szCs w:val="22"/>
          <w:u w:val="single"/>
          <w:lang w:val="fr-FR"/>
        </w:rPr>
        <w:t>890</w:t>
      </w:r>
      <w:r w:rsidRPr="00DC2F2C">
        <w:rPr>
          <w:szCs w:val="22"/>
          <w:u w:val="single"/>
          <w:lang w:val="fr-FR"/>
        </w:rPr>
        <w:t> m</w:t>
      </w:r>
      <w:r w:rsidR="005A37B3" w:rsidRPr="00DC2F2C">
        <w:rPr>
          <w:szCs w:val="22"/>
          <w:u w:val="single"/>
          <w:lang w:val="fr-FR"/>
        </w:rPr>
        <w:t>icro</w:t>
      </w:r>
      <w:r w:rsidRPr="00DC2F2C">
        <w:rPr>
          <w:szCs w:val="22"/>
          <w:u w:val="single"/>
          <w:lang w:val="fr-FR"/>
        </w:rPr>
        <w:t>g</w:t>
      </w:r>
      <w:r w:rsidR="005A37B3" w:rsidRPr="00DC2F2C">
        <w:rPr>
          <w:szCs w:val="22"/>
          <w:u w:val="single"/>
          <w:lang w:val="fr-FR"/>
        </w:rPr>
        <w:t>ram</w:t>
      </w:r>
      <w:r w:rsidR="00483203" w:rsidRPr="00DC2F2C">
        <w:rPr>
          <w:szCs w:val="22"/>
          <w:u w:val="single"/>
          <w:lang w:val="fr-FR"/>
        </w:rPr>
        <w:t>mes, gélule</w:t>
      </w:r>
    </w:p>
    <w:p w14:paraId="35B194C9" w14:textId="77777777" w:rsidR="00BF37A5" w:rsidRPr="00DC2F2C" w:rsidRDefault="00483203" w:rsidP="000A5BB2">
      <w:pPr>
        <w:rPr>
          <w:lang w:val="fr-FR"/>
        </w:rPr>
      </w:pPr>
      <w:r w:rsidRPr="00DC2F2C">
        <w:rPr>
          <w:lang w:val="fr-FR"/>
        </w:rPr>
        <w:t xml:space="preserve">Gélule </w:t>
      </w:r>
      <w:r w:rsidR="00A5433A" w:rsidRPr="00DC2F2C">
        <w:rPr>
          <w:lang w:val="fr-FR"/>
        </w:rPr>
        <w:t>dotée d’</w:t>
      </w:r>
      <w:r w:rsidRPr="00DC2F2C">
        <w:rPr>
          <w:lang w:val="fr-FR"/>
        </w:rPr>
        <w:t xml:space="preserve">une coiffe opaque bleu foncé et </w:t>
      </w:r>
      <w:r w:rsidR="00A5433A" w:rsidRPr="00DC2F2C">
        <w:rPr>
          <w:lang w:val="fr-FR"/>
        </w:rPr>
        <w:t>d’</w:t>
      </w:r>
      <w:r w:rsidRPr="00DC2F2C">
        <w:rPr>
          <w:lang w:val="fr-FR"/>
        </w:rPr>
        <w:t>un corps</w:t>
      </w:r>
      <w:r w:rsidR="00A5433A" w:rsidRPr="00DC2F2C">
        <w:rPr>
          <w:lang w:val="fr-FR"/>
        </w:rPr>
        <w:t xml:space="preserve"> opaque jaune vif</w:t>
      </w:r>
      <w:r w:rsidR="00BF37A5" w:rsidRPr="00DC2F2C">
        <w:rPr>
          <w:lang w:val="fr-FR"/>
        </w:rPr>
        <w:t xml:space="preserve">, </w:t>
      </w:r>
      <w:r w:rsidR="00A5433A" w:rsidRPr="00DC2F2C">
        <w:rPr>
          <w:lang w:val="fr-FR"/>
        </w:rPr>
        <w:t>portant l’inscription</w:t>
      </w:r>
      <w:r w:rsidR="00BF37A5" w:rsidRPr="00DC2F2C">
        <w:rPr>
          <w:lang w:val="fr-FR"/>
        </w:rPr>
        <w:t xml:space="preserve"> </w:t>
      </w:r>
      <w:r w:rsidR="00A5433A" w:rsidRPr="00DC2F2C">
        <w:rPr>
          <w:lang w:val="fr-FR"/>
        </w:rPr>
        <w:t>« </w:t>
      </w:r>
      <w:r w:rsidR="00BF37A5" w:rsidRPr="00DC2F2C">
        <w:rPr>
          <w:lang w:val="fr-FR"/>
        </w:rPr>
        <w:t>TIVZ</w:t>
      </w:r>
      <w:r w:rsidR="00A5433A" w:rsidRPr="00DC2F2C">
        <w:rPr>
          <w:lang w:val="fr-FR"/>
        </w:rPr>
        <w:t> » à l’encre jaune sur la coiffe et l’inscription « LD » à l’encre bleu foncé sur le corps</w:t>
      </w:r>
      <w:r w:rsidR="00BF37A5" w:rsidRPr="00DC2F2C">
        <w:rPr>
          <w:lang w:val="fr-FR"/>
        </w:rPr>
        <w:t>.</w:t>
      </w:r>
    </w:p>
    <w:p w14:paraId="78A5B5D0" w14:textId="77777777" w:rsidR="00A25867" w:rsidRPr="00DC2F2C" w:rsidRDefault="00A25867" w:rsidP="00A25867">
      <w:pPr>
        <w:numPr>
          <w:ilvl w:val="12"/>
          <w:numId w:val="0"/>
        </w:numPr>
        <w:tabs>
          <w:tab w:val="clear" w:pos="567"/>
        </w:tabs>
        <w:ind w:right="549"/>
        <w:rPr>
          <w:szCs w:val="22"/>
          <w:lang w:val="fr-FR"/>
        </w:rPr>
      </w:pPr>
    </w:p>
    <w:p w14:paraId="083CE1C1" w14:textId="77777777" w:rsidR="00A25867" w:rsidRPr="00DC2F2C" w:rsidRDefault="00A25867" w:rsidP="00A25867">
      <w:pPr>
        <w:numPr>
          <w:ilvl w:val="12"/>
          <w:numId w:val="0"/>
        </w:numPr>
        <w:tabs>
          <w:tab w:val="clear" w:pos="567"/>
        </w:tabs>
        <w:ind w:right="549"/>
        <w:rPr>
          <w:szCs w:val="22"/>
          <w:u w:val="single"/>
          <w:lang w:val="fr-FR"/>
        </w:rPr>
      </w:pPr>
      <w:r w:rsidRPr="00DC2F2C">
        <w:rPr>
          <w:szCs w:val="22"/>
          <w:u w:val="single"/>
          <w:lang w:val="fr-FR"/>
        </w:rPr>
        <w:t>Fotivda 1</w:t>
      </w:r>
      <w:r w:rsidR="00A5433A" w:rsidRPr="00DC2F2C">
        <w:rPr>
          <w:szCs w:val="22"/>
          <w:u w:val="single"/>
          <w:lang w:val="fr-FR"/>
        </w:rPr>
        <w:t> </w:t>
      </w:r>
      <w:r w:rsidR="005A37B3" w:rsidRPr="00DC2F2C">
        <w:rPr>
          <w:szCs w:val="22"/>
          <w:u w:val="single"/>
          <w:lang w:val="fr-FR"/>
        </w:rPr>
        <w:t>340</w:t>
      </w:r>
      <w:r w:rsidRPr="00DC2F2C">
        <w:rPr>
          <w:szCs w:val="22"/>
          <w:u w:val="single"/>
          <w:lang w:val="fr-FR"/>
        </w:rPr>
        <w:t> m</w:t>
      </w:r>
      <w:r w:rsidR="005A37B3" w:rsidRPr="00DC2F2C">
        <w:rPr>
          <w:szCs w:val="22"/>
          <w:u w:val="single"/>
          <w:lang w:val="fr-FR"/>
        </w:rPr>
        <w:t>icro</w:t>
      </w:r>
      <w:r w:rsidRPr="00DC2F2C">
        <w:rPr>
          <w:szCs w:val="22"/>
          <w:u w:val="single"/>
          <w:lang w:val="fr-FR"/>
        </w:rPr>
        <w:t>g</w:t>
      </w:r>
      <w:r w:rsidR="005A37B3" w:rsidRPr="00DC2F2C">
        <w:rPr>
          <w:szCs w:val="22"/>
          <w:u w:val="single"/>
          <w:lang w:val="fr-FR"/>
        </w:rPr>
        <w:t>ram</w:t>
      </w:r>
      <w:r w:rsidR="00A5433A" w:rsidRPr="00DC2F2C">
        <w:rPr>
          <w:szCs w:val="22"/>
          <w:u w:val="single"/>
          <w:lang w:val="fr-FR"/>
        </w:rPr>
        <w:t>mes, gélule</w:t>
      </w:r>
    </w:p>
    <w:p w14:paraId="22AD5FE3" w14:textId="77777777" w:rsidR="00A25867" w:rsidRPr="00DC2F2C" w:rsidRDefault="00A5433A" w:rsidP="000A5BB2">
      <w:pPr>
        <w:rPr>
          <w:lang w:val="fr-FR"/>
        </w:rPr>
      </w:pPr>
      <w:r w:rsidRPr="00DC2F2C">
        <w:rPr>
          <w:lang w:val="fr-FR"/>
        </w:rPr>
        <w:t>Gélule dotée d’une coiffe opaque jaune vif</w:t>
      </w:r>
      <w:r w:rsidR="00A25867" w:rsidRPr="00DC2F2C">
        <w:rPr>
          <w:lang w:val="fr-FR"/>
        </w:rPr>
        <w:t xml:space="preserve"> </w:t>
      </w:r>
      <w:r w:rsidRPr="00DC2F2C">
        <w:rPr>
          <w:lang w:val="fr-FR"/>
        </w:rPr>
        <w:t>et d’un corps opaque jaune vif, portant l’inscription « TIVZ » à l’encre bleu foncé sur la coiffe et l’inscription « SD » à l’encre bleu foncé sur le corps</w:t>
      </w:r>
      <w:r w:rsidR="00A25867" w:rsidRPr="00DC2F2C">
        <w:rPr>
          <w:lang w:val="fr-FR"/>
        </w:rPr>
        <w:t>.</w:t>
      </w:r>
    </w:p>
    <w:p w14:paraId="704458D6" w14:textId="77777777" w:rsidR="0048739E" w:rsidRPr="00DC2F2C" w:rsidRDefault="0048739E" w:rsidP="009D43DC">
      <w:pPr>
        <w:numPr>
          <w:ilvl w:val="12"/>
          <w:numId w:val="0"/>
        </w:numPr>
        <w:tabs>
          <w:tab w:val="clear" w:pos="567"/>
        </w:tabs>
        <w:ind w:right="549"/>
        <w:rPr>
          <w:szCs w:val="22"/>
          <w:lang w:val="fr-FR"/>
        </w:rPr>
      </w:pPr>
    </w:p>
    <w:p w14:paraId="0910EDA0" w14:textId="77777777" w:rsidR="00BD5D8B" w:rsidRPr="00DC2F2C" w:rsidRDefault="00BD5D8B" w:rsidP="009D43DC">
      <w:pPr>
        <w:numPr>
          <w:ilvl w:val="12"/>
          <w:numId w:val="0"/>
        </w:numPr>
        <w:tabs>
          <w:tab w:val="clear" w:pos="567"/>
        </w:tabs>
        <w:ind w:right="549"/>
        <w:rPr>
          <w:szCs w:val="22"/>
          <w:lang w:val="fr-FR"/>
        </w:rPr>
      </w:pPr>
    </w:p>
    <w:p w14:paraId="6978CB8B" w14:textId="77777777" w:rsidR="00812D16" w:rsidRPr="00DC2F2C" w:rsidRDefault="00812D16" w:rsidP="00073C28">
      <w:pPr>
        <w:rPr>
          <w:caps/>
          <w:szCs w:val="22"/>
          <w:lang w:val="fr-FR"/>
        </w:rPr>
      </w:pPr>
      <w:r w:rsidRPr="00DC2F2C">
        <w:rPr>
          <w:b/>
          <w:caps/>
          <w:szCs w:val="22"/>
          <w:lang w:val="fr-FR"/>
        </w:rPr>
        <w:t>4.</w:t>
      </w:r>
      <w:r w:rsidRPr="00DC2F2C">
        <w:rPr>
          <w:b/>
          <w:caps/>
          <w:szCs w:val="22"/>
          <w:lang w:val="fr-FR"/>
        </w:rPr>
        <w:tab/>
      </w:r>
      <w:r w:rsidR="00264617" w:rsidRPr="00DC2F2C">
        <w:rPr>
          <w:b/>
          <w:lang w:val="fr-FR"/>
        </w:rPr>
        <w:t>INFORMATIONS CLINIQUES</w:t>
      </w:r>
    </w:p>
    <w:p w14:paraId="5A258B15" w14:textId="77777777" w:rsidR="00812D16" w:rsidRPr="00DC2F2C" w:rsidRDefault="00812D16" w:rsidP="009D43DC">
      <w:pPr>
        <w:keepNext/>
        <w:keepLines/>
        <w:numPr>
          <w:ilvl w:val="12"/>
          <w:numId w:val="0"/>
        </w:numPr>
        <w:tabs>
          <w:tab w:val="clear" w:pos="567"/>
        </w:tabs>
        <w:ind w:right="550"/>
        <w:rPr>
          <w:szCs w:val="22"/>
          <w:lang w:val="fr-FR"/>
        </w:rPr>
      </w:pPr>
    </w:p>
    <w:p w14:paraId="6D557A92" w14:textId="77777777" w:rsidR="00812D16" w:rsidRPr="00DC2F2C" w:rsidRDefault="00812D16" w:rsidP="00073C28">
      <w:pPr>
        <w:rPr>
          <w:szCs w:val="22"/>
          <w:lang w:val="fr-FR"/>
        </w:rPr>
      </w:pPr>
      <w:r w:rsidRPr="00DC2F2C">
        <w:rPr>
          <w:b/>
          <w:szCs w:val="22"/>
          <w:lang w:val="fr-FR"/>
        </w:rPr>
        <w:t>4.1</w:t>
      </w:r>
      <w:r w:rsidRPr="00DC2F2C">
        <w:rPr>
          <w:b/>
          <w:szCs w:val="22"/>
          <w:lang w:val="fr-FR"/>
        </w:rPr>
        <w:tab/>
      </w:r>
      <w:r w:rsidR="00264617" w:rsidRPr="00DC2F2C">
        <w:rPr>
          <w:b/>
          <w:lang w:val="fr-FR"/>
        </w:rPr>
        <w:t>Indications thérapeutiques</w:t>
      </w:r>
    </w:p>
    <w:p w14:paraId="034C19FF" w14:textId="77777777" w:rsidR="009F6C4B" w:rsidRPr="00DC2F2C" w:rsidRDefault="009F6C4B" w:rsidP="009D43DC">
      <w:pPr>
        <w:keepNext/>
        <w:keepLines/>
        <w:numPr>
          <w:ilvl w:val="12"/>
          <w:numId w:val="0"/>
        </w:numPr>
        <w:tabs>
          <w:tab w:val="clear" w:pos="567"/>
        </w:tabs>
        <w:ind w:right="550"/>
        <w:rPr>
          <w:szCs w:val="22"/>
          <w:lang w:val="fr-FR"/>
        </w:rPr>
      </w:pPr>
    </w:p>
    <w:p w14:paraId="198DEEEE" w14:textId="77777777" w:rsidR="00EF53F1" w:rsidRPr="00DC2F2C" w:rsidRDefault="00025E6C" w:rsidP="000A5BB2">
      <w:pPr>
        <w:rPr>
          <w:lang w:val="fr-FR"/>
        </w:rPr>
      </w:pPr>
      <w:r w:rsidRPr="00DC2F2C">
        <w:rPr>
          <w:lang w:val="fr-FR"/>
        </w:rPr>
        <w:t>Fotivda est indiqué en traitement de première ligne chez des</w:t>
      </w:r>
      <w:r w:rsidR="00BC4C4D" w:rsidRPr="00DC2F2C">
        <w:rPr>
          <w:lang w:val="fr-FR"/>
        </w:rPr>
        <w:t xml:space="preserve"> patients adultes atteints d’un carcinome à cellules rénales</w:t>
      </w:r>
      <w:r w:rsidR="001A7B64" w:rsidRPr="00DC2F2C">
        <w:rPr>
          <w:lang w:val="fr-FR"/>
        </w:rPr>
        <w:t xml:space="preserve"> </w:t>
      </w:r>
      <w:r w:rsidR="002928BE" w:rsidRPr="00DC2F2C">
        <w:rPr>
          <w:lang w:val="fr-FR"/>
        </w:rPr>
        <w:t xml:space="preserve">(CCR) avancé </w:t>
      </w:r>
      <w:r w:rsidRPr="00DC2F2C">
        <w:rPr>
          <w:lang w:val="fr-FR"/>
        </w:rPr>
        <w:t xml:space="preserve">et chez des patients adultes </w:t>
      </w:r>
      <w:r w:rsidR="002928BE" w:rsidRPr="00DC2F2C">
        <w:rPr>
          <w:lang w:val="fr-FR"/>
        </w:rPr>
        <w:t xml:space="preserve">n’ayant jamais reçu d’inhibiteur des voies </w:t>
      </w:r>
      <w:r w:rsidR="001A7B64" w:rsidRPr="00DC2F2C">
        <w:rPr>
          <w:lang w:val="fr-FR"/>
        </w:rPr>
        <w:t xml:space="preserve">VEGFR </w:t>
      </w:r>
      <w:r w:rsidR="002928BE" w:rsidRPr="00DC2F2C">
        <w:rPr>
          <w:lang w:val="fr-FR"/>
        </w:rPr>
        <w:t>et</w:t>
      </w:r>
      <w:r w:rsidR="00A25867" w:rsidRPr="00DC2F2C">
        <w:rPr>
          <w:lang w:val="fr-FR"/>
        </w:rPr>
        <w:t xml:space="preserve"> mTOR </w:t>
      </w:r>
      <w:r w:rsidRPr="00DC2F2C">
        <w:rPr>
          <w:lang w:val="fr-FR"/>
        </w:rPr>
        <w:t>suite à une progression de la maladie après un</w:t>
      </w:r>
      <w:r w:rsidR="002928BE" w:rsidRPr="00DC2F2C">
        <w:rPr>
          <w:lang w:val="fr-FR"/>
        </w:rPr>
        <w:t xml:space="preserve"> traitement antérieur par</w:t>
      </w:r>
      <w:r w:rsidR="001A7B64" w:rsidRPr="00DC2F2C">
        <w:rPr>
          <w:lang w:val="fr-FR"/>
        </w:rPr>
        <w:t xml:space="preserve"> </w:t>
      </w:r>
      <w:r w:rsidRPr="00DC2F2C">
        <w:rPr>
          <w:lang w:val="fr-FR"/>
        </w:rPr>
        <w:t>cytokine pour leur CCR avancé</w:t>
      </w:r>
      <w:r w:rsidR="00D066FC" w:rsidRPr="00DC2F2C">
        <w:rPr>
          <w:lang w:val="fr-FR"/>
        </w:rPr>
        <w:t>.</w:t>
      </w:r>
    </w:p>
    <w:p w14:paraId="7513E924" w14:textId="77777777" w:rsidR="00B01B8D" w:rsidRPr="00DC2F2C" w:rsidRDefault="00B01B8D" w:rsidP="00073C28">
      <w:pPr>
        <w:rPr>
          <w:b/>
          <w:szCs w:val="22"/>
          <w:lang w:val="fr-FR"/>
        </w:rPr>
      </w:pPr>
    </w:p>
    <w:p w14:paraId="17E40244" w14:textId="77777777" w:rsidR="00812D16" w:rsidRPr="00DC2F2C" w:rsidRDefault="00855481" w:rsidP="00073C28">
      <w:pPr>
        <w:rPr>
          <w:b/>
          <w:szCs w:val="22"/>
          <w:lang w:val="fr-FR"/>
        </w:rPr>
      </w:pPr>
      <w:r w:rsidRPr="00DC2F2C">
        <w:rPr>
          <w:b/>
          <w:szCs w:val="22"/>
          <w:lang w:val="fr-FR"/>
        </w:rPr>
        <w:t>4.2</w:t>
      </w:r>
      <w:r w:rsidRPr="00DC2F2C">
        <w:rPr>
          <w:b/>
          <w:szCs w:val="22"/>
          <w:lang w:val="fr-FR"/>
        </w:rPr>
        <w:tab/>
      </w:r>
      <w:r w:rsidR="00264617" w:rsidRPr="00DC2F2C">
        <w:rPr>
          <w:b/>
          <w:lang w:val="fr-FR"/>
        </w:rPr>
        <w:t>Posologie et mode d’administration</w:t>
      </w:r>
    </w:p>
    <w:p w14:paraId="2137ABAB" w14:textId="77777777" w:rsidR="00812D16" w:rsidRPr="00DC2F2C" w:rsidRDefault="00812D16" w:rsidP="009249A4">
      <w:pPr>
        <w:numPr>
          <w:ilvl w:val="12"/>
          <w:numId w:val="0"/>
        </w:numPr>
        <w:tabs>
          <w:tab w:val="clear" w:pos="567"/>
        </w:tabs>
        <w:ind w:right="550"/>
        <w:rPr>
          <w:szCs w:val="22"/>
          <w:lang w:val="fr-FR"/>
        </w:rPr>
      </w:pPr>
    </w:p>
    <w:p w14:paraId="6FC1851A" w14:textId="77777777" w:rsidR="008B2CB4" w:rsidRPr="00DC2F2C" w:rsidRDefault="00073BF2" w:rsidP="000A5BB2">
      <w:pPr>
        <w:rPr>
          <w:rFonts w:eastAsia="SimSun"/>
          <w:lang w:val="fr-FR" w:eastAsia="zh-CN"/>
        </w:rPr>
      </w:pPr>
      <w:r w:rsidRPr="00DC2F2C">
        <w:rPr>
          <w:rFonts w:eastAsia="SimSun"/>
          <w:lang w:val="fr-FR" w:eastAsia="zh-CN"/>
        </w:rPr>
        <w:t xml:space="preserve">Le traitement par </w:t>
      </w:r>
      <w:r w:rsidR="008B2CB4" w:rsidRPr="00DC2F2C">
        <w:rPr>
          <w:rFonts w:eastAsia="SimSun"/>
          <w:lang w:val="fr-FR" w:eastAsia="zh-CN"/>
        </w:rPr>
        <w:t xml:space="preserve">Fotivda </w:t>
      </w:r>
      <w:r w:rsidRPr="00DC2F2C">
        <w:rPr>
          <w:rFonts w:eastAsia="SimSun"/>
          <w:lang w:val="fr-FR" w:eastAsia="zh-CN"/>
        </w:rPr>
        <w:t>doit être supervisé par un médecin expérimenté dans l’utilisation des traitements anticancéreux</w:t>
      </w:r>
      <w:r w:rsidR="008B2CB4" w:rsidRPr="00DC2F2C">
        <w:rPr>
          <w:rFonts w:eastAsia="SimSun"/>
          <w:lang w:val="fr-FR" w:eastAsia="zh-CN"/>
        </w:rPr>
        <w:t>.</w:t>
      </w:r>
    </w:p>
    <w:p w14:paraId="6E1C294F" w14:textId="77777777" w:rsidR="008B2CB4" w:rsidRPr="00DC2F2C" w:rsidRDefault="008B2CB4" w:rsidP="009249A4">
      <w:pPr>
        <w:suppressLineNumbers/>
        <w:tabs>
          <w:tab w:val="clear" w:pos="567"/>
        </w:tabs>
        <w:ind w:right="550"/>
        <w:rPr>
          <w:rFonts w:eastAsia="SimSun"/>
          <w:lang w:val="fr-FR" w:eastAsia="zh-CN"/>
        </w:rPr>
      </w:pPr>
    </w:p>
    <w:p w14:paraId="4969A712" w14:textId="77777777" w:rsidR="00A25867" w:rsidRPr="00DC2F2C" w:rsidRDefault="00812D16" w:rsidP="00A25867">
      <w:pPr>
        <w:keepNext/>
        <w:keepLines/>
        <w:numPr>
          <w:ilvl w:val="12"/>
          <w:numId w:val="0"/>
        </w:numPr>
        <w:tabs>
          <w:tab w:val="clear" w:pos="567"/>
        </w:tabs>
        <w:ind w:right="550"/>
        <w:rPr>
          <w:rFonts w:eastAsia="SimSun"/>
          <w:lang w:val="fr-FR" w:eastAsia="zh-CN"/>
        </w:rPr>
      </w:pPr>
      <w:r w:rsidRPr="00DC2F2C">
        <w:rPr>
          <w:szCs w:val="22"/>
          <w:u w:val="single"/>
          <w:lang w:val="fr-FR"/>
        </w:rPr>
        <w:lastRenderedPageBreak/>
        <w:t>Posolog</w:t>
      </w:r>
      <w:r w:rsidR="00264617" w:rsidRPr="00DC2F2C">
        <w:rPr>
          <w:szCs w:val="22"/>
          <w:u w:val="single"/>
          <w:lang w:val="fr-FR"/>
        </w:rPr>
        <w:t>ie</w:t>
      </w:r>
    </w:p>
    <w:p w14:paraId="753B429D" w14:textId="77777777" w:rsidR="00A25867" w:rsidRPr="00DC2F2C" w:rsidRDefault="00A25867" w:rsidP="00A25867">
      <w:pPr>
        <w:keepNext/>
        <w:keepLines/>
        <w:numPr>
          <w:ilvl w:val="12"/>
          <w:numId w:val="0"/>
        </w:numPr>
        <w:tabs>
          <w:tab w:val="clear" w:pos="567"/>
        </w:tabs>
        <w:ind w:right="550"/>
        <w:rPr>
          <w:lang w:val="fr-FR"/>
        </w:rPr>
      </w:pPr>
    </w:p>
    <w:p w14:paraId="7D778282" w14:textId="77777777" w:rsidR="00F33183" w:rsidRPr="00DC2F2C" w:rsidRDefault="00212E6D" w:rsidP="000A5BB2">
      <w:pPr>
        <w:rPr>
          <w:lang w:val="fr-FR"/>
        </w:rPr>
      </w:pPr>
      <w:r w:rsidRPr="00DC2F2C">
        <w:rPr>
          <w:lang w:val="fr-FR"/>
        </w:rPr>
        <w:t>La dose recommandée de</w:t>
      </w:r>
      <w:r w:rsidR="00F33183" w:rsidRPr="00DC2F2C">
        <w:rPr>
          <w:lang w:val="fr-FR"/>
        </w:rPr>
        <w:t xml:space="preserve"> </w:t>
      </w:r>
      <w:proofErr w:type="spellStart"/>
      <w:r w:rsidR="00A25867" w:rsidRPr="00DC2F2C">
        <w:rPr>
          <w:lang w:val="fr-FR"/>
        </w:rPr>
        <w:t>tivozanib</w:t>
      </w:r>
      <w:proofErr w:type="spellEnd"/>
      <w:r w:rsidR="00A25867" w:rsidRPr="00DC2F2C">
        <w:rPr>
          <w:lang w:val="fr-FR"/>
        </w:rPr>
        <w:t xml:space="preserve"> </w:t>
      </w:r>
      <w:r w:rsidRPr="00DC2F2C">
        <w:rPr>
          <w:lang w:val="fr-FR"/>
        </w:rPr>
        <w:t>est de</w:t>
      </w:r>
      <w:r w:rsidR="00F33183" w:rsidRPr="00DC2F2C">
        <w:rPr>
          <w:lang w:val="fr-FR"/>
        </w:rPr>
        <w:t xml:space="preserve"> 1</w:t>
      </w:r>
      <w:r w:rsidRPr="00DC2F2C">
        <w:rPr>
          <w:lang w:val="fr-FR"/>
        </w:rPr>
        <w:t> </w:t>
      </w:r>
      <w:r w:rsidR="005A37B3" w:rsidRPr="00DC2F2C">
        <w:rPr>
          <w:lang w:val="fr-FR"/>
        </w:rPr>
        <w:t>340</w:t>
      </w:r>
      <w:r w:rsidR="002E41FE" w:rsidRPr="00DC2F2C">
        <w:rPr>
          <w:lang w:val="fr-FR"/>
        </w:rPr>
        <w:t> </w:t>
      </w:r>
      <w:r w:rsidR="00F33183" w:rsidRPr="00DC2F2C">
        <w:rPr>
          <w:lang w:val="fr-FR"/>
        </w:rPr>
        <w:t>m</w:t>
      </w:r>
      <w:r w:rsidR="005A37B3" w:rsidRPr="00DC2F2C">
        <w:rPr>
          <w:lang w:val="fr-FR"/>
        </w:rPr>
        <w:t>icro</w:t>
      </w:r>
      <w:r w:rsidR="00F33183" w:rsidRPr="00DC2F2C">
        <w:rPr>
          <w:lang w:val="fr-FR"/>
        </w:rPr>
        <w:t>g</w:t>
      </w:r>
      <w:r w:rsidR="005A37B3" w:rsidRPr="00DC2F2C">
        <w:rPr>
          <w:lang w:val="fr-FR"/>
        </w:rPr>
        <w:t>ram</w:t>
      </w:r>
      <w:r w:rsidRPr="00DC2F2C">
        <w:rPr>
          <w:lang w:val="fr-FR"/>
        </w:rPr>
        <w:t>mes 1 fois par jour pendant</w:t>
      </w:r>
      <w:r w:rsidR="001C62B3" w:rsidRPr="00DC2F2C">
        <w:rPr>
          <w:lang w:val="fr-FR"/>
        </w:rPr>
        <w:t xml:space="preserve"> </w:t>
      </w:r>
      <w:r w:rsidR="00E24A82" w:rsidRPr="00DC2F2C">
        <w:rPr>
          <w:lang w:val="fr-FR"/>
        </w:rPr>
        <w:t>21</w:t>
      </w:r>
      <w:r w:rsidR="00672C21" w:rsidRPr="00DC2F2C">
        <w:rPr>
          <w:lang w:val="fr-FR"/>
        </w:rPr>
        <w:t> </w:t>
      </w:r>
      <w:r w:rsidRPr="00DC2F2C">
        <w:rPr>
          <w:lang w:val="fr-FR"/>
        </w:rPr>
        <w:t>jours</w:t>
      </w:r>
      <w:r w:rsidR="001C62B3" w:rsidRPr="00DC2F2C">
        <w:rPr>
          <w:lang w:val="fr-FR"/>
        </w:rPr>
        <w:t xml:space="preserve">, </w:t>
      </w:r>
      <w:r w:rsidRPr="00DC2F2C">
        <w:rPr>
          <w:lang w:val="fr-FR"/>
        </w:rPr>
        <w:t>suivis d’une période de repos de</w:t>
      </w:r>
      <w:r w:rsidR="001C62B3" w:rsidRPr="00DC2F2C">
        <w:rPr>
          <w:lang w:val="fr-FR"/>
        </w:rPr>
        <w:t xml:space="preserve"> </w:t>
      </w:r>
      <w:r w:rsidR="00E24A82" w:rsidRPr="00DC2F2C">
        <w:rPr>
          <w:lang w:val="fr-FR"/>
        </w:rPr>
        <w:t>7</w:t>
      </w:r>
      <w:r w:rsidRPr="00DC2F2C">
        <w:rPr>
          <w:lang w:val="fr-FR"/>
        </w:rPr>
        <w:t> jours</w:t>
      </w:r>
      <w:r w:rsidR="003407C9" w:rsidRPr="00DC2F2C">
        <w:rPr>
          <w:lang w:val="fr-FR"/>
        </w:rPr>
        <w:t>,</w:t>
      </w:r>
      <w:r w:rsidRPr="00DC2F2C">
        <w:rPr>
          <w:lang w:val="fr-FR"/>
        </w:rPr>
        <w:t xml:space="preserve"> constituant un cycle de traitement complet de </w:t>
      </w:r>
      <w:r w:rsidR="001C62B3" w:rsidRPr="00DC2F2C">
        <w:rPr>
          <w:lang w:val="fr-FR"/>
        </w:rPr>
        <w:t>4</w:t>
      </w:r>
      <w:r w:rsidRPr="00DC2F2C">
        <w:rPr>
          <w:lang w:val="fr-FR"/>
        </w:rPr>
        <w:t> semaines</w:t>
      </w:r>
      <w:r w:rsidR="00F33183" w:rsidRPr="00DC2F2C">
        <w:rPr>
          <w:lang w:val="fr-FR"/>
        </w:rPr>
        <w:t xml:space="preserve">. </w:t>
      </w:r>
    </w:p>
    <w:p w14:paraId="6CD6B0A2" w14:textId="77777777" w:rsidR="00F33183" w:rsidRPr="00DC2F2C" w:rsidRDefault="00F33183" w:rsidP="009D43DC">
      <w:pPr>
        <w:tabs>
          <w:tab w:val="clear" w:pos="567"/>
        </w:tabs>
        <w:ind w:right="549"/>
        <w:rPr>
          <w:szCs w:val="22"/>
          <w:lang w:val="fr-FR"/>
        </w:rPr>
      </w:pPr>
    </w:p>
    <w:p w14:paraId="034316FD" w14:textId="77777777" w:rsidR="00F33183" w:rsidRPr="00DC2F2C" w:rsidRDefault="00D071B2" w:rsidP="000A5BB2">
      <w:pPr>
        <w:rPr>
          <w:lang w:val="fr-FR"/>
        </w:rPr>
      </w:pPr>
      <w:r w:rsidRPr="00DC2F2C">
        <w:rPr>
          <w:lang w:val="fr-FR"/>
        </w:rPr>
        <w:t xml:space="preserve">Ce schéma thérapeutique doit être poursuivi </w:t>
      </w:r>
      <w:r w:rsidR="00250DBC" w:rsidRPr="00DC2F2C">
        <w:rPr>
          <w:lang w:val="fr-FR"/>
        </w:rPr>
        <w:t>jusqu’à la progression de la maladie</w:t>
      </w:r>
      <w:r w:rsidRPr="00DC2F2C">
        <w:rPr>
          <w:lang w:val="fr-FR"/>
        </w:rPr>
        <w:t xml:space="preserve"> ou la survenue d’une toxicité in</w:t>
      </w:r>
      <w:r w:rsidR="00F33183" w:rsidRPr="00DC2F2C">
        <w:rPr>
          <w:lang w:val="fr-FR"/>
        </w:rPr>
        <w:t>acceptable.</w:t>
      </w:r>
    </w:p>
    <w:p w14:paraId="3FD59D2F" w14:textId="77777777" w:rsidR="00A25867" w:rsidRPr="00DC2F2C" w:rsidRDefault="00A25867" w:rsidP="00A25867">
      <w:pPr>
        <w:tabs>
          <w:tab w:val="clear" w:pos="567"/>
        </w:tabs>
        <w:rPr>
          <w:rFonts w:eastAsia="SimSun"/>
          <w:lang w:val="fr-FR" w:eastAsia="zh-CN"/>
        </w:rPr>
      </w:pPr>
    </w:p>
    <w:p w14:paraId="00FBF38A" w14:textId="77777777" w:rsidR="00A25867" w:rsidRPr="00DC2F2C" w:rsidRDefault="00A25867" w:rsidP="000A5BB2">
      <w:pPr>
        <w:rPr>
          <w:lang w:val="fr-FR"/>
        </w:rPr>
      </w:pPr>
      <w:r w:rsidRPr="00DC2F2C">
        <w:rPr>
          <w:lang w:val="fr-FR"/>
        </w:rPr>
        <w:t xml:space="preserve">Fotivda </w:t>
      </w:r>
      <w:r w:rsidR="00A55AD7" w:rsidRPr="00DC2F2C">
        <w:rPr>
          <w:lang w:val="fr-FR"/>
        </w:rPr>
        <w:t xml:space="preserve">ne doit pas être administré à raison de plus </w:t>
      </w:r>
      <w:r w:rsidR="002B72F1" w:rsidRPr="00DC2F2C">
        <w:rPr>
          <w:lang w:val="fr-FR"/>
        </w:rPr>
        <w:t>de 1</w:t>
      </w:r>
      <w:r w:rsidR="003A3485" w:rsidRPr="00DC2F2C">
        <w:rPr>
          <w:lang w:val="fr-FR"/>
        </w:rPr>
        <w:t xml:space="preserve"> dose par jour</w:t>
      </w:r>
      <w:r w:rsidRPr="00DC2F2C">
        <w:rPr>
          <w:lang w:val="fr-FR"/>
        </w:rPr>
        <w:t>.</w:t>
      </w:r>
    </w:p>
    <w:p w14:paraId="5CBAA8FB" w14:textId="77777777" w:rsidR="000F1F4E" w:rsidRPr="00DC2F2C" w:rsidRDefault="000F1F4E" w:rsidP="009D43DC">
      <w:pPr>
        <w:tabs>
          <w:tab w:val="clear" w:pos="567"/>
        </w:tabs>
        <w:ind w:right="549"/>
        <w:rPr>
          <w:szCs w:val="22"/>
          <w:lang w:val="fr-FR"/>
        </w:rPr>
      </w:pPr>
    </w:p>
    <w:p w14:paraId="7FF199B2" w14:textId="77777777" w:rsidR="00524612" w:rsidRPr="00DC2F2C" w:rsidRDefault="001928EC" w:rsidP="009D43DC">
      <w:pPr>
        <w:keepNext/>
        <w:keepLines/>
        <w:suppressLineNumbers/>
        <w:tabs>
          <w:tab w:val="clear" w:pos="567"/>
        </w:tabs>
        <w:ind w:right="550"/>
        <w:rPr>
          <w:rStyle w:val="Emphasis"/>
          <w:szCs w:val="22"/>
          <w:lang w:val="fr-FR"/>
        </w:rPr>
      </w:pPr>
      <w:r w:rsidRPr="00DC2F2C">
        <w:rPr>
          <w:rStyle w:val="Emphasis"/>
          <w:szCs w:val="22"/>
          <w:lang w:val="fr-FR"/>
        </w:rPr>
        <w:t>Modification posologique</w:t>
      </w:r>
    </w:p>
    <w:p w14:paraId="72A23846" w14:textId="77777777" w:rsidR="00FD5C26" w:rsidRDefault="001928EC" w:rsidP="000A5BB2">
      <w:pPr>
        <w:rPr>
          <w:bCs/>
          <w:color w:val="000000"/>
          <w:lang w:val="fr-FR"/>
        </w:rPr>
      </w:pPr>
      <w:r w:rsidRPr="00DC2F2C">
        <w:rPr>
          <w:lang w:val="fr-FR"/>
        </w:rPr>
        <w:t>La survenue d’effets indésirables peut nécessiter l’interruption</w:t>
      </w:r>
      <w:r w:rsidR="00CC0042" w:rsidRPr="00DC2F2C">
        <w:rPr>
          <w:lang w:val="fr-FR"/>
        </w:rPr>
        <w:t xml:space="preserve"> temporaire du traitement par </w:t>
      </w:r>
      <w:proofErr w:type="spellStart"/>
      <w:r w:rsidR="00CC0042" w:rsidRPr="00DC2F2C">
        <w:rPr>
          <w:lang w:val="fr-FR"/>
        </w:rPr>
        <w:t>tivozanib</w:t>
      </w:r>
      <w:proofErr w:type="spellEnd"/>
      <w:r w:rsidR="00CC0042" w:rsidRPr="00DC2F2C">
        <w:rPr>
          <w:lang w:val="fr-FR"/>
        </w:rPr>
        <w:t xml:space="preserve"> et/ou une réduction de la dose</w:t>
      </w:r>
      <w:r w:rsidR="00D96E9C" w:rsidRPr="00DC2F2C">
        <w:rPr>
          <w:lang w:val="fr-FR"/>
        </w:rPr>
        <w:t xml:space="preserve"> </w:t>
      </w:r>
      <w:r w:rsidR="00FD5C26" w:rsidRPr="00DC2F2C">
        <w:rPr>
          <w:lang w:val="fr-FR"/>
        </w:rPr>
        <w:t>(</w:t>
      </w:r>
      <w:r w:rsidR="00CC0042" w:rsidRPr="00DC2F2C">
        <w:rPr>
          <w:lang w:val="fr-FR"/>
        </w:rPr>
        <w:t>voir rubrique</w:t>
      </w:r>
      <w:r w:rsidR="00FD5C26" w:rsidRPr="00DC2F2C">
        <w:rPr>
          <w:lang w:val="fr-FR"/>
        </w:rPr>
        <w:t xml:space="preserve"> 4.4)</w:t>
      </w:r>
      <w:r w:rsidR="00524612" w:rsidRPr="00DC2F2C">
        <w:rPr>
          <w:lang w:val="fr-FR"/>
        </w:rPr>
        <w:t xml:space="preserve">. </w:t>
      </w:r>
      <w:r w:rsidR="003D31D3" w:rsidRPr="00DC2F2C">
        <w:rPr>
          <w:bCs/>
          <w:color w:val="000000"/>
          <w:lang w:val="fr-FR"/>
        </w:rPr>
        <w:t>Dans l’étude pivot, la dose a été réduite pour des événements de grade 3 et le traitement interrompu pour des événements de grade 4.</w:t>
      </w:r>
    </w:p>
    <w:p w14:paraId="5455C3F3" w14:textId="77777777" w:rsidR="009064BE" w:rsidRPr="00DC2F2C" w:rsidRDefault="009064BE" w:rsidP="009D43DC">
      <w:pPr>
        <w:numPr>
          <w:ilvl w:val="12"/>
          <w:numId w:val="0"/>
        </w:numPr>
        <w:tabs>
          <w:tab w:val="clear" w:pos="567"/>
        </w:tabs>
        <w:ind w:right="549"/>
        <w:rPr>
          <w:szCs w:val="22"/>
          <w:lang w:val="fr-FR"/>
        </w:rPr>
      </w:pPr>
    </w:p>
    <w:p w14:paraId="794B181E" w14:textId="77777777" w:rsidR="009F6C4B" w:rsidRPr="00DC2F2C" w:rsidRDefault="00CC0042" w:rsidP="000A5BB2">
      <w:pPr>
        <w:rPr>
          <w:lang w:val="fr-FR"/>
        </w:rPr>
      </w:pPr>
      <w:r w:rsidRPr="00DC2F2C">
        <w:rPr>
          <w:lang w:val="fr-FR"/>
        </w:rPr>
        <w:t>Si une réduction de dose est nécessaire, la dose de</w:t>
      </w:r>
      <w:r w:rsidR="00524612" w:rsidRPr="00DC2F2C">
        <w:rPr>
          <w:lang w:val="fr-FR"/>
        </w:rPr>
        <w:t xml:space="preserve"> </w:t>
      </w:r>
      <w:proofErr w:type="spellStart"/>
      <w:r w:rsidR="00A25867" w:rsidRPr="00DC2F2C">
        <w:rPr>
          <w:lang w:val="fr-FR"/>
        </w:rPr>
        <w:t>tivozanib</w:t>
      </w:r>
      <w:proofErr w:type="spellEnd"/>
      <w:r w:rsidR="000F1F4E" w:rsidRPr="00DC2F2C">
        <w:rPr>
          <w:lang w:val="fr-FR"/>
        </w:rPr>
        <w:t xml:space="preserve"> </w:t>
      </w:r>
      <w:r w:rsidRPr="00DC2F2C">
        <w:rPr>
          <w:lang w:val="fr-FR"/>
        </w:rPr>
        <w:t>peut être réduite à</w:t>
      </w:r>
      <w:r w:rsidR="001C62B3" w:rsidRPr="00DC2F2C">
        <w:rPr>
          <w:lang w:val="fr-FR"/>
        </w:rPr>
        <w:t xml:space="preserve"> </w:t>
      </w:r>
      <w:r w:rsidR="005A37B3" w:rsidRPr="00DC2F2C">
        <w:rPr>
          <w:lang w:val="fr-FR"/>
        </w:rPr>
        <w:t>890</w:t>
      </w:r>
      <w:r w:rsidR="002E41FE" w:rsidRPr="00DC2F2C">
        <w:rPr>
          <w:lang w:val="fr-FR"/>
        </w:rPr>
        <w:t> </w:t>
      </w:r>
      <w:r w:rsidR="00524612" w:rsidRPr="00DC2F2C">
        <w:rPr>
          <w:lang w:val="fr-FR"/>
        </w:rPr>
        <w:t>m</w:t>
      </w:r>
      <w:r w:rsidR="005A37B3" w:rsidRPr="00DC2F2C">
        <w:rPr>
          <w:lang w:val="fr-FR"/>
        </w:rPr>
        <w:t>icro</w:t>
      </w:r>
      <w:r w:rsidR="00524612" w:rsidRPr="00DC2F2C">
        <w:rPr>
          <w:lang w:val="fr-FR"/>
        </w:rPr>
        <w:t>g</w:t>
      </w:r>
      <w:r w:rsidR="005A37B3" w:rsidRPr="00DC2F2C">
        <w:rPr>
          <w:lang w:val="fr-FR"/>
        </w:rPr>
        <w:t>ram</w:t>
      </w:r>
      <w:r w:rsidRPr="00DC2F2C">
        <w:rPr>
          <w:lang w:val="fr-FR"/>
        </w:rPr>
        <w:t xml:space="preserve">mes 1 fois par jour avec le schéma thérapeutique normal de </w:t>
      </w:r>
      <w:r w:rsidR="00E24A82" w:rsidRPr="00DC2F2C">
        <w:rPr>
          <w:lang w:val="fr-FR"/>
        </w:rPr>
        <w:t>21</w:t>
      </w:r>
      <w:r w:rsidR="00672C21" w:rsidRPr="00DC2F2C">
        <w:rPr>
          <w:lang w:val="fr-FR"/>
        </w:rPr>
        <w:t> </w:t>
      </w:r>
      <w:r w:rsidRPr="00DC2F2C">
        <w:rPr>
          <w:lang w:val="fr-FR"/>
        </w:rPr>
        <w:t xml:space="preserve">jours d’administration, suivis d’une période </w:t>
      </w:r>
      <w:r w:rsidR="00D43EE3" w:rsidRPr="00DC2F2C">
        <w:rPr>
          <w:lang w:val="fr-FR"/>
        </w:rPr>
        <w:t xml:space="preserve">de repos </w:t>
      </w:r>
      <w:r w:rsidRPr="00DC2F2C">
        <w:rPr>
          <w:lang w:val="fr-FR"/>
        </w:rPr>
        <w:t>de 7 jours</w:t>
      </w:r>
      <w:r w:rsidR="00524612" w:rsidRPr="00DC2F2C">
        <w:rPr>
          <w:lang w:val="fr-FR"/>
        </w:rPr>
        <w:t>.</w:t>
      </w:r>
    </w:p>
    <w:p w14:paraId="50E924BE" w14:textId="77777777" w:rsidR="00A25867" w:rsidRPr="00DC2F2C" w:rsidRDefault="00A25867" w:rsidP="009D43DC">
      <w:pPr>
        <w:numPr>
          <w:ilvl w:val="12"/>
          <w:numId w:val="0"/>
        </w:numPr>
        <w:tabs>
          <w:tab w:val="clear" w:pos="567"/>
        </w:tabs>
        <w:ind w:right="549"/>
        <w:rPr>
          <w:szCs w:val="22"/>
          <w:lang w:val="fr-FR"/>
        </w:rPr>
      </w:pPr>
    </w:p>
    <w:p w14:paraId="1B3371F4" w14:textId="77777777" w:rsidR="00A25867" w:rsidRPr="00DC2F2C" w:rsidRDefault="00D43EE3" w:rsidP="00A25867">
      <w:pPr>
        <w:keepNext/>
        <w:keepLines/>
        <w:numPr>
          <w:ilvl w:val="12"/>
          <w:numId w:val="0"/>
        </w:numPr>
        <w:tabs>
          <w:tab w:val="clear" w:pos="567"/>
        </w:tabs>
        <w:ind w:right="550"/>
        <w:rPr>
          <w:i/>
          <w:szCs w:val="22"/>
          <w:lang w:val="fr-FR"/>
        </w:rPr>
      </w:pPr>
      <w:r w:rsidRPr="00DC2F2C">
        <w:rPr>
          <w:i/>
          <w:szCs w:val="22"/>
          <w:lang w:val="fr-FR"/>
        </w:rPr>
        <w:t>Oubli de dose</w:t>
      </w:r>
    </w:p>
    <w:p w14:paraId="1FA76AD2" w14:textId="77777777" w:rsidR="00A25867" w:rsidRPr="00DC2F2C" w:rsidRDefault="00D43EE3" w:rsidP="000A5BB2">
      <w:pPr>
        <w:rPr>
          <w:lang w:val="fr-FR"/>
        </w:rPr>
      </w:pPr>
      <w:r w:rsidRPr="00DC2F2C">
        <w:rPr>
          <w:lang w:val="fr-FR"/>
        </w:rPr>
        <w:t>En cas d’oubli de dose, il ne faut pas prendre de dose de remplacement pour compenser la dose manquée</w:t>
      </w:r>
      <w:r w:rsidR="00A25867" w:rsidRPr="00DC2F2C">
        <w:rPr>
          <w:lang w:val="fr-FR"/>
        </w:rPr>
        <w:t xml:space="preserve">. </w:t>
      </w:r>
      <w:r w:rsidR="00CE09B3" w:rsidRPr="00DC2F2C">
        <w:rPr>
          <w:lang w:val="fr-FR"/>
        </w:rPr>
        <w:t>L</w:t>
      </w:r>
      <w:r w:rsidRPr="00DC2F2C">
        <w:rPr>
          <w:lang w:val="fr-FR"/>
        </w:rPr>
        <w:t xml:space="preserve">a dose suivante </w:t>
      </w:r>
      <w:r w:rsidR="00CE09B3" w:rsidRPr="00DC2F2C">
        <w:rPr>
          <w:lang w:val="fr-FR"/>
        </w:rPr>
        <w:t xml:space="preserve">doit être prise </w:t>
      </w:r>
      <w:r w:rsidR="00511DE1" w:rsidRPr="00DC2F2C">
        <w:rPr>
          <w:lang w:val="fr-FR"/>
        </w:rPr>
        <w:t>au moment suivant</w:t>
      </w:r>
      <w:r w:rsidRPr="00DC2F2C">
        <w:rPr>
          <w:lang w:val="fr-FR"/>
        </w:rPr>
        <w:t xml:space="preserve"> prévu</w:t>
      </w:r>
      <w:r w:rsidR="00A25867" w:rsidRPr="00DC2F2C">
        <w:rPr>
          <w:lang w:val="fr-FR"/>
        </w:rPr>
        <w:t>.</w:t>
      </w:r>
    </w:p>
    <w:p w14:paraId="74B9B135" w14:textId="77777777" w:rsidR="00A25867" w:rsidRPr="00DC2F2C" w:rsidRDefault="00A25867" w:rsidP="00A25867">
      <w:pPr>
        <w:numPr>
          <w:ilvl w:val="12"/>
          <w:numId w:val="0"/>
        </w:numPr>
        <w:tabs>
          <w:tab w:val="clear" w:pos="567"/>
        </w:tabs>
        <w:ind w:right="549"/>
        <w:rPr>
          <w:szCs w:val="22"/>
          <w:lang w:val="fr-FR"/>
        </w:rPr>
      </w:pPr>
    </w:p>
    <w:p w14:paraId="12D043EE" w14:textId="77777777" w:rsidR="000F1F4E" w:rsidRPr="00DC2F2C" w:rsidRDefault="001E5C58" w:rsidP="003157DB">
      <w:pPr>
        <w:rPr>
          <w:szCs w:val="22"/>
          <w:lang w:val="fr-FR"/>
        </w:rPr>
      </w:pPr>
      <w:r w:rsidRPr="00DC2F2C">
        <w:rPr>
          <w:szCs w:val="22"/>
          <w:lang w:val="fr-FR"/>
        </w:rPr>
        <w:t xml:space="preserve">En cas de vomissements, </w:t>
      </w:r>
      <w:r w:rsidR="00CE09B3" w:rsidRPr="00DC2F2C">
        <w:rPr>
          <w:szCs w:val="22"/>
          <w:lang w:val="fr-FR"/>
        </w:rPr>
        <w:t xml:space="preserve">il ne faut pas prendre </w:t>
      </w:r>
      <w:r w:rsidRPr="00DC2F2C">
        <w:rPr>
          <w:szCs w:val="22"/>
          <w:lang w:val="fr-FR"/>
        </w:rPr>
        <w:t>de dose de remplacement </w:t>
      </w:r>
      <w:r w:rsidR="00A25867" w:rsidRPr="00DC2F2C">
        <w:rPr>
          <w:szCs w:val="22"/>
          <w:lang w:val="fr-FR"/>
        </w:rPr>
        <w:t xml:space="preserve">; </w:t>
      </w:r>
      <w:r w:rsidRPr="00DC2F2C">
        <w:rPr>
          <w:szCs w:val="22"/>
          <w:lang w:val="fr-FR"/>
        </w:rPr>
        <w:t>la dose suivante</w:t>
      </w:r>
      <w:r w:rsidR="00CE09B3" w:rsidRPr="00DC2F2C">
        <w:rPr>
          <w:szCs w:val="22"/>
          <w:lang w:val="fr-FR"/>
        </w:rPr>
        <w:t xml:space="preserve"> doit être prise</w:t>
      </w:r>
      <w:r w:rsidRPr="00DC2F2C">
        <w:rPr>
          <w:szCs w:val="22"/>
          <w:lang w:val="fr-FR"/>
        </w:rPr>
        <w:t xml:space="preserve"> </w:t>
      </w:r>
      <w:r w:rsidR="00511DE1" w:rsidRPr="00DC2F2C">
        <w:rPr>
          <w:szCs w:val="22"/>
          <w:lang w:val="fr-FR"/>
        </w:rPr>
        <w:t xml:space="preserve">au moment suivant </w:t>
      </w:r>
      <w:r w:rsidRPr="00DC2F2C">
        <w:rPr>
          <w:szCs w:val="22"/>
          <w:lang w:val="fr-FR"/>
        </w:rPr>
        <w:t>prévu</w:t>
      </w:r>
      <w:r w:rsidR="00A25867" w:rsidRPr="00DC2F2C">
        <w:rPr>
          <w:szCs w:val="22"/>
          <w:lang w:val="fr-FR"/>
        </w:rPr>
        <w:t>.</w:t>
      </w:r>
    </w:p>
    <w:p w14:paraId="5ACAB6BC" w14:textId="77777777" w:rsidR="00F32B6B" w:rsidRPr="00DC2F2C" w:rsidRDefault="00F32B6B" w:rsidP="00F32B6B">
      <w:pPr>
        <w:numPr>
          <w:ilvl w:val="12"/>
          <w:numId w:val="0"/>
        </w:numPr>
        <w:tabs>
          <w:tab w:val="clear" w:pos="567"/>
        </w:tabs>
        <w:ind w:right="549"/>
        <w:rPr>
          <w:szCs w:val="22"/>
          <w:lang w:val="fr-FR"/>
        </w:rPr>
      </w:pPr>
    </w:p>
    <w:p w14:paraId="2DD129C2" w14:textId="77777777" w:rsidR="00F32B6B" w:rsidRPr="00DC2F2C" w:rsidRDefault="00F32B6B" w:rsidP="00F32B6B">
      <w:pPr>
        <w:suppressLineNumbers/>
        <w:tabs>
          <w:tab w:val="clear" w:pos="567"/>
        </w:tabs>
        <w:ind w:right="549"/>
        <w:rPr>
          <w:rStyle w:val="Emphasis"/>
          <w:i w:val="0"/>
          <w:szCs w:val="22"/>
          <w:u w:val="single"/>
          <w:lang w:val="fr-FR"/>
        </w:rPr>
      </w:pPr>
      <w:r w:rsidRPr="00DC2F2C">
        <w:rPr>
          <w:rStyle w:val="Emphasis"/>
          <w:i w:val="0"/>
          <w:szCs w:val="22"/>
          <w:u w:val="single"/>
          <w:lang w:val="fr-FR"/>
        </w:rPr>
        <w:t>Populations particulières</w:t>
      </w:r>
    </w:p>
    <w:p w14:paraId="4C3BBAB0" w14:textId="77777777" w:rsidR="00F32B6B" w:rsidRPr="00DC2F2C" w:rsidRDefault="00F32B6B" w:rsidP="00F32B6B">
      <w:pPr>
        <w:suppressLineNumbers/>
        <w:tabs>
          <w:tab w:val="clear" w:pos="567"/>
        </w:tabs>
        <w:ind w:right="549"/>
        <w:rPr>
          <w:rStyle w:val="Emphasis"/>
          <w:szCs w:val="22"/>
          <w:lang w:val="fr-FR"/>
        </w:rPr>
      </w:pPr>
    </w:p>
    <w:p w14:paraId="2A75C928" w14:textId="77777777" w:rsidR="00812D16" w:rsidRPr="00DC2F2C" w:rsidRDefault="00264617" w:rsidP="009D43DC">
      <w:pPr>
        <w:suppressLineNumbers/>
        <w:tabs>
          <w:tab w:val="clear" w:pos="567"/>
        </w:tabs>
        <w:ind w:right="549"/>
        <w:rPr>
          <w:rStyle w:val="Emphasis"/>
          <w:szCs w:val="22"/>
          <w:lang w:val="fr-FR"/>
        </w:rPr>
      </w:pPr>
      <w:r w:rsidRPr="00DC2F2C">
        <w:rPr>
          <w:rStyle w:val="Emphasis"/>
          <w:szCs w:val="22"/>
          <w:lang w:val="fr-FR"/>
        </w:rPr>
        <w:t>P</w:t>
      </w:r>
      <w:r w:rsidR="00812D16" w:rsidRPr="00DC2F2C">
        <w:rPr>
          <w:rStyle w:val="Emphasis"/>
          <w:szCs w:val="22"/>
          <w:lang w:val="fr-FR"/>
        </w:rPr>
        <w:t>opulation</w:t>
      </w:r>
      <w:r w:rsidRPr="00DC2F2C">
        <w:rPr>
          <w:rStyle w:val="Emphasis"/>
          <w:szCs w:val="22"/>
          <w:lang w:val="fr-FR"/>
        </w:rPr>
        <w:t xml:space="preserve"> pédiatrique</w:t>
      </w:r>
    </w:p>
    <w:p w14:paraId="03B2C77F" w14:textId="77777777" w:rsidR="005642A4" w:rsidRPr="00DC2F2C" w:rsidRDefault="00317D11" w:rsidP="003157DB">
      <w:pPr>
        <w:rPr>
          <w:szCs w:val="22"/>
          <w:lang w:val="fr-FR"/>
        </w:rPr>
      </w:pPr>
      <w:r w:rsidRPr="00DC2F2C">
        <w:rPr>
          <w:szCs w:val="22"/>
          <w:lang w:val="fr-FR"/>
        </w:rPr>
        <w:t>La sécurité et l’efficacité du</w:t>
      </w:r>
      <w:r w:rsidR="005E231E" w:rsidRPr="00DC2F2C">
        <w:rPr>
          <w:szCs w:val="22"/>
          <w:lang w:val="fr-FR"/>
        </w:rPr>
        <w:t xml:space="preserve"> </w:t>
      </w:r>
      <w:proofErr w:type="spellStart"/>
      <w:r w:rsidR="005A37B3" w:rsidRPr="00DC2F2C">
        <w:rPr>
          <w:szCs w:val="22"/>
          <w:lang w:val="fr-FR"/>
        </w:rPr>
        <w:t>tivo</w:t>
      </w:r>
      <w:r w:rsidR="00F27787" w:rsidRPr="00DC2F2C">
        <w:rPr>
          <w:szCs w:val="22"/>
          <w:lang w:val="fr-FR"/>
        </w:rPr>
        <w:t>z</w:t>
      </w:r>
      <w:r w:rsidR="005A37B3" w:rsidRPr="00DC2F2C">
        <w:rPr>
          <w:szCs w:val="22"/>
          <w:lang w:val="fr-FR"/>
        </w:rPr>
        <w:t>anib</w:t>
      </w:r>
      <w:proofErr w:type="spellEnd"/>
      <w:r w:rsidRPr="00DC2F2C">
        <w:rPr>
          <w:szCs w:val="22"/>
          <w:lang w:val="fr-FR"/>
        </w:rPr>
        <w:t xml:space="preserve"> </w:t>
      </w:r>
      <w:r w:rsidR="006638A9" w:rsidRPr="00DC2F2C">
        <w:rPr>
          <w:szCs w:val="22"/>
          <w:lang w:val="fr-FR"/>
        </w:rPr>
        <w:t xml:space="preserve">chez l’enfant et l’adolescent de moins de 18 ans </w:t>
      </w:r>
      <w:r w:rsidRPr="00DC2F2C">
        <w:rPr>
          <w:szCs w:val="22"/>
          <w:lang w:val="fr-FR"/>
        </w:rPr>
        <w:t>n’ont pas été établies</w:t>
      </w:r>
      <w:r w:rsidR="005E231E" w:rsidRPr="00DC2F2C">
        <w:rPr>
          <w:szCs w:val="22"/>
          <w:lang w:val="fr-FR"/>
        </w:rPr>
        <w:t>.</w:t>
      </w:r>
      <w:r w:rsidR="00A25867" w:rsidRPr="00DC2F2C">
        <w:rPr>
          <w:szCs w:val="22"/>
          <w:lang w:val="fr-FR"/>
        </w:rPr>
        <w:t xml:space="preserve"> </w:t>
      </w:r>
      <w:r w:rsidR="006638A9" w:rsidRPr="00DC2F2C">
        <w:rPr>
          <w:lang w:val="fr-FR"/>
        </w:rPr>
        <w:t>Aucune donnée n’est disponible</w:t>
      </w:r>
      <w:r w:rsidR="00A25867" w:rsidRPr="00DC2F2C">
        <w:rPr>
          <w:szCs w:val="22"/>
          <w:lang w:val="fr-FR"/>
        </w:rPr>
        <w:t xml:space="preserve">. </w:t>
      </w:r>
      <w:r w:rsidR="006638A9" w:rsidRPr="00DC2F2C">
        <w:rPr>
          <w:rFonts w:eastAsia="SimSun"/>
          <w:szCs w:val="22"/>
          <w:lang w:val="fr-FR" w:eastAsia="zh-CN"/>
        </w:rPr>
        <w:t>Il n’existe pas d’utilisation justifiée du</w:t>
      </w:r>
      <w:r w:rsidR="00A25867" w:rsidRPr="00DC2F2C">
        <w:rPr>
          <w:rFonts w:eastAsia="SimSun"/>
          <w:szCs w:val="22"/>
          <w:lang w:val="fr-FR" w:eastAsia="zh-CN"/>
        </w:rPr>
        <w:t xml:space="preserve"> </w:t>
      </w:r>
      <w:proofErr w:type="spellStart"/>
      <w:r w:rsidR="005A37B3" w:rsidRPr="00DC2F2C">
        <w:rPr>
          <w:rFonts w:eastAsia="SimSun"/>
          <w:szCs w:val="22"/>
          <w:lang w:val="fr-FR" w:eastAsia="zh-CN"/>
        </w:rPr>
        <w:t>tivozanib</w:t>
      </w:r>
      <w:proofErr w:type="spellEnd"/>
      <w:r w:rsidR="00A25867" w:rsidRPr="00DC2F2C">
        <w:rPr>
          <w:rFonts w:eastAsia="SimSun"/>
          <w:szCs w:val="22"/>
          <w:lang w:val="fr-FR" w:eastAsia="zh-CN"/>
        </w:rPr>
        <w:t xml:space="preserve"> </w:t>
      </w:r>
      <w:r w:rsidR="006638A9" w:rsidRPr="00DC2F2C">
        <w:rPr>
          <w:rFonts w:eastAsia="SimSun"/>
          <w:szCs w:val="22"/>
          <w:lang w:val="fr-FR" w:eastAsia="zh-CN"/>
        </w:rPr>
        <w:t xml:space="preserve">dans la population pédiatrique dans l’indication </w:t>
      </w:r>
      <w:r w:rsidR="00C01E04">
        <w:rPr>
          <w:rFonts w:eastAsia="SimSun"/>
          <w:szCs w:val="22"/>
          <w:lang w:val="fr-FR" w:eastAsia="zh-CN"/>
        </w:rPr>
        <w:t xml:space="preserve">de </w:t>
      </w:r>
      <w:r w:rsidR="006638A9" w:rsidRPr="00DC2F2C">
        <w:rPr>
          <w:rFonts w:eastAsia="SimSun"/>
          <w:szCs w:val="22"/>
          <w:lang w:val="fr-FR" w:eastAsia="zh-CN"/>
        </w:rPr>
        <w:t>carcinome à cellules rénales avancé</w:t>
      </w:r>
      <w:r w:rsidR="00A25867" w:rsidRPr="00DC2F2C">
        <w:rPr>
          <w:rFonts w:eastAsia="SimSun"/>
          <w:szCs w:val="22"/>
          <w:lang w:val="fr-FR" w:eastAsia="zh-CN"/>
        </w:rPr>
        <w:t>.</w:t>
      </w:r>
    </w:p>
    <w:p w14:paraId="7C9BFCF1" w14:textId="77777777" w:rsidR="00424892" w:rsidRPr="00DC2F2C" w:rsidRDefault="00424892" w:rsidP="009D43DC">
      <w:pPr>
        <w:numPr>
          <w:ilvl w:val="12"/>
          <w:numId w:val="0"/>
        </w:numPr>
        <w:tabs>
          <w:tab w:val="clear" w:pos="567"/>
        </w:tabs>
        <w:ind w:right="549"/>
        <w:rPr>
          <w:szCs w:val="22"/>
          <w:lang w:val="fr-FR"/>
        </w:rPr>
      </w:pPr>
    </w:p>
    <w:p w14:paraId="0743B765" w14:textId="77777777" w:rsidR="00FA6E20" w:rsidRPr="00DC2F2C" w:rsidRDefault="006638A9" w:rsidP="009D43DC">
      <w:pPr>
        <w:suppressLineNumbers/>
        <w:tabs>
          <w:tab w:val="clear" w:pos="567"/>
        </w:tabs>
        <w:ind w:right="549"/>
        <w:rPr>
          <w:bCs/>
          <w:i/>
          <w:iCs/>
          <w:szCs w:val="22"/>
          <w:lang w:val="fr-FR"/>
        </w:rPr>
      </w:pPr>
      <w:r w:rsidRPr="00DC2F2C">
        <w:rPr>
          <w:bCs/>
          <w:i/>
          <w:iCs/>
          <w:szCs w:val="22"/>
          <w:lang w:val="fr-FR"/>
        </w:rPr>
        <w:t>Patients âgés</w:t>
      </w:r>
    </w:p>
    <w:p w14:paraId="4BDF4B53" w14:textId="77777777" w:rsidR="002B2D5C" w:rsidRPr="00DC2F2C" w:rsidRDefault="006638A9" w:rsidP="003157DB">
      <w:pPr>
        <w:rPr>
          <w:szCs w:val="22"/>
          <w:lang w:val="fr-FR"/>
        </w:rPr>
      </w:pPr>
      <w:r w:rsidRPr="00DC2F2C">
        <w:rPr>
          <w:szCs w:val="22"/>
          <w:lang w:val="fr-FR"/>
        </w:rPr>
        <w:t>Aucun ajustement posologique n’est requis chez les patients âgés de</w:t>
      </w:r>
      <w:r w:rsidR="005642A4" w:rsidRPr="00DC2F2C">
        <w:rPr>
          <w:szCs w:val="22"/>
          <w:lang w:val="fr-FR"/>
        </w:rPr>
        <w:t xml:space="preserve"> 65</w:t>
      </w:r>
      <w:r w:rsidRPr="00DC2F2C">
        <w:rPr>
          <w:szCs w:val="22"/>
          <w:lang w:val="fr-FR"/>
        </w:rPr>
        <w:t> ans ou plus</w:t>
      </w:r>
      <w:r w:rsidR="005E231E" w:rsidRPr="00DC2F2C">
        <w:rPr>
          <w:szCs w:val="22"/>
          <w:lang w:val="fr-FR"/>
        </w:rPr>
        <w:t xml:space="preserve"> </w:t>
      </w:r>
      <w:r w:rsidR="006E1EC4" w:rsidRPr="00DC2F2C">
        <w:rPr>
          <w:szCs w:val="22"/>
          <w:lang w:val="fr-FR"/>
        </w:rPr>
        <w:t>(</w:t>
      </w:r>
      <w:r w:rsidRPr="00DC2F2C">
        <w:rPr>
          <w:szCs w:val="22"/>
          <w:lang w:val="fr-FR"/>
        </w:rPr>
        <w:t>voir</w:t>
      </w:r>
      <w:r w:rsidR="006E1EC4" w:rsidRPr="00DC2F2C">
        <w:rPr>
          <w:szCs w:val="22"/>
          <w:lang w:val="fr-FR"/>
        </w:rPr>
        <w:t xml:space="preserve"> </w:t>
      </w:r>
      <w:r w:rsidRPr="00DC2F2C">
        <w:rPr>
          <w:szCs w:val="22"/>
          <w:lang w:val="fr-FR"/>
        </w:rPr>
        <w:t>rubrique</w:t>
      </w:r>
      <w:r w:rsidR="006232FD" w:rsidRPr="00DC2F2C">
        <w:rPr>
          <w:szCs w:val="22"/>
          <w:lang w:val="fr-FR"/>
        </w:rPr>
        <w:t>s</w:t>
      </w:r>
      <w:r w:rsidR="00672C21" w:rsidRPr="00DC2F2C">
        <w:rPr>
          <w:szCs w:val="22"/>
          <w:lang w:val="fr-FR"/>
        </w:rPr>
        <w:t> </w:t>
      </w:r>
      <w:r w:rsidR="00A25867" w:rsidRPr="00DC2F2C">
        <w:rPr>
          <w:szCs w:val="22"/>
          <w:lang w:val="fr-FR"/>
        </w:rPr>
        <w:t xml:space="preserve">4.4 </w:t>
      </w:r>
      <w:r w:rsidRPr="00DC2F2C">
        <w:rPr>
          <w:szCs w:val="22"/>
          <w:lang w:val="fr-FR"/>
        </w:rPr>
        <w:t>et</w:t>
      </w:r>
      <w:r w:rsidR="00A25867" w:rsidRPr="00DC2F2C">
        <w:rPr>
          <w:szCs w:val="22"/>
          <w:lang w:val="fr-FR"/>
        </w:rPr>
        <w:t xml:space="preserve"> </w:t>
      </w:r>
      <w:r w:rsidR="006E1EC4" w:rsidRPr="00DC2F2C">
        <w:rPr>
          <w:szCs w:val="22"/>
          <w:lang w:val="fr-FR"/>
        </w:rPr>
        <w:t>5.1)</w:t>
      </w:r>
      <w:r w:rsidR="002B2D5C" w:rsidRPr="00DC2F2C">
        <w:rPr>
          <w:szCs w:val="22"/>
          <w:lang w:val="fr-FR"/>
        </w:rPr>
        <w:t xml:space="preserve">. </w:t>
      </w:r>
    </w:p>
    <w:p w14:paraId="50597A61" w14:textId="77777777" w:rsidR="002B2D5C" w:rsidRPr="00DC2F2C" w:rsidRDefault="002B2D5C" w:rsidP="009D43DC">
      <w:pPr>
        <w:numPr>
          <w:ilvl w:val="12"/>
          <w:numId w:val="0"/>
        </w:numPr>
        <w:tabs>
          <w:tab w:val="clear" w:pos="567"/>
        </w:tabs>
        <w:ind w:right="549"/>
        <w:rPr>
          <w:szCs w:val="22"/>
          <w:lang w:val="fr-FR"/>
        </w:rPr>
      </w:pPr>
    </w:p>
    <w:p w14:paraId="13B8C32B" w14:textId="77777777" w:rsidR="00FA6E20" w:rsidRPr="00DC2F2C" w:rsidRDefault="009F6C4B" w:rsidP="00D2229B">
      <w:pPr>
        <w:keepNext/>
        <w:numPr>
          <w:ilvl w:val="12"/>
          <w:numId w:val="0"/>
        </w:numPr>
        <w:tabs>
          <w:tab w:val="clear" w:pos="567"/>
        </w:tabs>
        <w:ind w:right="550"/>
        <w:rPr>
          <w:szCs w:val="22"/>
          <w:lang w:val="fr-FR"/>
        </w:rPr>
      </w:pPr>
      <w:r w:rsidRPr="00DC2F2C">
        <w:rPr>
          <w:bCs/>
          <w:i/>
          <w:iCs/>
          <w:szCs w:val="22"/>
          <w:lang w:val="fr-FR"/>
        </w:rPr>
        <w:t xml:space="preserve">Patients </w:t>
      </w:r>
      <w:r w:rsidR="006F23A8" w:rsidRPr="00DC2F2C">
        <w:rPr>
          <w:bCs/>
          <w:i/>
          <w:iCs/>
          <w:szCs w:val="22"/>
          <w:lang w:val="fr-FR"/>
        </w:rPr>
        <w:t>atteints d’insuffisance rénale</w:t>
      </w:r>
    </w:p>
    <w:p w14:paraId="3223F9A0" w14:textId="77777777" w:rsidR="000F1F4E" w:rsidRPr="00DC2F2C" w:rsidRDefault="00253752" w:rsidP="003157DB">
      <w:pPr>
        <w:rPr>
          <w:bCs/>
          <w:iCs/>
          <w:szCs w:val="22"/>
          <w:lang w:val="fr-FR"/>
        </w:rPr>
      </w:pPr>
      <w:r w:rsidRPr="00DC2F2C">
        <w:rPr>
          <w:szCs w:val="22"/>
          <w:lang w:val="fr-FR"/>
        </w:rPr>
        <w:t xml:space="preserve">Aucun ajustement posologique n’est requis chez les patients </w:t>
      </w:r>
      <w:r w:rsidRPr="00DC2F2C">
        <w:rPr>
          <w:bCs/>
          <w:iCs/>
          <w:szCs w:val="22"/>
          <w:lang w:val="fr-FR"/>
        </w:rPr>
        <w:t>atteint</w:t>
      </w:r>
      <w:r w:rsidR="00FA1BA4" w:rsidRPr="00DC2F2C">
        <w:rPr>
          <w:bCs/>
          <w:iCs/>
          <w:szCs w:val="22"/>
          <w:lang w:val="fr-FR"/>
        </w:rPr>
        <w:t>s d’insuffisance rénale légère ou</w:t>
      </w:r>
      <w:r w:rsidRPr="00DC2F2C">
        <w:rPr>
          <w:bCs/>
          <w:iCs/>
          <w:szCs w:val="22"/>
          <w:lang w:val="fr-FR"/>
        </w:rPr>
        <w:t xml:space="preserve"> modérée</w:t>
      </w:r>
      <w:r w:rsidR="0069099F" w:rsidRPr="00DC2F2C">
        <w:rPr>
          <w:bCs/>
          <w:iCs/>
          <w:szCs w:val="22"/>
          <w:lang w:val="fr-FR"/>
        </w:rPr>
        <w:t xml:space="preserve"> </w:t>
      </w:r>
      <w:r w:rsidR="000F1F4E" w:rsidRPr="00DC2F2C">
        <w:rPr>
          <w:bCs/>
          <w:iCs/>
          <w:szCs w:val="22"/>
          <w:lang w:val="fr-FR"/>
        </w:rPr>
        <w:t>(</w:t>
      </w:r>
      <w:r w:rsidRPr="00DC2F2C">
        <w:rPr>
          <w:bCs/>
          <w:iCs/>
          <w:szCs w:val="22"/>
          <w:lang w:val="fr-FR"/>
        </w:rPr>
        <w:t>voir rubrique</w:t>
      </w:r>
      <w:r w:rsidR="000F1F4E" w:rsidRPr="00DC2F2C">
        <w:rPr>
          <w:bCs/>
          <w:iCs/>
          <w:szCs w:val="22"/>
          <w:lang w:val="fr-FR"/>
        </w:rPr>
        <w:t xml:space="preserve"> 5.2)</w:t>
      </w:r>
      <w:r w:rsidR="006E1EC4" w:rsidRPr="00DC2F2C">
        <w:rPr>
          <w:bCs/>
          <w:iCs/>
          <w:szCs w:val="22"/>
          <w:lang w:val="fr-FR"/>
        </w:rPr>
        <w:t>.</w:t>
      </w:r>
      <w:r w:rsidR="003F2F3F" w:rsidRPr="00DC2F2C">
        <w:rPr>
          <w:bCs/>
          <w:iCs/>
          <w:szCs w:val="22"/>
          <w:lang w:val="fr-FR"/>
        </w:rPr>
        <w:t xml:space="preserve"> </w:t>
      </w:r>
      <w:r w:rsidR="00DD69A7" w:rsidRPr="00DC2F2C">
        <w:rPr>
          <w:szCs w:val="22"/>
          <w:shd w:val="clear" w:color="auto" w:fill="FFFFFF"/>
          <w:lang w:val="fr-FR"/>
        </w:rPr>
        <w:t>Il est conseillé de faire preuve de prudence chez les</w:t>
      </w:r>
      <w:r w:rsidR="008E7833" w:rsidRPr="00DC2F2C">
        <w:rPr>
          <w:szCs w:val="22"/>
          <w:shd w:val="clear" w:color="auto" w:fill="FFFFFF"/>
          <w:lang w:val="fr-FR"/>
        </w:rPr>
        <w:t xml:space="preserve"> patients </w:t>
      </w:r>
      <w:r w:rsidR="00DD69A7" w:rsidRPr="00DC2F2C">
        <w:rPr>
          <w:szCs w:val="22"/>
          <w:shd w:val="clear" w:color="auto" w:fill="FFFFFF"/>
          <w:lang w:val="fr-FR"/>
        </w:rPr>
        <w:t>atteints d’insuffisance rénale sévère en raison de l’expérience limitée, ainsi que chez les patients sous dialyse car il n’y a pas d’expérience concernant le traitement par</w:t>
      </w:r>
      <w:r w:rsidR="005A37B3" w:rsidRPr="00DC2F2C">
        <w:rPr>
          <w:szCs w:val="22"/>
          <w:shd w:val="clear" w:color="auto" w:fill="FFFFFF"/>
          <w:lang w:val="fr-FR"/>
        </w:rPr>
        <w:t xml:space="preserve"> </w:t>
      </w:r>
      <w:proofErr w:type="spellStart"/>
      <w:r w:rsidR="008E7833" w:rsidRPr="00DC2F2C">
        <w:rPr>
          <w:szCs w:val="22"/>
          <w:shd w:val="clear" w:color="auto" w:fill="FFFFFF"/>
          <w:lang w:val="fr-FR"/>
        </w:rPr>
        <w:t>tivozanib</w:t>
      </w:r>
      <w:proofErr w:type="spellEnd"/>
      <w:r w:rsidR="008E7833" w:rsidRPr="00DC2F2C">
        <w:rPr>
          <w:szCs w:val="22"/>
          <w:shd w:val="clear" w:color="auto" w:fill="FFFFFF"/>
          <w:lang w:val="fr-FR"/>
        </w:rPr>
        <w:t xml:space="preserve"> </w:t>
      </w:r>
      <w:r w:rsidR="00DD69A7" w:rsidRPr="00DC2F2C">
        <w:rPr>
          <w:szCs w:val="22"/>
          <w:shd w:val="clear" w:color="auto" w:fill="FFFFFF"/>
          <w:lang w:val="fr-FR"/>
        </w:rPr>
        <w:t>dans cette population de patients</w:t>
      </w:r>
      <w:r w:rsidR="003124E7" w:rsidRPr="00DC2F2C">
        <w:rPr>
          <w:szCs w:val="22"/>
          <w:shd w:val="clear" w:color="auto" w:fill="FFFFFF"/>
          <w:lang w:val="fr-FR"/>
        </w:rPr>
        <w:t>.</w:t>
      </w:r>
    </w:p>
    <w:p w14:paraId="292C4106" w14:textId="77777777" w:rsidR="00FA6E20" w:rsidRPr="00DC2F2C" w:rsidRDefault="00FA6E20" w:rsidP="009D43DC">
      <w:pPr>
        <w:numPr>
          <w:ilvl w:val="12"/>
          <w:numId w:val="0"/>
        </w:numPr>
        <w:tabs>
          <w:tab w:val="clear" w:pos="567"/>
        </w:tabs>
        <w:ind w:right="549"/>
        <w:rPr>
          <w:szCs w:val="22"/>
          <w:lang w:val="fr-FR"/>
        </w:rPr>
      </w:pPr>
    </w:p>
    <w:p w14:paraId="21C74B1D" w14:textId="77777777" w:rsidR="005110FA" w:rsidRPr="00DC2F2C" w:rsidRDefault="00FA6E20" w:rsidP="00D2229B">
      <w:pPr>
        <w:keepNext/>
        <w:numPr>
          <w:ilvl w:val="12"/>
          <w:numId w:val="0"/>
        </w:numPr>
        <w:ind w:right="550"/>
        <w:rPr>
          <w:szCs w:val="22"/>
          <w:lang w:val="fr-FR"/>
        </w:rPr>
      </w:pPr>
      <w:r w:rsidRPr="00DC2F2C">
        <w:rPr>
          <w:bCs/>
          <w:i/>
          <w:iCs/>
          <w:szCs w:val="22"/>
          <w:lang w:val="fr-FR"/>
        </w:rPr>
        <w:t xml:space="preserve">Patients </w:t>
      </w:r>
      <w:r w:rsidR="00CC2334" w:rsidRPr="00DC2F2C">
        <w:rPr>
          <w:bCs/>
          <w:i/>
          <w:iCs/>
          <w:szCs w:val="22"/>
          <w:lang w:val="fr-FR"/>
        </w:rPr>
        <w:t>atteints d’insuffisance hépatique</w:t>
      </w:r>
      <w:r w:rsidRPr="00DC2F2C">
        <w:rPr>
          <w:bCs/>
          <w:i/>
          <w:iCs/>
          <w:szCs w:val="22"/>
          <w:lang w:val="fr-FR"/>
        </w:rPr>
        <w:t xml:space="preserve"> </w:t>
      </w:r>
    </w:p>
    <w:p w14:paraId="75995965" w14:textId="77777777" w:rsidR="009665E4" w:rsidRDefault="003F5594" w:rsidP="003157DB">
      <w:pPr>
        <w:rPr>
          <w:szCs w:val="22"/>
          <w:lang w:val="fr-FR"/>
        </w:rPr>
      </w:pPr>
      <w:r w:rsidRPr="00DC2F2C">
        <w:rPr>
          <w:szCs w:val="22"/>
          <w:lang w:val="fr-FR"/>
        </w:rPr>
        <w:t>Tous les</w:t>
      </w:r>
      <w:r w:rsidR="008E7833" w:rsidRPr="00DC2F2C">
        <w:rPr>
          <w:szCs w:val="22"/>
          <w:lang w:val="fr-FR"/>
        </w:rPr>
        <w:t xml:space="preserve"> patients </w:t>
      </w:r>
      <w:r w:rsidRPr="00DC2F2C">
        <w:rPr>
          <w:szCs w:val="22"/>
          <w:lang w:val="fr-FR"/>
        </w:rPr>
        <w:t>doivent faire l’objet d’une épreuve fonctionnelle hépatique, avec un dosage des taux d’alanine-</w:t>
      </w:r>
      <w:r w:rsidR="008E7833" w:rsidRPr="00DC2F2C">
        <w:rPr>
          <w:szCs w:val="22"/>
          <w:lang w:val="fr-FR"/>
        </w:rPr>
        <w:t>aminotransf</w:t>
      </w:r>
      <w:r w:rsidRPr="00DC2F2C">
        <w:rPr>
          <w:szCs w:val="22"/>
          <w:lang w:val="fr-FR"/>
        </w:rPr>
        <w:t>é</w:t>
      </w:r>
      <w:r w:rsidR="008E7833" w:rsidRPr="00DC2F2C">
        <w:rPr>
          <w:szCs w:val="22"/>
          <w:lang w:val="fr-FR"/>
        </w:rPr>
        <w:t>rase (AL</w:t>
      </w:r>
      <w:r w:rsidRPr="00DC2F2C">
        <w:rPr>
          <w:szCs w:val="22"/>
          <w:lang w:val="fr-FR"/>
        </w:rPr>
        <w:t>A</w:t>
      </w:r>
      <w:r w:rsidR="008E7833" w:rsidRPr="00DC2F2C">
        <w:rPr>
          <w:szCs w:val="22"/>
          <w:lang w:val="fr-FR"/>
        </w:rPr>
        <w:t xml:space="preserve">T), </w:t>
      </w:r>
      <w:r w:rsidRPr="00DC2F2C">
        <w:rPr>
          <w:szCs w:val="22"/>
          <w:lang w:val="fr-FR"/>
        </w:rPr>
        <w:t>d’aspartate-</w:t>
      </w:r>
      <w:r w:rsidR="008E7833" w:rsidRPr="00DC2F2C">
        <w:rPr>
          <w:szCs w:val="22"/>
          <w:lang w:val="fr-FR"/>
        </w:rPr>
        <w:t>aminotransf</w:t>
      </w:r>
      <w:r w:rsidRPr="00DC2F2C">
        <w:rPr>
          <w:szCs w:val="22"/>
          <w:lang w:val="fr-FR"/>
        </w:rPr>
        <w:t>é</w:t>
      </w:r>
      <w:r w:rsidR="008E7833" w:rsidRPr="00DC2F2C">
        <w:rPr>
          <w:szCs w:val="22"/>
          <w:lang w:val="fr-FR"/>
        </w:rPr>
        <w:t>rase (AS</w:t>
      </w:r>
      <w:r w:rsidRPr="00DC2F2C">
        <w:rPr>
          <w:szCs w:val="22"/>
          <w:lang w:val="fr-FR"/>
        </w:rPr>
        <w:t>A</w:t>
      </w:r>
      <w:r w:rsidR="008E7833" w:rsidRPr="00DC2F2C">
        <w:rPr>
          <w:szCs w:val="22"/>
          <w:lang w:val="fr-FR"/>
        </w:rPr>
        <w:t xml:space="preserve">T), </w:t>
      </w:r>
      <w:r w:rsidRPr="00DC2F2C">
        <w:rPr>
          <w:szCs w:val="22"/>
          <w:lang w:val="fr-FR"/>
        </w:rPr>
        <w:t xml:space="preserve">de </w:t>
      </w:r>
      <w:r w:rsidR="008E7833" w:rsidRPr="00DC2F2C">
        <w:rPr>
          <w:szCs w:val="22"/>
          <w:lang w:val="fr-FR"/>
        </w:rPr>
        <w:t>bilirubin</w:t>
      </w:r>
      <w:r w:rsidRPr="00DC2F2C">
        <w:rPr>
          <w:szCs w:val="22"/>
          <w:lang w:val="fr-FR"/>
        </w:rPr>
        <w:t>e et de</w:t>
      </w:r>
      <w:r w:rsidR="008E7833" w:rsidRPr="00DC2F2C">
        <w:rPr>
          <w:szCs w:val="22"/>
          <w:lang w:val="fr-FR"/>
        </w:rPr>
        <w:t xml:space="preserve"> </w:t>
      </w:r>
      <w:r w:rsidRPr="00DC2F2C">
        <w:rPr>
          <w:szCs w:val="22"/>
          <w:lang w:val="fr-FR"/>
        </w:rPr>
        <w:t>phosphatase alc</w:t>
      </w:r>
      <w:r w:rsidR="008E7833" w:rsidRPr="00DC2F2C">
        <w:rPr>
          <w:szCs w:val="22"/>
          <w:lang w:val="fr-FR"/>
        </w:rPr>
        <w:t xml:space="preserve">aline </w:t>
      </w:r>
      <w:r w:rsidRPr="00DC2F2C">
        <w:rPr>
          <w:szCs w:val="22"/>
          <w:lang w:val="fr-FR"/>
        </w:rPr>
        <w:t>(PAL</w:t>
      </w:r>
      <w:r w:rsidR="008E7833" w:rsidRPr="00DC2F2C">
        <w:rPr>
          <w:szCs w:val="22"/>
          <w:lang w:val="fr-FR"/>
        </w:rPr>
        <w:t xml:space="preserve">), </w:t>
      </w:r>
      <w:r w:rsidRPr="00DC2F2C">
        <w:rPr>
          <w:szCs w:val="22"/>
          <w:lang w:val="fr-FR"/>
        </w:rPr>
        <w:t>afin de déterminer la fonction hépatique avant et pendant le traitement par</w:t>
      </w:r>
      <w:r w:rsidR="008E7833" w:rsidRPr="00DC2F2C">
        <w:rPr>
          <w:szCs w:val="22"/>
          <w:lang w:val="fr-FR"/>
        </w:rPr>
        <w:t xml:space="preserve"> </w:t>
      </w:r>
      <w:proofErr w:type="spellStart"/>
      <w:r w:rsidR="005A37B3" w:rsidRPr="00DC2F2C">
        <w:rPr>
          <w:szCs w:val="22"/>
          <w:lang w:val="fr-FR"/>
        </w:rPr>
        <w:t>tivozanib</w:t>
      </w:r>
      <w:proofErr w:type="spellEnd"/>
      <w:r w:rsidR="008E7833" w:rsidRPr="00DC2F2C">
        <w:rPr>
          <w:szCs w:val="22"/>
          <w:lang w:val="fr-FR"/>
        </w:rPr>
        <w:t xml:space="preserve">. </w:t>
      </w:r>
    </w:p>
    <w:p w14:paraId="17076AEF" w14:textId="77777777" w:rsidR="009064BE" w:rsidRPr="00DC2F2C" w:rsidRDefault="009064BE" w:rsidP="008E7833">
      <w:pPr>
        <w:pStyle w:val="Default"/>
        <w:rPr>
          <w:color w:val="auto"/>
          <w:sz w:val="22"/>
          <w:szCs w:val="22"/>
          <w:lang w:val="fr-FR"/>
        </w:rPr>
      </w:pPr>
    </w:p>
    <w:p w14:paraId="129E1464" w14:textId="77777777" w:rsidR="000C654E" w:rsidRPr="00DC2F2C" w:rsidRDefault="00C836BF" w:rsidP="00C34F81">
      <w:pPr>
        <w:rPr>
          <w:szCs w:val="22"/>
          <w:lang w:val="fr-FR" w:eastAsia="zh-CN"/>
        </w:rPr>
      </w:pPr>
      <w:r w:rsidRPr="00DC2F2C">
        <w:rPr>
          <w:szCs w:val="22"/>
          <w:lang w:val="fr-FR"/>
        </w:rPr>
        <w:t xml:space="preserve">Le </w:t>
      </w:r>
      <w:proofErr w:type="spellStart"/>
      <w:r w:rsidRPr="00DC2F2C">
        <w:rPr>
          <w:szCs w:val="22"/>
          <w:lang w:val="fr-FR"/>
        </w:rPr>
        <w:t>t</w:t>
      </w:r>
      <w:r w:rsidR="005A37B3" w:rsidRPr="00DC2F2C">
        <w:rPr>
          <w:szCs w:val="22"/>
          <w:lang w:val="fr-FR"/>
        </w:rPr>
        <w:t>ivozanib</w:t>
      </w:r>
      <w:proofErr w:type="spellEnd"/>
      <w:r w:rsidR="009665E4" w:rsidRPr="00DC2F2C">
        <w:rPr>
          <w:szCs w:val="22"/>
          <w:lang w:val="fr-FR"/>
        </w:rPr>
        <w:t xml:space="preserve"> </w:t>
      </w:r>
      <w:r w:rsidRPr="00DC2F2C">
        <w:rPr>
          <w:szCs w:val="22"/>
          <w:lang w:val="fr-FR"/>
        </w:rPr>
        <w:t>n’est pas recommandé chez</w:t>
      </w:r>
      <w:r w:rsidR="009665E4" w:rsidRPr="00DC2F2C">
        <w:rPr>
          <w:szCs w:val="22"/>
          <w:lang w:val="fr-FR"/>
        </w:rPr>
        <w:t xml:space="preserve"> </w:t>
      </w:r>
      <w:r w:rsidRPr="00DC2F2C">
        <w:rPr>
          <w:szCs w:val="22"/>
          <w:lang w:val="fr-FR"/>
        </w:rPr>
        <w:t>les</w:t>
      </w:r>
      <w:r w:rsidR="009665E4" w:rsidRPr="00DC2F2C">
        <w:rPr>
          <w:szCs w:val="22"/>
          <w:lang w:val="fr-FR"/>
        </w:rPr>
        <w:t xml:space="preserve"> patients </w:t>
      </w:r>
      <w:r w:rsidRPr="00DC2F2C">
        <w:rPr>
          <w:szCs w:val="22"/>
          <w:lang w:val="fr-FR"/>
        </w:rPr>
        <w:t>atteints d’insuffisance hépatique sévère</w:t>
      </w:r>
      <w:r w:rsidR="009665E4" w:rsidRPr="00DC2F2C">
        <w:rPr>
          <w:szCs w:val="22"/>
          <w:lang w:val="fr-FR"/>
        </w:rPr>
        <w:t xml:space="preserve">. </w:t>
      </w:r>
      <w:r w:rsidRPr="00DC2F2C">
        <w:rPr>
          <w:szCs w:val="22"/>
          <w:lang w:val="fr-FR"/>
        </w:rPr>
        <w:t>Les p</w:t>
      </w:r>
      <w:r w:rsidR="009665E4" w:rsidRPr="00DC2F2C">
        <w:rPr>
          <w:szCs w:val="22"/>
          <w:lang w:val="fr-FR"/>
        </w:rPr>
        <w:t xml:space="preserve">atients </w:t>
      </w:r>
      <w:r w:rsidRPr="00DC2F2C">
        <w:rPr>
          <w:szCs w:val="22"/>
          <w:lang w:val="fr-FR"/>
        </w:rPr>
        <w:t xml:space="preserve">atteints d’insuffisance hépatique modérée ne doivent </w:t>
      </w:r>
      <w:r w:rsidR="00701626" w:rsidRPr="00DC2F2C">
        <w:rPr>
          <w:szCs w:val="22"/>
          <w:lang w:val="fr-FR"/>
        </w:rPr>
        <w:t xml:space="preserve">prendre qu’une gélule de </w:t>
      </w:r>
      <w:proofErr w:type="spellStart"/>
      <w:r w:rsidR="00795A18" w:rsidRPr="00DC2F2C">
        <w:rPr>
          <w:szCs w:val="22"/>
          <w:lang w:val="fr-FR"/>
        </w:rPr>
        <w:t>tivozanib</w:t>
      </w:r>
      <w:proofErr w:type="spellEnd"/>
      <w:r w:rsidR="009665E4" w:rsidRPr="00DC2F2C">
        <w:rPr>
          <w:szCs w:val="22"/>
          <w:lang w:val="fr-FR"/>
        </w:rPr>
        <w:t xml:space="preserve"> </w:t>
      </w:r>
      <w:r w:rsidR="00701626" w:rsidRPr="00DC2F2C">
        <w:rPr>
          <w:szCs w:val="22"/>
          <w:lang w:val="fr-FR"/>
        </w:rPr>
        <w:t xml:space="preserve">à </w:t>
      </w:r>
      <w:r w:rsidR="009665E4" w:rsidRPr="00DC2F2C">
        <w:rPr>
          <w:szCs w:val="22"/>
          <w:lang w:val="fr-FR"/>
        </w:rPr>
        <w:t>1</w:t>
      </w:r>
      <w:r w:rsidR="00701626" w:rsidRPr="00DC2F2C">
        <w:rPr>
          <w:szCs w:val="22"/>
          <w:lang w:val="fr-FR"/>
        </w:rPr>
        <w:t> </w:t>
      </w:r>
      <w:r w:rsidR="005A37B3" w:rsidRPr="00DC2F2C">
        <w:rPr>
          <w:szCs w:val="22"/>
          <w:lang w:val="fr-FR"/>
        </w:rPr>
        <w:t>340</w:t>
      </w:r>
      <w:r w:rsidR="009665E4" w:rsidRPr="00DC2F2C">
        <w:rPr>
          <w:szCs w:val="22"/>
          <w:lang w:val="fr-FR"/>
        </w:rPr>
        <w:t> m</w:t>
      </w:r>
      <w:r w:rsidR="005A37B3" w:rsidRPr="00DC2F2C">
        <w:rPr>
          <w:szCs w:val="22"/>
          <w:lang w:val="fr-FR"/>
        </w:rPr>
        <w:t>icro</w:t>
      </w:r>
      <w:r w:rsidR="009665E4" w:rsidRPr="00DC2F2C">
        <w:rPr>
          <w:szCs w:val="22"/>
          <w:lang w:val="fr-FR"/>
        </w:rPr>
        <w:t>g</w:t>
      </w:r>
      <w:r w:rsidR="005A37B3" w:rsidRPr="00DC2F2C">
        <w:rPr>
          <w:szCs w:val="22"/>
          <w:lang w:val="fr-FR"/>
        </w:rPr>
        <w:t>ram</w:t>
      </w:r>
      <w:r w:rsidR="00701626" w:rsidRPr="00DC2F2C">
        <w:rPr>
          <w:szCs w:val="22"/>
          <w:lang w:val="fr-FR"/>
        </w:rPr>
        <w:t>mes 1 jour sur 2</w:t>
      </w:r>
      <w:r w:rsidR="009665E4" w:rsidRPr="00DC2F2C">
        <w:rPr>
          <w:szCs w:val="22"/>
          <w:lang w:val="fr-FR"/>
        </w:rPr>
        <w:t xml:space="preserve"> </w:t>
      </w:r>
      <w:r w:rsidR="00701626" w:rsidRPr="00DC2F2C">
        <w:rPr>
          <w:szCs w:val="22"/>
          <w:lang w:val="fr-FR"/>
        </w:rPr>
        <w:t xml:space="preserve">car ils peuvent avoir davantage de risques de présenter des effets indésirables en raison de l’exposition accrue associée à la dose de </w:t>
      </w:r>
      <w:r w:rsidR="009665E4" w:rsidRPr="00DC2F2C">
        <w:rPr>
          <w:szCs w:val="22"/>
          <w:lang w:val="fr-FR"/>
        </w:rPr>
        <w:t>1</w:t>
      </w:r>
      <w:r w:rsidR="00701626" w:rsidRPr="00DC2F2C">
        <w:rPr>
          <w:szCs w:val="22"/>
          <w:lang w:val="fr-FR"/>
        </w:rPr>
        <w:t> </w:t>
      </w:r>
      <w:r w:rsidR="005A37B3" w:rsidRPr="00DC2F2C">
        <w:rPr>
          <w:szCs w:val="22"/>
          <w:lang w:val="fr-FR"/>
        </w:rPr>
        <w:t>340</w:t>
      </w:r>
      <w:r w:rsidR="009665E4" w:rsidRPr="00DC2F2C">
        <w:rPr>
          <w:szCs w:val="22"/>
          <w:lang w:val="fr-FR"/>
        </w:rPr>
        <w:t> m</w:t>
      </w:r>
      <w:r w:rsidR="005A37B3" w:rsidRPr="00DC2F2C">
        <w:rPr>
          <w:szCs w:val="22"/>
          <w:lang w:val="fr-FR"/>
        </w:rPr>
        <w:t>icro</w:t>
      </w:r>
      <w:r w:rsidR="009665E4" w:rsidRPr="00DC2F2C">
        <w:rPr>
          <w:szCs w:val="22"/>
          <w:lang w:val="fr-FR"/>
        </w:rPr>
        <w:t>g</w:t>
      </w:r>
      <w:r w:rsidR="005A37B3" w:rsidRPr="00DC2F2C">
        <w:rPr>
          <w:szCs w:val="22"/>
          <w:lang w:val="fr-FR"/>
        </w:rPr>
        <w:t>ram</w:t>
      </w:r>
      <w:r w:rsidR="00701626" w:rsidRPr="00DC2F2C">
        <w:rPr>
          <w:szCs w:val="22"/>
          <w:lang w:val="fr-FR"/>
        </w:rPr>
        <w:t xml:space="preserve">mes par jour </w:t>
      </w:r>
      <w:r w:rsidR="009665E4" w:rsidRPr="00DC2F2C">
        <w:rPr>
          <w:szCs w:val="22"/>
          <w:lang w:val="fr-FR"/>
        </w:rPr>
        <w:t>(</w:t>
      </w:r>
      <w:r w:rsidR="00073A8C" w:rsidRPr="00DC2F2C">
        <w:rPr>
          <w:szCs w:val="22"/>
          <w:lang w:val="fr-FR"/>
        </w:rPr>
        <w:t>voir ru</w:t>
      </w:r>
      <w:r w:rsidR="00744AFF" w:rsidRPr="00DC2F2C">
        <w:rPr>
          <w:szCs w:val="22"/>
          <w:lang w:val="fr-FR"/>
        </w:rPr>
        <w:t>b</w:t>
      </w:r>
      <w:r w:rsidR="00073A8C" w:rsidRPr="00DC2F2C">
        <w:rPr>
          <w:szCs w:val="22"/>
          <w:lang w:val="fr-FR"/>
        </w:rPr>
        <w:t>rique</w:t>
      </w:r>
      <w:r w:rsidR="009665E4" w:rsidRPr="00DC2F2C">
        <w:rPr>
          <w:szCs w:val="22"/>
          <w:lang w:val="fr-FR"/>
        </w:rPr>
        <w:t xml:space="preserve"> 4.4 </w:t>
      </w:r>
      <w:r w:rsidR="00073A8C" w:rsidRPr="00DC2F2C">
        <w:rPr>
          <w:szCs w:val="22"/>
          <w:lang w:val="fr-FR"/>
        </w:rPr>
        <w:t>et rubrique</w:t>
      </w:r>
      <w:r w:rsidR="009665E4" w:rsidRPr="00DC2F2C">
        <w:rPr>
          <w:szCs w:val="22"/>
          <w:lang w:val="fr-FR"/>
        </w:rPr>
        <w:t xml:space="preserve"> 5.2). </w:t>
      </w:r>
      <w:r w:rsidR="00A6181A" w:rsidRPr="00DC2F2C">
        <w:rPr>
          <w:szCs w:val="22"/>
          <w:lang w:val="fr-FR"/>
        </w:rPr>
        <w:t>Aucun ajustement posologique n’est requis lors de l’administration du</w:t>
      </w:r>
      <w:r w:rsidR="00C34F81" w:rsidRPr="00DC2F2C">
        <w:rPr>
          <w:szCs w:val="22"/>
          <w:lang w:val="fr-FR"/>
        </w:rPr>
        <w:t xml:space="preserve"> </w:t>
      </w:r>
      <w:proofErr w:type="spellStart"/>
      <w:r w:rsidR="005A37B3" w:rsidRPr="00DC2F2C">
        <w:rPr>
          <w:szCs w:val="22"/>
          <w:lang w:val="fr-FR"/>
        </w:rPr>
        <w:t>tivozanib</w:t>
      </w:r>
      <w:proofErr w:type="spellEnd"/>
      <w:r w:rsidR="00C34F81" w:rsidRPr="00DC2F2C">
        <w:rPr>
          <w:szCs w:val="22"/>
          <w:lang w:val="fr-FR"/>
        </w:rPr>
        <w:t xml:space="preserve"> </w:t>
      </w:r>
      <w:r w:rsidR="00A6181A" w:rsidRPr="00DC2F2C">
        <w:rPr>
          <w:szCs w:val="22"/>
          <w:lang w:val="fr-FR"/>
        </w:rPr>
        <w:t>à des</w:t>
      </w:r>
      <w:r w:rsidR="00C34F81" w:rsidRPr="00DC2F2C">
        <w:rPr>
          <w:szCs w:val="22"/>
          <w:lang w:val="fr-FR"/>
        </w:rPr>
        <w:t xml:space="preserve"> patients </w:t>
      </w:r>
      <w:r w:rsidR="00A6181A" w:rsidRPr="00DC2F2C">
        <w:rPr>
          <w:szCs w:val="22"/>
          <w:lang w:val="fr-FR"/>
        </w:rPr>
        <w:t>atteints d’insuffisance hépatique légère</w:t>
      </w:r>
      <w:r w:rsidR="00C34F81" w:rsidRPr="00DC2F2C">
        <w:rPr>
          <w:szCs w:val="22"/>
          <w:lang w:val="fr-FR"/>
        </w:rPr>
        <w:t xml:space="preserve">. </w:t>
      </w:r>
      <w:r w:rsidR="00AD6BB2" w:rsidRPr="00DC2F2C">
        <w:rPr>
          <w:szCs w:val="22"/>
          <w:lang w:val="fr-FR"/>
        </w:rPr>
        <w:t xml:space="preserve">Le </w:t>
      </w:r>
      <w:proofErr w:type="spellStart"/>
      <w:r w:rsidR="00AD6BB2" w:rsidRPr="00DC2F2C">
        <w:rPr>
          <w:szCs w:val="22"/>
          <w:lang w:val="fr-FR"/>
        </w:rPr>
        <w:t>tivozanib</w:t>
      </w:r>
      <w:proofErr w:type="spellEnd"/>
      <w:r w:rsidR="00AD6BB2" w:rsidRPr="00DC2F2C">
        <w:rPr>
          <w:szCs w:val="22"/>
          <w:lang w:val="fr-FR"/>
        </w:rPr>
        <w:t xml:space="preserve"> doit être utilisé avec précaution</w:t>
      </w:r>
      <w:r w:rsidR="00A6181A" w:rsidRPr="00DC2F2C">
        <w:rPr>
          <w:szCs w:val="22"/>
          <w:lang w:val="fr-FR"/>
        </w:rPr>
        <w:t xml:space="preserve"> chez les patients atteints d’insuffisance hépatique légère et modérée</w:t>
      </w:r>
      <w:r w:rsidR="00AD6BB2" w:rsidRPr="00DC2F2C">
        <w:rPr>
          <w:szCs w:val="22"/>
          <w:lang w:val="fr-FR"/>
        </w:rPr>
        <w:t xml:space="preserve"> et la tolérance du traitement doit être surveillée attentivement</w:t>
      </w:r>
      <w:r w:rsidR="00C34F81" w:rsidRPr="00DC2F2C">
        <w:rPr>
          <w:szCs w:val="22"/>
          <w:lang w:val="fr-FR"/>
        </w:rPr>
        <w:t xml:space="preserve">. </w:t>
      </w:r>
    </w:p>
    <w:p w14:paraId="5580F155" w14:textId="77777777" w:rsidR="00EA4B61" w:rsidRPr="00DC2F2C" w:rsidRDefault="00EA4B61" w:rsidP="009D43DC">
      <w:pPr>
        <w:numPr>
          <w:ilvl w:val="12"/>
          <w:numId w:val="0"/>
        </w:numPr>
        <w:tabs>
          <w:tab w:val="clear" w:pos="567"/>
        </w:tabs>
        <w:ind w:right="549"/>
        <w:rPr>
          <w:szCs w:val="22"/>
          <w:lang w:val="fr-FR"/>
        </w:rPr>
      </w:pPr>
    </w:p>
    <w:p w14:paraId="4EB71BC6" w14:textId="77777777" w:rsidR="00812D16" w:rsidRPr="00DC2F2C" w:rsidRDefault="00264617" w:rsidP="009D43DC">
      <w:pPr>
        <w:keepNext/>
        <w:keepLines/>
        <w:suppressLineNumbers/>
        <w:tabs>
          <w:tab w:val="clear" w:pos="567"/>
        </w:tabs>
        <w:ind w:right="550"/>
        <w:rPr>
          <w:szCs w:val="22"/>
          <w:u w:val="single"/>
          <w:lang w:val="fr-FR"/>
        </w:rPr>
      </w:pPr>
      <w:r w:rsidRPr="00DC2F2C">
        <w:rPr>
          <w:u w:val="single"/>
          <w:lang w:val="fr-FR"/>
        </w:rPr>
        <w:t>Mode d’administration</w:t>
      </w:r>
    </w:p>
    <w:p w14:paraId="61B16939" w14:textId="77777777" w:rsidR="00812D16" w:rsidRPr="00DC2F2C" w:rsidRDefault="00812D16" w:rsidP="009D43DC">
      <w:pPr>
        <w:keepNext/>
        <w:keepLines/>
        <w:numPr>
          <w:ilvl w:val="12"/>
          <w:numId w:val="0"/>
        </w:numPr>
        <w:tabs>
          <w:tab w:val="clear" w:pos="567"/>
        </w:tabs>
        <w:ind w:right="550"/>
        <w:rPr>
          <w:szCs w:val="22"/>
          <w:lang w:val="fr-FR"/>
        </w:rPr>
      </w:pPr>
    </w:p>
    <w:p w14:paraId="6E1E97EE" w14:textId="77777777" w:rsidR="00524612" w:rsidRPr="00DC2F2C" w:rsidRDefault="00524612" w:rsidP="009D43DC">
      <w:pPr>
        <w:ind w:right="549"/>
        <w:rPr>
          <w:szCs w:val="22"/>
          <w:lang w:val="fr-FR"/>
        </w:rPr>
      </w:pPr>
      <w:r w:rsidRPr="00DC2F2C">
        <w:rPr>
          <w:szCs w:val="22"/>
          <w:lang w:val="fr-FR"/>
        </w:rPr>
        <w:t>F</w:t>
      </w:r>
      <w:r w:rsidR="005C100F" w:rsidRPr="00DC2F2C">
        <w:rPr>
          <w:szCs w:val="22"/>
          <w:lang w:val="fr-FR"/>
        </w:rPr>
        <w:t xml:space="preserve">otivda </w:t>
      </w:r>
      <w:r w:rsidR="00E80971" w:rsidRPr="00DC2F2C">
        <w:rPr>
          <w:szCs w:val="22"/>
          <w:lang w:val="fr-FR"/>
        </w:rPr>
        <w:t>doit être administré par voie orale</w:t>
      </w:r>
      <w:r w:rsidRPr="00DC2F2C">
        <w:rPr>
          <w:szCs w:val="22"/>
          <w:lang w:val="fr-FR"/>
        </w:rPr>
        <w:t>.</w:t>
      </w:r>
    </w:p>
    <w:p w14:paraId="26B778B4" w14:textId="77777777" w:rsidR="00524612" w:rsidRPr="00DC2F2C" w:rsidRDefault="00524612" w:rsidP="009D43DC">
      <w:pPr>
        <w:ind w:right="549"/>
        <w:rPr>
          <w:szCs w:val="22"/>
          <w:lang w:val="fr-FR"/>
        </w:rPr>
      </w:pPr>
    </w:p>
    <w:p w14:paraId="679E52F3" w14:textId="77777777" w:rsidR="007B450D" w:rsidRPr="00DC2F2C" w:rsidRDefault="00BD5D8B" w:rsidP="003157DB">
      <w:pPr>
        <w:rPr>
          <w:szCs w:val="22"/>
          <w:lang w:val="fr-FR"/>
        </w:rPr>
      </w:pPr>
      <w:r w:rsidRPr="00DC2F2C">
        <w:rPr>
          <w:szCs w:val="22"/>
          <w:lang w:val="fr-FR"/>
        </w:rPr>
        <w:t>Fotivda</w:t>
      </w:r>
      <w:r w:rsidR="00DD3609" w:rsidRPr="00DC2F2C">
        <w:rPr>
          <w:szCs w:val="22"/>
          <w:lang w:val="fr-FR"/>
        </w:rPr>
        <w:t xml:space="preserve"> </w:t>
      </w:r>
      <w:r w:rsidR="000A608B" w:rsidRPr="00DC2F2C">
        <w:rPr>
          <w:szCs w:val="22"/>
          <w:lang w:val="fr-FR"/>
        </w:rPr>
        <w:t>peut</w:t>
      </w:r>
      <w:r w:rsidR="00681EC7" w:rsidRPr="00DC2F2C">
        <w:rPr>
          <w:szCs w:val="22"/>
          <w:lang w:val="fr-FR"/>
        </w:rPr>
        <w:t xml:space="preserve"> être pris avec ou sans nourriture</w:t>
      </w:r>
      <w:r w:rsidR="00EA4B61" w:rsidRPr="00DC2F2C">
        <w:rPr>
          <w:szCs w:val="22"/>
          <w:lang w:val="fr-FR"/>
        </w:rPr>
        <w:t xml:space="preserve"> (</w:t>
      </w:r>
      <w:r w:rsidR="00681EC7" w:rsidRPr="00DC2F2C">
        <w:rPr>
          <w:szCs w:val="22"/>
          <w:lang w:val="fr-FR"/>
        </w:rPr>
        <w:t>voir rubrique</w:t>
      </w:r>
      <w:r w:rsidR="00EA4B61" w:rsidRPr="00DC2F2C">
        <w:rPr>
          <w:szCs w:val="22"/>
          <w:lang w:val="fr-FR"/>
        </w:rPr>
        <w:t xml:space="preserve"> 5.2).</w:t>
      </w:r>
      <w:r w:rsidR="00DD3609" w:rsidRPr="00DC2F2C">
        <w:rPr>
          <w:szCs w:val="22"/>
          <w:lang w:val="fr-FR"/>
        </w:rPr>
        <w:t xml:space="preserve"> </w:t>
      </w:r>
      <w:r w:rsidR="00681EC7" w:rsidRPr="00DC2F2C">
        <w:rPr>
          <w:szCs w:val="22"/>
          <w:lang w:val="fr-FR"/>
        </w:rPr>
        <w:t>Les gélules doivent être avalées en entier avec un verre d’eau et ne doivent pas être ouvertes</w:t>
      </w:r>
      <w:r w:rsidR="005705D9" w:rsidRPr="00DC2F2C">
        <w:rPr>
          <w:szCs w:val="22"/>
          <w:lang w:val="fr-FR"/>
        </w:rPr>
        <w:t>.</w:t>
      </w:r>
    </w:p>
    <w:p w14:paraId="3FE13202" w14:textId="77777777" w:rsidR="004B2DC9" w:rsidRPr="00DC2F2C" w:rsidRDefault="004B2DC9" w:rsidP="009D43DC">
      <w:pPr>
        <w:numPr>
          <w:ilvl w:val="12"/>
          <w:numId w:val="0"/>
        </w:numPr>
        <w:tabs>
          <w:tab w:val="clear" w:pos="567"/>
        </w:tabs>
        <w:ind w:right="549"/>
        <w:rPr>
          <w:szCs w:val="22"/>
          <w:lang w:val="fr-FR"/>
        </w:rPr>
      </w:pPr>
    </w:p>
    <w:p w14:paraId="3D4848A0" w14:textId="77777777" w:rsidR="00812D16" w:rsidRPr="00DC2F2C" w:rsidRDefault="00812D16" w:rsidP="00073C28">
      <w:pPr>
        <w:rPr>
          <w:szCs w:val="22"/>
          <w:lang w:val="fr-FR"/>
        </w:rPr>
      </w:pPr>
      <w:r w:rsidRPr="00DC2F2C">
        <w:rPr>
          <w:b/>
          <w:szCs w:val="22"/>
          <w:lang w:val="fr-FR"/>
        </w:rPr>
        <w:t>4.3</w:t>
      </w:r>
      <w:r w:rsidRPr="00DC2F2C">
        <w:rPr>
          <w:b/>
          <w:szCs w:val="22"/>
          <w:lang w:val="fr-FR"/>
        </w:rPr>
        <w:tab/>
      </w:r>
      <w:r w:rsidR="00A60D2C" w:rsidRPr="00DC2F2C">
        <w:rPr>
          <w:b/>
          <w:lang w:val="fr-FR"/>
        </w:rPr>
        <w:t>Contre-indications</w:t>
      </w:r>
    </w:p>
    <w:p w14:paraId="1916EA0F" w14:textId="77777777" w:rsidR="00812D16" w:rsidRPr="00DC2F2C" w:rsidRDefault="00812D16" w:rsidP="009D43DC">
      <w:pPr>
        <w:keepNext/>
        <w:keepLines/>
        <w:numPr>
          <w:ilvl w:val="12"/>
          <w:numId w:val="0"/>
        </w:numPr>
        <w:tabs>
          <w:tab w:val="clear" w:pos="567"/>
        </w:tabs>
        <w:ind w:right="550"/>
        <w:rPr>
          <w:szCs w:val="22"/>
          <w:lang w:val="fr-FR"/>
        </w:rPr>
      </w:pPr>
    </w:p>
    <w:p w14:paraId="1F1E0350" w14:textId="77777777" w:rsidR="009F7717" w:rsidRPr="00DC2F2C" w:rsidRDefault="00A60D2C" w:rsidP="000A5BB2">
      <w:pPr>
        <w:rPr>
          <w:szCs w:val="22"/>
          <w:lang w:val="fr-FR"/>
        </w:rPr>
      </w:pPr>
      <w:r w:rsidRPr="00DC2F2C">
        <w:rPr>
          <w:lang w:val="fr-FR"/>
        </w:rPr>
        <w:t>Hypersensibilité à la substance active ou à l’un des excipients mentionnés à la rubrique 6.1</w:t>
      </w:r>
      <w:r w:rsidR="00524612" w:rsidRPr="00DC2F2C">
        <w:rPr>
          <w:rFonts w:eastAsia="SimSun"/>
          <w:szCs w:val="22"/>
          <w:lang w:val="fr-FR" w:eastAsia="ja-JP"/>
        </w:rPr>
        <w:t>.</w:t>
      </w:r>
    </w:p>
    <w:p w14:paraId="5D71E0F0" w14:textId="77777777" w:rsidR="00142BCF" w:rsidRPr="00DC2F2C" w:rsidRDefault="00142BCF" w:rsidP="000A5BB2">
      <w:pPr>
        <w:rPr>
          <w:lang w:val="fr-FR"/>
        </w:rPr>
      </w:pPr>
    </w:p>
    <w:p w14:paraId="74CF3EF6" w14:textId="77777777" w:rsidR="00142BCF" w:rsidRPr="00DC2F2C" w:rsidRDefault="00681EC7" w:rsidP="000A5BB2">
      <w:pPr>
        <w:rPr>
          <w:color w:val="000000"/>
          <w:lang w:val="fr-FR" w:eastAsia="en-GB"/>
        </w:rPr>
      </w:pPr>
      <w:r w:rsidRPr="00DC2F2C">
        <w:rPr>
          <w:lang w:val="fr-FR"/>
        </w:rPr>
        <w:t xml:space="preserve">Administration concomitante </w:t>
      </w:r>
      <w:r w:rsidR="008B2C9F" w:rsidRPr="00DC2F2C">
        <w:rPr>
          <w:lang w:val="fr-FR"/>
        </w:rPr>
        <w:t>de</w:t>
      </w:r>
      <w:r w:rsidRPr="00DC2F2C">
        <w:rPr>
          <w:lang w:val="fr-FR"/>
        </w:rPr>
        <w:t xml:space="preserve"> préparations à base de plantes contenant</w:t>
      </w:r>
      <w:r w:rsidR="00142BCF" w:rsidRPr="00DC2F2C">
        <w:rPr>
          <w:lang w:val="fr-FR"/>
        </w:rPr>
        <w:t xml:space="preserve"> </w:t>
      </w:r>
      <w:r w:rsidR="003F741A" w:rsidRPr="00DC2F2C">
        <w:rPr>
          <w:lang w:val="fr-FR"/>
        </w:rPr>
        <w:t>du millepertuis</w:t>
      </w:r>
      <w:r w:rsidR="00142BCF" w:rsidRPr="00DC2F2C">
        <w:rPr>
          <w:lang w:val="fr-FR"/>
        </w:rPr>
        <w:t xml:space="preserve"> (</w:t>
      </w:r>
      <w:proofErr w:type="spellStart"/>
      <w:r w:rsidR="00142BCF" w:rsidRPr="00DC2F2C">
        <w:rPr>
          <w:i/>
          <w:lang w:val="fr-FR" w:eastAsia="en-GB"/>
        </w:rPr>
        <w:t>Hypericum</w:t>
      </w:r>
      <w:proofErr w:type="spellEnd"/>
      <w:r w:rsidR="00142BCF" w:rsidRPr="00DC2F2C">
        <w:rPr>
          <w:i/>
          <w:lang w:val="fr-FR" w:eastAsia="en-GB"/>
        </w:rPr>
        <w:t xml:space="preserve"> </w:t>
      </w:r>
      <w:proofErr w:type="spellStart"/>
      <w:r w:rsidR="00142BCF" w:rsidRPr="00DC2F2C">
        <w:rPr>
          <w:i/>
          <w:lang w:val="fr-FR" w:eastAsia="en-GB"/>
        </w:rPr>
        <w:t>perforatum</w:t>
      </w:r>
      <w:proofErr w:type="spellEnd"/>
      <w:r w:rsidR="00142BCF" w:rsidRPr="00DC2F2C">
        <w:rPr>
          <w:lang w:val="fr-FR" w:eastAsia="en-GB"/>
        </w:rPr>
        <w:t xml:space="preserve">) </w:t>
      </w:r>
      <w:r w:rsidR="00142BCF" w:rsidRPr="00DC2F2C">
        <w:rPr>
          <w:color w:val="000000"/>
          <w:lang w:val="fr-FR" w:eastAsia="en-GB"/>
        </w:rPr>
        <w:t>(</w:t>
      </w:r>
      <w:r w:rsidR="003F741A" w:rsidRPr="00DC2F2C">
        <w:rPr>
          <w:color w:val="000000"/>
          <w:lang w:val="fr-FR" w:eastAsia="en-GB"/>
        </w:rPr>
        <w:t>voir rubrique</w:t>
      </w:r>
      <w:r w:rsidR="00142BCF" w:rsidRPr="00DC2F2C">
        <w:rPr>
          <w:color w:val="000000"/>
          <w:lang w:val="fr-FR" w:eastAsia="en-GB"/>
        </w:rPr>
        <w:t xml:space="preserve"> 4.5).</w:t>
      </w:r>
    </w:p>
    <w:p w14:paraId="4DAF5329" w14:textId="77777777" w:rsidR="00142BCF" w:rsidRPr="00DC2F2C" w:rsidRDefault="00142BCF" w:rsidP="009D43DC">
      <w:pPr>
        <w:numPr>
          <w:ilvl w:val="12"/>
          <w:numId w:val="0"/>
        </w:numPr>
        <w:tabs>
          <w:tab w:val="clear" w:pos="567"/>
        </w:tabs>
        <w:ind w:right="549"/>
        <w:rPr>
          <w:szCs w:val="22"/>
          <w:lang w:val="fr-FR"/>
        </w:rPr>
      </w:pPr>
    </w:p>
    <w:p w14:paraId="5A162608" w14:textId="77777777" w:rsidR="0070310E" w:rsidRPr="00DC2F2C" w:rsidRDefault="0070310E" w:rsidP="00073C28">
      <w:pPr>
        <w:rPr>
          <w:b/>
          <w:szCs w:val="22"/>
          <w:lang w:val="fr-FR"/>
        </w:rPr>
      </w:pPr>
      <w:r w:rsidRPr="00DC2F2C">
        <w:rPr>
          <w:b/>
          <w:szCs w:val="22"/>
          <w:lang w:val="fr-FR"/>
        </w:rPr>
        <w:t>4.4</w:t>
      </w:r>
      <w:r w:rsidRPr="00DC2F2C">
        <w:rPr>
          <w:b/>
          <w:szCs w:val="22"/>
          <w:lang w:val="fr-FR"/>
        </w:rPr>
        <w:tab/>
      </w:r>
      <w:r w:rsidR="00512C0C" w:rsidRPr="00DC2F2C">
        <w:rPr>
          <w:b/>
          <w:lang w:val="fr-FR"/>
        </w:rPr>
        <w:t>Mises en garde spéciales et précautions d’emploi</w:t>
      </w:r>
    </w:p>
    <w:p w14:paraId="1EBDEE74" w14:textId="77777777" w:rsidR="0070310E" w:rsidRPr="00DC2F2C" w:rsidRDefault="0070310E" w:rsidP="009D43DC">
      <w:pPr>
        <w:pStyle w:val="00Paragraph"/>
        <w:keepNext/>
        <w:keepLines/>
        <w:spacing w:before="0" w:after="0" w:line="240" w:lineRule="auto"/>
        <w:ind w:right="550"/>
        <w:rPr>
          <w:sz w:val="22"/>
          <w:szCs w:val="22"/>
          <w:lang w:val="fr-FR"/>
        </w:rPr>
      </w:pPr>
    </w:p>
    <w:p w14:paraId="7771A10B" w14:textId="77777777" w:rsidR="0070310E" w:rsidRPr="00DC2F2C" w:rsidRDefault="0070310E" w:rsidP="009D43DC">
      <w:pPr>
        <w:keepNext/>
        <w:keepLines/>
        <w:numPr>
          <w:ilvl w:val="12"/>
          <w:numId w:val="0"/>
        </w:numPr>
        <w:tabs>
          <w:tab w:val="clear" w:pos="567"/>
        </w:tabs>
        <w:ind w:right="550"/>
        <w:rPr>
          <w:szCs w:val="22"/>
          <w:u w:val="single"/>
          <w:lang w:val="fr-FR"/>
        </w:rPr>
      </w:pPr>
      <w:r w:rsidRPr="00DC2F2C">
        <w:rPr>
          <w:szCs w:val="22"/>
          <w:u w:val="single"/>
          <w:lang w:val="fr-FR"/>
        </w:rPr>
        <w:t>Hypertension</w:t>
      </w:r>
      <w:r w:rsidR="00A95E06" w:rsidRPr="00DC2F2C">
        <w:rPr>
          <w:szCs w:val="22"/>
          <w:u w:val="single"/>
          <w:lang w:val="fr-FR"/>
        </w:rPr>
        <w:t xml:space="preserve"> artérielle</w:t>
      </w:r>
    </w:p>
    <w:p w14:paraId="5D3C1915" w14:textId="77777777" w:rsidR="0070310E" w:rsidRPr="00DC2F2C" w:rsidRDefault="00DB3908" w:rsidP="000A5BB2">
      <w:pPr>
        <w:rPr>
          <w:lang w:val="fr-FR"/>
        </w:rPr>
      </w:pPr>
      <w:r w:rsidRPr="00DC2F2C">
        <w:rPr>
          <w:lang w:val="fr-FR"/>
        </w:rPr>
        <w:t>Dans les études cliniques portant sur le</w:t>
      </w:r>
      <w:r w:rsidR="0070310E" w:rsidRPr="00DC2F2C">
        <w:rPr>
          <w:lang w:val="fr-FR"/>
        </w:rPr>
        <w:t xml:space="preserve"> </w:t>
      </w:r>
      <w:proofErr w:type="spellStart"/>
      <w:r w:rsidR="00142BCF" w:rsidRPr="00DC2F2C">
        <w:rPr>
          <w:lang w:val="fr-FR"/>
        </w:rPr>
        <w:t>tivozanib</w:t>
      </w:r>
      <w:proofErr w:type="spellEnd"/>
      <w:r w:rsidR="0070310E" w:rsidRPr="00DC2F2C">
        <w:rPr>
          <w:lang w:val="fr-FR"/>
        </w:rPr>
        <w:t xml:space="preserve">, </w:t>
      </w:r>
      <w:r w:rsidRPr="00DC2F2C">
        <w:rPr>
          <w:lang w:val="fr-FR"/>
        </w:rPr>
        <w:t>des cas d’</w:t>
      </w:r>
      <w:r w:rsidR="0070310E" w:rsidRPr="00DC2F2C">
        <w:rPr>
          <w:lang w:val="fr-FR"/>
        </w:rPr>
        <w:t>hypertension</w:t>
      </w:r>
      <w:r w:rsidRPr="00DC2F2C">
        <w:rPr>
          <w:lang w:val="fr-FR"/>
        </w:rPr>
        <w:t xml:space="preserve"> artérielle</w:t>
      </w:r>
      <w:r w:rsidR="0070310E" w:rsidRPr="00DC2F2C">
        <w:rPr>
          <w:lang w:val="fr-FR"/>
        </w:rPr>
        <w:t xml:space="preserve"> (</w:t>
      </w:r>
      <w:r w:rsidRPr="00DC2F2C">
        <w:rPr>
          <w:lang w:val="fr-FR"/>
        </w:rPr>
        <w:t>y compris d’hypertension artérielle sévère persistante</w:t>
      </w:r>
      <w:r w:rsidR="0070310E" w:rsidRPr="00DC2F2C">
        <w:rPr>
          <w:lang w:val="fr-FR"/>
        </w:rPr>
        <w:t xml:space="preserve">) </w:t>
      </w:r>
      <w:r w:rsidRPr="00DC2F2C">
        <w:rPr>
          <w:lang w:val="fr-FR"/>
        </w:rPr>
        <w:t>sont survenus</w:t>
      </w:r>
      <w:r w:rsidR="00EA42FE" w:rsidRPr="00DC2F2C">
        <w:rPr>
          <w:lang w:val="fr-FR"/>
        </w:rPr>
        <w:t xml:space="preserve"> (</w:t>
      </w:r>
      <w:r w:rsidR="002D6EE5" w:rsidRPr="00DC2F2C">
        <w:rPr>
          <w:lang w:val="fr-FR"/>
        </w:rPr>
        <w:t>voir rubrique</w:t>
      </w:r>
      <w:r w:rsidR="00EA42FE" w:rsidRPr="00DC2F2C">
        <w:rPr>
          <w:lang w:val="fr-FR"/>
        </w:rPr>
        <w:t xml:space="preserve"> 4.8)</w:t>
      </w:r>
      <w:r w:rsidR="0070310E" w:rsidRPr="00DC2F2C">
        <w:rPr>
          <w:lang w:val="fr-FR"/>
        </w:rPr>
        <w:t xml:space="preserve">. </w:t>
      </w:r>
      <w:r w:rsidR="006D6F7C" w:rsidRPr="00DC2F2C">
        <w:rPr>
          <w:lang w:val="fr-FR"/>
        </w:rPr>
        <w:t>Chez approximativement un tiers des</w:t>
      </w:r>
      <w:r w:rsidR="0070310E" w:rsidRPr="00DC2F2C">
        <w:rPr>
          <w:lang w:val="fr-FR"/>
        </w:rPr>
        <w:t xml:space="preserve"> patients, </w:t>
      </w:r>
      <w:r w:rsidR="006D6F7C" w:rsidRPr="00DC2F2C">
        <w:rPr>
          <w:lang w:val="fr-FR"/>
        </w:rPr>
        <w:t>l’</w:t>
      </w:r>
      <w:r w:rsidR="0070310E" w:rsidRPr="00DC2F2C">
        <w:rPr>
          <w:lang w:val="fr-FR"/>
        </w:rPr>
        <w:t>hypertension</w:t>
      </w:r>
      <w:r w:rsidR="006D6F7C" w:rsidRPr="00DC2F2C">
        <w:rPr>
          <w:lang w:val="fr-FR"/>
        </w:rPr>
        <w:t xml:space="preserve"> artérielle est apparue dans les 2 premiers mois de traitement</w:t>
      </w:r>
      <w:r w:rsidR="0070310E" w:rsidRPr="00DC2F2C">
        <w:rPr>
          <w:lang w:val="fr-FR"/>
        </w:rPr>
        <w:t xml:space="preserve">. </w:t>
      </w:r>
      <w:r w:rsidR="006D6F7C" w:rsidRPr="00DC2F2C">
        <w:rPr>
          <w:lang w:val="fr-FR"/>
        </w:rPr>
        <w:t>La pression artérielle doit être bien contrôlée avant le début du traitement par</w:t>
      </w:r>
      <w:r w:rsidR="0070310E" w:rsidRPr="00DC2F2C">
        <w:rPr>
          <w:lang w:val="fr-FR"/>
        </w:rPr>
        <w:t xml:space="preserve"> </w:t>
      </w:r>
      <w:proofErr w:type="spellStart"/>
      <w:r w:rsidR="00142BCF" w:rsidRPr="00DC2F2C">
        <w:rPr>
          <w:lang w:val="fr-FR"/>
        </w:rPr>
        <w:t>tivozanib</w:t>
      </w:r>
      <w:proofErr w:type="spellEnd"/>
      <w:r w:rsidR="0070310E" w:rsidRPr="00DC2F2C">
        <w:rPr>
          <w:lang w:val="fr-FR"/>
        </w:rPr>
        <w:t xml:space="preserve">. </w:t>
      </w:r>
      <w:r w:rsidR="006D6F7C" w:rsidRPr="00DC2F2C">
        <w:rPr>
          <w:lang w:val="fr-FR"/>
        </w:rPr>
        <w:t>Pendant le traitement</w:t>
      </w:r>
      <w:r w:rsidR="0070310E" w:rsidRPr="00DC2F2C">
        <w:rPr>
          <w:lang w:val="fr-FR"/>
        </w:rPr>
        <w:t xml:space="preserve">, </w:t>
      </w:r>
      <w:r w:rsidR="006D6F7C" w:rsidRPr="00DC2F2C">
        <w:rPr>
          <w:lang w:val="fr-FR"/>
        </w:rPr>
        <w:t xml:space="preserve">les </w:t>
      </w:r>
      <w:r w:rsidR="0070310E" w:rsidRPr="00DC2F2C">
        <w:rPr>
          <w:lang w:val="fr-FR"/>
        </w:rPr>
        <w:t xml:space="preserve">patients </w:t>
      </w:r>
      <w:r w:rsidR="006D6F7C" w:rsidRPr="00DC2F2C">
        <w:rPr>
          <w:lang w:val="fr-FR"/>
        </w:rPr>
        <w:t xml:space="preserve">doivent être </w:t>
      </w:r>
      <w:r w:rsidR="009D75BE" w:rsidRPr="00DC2F2C">
        <w:rPr>
          <w:lang w:val="fr-FR"/>
        </w:rPr>
        <w:t>surveillés</w:t>
      </w:r>
      <w:r w:rsidR="006D6F7C" w:rsidRPr="00DC2F2C">
        <w:rPr>
          <w:lang w:val="fr-FR"/>
        </w:rPr>
        <w:t xml:space="preserve"> afin de détecter la survenue d’une hypertension artérielle</w:t>
      </w:r>
      <w:r w:rsidR="0070310E" w:rsidRPr="00DC2F2C">
        <w:rPr>
          <w:lang w:val="fr-FR"/>
        </w:rPr>
        <w:t xml:space="preserve"> </w:t>
      </w:r>
      <w:r w:rsidR="006D6F7C" w:rsidRPr="00DC2F2C">
        <w:rPr>
          <w:lang w:val="fr-FR"/>
        </w:rPr>
        <w:t xml:space="preserve">et traités si nécessaire avec un traitement antihypertenseur selon la pratique médicale </w:t>
      </w:r>
      <w:r w:rsidR="002D69D3" w:rsidRPr="00DC2F2C">
        <w:rPr>
          <w:lang w:val="fr-FR"/>
        </w:rPr>
        <w:t>courante</w:t>
      </w:r>
      <w:r w:rsidR="0070310E" w:rsidRPr="00DC2F2C">
        <w:rPr>
          <w:lang w:val="fr-FR"/>
        </w:rPr>
        <w:t xml:space="preserve">. </w:t>
      </w:r>
      <w:r w:rsidR="006D6F7C" w:rsidRPr="00DC2F2C">
        <w:rPr>
          <w:lang w:val="fr-FR"/>
        </w:rPr>
        <w:t xml:space="preserve">En cas d’hypertension artérielle persistante malgré </w:t>
      </w:r>
      <w:r w:rsidR="002D69D3" w:rsidRPr="00DC2F2C">
        <w:rPr>
          <w:lang w:val="fr-FR"/>
        </w:rPr>
        <w:t>un</w:t>
      </w:r>
      <w:r w:rsidR="006D6F7C" w:rsidRPr="00DC2F2C">
        <w:rPr>
          <w:lang w:val="fr-FR"/>
        </w:rPr>
        <w:t xml:space="preserve"> traitement antihypertenseur</w:t>
      </w:r>
      <w:r w:rsidR="0070310E" w:rsidRPr="00DC2F2C">
        <w:rPr>
          <w:lang w:val="fr-FR"/>
        </w:rPr>
        <w:t xml:space="preserve">, </w:t>
      </w:r>
      <w:r w:rsidR="006D6F7C" w:rsidRPr="00DC2F2C">
        <w:rPr>
          <w:lang w:val="fr-FR"/>
        </w:rPr>
        <w:t>la dose de</w:t>
      </w:r>
      <w:r w:rsidR="0070310E" w:rsidRPr="00DC2F2C">
        <w:rPr>
          <w:lang w:val="fr-FR"/>
        </w:rPr>
        <w:t xml:space="preserve"> </w:t>
      </w:r>
      <w:proofErr w:type="spellStart"/>
      <w:r w:rsidR="00142BCF" w:rsidRPr="00DC2F2C">
        <w:rPr>
          <w:lang w:val="fr-FR"/>
        </w:rPr>
        <w:t>tivozanib</w:t>
      </w:r>
      <w:proofErr w:type="spellEnd"/>
      <w:r w:rsidR="0070310E" w:rsidRPr="00DC2F2C">
        <w:rPr>
          <w:lang w:val="fr-FR"/>
        </w:rPr>
        <w:t xml:space="preserve"> </w:t>
      </w:r>
      <w:r w:rsidR="006D6F7C" w:rsidRPr="00DC2F2C">
        <w:rPr>
          <w:lang w:val="fr-FR"/>
        </w:rPr>
        <w:t>doit être réduite ou le traitement interrompu et repris à une dose inférieure une fois la pression artérielle contrôlée</w:t>
      </w:r>
      <w:r w:rsidR="005A1870" w:rsidRPr="00DC2F2C">
        <w:rPr>
          <w:lang w:val="fr-FR"/>
        </w:rPr>
        <w:t>,</w:t>
      </w:r>
      <w:r w:rsidR="0070310E" w:rsidRPr="00DC2F2C">
        <w:rPr>
          <w:lang w:val="fr-FR"/>
        </w:rPr>
        <w:t xml:space="preserve"> </w:t>
      </w:r>
      <w:r w:rsidR="007F1411" w:rsidRPr="00DC2F2C">
        <w:rPr>
          <w:lang w:val="fr-FR"/>
        </w:rPr>
        <w:t>selon l’évaluation clinique</w:t>
      </w:r>
      <w:r w:rsidR="000256FE" w:rsidRPr="00DC2F2C">
        <w:rPr>
          <w:lang w:val="fr-FR"/>
        </w:rPr>
        <w:t xml:space="preserve"> </w:t>
      </w:r>
      <w:r w:rsidR="0070310E" w:rsidRPr="00DC2F2C">
        <w:rPr>
          <w:lang w:val="fr-FR"/>
        </w:rPr>
        <w:t>(</w:t>
      </w:r>
      <w:r w:rsidR="002D6EE5" w:rsidRPr="00DC2F2C">
        <w:rPr>
          <w:lang w:val="fr-FR"/>
        </w:rPr>
        <w:t>voir rubrique</w:t>
      </w:r>
      <w:r w:rsidR="0070310E" w:rsidRPr="00DC2F2C">
        <w:rPr>
          <w:lang w:val="fr-FR"/>
        </w:rPr>
        <w:t xml:space="preserve"> 4.2). </w:t>
      </w:r>
      <w:r w:rsidR="000256FE" w:rsidRPr="00DC2F2C">
        <w:rPr>
          <w:lang w:val="fr-FR"/>
        </w:rPr>
        <w:t>L’arrêt du traitement doit être envisagé en cas d’hypertension artérielle sévère persistante, de syndrome d’encéphalopathie postérieure</w:t>
      </w:r>
      <w:r w:rsidR="0070310E" w:rsidRPr="00DC2F2C">
        <w:rPr>
          <w:lang w:val="fr-FR"/>
        </w:rPr>
        <w:t xml:space="preserve"> </w:t>
      </w:r>
      <w:r w:rsidR="000256FE" w:rsidRPr="00DC2F2C">
        <w:rPr>
          <w:lang w:val="fr-FR"/>
        </w:rPr>
        <w:t xml:space="preserve">réversible </w:t>
      </w:r>
      <w:r w:rsidR="0070310E" w:rsidRPr="00DC2F2C">
        <w:rPr>
          <w:lang w:val="fr-FR"/>
        </w:rPr>
        <w:t>(</w:t>
      </w:r>
      <w:r w:rsidR="000256FE" w:rsidRPr="00DC2F2C">
        <w:rPr>
          <w:lang w:val="fr-FR"/>
        </w:rPr>
        <w:t>voir ci-dessous) ou d’autres complications de l’hypertension artérielle</w:t>
      </w:r>
      <w:r w:rsidR="0070310E" w:rsidRPr="00DC2F2C">
        <w:rPr>
          <w:lang w:val="fr-FR"/>
        </w:rPr>
        <w:t xml:space="preserve">. </w:t>
      </w:r>
      <w:r w:rsidR="000256FE" w:rsidRPr="00DC2F2C">
        <w:rPr>
          <w:lang w:val="fr-FR"/>
        </w:rPr>
        <w:t xml:space="preserve">Les patients sous traitement antihypertenseur doivent toujours être surveillés </w:t>
      </w:r>
      <w:r w:rsidR="002338B6" w:rsidRPr="00DC2F2C">
        <w:rPr>
          <w:lang w:val="fr-FR"/>
        </w:rPr>
        <w:t>afin de détecter la survenue d’une</w:t>
      </w:r>
      <w:r w:rsidR="000256FE" w:rsidRPr="00DC2F2C">
        <w:rPr>
          <w:lang w:val="fr-FR"/>
        </w:rPr>
        <w:t xml:space="preserve"> hypotension</w:t>
      </w:r>
      <w:r w:rsidR="0070310E" w:rsidRPr="00DC2F2C">
        <w:rPr>
          <w:lang w:val="fr-FR"/>
        </w:rPr>
        <w:t xml:space="preserve"> </w:t>
      </w:r>
      <w:r w:rsidR="002338B6" w:rsidRPr="00DC2F2C">
        <w:rPr>
          <w:lang w:val="fr-FR"/>
        </w:rPr>
        <w:t xml:space="preserve">lorsque le traitement par </w:t>
      </w:r>
      <w:proofErr w:type="spellStart"/>
      <w:r w:rsidR="00142BCF" w:rsidRPr="00DC2F2C">
        <w:rPr>
          <w:lang w:val="fr-FR"/>
        </w:rPr>
        <w:t>tivozanib</w:t>
      </w:r>
      <w:proofErr w:type="spellEnd"/>
      <w:r w:rsidR="0070310E" w:rsidRPr="00DC2F2C">
        <w:rPr>
          <w:lang w:val="fr-FR"/>
        </w:rPr>
        <w:t xml:space="preserve"> </w:t>
      </w:r>
      <w:r w:rsidR="002338B6" w:rsidRPr="00DC2F2C">
        <w:rPr>
          <w:lang w:val="fr-FR"/>
        </w:rPr>
        <w:t>est interrompu ou arrêté</w:t>
      </w:r>
      <w:r w:rsidR="0070310E" w:rsidRPr="00DC2F2C">
        <w:rPr>
          <w:lang w:val="fr-FR"/>
        </w:rPr>
        <w:t xml:space="preserve">. </w:t>
      </w:r>
    </w:p>
    <w:p w14:paraId="659B1EA8" w14:textId="77777777" w:rsidR="0070310E" w:rsidRPr="00DC2F2C" w:rsidRDefault="0070310E" w:rsidP="009D43DC">
      <w:pPr>
        <w:pStyle w:val="00Paragraph"/>
        <w:spacing w:before="0" w:after="0" w:line="240" w:lineRule="auto"/>
        <w:ind w:right="549"/>
        <w:rPr>
          <w:sz w:val="22"/>
          <w:szCs w:val="22"/>
          <w:lang w:val="fr-FR"/>
        </w:rPr>
      </w:pPr>
    </w:p>
    <w:p w14:paraId="0AF3FFAE" w14:textId="77777777" w:rsidR="0070310E" w:rsidRPr="00DC2F2C" w:rsidRDefault="000974FC" w:rsidP="009D43DC">
      <w:pPr>
        <w:keepNext/>
        <w:keepLines/>
        <w:suppressLineNumbers/>
        <w:tabs>
          <w:tab w:val="clear" w:pos="567"/>
        </w:tabs>
        <w:ind w:right="550"/>
        <w:rPr>
          <w:szCs w:val="22"/>
          <w:u w:val="single"/>
          <w:lang w:val="fr-FR"/>
        </w:rPr>
      </w:pPr>
      <w:r w:rsidRPr="00DC2F2C">
        <w:rPr>
          <w:szCs w:val="22"/>
          <w:u w:val="single"/>
          <w:lang w:val="fr-FR"/>
        </w:rPr>
        <w:t>Événements thrombo-emboliques artériels</w:t>
      </w:r>
    </w:p>
    <w:p w14:paraId="4DA47839" w14:textId="77777777" w:rsidR="0070310E" w:rsidRPr="00DC2F2C" w:rsidRDefault="000974FC" w:rsidP="000A5BB2">
      <w:pPr>
        <w:rPr>
          <w:lang w:val="fr-FR"/>
        </w:rPr>
      </w:pPr>
      <w:r w:rsidRPr="00DC2F2C">
        <w:rPr>
          <w:lang w:val="fr-FR"/>
        </w:rPr>
        <w:t xml:space="preserve">Dans les études cliniques portant sur le </w:t>
      </w:r>
      <w:proofErr w:type="spellStart"/>
      <w:r w:rsidR="00142BCF" w:rsidRPr="00DC2F2C">
        <w:rPr>
          <w:lang w:val="fr-FR"/>
        </w:rPr>
        <w:t>tivozanib</w:t>
      </w:r>
      <w:proofErr w:type="spellEnd"/>
      <w:r w:rsidR="0070310E" w:rsidRPr="00DC2F2C">
        <w:rPr>
          <w:lang w:val="fr-FR"/>
        </w:rPr>
        <w:t xml:space="preserve">, </w:t>
      </w:r>
      <w:r w:rsidRPr="00DC2F2C">
        <w:rPr>
          <w:lang w:val="fr-FR"/>
        </w:rPr>
        <w:t xml:space="preserve">des événements thrombo-emboliques artériels </w:t>
      </w:r>
      <w:r w:rsidR="0070310E" w:rsidRPr="00DC2F2C">
        <w:rPr>
          <w:lang w:val="fr-FR"/>
        </w:rPr>
        <w:t>(</w:t>
      </w:r>
      <w:r w:rsidRPr="00DC2F2C">
        <w:rPr>
          <w:lang w:val="fr-FR"/>
        </w:rPr>
        <w:t>ETEA</w:t>
      </w:r>
      <w:r w:rsidR="0070310E" w:rsidRPr="00DC2F2C">
        <w:rPr>
          <w:lang w:val="fr-FR"/>
        </w:rPr>
        <w:t xml:space="preserve">) </w:t>
      </w:r>
      <w:r w:rsidRPr="00DC2F2C">
        <w:rPr>
          <w:lang w:val="fr-FR"/>
        </w:rPr>
        <w:t>sont survenus</w:t>
      </w:r>
      <w:r w:rsidR="001A7B64" w:rsidRPr="00DC2F2C">
        <w:rPr>
          <w:lang w:val="fr-FR"/>
        </w:rPr>
        <w:t xml:space="preserve"> </w:t>
      </w:r>
      <w:r w:rsidR="0070310E" w:rsidRPr="00DC2F2C">
        <w:rPr>
          <w:lang w:val="fr-FR"/>
        </w:rPr>
        <w:t>(</w:t>
      </w:r>
      <w:r w:rsidR="002D6EE5" w:rsidRPr="00DC2F2C">
        <w:rPr>
          <w:lang w:val="fr-FR"/>
        </w:rPr>
        <w:t>voir rubrique</w:t>
      </w:r>
      <w:r w:rsidR="0070310E" w:rsidRPr="00DC2F2C">
        <w:rPr>
          <w:lang w:val="fr-FR"/>
        </w:rPr>
        <w:t xml:space="preserve"> 4.8). </w:t>
      </w:r>
      <w:r w:rsidRPr="00DC2F2C">
        <w:rPr>
          <w:lang w:val="fr-FR"/>
        </w:rPr>
        <w:t xml:space="preserve">Les facteurs de risque d’ETEA </w:t>
      </w:r>
      <w:r w:rsidR="00900AB7" w:rsidRPr="00DC2F2C">
        <w:rPr>
          <w:lang w:val="fr-FR"/>
        </w:rPr>
        <w:t>incluent</w:t>
      </w:r>
      <w:r w:rsidRPr="00DC2F2C">
        <w:rPr>
          <w:lang w:val="fr-FR"/>
        </w:rPr>
        <w:t xml:space="preserve">: </w:t>
      </w:r>
      <w:r w:rsidR="002D69D3" w:rsidRPr="00DC2F2C">
        <w:rPr>
          <w:lang w:val="fr-FR"/>
        </w:rPr>
        <w:t xml:space="preserve">pathologie maligne, </w:t>
      </w:r>
      <w:r w:rsidRPr="00DC2F2C">
        <w:rPr>
          <w:lang w:val="fr-FR"/>
        </w:rPr>
        <w:t>â</w:t>
      </w:r>
      <w:r w:rsidR="0070310E" w:rsidRPr="00DC2F2C">
        <w:rPr>
          <w:lang w:val="fr-FR"/>
        </w:rPr>
        <w:t>ge &gt;65</w:t>
      </w:r>
      <w:r w:rsidRPr="00DC2F2C">
        <w:rPr>
          <w:lang w:val="fr-FR"/>
        </w:rPr>
        <w:t> ans</w:t>
      </w:r>
      <w:r w:rsidR="0070310E" w:rsidRPr="00DC2F2C">
        <w:rPr>
          <w:lang w:val="fr-FR"/>
        </w:rPr>
        <w:t>, hypertension</w:t>
      </w:r>
      <w:r w:rsidRPr="00DC2F2C">
        <w:rPr>
          <w:lang w:val="fr-FR"/>
        </w:rPr>
        <w:t xml:space="preserve"> artérielle</w:t>
      </w:r>
      <w:r w:rsidR="0070310E" w:rsidRPr="00DC2F2C">
        <w:rPr>
          <w:lang w:val="fr-FR"/>
        </w:rPr>
        <w:t xml:space="preserve">, </w:t>
      </w:r>
      <w:r w:rsidRPr="00DC2F2C">
        <w:rPr>
          <w:lang w:val="fr-FR"/>
        </w:rPr>
        <w:t>diabète</w:t>
      </w:r>
      <w:r w:rsidR="0070310E" w:rsidRPr="00DC2F2C">
        <w:rPr>
          <w:lang w:val="fr-FR"/>
        </w:rPr>
        <w:t xml:space="preserve">, </w:t>
      </w:r>
      <w:r w:rsidRPr="00DC2F2C">
        <w:rPr>
          <w:lang w:val="fr-FR"/>
        </w:rPr>
        <w:t>tabagisme</w:t>
      </w:r>
      <w:r w:rsidR="00C342D4" w:rsidRPr="00DC2F2C">
        <w:rPr>
          <w:lang w:val="fr-FR"/>
        </w:rPr>
        <w:t>, hypercholest</w:t>
      </w:r>
      <w:r w:rsidRPr="00DC2F2C">
        <w:rPr>
          <w:lang w:val="fr-FR"/>
        </w:rPr>
        <w:t>é</w:t>
      </w:r>
      <w:r w:rsidR="00C342D4" w:rsidRPr="00DC2F2C">
        <w:rPr>
          <w:lang w:val="fr-FR"/>
        </w:rPr>
        <w:t>rol</w:t>
      </w:r>
      <w:r w:rsidRPr="00DC2F2C">
        <w:rPr>
          <w:lang w:val="fr-FR"/>
        </w:rPr>
        <w:t>é</w:t>
      </w:r>
      <w:r w:rsidR="00C342D4" w:rsidRPr="00DC2F2C">
        <w:rPr>
          <w:lang w:val="fr-FR"/>
        </w:rPr>
        <w:t>mi</w:t>
      </w:r>
      <w:r w:rsidRPr="00DC2F2C">
        <w:rPr>
          <w:lang w:val="fr-FR"/>
        </w:rPr>
        <w:t>e et antécédents de maladie thrombo-embolique</w:t>
      </w:r>
      <w:r w:rsidR="0070310E" w:rsidRPr="00DC2F2C">
        <w:rPr>
          <w:lang w:val="fr-FR"/>
        </w:rPr>
        <w:t xml:space="preserve">. </w:t>
      </w:r>
      <w:r w:rsidRPr="00DC2F2C">
        <w:rPr>
          <w:lang w:val="fr-FR"/>
        </w:rPr>
        <w:t xml:space="preserve">Le </w:t>
      </w:r>
      <w:proofErr w:type="spellStart"/>
      <w:r w:rsidRPr="00DC2F2C">
        <w:rPr>
          <w:lang w:val="fr-FR"/>
        </w:rPr>
        <w:t>t</w:t>
      </w:r>
      <w:r w:rsidR="00142BCF" w:rsidRPr="00DC2F2C">
        <w:rPr>
          <w:lang w:val="fr-FR"/>
        </w:rPr>
        <w:t>ivozanib</w:t>
      </w:r>
      <w:proofErr w:type="spellEnd"/>
      <w:r w:rsidR="0070310E" w:rsidRPr="00DC2F2C">
        <w:rPr>
          <w:lang w:val="fr-FR"/>
        </w:rPr>
        <w:t xml:space="preserve"> </w:t>
      </w:r>
      <w:r w:rsidRPr="00DC2F2C">
        <w:rPr>
          <w:lang w:val="fr-FR"/>
        </w:rPr>
        <w:t xml:space="preserve">n’a pas été étudié chez les patients ayant présenté un ETEA </w:t>
      </w:r>
      <w:r w:rsidR="00AA3C53" w:rsidRPr="00DC2F2C">
        <w:rPr>
          <w:lang w:val="fr-FR"/>
        </w:rPr>
        <w:t xml:space="preserve">lors </w:t>
      </w:r>
      <w:r w:rsidRPr="00DC2F2C">
        <w:rPr>
          <w:lang w:val="fr-FR"/>
        </w:rPr>
        <w:t>des 6 mois précédant le début de l’étude clinique</w:t>
      </w:r>
      <w:r w:rsidR="0070310E" w:rsidRPr="00DC2F2C">
        <w:rPr>
          <w:lang w:val="fr-FR"/>
        </w:rPr>
        <w:t xml:space="preserve">. </w:t>
      </w:r>
      <w:r w:rsidRPr="00DC2F2C">
        <w:rPr>
          <w:lang w:val="fr-FR"/>
        </w:rPr>
        <w:t xml:space="preserve">Le </w:t>
      </w:r>
      <w:proofErr w:type="spellStart"/>
      <w:r w:rsidRPr="00DC2F2C">
        <w:rPr>
          <w:lang w:val="fr-FR"/>
        </w:rPr>
        <w:t>t</w:t>
      </w:r>
      <w:r w:rsidR="00142BCF" w:rsidRPr="00DC2F2C">
        <w:rPr>
          <w:lang w:val="fr-FR"/>
        </w:rPr>
        <w:t>ivozanib</w:t>
      </w:r>
      <w:proofErr w:type="spellEnd"/>
      <w:r w:rsidR="005A1870" w:rsidRPr="00DC2F2C">
        <w:rPr>
          <w:lang w:val="fr-FR"/>
        </w:rPr>
        <w:t xml:space="preserve"> </w:t>
      </w:r>
      <w:r w:rsidRPr="00DC2F2C">
        <w:rPr>
          <w:lang w:val="fr-FR"/>
        </w:rPr>
        <w:t>doit être utilisé avec précaution chez les patients à risque ou présentant des antécédents de ces événements</w:t>
      </w:r>
      <w:r w:rsidR="005A1870" w:rsidRPr="00DC2F2C">
        <w:rPr>
          <w:lang w:val="fr-FR"/>
        </w:rPr>
        <w:t xml:space="preserve"> (</w:t>
      </w:r>
      <w:r w:rsidRPr="00DC2F2C">
        <w:rPr>
          <w:lang w:val="fr-FR"/>
        </w:rPr>
        <w:t xml:space="preserve">infarctus du myocarde ou </w:t>
      </w:r>
      <w:r w:rsidR="00710AA4" w:rsidRPr="00DC2F2C">
        <w:rPr>
          <w:lang w:val="fr-FR"/>
        </w:rPr>
        <w:t>AVC</w:t>
      </w:r>
      <w:r w:rsidRPr="00DC2F2C">
        <w:rPr>
          <w:lang w:val="fr-FR"/>
        </w:rPr>
        <w:t xml:space="preserve"> par exemple</w:t>
      </w:r>
      <w:r w:rsidR="005A1870" w:rsidRPr="00DC2F2C">
        <w:rPr>
          <w:lang w:val="fr-FR"/>
        </w:rPr>
        <w:t>).</w:t>
      </w:r>
    </w:p>
    <w:p w14:paraId="39A4FD85" w14:textId="77777777" w:rsidR="0070310E" w:rsidRPr="00DC2F2C" w:rsidRDefault="0070310E" w:rsidP="009D43DC">
      <w:pPr>
        <w:ind w:right="549"/>
        <w:rPr>
          <w:szCs w:val="22"/>
          <w:lang w:val="fr-FR"/>
        </w:rPr>
      </w:pPr>
    </w:p>
    <w:p w14:paraId="099EB6DB" w14:textId="77777777" w:rsidR="0070310E" w:rsidRPr="00DC2F2C" w:rsidRDefault="000974FC" w:rsidP="009D43DC">
      <w:pPr>
        <w:keepNext/>
        <w:keepLines/>
        <w:ind w:right="550"/>
        <w:rPr>
          <w:szCs w:val="22"/>
          <w:u w:val="single"/>
          <w:lang w:val="fr-FR"/>
        </w:rPr>
      </w:pPr>
      <w:r w:rsidRPr="00DC2F2C">
        <w:rPr>
          <w:szCs w:val="22"/>
          <w:u w:val="single"/>
          <w:lang w:val="fr-FR"/>
        </w:rPr>
        <w:t>Événements thrombo-emboliques veineux</w:t>
      </w:r>
    </w:p>
    <w:p w14:paraId="28D99360" w14:textId="77777777" w:rsidR="0070310E" w:rsidRPr="00DC2F2C" w:rsidRDefault="000974FC" w:rsidP="000A5BB2">
      <w:pPr>
        <w:rPr>
          <w:lang w:val="fr-FR"/>
        </w:rPr>
      </w:pPr>
      <w:r w:rsidRPr="00DC2F2C">
        <w:rPr>
          <w:lang w:val="fr-FR"/>
        </w:rPr>
        <w:t xml:space="preserve">Dans les études cliniques portant sur le </w:t>
      </w:r>
      <w:proofErr w:type="spellStart"/>
      <w:r w:rsidR="00142BCF" w:rsidRPr="00DC2F2C">
        <w:rPr>
          <w:lang w:val="fr-FR"/>
        </w:rPr>
        <w:t>tivozanib</w:t>
      </w:r>
      <w:proofErr w:type="spellEnd"/>
      <w:r w:rsidR="0070310E" w:rsidRPr="00DC2F2C">
        <w:rPr>
          <w:lang w:val="fr-FR"/>
        </w:rPr>
        <w:t xml:space="preserve">, </w:t>
      </w:r>
      <w:r w:rsidRPr="00DC2F2C">
        <w:rPr>
          <w:lang w:val="fr-FR"/>
        </w:rPr>
        <w:t xml:space="preserve">des événements thrombo-emboliques veineux </w:t>
      </w:r>
      <w:r w:rsidR="0070310E" w:rsidRPr="00DC2F2C">
        <w:rPr>
          <w:lang w:val="fr-FR"/>
        </w:rPr>
        <w:t>(</w:t>
      </w:r>
      <w:r w:rsidRPr="00DC2F2C">
        <w:rPr>
          <w:lang w:val="fr-FR"/>
        </w:rPr>
        <w:t>ETEV</w:t>
      </w:r>
      <w:r w:rsidR="0070310E" w:rsidRPr="00DC2F2C">
        <w:rPr>
          <w:lang w:val="fr-FR"/>
        </w:rPr>
        <w:t xml:space="preserve">) </w:t>
      </w:r>
      <w:r w:rsidRPr="00DC2F2C">
        <w:rPr>
          <w:lang w:val="fr-FR"/>
        </w:rPr>
        <w:t xml:space="preserve">ont été rapportés, </w:t>
      </w:r>
      <w:r w:rsidR="00E834AF" w:rsidRPr="00DC2F2C">
        <w:rPr>
          <w:lang w:val="fr-FR"/>
        </w:rPr>
        <w:t>y compris</w:t>
      </w:r>
      <w:r w:rsidR="00710AA4" w:rsidRPr="00DC2F2C">
        <w:rPr>
          <w:lang w:val="fr-FR"/>
        </w:rPr>
        <w:t xml:space="preserve"> </w:t>
      </w:r>
      <w:r w:rsidR="00B52BCC" w:rsidRPr="00DC2F2C">
        <w:rPr>
          <w:lang w:val="fr-FR"/>
        </w:rPr>
        <w:t xml:space="preserve">une </w:t>
      </w:r>
      <w:r w:rsidRPr="00DC2F2C">
        <w:rPr>
          <w:lang w:val="fr-FR"/>
        </w:rPr>
        <w:t xml:space="preserve">embolie pulmonaire et </w:t>
      </w:r>
      <w:r w:rsidR="00B52BCC" w:rsidRPr="00DC2F2C">
        <w:rPr>
          <w:lang w:val="fr-FR"/>
        </w:rPr>
        <w:t>une</w:t>
      </w:r>
      <w:r w:rsidRPr="00DC2F2C">
        <w:rPr>
          <w:lang w:val="fr-FR"/>
        </w:rPr>
        <w:t xml:space="preserve"> thrombose veineuse profonde</w:t>
      </w:r>
      <w:r w:rsidR="00EA42FE" w:rsidRPr="00DC2F2C">
        <w:rPr>
          <w:lang w:val="fr-FR"/>
        </w:rPr>
        <w:t xml:space="preserve"> (</w:t>
      </w:r>
      <w:r w:rsidR="002D6EE5" w:rsidRPr="00DC2F2C">
        <w:rPr>
          <w:lang w:val="fr-FR"/>
        </w:rPr>
        <w:t>voir rubrique</w:t>
      </w:r>
      <w:r w:rsidR="00EA42FE" w:rsidRPr="00DC2F2C">
        <w:rPr>
          <w:lang w:val="fr-FR"/>
        </w:rPr>
        <w:t xml:space="preserve"> 4.8)</w:t>
      </w:r>
      <w:r w:rsidR="0070310E" w:rsidRPr="00DC2F2C">
        <w:rPr>
          <w:lang w:val="fr-FR"/>
        </w:rPr>
        <w:t xml:space="preserve">. </w:t>
      </w:r>
      <w:r w:rsidR="00B52BCC" w:rsidRPr="00DC2F2C">
        <w:rPr>
          <w:lang w:val="fr-FR"/>
        </w:rPr>
        <w:t xml:space="preserve">Les facteurs de risque d’ETEV </w:t>
      </w:r>
      <w:r w:rsidR="00900AB7" w:rsidRPr="00DC2F2C">
        <w:rPr>
          <w:lang w:val="fr-FR"/>
        </w:rPr>
        <w:t>incluent</w:t>
      </w:r>
      <w:r w:rsidR="00B52BCC" w:rsidRPr="00DC2F2C">
        <w:rPr>
          <w:lang w:val="fr-FR"/>
        </w:rPr>
        <w:t>: chirurgie lourde</w:t>
      </w:r>
      <w:r w:rsidR="0070310E" w:rsidRPr="00DC2F2C">
        <w:rPr>
          <w:lang w:val="fr-FR"/>
        </w:rPr>
        <w:t xml:space="preserve">, </w:t>
      </w:r>
      <w:r w:rsidR="00B52BCC" w:rsidRPr="00DC2F2C">
        <w:rPr>
          <w:lang w:val="fr-FR"/>
        </w:rPr>
        <w:t>polytraumatisme</w:t>
      </w:r>
      <w:r w:rsidR="0070310E" w:rsidRPr="00DC2F2C">
        <w:rPr>
          <w:lang w:val="fr-FR"/>
        </w:rPr>
        <w:t xml:space="preserve">, </w:t>
      </w:r>
      <w:r w:rsidR="00B52BCC" w:rsidRPr="00DC2F2C">
        <w:rPr>
          <w:lang w:val="fr-FR"/>
        </w:rPr>
        <w:t>antécédents d’ETEV</w:t>
      </w:r>
      <w:r w:rsidR="0070310E" w:rsidRPr="00DC2F2C">
        <w:rPr>
          <w:lang w:val="fr-FR"/>
        </w:rPr>
        <w:t xml:space="preserve">, </w:t>
      </w:r>
      <w:r w:rsidR="00B52BCC" w:rsidRPr="00DC2F2C">
        <w:rPr>
          <w:lang w:val="fr-FR"/>
        </w:rPr>
        <w:t>â</w:t>
      </w:r>
      <w:r w:rsidR="0070310E" w:rsidRPr="00DC2F2C">
        <w:rPr>
          <w:lang w:val="fr-FR"/>
        </w:rPr>
        <w:t>ge</w:t>
      </w:r>
      <w:r w:rsidR="00B52BCC" w:rsidRPr="00DC2F2C">
        <w:rPr>
          <w:lang w:val="fr-FR"/>
        </w:rPr>
        <w:t xml:space="preserve"> avancé</w:t>
      </w:r>
      <w:r w:rsidR="0070310E" w:rsidRPr="00DC2F2C">
        <w:rPr>
          <w:lang w:val="fr-FR"/>
        </w:rPr>
        <w:t>, ob</w:t>
      </w:r>
      <w:r w:rsidR="00B52BCC" w:rsidRPr="00DC2F2C">
        <w:rPr>
          <w:lang w:val="fr-FR"/>
        </w:rPr>
        <w:t>ésité</w:t>
      </w:r>
      <w:r w:rsidR="0070310E" w:rsidRPr="00DC2F2C">
        <w:rPr>
          <w:lang w:val="fr-FR"/>
        </w:rPr>
        <w:t xml:space="preserve">, </w:t>
      </w:r>
      <w:r w:rsidR="00B52BCC" w:rsidRPr="00DC2F2C">
        <w:rPr>
          <w:lang w:val="fr-FR"/>
        </w:rPr>
        <w:t>insuffisance cardiaque ou respiratoire et immobilité prolongée</w:t>
      </w:r>
      <w:r w:rsidR="0070310E" w:rsidRPr="00DC2F2C">
        <w:rPr>
          <w:lang w:val="fr-FR"/>
        </w:rPr>
        <w:t xml:space="preserve">. </w:t>
      </w:r>
      <w:r w:rsidR="00B52BCC" w:rsidRPr="00DC2F2C">
        <w:rPr>
          <w:lang w:val="fr-FR"/>
        </w:rPr>
        <w:t xml:space="preserve">Le </w:t>
      </w:r>
      <w:proofErr w:type="spellStart"/>
      <w:r w:rsidR="00B52BCC" w:rsidRPr="00DC2F2C">
        <w:rPr>
          <w:lang w:val="fr-FR"/>
        </w:rPr>
        <w:t>t</w:t>
      </w:r>
      <w:r w:rsidR="00142BCF" w:rsidRPr="00DC2F2C">
        <w:rPr>
          <w:lang w:val="fr-FR"/>
        </w:rPr>
        <w:t>ivozanib</w:t>
      </w:r>
      <w:proofErr w:type="spellEnd"/>
      <w:r w:rsidR="0070310E" w:rsidRPr="00DC2F2C">
        <w:rPr>
          <w:lang w:val="fr-FR"/>
        </w:rPr>
        <w:t xml:space="preserve"> </w:t>
      </w:r>
      <w:r w:rsidR="00B52BCC" w:rsidRPr="00DC2F2C">
        <w:rPr>
          <w:lang w:val="fr-FR"/>
        </w:rPr>
        <w:t>n’a pas été étudié chez les patients ayant présenté un ETEV</w:t>
      </w:r>
      <w:r w:rsidR="0070310E" w:rsidRPr="00DC2F2C">
        <w:rPr>
          <w:lang w:val="fr-FR"/>
        </w:rPr>
        <w:t xml:space="preserve"> </w:t>
      </w:r>
      <w:r w:rsidR="00AA3C53" w:rsidRPr="00DC2F2C">
        <w:rPr>
          <w:lang w:val="fr-FR"/>
        </w:rPr>
        <w:t xml:space="preserve">lors </w:t>
      </w:r>
      <w:r w:rsidR="00B52BCC" w:rsidRPr="00DC2F2C">
        <w:rPr>
          <w:lang w:val="fr-FR"/>
        </w:rPr>
        <w:t>des 6 mois précédant le début de l’étude clinique</w:t>
      </w:r>
      <w:r w:rsidR="0070310E" w:rsidRPr="00DC2F2C">
        <w:rPr>
          <w:lang w:val="fr-FR"/>
        </w:rPr>
        <w:t xml:space="preserve">. </w:t>
      </w:r>
      <w:r w:rsidR="00B52BCC" w:rsidRPr="00DC2F2C">
        <w:rPr>
          <w:lang w:val="fr-FR"/>
        </w:rPr>
        <w:t xml:space="preserve">La décision thérapeutique, en particulier chez les patients à risque de présenter des ETEV, doit être basée sur l’évaluation du rapport bénéfice/risque </w:t>
      </w:r>
      <w:r w:rsidR="00AA3C53" w:rsidRPr="00DC2F2C">
        <w:rPr>
          <w:lang w:val="fr-FR"/>
        </w:rPr>
        <w:t>pour</w:t>
      </w:r>
      <w:r w:rsidR="00B52BCC" w:rsidRPr="00DC2F2C">
        <w:rPr>
          <w:lang w:val="fr-FR"/>
        </w:rPr>
        <w:t xml:space="preserve"> chaque patient</w:t>
      </w:r>
      <w:r w:rsidR="005A1870" w:rsidRPr="00DC2F2C">
        <w:rPr>
          <w:lang w:val="fr-FR"/>
        </w:rPr>
        <w:t>.</w:t>
      </w:r>
    </w:p>
    <w:p w14:paraId="3DF79CF9" w14:textId="77777777" w:rsidR="002A0C1A" w:rsidRPr="00DC2F2C" w:rsidRDefault="002A0C1A" w:rsidP="009D43DC">
      <w:pPr>
        <w:pStyle w:val="00Paragraph"/>
        <w:spacing w:before="0" w:after="0" w:line="240" w:lineRule="auto"/>
        <w:ind w:right="549"/>
        <w:rPr>
          <w:sz w:val="22"/>
          <w:szCs w:val="22"/>
          <w:lang w:val="fr-FR"/>
        </w:rPr>
      </w:pPr>
    </w:p>
    <w:p w14:paraId="5F4DC0CA" w14:textId="77777777" w:rsidR="002A0C1A" w:rsidRPr="00DC2F2C" w:rsidRDefault="00551252" w:rsidP="0037188C">
      <w:pPr>
        <w:keepNext/>
        <w:keepLines/>
        <w:autoSpaceDE w:val="0"/>
        <w:autoSpaceDN w:val="0"/>
        <w:adjustRightInd w:val="0"/>
        <w:rPr>
          <w:iCs/>
          <w:szCs w:val="22"/>
          <w:u w:val="single"/>
          <w:lang w:val="fr-FR"/>
        </w:rPr>
      </w:pPr>
      <w:r w:rsidRPr="00DC2F2C">
        <w:rPr>
          <w:iCs/>
          <w:szCs w:val="22"/>
          <w:u w:val="single"/>
          <w:lang w:val="fr-FR"/>
        </w:rPr>
        <w:lastRenderedPageBreak/>
        <w:t>Insuffisance cardiaque</w:t>
      </w:r>
    </w:p>
    <w:p w14:paraId="44E9F866" w14:textId="77777777" w:rsidR="002A0C1A" w:rsidRPr="00DC2F2C" w:rsidRDefault="00551252" w:rsidP="0037188C">
      <w:pPr>
        <w:keepNext/>
        <w:keepLines/>
        <w:autoSpaceDE w:val="0"/>
        <w:autoSpaceDN w:val="0"/>
        <w:adjustRightInd w:val="0"/>
        <w:rPr>
          <w:szCs w:val="22"/>
          <w:lang w:val="fr-FR"/>
        </w:rPr>
      </w:pPr>
      <w:r w:rsidRPr="00DC2F2C">
        <w:rPr>
          <w:szCs w:val="22"/>
          <w:lang w:val="fr-FR"/>
        </w:rPr>
        <w:t xml:space="preserve">Dans les études cliniques portant sur le </w:t>
      </w:r>
      <w:proofErr w:type="spellStart"/>
      <w:r w:rsidR="00142BCF" w:rsidRPr="00DC2F2C">
        <w:rPr>
          <w:szCs w:val="22"/>
          <w:lang w:val="fr-FR"/>
        </w:rPr>
        <w:t>tivozanib</w:t>
      </w:r>
      <w:proofErr w:type="spellEnd"/>
      <w:r w:rsidR="00B15324" w:rsidRPr="00DC2F2C">
        <w:rPr>
          <w:szCs w:val="22"/>
          <w:lang w:val="fr-FR"/>
        </w:rPr>
        <w:t xml:space="preserve"> </w:t>
      </w:r>
      <w:r w:rsidRPr="00DC2F2C">
        <w:rPr>
          <w:szCs w:val="22"/>
          <w:lang w:val="fr-FR"/>
        </w:rPr>
        <w:t>en monothérapie pour le traitement de patients atteints d’un CCR, une insuffisance cardiaque a été rapportée</w:t>
      </w:r>
      <w:r w:rsidR="00EA42FE" w:rsidRPr="00DC2F2C">
        <w:rPr>
          <w:szCs w:val="22"/>
          <w:lang w:val="fr-FR"/>
        </w:rPr>
        <w:t xml:space="preserve"> (</w:t>
      </w:r>
      <w:r w:rsidR="002D6EE5" w:rsidRPr="00DC2F2C">
        <w:rPr>
          <w:szCs w:val="22"/>
          <w:lang w:val="fr-FR"/>
        </w:rPr>
        <w:t xml:space="preserve">voir rubrique </w:t>
      </w:r>
      <w:r w:rsidR="00EA42FE" w:rsidRPr="00DC2F2C">
        <w:rPr>
          <w:szCs w:val="22"/>
          <w:lang w:val="fr-FR"/>
        </w:rPr>
        <w:t>4.8)</w:t>
      </w:r>
      <w:r w:rsidR="002A0C1A" w:rsidRPr="00DC2F2C">
        <w:rPr>
          <w:szCs w:val="22"/>
          <w:lang w:val="fr-FR"/>
        </w:rPr>
        <w:t xml:space="preserve">. </w:t>
      </w:r>
      <w:r w:rsidRPr="00DC2F2C">
        <w:rPr>
          <w:szCs w:val="22"/>
          <w:lang w:val="fr-FR"/>
        </w:rPr>
        <w:t xml:space="preserve">Les signes ou symptômes d’insuffisance cardiaque doivent être régulièrement surveillés au cours du traitement par </w:t>
      </w:r>
      <w:proofErr w:type="spellStart"/>
      <w:r w:rsidR="00142BCF" w:rsidRPr="00DC2F2C">
        <w:rPr>
          <w:szCs w:val="22"/>
          <w:lang w:val="fr-FR"/>
        </w:rPr>
        <w:t>tivozanib</w:t>
      </w:r>
      <w:proofErr w:type="spellEnd"/>
      <w:r w:rsidR="002A0C1A" w:rsidRPr="00DC2F2C">
        <w:rPr>
          <w:szCs w:val="22"/>
          <w:lang w:val="fr-FR"/>
        </w:rPr>
        <w:t xml:space="preserve">. </w:t>
      </w:r>
      <w:r w:rsidRPr="00DC2F2C">
        <w:rPr>
          <w:szCs w:val="22"/>
          <w:lang w:val="fr-FR"/>
        </w:rPr>
        <w:t>La prise en charge des événements d’insuffisance cardiaque peut nécessiter l’interruption temporaire ou l’arrêt définitif du traitement et/ou une réduction de la dose</w:t>
      </w:r>
      <w:r w:rsidR="002A0C1A" w:rsidRPr="00DC2F2C">
        <w:rPr>
          <w:szCs w:val="22"/>
          <w:lang w:val="fr-FR"/>
        </w:rPr>
        <w:t xml:space="preserve"> </w:t>
      </w:r>
      <w:r w:rsidRPr="00DC2F2C">
        <w:rPr>
          <w:szCs w:val="22"/>
          <w:lang w:val="fr-FR"/>
        </w:rPr>
        <w:t xml:space="preserve">de </w:t>
      </w:r>
      <w:proofErr w:type="spellStart"/>
      <w:r w:rsidR="00142BCF" w:rsidRPr="00DC2F2C">
        <w:rPr>
          <w:szCs w:val="22"/>
          <w:lang w:val="fr-FR"/>
        </w:rPr>
        <w:t>tivozanib</w:t>
      </w:r>
      <w:proofErr w:type="spellEnd"/>
      <w:r w:rsidR="00B15324" w:rsidRPr="00DC2F2C">
        <w:rPr>
          <w:szCs w:val="22"/>
          <w:lang w:val="fr-FR"/>
        </w:rPr>
        <w:t xml:space="preserve">, </w:t>
      </w:r>
      <w:r w:rsidRPr="00DC2F2C">
        <w:rPr>
          <w:szCs w:val="22"/>
          <w:lang w:val="fr-FR"/>
        </w:rPr>
        <w:t>ainsi que le traitement des causes sous-jacentes potentielles de l’insuffisance cardiaque, comme l’hypertension artérielle</w:t>
      </w:r>
      <w:r w:rsidR="00B15324" w:rsidRPr="00DC2F2C">
        <w:rPr>
          <w:szCs w:val="22"/>
          <w:lang w:val="fr-FR"/>
        </w:rPr>
        <w:t xml:space="preserve"> </w:t>
      </w:r>
      <w:r w:rsidRPr="00DC2F2C">
        <w:rPr>
          <w:szCs w:val="22"/>
          <w:lang w:val="fr-FR"/>
        </w:rPr>
        <w:t>par exemple</w:t>
      </w:r>
      <w:r w:rsidR="002A0C1A" w:rsidRPr="00DC2F2C">
        <w:rPr>
          <w:szCs w:val="22"/>
          <w:lang w:val="fr-FR"/>
        </w:rPr>
        <w:t>.</w:t>
      </w:r>
    </w:p>
    <w:p w14:paraId="5EEB33EC" w14:textId="77777777" w:rsidR="0070310E" w:rsidRPr="00DC2F2C" w:rsidRDefault="0070310E" w:rsidP="009D43DC">
      <w:pPr>
        <w:ind w:right="549"/>
        <w:rPr>
          <w:szCs w:val="22"/>
          <w:lang w:val="fr-FR"/>
        </w:rPr>
      </w:pPr>
    </w:p>
    <w:p w14:paraId="0033E0E5" w14:textId="77777777" w:rsidR="0070310E" w:rsidRPr="00DC2F2C" w:rsidRDefault="0070310E" w:rsidP="009D43DC">
      <w:pPr>
        <w:keepNext/>
        <w:keepLines/>
        <w:suppressLineNumbers/>
        <w:tabs>
          <w:tab w:val="clear" w:pos="567"/>
        </w:tabs>
        <w:ind w:right="550"/>
        <w:rPr>
          <w:szCs w:val="22"/>
          <w:u w:val="single"/>
          <w:lang w:val="fr-FR"/>
        </w:rPr>
      </w:pPr>
      <w:r w:rsidRPr="00DC2F2C">
        <w:rPr>
          <w:szCs w:val="22"/>
          <w:u w:val="single"/>
          <w:lang w:val="fr-FR"/>
        </w:rPr>
        <w:t>H</w:t>
      </w:r>
      <w:r w:rsidR="007F25BB" w:rsidRPr="00DC2F2C">
        <w:rPr>
          <w:szCs w:val="22"/>
          <w:u w:val="single"/>
          <w:lang w:val="fr-FR"/>
        </w:rPr>
        <w:t>émorragie</w:t>
      </w:r>
    </w:p>
    <w:p w14:paraId="614763D7" w14:textId="77777777" w:rsidR="0070310E" w:rsidRPr="00DC2F2C" w:rsidRDefault="007F25BB" w:rsidP="000A5BB2">
      <w:pPr>
        <w:rPr>
          <w:lang w:val="fr-FR"/>
        </w:rPr>
      </w:pPr>
      <w:r w:rsidRPr="00DC2F2C">
        <w:rPr>
          <w:lang w:val="fr-FR"/>
        </w:rPr>
        <w:t xml:space="preserve">Dans les études cliniques portant sur le </w:t>
      </w:r>
      <w:proofErr w:type="spellStart"/>
      <w:r w:rsidR="00142BCF" w:rsidRPr="00DC2F2C">
        <w:rPr>
          <w:lang w:val="fr-FR"/>
        </w:rPr>
        <w:t>tivozanib</w:t>
      </w:r>
      <w:proofErr w:type="spellEnd"/>
      <w:r w:rsidR="0070310E" w:rsidRPr="00DC2F2C">
        <w:rPr>
          <w:lang w:val="fr-FR"/>
        </w:rPr>
        <w:t xml:space="preserve">, </w:t>
      </w:r>
      <w:r w:rsidRPr="00DC2F2C">
        <w:rPr>
          <w:lang w:val="fr-FR"/>
        </w:rPr>
        <w:t xml:space="preserve">des événements hémorragiques ont été rapportés </w:t>
      </w:r>
      <w:r w:rsidR="00EA42FE" w:rsidRPr="00DC2F2C">
        <w:rPr>
          <w:lang w:val="fr-FR"/>
        </w:rPr>
        <w:t>(</w:t>
      </w:r>
      <w:r w:rsidR="002D6EE5" w:rsidRPr="00DC2F2C">
        <w:rPr>
          <w:lang w:val="fr-FR"/>
        </w:rPr>
        <w:t xml:space="preserve">voir rubrique </w:t>
      </w:r>
      <w:r w:rsidR="00EA42FE" w:rsidRPr="00DC2F2C">
        <w:rPr>
          <w:lang w:val="fr-FR"/>
        </w:rPr>
        <w:t>4.8)</w:t>
      </w:r>
      <w:r w:rsidR="0070310E" w:rsidRPr="00DC2F2C">
        <w:rPr>
          <w:lang w:val="fr-FR"/>
        </w:rPr>
        <w:t xml:space="preserve">. </w:t>
      </w:r>
      <w:r w:rsidR="0004433D" w:rsidRPr="00DC2F2C">
        <w:rPr>
          <w:lang w:val="fr-FR"/>
        </w:rPr>
        <w:t xml:space="preserve">Le </w:t>
      </w:r>
      <w:proofErr w:type="spellStart"/>
      <w:r w:rsidR="0004433D" w:rsidRPr="00DC2F2C">
        <w:rPr>
          <w:lang w:val="fr-FR"/>
        </w:rPr>
        <w:t>t</w:t>
      </w:r>
      <w:r w:rsidR="00142BCF" w:rsidRPr="00DC2F2C">
        <w:rPr>
          <w:lang w:val="fr-FR"/>
        </w:rPr>
        <w:t>ivozanib</w:t>
      </w:r>
      <w:proofErr w:type="spellEnd"/>
      <w:r w:rsidR="0070310E" w:rsidRPr="00DC2F2C">
        <w:rPr>
          <w:lang w:val="fr-FR"/>
        </w:rPr>
        <w:t xml:space="preserve"> </w:t>
      </w:r>
      <w:r w:rsidR="0004433D" w:rsidRPr="00DC2F2C">
        <w:rPr>
          <w:lang w:val="fr-FR"/>
        </w:rPr>
        <w:t>doit être utilisé avec précaution chez les patients à risque ou présentant des antécédents d’hémorragies</w:t>
      </w:r>
      <w:r w:rsidR="0070310E" w:rsidRPr="00DC2F2C">
        <w:rPr>
          <w:lang w:val="fr-FR"/>
        </w:rPr>
        <w:t xml:space="preserve">. </w:t>
      </w:r>
      <w:r w:rsidR="0004433D" w:rsidRPr="00DC2F2C">
        <w:rPr>
          <w:lang w:val="fr-FR"/>
        </w:rPr>
        <w:t>Si un saignement nécessite une intervention médicale, le traitement par</w:t>
      </w:r>
      <w:r w:rsidR="0070310E" w:rsidRPr="00DC2F2C">
        <w:rPr>
          <w:lang w:val="fr-FR"/>
        </w:rPr>
        <w:t xml:space="preserve"> </w:t>
      </w:r>
      <w:proofErr w:type="spellStart"/>
      <w:r w:rsidR="00142BCF" w:rsidRPr="00DC2F2C">
        <w:rPr>
          <w:lang w:val="fr-FR"/>
        </w:rPr>
        <w:t>tivozanib</w:t>
      </w:r>
      <w:proofErr w:type="spellEnd"/>
      <w:r w:rsidR="0070310E" w:rsidRPr="00DC2F2C">
        <w:rPr>
          <w:lang w:val="fr-FR"/>
        </w:rPr>
        <w:t xml:space="preserve"> </w:t>
      </w:r>
      <w:r w:rsidR="0004433D" w:rsidRPr="00DC2F2C">
        <w:rPr>
          <w:lang w:val="fr-FR"/>
        </w:rPr>
        <w:t>doit être interrompu temporairement</w:t>
      </w:r>
      <w:r w:rsidR="0070310E" w:rsidRPr="00DC2F2C">
        <w:rPr>
          <w:lang w:val="fr-FR"/>
        </w:rPr>
        <w:t>.</w:t>
      </w:r>
    </w:p>
    <w:p w14:paraId="0ACE2738" w14:textId="77777777" w:rsidR="0070310E" w:rsidRPr="00DC2F2C" w:rsidRDefault="0070310E" w:rsidP="009D43DC">
      <w:pPr>
        <w:ind w:right="549"/>
        <w:rPr>
          <w:szCs w:val="22"/>
          <w:lang w:val="fr-FR"/>
        </w:rPr>
      </w:pPr>
    </w:p>
    <w:p w14:paraId="21C357BA" w14:textId="77777777" w:rsidR="0070310E" w:rsidRPr="00DC2F2C" w:rsidRDefault="0070310E" w:rsidP="009D43DC">
      <w:pPr>
        <w:keepNext/>
        <w:keepLines/>
        <w:suppressLineNumbers/>
        <w:tabs>
          <w:tab w:val="clear" w:pos="567"/>
        </w:tabs>
        <w:ind w:right="550"/>
        <w:rPr>
          <w:szCs w:val="22"/>
          <w:u w:val="single"/>
          <w:lang w:val="fr-FR"/>
        </w:rPr>
      </w:pPr>
      <w:r w:rsidRPr="00DC2F2C">
        <w:rPr>
          <w:szCs w:val="22"/>
          <w:u w:val="single"/>
          <w:lang w:val="fr-FR"/>
        </w:rPr>
        <w:t>Prot</w:t>
      </w:r>
      <w:r w:rsidR="00E422D7" w:rsidRPr="00DC2F2C">
        <w:rPr>
          <w:szCs w:val="22"/>
          <w:u w:val="single"/>
          <w:lang w:val="fr-FR"/>
        </w:rPr>
        <w:t>é</w:t>
      </w:r>
      <w:r w:rsidRPr="00DC2F2C">
        <w:rPr>
          <w:szCs w:val="22"/>
          <w:u w:val="single"/>
          <w:lang w:val="fr-FR"/>
        </w:rPr>
        <w:t>inuri</w:t>
      </w:r>
      <w:r w:rsidR="00E422D7" w:rsidRPr="00DC2F2C">
        <w:rPr>
          <w:szCs w:val="22"/>
          <w:u w:val="single"/>
          <w:lang w:val="fr-FR"/>
        </w:rPr>
        <w:t>e</w:t>
      </w:r>
    </w:p>
    <w:p w14:paraId="5E093FE1" w14:textId="77777777" w:rsidR="0070310E" w:rsidRPr="00DC2F2C" w:rsidRDefault="00033A76" w:rsidP="000A5BB2">
      <w:pPr>
        <w:rPr>
          <w:lang w:val="fr-FR"/>
        </w:rPr>
      </w:pPr>
      <w:r w:rsidRPr="00DC2F2C">
        <w:rPr>
          <w:lang w:val="fr-FR"/>
        </w:rPr>
        <w:t>Des cas de protéinurie ont</w:t>
      </w:r>
      <w:r w:rsidR="00E422D7" w:rsidRPr="00DC2F2C">
        <w:rPr>
          <w:lang w:val="fr-FR"/>
        </w:rPr>
        <w:t xml:space="preserve"> été rapporté</w:t>
      </w:r>
      <w:r w:rsidRPr="00DC2F2C">
        <w:rPr>
          <w:lang w:val="fr-FR"/>
        </w:rPr>
        <w:t>s</w:t>
      </w:r>
      <w:r w:rsidR="00E422D7" w:rsidRPr="00DC2F2C">
        <w:rPr>
          <w:lang w:val="fr-FR"/>
        </w:rPr>
        <w:t xml:space="preserve"> dans les études cliniques portant sur le</w:t>
      </w:r>
      <w:r w:rsidR="0070310E" w:rsidRPr="00DC2F2C">
        <w:rPr>
          <w:lang w:val="fr-FR"/>
        </w:rPr>
        <w:t xml:space="preserve"> </w:t>
      </w:r>
      <w:proofErr w:type="spellStart"/>
      <w:r w:rsidR="00142BCF" w:rsidRPr="00DC2F2C">
        <w:rPr>
          <w:lang w:val="fr-FR"/>
        </w:rPr>
        <w:t>tivozanib</w:t>
      </w:r>
      <w:proofErr w:type="spellEnd"/>
      <w:r w:rsidR="005728F1" w:rsidRPr="00DC2F2C">
        <w:rPr>
          <w:lang w:val="fr-FR"/>
        </w:rPr>
        <w:t xml:space="preserve"> (</w:t>
      </w:r>
      <w:r w:rsidR="002D6EE5" w:rsidRPr="00DC2F2C">
        <w:rPr>
          <w:lang w:val="fr-FR"/>
        </w:rPr>
        <w:t xml:space="preserve">voir rubrique </w:t>
      </w:r>
      <w:r w:rsidR="00EA42FE" w:rsidRPr="00DC2F2C">
        <w:rPr>
          <w:lang w:val="fr-FR"/>
        </w:rPr>
        <w:t>4.8)</w:t>
      </w:r>
      <w:r w:rsidR="0070310E" w:rsidRPr="00DC2F2C">
        <w:rPr>
          <w:lang w:val="fr-FR"/>
        </w:rPr>
        <w:t xml:space="preserve">. </w:t>
      </w:r>
      <w:r w:rsidRPr="00DC2F2C">
        <w:rPr>
          <w:lang w:val="fr-FR"/>
        </w:rPr>
        <w:t>Il est recommandé de surveiller les patients à la recherche d’une protéinurie</w:t>
      </w:r>
      <w:r w:rsidR="0070310E" w:rsidRPr="00DC2F2C">
        <w:rPr>
          <w:lang w:val="fr-FR"/>
        </w:rPr>
        <w:t xml:space="preserve"> </w:t>
      </w:r>
      <w:r w:rsidRPr="00DC2F2C">
        <w:rPr>
          <w:lang w:val="fr-FR"/>
        </w:rPr>
        <w:t>avant le début du traitement et régulièrement pendant celui-ci</w:t>
      </w:r>
      <w:r w:rsidR="0070310E" w:rsidRPr="00DC2F2C">
        <w:rPr>
          <w:lang w:val="fr-FR"/>
        </w:rPr>
        <w:t xml:space="preserve">. </w:t>
      </w:r>
      <w:r w:rsidRPr="00DC2F2C">
        <w:rPr>
          <w:lang w:val="fr-FR"/>
        </w:rPr>
        <w:t>Chez les patients présentant une protéinurie de g</w:t>
      </w:r>
      <w:r w:rsidR="0070310E" w:rsidRPr="00DC2F2C">
        <w:rPr>
          <w:lang w:val="fr-FR"/>
        </w:rPr>
        <w:t>rade</w:t>
      </w:r>
      <w:r w:rsidR="00DD7C25" w:rsidRPr="00DC2F2C">
        <w:rPr>
          <w:lang w:val="fr-FR"/>
        </w:rPr>
        <w:t> </w:t>
      </w:r>
      <w:r w:rsidR="0070310E" w:rsidRPr="00DC2F2C">
        <w:rPr>
          <w:lang w:val="fr-FR"/>
        </w:rPr>
        <w:t xml:space="preserve">2 </w:t>
      </w:r>
      <w:r w:rsidR="00B15324" w:rsidRPr="00DC2F2C">
        <w:rPr>
          <w:lang w:val="fr-FR"/>
        </w:rPr>
        <w:t>(&gt;</w:t>
      </w:r>
      <w:r w:rsidRPr="00DC2F2C">
        <w:rPr>
          <w:lang w:val="fr-FR"/>
        </w:rPr>
        <w:t>1,0-3,</w:t>
      </w:r>
      <w:r w:rsidR="00942F4A" w:rsidRPr="00DC2F2C">
        <w:rPr>
          <w:lang w:val="fr-FR"/>
        </w:rPr>
        <w:t>4 </w:t>
      </w:r>
      <w:r w:rsidR="00B15324" w:rsidRPr="00DC2F2C">
        <w:rPr>
          <w:lang w:val="fr-FR"/>
        </w:rPr>
        <w:t>g/24</w:t>
      </w:r>
      <w:r w:rsidR="00A237E2" w:rsidRPr="00DC2F2C">
        <w:rPr>
          <w:lang w:val="fr-FR"/>
        </w:rPr>
        <w:t> </w:t>
      </w:r>
      <w:r w:rsidRPr="00DC2F2C">
        <w:rPr>
          <w:lang w:val="fr-FR"/>
        </w:rPr>
        <w:t>heures</w:t>
      </w:r>
      <w:r w:rsidR="00B15324" w:rsidRPr="00DC2F2C">
        <w:rPr>
          <w:lang w:val="fr-FR"/>
        </w:rPr>
        <w:t xml:space="preserve">) </w:t>
      </w:r>
      <w:r w:rsidRPr="00DC2F2C">
        <w:rPr>
          <w:lang w:val="fr-FR"/>
        </w:rPr>
        <w:t>ou de g</w:t>
      </w:r>
      <w:r w:rsidR="0070310E" w:rsidRPr="00DC2F2C">
        <w:rPr>
          <w:lang w:val="fr-FR"/>
        </w:rPr>
        <w:t>rade</w:t>
      </w:r>
      <w:r w:rsidR="00DD7C25" w:rsidRPr="00DC2F2C">
        <w:rPr>
          <w:lang w:val="fr-FR"/>
        </w:rPr>
        <w:t> </w:t>
      </w:r>
      <w:r w:rsidR="0070310E" w:rsidRPr="00DC2F2C">
        <w:rPr>
          <w:lang w:val="fr-FR"/>
        </w:rPr>
        <w:t xml:space="preserve">3 </w:t>
      </w:r>
      <w:r w:rsidR="00942F4A" w:rsidRPr="00DC2F2C">
        <w:rPr>
          <w:lang w:val="fr-FR"/>
        </w:rPr>
        <w:t>(≥</w:t>
      </w:r>
      <w:r w:rsidRPr="00DC2F2C">
        <w:rPr>
          <w:lang w:val="fr-FR"/>
        </w:rPr>
        <w:t>3,</w:t>
      </w:r>
      <w:r w:rsidR="00B15324" w:rsidRPr="00DC2F2C">
        <w:rPr>
          <w:lang w:val="fr-FR"/>
        </w:rPr>
        <w:t>5</w:t>
      </w:r>
      <w:r w:rsidR="00942F4A" w:rsidRPr="00DC2F2C">
        <w:rPr>
          <w:lang w:val="fr-FR"/>
        </w:rPr>
        <w:t> </w:t>
      </w:r>
      <w:r w:rsidR="00B15324" w:rsidRPr="00DC2F2C">
        <w:rPr>
          <w:lang w:val="fr-FR"/>
        </w:rPr>
        <w:t>g/24</w:t>
      </w:r>
      <w:r w:rsidR="00A237E2" w:rsidRPr="00DC2F2C">
        <w:rPr>
          <w:lang w:val="fr-FR"/>
        </w:rPr>
        <w:t> </w:t>
      </w:r>
      <w:r w:rsidRPr="00DC2F2C">
        <w:rPr>
          <w:lang w:val="fr-FR"/>
        </w:rPr>
        <w:t>heures</w:t>
      </w:r>
      <w:r w:rsidR="00B15324" w:rsidRPr="00DC2F2C">
        <w:rPr>
          <w:lang w:val="fr-FR"/>
        </w:rPr>
        <w:t xml:space="preserve">) </w:t>
      </w:r>
      <w:r w:rsidR="0070310E" w:rsidRPr="00DC2F2C">
        <w:rPr>
          <w:lang w:val="fr-FR"/>
        </w:rPr>
        <w:t>(</w:t>
      </w:r>
      <w:r w:rsidRPr="00DC2F2C">
        <w:rPr>
          <w:lang w:val="fr-FR"/>
        </w:rPr>
        <w:t xml:space="preserve">classification NCI CTCAE </w:t>
      </w:r>
      <w:r w:rsidR="0070310E" w:rsidRPr="00DC2F2C">
        <w:rPr>
          <w:lang w:val="fr-FR"/>
        </w:rPr>
        <w:t>[</w:t>
      </w:r>
      <w:r w:rsidRPr="00DC2F2C">
        <w:rPr>
          <w:i/>
          <w:lang w:val="fr-FR"/>
        </w:rPr>
        <w:t xml:space="preserve">National Cancer Institute Common </w:t>
      </w:r>
      <w:proofErr w:type="spellStart"/>
      <w:r w:rsidRPr="00DC2F2C">
        <w:rPr>
          <w:i/>
          <w:lang w:val="fr-FR"/>
        </w:rPr>
        <w:t>Terminology</w:t>
      </w:r>
      <w:proofErr w:type="spellEnd"/>
      <w:r w:rsidRPr="00DC2F2C">
        <w:rPr>
          <w:i/>
          <w:lang w:val="fr-FR"/>
        </w:rPr>
        <w:t xml:space="preserve"> </w:t>
      </w:r>
      <w:proofErr w:type="spellStart"/>
      <w:r w:rsidRPr="00DC2F2C">
        <w:rPr>
          <w:i/>
          <w:lang w:val="fr-FR"/>
        </w:rPr>
        <w:t>Criteria</w:t>
      </w:r>
      <w:proofErr w:type="spellEnd"/>
      <w:r w:rsidRPr="00DC2F2C">
        <w:rPr>
          <w:i/>
          <w:lang w:val="fr-FR"/>
        </w:rPr>
        <w:t xml:space="preserve"> for Adverse Events</w:t>
      </w:r>
      <w:r w:rsidR="0070310E" w:rsidRPr="00DC2F2C">
        <w:rPr>
          <w:lang w:val="fr-FR"/>
        </w:rPr>
        <w:t xml:space="preserve">]), </w:t>
      </w:r>
      <w:r w:rsidRPr="00DC2F2C">
        <w:rPr>
          <w:lang w:val="fr-FR"/>
        </w:rPr>
        <w:t>la</w:t>
      </w:r>
      <w:r w:rsidR="0070310E" w:rsidRPr="00DC2F2C">
        <w:rPr>
          <w:lang w:val="fr-FR"/>
        </w:rPr>
        <w:t xml:space="preserve"> dose </w:t>
      </w:r>
      <w:r w:rsidR="00A630EA" w:rsidRPr="00DC2F2C">
        <w:rPr>
          <w:lang w:val="fr-FR"/>
        </w:rPr>
        <w:t>de</w:t>
      </w:r>
      <w:r w:rsidR="0070310E" w:rsidRPr="00DC2F2C">
        <w:rPr>
          <w:lang w:val="fr-FR"/>
        </w:rPr>
        <w:t xml:space="preserve"> </w:t>
      </w:r>
      <w:proofErr w:type="spellStart"/>
      <w:r w:rsidR="00142BCF" w:rsidRPr="00DC2F2C">
        <w:rPr>
          <w:lang w:val="fr-FR"/>
        </w:rPr>
        <w:t>tivozanib</w:t>
      </w:r>
      <w:proofErr w:type="spellEnd"/>
      <w:r w:rsidR="0070310E" w:rsidRPr="00DC2F2C">
        <w:rPr>
          <w:lang w:val="fr-FR"/>
        </w:rPr>
        <w:t xml:space="preserve"> </w:t>
      </w:r>
      <w:r w:rsidR="00A630EA" w:rsidRPr="00DC2F2C">
        <w:rPr>
          <w:lang w:val="fr-FR"/>
        </w:rPr>
        <w:t>doit être réduite ou le traitement interrompu temporairement</w:t>
      </w:r>
      <w:r w:rsidR="0070310E" w:rsidRPr="00DC2F2C">
        <w:rPr>
          <w:lang w:val="fr-FR"/>
        </w:rPr>
        <w:t xml:space="preserve">. </w:t>
      </w:r>
      <w:r w:rsidR="00A630EA" w:rsidRPr="00DC2F2C">
        <w:rPr>
          <w:lang w:val="fr-FR"/>
        </w:rPr>
        <w:t xml:space="preserve">Si le patient </w:t>
      </w:r>
      <w:r w:rsidR="00416C11" w:rsidRPr="00DC2F2C">
        <w:rPr>
          <w:lang w:val="fr-FR"/>
        </w:rPr>
        <w:t>développe</w:t>
      </w:r>
      <w:r w:rsidR="00A630EA" w:rsidRPr="00DC2F2C">
        <w:rPr>
          <w:lang w:val="fr-FR"/>
        </w:rPr>
        <w:t xml:space="preserve"> une protéinurie de</w:t>
      </w:r>
      <w:r w:rsidR="0070310E" w:rsidRPr="00DC2F2C">
        <w:rPr>
          <w:lang w:val="fr-FR"/>
        </w:rPr>
        <w:t xml:space="preserve"> </w:t>
      </w:r>
      <w:r w:rsidR="00A630EA" w:rsidRPr="00DC2F2C">
        <w:rPr>
          <w:lang w:val="fr-FR"/>
        </w:rPr>
        <w:t>g</w:t>
      </w:r>
      <w:r w:rsidR="0070310E" w:rsidRPr="00DC2F2C">
        <w:rPr>
          <w:lang w:val="fr-FR"/>
        </w:rPr>
        <w:t>rade</w:t>
      </w:r>
      <w:r w:rsidR="00DD7C25" w:rsidRPr="00DC2F2C">
        <w:rPr>
          <w:lang w:val="fr-FR"/>
        </w:rPr>
        <w:t> </w:t>
      </w:r>
      <w:r w:rsidR="0070310E" w:rsidRPr="00DC2F2C">
        <w:rPr>
          <w:lang w:val="fr-FR"/>
        </w:rPr>
        <w:t>4 (syndrome</w:t>
      </w:r>
      <w:r w:rsidR="00A630EA" w:rsidRPr="00DC2F2C">
        <w:rPr>
          <w:lang w:val="fr-FR"/>
        </w:rPr>
        <w:t xml:space="preserve"> néphrotique</w:t>
      </w:r>
      <w:r w:rsidR="0070310E" w:rsidRPr="00DC2F2C">
        <w:rPr>
          <w:lang w:val="fr-FR"/>
        </w:rPr>
        <w:t>)</w:t>
      </w:r>
      <w:r w:rsidR="00A630EA" w:rsidRPr="00DC2F2C">
        <w:rPr>
          <w:lang w:val="fr-FR"/>
        </w:rPr>
        <w:t xml:space="preserve">, le traitement par </w:t>
      </w:r>
      <w:proofErr w:type="spellStart"/>
      <w:r w:rsidR="00A630EA" w:rsidRPr="00DC2F2C">
        <w:rPr>
          <w:lang w:val="fr-FR"/>
        </w:rPr>
        <w:t>t</w:t>
      </w:r>
      <w:r w:rsidR="00142BCF" w:rsidRPr="00DC2F2C">
        <w:rPr>
          <w:lang w:val="fr-FR"/>
        </w:rPr>
        <w:t>ivozanib</w:t>
      </w:r>
      <w:proofErr w:type="spellEnd"/>
      <w:r w:rsidR="0070310E" w:rsidRPr="00DC2F2C">
        <w:rPr>
          <w:lang w:val="fr-FR"/>
        </w:rPr>
        <w:t xml:space="preserve"> </w:t>
      </w:r>
      <w:r w:rsidR="00A630EA" w:rsidRPr="00DC2F2C">
        <w:rPr>
          <w:lang w:val="fr-FR"/>
        </w:rPr>
        <w:t>doit être arrêté</w:t>
      </w:r>
      <w:r w:rsidR="0070310E" w:rsidRPr="00DC2F2C">
        <w:rPr>
          <w:lang w:val="fr-FR"/>
        </w:rPr>
        <w:t xml:space="preserve">. </w:t>
      </w:r>
      <w:r w:rsidR="00A630EA" w:rsidRPr="00DC2F2C">
        <w:rPr>
          <w:lang w:val="fr-FR"/>
        </w:rPr>
        <w:t xml:space="preserve">Les facteurs de risque de </w:t>
      </w:r>
      <w:r w:rsidR="007D4C48" w:rsidRPr="00DC2F2C">
        <w:rPr>
          <w:lang w:val="fr-FR"/>
        </w:rPr>
        <w:t xml:space="preserve">la </w:t>
      </w:r>
      <w:r w:rsidR="00A630EA" w:rsidRPr="00DC2F2C">
        <w:rPr>
          <w:lang w:val="fr-FR"/>
        </w:rPr>
        <w:t xml:space="preserve">protéinurie </w:t>
      </w:r>
      <w:r w:rsidR="00900AB7" w:rsidRPr="00DC2F2C">
        <w:rPr>
          <w:lang w:val="fr-FR"/>
        </w:rPr>
        <w:t>incluent</w:t>
      </w:r>
      <w:r w:rsidR="00A630EA" w:rsidRPr="00DC2F2C">
        <w:rPr>
          <w:lang w:val="fr-FR"/>
        </w:rPr>
        <w:t xml:space="preserve"> l’hypertension artérielle</w:t>
      </w:r>
      <w:r w:rsidR="0070310E" w:rsidRPr="00DC2F2C">
        <w:rPr>
          <w:lang w:val="fr-FR"/>
        </w:rPr>
        <w:t>.</w:t>
      </w:r>
    </w:p>
    <w:p w14:paraId="23E47541" w14:textId="77777777" w:rsidR="00EA42FE" w:rsidRPr="00DC2F2C" w:rsidRDefault="00EA42FE" w:rsidP="009D43DC">
      <w:pPr>
        <w:ind w:right="549"/>
        <w:rPr>
          <w:szCs w:val="22"/>
          <w:lang w:val="fr-FR"/>
        </w:rPr>
      </w:pPr>
    </w:p>
    <w:p w14:paraId="0E730247" w14:textId="77777777" w:rsidR="0070310E" w:rsidRPr="00DC2F2C" w:rsidRDefault="00F355B6" w:rsidP="009D43DC">
      <w:pPr>
        <w:keepNext/>
        <w:keepLines/>
        <w:suppressLineNumbers/>
        <w:ind w:right="550"/>
        <w:rPr>
          <w:szCs w:val="22"/>
          <w:u w:val="single"/>
          <w:lang w:val="fr-FR"/>
        </w:rPr>
      </w:pPr>
      <w:r w:rsidRPr="00DC2F2C">
        <w:rPr>
          <w:szCs w:val="22"/>
          <w:u w:val="single"/>
          <w:lang w:val="fr-FR"/>
        </w:rPr>
        <w:t>H</w:t>
      </w:r>
      <w:r w:rsidR="00A656FC" w:rsidRPr="00DC2F2C">
        <w:rPr>
          <w:szCs w:val="22"/>
          <w:u w:val="single"/>
          <w:lang w:val="fr-FR"/>
        </w:rPr>
        <w:t>é</w:t>
      </w:r>
      <w:r w:rsidRPr="00DC2F2C">
        <w:rPr>
          <w:szCs w:val="22"/>
          <w:u w:val="single"/>
          <w:lang w:val="fr-FR"/>
        </w:rPr>
        <w:t>patotoxicit</w:t>
      </w:r>
      <w:r w:rsidR="00A656FC" w:rsidRPr="00DC2F2C">
        <w:rPr>
          <w:szCs w:val="22"/>
          <w:u w:val="single"/>
          <w:lang w:val="fr-FR"/>
        </w:rPr>
        <w:t>é</w:t>
      </w:r>
    </w:p>
    <w:p w14:paraId="6D2B1217" w14:textId="77777777" w:rsidR="0070310E" w:rsidRPr="00DC2F2C" w:rsidRDefault="00A656FC" w:rsidP="000A5BB2">
      <w:pPr>
        <w:rPr>
          <w:lang w:val="fr-FR"/>
        </w:rPr>
      </w:pPr>
      <w:r w:rsidRPr="00DC2F2C">
        <w:rPr>
          <w:lang w:val="fr-FR"/>
        </w:rPr>
        <w:t xml:space="preserve">Dans les études cliniques portant sur le </w:t>
      </w:r>
      <w:proofErr w:type="spellStart"/>
      <w:r w:rsidR="00142BCF" w:rsidRPr="00DC2F2C">
        <w:rPr>
          <w:lang w:val="fr-FR"/>
        </w:rPr>
        <w:t>tivozanib</w:t>
      </w:r>
      <w:proofErr w:type="spellEnd"/>
      <w:r w:rsidR="0070310E" w:rsidRPr="00DC2F2C">
        <w:rPr>
          <w:lang w:val="fr-FR"/>
        </w:rPr>
        <w:t xml:space="preserve">, </w:t>
      </w:r>
      <w:r w:rsidRPr="00DC2F2C">
        <w:rPr>
          <w:lang w:val="fr-FR"/>
        </w:rPr>
        <w:t xml:space="preserve">des </w:t>
      </w:r>
      <w:r w:rsidR="007D4C48" w:rsidRPr="00DC2F2C">
        <w:rPr>
          <w:lang w:val="fr-FR"/>
        </w:rPr>
        <w:t xml:space="preserve">augmentations </w:t>
      </w:r>
      <w:r w:rsidRPr="00DC2F2C">
        <w:rPr>
          <w:lang w:val="fr-FR"/>
        </w:rPr>
        <w:t>des taux d’</w:t>
      </w:r>
      <w:r w:rsidR="0070310E" w:rsidRPr="00DC2F2C">
        <w:rPr>
          <w:lang w:val="fr-FR"/>
        </w:rPr>
        <w:t>AL</w:t>
      </w:r>
      <w:r w:rsidRPr="00DC2F2C">
        <w:rPr>
          <w:lang w:val="fr-FR"/>
        </w:rPr>
        <w:t>A</w:t>
      </w:r>
      <w:r w:rsidR="0070310E" w:rsidRPr="00DC2F2C">
        <w:rPr>
          <w:lang w:val="fr-FR"/>
        </w:rPr>
        <w:t xml:space="preserve">T, </w:t>
      </w:r>
      <w:r w:rsidRPr="00DC2F2C">
        <w:rPr>
          <w:lang w:val="fr-FR"/>
        </w:rPr>
        <w:t>d’</w:t>
      </w:r>
      <w:r w:rsidR="0070310E" w:rsidRPr="00DC2F2C">
        <w:rPr>
          <w:lang w:val="fr-FR"/>
        </w:rPr>
        <w:t>AS</w:t>
      </w:r>
      <w:r w:rsidRPr="00DC2F2C">
        <w:rPr>
          <w:lang w:val="fr-FR"/>
        </w:rPr>
        <w:t>A</w:t>
      </w:r>
      <w:r w:rsidR="0070310E" w:rsidRPr="00DC2F2C">
        <w:rPr>
          <w:lang w:val="fr-FR"/>
        </w:rPr>
        <w:t>T</w:t>
      </w:r>
      <w:r w:rsidRPr="00DC2F2C">
        <w:rPr>
          <w:lang w:val="fr-FR"/>
        </w:rPr>
        <w:t xml:space="preserve"> et de b</w:t>
      </w:r>
      <w:r w:rsidR="0070310E" w:rsidRPr="00DC2F2C">
        <w:rPr>
          <w:lang w:val="fr-FR"/>
        </w:rPr>
        <w:t>ilirubin</w:t>
      </w:r>
      <w:r w:rsidRPr="00DC2F2C">
        <w:rPr>
          <w:lang w:val="fr-FR"/>
        </w:rPr>
        <w:t>e</w:t>
      </w:r>
      <w:r w:rsidR="0070310E" w:rsidRPr="00DC2F2C">
        <w:rPr>
          <w:lang w:val="fr-FR"/>
        </w:rPr>
        <w:t xml:space="preserve"> </w:t>
      </w:r>
      <w:r w:rsidRPr="00DC2F2C">
        <w:rPr>
          <w:lang w:val="fr-FR"/>
        </w:rPr>
        <w:t>ont été rapportées</w:t>
      </w:r>
      <w:r w:rsidR="001B6897" w:rsidRPr="00DC2F2C">
        <w:rPr>
          <w:lang w:val="fr-FR"/>
        </w:rPr>
        <w:t xml:space="preserve"> (</w:t>
      </w:r>
      <w:r w:rsidR="002D6EE5" w:rsidRPr="00DC2F2C">
        <w:rPr>
          <w:lang w:val="fr-FR"/>
        </w:rPr>
        <w:t>voir rubrique</w:t>
      </w:r>
      <w:r w:rsidR="001B6897" w:rsidRPr="00DC2F2C">
        <w:rPr>
          <w:lang w:val="fr-FR"/>
        </w:rPr>
        <w:t xml:space="preserve"> 4.8)</w:t>
      </w:r>
      <w:r w:rsidR="0070310E" w:rsidRPr="00DC2F2C">
        <w:rPr>
          <w:lang w:val="fr-FR"/>
        </w:rPr>
        <w:t xml:space="preserve">. </w:t>
      </w:r>
      <w:r w:rsidRPr="00DC2F2C">
        <w:rPr>
          <w:lang w:val="fr-FR"/>
        </w:rPr>
        <w:t xml:space="preserve">La majorité des </w:t>
      </w:r>
      <w:r w:rsidR="007D4C48" w:rsidRPr="00DC2F2C">
        <w:rPr>
          <w:lang w:val="fr-FR"/>
        </w:rPr>
        <w:t xml:space="preserve">augmentations </w:t>
      </w:r>
      <w:r w:rsidRPr="00DC2F2C">
        <w:rPr>
          <w:lang w:val="fr-FR"/>
        </w:rPr>
        <w:t>des taux d’</w:t>
      </w:r>
      <w:r w:rsidR="0070310E" w:rsidRPr="00DC2F2C">
        <w:rPr>
          <w:lang w:val="fr-FR"/>
        </w:rPr>
        <w:t>AS</w:t>
      </w:r>
      <w:r w:rsidRPr="00DC2F2C">
        <w:rPr>
          <w:lang w:val="fr-FR"/>
        </w:rPr>
        <w:t>A</w:t>
      </w:r>
      <w:r w:rsidR="0070310E" w:rsidRPr="00DC2F2C">
        <w:rPr>
          <w:lang w:val="fr-FR"/>
        </w:rPr>
        <w:t xml:space="preserve">T </w:t>
      </w:r>
      <w:r w:rsidRPr="00DC2F2C">
        <w:rPr>
          <w:lang w:val="fr-FR"/>
        </w:rPr>
        <w:t>et d’</w:t>
      </w:r>
      <w:r w:rsidR="0070310E" w:rsidRPr="00DC2F2C">
        <w:rPr>
          <w:lang w:val="fr-FR"/>
        </w:rPr>
        <w:t>AL</w:t>
      </w:r>
      <w:r w:rsidRPr="00DC2F2C">
        <w:rPr>
          <w:lang w:val="fr-FR"/>
        </w:rPr>
        <w:t>A</w:t>
      </w:r>
      <w:r w:rsidR="0070310E" w:rsidRPr="00DC2F2C">
        <w:rPr>
          <w:lang w:val="fr-FR"/>
        </w:rPr>
        <w:t xml:space="preserve">T </w:t>
      </w:r>
      <w:r w:rsidRPr="00DC2F2C">
        <w:rPr>
          <w:lang w:val="fr-FR"/>
        </w:rPr>
        <w:t>n’étaient pas accompagnés d’</w:t>
      </w:r>
      <w:r w:rsidR="007D4C48" w:rsidRPr="00DC2F2C">
        <w:rPr>
          <w:lang w:val="fr-FR"/>
        </w:rPr>
        <w:t xml:space="preserve">augmentation </w:t>
      </w:r>
      <w:r w:rsidRPr="00DC2F2C">
        <w:rPr>
          <w:lang w:val="fr-FR"/>
        </w:rPr>
        <w:t>concomitante de la</w:t>
      </w:r>
      <w:r w:rsidR="0070310E" w:rsidRPr="00DC2F2C">
        <w:rPr>
          <w:lang w:val="fr-FR"/>
        </w:rPr>
        <w:t xml:space="preserve"> bilirubin</w:t>
      </w:r>
      <w:r w:rsidRPr="00DC2F2C">
        <w:rPr>
          <w:lang w:val="fr-FR"/>
        </w:rPr>
        <w:t>e</w:t>
      </w:r>
      <w:r w:rsidR="0070310E" w:rsidRPr="00DC2F2C">
        <w:rPr>
          <w:lang w:val="fr-FR"/>
        </w:rPr>
        <w:t xml:space="preserve">. </w:t>
      </w:r>
      <w:r w:rsidRPr="00DC2F2C">
        <w:rPr>
          <w:lang w:val="fr-FR"/>
        </w:rPr>
        <w:t>Les taux d’</w:t>
      </w:r>
      <w:r w:rsidR="0070310E" w:rsidRPr="00DC2F2C">
        <w:rPr>
          <w:lang w:val="fr-FR"/>
        </w:rPr>
        <w:t>AS</w:t>
      </w:r>
      <w:r w:rsidRPr="00DC2F2C">
        <w:rPr>
          <w:lang w:val="fr-FR"/>
        </w:rPr>
        <w:t>A</w:t>
      </w:r>
      <w:r w:rsidR="0070310E" w:rsidRPr="00DC2F2C">
        <w:rPr>
          <w:lang w:val="fr-FR"/>
        </w:rPr>
        <w:t xml:space="preserve">T, </w:t>
      </w:r>
      <w:r w:rsidRPr="00DC2F2C">
        <w:rPr>
          <w:lang w:val="fr-FR"/>
        </w:rPr>
        <w:t>d’</w:t>
      </w:r>
      <w:r w:rsidR="0070310E" w:rsidRPr="00DC2F2C">
        <w:rPr>
          <w:lang w:val="fr-FR"/>
        </w:rPr>
        <w:t>AL</w:t>
      </w:r>
      <w:r w:rsidRPr="00DC2F2C">
        <w:rPr>
          <w:lang w:val="fr-FR"/>
        </w:rPr>
        <w:t>A</w:t>
      </w:r>
      <w:r w:rsidR="0070310E" w:rsidRPr="00DC2F2C">
        <w:rPr>
          <w:lang w:val="fr-FR"/>
        </w:rPr>
        <w:t xml:space="preserve">T, </w:t>
      </w:r>
      <w:r w:rsidRPr="00DC2F2C">
        <w:rPr>
          <w:lang w:val="fr-FR"/>
        </w:rPr>
        <w:t xml:space="preserve">de </w:t>
      </w:r>
      <w:r w:rsidR="0070310E" w:rsidRPr="00DC2F2C">
        <w:rPr>
          <w:lang w:val="fr-FR"/>
        </w:rPr>
        <w:t>bilirubin</w:t>
      </w:r>
      <w:r w:rsidRPr="00DC2F2C">
        <w:rPr>
          <w:lang w:val="fr-FR"/>
        </w:rPr>
        <w:t xml:space="preserve">e et de PAL doivent être surveillés avant le début du traitement par </w:t>
      </w:r>
      <w:proofErr w:type="spellStart"/>
      <w:r w:rsidRPr="00DC2F2C">
        <w:rPr>
          <w:lang w:val="fr-FR"/>
        </w:rPr>
        <w:t>tivozanib</w:t>
      </w:r>
      <w:proofErr w:type="spellEnd"/>
      <w:r w:rsidRPr="00DC2F2C">
        <w:rPr>
          <w:lang w:val="fr-FR"/>
        </w:rPr>
        <w:t xml:space="preserve"> et régulièrement pendant celui-ci en raison du ri</w:t>
      </w:r>
      <w:r w:rsidR="00711573" w:rsidRPr="00DC2F2C">
        <w:rPr>
          <w:lang w:val="fr-FR"/>
        </w:rPr>
        <w:t>s</w:t>
      </w:r>
      <w:r w:rsidRPr="00DC2F2C">
        <w:rPr>
          <w:lang w:val="fr-FR"/>
        </w:rPr>
        <w:t>que potentiel d’hépatotoxicité</w:t>
      </w:r>
      <w:r w:rsidR="00F355B6" w:rsidRPr="00DC2F2C">
        <w:rPr>
          <w:lang w:val="fr-FR"/>
        </w:rPr>
        <w:t xml:space="preserve"> (</w:t>
      </w:r>
      <w:r w:rsidR="002D6EE5" w:rsidRPr="00DC2F2C">
        <w:rPr>
          <w:lang w:val="fr-FR"/>
        </w:rPr>
        <w:t xml:space="preserve">voir rubrique </w:t>
      </w:r>
      <w:r w:rsidR="00F355B6" w:rsidRPr="00DC2F2C">
        <w:rPr>
          <w:lang w:val="fr-FR"/>
        </w:rPr>
        <w:t>4.2)</w:t>
      </w:r>
      <w:r w:rsidR="0070310E" w:rsidRPr="00DC2F2C">
        <w:rPr>
          <w:lang w:val="fr-FR"/>
        </w:rPr>
        <w:t xml:space="preserve">. </w:t>
      </w:r>
    </w:p>
    <w:p w14:paraId="2861F451" w14:textId="77777777" w:rsidR="00F355B6" w:rsidRPr="00DC2F2C" w:rsidRDefault="00744AFF" w:rsidP="000A5BB2">
      <w:pPr>
        <w:rPr>
          <w:lang w:val="fr-FR"/>
        </w:rPr>
      </w:pPr>
      <w:r w:rsidRPr="00DC2F2C">
        <w:rPr>
          <w:lang w:val="fr-FR"/>
        </w:rPr>
        <w:t xml:space="preserve">Le </w:t>
      </w:r>
      <w:proofErr w:type="spellStart"/>
      <w:r w:rsidRPr="00DC2F2C">
        <w:rPr>
          <w:lang w:val="fr-FR"/>
        </w:rPr>
        <w:t>tivozanib</w:t>
      </w:r>
      <w:proofErr w:type="spellEnd"/>
      <w:r w:rsidRPr="00DC2F2C">
        <w:rPr>
          <w:lang w:val="fr-FR"/>
        </w:rPr>
        <w:t xml:space="preserve"> n’est pas recommandé chez les patients </w:t>
      </w:r>
      <w:r w:rsidR="007D4C48" w:rsidRPr="00DC2F2C">
        <w:rPr>
          <w:lang w:val="fr-FR"/>
        </w:rPr>
        <w:t>présentant une atteinte hépatique sévère</w:t>
      </w:r>
      <w:r w:rsidR="00F355B6" w:rsidRPr="00DC2F2C">
        <w:rPr>
          <w:lang w:val="fr-FR"/>
        </w:rPr>
        <w:t xml:space="preserve">. </w:t>
      </w:r>
      <w:r w:rsidRPr="00DC2F2C">
        <w:rPr>
          <w:lang w:val="fr-FR"/>
        </w:rPr>
        <w:t xml:space="preserve">Les patients </w:t>
      </w:r>
      <w:r w:rsidR="007D4C48" w:rsidRPr="00DC2F2C">
        <w:rPr>
          <w:lang w:val="fr-FR"/>
        </w:rPr>
        <w:t xml:space="preserve">présentant une atteinte hépatique modérée </w:t>
      </w:r>
      <w:r w:rsidRPr="00DC2F2C">
        <w:rPr>
          <w:lang w:val="fr-FR"/>
        </w:rPr>
        <w:t xml:space="preserve">ne doivent prendre qu’une gélule de </w:t>
      </w:r>
      <w:proofErr w:type="spellStart"/>
      <w:r w:rsidRPr="00DC2F2C">
        <w:rPr>
          <w:lang w:val="fr-FR"/>
        </w:rPr>
        <w:t>tivozanib</w:t>
      </w:r>
      <w:proofErr w:type="spellEnd"/>
      <w:r w:rsidRPr="00DC2F2C">
        <w:rPr>
          <w:lang w:val="fr-FR"/>
        </w:rPr>
        <w:t xml:space="preserve"> à 1 340 microgrammes 1 jour sur 2 car ils peuvent avoir davantage de risques de présenter des effets indésirables en raison de l’exposition accrue associée à la dose de 1 340 microgrammes par jour </w:t>
      </w:r>
      <w:r w:rsidR="00F355B6" w:rsidRPr="00DC2F2C">
        <w:rPr>
          <w:lang w:val="fr-FR"/>
        </w:rPr>
        <w:t>(</w:t>
      </w:r>
      <w:r w:rsidR="002D6EE5" w:rsidRPr="00DC2F2C">
        <w:rPr>
          <w:lang w:val="fr-FR"/>
        </w:rPr>
        <w:t xml:space="preserve">voir rubrique </w:t>
      </w:r>
      <w:r w:rsidR="00C05B8F" w:rsidRPr="00DC2F2C">
        <w:rPr>
          <w:lang w:val="fr-FR"/>
        </w:rPr>
        <w:t xml:space="preserve">5.2). Aucun ajustement posologique n’est requis lors de l’administration du </w:t>
      </w:r>
      <w:proofErr w:type="spellStart"/>
      <w:r w:rsidR="00C05B8F" w:rsidRPr="00DC2F2C">
        <w:rPr>
          <w:lang w:val="fr-FR"/>
        </w:rPr>
        <w:t>tivozanib</w:t>
      </w:r>
      <w:proofErr w:type="spellEnd"/>
      <w:r w:rsidR="00C05B8F" w:rsidRPr="00DC2F2C">
        <w:rPr>
          <w:lang w:val="fr-FR"/>
        </w:rPr>
        <w:t xml:space="preserve"> à des patients </w:t>
      </w:r>
      <w:r w:rsidR="007D4C48" w:rsidRPr="00DC2F2C">
        <w:rPr>
          <w:lang w:val="fr-FR"/>
        </w:rPr>
        <w:t>présentant une atteinte hépatique légère</w:t>
      </w:r>
      <w:r w:rsidR="00C05B8F" w:rsidRPr="00DC2F2C">
        <w:rPr>
          <w:lang w:val="fr-FR"/>
        </w:rPr>
        <w:t xml:space="preserve">. </w:t>
      </w:r>
      <w:r w:rsidR="00DA7FE5" w:rsidRPr="00DC2F2C">
        <w:rPr>
          <w:lang w:val="fr-FR"/>
        </w:rPr>
        <w:t xml:space="preserve">Le </w:t>
      </w:r>
      <w:proofErr w:type="spellStart"/>
      <w:r w:rsidR="00DA7FE5" w:rsidRPr="00DC2F2C">
        <w:rPr>
          <w:lang w:val="fr-FR"/>
        </w:rPr>
        <w:t>tivozanib</w:t>
      </w:r>
      <w:proofErr w:type="spellEnd"/>
      <w:r w:rsidR="00DA7FE5" w:rsidRPr="00DC2F2C">
        <w:rPr>
          <w:lang w:val="fr-FR"/>
        </w:rPr>
        <w:t xml:space="preserve"> doit être utilisé avec précaution chez les patients </w:t>
      </w:r>
      <w:r w:rsidR="007D4C48" w:rsidRPr="00DC2F2C">
        <w:rPr>
          <w:lang w:val="fr-FR"/>
        </w:rPr>
        <w:t xml:space="preserve">présentant une atteinte hépatique </w:t>
      </w:r>
      <w:r w:rsidR="00DA7FE5" w:rsidRPr="00DC2F2C">
        <w:rPr>
          <w:lang w:val="fr-FR"/>
        </w:rPr>
        <w:t>légère et modérée et la tolérance du traitement doit être surveillée attentivement</w:t>
      </w:r>
      <w:r w:rsidR="00F355B6" w:rsidRPr="00DC2F2C">
        <w:rPr>
          <w:lang w:val="fr-FR"/>
        </w:rPr>
        <w:t>.</w:t>
      </w:r>
    </w:p>
    <w:p w14:paraId="50E699EC" w14:textId="77777777" w:rsidR="00EA42FE" w:rsidRPr="00DC2F2C" w:rsidRDefault="00EA42FE" w:rsidP="009D43DC">
      <w:pPr>
        <w:ind w:right="549"/>
        <w:rPr>
          <w:szCs w:val="22"/>
          <w:lang w:val="fr-FR"/>
        </w:rPr>
      </w:pPr>
    </w:p>
    <w:p w14:paraId="39ABCC0D" w14:textId="77777777" w:rsidR="0070310E" w:rsidRPr="00DC2F2C" w:rsidRDefault="00C05B8F" w:rsidP="009D43DC">
      <w:pPr>
        <w:keepNext/>
        <w:keepLines/>
        <w:suppressLineNumbers/>
        <w:tabs>
          <w:tab w:val="clear" w:pos="567"/>
        </w:tabs>
        <w:ind w:right="550"/>
        <w:rPr>
          <w:szCs w:val="22"/>
          <w:u w:val="single"/>
          <w:lang w:val="fr-FR"/>
        </w:rPr>
      </w:pPr>
      <w:r w:rsidRPr="00DC2F2C">
        <w:rPr>
          <w:szCs w:val="22"/>
          <w:u w:val="single"/>
          <w:lang w:val="fr-FR"/>
        </w:rPr>
        <w:t>Syndrome d’encéphalopathie postérieure réversible</w:t>
      </w:r>
    </w:p>
    <w:p w14:paraId="0EBFD5FC" w14:textId="77777777" w:rsidR="0070310E" w:rsidRPr="00DC2F2C" w:rsidRDefault="00C05B8F" w:rsidP="000A5BB2">
      <w:pPr>
        <w:rPr>
          <w:lang w:val="fr-FR"/>
        </w:rPr>
      </w:pPr>
      <w:r w:rsidRPr="00DC2F2C">
        <w:rPr>
          <w:lang w:val="fr-FR"/>
        </w:rPr>
        <w:t>Dans les études cliniques</w:t>
      </w:r>
      <w:r w:rsidR="00427978" w:rsidRPr="00DC2F2C">
        <w:rPr>
          <w:lang w:val="fr-FR"/>
        </w:rPr>
        <w:t xml:space="preserve">, </w:t>
      </w:r>
      <w:r w:rsidRPr="00DC2F2C">
        <w:rPr>
          <w:lang w:val="fr-FR"/>
        </w:rPr>
        <w:t>un cas de syndrome d’encéphalopathie postérieure réversible</w:t>
      </w:r>
      <w:r w:rsidR="00222B0F" w:rsidRPr="00DC2F2C">
        <w:rPr>
          <w:lang w:val="fr-FR"/>
        </w:rPr>
        <w:t xml:space="preserve"> </w:t>
      </w:r>
      <w:r w:rsidRPr="00DC2F2C">
        <w:rPr>
          <w:lang w:val="fr-FR"/>
        </w:rPr>
        <w:t>(</w:t>
      </w:r>
      <w:proofErr w:type="spellStart"/>
      <w:r w:rsidR="00222B0F" w:rsidRPr="00DC2F2C">
        <w:rPr>
          <w:i/>
          <w:lang w:val="fr-FR"/>
        </w:rPr>
        <w:t>posterior</w:t>
      </w:r>
      <w:proofErr w:type="spellEnd"/>
      <w:r w:rsidR="00222B0F" w:rsidRPr="00DC2F2C">
        <w:rPr>
          <w:i/>
          <w:lang w:val="fr-FR"/>
        </w:rPr>
        <w:t xml:space="preserve"> </w:t>
      </w:r>
      <w:proofErr w:type="spellStart"/>
      <w:r w:rsidR="00222B0F" w:rsidRPr="00DC2F2C">
        <w:rPr>
          <w:i/>
          <w:lang w:val="fr-FR"/>
        </w:rPr>
        <w:t>reversible</w:t>
      </w:r>
      <w:proofErr w:type="spellEnd"/>
      <w:r w:rsidR="00222B0F" w:rsidRPr="00DC2F2C">
        <w:rPr>
          <w:i/>
          <w:lang w:val="fr-FR"/>
        </w:rPr>
        <w:t xml:space="preserve"> </w:t>
      </w:r>
      <w:proofErr w:type="spellStart"/>
      <w:r w:rsidR="00222B0F" w:rsidRPr="00DC2F2C">
        <w:rPr>
          <w:i/>
          <w:lang w:val="fr-FR"/>
        </w:rPr>
        <w:t>encephalopathy</w:t>
      </w:r>
      <w:proofErr w:type="spellEnd"/>
      <w:r w:rsidR="00222B0F" w:rsidRPr="00DC2F2C">
        <w:rPr>
          <w:i/>
          <w:lang w:val="fr-FR"/>
        </w:rPr>
        <w:t xml:space="preserve"> syndrome</w:t>
      </w:r>
      <w:r w:rsidRPr="00DC2F2C">
        <w:rPr>
          <w:lang w:val="fr-FR"/>
        </w:rPr>
        <w:t xml:space="preserve">, </w:t>
      </w:r>
      <w:r w:rsidR="00222B0F" w:rsidRPr="00DC2F2C">
        <w:rPr>
          <w:lang w:val="fr-FR"/>
        </w:rPr>
        <w:t xml:space="preserve">PRES) </w:t>
      </w:r>
      <w:r w:rsidRPr="00DC2F2C">
        <w:rPr>
          <w:lang w:val="fr-FR"/>
        </w:rPr>
        <w:t>a été confirmé après le traitement par</w:t>
      </w:r>
      <w:r w:rsidR="00222B0F" w:rsidRPr="00DC2F2C">
        <w:rPr>
          <w:lang w:val="fr-FR"/>
        </w:rPr>
        <w:t xml:space="preserve"> </w:t>
      </w:r>
      <w:proofErr w:type="spellStart"/>
      <w:r w:rsidR="00142BCF" w:rsidRPr="00DC2F2C">
        <w:rPr>
          <w:lang w:val="fr-FR"/>
        </w:rPr>
        <w:t>tivozanib</w:t>
      </w:r>
      <w:proofErr w:type="spellEnd"/>
      <w:r w:rsidR="00222B0F" w:rsidRPr="00DC2F2C">
        <w:rPr>
          <w:lang w:val="fr-FR"/>
        </w:rPr>
        <w:t xml:space="preserve"> (</w:t>
      </w:r>
      <w:r w:rsidR="002D6EE5" w:rsidRPr="00DC2F2C">
        <w:rPr>
          <w:lang w:val="fr-FR"/>
        </w:rPr>
        <w:t xml:space="preserve">voir rubrique </w:t>
      </w:r>
      <w:r w:rsidR="00222B0F" w:rsidRPr="00DC2F2C">
        <w:rPr>
          <w:lang w:val="fr-FR"/>
        </w:rPr>
        <w:t xml:space="preserve">4.8). </w:t>
      </w:r>
      <w:r w:rsidRPr="00DC2F2C">
        <w:rPr>
          <w:lang w:val="fr-FR"/>
        </w:rPr>
        <w:t xml:space="preserve">Le </w:t>
      </w:r>
      <w:r w:rsidR="00821810" w:rsidRPr="00DC2F2C">
        <w:rPr>
          <w:lang w:val="fr-FR"/>
        </w:rPr>
        <w:t xml:space="preserve">PRES </w:t>
      </w:r>
      <w:r w:rsidRPr="00DC2F2C">
        <w:rPr>
          <w:lang w:val="fr-FR"/>
        </w:rPr>
        <w:t>est un trouble neurologique qui peut se manifester par des céphalées</w:t>
      </w:r>
      <w:r w:rsidR="00821810" w:rsidRPr="00DC2F2C">
        <w:rPr>
          <w:lang w:val="fr-FR"/>
        </w:rPr>
        <w:t xml:space="preserve">, </w:t>
      </w:r>
      <w:r w:rsidRPr="00DC2F2C">
        <w:rPr>
          <w:lang w:val="fr-FR"/>
        </w:rPr>
        <w:t>des convulsions</w:t>
      </w:r>
      <w:r w:rsidR="00821810" w:rsidRPr="00DC2F2C">
        <w:rPr>
          <w:lang w:val="fr-FR"/>
        </w:rPr>
        <w:t xml:space="preserve">, </w:t>
      </w:r>
      <w:r w:rsidRPr="00DC2F2C">
        <w:rPr>
          <w:lang w:val="fr-FR"/>
        </w:rPr>
        <w:t xml:space="preserve">une </w:t>
      </w:r>
      <w:r w:rsidR="00821810" w:rsidRPr="00DC2F2C">
        <w:rPr>
          <w:lang w:val="fr-FR"/>
        </w:rPr>
        <w:t>l</w:t>
      </w:r>
      <w:r w:rsidRPr="00DC2F2C">
        <w:rPr>
          <w:lang w:val="fr-FR"/>
        </w:rPr>
        <w:t>é</w:t>
      </w:r>
      <w:r w:rsidR="00821810" w:rsidRPr="00DC2F2C">
        <w:rPr>
          <w:lang w:val="fr-FR"/>
        </w:rPr>
        <w:t>tharg</w:t>
      </w:r>
      <w:r w:rsidRPr="00DC2F2C">
        <w:rPr>
          <w:lang w:val="fr-FR"/>
        </w:rPr>
        <w:t>ie</w:t>
      </w:r>
      <w:r w:rsidR="00821810" w:rsidRPr="00DC2F2C">
        <w:rPr>
          <w:lang w:val="fr-FR"/>
        </w:rPr>
        <w:t xml:space="preserve">, </w:t>
      </w:r>
      <w:r w:rsidRPr="00DC2F2C">
        <w:rPr>
          <w:lang w:val="fr-FR"/>
        </w:rPr>
        <w:t xml:space="preserve">une </w:t>
      </w:r>
      <w:r w:rsidR="00821810" w:rsidRPr="00DC2F2C">
        <w:rPr>
          <w:lang w:val="fr-FR"/>
        </w:rPr>
        <w:t xml:space="preserve">confusion, </w:t>
      </w:r>
      <w:r w:rsidRPr="00DC2F2C">
        <w:rPr>
          <w:lang w:val="fr-FR"/>
        </w:rPr>
        <w:t>une cécité</w:t>
      </w:r>
      <w:r w:rsidR="00821810" w:rsidRPr="00DC2F2C">
        <w:rPr>
          <w:lang w:val="fr-FR"/>
        </w:rPr>
        <w:t xml:space="preserve"> </w:t>
      </w:r>
      <w:r w:rsidRPr="00DC2F2C">
        <w:rPr>
          <w:lang w:val="fr-FR"/>
        </w:rPr>
        <w:t>et d’autres troubles visuels et neurologiques</w:t>
      </w:r>
      <w:r w:rsidR="00821810" w:rsidRPr="00DC2F2C">
        <w:rPr>
          <w:lang w:val="fr-FR"/>
        </w:rPr>
        <w:t xml:space="preserve">. </w:t>
      </w:r>
      <w:r w:rsidRPr="00DC2F2C">
        <w:rPr>
          <w:lang w:val="fr-FR"/>
        </w:rPr>
        <w:t>Une hypertension artérielle légère à sévère peut être présente</w:t>
      </w:r>
      <w:r w:rsidR="00821810" w:rsidRPr="00DC2F2C">
        <w:rPr>
          <w:lang w:val="fr-FR"/>
        </w:rPr>
        <w:t>.</w:t>
      </w:r>
      <w:r w:rsidR="00DD7C25" w:rsidRPr="00DC2F2C">
        <w:rPr>
          <w:lang w:val="fr-FR"/>
        </w:rPr>
        <w:t xml:space="preserve"> </w:t>
      </w:r>
      <w:r w:rsidR="00C77424" w:rsidRPr="00DC2F2C">
        <w:rPr>
          <w:lang w:val="fr-FR"/>
        </w:rPr>
        <w:t>Une imagerie par réson</w:t>
      </w:r>
      <w:r w:rsidRPr="00DC2F2C">
        <w:rPr>
          <w:lang w:val="fr-FR"/>
        </w:rPr>
        <w:t xml:space="preserve">ance magnétique est nécessaire pour confirmer le diagnostic de </w:t>
      </w:r>
      <w:r w:rsidR="0070310E" w:rsidRPr="00DC2F2C">
        <w:rPr>
          <w:lang w:val="fr-FR"/>
        </w:rPr>
        <w:t xml:space="preserve">PRES. </w:t>
      </w:r>
      <w:r w:rsidR="00F56755" w:rsidRPr="00DC2F2C">
        <w:rPr>
          <w:lang w:val="fr-FR"/>
        </w:rPr>
        <w:t xml:space="preserve">Le traitement par </w:t>
      </w:r>
      <w:proofErr w:type="spellStart"/>
      <w:r w:rsidR="00F56755" w:rsidRPr="00DC2F2C">
        <w:rPr>
          <w:lang w:val="fr-FR"/>
        </w:rPr>
        <w:t>t</w:t>
      </w:r>
      <w:r w:rsidR="00142BCF" w:rsidRPr="00DC2F2C">
        <w:rPr>
          <w:lang w:val="fr-FR"/>
        </w:rPr>
        <w:t>ivozanib</w:t>
      </w:r>
      <w:proofErr w:type="spellEnd"/>
      <w:r w:rsidR="00F56755" w:rsidRPr="00DC2F2C">
        <w:rPr>
          <w:lang w:val="fr-FR"/>
        </w:rPr>
        <w:t xml:space="preserve"> doit être arrêté chez les patients présentant des signes ou des symptômes de </w:t>
      </w:r>
      <w:r w:rsidR="0070310E" w:rsidRPr="00DC2F2C">
        <w:rPr>
          <w:lang w:val="fr-FR"/>
        </w:rPr>
        <w:t xml:space="preserve">PRES. </w:t>
      </w:r>
      <w:r w:rsidR="00674A9A" w:rsidRPr="00DC2F2C">
        <w:rPr>
          <w:lang w:val="fr-FR"/>
        </w:rPr>
        <w:t>La sécurité d</w:t>
      </w:r>
      <w:r w:rsidR="00FF6C95" w:rsidRPr="00DC2F2C">
        <w:rPr>
          <w:lang w:val="fr-FR"/>
        </w:rPr>
        <w:t xml:space="preserve">e la </w:t>
      </w:r>
      <w:proofErr w:type="spellStart"/>
      <w:r w:rsidR="00FF6C95" w:rsidRPr="00DC2F2C">
        <w:rPr>
          <w:lang w:val="fr-FR"/>
        </w:rPr>
        <w:t>ré-introduction</w:t>
      </w:r>
      <w:proofErr w:type="spellEnd"/>
      <w:r w:rsidR="00FF6C95" w:rsidRPr="00DC2F2C">
        <w:rPr>
          <w:lang w:val="fr-FR"/>
        </w:rPr>
        <w:t xml:space="preserve"> </w:t>
      </w:r>
      <w:r w:rsidR="00674A9A" w:rsidRPr="00DC2F2C">
        <w:rPr>
          <w:lang w:val="fr-FR"/>
        </w:rPr>
        <w:t>du traitement par</w:t>
      </w:r>
      <w:r w:rsidR="0070310E" w:rsidRPr="00DC2F2C">
        <w:rPr>
          <w:lang w:val="fr-FR"/>
        </w:rPr>
        <w:t xml:space="preserve"> </w:t>
      </w:r>
      <w:proofErr w:type="spellStart"/>
      <w:r w:rsidR="00674A9A" w:rsidRPr="00DC2F2C">
        <w:rPr>
          <w:lang w:val="fr-FR"/>
        </w:rPr>
        <w:t>t</w:t>
      </w:r>
      <w:r w:rsidR="00142BCF" w:rsidRPr="00DC2F2C">
        <w:rPr>
          <w:lang w:val="fr-FR"/>
        </w:rPr>
        <w:t>ivozanib</w:t>
      </w:r>
      <w:proofErr w:type="spellEnd"/>
      <w:r w:rsidR="0070310E" w:rsidRPr="00DC2F2C">
        <w:rPr>
          <w:lang w:val="fr-FR"/>
        </w:rPr>
        <w:t xml:space="preserve"> </w:t>
      </w:r>
      <w:r w:rsidR="00FF6C95" w:rsidRPr="00DC2F2C">
        <w:rPr>
          <w:lang w:val="fr-FR"/>
        </w:rPr>
        <w:t>chez les patients ayant présenté un PRES n’est pas connue</w:t>
      </w:r>
      <w:r w:rsidR="00AF406E" w:rsidRPr="00DC2F2C">
        <w:rPr>
          <w:lang w:val="fr-FR"/>
        </w:rPr>
        <w:t xml:space="preserve"> </w:t>
      </w:r>
      <w:r w:rsidR="00674A9A" w:rsidRPr="00DC2F2C">
        <w:rPr>
          <w:lang w:val="fr-FR"/>
        </w:rPr>
        <w:t xml:space="preserve">; </w:t>
      </w:r>
      <w:r w:rsidR="00C241BD" w:rsidRPr="00DC2F2C">
        <w:rPr>
          <w:lang w:val="fr-FR"/>
        </w:rPr>
        <w:t xml:space="preserve">le </w:t>
      </w:r>
      <w:proofErr w:type="spellStart"/>
      <w:r w:rsidR="00C241BD" w:rsidRPr="00DC2F2C">
        <w:rPr>
          <w:lang w:val="fr-FR"/>
        </w:rPr>
        <w:t>tivozanib</w:t>
      </w:r>
      <w:proofErr w:type="spellEnd"/>
      <w:r w:rsidR="00674A9A" w:rsidRPr="00DC2F2C">
        <w:rPr>
          <w:lang w:val="fr-FR"/>
        </w:rPr>
        <w:t xml:space="preserve"> doit donc être utilisé avec pr</w:t>
      </w:r>
      <w:r w:rsidR="00AF406E" w:rsidRPr="00DC2F2C">
        <w:rPr>
          <w:lang w:val="fr-FR"/>
        </w:rPr>
        <w:t>udence</w:t>
      </w:r>
      <w:r w:rsidR="00674A9A" w:rsidRPr="00DC2F2C">
        <w:rPr>
          <w:lang w:val="fr-FR"/>
        </w:rPr>
        <w:t xml:space="preserve"> chez ces patients</w:t>
      </w:r>
      <w:r w:rsidR="0070310E" w:rsidRPr="00DC2F2C">
        <w:rPr>
          <w:lang w:val="fr-FR"/>
        </w:rPr>
        <w:t xml:space="preserve">. </w:t>
      </w:r>
    </w:p>
    <w:p w14:paraId="7080CE0E" w14:textId="77777777" w:rsidR="00A006D7" w:rsidRPr="00DC2F2C" w:rsidRDefault="00A006D7" w:rsidP="001E76D6">
      <w:pPr>
        <w:suppressLineNumbers/>
        <w:tabs>
          <w:tab w:val="clear" w:pos="567"/>
        </w:tabs>
        <w:ind w:right="550"/>
        <w:rPr>
          <w:i/>
          <w:szCs w:val="22"/>
          <w:lang w:val="fr-FR"/>
        </w:rPr>
      </w:pPr>
    </w:p>
    <w:p w14:paraId="186DE10E" w14:textId="77777777" w:rsidR="00E24879" w:rsidRPr="00DC2F2C" w:rsidRDefault="00637579" w:rsidP="00E24879">
      <w:pPr>
        <w:keepNext/>
        <w:rPr>
          <w:szCs w:val="22"/>
          <w:u w:val="single"/>
          <w:lang w:val="fr-FR"/>
        </w:rPr>
      </w:pPr>
      <w:r w:rsidRPr="00DC2F2C">
        <w:rPr>
          <w:szCs w:val="22"/>
          <w:u w:val="single"/>
          <w:lang w:val="fr-FR"/>
        </w:rPr>
        <w:t>Syndrome main-pied</w:t>
      </w:r>
    </w:p>
    <w:p w14:paraId="4A5F9434" w14:textId="77777777" w:rsidR="00E24879" w:rsidRPr="00DC2F2C" w:rsidRDefault="00637579" w:rsidP="00E24879">
      <w:pPr>
        <w:rPr>
          <w:szCs w:val="22"/>
          <w:lang w:val="fr-FR"/>
        </w:rPr>
      </w:pPr>
      <w:r w:rsidRPr="00DC2F2C">
        <w:rPr>
          <w:szCs w:val="22"/>
          <w:lang w:val="fr-FR"/>
        </w:rPr>
        <w:t xml:space="preserve">Dans les études cliniques portant sur le </w:t>
      </w:r>
      <w:proofErr w:type="spellStart"/>
      <w:r w:rsidR="00142BCF" w:rsidRPr="00DC2F2C">
        <w:rPr>
          <w:szCs w:val="22"/>
          <w:lang w:val="fr-FR"/>
        </w:rPr>
        <w:t>tivozanib</w:t>
      </w:r>
      <w:proofErr w:type="spellEnd"/>
      <w:r w:rsidR="00E24879" w:rsidRPr="00DC2F2C">
        <w:rPr>
          <w:szCs w:val="22"/>
          <w:lang w:val="fr-FR"/>
        </w:rPr>
        <w:t>,</w:t>
      </w:r>
      <w:r w:rsidR="00C16E47" w:rsidRPr="00DC2F2C">
        <w:rPr>
          <w:szCs w:val="22"/>
          <w:lang w:val="fr-FR"/>
        </w:rPr>
        <w:t xml:space="preserve"> </w:t>
      </w:r>
      <w:r w:rsidRPr="00DC2F2C">
        <w:rPr>
          <w:szCs w:val="22"/>
          <w:lang w:val="fr-FR"/>
        </w:rPr>
        <w:t xml:space="preserve">des cas de syndrome main-pied </w:t>
      </w:r>
      <w:r w:rsidR="00E24879" w:rsidRPr="00DC2F2C">
        <w:rPr>
          <w:szCs w:val="22"/>
          <w:lang w:val="fr-FR"/>
        </w:rPr>
        <w:t>(</w:t>
      </w:r>
      <w:proofErr w:type="spellStart"/>
      <w:r w:rsidRPr="00DC2F2C">
        <w:rPr>
          <w:szCs w:val="22"/>
          <w:lang w:val="fr-FR"/>
        </w:rPr>
        <w:t>érythrodysesthésie</w:t>
      </w:r>
      <w:proofErr w:type="spellEnd"/>
      <w:r w:rsidRPr="00DC2F2C">
        <w:rPr>
          <w:szCs w:val="22"/>
          <w:lang w:val="fr-FR"/>
        </w:rPr>
        <w:t xml:space="preserve"> </w:t>
      </w:r>
      <w:proofErr w:type="spellStart"/>
      <w:r w:rsidRPr="00DC2F2C">
        <w:rPr>
          <w:szCs w:val="22"/>
          <w:lang w:val="fr-FR"/>
        </w:rPr>
        <w:t>palmo</w:t>
      </w:r>
      <w:r w:rsidR="00E24879" w:rsidRPr="00DC2F2C">
        <w:rPr>
          <w:szCs w:val="22"/>
          <w:lang w:val="fr-FR"/>
        </w:rPr>
        <w:t>-planta</w:t>
      </w:r>
      <w:r w:rsidRPr="00DC2F2C">
        <w:rPr>
          <w:szCs w:val="22"/>
          <w:lang w:val="fr-FR"/>
        </w:rPr>
        <w:t>i</w:t>
      </w:r>
      <w:r w:rsidR="00E24879" w:rsidRPr="00DC2F2C">
        <w:rPr>
          <w:szCs w:val="22"/>
          <w:lang w:val="fr-FR"/>
        </w:rPr>
        <w:t>r</w:t>
      </w:r>
      <w:r w:rsidRPr="00DC2F2C">
        <w:rPr>
          <w:szCs w:val="22"/>
          <w:lang w:val="fr-FR"/>
        </w:rPr>
        <w:t>e</w:t>
      </w:r>
      <w:proofErr w:type="spellEnd"/>
      <w:r w:rsidR="00E24879" w:rsidRPr="00DC2F2C">
        <w:rPr>
          <w:szCs w:val="22"/>
          <w:lang w:val="fr-FR"/>
        </w:rPr>
        <w:t xml:space="preserve">) </w:t>
      </w:r>
      <w:r w:rsidRPr="00DC2F2C">
        <w:rPr>
          <w:szCs w:val="22"/>
          <w:lang w:val="fr-FR"/>
        </w:rPr>
        <w:t>ont été rapportés</w:t>
      </w:r>
      <w:r w:rsidR="00E24879" w:rsidRPr="00DC2F2C">
        <w:rPr>
          <w:szCs w:val="22"/>
          <w:lang w:val="fr-FR"/>
        </w:rPr>
        <w:t xml:space="preserve">. </w:t>
      </w:r>
      <w:r w:rsidRPr="00DC2F2C">
        <w:rPr>
          <w:szCs w:val="22"/>
          <w:lang w:val="fr-FR"/>
        </w:rPr>
        <w:t xml:space="preserve">La plupart des événements </w:t>
      </w:r>
      <w:r w:rsidR="00AF406E" w:rsidRPr="00DC2F2C">
        <w:rPr>
          <w:szCs w:val="22"/>
          <w:lang w:val="fr-FR"/>
        </w:rPr>
        <w:t xml:space="preserve">rapportés </w:t>
      </w:r>
      <w:r w:rsidRPr="00DC2F2C">
        <w:rPr>
          <w:szCs w:val="22"/>
          <w:lang w:val="fr-FR"/>
        </w:rPr>
        <w:t xml:space="preserve">au cours des cinq études </w:t>
      </w:r>
      <w:r w:rsidR="00AF406E" w:rsidRPr="00DC2F2C">
        <w:rPr>
          <w:szCs w:val="22"/>
          <w:lang w:val="fr-FR"/>
        </w:rPr>
        <w:t xml:space="preserve">conduites avec le </w:t>
      </w:r>
      <w:proofErr w:type="spellStart"/>
      <w:r w:rsidR="00AF406E" w:rsidRPr="00DC2F2C">
        <w:rPr>
          <w:szCs w:val="22"/>
          <w:lang w:val="fr-FR"/>
        </w:rPr>
        <w:t>tivozanib</w:t>
      </w:r>
      <w:proofErr w:type="spellEnd"/>
      <w:r w:rsidR="00AF406E" w:rsidRPr="00DC2F2C">
        <w:rPr>
          <w:szCs w:val="22"/>
          <w:lang w:val="fr-FR"/>
        </w:rPr>
        <w:t xml:space="preserve"> en monothérapie </w:t>
      </w:r>
      <w:r w:rsidRPr="00DC2F2C">
        <w:rPr>
          <w:szCs w:val="22"/>
          <w:lang w:val="fr-FR"/>
        </w:rPr>
        <w:t>dans le carcinome à cellules rénales</w:t>
      </w:r>
      <w:r w:rsidR="00E24879" w:rsidRPr="00DC2F2C">
        <w:rPr>
          <w:szCs w:val="22"/>
          <w:lang w:val="fr-FR"/>
        </w:rPr>
        <w:t xml:space="preserve"> </w:t>
      </w:r>
      <w:r w:rsidRPr="00DC2F2C">
        <w:rPr>
          <w:szCs w:val="22"/>
          <w:lang w:val="fr-FR"/>
        </w:rPr>
        <w:t>étaient de grade</w:t>
      </w:r>
      <w:r w:rsidR="00E24879" w:rsidRPr="00DC2F2C">
        <w:rPr>
          <w:szCs w:val="22"/>
          <w:lang w:val="fr-FR"/>
        </w:rPr>
        <w:t xml:space="preserve"> CTC 1</w:t>
      </w:r>
      <w:r w:rsidR="00DD7C25" w:rsidRPr="00DC2F2C">
        <w:rPr>
          <w:szCs w:val="22"/>
          <w:lang w:val="fr-FR"/>
        </w:rPr>
        <w:t> </w:t>
      </w:r>
      <w:r w:rsidRPr="00DC2F2C">
        <w:rPr>
          <w:szCs w:val="22"/>
          <w:lang w:val="fr-FR"/>
        </w:rPr>
        <w:t xml:space="preserve">ou </w:t>
      </w:r>
      <w:r w:rsidR="00E24879" w:rsidRPr="00DC2F2C">
        <w:rPr>
          <w:szCs w:val="22"/>
          <w:lang w:val="fr-FR"/>
        </w:rPr>
        <w:t xml:space="preserve">2 </w:t>
      </w:r>
      <w:r w:rsidR="00636974" w:rsidRPr="00DC2F2C">
        <w:rPr>
          <w:szCs w:val="22"/>
          <w:lang w:val="fr-FR"/>
        </w:rPr>
        <w:t>(</w:t>
      </w:r>
      <w:r w:rsidRPr="00DC2F2C">
        <w:rPr>
          <w:szCs w:val="22"/>
          <w:lang w:val="fr-FR"/>
        </w:rPr>
        <w:t>un événement de grade CTC </w:t>
      </w:r>
      <w:r w:rsidR="00636974" w:rsidRPr="00DC2F2C">
        <w:rPr>
          <w:szCs w:val="22"/>
          <w:lang w:val="fr-FR"/>
        </w:rPr>
        <w:t xml:space="preserve">≥3 </w:t>
      </w:r>
      <w:r w:rsidRPr="00DC2F2C">
        <w:rPr>
          <w:szCs w:val="22"/>
          <w:lang w:val="fr-FR"/>
        </w:rPr>
        <w:t>a été observé chez</w:t>
      </w:r>
      <w:r w:rsidR="00636974" w:rsidRPr="00DC2F2C">
        <w:rPr>
          <w:szCs w:val="22"/>
          <w:lang w:val="fr-FR"/>
        </w:rPr>
        <w:t xml:space="preserve"> &lt;2</w:t>
      </w:r>
      <w:r w:rsidRPr="00DC2F2C">
        <w:rPr>
          <w:szCs w:val="22"/>
          <w:lang w:val="fr-FR"/>
        </w:rPr>
        <w:t> </w:t>
      </w:r>
      <w:r w:rsidR="00636974" w:rsidRPr="00DC2F2C">
        <w:rPr>
          <w:szCs w:val="22"/>
          <w:lang w:val="fr-FR"/>
        </w:rPr>
        <w:t xml:space="preserve">% </w:t>
      </w:r>
      <w:r w:rsidRPr="00DC2F2C">
        <w:rPr>
          <w:szCs w:val="22"/>
          <w:lang w:val="fr-FR"/>
        </w:rPr>
        <w:t>des</w:t>
      </w:r>
      <w:r w:rsidR="00636974" w:rsidRPr="00DC2F2C">
        <w:rPr>
          <w:szCs w:val="22"/>
          <w:lang w:val="fr-FR"/>
        </w:rPr>
        <w:t xml:space="preserve"> patients </w:t>
      </w:r>
      <w:r w:rsidRPr="00DC2F2C">
        <w:rPr>
          <w:szCs w:val="22"/>
          <w:lang w:val="fr-FR"/>
        </w:rPr>
        <w:t>traités par</w:t>
      </w:r>
      <w:r w:rsidR="00636974" w:rsidRPr="00DC2F2C">
        <w:rPr>
          <w:szCs w:val="22"/>
          <w:lang w:val="fr-FR"/>
        </w:rPr>
        <w:t xml:space="preserve"> </w:t>
      </w:r>
      <w:proofErr w:type="spellStart"/>
      <w:r w:rsidR="00142BCF" w:rsidRPr="00DC2F2C">
        <w:rPr>
          <w:szCs w:val="22"/>
          <w:lang w:val="fr-FR"/>
        </w:rPr>
        <w:t>tivozanib</w:t>
      </w:r>
      <w:proofErr w:type="spellEnd"/>
      <w:r w:rsidR="00636974" w:rsidRPr="00DC2F2C">
        <w:rPr>
          <w:szCs w:val="22"/>
          <w:lang w:val="fr-FR"/>
        </w:rPr>
        <w:t xml:space="preserve">) </w:t>
      </w:r>
      <w:r w:rsidRPr="00DC2F2C">
        <w:rPr>
          <w:szCs w:val="22"/>
          <w:lang w:val="fr-FR"/>
        </w:rPr>
        <w:t xml:space="preserve">et il n’y a pas eu d’événement grave </w:t>
      </w:r>
      <w:r w:rsidR="00E24879" w:rsidRPr="00DC2F2C">
        <w:rPr>
          <w:szCs w:val="22"/>
          <w:lang w:val="fr-FR"/>
        </w:rPr>
        <w:t>(</w:t>
      </w:r>
      <w:r w:rsidR="002D6EE5" w:rsidRPr="00DC2F2C">
        <w:rPr>
          <w:szCs w:val="22"/>
          <w:lang w:val="fr-FR"/>
        </w:rPr>
        <w:t xml:space="preserve">voir rubrique </w:t>
      </w:r>
      <w:r w:rsidR="00E24879" w:rsidRPr="00DC2F2C">
        <w:rPr>
          <w:szCs w:val="22"/>
          <w:lang w:val="fr-FR"/>
        </w:rPr>
        <w:t xml:space="preserve">4.8). </w:t>
      </w:r>
      <w:r w:rsidRPr="00DC2F2C">
        <w:rPr>
          <w:szCs w:val="22"/>
          <w:lang w:val="fr-FR"/>
        </w:rPr>
        <w:t xml:space="preserve">La prise en charge des patients présentant un </w:t>
      </w:r>
      <w:r w:rsidRPr="00DC2F2C">
        <w:rPr>
          <w:szCs w:val="22"/>
          <w:lang w:val="fr-FR"/>
        </w:rPr>
        <w:lastRenderedPageBreak/>
        <w:t>syndrome main-pied</w:t>
      </w:r>
      <w:r w:rsidR="00636974" w:rsidRPr="00DC2F2C">
        <w:rPr>
          <w:szCs w:val="22"/>
          <w:lang w:val="fr-FR"/>
        </w:rPr>
        <w:t xml:space="preserve"> </w:t>
      </w:r>
      <w:r w:rsidRPr="00DC2F2C">
        <w:rPr>
          <w:szCs w:val="22"/>
          <w:lang w:val="fr-FR"/>
        </w:rPr>
        <w:t>peut comprendre des traitements topique</w:t>
      </w:r>
      <w:r w:rsidR="00767406" w:rsidRPr="00DC2F2C">
        <w:rPr>
          <w:szCs w:val="22"/>
          <w:lang w:val="fr-FR"/>
        </w:rPr>
        <w:t>s</w:t>
      </w:r>
      <w:r w:rsidRPr="00DC2F2C">
        <w:rPr>
          <w:szCs w:val="22"/>
          <w:lang w:val="fr-FR"/>
        </w:rPr>
        <w:t xml:space="preserve"> </w:t>
      </w:r>
      <w:r w:rsidR="00AF406E" w:rsidRPr="00DC2F2C">
        <w:rPr>
          <w:szCs w:val="22"/>
          <w:lang w:val="fr-FR"/>
        </w:rPr>
        <w:t>symptomatiques</w:t>
      </w:r>
      <w:r w:rsidRPr="00DC2F2C">
        <w:rPr>
          <w:szCs w:val="22"/>
          <w:lang w:val="fr-FR"/>
        </w:rPr>
        <w:t>, une interruption temporaire du traitement et/ou une réduction de la</w:t>
      </w:r>
      <w:r w:rsidR="00767406" w:rsidRPr="00DC2F2C">
        <w:rPr>
          <w:szCs w:val="22"/>
          <w:lang w:val="fr-FR"/>
        </w:rPr>
        <w:t xml:space="preserve"> dose</w:t>
      </w:r>
      <w:r w:rsidR="00AF406E" w:rsidRPr="00DC2F2C">
        <w:rPr>
          <w:szCs w:val="22"/>
          <w:lang w:val="fr-FR"/>
        </w:rPr>
        <w:t>,</w:t>
      </w:r>
      <w:r w:rsidRPr="00DC2F2C">
        <w:rPr>
          <w:szCs w:val="22"/>
          <w:lang w:val="fr-FR"/>
        </w:rPr>
        <w:t xml:space="preserve"> </w:t>
      </w:r>
      <w:r w:rsidR="00AF406E" w:rsidRPr="00DC2F2C">
        <w:rPr>
          <w:szCs w:val="22"/>
          <w:lang w:val="fr-FR"/>
        </w:rPr>
        <w:t>voire</w:t>
      </w:r>
      <w:r w:rsidRPr="00DC2F2C">
        <w:rPr>
          <w:szCs w:val="22"/>
          <w:lang w:val="fr-FR"/>
        </w:rPr>
        <w:t>, l’arrêt définitif du traitement</w:t>
      </w:r>
      <w:r w:rsidR="00AF406E" w:rsidRPr="00DC2F2C">
        <w:rPr>
          <w:szCs w:val="22"/>
          <w:lang w:val="fr-FR"/>
        </w:rPr>
        <w:t xml:space="preserve"> dans les cas sévères ou persistants.</w:t>
      </w:r>
    </w:p>
    <w:p w14:paraId="4FC5589F" w14:textId="77777777" w:rsidR="00E24879" w:rsidRPr="00DC2F2C" w:rsidRDefault="00E24879" w:rsidP="00E24879">
      <w:pPr>
        <w:pStyle w:val="00Paragraph"/>
        <w:spacing w:before="0" w:after="0" w:line="240" w:lineRule="auto"/>
        <w:ind w:right="549"/>
        <w:rPr>
          <w:sz w:val="22"/>
          <w:szCs w:val="22"/>
          <w:lang w:val="fr-FR"/>
        </w:rPr>
      </w:pPr>
    </w:p>
    <w:p w14:paraId="60E59B69" w14:textId="77777777" w:rsidR="00E24879" w:rsidRPr="00DC2F2C" w:rsidRDefault="00D16A15" w:rsidP="001E76D6">
      <w:pPr>
        <w:keepNext/>
        <w:keepLines/>
        <w:autoSpaceDE w:val="0"/>
        <w:autoSpaceDN w:val="0"/>
        <w:rPr>
          <w:szCs w:val="22"/>
          <w:u w:val="single"/>
          <w:lang w:val="fr-FR"/>
        </w:rPr>
      </w:pPr>
      <w:r w:rsidRPr="00DC2F2C">
        <w:rPr>
          <w:szCs w:val="22"/>
          <w:u w:val="single"/>
          <w:lang w:val="fr-FR"/>
        </w:rPr>
        <w:t xml:space="preserve">Allongement de l’intervalle </w:t>
      </w:r>
      <w:r w:rsidR="00E24879" w:rsidRPr="00DC2F2C">
        <w:rPr>
          <w:szCs w:val="22"/>
          <w:u w:val="single"/>
          <w:lang w:val="fr-FR"/>
        </w:rPr>
        <w:t xml:space="preserve">QT </w:t>
      </w:r>
    </w:p>
    <w:p w14:paraId="6387E834" w14:textId="77777777" w:rsidR="00E24879" w:rsidRPr="00DC2F2C" w:rsidRDefault="00B95E40" w:rsidP="00E24879">
      <w:pPr>
        <w:autoSpaceDE w:val="0"/>
        <w:autoSpaceDN w:val="0"/>
        <w:rPr>
          <w:szCs w:val="22"/>
          <w:lang w:val="fr-FR"/>
        </w:rPr>
      </w:pPr>
      <w:r w:rsidRPr="00DC2F2C">
        <w:rPr>
          <w:szCs w:val="22"/>
          <w:lang w:val="fr-FR"/>
        </w:rPr>
        <w:t xml:space="preserve">Dans les études cliniques portant sur le </w:t>
      </w:r>
      <w:proofErr w:type="spellStart"/>
      <w:r w:rsidR="00142BCF" w:rsidRPr="00DC2F2C">
        <w:rPr>
          <w:szCs w:val="22"/>
          <w:lang w:val="fr-FR"/>
        </w:rPr>
        <w:t>tivozanib</w:t>
      </w:r>
      <w:proofErr w:type="spellEnd"/>
      <w:r w:rsidR="00E24879" w:rsidRPr="00DC2F2C">
        <w:rPr>
          <w:szCs w:val="22"/>
          <w:lang w:val="fr-FR"/>
        </w:rPr>
        <w:t xml:space="preserve">, </w:t>
      </w:r>
      <w:r w:rsidRPr="00DC2F2C">
        <w:rPr>
          <w:szCs w:val="22"/>
          <w:lang w:val="fr-FR"/>
        </w:rPr>
        <w:t xml:space="preserve">un allongement de l’intervalle </w:t>
      </w:r>
      <w:r w:rsidR="00E24879" w:rsidRPr="00DC2F2C">
        <w:rPr>
          <w:szCs w:val="22"/>
          <w:lang w:val="fr-FR"/>
        </w:rPr>
        <w:t>QT/</w:t>
      </w:r>
      <w:proofErr w:type="spellStart"/>
      <w:r w:rsidR="00E24879" w:rsidRPr="00DC2F2C">
        <w:rPr>
          <w:szCs w:val="22"/>
          <w:lang w:val="fr-FR"/>
        </w:rPr>
        <w:t>QTc</w:t>
      </w:r>
      <w:proofErr w:type="spellEnd"/>
      <w:r w:rsidR="00E24879" w:rsidRPr="00DC2F2C">
        <w:rPr>
          <w:szCs w:val="22"/>
          <w:lang w:val="fr-FR"/>
        </w:rPr>
        <w:t xml:space="preserve"> </w:t>
      </w:r>
      <w:r w:rsidRPr="00DC2F2C">
        <w:rPr>
          <w:szCs w:val="22"/>
          <w:lang w:val="fr-FR"/>
        </w:rPr>
        <w:t>a été rapporté</w:t>
      </w:r>
      <w:r w:rsidR="00E24879" w:rsidRPr="00DC2F2C">
        <w:rPr>
          <w:szCs w:val="22"/>
          <w:lang w:val="fr-FR"/>
        </w:rPr>
        <w:t xml:space="preserve"> (</w:t>
      </w:r>
      <w:r w:rsidR="002D6EE5" w:rsidRPr="00DC2F2C">
        <w:rPr>
          <w:szCs w:val="22"/>
          <w:lang w:val="fr-FR"/>
        </w:rPr>
        <w:t xml:space="preserve">voir rubrique </w:t>
      </w:r>
      <w:r w:rsidR="00E24879" w:rsidRPr="00DC2F2C">
        <w:rPr>
          <w:szCs w:val="22"/>
          <w:lang w:val="fr-FR"/>
        </w:rPr>
        <w:t xml:space="preserve">4.8 </w:t>
      </w:r>
      <w:r w:rsidR="002D6EE5" w:rsidRPr="00DC2F2C">
        <w:rPr>
          <w:szCs w:val="22"/>
          <w:lang w:val="fr-FR"/>
        </w:rPr>
        <w:t>et rubrique</w:t>
      </w:r>
      <w:r w:rsidR="00E24879" w:rsidRPr="00DC2F2C">
        <w:rPr>
          <w:szCs w:val="22"/>
          <w:lang w:val="fr-FR"/>
        </w:rPr>
        <w:t xml:space="preserve"> 5.1). </w:t>
      </w:r>
      <w:r w:rsidRPr="00DC2F2C">
        <w:rPr>
          <w:szCs w:val="22"/>
          <w:lang w:val="fr-FR"/>
        </w:rPr>
        <w:t xml:space="preserve">L’allongement de l’intervalle </w:t>
      </w:r>
      <w:r w:rsidR="00E24879" w:rsidRPr="00DC2F2C">
        <w:rPr>
          <w:szCs w:val="22"/>
          <w:lang w:val="fr-FR"/>
        </w:rPr>
        <w:t>QT/</w:t>
      </w:r>
      <w:proofErr w:type="spellStart"/>
      <w:r w:rsidR="00E24879" w:rsidRPr="00DC2F2C">
        <w:rPr>
          <w:szCs w:val="22"/>
          <w:lang w:val="fr-FR"/>
        </w:rPr>
        <w:t>QTc</w:t>
      </w:r>
      <w:proofErr w:type="spellEnd"/>
      <w:r w:rsidR="00E24879" w:rsidRPr="00DC2F2C">
        <w:rPr>
          <w:szCs w:val="22"/>
          <w:lang w:val="fr-FR"/>
        </w:rPr>
        <w:t xml:space="preserve"> </w:t>
      </w:r>
      <w:r w:rsidRPr="00DC2F2C">
        <w:rPr>
          <w:szCs w:val="22"/>
          <w:lang w:val="fr-FR"/>
        </w:rPr>
        <w:t>peut conduire à un risque accru d’arythmies ventriculaires</w:t>
      </w:r>
      <w:r w:rsidR="00E24879" w:rsidRPr="00DC2F2C">
        <w:rPr>
          <w:szCs w:val="22"/>
          <w:lang w:val="fr-FR"/>
        </w:rPr>
        <w:t xml:space="preserve">. </w:t>
      </w:r>
      <w:r w:rsidRPr="00DC2F2C">
        <w:rPr>
          <w:szCs w:val="22"/>
          <w:lang w:val="fr-FR"/>
        </w:rPr>
        <w:t>Il est recommandé d’utiliser le</w:t>
      </w:r>
      <w:r w:rsidR="00E24879" w:rsidRPr="00DC2F2C">
        <w:rPr>
          <w:szCs w:val="22"/>
          <w:lang w:val="fr-FR"/>
        </w:rPr>
        <w:t xml:space="preserve"> </w:t>
      </w:r>
      <w:proofErr w:type="spellStart"/>
      <w:r w:rsidR="00142BCF" w:rsidRPr="00DC2F2C">
        <w:rPr>
          <w:szCs w:val="22"/>
          <w:lang w:val="fr-FR"/>
        </w:rPr>
        <w:t>tivozanib</w:t>
      </w:r>
      <w:proofErr w:type="spellEnd"/>
      <w:r w:rsidR="00E24879" w:rsidRPr="00DC2F2C">
        <w:rPr>
          <w:szCs w:val="22"/>
          <w:lang w:val="fr-FR"/>
        </w:rPr>
        <w:t xml:space="preserve"> </w:t>
      </w:r>
      <w:r w:rsidRPr="00DC2F2C">
        <w:rPr>
          <w:szCs w:val="22"/>
          <w:lang w:val="fr-FR"/>
        </w:rPr>
        <w:t>avec précaution chez les patients ayant des antécédents d’allongement de l’intervalle</w:t>
      </w:r>
      <w:r w:rsidR="00E24879" w:rsidRPr="00DC2F2C">
        <w:rPr>
          <w:szCs w:val="22"/>
          <w:lang w:val="fr-FR"/>
        </w:rPr>
        <w:t xml:space="preserve"> QT</w:t>
      </w:r>
      <w:r w:rsidR="00A95770" w:rsidRPr="00DC2F2C">
        <w:rPr>
          <w:szCs w:val="22"/>
          <w:lang w:val="fr-FR"/>
        </w:rPr>
        <w:t xml:space="preserve"> </w:t>
      </w:r>
      <w:r w:rsidRPr="00DC2F2C">
        <w:rPr>
          <w:szCs w:val="22"/>
          <w:lang w:val="fr-FR"/>
        </w:rPr>
        <w:t>ou d’autres maladies cardiaques préexistantes pertinentes</w:t>
      </w:r>
      <w:r w:rsidR="00A95770" w:rsidRPr="00DC2F2C">
        <w:rPr>
          <w:szCs w:val="22"/>
          <w:lang w:val="fr-FR"/>
        </w:rPr>
        <w:t xml:space="preserve"> </w:t>
      </w:r>
      <w:r w:rsidRPr="00DC2F2C">
        <w:rPr>
          <w:szCs w:val="22"/>
          <w:lang w:val="fr-FR"/>
        </w:rPr>
        <w:t>ainsi que chez ceux recevant d’autres médicaments connus pour augmenter</w:t>
      </w:r>
      <w:r w:rsidR="00A95770" w:rsidRPr="00DC2F2C">
        <w:rPr>
          <w:szCs w:val="22"/>
          <w:lang w:val="fr-FR"/>
        </w:rPr>
        <w:t xml:space="preserve"> </w:t>
      </w:r>
      <w:r w:rsidRPr="00DC2F2C">
        <w:rPr>
          <w:szCs w:val="22"/>
          <w:lang w:val="fr-FR"/>
        </w:rPr>
        <w:t>l’intervalle</w:t>
      </w:r>
      <w:r w:rsidR="00A95770" w:rsidRPr="00DC2F2C">
        <w:rPr>
          <w:szCs w:val="22"/>
          <w:lang w:val="fr-FR"/>
        </w:rPr>
        <w:t xml:space="preserve"> QT. </w:t>
      </w:r>
      <w:r w:rsidR="00A8230B" w:rsidRPr="00DC2F2C">
        <w:rPr>
          <w:szCs w:val="22"/>
          <w:lang w:val="fr-FR"/>
        </w:rPr>
        <w:t>La surveillance par des</w:t>
      </w:r>
      <w:r w:rsidRPr="00DC2F2C">
        <w:rPr>
          <w:szCs w:val="22"/>
          <w:lang w:val="fr-FR"/>
        </w:rPr>
        <w:t xml:space="preserve"> électrocardiogrammes</w:t>
      </w:r>
      <w:r w:rsidR="00A8230B" w:rsidRPr="00DC2F2C">
        <w:rPr>
          <w:szCs w:val="22"/>
          <w:lang w:val="fr-FR"/>
        </w:rPr>
        <w:t xml:space="preserve"> avant </w:t>
      </w:r>
      <w:r w:rsidR="00AF406E" w:rsidRPr="00DC2F2C">
        <w:rPr>
          <w:szCs w:val="22"/>
          <w:lang w:val="fr-FR"/>
        </w:rPr>
        <w:t xml:space="preserve">le début du </w:t>
      </w:r>
      <w:r w:rsidR="00A8230B" w:rsidRPr="00DC2F2C">
        <w:rPr>
          <w:szCs w:val="22"/>
          <w:lang w:val="fr-FR"/>
        </w:rPr>
        <w:t xml:space="preserve">traitement et régulièrement par la suite, </w:t>
      </w:r>
      <w:r w:rsidR="00AF406E" w:rsidRPr="00DC2F2C">
        <w:rPr>
          <w:szCs w:val="22"/>
          <w:lang w:val="fr-FR"/>
        </w:rPr>
        <w:t>ai</w:t>
      </w:r>
      <w:r w:rsidR="00CD1838" w:rsidRPr="00DC2F2C">
        <w:rPr>
          <w:szCs w:val="22"/>
          <w:lang w:val="fr-FR"/>
        </w:rPr>
        <w:t>nsi que la surveillance du</w:t>
      </w:r>
      <w:r w:rsidR="00A8230B" w:rsidRPr="00DC2F2C">
        <w:rPr>
          <w:szCs w:val="22"/>
          <w:lang w:val="fr-FR"/>
        </w:rPr>
        <w:t xml:space="preserve"> maintien des</w:t>
      </w:r>
      <w:r w:rsidRPr="00DC2F2C">
        <w:rPr>
          <w:szCs w:val="22"/>
          <w:lang w:val="fr-FR"/>
        </w:rPr>
        <w:t xml:space="preserve"> électrolytes</w:t>
      </w:r>
      <w:r w:rsidR="00A95770" w:rsidRPr="00DC2F2C">
        <w:rPr>
          <w:szCs w:val="22"/>
          <w:lang w:val="fr-FR"/>
        </w:rPr>
        <w:t xml:space="preserve"> </w:t>
      </w:r>
      <w:r w:rsidRPr="00DC2F2C">
        <w:rPr>
          <w:szCs w:val="22"/>
          <w:lang w:val="fr-FR"/>
        </w:rPr>
        <w:t>(</w:t>
      </w:r>
      <w:r w:rsidR="00A95770" w:rsidRPr="00DC2F2C">
        <w:rPr>
          <w:szCs w:val="22"/>
          <w:lang w:val="fr-FR"/>
        </w:rPr>
        <w:t>calcium, magn</w:t>
      </w:r>
      <w:r w:rsidRPr="00DC2F2C">
        <w:rPr>
          <w:szCs w:val="22"/>
          <w:lang w:val="fr-FR"/>
        </w:rPr>
        <w:t>ésium et</w:t>
      </w:r>
      <w:r w:rsidR="00A95770" w:rsidRPr="00DC2F2C">
        <w:rPr>
          <w:szCs w:val="22"/>
          <w:lang w:val="fr-FR"/>
        </w:rPr>
        <w:t xml:space="preserve"> potassium</w:t>
      </w:r>
      <w:r w:rsidRPr="00DC2F2C">
        <w:rPr>
          <w:szCs w:val="22"/>
          <w:lang w:val="fr-FR"/>
        </w:rPr>
        <w:t xml:space="preserve"> par exemple</w:t>
      </w:r>
      <w:r w:rsidR="00A95770" w:rsidRPr="00DC2F2C">
        <w:rPr>
          <w:szCs w:val="22"/>
          <w:lang w:val="fr-FR"/>
        </w:rPr>
        <w:t xml:space="preserve">) </w:t>
      </w:r>
      <w:r w:rsidR="006C6B6B" w:rsidRPr="00DC2F2C">
        <w:rPr>
          <w:szCs w:val="22"/>
          <w:lang w:val="fr-FR"/>
        </w:rPr>
        <w:t xml:space="preserve">dans les </w:t>
      </w:r>
      <w:r w:rsidRPr="00DC2F2C">
        <w:rPr>
          <w:szCs w:val="22"/>
          <w:lang w:val="fr-FR"/>
        </w:rPr>
        <w:t>valeurs normales</w:t>
      </w:r>
      <w:r w:rsidR="006C6B6B" w:rsidRPr="00DC2F2C">
        <w:rPr>
          <w:szCs w:val="22"/>
          <w:lang w:val="fr-FR"/>
        </w:rPr>
        <w:t xml:space="preserve"> sont recommandés</w:t>
      </w:r>
      <w:r w:rsidR="00E24879" w:rsidRPr="00DC2F2C">
        <w:rPr>
          <w:szCs w:val="22"/>
          <w:lang w:val="fr-FR"/>
        </w:rPr>
        <w:t xml:space="preserve">. </w:t>
      </w:r>
    </w:p>
    <w:p w14:paraId="6FE403A8" w14:textId="77777777" w:rsidR="00E24879" w:rsidRPr="00DC2F2C" w:rsidRDefault="00E24879" w:rsidP="00E24879">
      <w:pPr>
        <w:ind w:right="549"/>
        <w:rPr>
          <w:szCs w:val="22"/>
          <w:lang w:val="fr-FR"/>
        </w:rPr>
      </w:pPr>
    </w:p>
    <w:p w14:paraId="196D2C09" w14:textId="77777777" w:rsidR="000F5BC1" w:rsidRPr="00DC2F2C" w:rsidRDefault="000A3520" w:rsidP="001E76D6">
      <w:pPr>
        <w:keepNext/>
        <w:keepLines/>
        <w:autoSpaceDE w:val="0"/>
        <w:autoSpaceDN w:val="0"/>
        <w:rPr>
          <w:szCs w:val="22"/>
          <w:u w:val="single"/>
          <w:lang w:val="fr-FR"/>
        </w:rPr>
      </w:pPr>
      <w:r w:rsidRPr="00DC2F2C">
        <w:rPr>
          <w:szCs w:val="22"/>
          <w:u w:val="single"/>
          <w:lang w:val="fr-FR"/>
        </w:rPr>
        <w:t>Perforations/fistules g</w:t>
      </w:r>
      <w:r w:rsidR="000F5BC1" w:rsidRPr="00DC2F2C">
        <w:rPr>
          <w:szCs w:val="22"/>
          <w:u w:val="single"/>
          <w:lang w:val="fr-FR"/>
        </w:rPr>
        <w:t>astro</w:t>
      </w:r>
      <w:r w:rsidRPr="00DC2F2C">
        <w:rPr>
          <w:szCs w:val="22"/>
          <w:u w:val="single"/>
          <w:lang w:val="fr-FR"/>
        </w:rPr>
        <w:t>-</w:t>
      </w:r>
      <w:r w:rsidR="000F5BC1" w:rsidRPr="00DC2F2C">
        <w:rPr>
          <w:szCs w:val="22"/>
          <w:u w:val="single"/>
          <w:lang w:val="fr-FR"/>
        </w:rPr>
        <w:t>intestinal</w:t>
      </w:r>
      <w:r w:rsidRPr="00DC2F2C">
        <w:rPr>
          <w:szCs w:val="22"/>
          <w:u w:val="single"/>
          <w:lang w:val="fr-FR"/>
        </w:rPr>
        <w:t>es</w:t>
      </w:r>
    </w:p>
    <w:p w14:paraId="0C3F0D3F" w14:textId="77777777" w:rsidR="000F5BC1" w:rsidRPr="00DC2F2C" w:rsidRDefault="004D3C3D" w:rsidP="000F5BC1">
      <w:pPr>
        <w:autoSpaceDE w:val="0"/>
        <w:autoSpaceDN w:val="0"/>
        <w:rPr>
          <w:szCs w:val="22"/>
          <w:lang w:val="fr-FR"/>
        </w:rPr>
      </w:pPr>
      <w:r w:rsidRPr="00DC2F2C">
        <w:rPr>
          <w:szCs w:val="22"/>
          <w:lang w:val="fr-FR"/>
        </w:rPr>
        <w:t>Il est recommandé de surveiller régulièrement l’apparition de symptômes de perforati</w:t>
      </w:r>
      <w:r w:rsidR="00037022" w:rsidRPr="00DC2F2C">
        <w:rPr>
          <w:szCs w:val="22"/>
          <w:lang w:val="fr-FR"/>
        </w:rPr>
        <w:t>on ou de fistule gastro-intesti</w:t>
      </w:r>
      <w:r w:rsidRPr="00DC2F2C">
        <w:rPr>
          <w:szCs w:val="22"/>
          <w:lang w:val="fr-FR"/>
        </w:rPr>
        <w:t>nale</w:t>
      </w:r>
      <w:r w:rsidR="000F5BC1" w:rsidRPr="00DC2F2C">
        <w:rPr>
          <w:szCs w:val="22"/>
          <w:lang w:val="fr-FR"/>
        </w:rPr>
        <w:t xml:space="preserve"> </w:t>
      </w:r>
      <w:r w:rsidRPr="00DC2F2C">
        <w:rPr>
          <w:szCs w:val="22"/>
          <w:lang w:val="fr-FR"/>
        </w:rPr>
        <w:t xml:space="preserve">pendant le traitement par </w:t>
      </w:r>
      <w:proofErr w:type="spellStart"/>
      <w:r w:rsidRPr="00DC2F2C">
        <w:rPr>
          <w:szCs w:val="22"/>
          <w:lang w:val="fr-FR"/>
        </w:rPr>
        <w:t>tivozanib</w:t>
      </w:r>
      <w:proofErr w:type="spellEnd"/>
      <w:r w:rsidRPr="00DC2F2C">
        <w:rPr>
          <w:szCs w:val="22"/>
          <w:lang w:val="fr-FR"/>
        </w:rPr>
        <w:t>. Ce médicament doit être utilisé avec précaution chez les patients à risque de perforation ou de fistule gastro-intestinale</w:t>
      </w:r>
      <w:r w:rsidR="000F5BC1" w:rsidRPr="00DC2F2C">
        <w:rPr>
          <w:szCs w:val="22"/>
          <w:lang w:val="fr-FR"/>
        </w:rPr>
        <w:t>.</w:t>
      </w:r>
    </w:p>
    <w:p w14:paraId="69EBD14C" w14:textId="77777777" w:rsidR="000F5BC1" w:rsidRPr="00DC2F2C" w:rsidRDefault="000F5BC1" w:rsidP="000F5BC1">
      <w:pPr>
        <w:ind w:right="549"/>
        <w:rPr>
          <w:szCs w:val="22"/>
          <w:lang w:val="fr-FR"/>
        </w:rPr>
      </w:pPr>
    </w:p>
    <w:p w14:paraId="16C93F48" w14:textId="77777777" w:rsidR="003E59B9" w:rsidRPr="00DC2F2C" w:rsidRDefault="0038131F" w:rsidP="001E76D6">
      <w:pPr>
        <w:keepNext/>
        <w:keepLines/>
        <w:rPr>
          <w:szCs w:val="22"/>
          <w:u w:val="single"/>
          <w:lang w:val="fr-FR"/>
        </w:rPr>
      </w:pPr>
      <w:r w:rsidRPr="00DC2F2C">
        <w:rPr>
          <w:szCs w:val="22"/>
          <w:u w:val="single"/>
          <w:lang w:val="fr-FR"/>
        </w:rPr>
        <w:t>Complications de cicatrisation des plaies</w:t>
      </w:r>
    </w:p>
    <w:p w14:paraId="418D6B7F" w14:textId="77777777" w:rsidR="003E59B9" w:rsidRPr="00DC2F2C" w:rsidRDefault="00296CB5" w:rsidP="003157DB">
      <w:pPr>
        <w:autoSpaceDE w:val="0"/>
        <w:autoSpaceDN w:val="0"/>
        <w:rPr>
          <w:szCs w:val="22"/>
          <w:lang w:val="fr-FR"/>
        </w:rPr>
      </w:pPr>
      <w:r w:rsidRPr="00DC2F2C">
        <w:rPr>
          <w:szCs w:val="22"/>
          <w:lang w:val="fr-FR"/>
        </w:rPr>
        <w:t>À titre de précaution, l’interruption temporaire du traitement par</w:t>
      </w:r>
      <w:r w:rsidR="003E59B9" w:rsidRPr="00DC2F2C">
        <w:rPr>
          <w:szCs w:val="22"/>
          <w:lang w:val="fr-FR"/>
        </w:rPr>
        <w:t xml:space="preserve"> </w:t>
      </w:r>
      <w:proofErr w:type="spellStart"/>
      <w:r w:rsidR="00142BCF" w:rsidRPr="00DC2F2C">
        <w:rPr>
          <w:szCs w:val="22"/>
          <w:lang w:val="fr-FR"/>
        </w:rPr>
        <w:t>tivozanib</w:t>
      </w:r>
      <w:proofErr w:type="spellEnd"/>
      <w:r w:rsidR="003E59B9" w:rsidRPr="00DC2F2C">
        <w:rPr>
          <w:szCs w:val="22"/>
          <w:lang w:val="fr-FR"/>
        </w:rPr>
        <w:t xml:space="preserve"> </w:t>
      </w:r>
      <w:r w:rsidRPr="00DC2F2C">
        <w:rPr>
          <w:szCs w:val="22"/>
          <w:lang w:val="fr-FR"/>
        </w:rPr>
        <w:t>est recommandée chez les patients subissant des interventions chirurgicales lourdes</w:t>
      </w:r>
      <w:r w:rsidR="003E59B9" w:rsidRPr="00DC2F2C">
        <w:rPr>
          <w:szCs w:val="22"/>
          <w:lang w:val="fr-FR"/>
        </w:rPr>
        <w:t xml:space="preserve">. </w:t>
      </w:r>
      <w:r w:rsidRPr="00DC2F2C">
        <w:rPr>
          <w:szCs w:val="22"/>
          <w:lang w:val="fr-FR"/>
        </w:rPr>
        <w:t>La décision de reprendre le traitement par</w:t>
      </w:r>
      <w:r w:rsidR="003E59B9" w:rsidRPr="00DC2F2C">
        <w:rPr>
          <w:szCs w:val="22"/>
          <w:lang w:val="fr-FR"/>
        </w:rPr>
        <w:t xml:space="preserve"> </w:t>
      </w:r>
      <w:proofErr w:type="spellStart"/>
      <w:r w:rsidR="00142BCF" w:rsidRPr="00DC2F2C">
        <w:rPr>
          <w:szCs w:val="22"/>
          <w:lang w:val="fr-FR"/>
        </w:rPr>
        <w:t>tivozanib</w:t>
      </w:r>
      <w:proofErr w:type="spellEnd"/>
      <w:r w:rsidR="003E59B9" w:rsidRPr="00DC2F2C">
        <w:rPr>
          <w:szCs w:val="22"/>
          <w:lang w:val="fr-FR"/>
        </w:rPr>
        <w:t xml:space="preserve"> </w:t>
      </w:r>
      <w:r w:rsidRPr="00DC2F2C">
        <w:rPr>
          <w:szCs w:val="22"/>
          <w:lang w:val="fr-FR"/>
        </w:rPr>
        <w:t xml:space="preserve">après l’opération </w:t>
      </w:r>
      <w:r w:rsidR="009E21DE" w:rsidRPr="00DC2F2C">
        <w:rPr>
          <w:szCs w:val="22"/>
          <w:lang w:val="fr-FR"/>
        </w:rPr>
        <w:t xml:space="preserve">doit reposer sur le constat clinique d’une cicatrisation appropriée </w:t>
      </w:r>
      <w:r w:rsidRPr="00DC2F2C">
        <w:rPr>
          <w:szCs w:val="22"/>
          <w:lang w:val="fr-FR"/>
        </w:rPr>
        <w:t>des plaies</w:t>
      </w:r>
      <w:r w:rsidR="003E59B9" w:rsidRPr="00DC2F2C">
        <w:rPr>
          <w:szCs w:val="22"/>
          <w:lang w:val="fr-FR"/>
        </w:rPr>
        <w:t>.</w:t>
      </w:r>
    </w:p>
    <w:p w14:paraId="6961C5C5" w14:textId="77777777" w:rsidR="003D26FE" w:rsidRPr="00DC2F2C" w:rsidRDefault="003D26FE" w:rsidP="003E59B9">
      <w:pPr>
        <w:pStyle w:val="00Paragraph"/>
        <w:spacing w:before="0" w:after="0" w:line="240" w:lineRule="auto"/>
        <w:ind w:right="549"/>
        <w:rPr>
          <w:sz w:val="22"/>
          <w:szCs w:val="22"/>
          <w:lang w:val="fr-FR"/>
        </w:rPr>
      </w:pPr>
    </w:p>
    <w:p w14:paraId="66ED0037" w14:textId="77777777" w:rsidR="003D26FE" w:rsidRPr="00DC2F2C" w:rsidRDefault="00296CB5" w:rsidP="003D26FE">
      <w:pPr>
        <w:keepNext/>
        <w:keepLines/>
        <w:suppressLineNumbers/>
        <w:tabs>
          <w:tab w:val="clear" w:pos="567"/>
        </w:tabs>
        <w:ind w:right="550"/>
        <w:rPr>
          <w:szCs w:val="22"/>
          <w:u w:val="single"/>
          <w:lang w:val="fr-FR"/>
        </w:rPr>
      </w:pPr>
      <w:r w:rsidRPr="00DC2F2C">
        <w:rPr>
          <w:szCs w:val="22"/>
          <w:u w:val="single"/>
          <w:lang w:val="fr-FR"/>
        </w:rPr>
        <w:t>Hypothyroï</w:t>
      </w:r>
      <w:r w:rsidR="003D26FE" w:rsidRPr="00DC2F2C">
        <w:rPr>
          <w:szCs w:val="22"/>
          <w:u w:val="single"/>
          <w:lang w:val="fr-FR"/>
        </w:rPr>
        <w:t>di</w:t>
      </w:r>
      <w:r w:rsidRPr="00DC2F2C">
        <w:rPr>
          <w:szCs w:val="22"/>
          <w:u w:val="single"/>
          <w:lang w:val="fr-FR"/>
        </w:rPr>
        <w:t>e</w:t>
      </w:r>
    </w:p>
    <w:p w14:paraId="2D2E1C2B" w14:textId="77777777" w:rsidR="003D26FE" w:rsidRPr="00DC2F2C" w:rsidRDefault="0005790D" w:rsidP="003157DB">
      <w:pPr>
        <w:autoSpaceDE w:val="0"/>
        <w:autoSpaceDN w:val="0"/>
        <w:rPr>
          <w:szCs w:val="22"/>
          <w:lang w:val="fr-FR"/>
        </w:rPr>
      </w:pPr>
      <w:r w:rsidRPr="00DC2F2C">
        <w:rPr>
          <w:szCs w:val="22"/>
          <w:lang w:val="fr-FR"/>
        </w:rPr>
        <w:t xml:space="preserve">Dans les études cliniques portant sur le </w:t>
      </w:r>
      <w:proofErr w:type="spellStart"/>
      <w:r w:rsidR="00142BCF" w:rsidRPr="00DC2F2C">
        <w:rPr>
          <w:szCs w:val="22"/>
          <w:lang w:val="fr-FR"/>
        </w:rPr>
        <w:t>tivozanib</w:t>
      </w:r>
      <w:proofErr w:type="spellEnd"/>
      <w:r w:rsidR="003D26FE" w:rsidRPr="00DC2F2C">
        <w:rPr>
          <w:szCs w:val="22"/>
          <w:lang w:val="fr-FR"/>
        </w:rPr>
        <w:t xml:space="preserve">, </w:t>
      </w:r>
      <w:r w:rsidRPr="00DC2F2C">
        <w:rPr>
          <w:szCs w:val="22"/>
          <w:lang w:val="fr-FR"/>
        </w:rPr>
        <w:t>des cas d’hypothyroï</w:t>
      </w:r>
      <w:r w:rsidR="003D26FE" w:rsidRPr="00DC2F2C">
        <w:rPr>
          <w:szCs w:val="22"/>
          <w:lang w:val="fr-FR"/>
        </w:rPr>
        <w:t>di</w:t>
      </w:r>
      <w:r w:rsidRPr="00DC2F2C">
        <w:rPr>
          <w:szCs w:val="22"/>
          <w:lang w:val="fr-FR"/>
        </w:rPr>
        <w:t>e ont été rapportés</w:t>
      </w:r>
      <w:r w:rsidR="003D26FE" w:rsidRPr="00DC2F2C">
        <w:rPr>
          <w:szCs w:val="22"/>
          <w:lang w:val="fr-FR"/>
        </w:rPr>
        <w:t xml:space="preserve"> (</w:t>
      </w:r>
      <w:r w:rsidR="002D6EE5" w:rsidRPr="00DC2F2C">
        <w:rPr>
          <w:szCs w:val="22"/>
          <w:lang w:val="fr-FR"/>
        </w:rPr>
        <w:t xml:space="preserve">voir rubrique </w:t>
      </w:r>
      <w:r w:rsidR="003D26FE" w:rsidRPr="00DC2F2C">
        <w:rPr>
          <w:szCs w:val="22"/>
          <w:lang w:val="fr-FR"/>
        </w:rPr>
        <w:t xml:space="preserve">4.8). </w:t>
      </w:r>
      <w:r w:rsidRPr="00DC2F2C">
        <w:rPr>
          <w:szCs w:val="22"/>
          <w:lang w:val="fr-FR"/>
        </w:rPr>
        <w:t xml:space="preserve">Les cas observés sont survenus à tout moment pendant le traitement par </w:t>
      </w:r>
      <w:proofErr w:type="spellStart"/>
      <w:r w:rsidR="00142BCF" w:rsidRPr="00DC2F2C">
        <w:rPr>
          <w:szCs w:val="22"/>
          <w:lang w:val="fr-FR"/>
        </w:rPr>
        <w:t>tivozanib</w:t>
      </w:r>
      <w:proofErr w:type="spellEnd"/>
      <w:r w:rsidR="003D26FE" w:rsidRPr="00DC2F2C">
        <w:rPr>
          <w:szCs w:val="22"/>
          <w:lang w:val="fr-FR"/>
        </w:rPr>
        <w:t xml:space="preserve">, </w:t>
      </w:r>
      <w:r w:rsidRPr="00DC2F2C">
        <w:rPr>
          <w:szCs w:val="22"/>
          <w:lang w:val="fr-FR"/>
        </w:rPr>
        <w:t>dès les 2 premiers mois de traitement</w:t>
      </w:r>
      <w:r w:rsidR="003D26FE" w:rsidRPr="00DC2F2C">
        <w:rPr>
          <w:szCs w:val="22"/>
          <w:lang w:val="fr-FR"/>
        </w:rPr>
        <w:t xml:space="preserve">. </w:t>
      </w:r>
      <w:r w:rsidRPr="00DC2F2C">
        <w:rPr>
          <w:szCs w:val="22"/>
          <w:lang w:val="fr-FR"/>
        </w:rPr>
        <w:t>Les facteurs de risque d’hypothyroïdie</w:t>
      </w:r>
      <w:r w:rsidR="003D26FE" w:rsidRPr="00DC2F2C">
        <w:rPr>
          <w:szCs w:val="22"/>
          <w:lang w:val="fr-FR"/>
        </w:rPr>
        <w:t xml:space="preserve"> </w:t>
      </w:r>
      <w:r w:rsidR="003E6313" w:rsidRPr="00DC2F2C">
        <w:rPr>
          <w:szCs w:val="22"/>
          <w:lang w:val="fr-FR"/>
        </w:rPr>
        <w:t>incluent</w:t>
      </w:r>
      <w:r w:rsidRPr="00DC2F2C">
        <w:rPr>
          <w:szCs w:val="22"/>
          <w:lang w:val="fr-FR"/>
        </w:rPr>
        <w:t>: antécédents d’hypothyroï</w:t>
      </w:r>
      <w:r w:rsidR="003D26FE" w:rsidRPr="00DC2F2C">
        <w:rPr>
          <w:szCs w:val="22"/>
          <w:lang w:val="fr-FR"/>
        </w:rPr>
        <w:t>di</w:t>
      </w:r>
      <w:r w:rsidRPr="00DC2F2C">
        <w:rPr>
          <w:szCs w:val="22"/>
          <w:lang w:val="fr-FR"/>
        </w:rPr>
        <w:t xml:space="preserve">e et prise de médicaments </w:t>
      </w:r>
      <w:r w:rsidR="00EB3285" w:rsidRPr="00DC2F2C">
        <w:rPr>
          <w:szCs w:val="22"/>
          <w:lang w:val="fr-FR"/>
        </w:rPr>
        <w:t>anti</w:t>
      </w:r>
      <w:r w:rsidRPr="00DC2F2C">
        <w:rPr>
          <w:szCs w:val="22"/>
          <w:lang w:val="fr-FR"/>
        </w:rPr>
        <w:t>thyroïdiens</w:t>
      </w:r>
      <w:r w:rsidR="003D26FE" w:rsidRPr="00DC2F2C">
        <w:rPr>
          <w:szCs w:val="22"/>
          <w:lang w:val="fr-FR"/>
        </w:rPr>
        <w:t xml:space="preserve">. </w:t>
      </w:r>
      <w:r w:rsidR="00BA1628" w:rsidRPr="00DC2F2C">
        <w:rPr>
          <w:szCs w:val="22"/>
          <w:lang w:val="fr-FR"/>
        </w:rPr>
        <w:t xml:space="preserve">La fonction thyroïdienne doit être surveillée avant le début du traitement par </w:t>
      </w:r>
      <w:proofErr w:type="spellStart"/>
      <w:r w:rsidR="00BA1628" w:rsidRPr="00DC2F2C">
        <w:rPr>
          <w:szCs w:val="22"/>
          <w:lang w:val="fr-FR"/>
        </w:rPr>
        <w:t>tivozanib</w:t>
      </w:r>
      <w:proofErr w:type="spellEnd"/>
      <w:r w:rsidR="00BA1628" w:rsidRPr="00DC2F2C">
        <w:rPr>
          <w:szCs w:val="22"/>
          <w:lang w:val="fr-FR"/>
        </w:rPr>
        <w:t xml:space="preserve"> et régulièrement pendant celui-ci</w:t>
      </w:r>
      <w:r w:rsidR="003D26FE" w:rsidRPr="00DC2F2C">
        <w:rPr>
          <w:szCs w:val="22"/>
          <w:lang w:val="fr-FR"/>
        </w:rPr>
        <w:t xml:space="preserve">. </w:t>
      </w:r>
      <w:r w:rsidR="00BA1628" w:rsidRPr="00DC2F2C">
        <w:rPr>
          <w:szCs w:val="22"/>
          <w:lang w:val="fr-FR"/>
        </w:rPr>
        <w:t>L’hypothyroï</w:t>
      </w:r>
      <w:r w:rsidR="003D26FE" w:rsidRPr="00DC2F2C">
        <w:rPr>
          <w:szCs w:val="22"/>
          <w:lang w:val="fr-FR"/>
        </w:rPr>
        <w:t>di</w:t>
      </w:r>
      <w:r w:rsidR="00BA1628" w:rsidRPr="00DC2F2C">
        <w:rPr>
          <w:szCs w:val="22"/>
          <w:lang w:val="fr-FR"/>
        </w:rPr>
        <w:t xml:space="preserve">e doit être traitée conformément à la pratique médicale </w:t>
      </w:r>
      <w:r w:rsidR="00CD1838" w:rsidRPr="00DC2F2C">
        <w:rPr>
          <w:szCs w:val="22"/>
          <w:lang w:val="fr-FR"/>
        </w:rPr>
        <w:t>courante</w:t>
      </w:r>
      <w:r w:rsidR="003D26FE" w:rsidRPr="00DC2F2C">
        <w:rPr>
          <w:szCs w:val="22"/>
          <w:lang w:val="fr-FR"/>
        </w:rPr>
        <w:t>.</w:t>
      </w:r>
    </w:p>
    <w:p w14:paraId="5CFB5D75" w14:textId="77777777" w:rsidR="003D26FE" w:rsidRPr="00DC2F2C" w:rsidRDefault="003D26FE" w:rsidP="003E59B9">
      <w:pPr>
        <w:pStyle w:val="00Paragraph"/>
        <w:spacing w:before="0" w:after="0" w:line="240" w:lineRule="auto"/>
        <w:ind w:right="549"/>
        <w:rPr>
          <w:sz w:val="22"/>
          <w:szCs w:val="22"/>
          <w:lang w:val="fr-FR"/>
        </w:rPr>
      </w:pPr>
    </w:p>
    <w:p w14:paraId="323D486B" w14:textId="77777777" w:rsidR="00500B11" w:rsidRPr="00DC2F2C" w:rsidRDefault="00D97778" w:rsidP="001E76D6">
      <w:pPr>
        <w:keepNext/>
        <w:keepLines/>
        <w:tabs>
          <w:tab w:val="clear" w:pos="567"/>
        </w:tabs>
        <w:rPr>
          <w:rFonts w:eastAsia="SimSun"/>
          <w:iCs/>
          <w:szCs w:val="22"/>
          <w:u w:val="single"/>
          <w:lang w:val="fr-FR" w:eastAsia="zh-CN"/>
        </w:rPr>
      </w:pPr>
      <w:r w:rsidRPr="00DC2F2C">
        <w:rPr>
          <w:rFonts w:eastAsia="SimSun"/>
          <w:iCs/>
          <w:szCs w:val="22"/>
          <w:u w:val="single"/>
          <w:lang w:val="fr-FR" w:eastAsia="zh-CN"/>
        </w:rPr>
        <w:t>P</w:t>
      </w:r>
      <w:r w:rsidR="00500B11" w:rsidRPr="00DC2F2C">
        <w:rPr>
          <w:rFonts w:eastAsia="SimSun"/>
          <w:iCs/>
          <w:szCs w:val="22"/>
          <w:u w:val="single"/>
          <w:lang w:val="fr-FR" w:eastAsia="zh-CN"/>
        </w:rPr>
        <w:t>atients</w:t>
      </w:r>
      <w:r w:rsidRPr="00DC2F2C">
        <w:rPr>
          <w:rFonts w:eastAsia="SimSun"/>
          <w:iCs/>
          <w:szCs w:val="22"/>
          <w:u w:val="single"/>
          <w:lang w:val="fr-FR" w:eastAsia="zh-CN"/>
        </w:rPr>
        <w:t xml:space="preserve"> âgés</w:t>
      </w:r>
    </w:p>
    <w:p w14:paraId="740FEE76" w14:textId="77777777" w:rsidR="00500B11" w:rsidRPr="00DC2F2C" w:rsidRDefault="00D97778" w:rsidP="003157DB">
      <w:pPr>
        <w:autoSpaceDE w:val="0"/>
        <w:autoSpaceDN w:val="0"/>
        <w:rPr>
          <w:szCs w:val="22"/>
          <w:lang w:val="fr-FR"/>
        </w:rPr>
      </w:pPr>
      <w:r w:rsidRPr="00DC2F2C">
        <w:rPr>
          <w:rFonts w:eastAsia="SimSun"/>
          <w:szCs w:val="22"/>
          <w:lang w:val="fr-FR" w:eastAsia="zh-CN"/>
        </w:rPr>
        <w:t>Les cas de dysphonie</w:t>
      </w:r>
      <w:r w:rsidR="00500B11" w:rsidRPr="00DC2F2C">
        <w:rPr>
          <w:rFonts w:eastAsia="SimSun"/>
          <w:szCs w:val="22"/>
          <w:lang w:val="fr-FR" w:eastAsia="zh-CN"/>
        </w:rPr>
        <w:t xml:space="preserve">, </w:t>
      </w:r>
      <w:r w:rsidRPr="00DC2F2C">
        <w:rPr>
          <w:rFonts w:eastAsia="SimSun"/>
          <w:szCs w:val="22"/>
          <w:lang w:val="fr-FR" w:eastAsia="zh-CN"/>
        </w:rPr>
        <w:t xml:space="preserve">de </w:t>
      </w:r>
      <w:r w:rsidR="00500B11" w:rsidRPr="00DC2F2C">
        <w:rPr>
          <w:rFonts w:eastAsia="SimSun"/>
          <w:szCs w:val="22"/>
          <w:lang w:val="fr-FR" w:eastAsia="zh-CN"/>
        </w:rPr>
        <w:t>diarrh</w:t>
      </w:r>
      <w:r w:rsidRPr="00DC2F2C">
        <w:rPr>
          <w:rFonts w:eastAsia="SimSun"/>
          <w:szCs w:val="22"/>
          <w:lang w:val="fr-FR" w:eastAsia="zh-CN"/>
        </w:rPr>
        <w:t>ée</w:t>
      </w:r>
      <w:r w:rsidR="00500B11" w:rsidRPr="00DC2F2C">
        <w:rPr>
          <w:rFonts w:eastAsia="SimSun"/>
          <w:szCs w:val="22"/>
          <w:lang w:val="fr-FR" w:eastAsia="zh-CN"/>
        </w:rPr>
        <w:t xml:space="preserve">, </w:t>
      </w:r>
      <w:r w:rsidRPr="00DC2F2C">
        <w:rPr>
          <w:rFonts w:eastAsia="SimSun"/>
          <w:szCs w:val="22"/>
          <w:lang w:val="fr-FR" w:eastAsia="zh-CN"/>
        </w:rPr>
        <w:t xml:space="preserve">de </w:t>
      </w:r>
      <w:r w:rsidR="00500B11" w:rsidRPr="00DC2F2C">
        <w:rPr>
          <w:rFonts w:eastAsia="SimSun"/>
          <w:szCs w:val="22"/>
          <w:lang w:val="fr-FR" w:eastAsia="zh-CN"/>
        </w:rPr>
        <w:t xml:space="preserve">fatigue, </w:t>
      </w:r>
      <w:r w:rsidRPr="00DC2F2C">
        <w:rPr>
          <w:rFonts w:eastAsia="SimSun"/>
          <w:szCs w:val="22"/>
          <w:lang w:val="fr-FR" w:eastAsia="zh-CN"/>
        </w:rPr>
        <w:t>de perte de poids</w:t>
      </w:r>
      <w:r w:rsidR="00500B11" w:rsidRPr="00DC2F2C">
        <w:rPr>
          <w:rFonts w:eastAsia="SimSun"/>
          <w:szCs w:val="22"/>
          <w:lang w:val="fr-FR" w:eastAsia="zh-CN"/>
        </w:rPr>
        <w:t xml:space="preserve">, </w:t>
      </w:r>
      <w:r w:rsidRPr="00DC2F2C">
        <w:rPr>
          <w:rFonts w:eastAsia="SimSun"/>
          <w:szCs w:val="22"/>
          <w:lang w:val="fr-FR" w:eastAsia="zh-CN"/>
        </w:rPr>
        <w:t>de perte d’appétit et d’hypothyroï</w:t>
      </w:r>
      <w:r w:rsidR="00500B11" w:rsidRPr="00DC2F2C">
        <w:rPr>
          <w:rFonts w:eastAsia="SimSun"/>
          <w:szCs w:val="22"/>
          <w:lang w:val="fr-FR" w:eastAsia="zh-CN"/>
        </w:rPr>
        <w:t>di</w:t>
      </w:r>
      <w:r w:rsidRPr="00DC2F2C">
        <w:rPr>
          <w:rFonts w:eastAsia="SimSun"/>
          <w:szCs w:val="22"/>
          <w:lang w:val="fr-FR" w:eastAsia="zh-CN"/>
        </w:rPr>
        <w:t>e sont survenus plus fréquemment chez les patients</w:t>
      </w:r>
      <w:r w:rsidR="00500B11" w:rsidRPr="00DC2F2C">
        <w:rPr>
          <w:rFonts w:eastAsia="SimSun" w:hint="eastAsia"/>
          <w:szCs w:val="22"/>
          <w:lang w:val="fr-FR" w:eastAsia="zh-CN"/>
        </w:rPr>
        <w:t xml:space="preserve"> </w:t>
      </w:r>
      <w:r w:rsidR="00500B11" w:rsidRPr="00DC2F2C">
        <w:rPr>
          <w:rFonts w:eastAsia="SimSun" w:hint="eastAsia"/>
          <w:szCs w:val="22"/>
          <w:lang w:val="fr-FR" w:eastAsia="zh-CN"/>
        </w:rPr>
        <w:t>≥</w:t>
      </w:r>
      <w:r w:rsidR="00500B11" w:rsidRPr="00DC2F2C">
        <w:rPr>
          <w:rFonts w:eastAsia="SimSun" w:hint="eastAsia"/>
          <w:szCs w:val="22"/>
          <w:lang w:val="fr-FR" w:eastAsia="zh-CN"/>
        </w:rPr>
        <w:t>65</w:t>
      </w:r>
      <w:r w:rsidRPr="00DC2F2C">
        <w:rPr>
          <w:rFonts w:eastAsia="SimSun"/>
          <w:szCs w:val="22"/>
          <w:lang w:val="fr-FR" w:eastAsia="zh-CN"/>
        </w:rPr>
        <w:t> ans</w:t>
      </w:r>
      <w:r w:rsidR="00500B11" w:rsidRPr="00DC2F2C">
        <w:rPr>
          <w:rFonts w:eastAsia="SimSun"/>
          <w:szCs w:val="22"/>
          <w:lang w:val="fr-FR" w:eastAsia="zh-CN"/>
        </w:rPr>
        <w:t xml:space="preserve">. </w:t>
      </w:r>
      <w:r w:rsidR="004F144C" w:rsidRPr="00DC2F2C">
        <w:rPr>
          <w:rFonts w:eastAsia="SimSun"/>
          <w:szCs w:val="22"/>
          <w:lang w:val="fr-FR" w:eastAsia="zh-CN"/>
        </w:rPr>
        <w:t>Les professionnels de santé doivent être conscients que les patients âgés peuvent présenter un risque accru d’effets indésirables</w:t>
      </w:r>
      <w:r w:rsidR="00500B11" w:rsidRPr="00DC2F2C">
        <w:rPr>
          <w:rFonts w:eastAsia="SimSun"/>
          <w:szCs w:val="22"/>
          <w:lang w:val="fr-FR" w:eastAsia="zh-CN"/>
        </w:rPr>
        <w:t>.</w:t>
      </w:r>
    </w:p>
    <w:p w14:paraId="223C0A8C" w14:textId="77777777" w:rsidR="00DC2F2C" w:rsidRPr="005E5CC3" w:rsidRDefault="00DC2F2C" w:rsidP="00DC2F2C">
      <w:pPr>
        <w:pStyle w:val="00Paragraph"/>
        <w:spacing w:before="0" w:after="0" w:line="240" w:lineRule="auto"/>
        <w:ind w:right="549"/>
        <w:rPr>
          <w:sz w:val="22"/>
          <w:szCs w:val="22"/>
          <w:lang w:val="fr-FR"/>
        </w:rPr>
      </w:pPr>
    </w:p>
    <w:p w14:paraId="746D6310" w14:textId="77777777" w:rsidR="00DC2F2C" w:rsidRPr="00D51280" w:rsidRDefault="00DC2F2C" w:rsidP="00DC2F2C">
      <w:pPr>
        <w:pStyle w:val="00Paragraph"/>
        <w:keepNext/>
        <w:keepLines/>
        <w:spacing w:before="0" w:after="0" w:line="240" w:lineRule="auto"/>
        <w:ind w:right="550"/>
        <w:rPr>
          <w:sz w:val="22"/>
          <w:szCs w:val="22"/>
          <w:u w:val="single"/>
          <w:lang w:val="fr-FR"/>
        </w:rPr>
      </w:pPr>
      <w:r w:rsidRPr="00D51280">
        <w:rPr>
          <w:sz w:val="22"/>
          <w:szCs w:val="22"/>
          <w:u w:val="single"/>
          <w:lang w:val="fr-FR"/>
        </w:rPr>
        <w:t>Tartrazine</w:t>
      </w:r>
    </w:p>
    <w:p w14:paraId="237E6496" w14:textId="77777777" w:rsidR="00233BD2" w:rsidRPr="005E5CC3" w:rsidRDefault="00DC2F2C" w:rsidP="00DC2F2C">
      <w:pPr>
        <w:pStyle w:val="00Paragraph"/>
        <w:spacing w:before="0" w:after="0" w:line="240" w:lineRule="auto"/>
        <w:ind w:right="549"/>
        <w:rPr>
          <w:sz w:val="22"/>
          <w:szCs w:val="22"/>
          <w:lang w:val="fr-FR"/>
        </w:rPr>
      </w:pPr>
      <w:r w:rsidRPr="00D51280">
        <w:rPr>
          <w:sz w:val="22"/>
          <w:szCs w:val="22"/>
          <w:lang w:val="fr-FR"/>
        </w:rPr>
        <w:t xml:space="preserve">Les gélules de Fotivda à 890 microgrammes contiennent de la tartrazine (E102) qui peut provoquer des réactions allergiques. </w:t>
      </w:r>
    </w:p>
    <w:p w14:paraId="42E58710" w14:textId="667C0356" w:rsidR="00073C28" w:rsidRDefault="00073C28" w:rsidP="000F0D0C">
      <w:pPr>
        <w:suppressLineNumbers/>
        <w:ind w:right="550"/>
        <w:rPr>
          <w:b/>
          <w:szCs w:val="22"/>
          <w:lang w:val="fr-FR"/>
        </w:rPr>
      </w:pPr>
    </w:p>
    <w:p w14:paraId="6F047BA2" w14:textId="77777777" w:rsidR="00190F18" w:rsidRPr="00D816BC" w:rsidRDefault="00190F18" w:rsidP="000F0D0C">
      <w:pPr>
        <w:suppressLineNumbers/>
        <w:ind w:right="550"/>
        <w:rPr>
          <w:u w:val="single"/>
          <w:lang w:val="fr-FR"/>
        </w:rPr>
      </w:pPr>
      <w:r w:rsidRPr="00D816BC">
        <w:rPr>
          <w:u w:val="single"/>
          <w:lang w:val="fr-FR"/>
        </w:rPr>
        <w:t xml:space="preserve">Anévrismes et dissections artérielles </w:t>
      </w:r>
    </w:p>
    <w:p w14:paraId="3E98EC82" w14:textId="22DB9E7A" w:rsidR="00190F18" w:rsidRDefault="00190F18" w:rsidP="000F0D0C">
      <w:pPr>
        <w:suppressLineNumbers/>
        <w:ind w:right="550"/>
        <w:rPr>
          <w:b/>
          <w:szCs w:val="22"/>
          <w:lang w:val="fr-FR"/>
        </w:rPr>
      </w:pPr>
      <w:r w:rsidRPr="00D816BC">
        <w:rPr>
          <w:lang w:val="fr-FR"/>
        </w:rPr>
        <w:t>L’utilisation d’inhibiteurs des voies du VEGF chez les patients souffrant ou non d’hypertension peut favoriser la formation d’anévrismes et/ou de dissections artérielles. Avant l’instauration de Fotivda, ce risque doit être soigneusement pris en considération chez les patients présentant des facteurs de risque tels que l’hypertension ou des antécédents d’anévrisme.</w:t>
      </w:r>
    </w:p>
    <w:p w14:paraId="7A7B4FF8" w14:textId="77777777" w:rsidR="00812D16" w:rsidRPr="00DC2F2C" w:rsidRDefault="00812D16" w:rsidP="00073C28">
      <w:pPr>
        <w:keepNext/>
        <w:keepLines/>
        <w:suppressLineNumbers/>
        <w:ind w:right="550"/>
        <w:rPr>
          <w:szCs w:val="22"/>
          <w:lang w:val="fr-FR"/>
        </w:rPr>
      </w:pPr>
      <w:r w:rsidRPr="00DC2F2C">
        <w:rPr>
          <w:b/>
          <w:szCs w:val="22"/>
          <w:lang w:val="fr-FR"/>
        </w:rPr>
        <w:lastRenderedPageBreak/>
        <w:t>4.5</w:t>
      </w:r>
      <w:r w:rsidRPr="00DC2F2C">
        <w:rPr>
          <w:b/>
          <w:szCs w:val="22"/>
          <w:lang w:val="fr-FR"/>
        </w:rPr>
        <w:tab/>
      </w:r>
      <w:r w:rsidR="00512C0C" w:rsidRPr="00DC2F2C">
        <w:rPr>
          <w:b/>
          <w:lang w:val="fr-FR"/>
        </w:rPr>
        <w:t>Interactions avec d’autres médicaments et autres formes d’interactions</w:t>
      </w:r>
    </w:p>
    <w:p w14:paraId="67B7D128" w14:textId="77777777" w:rsidR="008A12C3" w:rsidRPr="00DC2F2C" w:rsidRDefault="008A12C3" w:rsidP="009D43DC">
      <w:pPr>
        <w:keepNext/>
        <w:keepLines/>
        <w:numPr>
          <w:ilvl w:val="12"/>
          <w:numId w:val="0"/>
        </w:numPr>
        <w:tabs>
          <w:tab w:val="clear" w:pos="567"/>
        </w:tabs>
        <w:ind w:right="550"/>
        <w:rPr>
          <w:szCs w:val="22"/>
          <w:lang w:val="fr-FR"/>
        </w:rPr>
      </w:pPr>
    </w:p>
    <w:p w14:paraId="11DFD34F" w14:textId="77777777" w:rsidR="008A12C3" w:rsidRPr="00DC2F2C" w:rsidRDefault="00D06858" w:rsidP="008A12C3">
      <w:pPr>
        <w:keepNext/>
        <w:keepLines/>
        <w:rPr>
          <w:u w:val="single"/>
          <w:lang w:val="fr-FR"/>
        </w:rPr>
      </w:pPr>
      <w:r w:rsidRPr="00DC2F2C">
        <w:rPr>
          <w:u w:val="single"/>
          <w:lang w:val="fr-FR"/>
        </w:rPr>
        <w:t>Contre-indication d’utilisation concomitante</w:t>
      </w:r>
    </w:p>
    <w:p w14:paraId="52BA4721" w14:textId="77777777" w:rsidR="008A12C3" w:rsidRPr="00DC2F2C" w:rsidRDefault="00D06858" w:rsidP="008A12C3">
      <w:pPr>
        <w:keepNext/>
        <w:keepLines/>
        <w:rPr>
          <w:u w:val="single"/>
          <w:lang w:val="fr-FR"/>
        </w:rPr>
      </w:pPr>
      <w:r w:rsidRPr="00DC2F2C">
        <w:rPr>
          <w:lang w:val="fr-FR" w:eastAsia="en-GB"/>
        </w:rPr>
        <w:t>Les préparations à base de plante contenant du millepertuis</w:t>
      </w:r>
      <w:r w:rsidR="008A12C3" w:rsidRPr="00DC2F2C">
        <w:rPr>
          <w:lang w:val="fr-FR" w:eastAsia="en-GB"/>
        </w:rPr>
        <w:t xml:space="preserve"> (</w:t>
      </w:r>
      <w:proofErr w:type="spellStart"/>
      <w:r w:rsidR="008A12C3" w:rsidRPr="00DC2F2C">
        <w:rPr>
          <w:i/>
          <w:lang w:val="fr-FR" w:eastAsia="en-GB"/>
        </w:rPr>
        <w:t>Hypericum</w:t>
      </w:r>
      <w:proofErr w:type="spellEnd"/>
      <w:r w:rsidR="008A12C3" w:rsidRPr="00DC2F2C">
        <w:rPr>
          <w:i/>
          <w:lang w:val="fr-FR" w:eastAsia="en-GB"/>
        </w:rPr>
        <w:t xml:space="preserve"> </w:t>
      </w:r>
      <w:proofErr w:type="spellStart"/>
      <w:r w:rsidR="008A12C3" w:rsidRPr="00DC2F2C">
        <w:rPr>
          <w:i/>
          <w:lang w:val="fr-FR" w:eastAsia="en-GB"/>
        </w:rPr>
        <w:t>perforatum</w:t>
      </w:r>
      <w:proofErr w:type="spellEnd"/>
      <w:r w:rsidR="008A12C3" w:rsidRPr="00DC2F2C">
        <w:rPr>
          <w:lang w:val="fr-FR" w:eastAsia="en-GB"/>
        </w:rPr>
        <w:t xml:space="preserve">) </w:t>
      </w:r>
      <w:r w:rsidR="000A5BB2">
        <w:rPr>
          <w:lang w:val="fr-FR" w:eastAsia="en-GB"/>
        </w:rPr>
        <w:t>sont contre</w:t>
      </w:r>
      <w:r w:rsidR="000A5BB2">
        <w:rPr>
          <w:lang w:val="fr-FR" w:eastAsia="en-GB"/>
        </w:rPr>
        <w:noBreakHyphen/>
      </w:r>
      <w:r w:rsidRPr="00DC2F2C">
        <w:rPr>
          <w:lang w:val="fr-FR" w:eastAsia="en-GB"/>
        </w:rPr>
        <w:t>indiquées</w:t>
      </w:r>
      <w:r w:rsidR="008A12C3" w:rsidRPr="00DC2F2C">
        <w:rPr>
          <w:lang w:val="fr-FR" w:eastAsia="en-GB"/>
        </w:rPr>
        <w:t xml:space="preserve">. </w:t>
      </w:r>
      <w:r w:rsidRPr="00DC2F2C">
        <w:rPr>
          <w:lang w:val="fr-FR"/>
        </w:rPr>
        <w:t xml:space="preserve">Si un patient prend déjà du millepertuis, celui-ci doit être arrêté avant de commencer le traitement par </w:t>
      </w:r>
      <w:proofErr w:type="spellStart"/>
      <w:r w:rsidR="008A12C3" w:rsidRPr="00DC2F2C">
        <w:rPr>
          <w:lang w:val="fr-FR"/>
        </w:rPr>
        <w:t>tivozanib</w:t>
      </w:r>
      <w:proofErr w:type="spellEnd"/>
      <w:r w:rsidR="008A12C3" w:rsidRPr="00DC2F2C">
        <w:rPr>
          <w:lang w:val="fr-FR"/>
        </w:rPr>
        <w:t xml:space="preserve">. </w:t>
      </w:r>
      <w:r w:rsidRPr="00DC2F2C">
        <w:rPr>
          <w:lang w:val="fr-FR" w:eastAsia="en-GB"/>
        </w:rPr>
        <w:t>L’effet inducteur du millepertuis</w:t>
      </w:r>
      <w:r w:rsidR="008A12C3" w:rsidRPr="00DC2F2C">
        <w:rPr>
          <w:lang w:val="fr-FR" w:eastAsia="en-GB"/>
        </w:rPr>
        <w:t xml:space="preserve"> </w:t>
      </w:r>
      <w:r w:rsidRPr="00DC2F2C">
        <w:rPr>
          <w:lang w:val="fr-FR" w:eastAsia="en-GB"/>
        </w:rPr>
        <w:t>peut persister pendant au moins</w:t>
      </w:r>
      <w:r w:rsidR="008A12C3" w:rsidRPr="00DC2F2C">
        <w:rPr>
          <w:lang w:val="fr-FR" w:eastAsia="en-GB"/>
        </w:rPr>
        <w:t xml:space="preserve"> 2</w:t>
      </w:r>
      <w:r w:rsidRPr="00DC2F2C">
        <w:rPr>
          <w:lang w:val="fr-FR" w:eastAsia="en-GB"/>
        </w:rPr>
        <w:t> semaines après l’arrêt du traitement par millepertuis</w:t>
      </w:r>
      <w:r w:rsidR="008A12C3" w:rsidRPr="00DC2F2C">
        <w:rPr>
          <w:lang w:val="fr-FR" w:eastAsia="en-GB"/>
        </w:rPr>
        <w:t xml:space="preserve"> (</w:t>
      </w:r>
      <w:r w:rsidR="002D6EE5" w:rsidRPr="00DC2F2C">
        <w:rPr>
          <w:szCs w:val="22"/>
          <w:lang w:val="fr-FR"/>
        </w:rPr>
        <w:t xml:space="preserve">voir rubrique </w:t>
      </w:r>
      <w:r w:rsidR="008A12C3" w:rsidRPr="00DC2F2C">
        <w:rPr>
          <w:lang w:val="fr-FR" w:eastAsia="en-GB"/>
        </w:rPr>
        <w:t>4.3).</w:t>
      </w:r>
    </w:p>
    <w:p w14:paraId="4F479720" w14:textId="77777777" w:rsidR="008A12C3" w:rsidRPr="00DC2F2C" w:rsidRDefault="008A12C3" w:rsidP="009D43DC">
      <w:pPr>
        <w:keepNext/>
        <w:keepLines/>
        <w:numPr>
          <w:ilvl w:val="12"/>
          <w:numId w:val="0"/>
        </w:numPr>
        <w:tabs>
          <w:tab w:val="clear" w:pos="567"/>
        </w:tabs>
        <w:ind w:right="550"/>
        <w:rPr>
          <w:szCs w:val="22"/>
          <w:lang w:val="fr-FR"/>
        </w:rPr>
      </w:pPr>
    </w:p>
    <w:p w14:paraId="087D942D" w14:textId="77777777" w:rsidR="008A12C3" w:rsidRPr="00DC2F2C" w:rsidRDefault="001A16A6" w:rsidP="009D43DC">
      <w:pPr>
        <w:keepNext/>
        <w:keepLines/>
        <w:suppressLineNumbers/>
        <w:tabs>
          <w:tab w:val="clear" w:pos="567"/>
        </w:tabs>
        <w:ind w:right="550"/>
        <w:rPr>
          <w:szCs w:val="22"/>
          <w:u w:val="single"/>
          <w:lang w:val="fr-FR"/>
        </w:rPr>
      </w:pPr>
      <w:r w:rsidRPr="00DC2F2C">
        <w:rPr>
          <w:szCs w:val="22"/>
          <w:u w:val="single"/>
          <w:lang w:val="fr-FR"/>
        </w:rPr>
        <w:t>Inducteurs puissants du</w:t>
      </w:r>
      <w:r w:rsidR="00500B11" w:rsidRPr="00DC2F2C">
        <w:rPr>
          <w:szCs w:val="22"/>
          <w:u w:val="single"/>
          <w:lang w:val="fr-FR"/>
        </w:rPr>
        <w:t xml:space="preserve"> </w:t>
      </w:r>
      <w:r w:rsidR="007B52C0" w:rsidRPr="00DC2F2C">
        <w:rPr>
          <w:szCs w:val="22"/>
          <w:u w:val="single"/>
          <w:lang w:val="fr-FR"/>
        </w:rPr>
        <w:t xml:space="preserve">CYP3A4 </w:t>
      </w:r>
    </w:p>
    <w:p w14:paraId="54AA24E3" w14:textId="77777777" w:rsidR="00500B11" w:rsidRPr="00DC2F2C" w:rsidRDefault="001A16A6" w:rsidP="00D70E70">
      <w:pPr>
        <w:rPr>
          <w:szCs w:val="22"/>
          <w:lang w:val="fr-FR"/>
        </w:rPr>
      </w:pPr>
      <w:r w:rsidRPr="00DC2F2C">
        <w:rPr>
          <w:rFonts w:eastAsia="Calibri"/>
          <w:szCs w:val="22"/>
          <w:lang w:val="fr-FR"/>
        </w:rPr>
        <w:t xml:space="preserve">Dans une étude clinique conduite chez des volontaires sains, l’administration concomitante d’une dose unique de </w:t>
      </w:r>
      <w:r w:rsidR="00500B11" w:rsidRPr="00DC2F2C">
        <w:rPr>
          <w:rFonts w:eastAsia="Calibri"/>
          <w:szCs w:val="22"/>
          <w:lang w:val="fr-FR"/>
        </w:rPr>
        <w:t>1</w:t>
      </w:r>
      <w:r w:rsidRPr="00DC2F2C">
        <w:rPr>
          <w:rFonts w:eastAsia="Calibri"/>
          <w:szCs w:val="22"/>
          <w:lang w:val="fr-FR"/>
        </w:rPr>
        <w:t> </w:t>
      </w:r>
      <w:r w:rsidR="000D19D3" w:rsidRPr="00DC2F2C">
        <w:rPr>
          <w:rFonts w:eastAsia="Calibri"/>
          <w:szCs w:val="22"/>
          <w:lang w:val="fr-FR"/>
        </w:rPr>
        <w:t>340</w:t>
      </w:r>
      <w:r w:rsidR="00DD7C25" w:rsidRPr="00DC2F2C">
        <w:rPr>
          <w:rFonts w:eastAsia="Calibri"/>
          <w:szCs w:val="22"/>
          <w:lang w:val="fr-FR"/>
        </w:rPr>
        <w:t> </w:t>
      </w:r>
      <w:r w:rsidR="00500B11" w:rsidRPr="00DC2F2C">
        <w:rPr>
          <w:rFonts w:eastAsia="Calibri"/>
          <w:szCs w:val="22"/>
          <w:lang w:val="fr-FR"/>
        </w:rPr>
        <w:t>m</w:t>
      </w:r>
      <w:r w:rsidR="000D19D3" w:rsidRPr="00DC2F2C">
        <w:rPr>
          <w:rFonts w:eastAsia="Calibri"/>
          <w:szCs w:val="22"/>
          <w:lang w:val="fr-FR"/>
        </w:rPr>
        <w:t>icro</w:t>
      </w:r>
      <w:r w:rsidR="00500B11" w:rsidRPr="00DC2F2C">
        <w:rPr>
          <w:rFonts w:eastAsia="Calibri"/>
          <w:szCs w:val="22"/>
          <w:lang w:val="fr-FR"/>
        </w:rPr>
        <w:t>g</w:t>
      </w:r>
      <w:r w:rsidR="000D19D3" w:rsidRPr="00DC2F2C">
        <w:rPr>
          <w:rFonts w:eastAsia="Calibri"/>
          <w:szCs w:val="22"/>
          <w:lang w:val="fr-FR"/>
        </w:rPr>
        <w:t>ram</w:t>
      </w:r>
      <w:r w:rsidRPr="00DC2F2C">
        <w:rPr>
          <w:rFonts w:eastAsia="Calibri"/>
          <w:szCs w:val="22"/>
          <w:lang w:val="fr-FR"/>
        </w:rPr>
        <w:t>mes</w:t>
      </w:r>
      <w:r w:rsidR="00500B11" w:rsidRPr="00DC2F2C">
        <w:rPr>
          <w:rFonts w:eastAsia="Calibri"/>
          <w:szCs w:val="22"/>
          <w:lang w:val="fr-FR"/>
        </w:rPr>
        <w:t xml:space="preserve"> </w:t>
      </w:r>
      <w:r w:rsidRPr="00DC2F2C">
        <w:rPr>
          <w:rFonts w:eastAsia="Calibri"/>
          <w:szCs w:val="22"/>
          <w:lang w:val="fr-FR"/>
        </w:rPr>
        <w:t>de</w:t>
      </w:r>
      <w:r w:rsidR="00500B11" w:rsidRPr="00DC2F2C">
        <w:rPr>
          <w:rFonts w:eastAsia="Calibri"/>
          <w:szCs w:val="22"/>
          <w:lang w:val="fr-FR"/>
        </w:rPr>
        <w:t xml:space="preserve"> </w:t>
      </w:r>
      <w:proofErr w:type="spellStart"/>
      <w:r w:rsidR="00500B11" w:rsidRPr="00DC2F2C">
        <w:rPr>
          <w:rFonts w:eastAsia="Calibri"/>
          <w:szCs w:val="22"/>
          <w:lang w:val="fr-FR"/>
        </w:rPr>
        <w:t>tivozanib</w:t>
      </w:r>
      <w:proofErr w:type="spellEnd"/>
      <w:r w:rsidR="00500B11" w:rsidRPr="00DC2F2C">
        <w:rPr>
          <w:rFonts w:eastAsia="Calibri"/>
          <w:szCs w:val="22"/>
          <w:lang w:val="fr-FR"/>
        </w:rPr>
        <w:t xml:space="preserve"> </w:t>
      </w:r>
      <w:r w:rsidRPr="00DC2F2C">
        <w:rPr>
          <w:rFonts w:eastAsia="Calibri"/>
          <w:szCs w:val="22"/>
          <w:lang w:val="fr-FR"/>
        </w:rPr>
        <w:t>avec un inducteur puissant du</w:t>
      </w:r>
      <w:r w:rsidR="00500B11" w:rsidRPr="00DC2F2C">
        <w:rPr>
          <w:rFonts w:eastAsia="Calibri"/>
          <w:szCs w:val="22"/>
          <w:lang w:val="fr-FR"/>
        </w:rPr>
        <w:t xml:space="preserve"> CYP3A4 </w:t>
      </w:r>
      <w:r w:rsidRPr="00DC2F2C">
        <w:rPr>
          <w:rFonts w:eastAsia="Calibri"/>
          <w:szCs w:val="22"/>
          <w:lang w:val="fr-FR"/>
        </w:rPr>
        <w:t>à l’état d’équilibre</w:t>
      </w:r>
      <w:r w:rsidR="00500B11" w:rsidRPr="00DC2F2C">
        <w:rPr>
          <w:rFonts w:eastAsia="Calibri"/>
          <w:szCs w:val="22"/>
          <w:lang w:val="fr-FR"/>
        </w:rPr>
        <w:t xml:space="preserve"> </w:t>
      </w:r>
      <w:r w:rsidRPr="00DC2F2C">
        <w:rPr>
          <w:rFonts w:eastAsia="Calibri"/>
          <w:szCs w:val="22"/>
          <w:lang w:val="fr-FR"/>
        </w:rPr>
        <w:t>(rifampicine à raison de</w:t>
      </w:r>
      <w:r w:rsidR="00500B11" w:rsidRPr="00DC2F2C">
        <w:rPr>
          <w:rFonts w:eastAsia="Calibri"/>
          <w:szCs w:val="22"/>
          <w:lang w:val="fr-FR"/>
        </w:rPr>
        <w:t xml:space="preserve"> 600</w:t>
      </w:r>
      <w:r w:rsidR="00DD7C25" w:rsidRPr="00DC2F2C">
        <w:rPr>
          <w:rFonts w:eastAsia="Calibri"/>
          <w:szCs w:val="22"/>
          <w:lang w:val="fr-FR"/>
        </w:rPr>
        <w:t> </w:t>
      </w:r>
      <w:r w:rsidR="00500B11" w:rsidRPr="00DC2F2C">
        <w:rPr>
          <w:rFonts w:eastAsia="Calibri"/>
          <w:szCs w:val="22"/>
          <w:lang w:val="fr-FR"/>
        </w:rPr>
        <w:t xml:space="preserve">mg </w:t>
      </w:r>
      <w:r w:rsidRPr="00DC2F2C">
        <w:rPr>
          <w:rFonts w:eastAsia="Calibri"/>
          <w:szCs w:val="22"/>
          <w:lang w:val="fr-FR"/>
        </w:rPr>
        <w:t>1 fois par jour</w:t>
      </w:r>
      <w:r w:rsidR="00500B11" w:rsidRPr="00DC2F2C">
        <w:rPr>
          <w:rFonts w:eastAsia="Calibri"/>
          <w:szCs w:val="22"/>
          <w:lang w:val="fr-FR"/>
        </w:rPr>
        <w:t xml:space="preserve">) </w:t>
      </w:r>
      <w:r w:rsidRPr="00DC2F2C">
        <w:rPr>
          <w:rFonts w:eastAsia="Calibri"/>
          <w:szCs w:val="22"/>
          <w:lang w:val="fr-FR"/>
        </w:rPr>
        <w:t>a diminué la demi-vie moyenne du</w:t>
      </w:r>
      <w:r w:rsidR="00500B11" w:rsidRPr="00DC2F2C">
        <w:rPr>
          <w:rFonts w:eastAsia="Calibri"/>
          <w:szCs w:val="22"/>
          <w:lang w:val="fr-FR"/>
        </w:rPr>
        <w:t xml:space="preserve"> </w:t>
      </w:r>
      <w:proofErr w:type="spellStart"/>
      <w:r w:rsidR="00500B11" w:rsidRPr="00DC2F2C">
        <w:rPr>
          <w:rFonts w:eastAsia="Calibri"/>
          <w:szCs w:val="22"/>
          <w:lang w:val="fr-FR"/>
        </w:rPr>
        <w:t>tivozanib</w:t>
      </w:r>
      <w:proofErr w:type="spellEnd"/>
      <w:r w:rsidR="00500B11" w:rsidRPr="00DC2F2C">
        <w:rPr>
          <w:rFonts w:eastAsia="Calibri"/>
          <w:szCs w:val="22"/>
          <w:lang w:val="fr-FR"/>
        </w:rPr>
        <w:t xml:space="preserve"> </w:t>
      </w:r>
      <w:r w:rsidRPr="00DC2F2C">
        <w:rPr>
          <w:rFonts w:eastAsia="Calibri"/>
          <w:szCs w:val="22"/>
          <w:lang w:val="fr-FR"/>
        </w:rPr>
        <w:t>de</w:t>
      </w:r>
      <w:r w:rsidR="00500B11" w:rsidRPr="00DC2F2C">
        <w:rPr>
          <w:rFonts w:eastAsia="Calibri"/>
          <w:szCs w:val="22"/>
          <w:lang w:val="fr-FR"/>
        </w:rPr>
        <w:t xml:space="preserve"> 121 </w:t>
      </w:r>
      <w:r w:rsidRPr="00DC2F2C">
        <w:rPr>
          <w:rFonts w:eastAsia="Calibri"/>
          <w:szCs w:val="22"/>
          <w:lang w:val="fr-FR"/>
        </w:rPr>
        <w:t>à</w:t>
      </w:r>
      <w:r w:rsidR="00500B11" w:rsidRPr="00DC2F2C">
        <w:rPr>
          <w:rFonts w:eastAsia="Calibri"/>
          <w:szCs w:val="22"/>
          <w:lang w:val="fr-FR"/>
        </w:rPr>
        <w:t xml:space="preserve"> 54</w:t>
      </w:r>
      <w:r w:rsidR="00DD7C25" w:rsidRPr="00DC2F2C">
        <w:rPr>
          <w:rFonts w:eastAsia="Calibri"/>
          <w:szCs w:val="22"/>
          <w:lang w:val="fr-FR"/>
        </w:rPr>
        <w:t> </w:t>
      </w:r>
      <w:r w:rsidRPr="00DC2F2C">
        <w:rPr>
          <w:rFonts w:eastAsia="Calibri"/>
          <w:szCs w:val="22"/>
          <w:lang w:val="fr-FR"/>
        </w:rPr>
        <w:t xml:space="preserve">heures, </w:t>
      </w:r>
      <w:r w:rsidR="009141A2" w:rsidRPr="00DC2F2C">
        <w:rPr>
          <w:rFonts w:eastAsia="Calibri"/>
          <w:szCs w:val="22"/>
          <w:lang w:val="fr-FR"/>
        </w:rPr>
        <w:t xml:space="preserve">phénomène </w:t>
      </w:r>
      <w:r w:rsidRPr="00DC2F2C">
        <w:rPr>
          <w:rFonts w:eastAsia="Calibri"/>
          <w:szCs w:val="22"/>
          <w:lang w:val="fr-FR"/>
        </w:rPr>
        <w:t>associé à une diminution de 48 % de l’AS</w:t>
      </w:r>
      <w:r w:rsidR="00500B11" w:rsidRPr="00DC2F2C">
        <w:rPr>
          <w:rFonts w:eastAsia="Calibri"/>
          <w:szCs w:val="22"/>
          <w:lang w:val="fr-FR"/>
        </w:rPr>
        <w:t>C</w:t>
      </w:r>
      <w:r w:rsidR="00500B11" w:rsidRPr="00DC2F2C">
        <w:rPr>
          <w:rFonts w:eastAsia="Calibri"/>
          <w:szCs w:val="22"/>
          <w:vertAlign w:val="subscript"/>
          <w:lang w:val="fr-FR"/>
        </w:rPr>
        <w:t>0-∞</w:t>
      </w:r>
      <w:r w:rsidR="00500B11" w:rsidRPr="00DC2F2C">
        <w:rPr>
          <w:rFonts w:eastAsia="Calibri"/>
          <w:szCs w:val="22"/>
          <w:lang w:val="fr-FR"/>
        </w:rPr>
        <w:t xml:space="preserve"> </w:t>
      </w:r>
      <w:r w:rsidR="00BC7997" w:rsidRPr="00DC2F2C">
        <w:rPr>
          <w:rFonts w:eastAsia="Calibri"/>
          <w:szCs w:val="22"/>
          <w:lang w:val="fr-FR"/>
        </w:rPr>
        <w:t>après</w:t>
      </w:r>
      <w:r w:rsidRPr="00DC2F2C">
        <w:rPr>
          <w:rFonts w:eastAsia="Calibri"/>
          <w:szCs w:val="22"/>
          <w:lang w:val="fr-FR"/>
        </w:rPr>
        <w:t xml:space="preserve"> administration unique </w:t>
      </w:r>
      <w:r w:rsidR="00BC7997" w:rsidRPr="00DC2F2C">
        <w:rPr>
          <w:rFonts w:eastAsia="Calibri"/>
          <w:szCs w:val="22"/>
          <w:lang w:val="fr-FR"/>
        </w:rPr>
        <w:t>par rapport à l’AS</w:t>
      </w:r>
      <w:r w:rsidR="00500B11" w:rsidRPr="00DC2F2C">
        <w:rPr>
          <w:rFonts w:eastAsia="Calibri"/>
          <w:szCs w:val="22"/>
          <w:lang w:val="fr-FR"/>
        </w:rPr>
        <w:t>C</w:t>
      </w:r>
      <w:r w:rsidR="00500B11" w:rsidRPr="00DC2F2C">
        <w:rPr>
          <w:rFonts w:eastAsia="Calibri"/>
          <w:szCs w:val="22"/>
          <w:vertAlign w:val="subscript"/>
          <w:lang w:val="fr-FR"/>
        </w:rPr>
        <w:t>0-∞</w:t>
      </w:r>
      <w:r w:rsidR="00500B11" w:rsidRPr="00DC2F2C">
        <w:rPr>
          <w:rFonts w:eastAsia="Calibri"/>
          <w:szCs w:val="22"/>
          <w:lang w:val="fr-FR"/>
        </w:rPr>
        <w:t xml:space="preserve"> </w:t>
      </w:r>
      <w:r w:rsidR="00BC7997" w:rsidRPr="00DC2F2C">
        <w:rPr>
          <w:rFonts w:eastAsia="Calibri"/>
          <w:szCs w:val="22"/>
          <w:lang w:val="fr-FR"/>
        </w:rPr>
        <w:t xml:space="preserve">en l’absence de rifampicine. Les valeurs moyennes de la </w:t>
      </w:r>
      <w:r w:rsidR="00500B11" w:rsidRPr="00DC2F2C">
        <w:rPr>
          <w:rFonts w:eastAsia="Calibri"/>
          <w:szCs w:val="22"/>
          <w:lang w:val="fr-FR"/>
        </w:rPr>
        <w:t>C</w:t>
      </w:r>
      <w:r w:rsidR="00500B11" w:rsidRPr="00DC2F2C">
        <w:rPr>
          <w:rFonts w:eastAsia="Calibri"/>
          <w:szCs w:val="22"/>
          <w:vertAlign w:val="subscript"/>
          <w:lang w:val="fr-FR"/>
        </w:rPr>
        <w:t>max</w:t>
      </w:r>
      <w:r w:rsidR="00500B11" w:rsidRPr="00DC2F2C">
        <w:rPr>
          <w:rFonts w:eastAsia="Calibri"/>
          <w:szCs w:val="22"/>
          <w:lang w:val="fr-FR"/>
        </w:rPr>
        <w:t xml:space="preserve"> </w:t>
      </w:r>
      <w:r w:rsidR="00BC7997" w:rsidRPr="00DC2F2C">
        <w:rPr>
          <w:rFonts w:eastAsia="Calibri"/>
          <w:szCs w:val="22"/>
          <w:lang w:val="fr-FR"/>
        </w:rPr>
        <w:t>et de l’AS</w:t>
      </w:r>
      <w:r w:rsidR="00500B11" w:rsidRPr="00DC2F2C">
        <w:rPr>
          <w:rFonts w:eastAsia="Calibri"/>
          <w:szCs w:val="22"/>
          <w:lang w:val="fr-FR"/>
        </w:rPr>
        <w:t>C</w:t>
      </w:r>
      <w:r w:rsidR="00500B11" w:rsidRPr="00DC2F2C">
        <w:rPr>
          <w:rFonts w:eastAsia="Calibri"/>
          <w:szCs w:val="22"/>
          <w:vertAlign w:val="subscript"/>
          <w:lang w:val="fr-FR"/>
        </w:rPr>
        <w:t>0-24h</w:t>
      </w:r>
      <w:r w:rsidR="00500B11" w:rsidRPr="00DC2F2C">
        <w:rPr>
          <w:rFonts w:eastAsia="Calibri"/>
          <w:szCs w:val="22"/>
          <w:lang w:val="fr-FR"/>
        </w:rPr>
        <w:t xml:space="preserve"> </w:t>
      </w:r>
      <w:r w:rsidR="00BC7997" w:rsidRPr="00DC2F2C">
        <w:rPr>
          <w:rFonts w:eastAsia="Calibri"/>
          <w:szCs w:val="22"/>
          <w:lang w:val="fr-FR"/>
        </w:rPr>
        <w:t>n’ont pas été affectées de manière significative</w:t>
      </w:r>
      <w:r w:rsidR="00500B11" w:rsidRPr="00DC2F2C">
        <w:rPr>
          <w:rFonts w:eastAsia="Calibri"/>
          <w:szCs w:val="22"/>
          <w:lang w:val="fr-FR"/>
        </w:rPr>
        <w:t xml:space="preserve"> (</w:t>
      </w:r>
      <w:r w:rsidR="00BC7997" w:rsidRPr="00DC2F2C">
        <w:rPr>
          <w:rFonts w:eastAsia="Calibri"/>
          <w:szCs w:val="22"/>
          <w:lang w:val="fr-FR"/>
        </w:rPr>
        <w:t xml:space="preserve">augmentation de </w:t>
      </w:r>
      <w:r w:rsidR="00500B11" w:rsidRPr="00DC2F2C">
        <w:rPr>
          <w:rFonts w:eastAsia="Calibri"/>
          <w:szCs w:val="22"/>
          <w:lang w:val="fr-FR"/>
        </w:rPr>
        <w:t>8</w:t>
      </w:r>
      <w:r w:rsidR="00BC7997" w:rsidRPr="00DC2F2C">
        <w:rPr>
          <w:rFonts w:eastAsia="Calibri"/>
          <w:szCs w:val="22"/>
          <w:lang w:val="fr-FR"/>
        </w:rPr>
        <w:t> % et diminution de</w:t>
      </w:r>
      <w:r w:rsidR="00500B11" w:rsidRPr="00DC2F2C">
        <w:rPr>
          <w:rFonts w:eastAsia="Calibri"/>
          <w:szCs w:val="22"/>
          <w:lang w:val="fr-FR"/>
        </w:rPr>
        <w:t xml:space="preserve"> 6</w:t>
      </w:r>
      <w:r w:rsidR="00BC7997" w:rsidRPr="00DC2F2C">
        <w:rPr>
          <w:rFonts w:eastAsia="Calibri"/>
          <w:szCs w:val="22"/>
          <w:lang w:val="fr-FR"/>
        </w:rPr>
        <w:t> % respectivement</w:t>
      </w:r>
      <w:r w:rsidR="00500B11" w:rsidRPr="00DC2F2C">
        <w:rPr>
          <w:rFonts w:eastAsia="Calibri"/>
          <w:szCs w:val="22"/>
          <w:lang w:val="fr-FR"/>
        </w:rPr>
        <w:t xml:space="preserve">). </w:t>
      </w:r>
      <w:r w:rsidR="000566CA" w:rsidRPr="00DC2F2C">
        <w:rPr>
          <w:rFonts w:eastAsia="Calibri"/>
          <w:szCs w:val="22"/>
          <w:lang w:val="fr-FR"/>
        </w:rPr>
        <w:t>Les effets cliniques des inducteurs puissants du</w:t>
      </w:r>
      <w:r w:rsidR="00500B11" w:rsidRPr="00DC2F2C">
        <w:rPr>
          <w:rFonts w:eastAsia="Calibri"/>
          <w:szCs w:val="22"/>
          <w:lang w:val="fr-FR"/>
        </w:rPr>
        <w:t xml:space="preserve"> CYP3A4 </w:t>
      </w:r>
      <w:r w:rsidR="000566CA" w:rsidRPr="00DC2F2C">
        <w:rPr>
          <w:rFonts w:eastAsia="Calibri"/>
          <w:szCs w:val="22"/>
          <w:lang w:val="fr-FR"/>
        </w:rPr>
        <w:t>sur l’administration quotidienne répétée de</w:t>
      </w:r>
      <w:r w:rsidR="00500B11" w:rsidRPr="00DC2F2C">
        <w:rPr>
          <w:rFonts w:eastAsia="Calibri"/>
          <w:szCs w:val="22"/>
          <w:lang w:val="fr-FR"/>
        </w:rPr>
        <w:t xml:space="preserve"> </w:t>
      </w:r>
      <w:proofErr w:type="spellStart"/>
      <w:r w:rsidR="00500B11" w:rsidRPr="00DC2F2C">
        <w:rPr>
          <w:rFonts w:eastAsia="Calibri"/>
          <w:szCs w:val="22"/>
          <w:lang w:val="fr-FR"/>
        </w:rPr>
        <w:t>tivozanib</w:t>
      </w:r>
      <w:proofErr w:type="spellEnd"/>
      <w:r w:rsidR="00500B11" w:rsidRPr="00DC2F2C">
        <w:rPr>
          <w:rFonts w:eastAsia="Calibri"/>
          <w:szCs w:val="22"/>
          <w:lang w:val="fr-FR"/>
        </w:rPr>
        <w:t xml:space="preserve"> </w:t>
      </w:r>
      <w:r w:rsidR="000566CA" w:rsidRPr="00DC2F2C">
        <w:rPr>
          <w:rFonts w:eastAsia="Calibri"/>
          <w:szCs w:val="22"/>
          <w:lang w:val="fr-FR"/>
        </w:rPr>
        <w:t xml:space="preserve">n’ont pas été étudiés mais le délai moyen nécessaire pour atteindre l’état d’équilibre et la concentration sérique moyenne à l’état d’équilibre </w:t>
      </w:r>
      <w:r w:rsidR="00711573" w:rsidRPr="00DC2F2C">
        <w:rPr>
          <w:rFonts w:eastAsia="Calibri"/>
          <w:szCs w:val="22"/>
          <w:lang w:val="fr-FR"/>
        </w:rPr>
        <w:t xml:space="preserve">du </w:t>
      </w:r>
      <w:proofErr w:type="spellStart"/>
      <w:r w:rsidR="00711573" w:rsidRPr="00DC2F2C">
        <w:rPr>
          <w:rFonts w:eastAsia="Calibri"/>
          <w:szCs w:val="22"/>
          <w:lang w:val="fr-FR"/>
        </w:rPr>
        <w:t>tivoz</w:t>
      </w:r>
      <w:r w:rsidR="004E1BAD" w:rsidRPr="00DC2F2C">
        <w:rPr>
          <w:rFonts w:eastAsia="Calibri"/>
          <w:szCs w:val="22"/>
          <w:lang w:val="fr-FR"/>
        </w:rPr>
        <w:t>anib</w:t>
      </w:r>
      <w:proofErr w:type="spellEnd"/>
      <w:r w:rsidR="004E1BAD" w:rsidRPr="00DC2F2C">
        <w:rPr>
          <w:rFonts w:eastAsia="Calibri"/>
          <w:szCs w:val="22"/>
          <w:lang w:val="fr-FR"/>
        </w:rPr>
        <w:t xml:space="preserve"> </w:t>
      </w:r>
      <w:r w:rsidR="000566CA" w:rsidRPr="00DC2F2C">
        <w:rPr>
          <w:rFonts w:eastAsia="Calibri"/>
          <w:szCs w:val="22"/>
          <w:lang w:val="fr-FR"/>
        </w:rPr>
        <w:t>peuvent potentiellement être réduits</w:t>
      </w:r>
      <w:r w:rsidR="00500B11" w:rsidRPr="00DC2F2C">
        <w:rPr>
          <w:rFonts w:eastAsia="Calibri"/>
          <w:szCs w:val="22"/>
          <w:lang w:val="fr-FR"/>
        </w:rPr>
        <w:t xml:space="preserve">, </w:t>
      </w:r>
      <w:r w:rsidR="000566CA" w:rsidRPr="00DC2F2C">
        <w:rPr>
          <w:rFonts w:eastAsia="Calibri"/>
          <w:szCs w:val="22"/>
          <w:lang w:val="fr-FR"/>
        </w:rPr>
        <w:t>en raison de la diminution de la demi-vie</w:t>
      </w:r>
      <w:r w:rsidR="00500B11" w:rsidRPr="00DC2F2C">
        <w:rPr>
          <w:rFonts w:eastAsia="Calibri"/>
          <w:szCs w:val="22"/>
          <w:lang w:val="fr-FR"/>
        </w:rPr>
        <w:t xml:space="preserve">. </w:t>
      </w:r>
      <w:r w:rsidR="00D70E70" w:rsidRPr="00DC2F2C">
        <w:rPr>
          <w:rFonts w:eastAsia="Calibri"/>
          <w:szCs w:val="22"/>
          <w:lang w:val="fr-FR"/>
        </w:rPr>
        <w:t xml:space="preserve">Si </w:t>
      </w:r>
      <w:r w:rsidR="00A400E6" w:rsidRPr="00DC2F2C">
        <w:rPr>
          <w:rFonts w:eastAsia="Calibri"/>
          <w:szCs w:val="22"/>
          <w:lang w:val="fr-FR"/>
        </w:rPr>
        <w:t xml:space="preserve">l’administration concomitante de </w:t>
      </w:r>
      <w:proofErr w:type="spellStart"/>
      <w:r w:rsidR="00500B11" w:rsidRPr="00DC2F2C">
        <w:rPr>
          <w:rFonts w:eastAsia="Calibri"/>
          <w:szCs w:val="22"/>
          <w:lang w:val="fr-FR"/>
        </w:rPr>
        <w:t>tivozanib</w:t>
      </w:r>
      <w:proofErr w:type="spellEnd"/>
      <w:r w:rsidR="00500B11" w:rsidRPr="00DC2F2C">
        <w:rPr>
          <w:rFonts w:eastAsia="Calibri"/>
          <w:szCs w:val="22"/>
          <w:lang w:val="fr-FR"/>
        </w:rPr>
        <w:t xml:space="preserve"> </w:t>
      </w:r>
      <w:r w:rsidR="00A400E6" w:rsidRPr="00DC2F2C">
        <w:rPr>
          <w:rFonts w:eastAsia="Calibri"/>
          <w:szCs w:val="22"/>
          <w:lang w:val="fr-FR"/>
        </w:rPr>
        <w:t>avec des inducteurs puissants du</w:t>
      </w:r>
      <w:r w:rsidR="00500B11" w:rsidRPr="00DC2F2C">
        <w:rPr>
          <w:rFonts w:eastAsia="Calibri"/>
          <w:szCs w:val="22"/>
          <w:lang w:val="fr-FR"/>
        </w:rPr>
        <w:t xml:space="preserve"> CYP3A4</w:t>
      </w:r>
      <w:r w:rsidR="00D70E70" w:rsidRPr="00DC2F2C">
        <w:rPr>
          <w:rFonts w:eastAsia="Calibri"/>
          <w:szCs w:val="22"/>
          <w:lang w:val="fr-FR"/>
        </w:rPr>
        <w:t xml:space="preserve"> est nécessaire, il est recommandé de faire preuve de prudence</w:t>
      </w:r>
      <w:r w:rsidR="000D19D3" w:rsidRPr="00DC2F2C">
        <w:rPr>
          <w:rFonts w:eastAsia="Calibri"/>
          <w:szCs w:val="22"/>
          <w:lang w:val="fr-FR"/>
        </w:rPr>
        <w:t>.</w:t>
      </w:r>
      <w:r w:rsidR="00115CF8" w:rsidRPr="00DC2F2C">
        <w:rPr>
          <w:rFonts w:eastAsia="Calibri"/>
          <w:szCs w:val="22"/>
          <w:lang w:val="fr-FR"/>
        </w:rPr>
        <w:t xml:space="preserve"> Les inducteurs modérés du </w:t>
      </w:r>
      <w:r w:rsidR="00906C15" w:rsidRPr="00DC2F2C">
        <w:rPr>
          <w:szCs w:val="22"/>
          <w:lang w:val="fr-FR"/>
        </w:rPr>
        <w:t xml:space="preserve">CYP3A4 </w:t>
      </w:r>
      <w:r w:rsidR="00115CF8" w:rsidRPr="00DC2F2C">
        <w:rPr>
          <w:szCs w:val="22"/>
          <w:lang w:val="fr-FR"/>
        </w:rPr>
        <w:t>ne devraient pas avoir d’effet cliniquement pertinent sur l’exposition au</w:t>
      </w:r>
      <w:r w:rsidR="00906C15" w:rsidRPr="00DC2F2C">
        <w:rPr>
          <w:szCs w:val="22"/>
          <w:lang w:val="fr-FR"/>
        </w:rPr>
        <w:t xml:space="preserve"> </w:t>
      </w:r>
      <w:proofErr w:type="spellStart"/>
      <w:r w:rsidR="00906C15" w:rsidRPr="00DC2F2C">
        <w:rPr>
          <w:szCs w:val="22"/>
          <w:lang w:val="fr-FR"/>
        </w:rPr>
        <w:t>tivozanib</w:t>
      </w:r>
      <w:proofErr w:type="spellEnd"/>
      <w:r w:rsidR="00906C15" w:rsidRPr="00DC2F2C">
        <w:rPr>
          <w:szCs w:val="22"/>
          <w:lang w:val="fr-FR"/>
        </w:rPr>
        <w:t>.</w:t>
      </w:r>
      <w:r w:rsidR="00987B5A" w:rsidRPr="00DC2F2C">
        <w:rPr>
          <w:szCs w:val="22"/>
          <w:lang w:val="fr-FR"/>
        </w:rPr>
        <w:t xml:space="preserve"> </w:t>
      </w:r>
    </w:p>
    <w:p w14:paraId="1E560E8E" w14:textId="77777777" w:rsidR="001F3F98" w:rsidRPr="00DC2F2C" w:rsidRDefault="001F3F98" w:rsidP="009D43DC">
      <w:pPr>
        <w:numPr>
          <w:ilvl w:val="12"/>
          <w:numId w:val="0"/>
        </w:numPr>
        <w:tabs>
          <w:tab w:val="clear" w:pos="567"/>
        </w:tabs>
        <w:ind w:right="549"/>
        <w:rPr>
          <w:szCs w:val="22"/>
          <w:lang w:val="fr-FR"/>
        </w:rPr>
      </w:pPr>
    </w:p>
    <w:p w14:paraId="66791B40" w14:textId="77777777" w:rsidR="007B52C0" w:rsidRPr="00DC2F2C" w:rsidRDefault="0027406B" w:rsidP="009D43DC">
      <w:pPr>
        <w:keepNext/>
        <w:keepLines/>
        <w:suppressLineNumbers/>
        <w:tabs>
          <w:tab w:val="clear" w:pos="567"/>
        </w:tabs>
        <w:ind w:right="550"/>
        <w:rPr>
          <w:bCs/>
          <w:iCs/>
          <w:szCs w:val="22"/>
          <w:u w:val="single"/>
          <w:lang w:val="fr-FR"/>
        </w:rPr>
      </w:pPr>
      <w:r w:rsidRPr="00DC2F2C">
        <w:rPr>
          <w:szCs w:val="22"/>
          <w:u w:val="single"/>
          <w:lang w:val="fr-FR"/>
        </w:rPr>
        <w:t>Inhibiteurs du</w:t>
      </w:r>
      <w:r w:rsidR="00115CF8" w:rsidRPr="00DC2F2C">
        <w:rPr>
          <w:szCs w:val="22"/>
          <w:u w:val="single"/>
          <w:lang w:val="fr-FR"/>
        </w:rPr>
        <w:t xml:space="preserve"> </w:t>
      </w:r>
      <w:r w:rsidR="007B52C0" w:rsidRPr="00DC2F2C">
        <w:rPr>
          <w:szCs w:val="22"/>
          <w:u w:val="single"/>
          <w:lang w:val="fr-FR"/>
        </w:rPr>
        <w:t xml:space="preserve">CYP3A4 </w:t>
      </w:r>
    </w:p>
    <w:p w14:paraId="4F1752E5" w14:textId="77777777" w:rsidR="007B52C0" w:rsidRPr="00DC2F2C" w:rsidRDefault="003C22FE" w:rsidP="003157DB">
      <w:pPr>
        <w:rPr>
          <w:szCs w:val="22"/>
          <w:lang w:val="fr-FR"/>
        </w:rPr>
      </w:pPr>
      <w:r w:rsidRPr="00DC2F2C">
        <w:rPr>
          <w:rFonts w:eastAsia="Calibri"/>
          <w:szCs w:val="22"/>
          <w:lang w:val="fr-FR"/>
        </w:rPr>
        <w:t>Dans une étude clinique conduite chez des volontaires sains</w:t>
      </w:r>
      <w:r w:rsidR="007C7800" w:rsidRPr="00DC2F2C">
        <w:rPr>
          <w:szCs w:val="22"/>
          <w:lang w:val="fr-FR"/>
        </w:rPr>
        <w:t xml:space="preserve">, </w:t>
      </w:r>
      <w:r w:rsidRPr="00DC2F2C">
        <w:rPr>
          <w:rFonts w:eastAsia="Calibri"/>
          <w:szCs w:val="22"/>
          <w:lang w:val="fr-FR"/>
        </w:rPr>
        <w:t xml:space="preserve">l’administration concomitante </w:t>
      </w:r>
      <w:r w:rsidRPr="00DC2F2C">
        <w:rPr>
          <w:szCs w:val="22"/>
          <w:lang w:val="fr-FR"/>
        </w:rPr>
        <w:t>de</w:t>
      </w:r>
      <w:r w:rsidR="007C7800" w:rsidRPr="00DC2F2C">
        <w:rPr>
          <w:szCs w:val="22"/>
          <w:lang w:val="fr-FR"/>
        </w:rPr>
        <w:t xml:space="preserve"> </w:t>
      </w:r>
      <w:proofErr w:type="spellStart"/>
      <w:r w:rsidR="00551723" w:rsidRPr="00DC2F2C">
        <w:rPr>
          <w:szCs w:val="22"/>
          <w:lang w:val="fr-FR"/>
        </w:rPr>
        <w:t>tivozanib</w:t>
      </w:r>
      <w:proofErr w:type="spellEnd"/>
      <w:r w:rsidR="00551723" w:rsidRPr="00DC2F2C">
        <w:rPr>
          <w:szCs w:val="22"/>
          <w:lang w:val="fr-FR"/>
        </w:rPr>
        <w:t xml:space="preserve"> </w:t>
      </w:r>
      <w:r w:rsidRPr="00DC2F2C">
        <w:rPr>
          <w:szCs w:val="22"/>
          <w:lang w:val="fr-FR"/>
        </w:rPr>
        <w:t>avec un inhibiteur puissant du</w:t>
      </w:r>
      <w:r w:rsidR="007C7800" w:rsidRPr="00DC2F2C">
        <w:rPr>
          <w:szCs w:val="22"/>
          <w:lang w:val="fr-FR"/>
        </w:rPr>
        <w:t xml:space="preserve"> CYP3A4, </w:t>
      </w:r>
      <w:r w:rsidRPr="00DC2F2C">
        <w:rPr>
          <w:szCs w:val="22"/>
          <w:lang w:val="fr-FR"/>
        </w:rPr>
        <w:t xml:space="preserve">le </w:t>
      </w:r>
      <w:proofErr w:type="spellStart"/>
      <w:r w:rsidR="007C7800" w:rsidRPr="00DC2F2C">
        <w:rPr>
          <w:szCs w:val="22"/>
          <w:lang w:val="fr-FR"/>
        </w:rPr>
        <w:t>k</w:t>
      </w:r>
      <w:r w:rsidRPr="00DC2F2C">
        <w:rPr>
          <w:szCs w:val="22"/>
          <w:lang w:val="fr-FR"/>
        </w:rPr>
        <w:t>é</w:t>
      </w:r>
      <w:r w:rsidR="007C7800" w:rsidRPr="00DC2F2C">
        <w:rPr>
          <w:szCs w:val="22"/>
          <w:lang w:val="fr-FR"/>
        </w:rPr>
        <w:t>toconazole</w:t>
      </w:r>
      <w:proofErr w:type="spellEnd"/>
      <w:r w:rsidR="007C7800" w:rsidRPr="00DC2F2C">
        <w:rPr>
          <w:szCs w:val="22"/>
          <w:lang w:val="fr-FR"/>
        </w:rPr>
        <w:t xml:space="preserve"> (</w:t>
      </w:r>
      <w:r w:rsidRPr="00DC2F2C">
        <w:rPr>
          <w:szCs w:val="22"/>
          <w:lang w:val="fr-FR"/>
        </w:rPr>
        <w:t xml:space="preserve">à raison de </w:t>
      </w:r>
      <w:r w:rsidR="007C7800" w:rsidRPr="00DC2F2C">
        <w:rPr>
          <w:szCs w:val="22"/>
          <w:lang w:val="fr-FR"/>
        </w:rPr>
        <w:t>400</w:t>
      </w:r>
      <w:r w:rsidR="00597101" w:rsidRPr="00DC2F2C">
        <w:rPr>
          <w:szCs w:val="22"/>
          <w:lang w:val="fr-FR"/>
        </w:rPr>
        <w:t> </w:t>
      </w:r>
      <w:r w:rsidR="007C7800" w:rsidRPr="00DC2F2C">
        <w:rPr>
          <w:szCs w:val="22"/>
          <w:lang w:val="fr-FR"/>
        </w:rPr>
        <w:t xml:space="preserve">mg </w:t>
      </w:r>
      <w:r w:rsidRPr="00DC2F2C">
        <w:rPr>
          <w:szCs w:val="22"/>
          <w:lang w:val="fr-FR"/>
        </w:rPr>
        <w:t>1 fois par jour</w:t>
      </w:r>
      <w:r w:rsidR="007C7800" w:rsidRPr="00DC2F2C">
        <w:rPr>
          <w:szCs w:val="22"/>
          <w:lang w:val="fr-FR"/>
        </w:rPr>
        <w:t xml:space="preserve">), </w:t>
      </w:r>
      <w:r w:rsidRPr="00DC2F2C">
        <w:rPr>
          <w:szCs w:val="22"/>
          <w:lang w:val="fr-FR"/>
        </w:rPr>
        <w:t>n’a eu aucune</w:t>
      </w:r>
      <w:r w:rsidR="007C7800" w:rsidRPr="00DC2F2C">
        <w:rPr>
          <w:szCs w:val="22"/>
          <w:lang w:val="fr-FR"/>
        </w:rPr>
        <w:t xml:space="preserve"> influence </w:t>
      </w:r>
      <w:r w:rsidR="0033713B" w:rsidRPr="00DC2F2C">
        <w:rPr>
          <w:szCs w:val="22"/>
          <w:lang w:val="fr-FR"/>
        </w:rPr>
        <w:t>sur les concentrations sériques de</w:t>
      </w:r>
      <w:r w:rsidR="007C7800" w:rsidRPr="00DC2F2C">
        <w:rPr>
          <w:szCs w:val="22"/>
          <w:lang w:val="fr-FR"/>
        </w:rPr>
        <w:t xml:space="preserve"> </w:t>
      </w:r>
      <w:proofErr w:type="spellStart"/>
      <w:r w:rsidR="007C7800" w:rsidRPr="00DC2F2C">
        <w:rPr>
          <w:szCs w:val="22"/>
          <w:lang w:val="fr-FR"/>
        </w:rPr>
        <w:t>tivozanib</w:t>
      </w:r>
      <w:proofErr w:type="spellEnd"/>
      <w:r w:rsidR="007C7800" w:rsidRPr="00DC2F2C">
        <w:rPr>
          <w:szCs w:val="22"/>
          <w:lang w:val="fr-FR"/>
        </w:rPr>
        <w:t xml:space="preserve"> (C</w:t>
      </w:r>
      <w:r w:rsidR="007C7800" w:rsidRPr="00DC2F2C">
        <w:rPr>
          <w:szCs w:val="22"/>
          <w:vertAlign w:val="subscript"/>
          <w:lang w:val="fr-FR"/>
        </w:rPr>
        <w:t>max</w:t>
      </w:r>
      <w:r w:rsidR="007C7800" w:rsidRPr="00DC2F2C">
        <w:rPr>
          <w:szCs w:val="22"/>
          <w:lang w:val="fr-FR"/>
        </w:rPr>
        <w:t xml:space="preserve"> </w:t>
      </w:r>
      <w:r w:rsidR="0033713B" w:rsidRPr="00DC2F2C">
        <w:rPr>
          <w:szCs w:val="22"/>
          <w:lang w:val="fr-FR"/>
        </w:rPr>
        <w:t>ou ASC</w:t>
      </w:r>
      <w:r w:rsidR="007C7800" w:rsidRPr="00DC2F2C">
        <w:rPr>
          <w:szCs w:val="22"/>
          <w:lang w:val="fr-FR"/>
        </w:rPr>
        <w:t>)</w:t>
      </w:r>
      <w:r w:rsidR="0033713B" w:rsidRPr="00DC2F2C">
        <w:rPr>
          <w:szCs w:val="22"/>
          <w:lang w:val="fr-FR"/>
        </w:rPr>
        <w:t> </w:t>
      </w:r>
      <w:r w:rsidR="007C7800" w:rsidRPr="00DC2F2C">
        <w:rPr>
          <w:szCs w:val="22"/>
          <w:lang w:val="fr-FR"/>
        </w:rPr>
        <w:t xml:space="preserve">; </w:t>
      </w:r>
      <w:r w:rsidR="0033713B" w:rsidRPr="00DC2F2C">
        <w:rPr>
          <w:szCs w:val="22"/>
          <w:lang w:val="fr-FR"/>
        </w:rPr>
        <w:t xml:space="preserve">l’exposition au </w:t>
      </w:r>
      <w:proofErr w:type="spellStart"/>
      <w:r w:rsidR="007C7800" w:rsidRPr="00DC2F2C">
        <w:rPr>
          <w:szCs w:val="22"/>
          <w:lang w:val="fr-FR"/>
        </w:rPr>
        <w:t>tivozanib</w:t>
      </w:r>
      <w:proofErr w:type="spellEnd"/>
      <w:r w:rsidR="007C7800" w:rsidRPr="00DC2F2C">
        <w:rPr>
          <w:szCs w:val="22"/>
          <w:lang w:val="fr-FR"/>
        </w:rPr>
        <w:t xml:space="preserve"> </w:t>
      </w:r>
      <w:r w:rsidR="0033713B" w:rsidRPr="00DC2F2C">
        <w:rPr>
          <w:szCs w:val="22"/>
          <w:lang w:val="fr-FR"/>
        </w:rPr>
        <w:t>est donc peu susceptible d’être altérée par les inhibiteurs du</w:t>
      </w:r>
      <w:r w:rsidR="007C7800" w:rsidRPr="00DC2F2C">
        <w:rPr>
          <w:szCs w:val="22"/>
          <w:lang w:val="fr-FR"/>
        </w:rPr>
        <w:t xml:space="preserve"> CYP3A4.</w:t>
      </w:r>
    </w:p>
    <w:p w14:paraId="4CD40391" w14:textId="77777777" w:rsidR="00D22FE8" w:rsidRPr="00DC2F2C" w:rsidRDefault="00D22FE8" w:rsidP="009D43DC">
      <w:pPr>
        <w:autoSpaceDE w:val="0"/>
        <w:autoSpaceDN w:val="0"/>
        <w:adjustRightInd w:val="0"/>
        <w:ind w:right="549"/>
        <w:rPr>
          <w:szCs w:val="22"/>
          <w:lang w:val="fr-FR"/>
        </w:rPr>
      </w:pPr>
    </w:p>
    <w:p w14:paraId="7C99AC7C" w14:textId="77777777" w:rsidR="000D19D3" w:rsidRPr="00DC2F2C" w:rsidRDefault="002414D1" w:rsidP="000D19D3">
      <w:pPr>
        <w:rPr>
          <w:rFonts w:eastAsia="Calibri"/>
          <w:u w:val="single"/>
          <w:lang w:val="fr-FR"/>
        </w:rPr>
      </w:pPr>
      <w:r w:rsidRPr="00DC2F2C">
        <w:rPr>
          <w:rFonts w:eastAsia="Calibri"/>
          <w:u w:val="single"/>
          <w:lang w:val="fr-FR"/>
        </w:rPr>
        <w:t>Médicament</w:t>
      </w:r>
      <w:r w:rsidR="000D47D4" w:rsidRPr="00DC2F2C">
        <w:rPr>
          <w:rFonts w:eastAsia="Calibri"/>
          <w:u w:val="single"/>
          <w:lang w:val="fr-FR"/>
        </w:rPr>
        <w:t>s</w:t>
      </w:r>
      <w:r w:rsidRPr="00DC2F2C">
        <w:rPr>
          <w:rFonts w:eastAsia="Calibri"/>
          <w:u w:val="single"/>
          <w:lang w:val="fr-FR"/>
        </w:rPr>
        <w:t xml:space="preserve"> </w:t>
      </w:r>
      <w:r w:rsidR="00EE2EE4" w:rsidRPr="00DC2F2C">
        <w:rPr>
          <w:rFonts w:eastAsia="Calibri"/>
          <w:u w:val="single"/>
          <w:lang w:val="fr-FR"/>
        </w:rPr>
        <w:t xml:space="preserve">pour lesquels </w:t>
      </w:r>
      <w:r w:rsidRPr="00DC2F2C">
        <w:rPr>
          <w:rFonts w:eastAsia="Calibri"/>
          <w:u w:val="single"/>
          <w:lang w:val="fr-FR"/>
        </w:rPr>
        <w:t>l’absorption intestinale est limitée par la</w:t>
      </w:r>
      <w:r w:rsidR="000D19D3" w:rsidRPr="00DC2F2C">
        <w:rPr>
          <w:rFonts w:eastAsia="Calibri"/>
          <w:u w:val="single"/>
          <w:lang w:val="fr-FR"/>
        </w:rPr>
        <w:t xml:space="preserve"> BCRP</w:t>
      </w:r>
    </w:p>
    <w:p w14:paraId="2E7B16F2" w14:textId="77777777" w:rsidR="000D19D3" w:rsidRPr="00DC2F2C" w:rsidRDefault="002414D1" w:rsidP="000D19D3">
      <w:pPr>
        <w:rPr>
          <w:rFonts w:eastAsia="Calibri"/>
          <w:lang w:val="fr-FR"/>
        </w:rPr>
      </w:pPr>
      <w:r w:rsidRPr="00DC2F2C">
        <w:rPr>
          <w:rFonts w:eastAsia="Calibri"/>
          <w:lang w:val="fr-FR"/>
        </w:rPr>
        <w:t xml:space="preserve">Le </w:t>
      </w:r>
      <w:proofErr w:type="spellStart"/>
      <w:r w:rsidRPr="00DC2F2C">
        <w:rPr>
          <w:rFonts w:eastAsia="Calibri"/>
          <w:lang w:val="fr-FR"/>
        </w:rPr>
        <w:t>t</w:t>
      </w:r>
      <w:r w:rsidR="000D19D3" w:rsidRPr="00DC2F2C">
        <w:rPr>
          <w:rFonts w:eastAsia="Calibri"/>
          <w:lang w:val="fr-FR"/>
        </w:rPr>
        <w:t>ivozanib</w:t>
      </w:r>
      <w:proofErr w:type="spellEnd"/>
      <w:r w:rsidR="000D19D3" w:rsidRPr="00DC2F2C">
        <w:rPr>
          <w:rFonts w:eastAsia="Calibri"/>
          <w:lang w:val="fr-FR"/>
        </w:rPr>
        <w:t xml:space="preserve"> </w:t>
      </w:r>
      <w:r w:rsidRPr="00DC2F2C">
        <w:rPr>
          <w:rFonts w:eastAsia="Calibri"/>
          <w:lang w:val="fr-FR"/>
        </w:rPr>
        <w:t>inhibe la protéine de transport</w:t>
      </w:r>
      <w:r w:rsidR="000D19D3" w:rsidRPr="00DC2F2C">
        <w:rPr>
          <w:rFonts w:eastAsia="Calibri"/>
          <w:lang w:val="fr-FR"/>
        </w:rPr>
        <w:t xml:space="preserve"> BCRP </w:t>
      </w:r>
      <w:r w:rsidR="000D19D3" w:rsidRPr="00DC2F2C">
        <w:rPr>
          <w:rFonts w:eastAsia="Calibri"/>
          <w:i/>
          <w:lang w:val="fr-FR"/>
        </w:rPr>
        <w:t>in vitro</w:t>
      </w:r>
      <w:r w:rsidR="000D19D3" w:rsidRPr="00DC2F2C">
        <w:rPr>
          <w:rFonts w:eastAsia="Calibri"/>
          <w:lang w:val="fr-FR"/>
        </w:rPr>
        <w:t xml:space="preserve">, </w:t>
      </w:r>
      <w:r w:rsidRPr="00DC2F2C">
        <w:rPr>
          <w:rFonts w:eastAsia="Calibri"/>
          <w:lang w:val="fr-FR"/>
        </w:rPr>
        <w:t>mais la pertinence clinique de cette observation est inconnue</w:t>
      </w:r>
      <w:r w:rsidR="000D19D3" w:rsidRPr="00DC2F2C">
        <w:rPr>
          <w:rFonts w:eastAsia="Calibri"/>
          <w:lang w:val="fr-FR"/>
        </w:rPr>
        <w:t xml:space="preserve"> (</w:t>
      </w:r>
      <w:r w:rsidR="002D6EE5" w:rsidRPr="00DC2F2C">
        <w:rPr>
          <w:szCs w:val="22"/>
          <w:lang w:val="fr-FR"/>
        </w:rPr>
        <w:t xml:space="preserve">voir rubrique </w:t>
      </w:r>
      <w:r w:rsidR="000D19D3" w:rsidRPr="00DC2F2C">
        <w:rPr>
          <w:rFonts w:eastAsia="Calibri"/>
          <w:lang w:val="fr-FR"/>
        </w:rPr>
        <w:t xml:space="preserve">5.2). </w:t>
      </w:r>
      <w:r w:rsidRPr="00DC2F2C">
        <w:rPr>
          <w:rFonts w:eastAsia="Calibri"/>
          <w:lang w:val="fr-FR"/>
        </w:rPr>
        <w:t>Il faut faire preuve de prudence en cas d’administration concomitante de</w:t>
      </w:r>
      <w:r w:rsidR="000D19D3" w:rsidRPr="00DC2F2C">
        <w:rPr>
          <w:rFonts w:eastAsia="Calibri"/>
          <w:lang w:val="fr-FR"/>
        </w:rPr>
        <w:t xml:space="preserve"> </w:t>
      </w:r>
      <w:proofErr w:type="spellStart"/>
      <w:r w:rsidR="000D19D3" w:rsidRPr="00DC2F2C">
        <w:rPr>
          <w:rFonts w:eastAsia="Calibri"/>
          <w:lang w:val="fr-FR"/>
        </w:rPr>
        <w:t>tivozanib</w:t>
      </w:r>
      <w:proofErr w:type="spellEnd"/>
      <w:r w:rsidR="000D19D3" w:rsidRPr="00DC2F2C">
        <w:rPr>
          <w:rFonts w:eastAsia="Calibri"/>
          <w:lang w:val="fr-FR"/>
        </w:rPr>
        <w:t xml:space="preserve"> </w:t>
      </w:r>
      <w:r w:rsidRPr="00DC2F2C">
        <w:rPr>
          <w:rFonts w:eastAsia="Calibri"/>
          <w:lang w:val="fr-FR"/>
        </w:rPr>
        <w:t>et de</w:t>
      </w:r>
      <w:r w:rsidR="000D19D3" w:rsidRPr="00DC2F2C">
        <w:rPr>
          <w:rFonts w:eastAsia="Calibri"/>
          <w:lang w:val="fr-FR"/>
        </w:rPr>
        <w:t xml:space="preserve"> rosuvastatin</w:t>
      </w:r>
      <w:r w:rsidRPr="00DC2F2C">
        <w:rPr>
          <w:rFonts w:eastAsia="Calibri"/>
          <w:lang w:val="fr-FR"/>
        </w:rPr>
        <w:t>e</w:t>
      </w:r>
      <w:r w:rsidR="000D47D4" w:rsidRPr="00DC2F2C">
        <w:rPr>
          <w:rFonts w:eastAsia="Calibri"/>
          <w:lang w:val="fr-FR"/>
        </w:rPr>
        <w:t>. Sinon, il faut</w:t>
      </w:r>
      <w:r w:rsidRPr="00DC2F2C">
        <w:rPr>
          <w:rFonts w:eastAsia="Calibri"/>
          <w:lang w:val="fr-FR"/>
        </w:rPr>
        <w:t xml:space="preserve"> envisager l’administration d’une statine</w:t>
      </w:r>
      <w:r w:rsidR="000D19D3" w:rsidRPr="00DC2F2C">
        <w:rPr>
          <w:rFonts w:eastAsia="Calibri"/>
          <w:lang w:val="fr-FR"/>
        </w:rPr>
        <w:t xml:space="preserve"> </w:t>
      </w:r>
      <w:r w:rsidR="00172CD4" w:rsidRPr="00DC2F2C">
        <w:rPr>
          <w:rFonts w:eastAsia="Calibri"/>
          <w:lang w:val="fr-FR"/>
        </w:rPr>
        <w:t xml:space="preserve">non sujette à </w:t>
      </w:r>
      <w:r w:rsidR="00BF792B" w:rsidRPr="00DC2F2C">
        <w:rPr>
          <w:rFonts w:eastAsia="Calibri"/>
          <w:lang w:val="fr-FR"/>
        </w:rPr>
        <w:t xml:space="preserve">une limitation de </w:t>
      </w:r>
      <w:r w:rsidRPr="00DC2F2C">
        <w:rPr>
          <w:rFonts w:eastAsia="Calibri"/>
          <w:lang w:val="fr-FR"/>
        </w:rPr>
        <w:t>l’absorption intestinale par la</w:t>
      </w:r>
      <w:r w:rsidR="000D19D3" w:rsidRPr="00DC2F2C">
        <w:rPr>
          <w:rFonts w:eastAsia="Calibri"/>
          <w:lang w:val="fr-FR"/>
        </w:rPr>
        <w:t xml:space="preserve"> BCRP.</w:t>
      </w:r>
      <w:r w:rsidR="000D47D4" w:rsidRPr="00DC2F2C">
        <w:rPr>
          <w:rFonts w:eastAsia="Calibri"/>
          <w:lang w:val="fr-FR"/>
        </w:rPr>
        <w:t xml:space="preserve"> Les patients prenant </w:t>
      </w:r>
      <w:r w:rsidR="00652566" w:rsidRPr="00DC2F2C">
        <w:rPr>
          <w:rFonts w:eastAsia="Calibri"/>
          <w:lang w:val="fr-FR"/>
        </w:rPr>
        <w:t xml:space="preserve">par voie orale </w:t>
      </w:r>
      <w:r w:rsidR="000D47D4" w:rsidRPr="00DC2F2C">
        <w:rPr>
          <w:rFonts w:eastAsia="Calibri"/>
          <w:lang w:val="fr-FR"/>
        </w:rPr>
        <w:t>un substrat de la BCRP</w:t>
      </w:r>
      <w:r w:rsidR="00652566" w:rsidRPr="00DC2F2C">
        <w:rPr>
          <w:rFonts w:eastAsia="Calibri"/>
          <w:lang w:val="fr-FR"/>
        </w:rPr>
        <w:t xml:space="preserve"> </w:t>
      </w:r>
      <w:r w:rsidR="00394BB7" w:rsidRPr="00DC2F2C">
        <w:rPr>
          <w:rFonts w:eastAsia="Calibri"/>
          <w:lang w:val="fr-FR"/>
        </w:rPr>
        <w:t>associé à</w:t>
      </w:r>
      <w:r w:rsidR="00652566" w:rsidRPr="00DC2F2C">
        <w:rPr>
          <w:rFonts w:eastAsia="Calibri"/>
          <w:lang w:val="fr-FR"/>
        </w:rPr>
        <w:t xml:space="preserve"> une interaction</w:t>
      </w:r>
      <w:r w:rsidR="00632027" w:rsidRPr="00DC2F2C">
        <w:rPr>
          <w:rFonts w:eastAsia="Calibri"/>
          <w:lang w:val="fr-FR"/>
        </w:rPr>
        <w:t xml:space="preserve"> d’efflux</w:t>
      </w:r>
      <w:r w:rsidR="00652566" w:rsidRPr="00DC2F2C">
        <w:rPr>
          <w:rFonts w:eastAsia="Calibri"/>
          <w:lang w:val="fr-FR"/>
        </w:rPr>
        <w:t xml:space="preserve"> cliniquement pertinente au niveau </w:t>
      </w:r>
      <w:r w:rsidR="00394BB7" w:rsidRPr="00DC2F2C">
        <w:rPr>
          <w:rFonts w:eastAsia="Calibri"/>
          <w:lang w:val="fr-FR"/>
        </w:rPr>
        <w:t>de l’intestin</w:t>
      </w:r>
      <w:r w:rsidR="00652566" w:rsidRPr="00DC2F2C">
        <w:rPr>
          <w:rFonts w:eastAsia="Calibri"/>
          <w:lang w:val="fr-FR"/>
        </w:rPr>
        <w:t xml:space="preserve"> doivent respecter un intervalle approprié</w:t>
      </w:r>
      <w:r w:rsidR="000D47D4" w:rsidRPr="00DC2F2C">
        <w:rPr>
          <w:rFonts w:eastAsia="Calibri"/>
          <w:lang w:val="fr-FR"/>
        </w:rPr>
        <w:t xml:space="preserve"> (</w:t>
      </w:r>
      <w:r w:rsidR="00E761E5" w:rsidRPr="00DC2F2C">
        <w:rPr>
          <w:rFonts w:eastAsia="Calibri"/>
          <w:lang w:val="fr-FR"/>
        </w:rPr>
        <w:t>p. ex. 2 </w:t>
      </w:r>
      <w:r w:rsidR="00652566" w:rsidRPr="00DC2F2C">
        <w:rPr>
          <w:rFonts w:eastAsia="Calibri"/>
          <w:lang w:val="fr-FR"/>
        </w:rPr>
        <w:t>heures</w:t>
      </w:r>
      <w:r w:rsidR="000D47D4" w:rsidRPr="00DC2F2C">
        <w:rPr>
          <w:rFonts w:eastAsia="Calibri"/>
          <w:lang w:val="fr-FR"/>
        </w:rPr>
        <w:t xml:space="preserve">) </w:t>
      </w:r>
      <w:r w:rsidR="00652566" w:rsidRPr="00DC2F2C">
        <w:rPr>
          <w:rFonts w:eastAsia="Calibri"/>
          <w:lang w:val="fr-FR"/>
        </w:rPr>
        <w:t xml:space="preserve">entre </w:t>
      </w:r>
      <w:r w:rsidR="00394BB7" w:rsidRPr="00DC2F2C">
        <w:rPr>
          <w:rFonts w:eastAsia="Calibri"/>
          <w:lang w:val="fr-FR"/>
        </w:rPr>
        <w:t>la prise</w:t>
      </w:r>
      <w:r w:rsidR="00652566" w:rsidRPr="00DC2F2C">
        <w:rPr>
          <w:rFonts w:eastAsia="Calibri"/>
          <w:lang w:val="fr-FR"/>
        </w:rPr>
        <w:t xml:space="preserve"> du</w:t>
      </w:r>
      <w:r w:rsidR="000D47D4" w:rsidRPr="00DC2F2C">
        <w:rPr>
          <w:rFonts w:eastAsia="Calibri"/>
          <w:lang w:val="fr-FR"/>
        </w:rPr>
        <w:t xml:space="preserve"> </w:t>
      </w:r>
      <w:proofErr w:type="spellStart"/>
      <w:r w:rsidR="000D47D4" w:rsidRPr="00DC2F2C">
        <w:rPr>
          <w:rFonts w:eastAsia="Calibri"/>
          <w:lang w:val="fr-FR"/>
        </w:rPr>
        <w:t>tivozanib</w:t>
      </w:r>
      <w:proofErr w:type="spellEnd"/>
      <w:r w:rsidR="000D47D4" w:rsidRPr="00DC2F2C">
        <w:rPr>
          <w:rFonts w:eastAsia="Calibri"/>
          <w:lang w:val="fr-FR"/>
        </w:rPr>
        <w:t xml:space="preserve"> </w:t>
      </w:r>
      <w:r w:rsidR="00652566" w:rsidRPr="00DC2F2C">
        <w:rPr>
          <w:rFonts w:eastAsia="Calibri"/>
          <w:lang w:val="fr-FR"/>
        </w:rPr>
        <w:t>et celle du substrat de la</w:t>
      </w:r>
      <w:r w:rsidR="000D47D4" w:rsidRPr="00DC2F2C">
        <w:rPr>
          <w:rFonts w:eastAsia="Calibri"/>
          <w:lang w:val="fr-FR"/>
        </w:rPr>
        <w:t xml:space="preserve"> BCRP.</w:t>
      </w:r>
    </w:p>
    <w:p w14:paraId="432C0C2B" w14:textId="77777777" w:rsidR="000D19D3" w:rsidRPr="00DC2F2C" w:rsidRDefault="000D19D3" w:rsidP="009D43DC">
      <w:pPr>
        <w:autoSpaceDE w:val="0"/>
        <w:autoSpaceDN w:val="0"/>
        <w:adjustRightInd w:val="0"/>
        <w:ind w:right="549"/>
        <w:rPr>
          <w:szCs w:val="22"/>
          <w:lang w:val="fr-FR"/>
        </w:rPr>
      </w:pPr>
    </w:p>
    <w:p w14:paraId="0BDBA7B0" w14:textId="77777777" w:rsidR="00D22FE8" w:rsidRPr="00DC2F2C" w:rsidRDefault="000D19D3" w:rsidP="00D22FE8">
      <w:pPr>
        <w:keepNext/>
        <w:tabs>
          <w:tab w:val="clear" w:pos="567"/>
        </w:tabs>
        <w:rPr>
          <w:rFonts w:eastAsia="Calibri"/>
          <w:szCs w:val="22"/>
          <w:u w:val="single"/>
          <w:lang w:val="fr-FR" w:eastAsia="en-GB"/>
        </w:rPr>
      </w:pPr>
      <w:r w:rsidRPr="00DC2F2C">
        <w:rPr>
          <w:rFonts w:eastAsia="Calibri"/>
          <w:szCs w:val="22"/>
          <w:u w:val="single"/>
          <w:lang w:val="fr-FR" w:eastAsia="en-GB"/>
        </w:rPr>
        <w:t>C</w:t>
      </w:r>
      <w:r w:rsidR="00880A4F" w:rsidRPr="00DC2F2C">
        <w:rPr>
          <w:rFonts w:eastAsia="Calibri"/>
          <w:szCs w:val="22"/>
          <w:u w:val="single"/>
          <w:lang w:val="fr-FR" w:eastAsia="en-GB"/>
        </w:rPr>
        <w:t>ontraceptif</w:t>
      </w:r>
      <w:r w:rsidR="00D22FE8" w:rsidRPr="00DC2F2C">
        <w:rPr>
          <w:rFonts w:eastAsia="Calibri"/>
          <w:szCs w:val="22"/>
          <w:u w:val="single"/>
          <w:lang w:val="fr-FR" w:eastAsia="en-GB"/>
        </w:rPr>
        <w:t>s</w:t>
      </w:r>
    </w:p>
    <w:p w14:paraId="04BCCB28" w14:textId="77777777" w:rsidR="00D22FE8" w:rsidRPr="00DC2F2C" w:rsidRDefault="00880A4F" w:rsidP="003157DB">
      <w:pPr>
        <w:rPr>
          <w:bCs/>
          <w:szCs w:val="22"/>
          <w:lang w:val="fr-FR"/>
        </w:rPr>
      </w:pPr>
      <w:r w:rsidRPr="00DC2F2C">
        <w:rPr>
          <w:rFonts w:eastAsia="Calibri"/>
          <w:szCs w:val="22"/>
          <w:lang w:val="fr-FR" w:eastAsia="en-GB"/>
        </w:rPr>
        <w:t>On ignore actuellement si le</w:t>
      </w:r>
      <w:r w:rsidR="00D22FE8" w:rsidRPr="00DC2F2C">
        <w:rPr>
          <w:rFonts w:eastAsia="Calibri"/>
          <w:szCs w:val="22"/>
          <w:lang w:val="fr-FR" w:eastAsia="en-GB"/>
        </w:rPr>
        <w:t xml:space="preserve"> </w:t>
      </w:r>
      <w:proofErr w:type="spellStart"/>
      <w:r w:rsidR="00D22FE8" w:rsidRPr="00DC2F2C">
        <w:rPr>
          <w:rFonts w:eastAsia="Calibri"/>
          <w:szCs w:val="22"/>
          <w:lang w:val="fr-FR" w:eastAsia="en-GB"/>
        </w:rPr>
        <w:t>tivozanib</w:t>
      </w:r>
      <w:proofErr w:type="spellEnd"/>
      <w:r w:rsidR="00D22FE8" w:rsidRPr="00DC2F2C">
        <w:rPr>
          <w:rFonts w:eastAsia="Calibri"/>
          <w:szCs w:val="22"/>
          <w:lang w:val="fr-FR" w:eastAsia="en-GB"/>
        </w:rPr>
        <w:t xml:space="preserve"> </w:t>
      </w:r>
      <w:r w:rsidRPr="00DC2F2C">
        <w:rPr>
          <w:rFonts w:eastAsia="Calibri"/>
          <w:szCs w:val="22"/>
          <w:lang w:val="fr-FR" w:eastAsia="en-GB"/>
        </w:rPr>
        <w:t>est susceptible de réduire l’efficacité des contraceptifs hormonaux. Les femmes utilisant ce type de contraceptifs doivent donc également utiliser une méthode barrière</w:t>
      </w:r>
      <w:r w:rsidR="00D22FE8" w:rsidRPr="00DC2F2C">
        <w:rPr>
          <w:rFonts w:eastAsia="Calibri"/>
          <w:szCs w:val="22"/>
          <w:lang w:val="fr-FR" w:eastAsia="en-GB"/>
        </w:rPr>
        <w:t xml:space="preserve"> (</w:t>
      </w:r>
      <w:r w:rsidR="002D6EE5" w:rsidRPr="00DC2F2C">
        <w:rPr>
          <w:szCs w:val="22"/>
          <w:lang w:val="fr-FR"/>
        </w:rPr>
        <w:t xml:space="preserve">voir rubrique </w:t>
      </w:r>
      <w:r w:rsidR="00D22FE8" w:rsidRPr="00DC2F2C">
        <w:rPr>
          <w:rFonts w:eastAsia="Calibri"/>
          <w:szCs w:val="22"/>
          <w:lang w:val="fr-FR" w:eastAsia="en-GB"/>
        </w:rPr>
        <w:t>4.6).</w:t>
      </w:r>
    </w:p>
    <w:p w14:paraId="59CA6431" w14:textId="77777777" w:rsidR="006F73C2" w:rsidRPr="00DC2F2C" w:rsidRDefault="006F73C2" w:rsidP="009D43DC">
      <w:pPr>
        <w:numPr>
          <w:ilvl w:val="12"/>
          <w:numId w:val="0"/>
        </w:numPr>
        <w:tabs>
          <w:tab w:val="clear" w:pos="567"/>
        </w:tabs>
        <w:ind w:right="549"/>
        <w:rPr>
          <w:szCs w:val="22"/>
          <w:lang w:val="fr-FR"/>
        </w:rPr>
      </w:pPr>
    </w:p>
    <w:p w14:paraId="4472A183" w14:textId="77777777" w:rsidR="00812D16" w:rsidRPr="00DC2F2C" w:rsidRDefault="00812D16" w:rsidP="00073C28">
      <w:pPr>
        <w:keepNext/>
        <w:keepLines/>
        <w:suppressLineNumbers/>
        <w:ind w:right="550"/>
        <w:rPr>
          <w:b/>
          <w:szCs w:val="22"/>
          <w:lang w:val="fr-FR"/>
        </w:rPr>
      </w:pPr>
      <w:r w:rsidRPr="00DC2F2C">
        <w:rPr>
          <w:b/>
          <w:szCs w:val="22"/>
          <w:lang w:val="fr-FR"/>
        </w:rPr>
        <w:t>4.6</w:t>
      </w:r>
      <w:r w:rsidRPr="00DC2F2C">
        <w:rPr>
          <w:b/>
          <w:szCs w:val="22"/>
          <w:lang w:val="fr-FR"/>
        </w:rPr>
        <w:tab/>
      </w:r>
      <w:r w:rsidR="009600BA" w:rsidRPr="00DC2F2C">
        <w:rPr>
          <w:b/>
          <w:lang w:val="fr-FR"/>
        </w:rPr>
        <w:t>Fertilité, grossesse et allaitement</w:t>
      </w:r>
    </w:p>
    <w:p w14:paraId="7CAB0623" w14:textId="77777777" w:rsidR="00552E2B" w:rsidRPr="00DC2F2C" w:rsidRDefault="00552E2B" w:rsidP="009D43DC">
      <w:pPr>
        <w:keepNext/>
        <w:keepLines/>
        <w:ind w:right="550"/>
        <w:rPr>
          <w:szCs w:val="22"/>
          <w:lang w:val="fr-FR"/>
        </w:rPr>
      </w:pPr>
    </w:p>
    <w:p w14:paraId="48176DF7" w14:textId="77777777" w:rsidR="00D22FE8" w:rsidRPr="00DC2F2C" w:rsidRDefault="00F0143F" w:rsidP="00D22FE8">
      <w:pPr>
        <w:keepNext/>
        <w:keepLines/>
        <w:tabs>
          <w:tab w:val="clear" w:pos="567"/>
        </w:tabs>
        <w:rPr>
          <w:rFonts w:eastAsia="Calibri"/>
          <w:szCs w:val="22"/>
          <w:u w:val="single"/>
          <w:lang w:val="fr-FR" w:eastAsia="en-GB"/>
        </w:rPr>
      </w:pPr>
      <w:r w:rsidRPr="00DC2F2C">
        <w:rPr>
          <w:rFonts w:eastAsia="Calibri"/>
          <w:szCs w:val="22"/>
          <w:u w:val="single"/>
          <w:lang w:val="fr-FR" w:eastAsia="en-GB"/>
        </w:rPr>
        <w:t>Femmes en âge de procréer</w:t>
      </w:r>
      <w:r w:rsidR="00D22FE8" w:rsidRPr="00DC2F2C">
        <w:rPr>
          <w:rFonts w:eastAsia="Calibri"/>
          <w:szCs w:val="22"/>
          <w:u w:val="single"/>
          <w:lang w:val="fr-FR" w:eastAsia="en-GB"/>
        </w:rPr>
        <w:t xml:space="preserve">/contraception </w:t>
      </w:r>
      <w:r w:rsidRPr="00DC2F2C">
        <w:rPr>
          <w:rFonts w:eastAsia="Calibri"/>
          <w:szCs w:val="22"/>
          <w:u w:val="single"/>
          <w:lang w:val="fr-FR" w:eastAsia="en-GB"/>
        </w:rPr>
        <w:t>chez les hommes et les femmes</w:t>
      </w:r>
    </w:p>
    <w:p w14:paraId="45E2834F" w14:textId="77777777" w:rsidR="00D22FE8" w:rsidRPr="00DC2F2C" w:rsidRDefault="00F0143F" w:rsidP="00D22FE8">
      <w:pPr>
        <w:rPr>
          <w:rFonts w:eastAsia="Calibri"/>
          <w:szCs w:val="22"/>
          <w:lang w:val="fr-FR" w:eastAsia="en-GB"/>
        </w:rPr>
      </w:pPr>
      <w:r w:rsidRPr="00DC2F2C">
        <w:rPr>
          <w:rFonts w:eastAsia="Calibri"/>
          <w:szCs w:val="22"/>
          <w:lang w:val="fr-FR" w:eastAsia="en-GB"/>
        </w:rPr>
        <w:t xml:space="preserve">Les femmes en âge de procréer doivent éviter de </w:t>
      </w:r>
      <w:r w:rsidR="00CD1838" w:rsidRPr="00DC2F2C">
        <w:rPr>
          <w:rFonts w:eastAsia="Calibri"/>
          <w:szCs w:val="22"/>
          <w:lang w:val="fr-FR" w:eastAsia="en-GB"/>
        </w:rPr>
        <w:t xml:space="preserve">devenir </w:t>
      </w:r>
      <w:r w:rsidRPr="00DC2F2C">
        <w:rPr>
          <w:rFonts w:eastAsia="Calibri"/>
          <w:szCs w:val="22"/>
          <w:lang w:val="fr-FR" w:eastAsia="en-GB"/>
        </w:rPr>
        <w:t xml:space="preserve">enceintes lorsqu’elles sont </w:t>
      </w:r>
      <w:r w:rsidR="003506AD" w:rsidRPr="00DC2F2C">
        <w:rPr>
          <w:rFonts w:eastAsia="Calibri"/>
          <w:szCs w:val="22"/>
          <w:lang w:val="fr-FR" w:eastAsia="en-GB"/>
        </w:rPr>
        <w:t xml:space="preserve">traitées </w:t>
      </w:r>
      <w:r w:rsidRPr="00DC2F2C">
        <w:rPr>
          <w:rFonts w:eastAsia="Calibri"/>
          <w:szCs w:val="22"/>
          <w:lang w:val="fr-FR" w:eastAsia="en-GB"/>
        </w:rPr>
        <w:t>par</w:t>
      </w:r>
      <w:r w:rsidR="00D22FE8" w:rsidRPr="00DC2F2C">
        <w:rPr>
          <w:rFonts w:eastAsia="Calibri"/>
          <w:szCs w:val="22"/>
          <w:lang w:val="fr-FR" w:eastAsia="en-GB"/>
        </w:rPr>
        <w:t xml:space="preserve"> </w:t>
      </w:r>
      <w:proofErr w:type="spellStart"/>
      <w:r w:rsidR="00D22FE8" w:rsidRPr="00DC2F2C">
        <w:rPr>
          <w:rFonts w:eastAsia="Calibri"/>
          <w:szCs w:val="22"/>
          <w:lang w:val="fr-FR" w:eastAsia="en-GB"/>
        </w:rPr>
        <w:t>tivozanib</w:t>
      </w:r>
      <w:proofErr w:type="spellEnd"/>
      <w:r w:rsidR="00D22FE8" w:rsidRPr="00DC2F2C">
        <w:rPr>
          <w:rFonts w:eastAsia="Calibri"/>
          <w:szCs w:val="22"/>
          <w:lang w:val="fr-FR" w:eastAsia="en-GB"/>
        </w:rPr>
        <w:t xml:space="preserve">. </w:t>
      </w:r>
      <w:r w:rsidRPr="00DC2F2C">
        <w:rPr>
          <w:rFonts w:eastAsia="Calibri"/>
          <w:szCs w:val="22"/>
          <w:lang w:val="fr-FR" w:eastAsia="en-GB"/>
        </w:rPr>
        <w:t>Les partenaires de sexe féminin des patients de sexe masculin prenant du</w:t>
      </w:r>
      <w:r w:rsidR="00D22FE8" w:rsidRPr="00DC2F2C">
        <w:rPr>
          <w:rFonts w:eastAsia="Calibri"/>
          <w:szCs w:val="22"/>
          <w:lang w:val="fr-FR" w:eastAsia="en-GB"/>
        </w:rPr>
        <w:t xml:space="preserve"> </w:t>
      </w:r>
      <w:proofErr w:type="spellStart"/>
      <w:r w:rsidR="00D22FE8" w:rsidRPr="00DC2F2C">
        <w:rPr>
          <w:rFonts w:eastAsia="Calibri"/>
          <w:szCs w:val="22"/>
          <w:lang w:val="fr-FR" w:eastAsia="en-GB"/>
        </w:rPr>
        <w:t>tivozanib</w:t>
      </w:r>
      <w:proofErr w:type="spellEnd"/>
      <w:r w:rsidR="00D22FE8" w:rsidRPr="00DC2F2C">
        <w:rPr>
          <w:rFonts w:eastAsia="Calibri"/>
          <w:szCs w:val="22"/>
          <w:lang w:val="fr-FR" w:eastAsia="en-GB"/>
        </w:rPr>
        <w:t xml:space="preserve"> </w:t>
      </w:r>
      <w:r w:rsidRPr="00DC2F2C">
        <w:rPr>
          <w:rFonts w:eastAsia="Calibri"/>
          <w:szCs w:val="22"/>
          <w:lang w:val="fr-FR" w:eastAsia="en-GB"/>
        </w:rPr>
        <w:t xml:space="preserve">doivent également éviter de </w:t>
      </w:r>
      <w:r w:rsidR="00CD1838" w:rsidRPr="00DC2F2C">
        <w:rPr>
          <w:rFonts w:eastAsia="Calibri"/>
          <w:szCs w:val="22"/>
          <w:lang w:val="fr-FR" w:eastAsia="en-GB"/>
        </w:rPr>
        <w:t>devenir</w:t>
      </w:r>
      <w:r w:rsidRPr="00DC2F2C">
        <w:rPr>
          <w:rFonts w:eastAsia="Calibri"/>
          <w:szCs w:val="22"/>
          <w:lang w:val="fr-FR" w:eastAsia="en-GB"/>
        </w:rPr>
        <w:t xml:space="preserve"> enceintes</w:t>
      </w:r>
      <w:r w:rsidR="00D22FE8" w:rsidRPr="00DC2F2C">
        <w:rPr>
          <w:rFonts w:eastAsia="Calibri"/>
          <w:szCs w:val="22"/>
          <w:lang w:val="fr-FR" w:eastAsia="en-GB"/>
        </w:rPr>
        <w:t xml:space="preserve">. </w:t>
      </w:r>
      <w:r w:rsidRPr="00DC2F2C">
        <w:rPr>
          <w:rFonts w:eastAsia="Calibri"/>
          <w:szCs w:val="22"/>
          <w:lang w:val="fr-FR" w:eastAsia="en-GB"/>
        </w:rPr>
        <w:t>Des méthodes de contraception efficaces doivent être utilisées par les patients de sexe masculin et féminin et leurs partenaires pendant le traitement et pendant au moins un mois après la fin de celui-ci</w:t>
      </w:r>
      <w:r w:rsidR="00D22FE8" w:rsidRPr="00DC2F2C">
        <w:rPr>
          <w:rFonts w:eastAsia="Calibri"/>
          <w:szCs w:val="22"/>
          <w:lang w:val="fr-FR" w:eastAsia="en-GB"/>
        </w:rPr>
        <w:t xml:space="preserve">. </w:t>
      </w:r>
      <w:r w:rsidRPr="00DC2F2C">
        <w:rPr>
          <w:rFonts w:eastAsia="Calibri"/>
          <w:szCs w:val="22"/>
          <w:lang w:val="fr-FR" w:eastAsia="en-GB"/>
        </w:rPr>
        <w:t>On ignore actuellement si le</w:t>
      </w:r>
      <w:r w:rsidR="00D22FE8" w:rsidRPr="00DC2F2C">
        <w:rPr>
          <w:rFonts w:eastAsia="Calibri"/>
          <w:szCs w:val="22"/>
          <w:lang w:val="fr-FR" w:eastAsia="en-GB"/>
        </w:rPr>
        <w:t xml:space="preserve"> </w:t>
      </w:r>
      <w:proofErr w:type="spellStart"/>
      <w:r w:rsidR="00D22FE8" w:rsidRPr="00DC2F2C">
        <w:rPr>
          <w:rFonts w:eastAsia="Calibri"/>
          <w:szCs w:val="22"/>
          <w:lang w:val="fr-FR" w:eastAsia="en-GB"/>
        </w:rPr>
        <w:t>tivozanib</w:t>
      </w:r>
      <w:proofErr w:type="spellEnd"/>
      <w:r w:rsidR="00D22FE8" w:rsidRPr="00DC2F2C">
        <w:rPr>
          <w:rFonts w:eastAsia="Calibri"/>
          <w:szCs w:val="22"/>
          <w:lang w:val="fr-FR" w:eastAsia="en-GB"/>
        </w:rPr>
        <w:t xml:space="preserve"> </w:t>
      </w:r>
      <w:r w:rsidRPr="00DC2F2C">
        <w:rPr>
          <w:rFonts w:eastAsia="Calibri"/>
          <w:szCs w:val="22"/>
          <w:lang w:val="fr-FR" w:eastAsia="en-GB"/>
        </w:rPr>
        <w:t>est susceptible de réduire l’efficacité des contraceptifs hormonaux. Les femmes utilisant ce type de contraceptifs doivent donc également utiliser une méthode barrière</w:t>
      </w:r>
      <w:r w:rsidR="00D22FE8" w:rsidRPr="00DC2F2C">
        <w:rPr>
          <w:rFonts w:eastAsia="Calibri"/>
          <w:szCs w:val="22"/>
          <w:lang w:val="fr-FR" w:eastAsia="en-GB"/>
        </w:rPr>
        <w:t>.</w:t>
      </w:r>
    </w:p>
    <w:p w14:paraId="1DD43ABA" w14:textId="77777777" w:rsidR="00A26CD3" w:rsidRPr="00DC2F2C" w:rsidRDefault="00A26CD3" w:rsidP="00D22FE8">
      <w:pPr>
        <w:rPr>
          <w:szCs w:val="22"/>
          <w:lang w:val="fr-FR"/>
        </w:rPr>
      </w:pPr>
    </w:p>
    <w:p w14:paraId="71DDC0EB" w14:textId="77777777" w:rsidR="00552E2B" w:rsidRPr="00DC2F2C" w:rsidRDefault="006F75F8" w:rsidP="009D43DC">
      <w:pPr>
        <w:keepNext/>
        <w:keepLines/>
        <w:tabs>
          <w:tab w:val="clear" w:pos="567"/>
        </w:tabs>
        <w:ind w:right="550"/>
        <w:rPr>
          <w:szCs w:val="22"/>
          <w:u w:val="single"/>
          <w:lang w:val="fr-FR"/>
        </w:rPr>
      </w:pPr>
      <w:r w:rsidRPr="00DC2F2C">
        <w:rPr>
          <w:szCs w:val="22"/>
          <w:u w:val="single"/>
          <w:lang w:val="fr-FR"/>
        </w:rPr>
        <w:t>Grossesse</w:t>
      </w:r>
    </w:p>
    <w:p w14:paraId="633EDEEC" w14:textId="77777777" w:rsidR="00552E2B" w:rsidRPr="00DC2F2C" w:rsidRDefault="00C551F6" w:rsidP="00F536C1">
      <w:pPr>
        <w:rPr>
          <w:szCs w:val="22"/>
          <w:lang w:val="fr-FR"/>
        </w:rPr>
      </w:pPr>
      <w:r w:rsidRPr="00DC2F2C">
        <w:rPr>
          <w:lang w:val="fr-FR"/>
        </w:rPr>
        <w:t>Il n’existe pas de données</w:t>
      </w:r>
      <w:r w:rsidR="00552E2B" w:rsidRPr="00DC2F2C">
        <w:rPr>
          <w:szCs w:val="22"/>
          <w:lang w:val="fr-FR"/>
        </w:rPr>
        <w:t xml:space="preserve"> </w:t>
      </w:r>
      <w:r w:rsidRPr="00DC2F2C">
        <w:rPr>
          <w:lang w:val="fr-FR"/>
        </w:rPr>
        <w:t xml:space="preserve">sur l'utilisation du </w:t>
      </w:r>
      <w:proofErr w:type="spellStart"/>
      <w:r w:rsidR="00552E2B" w:rsidRPr="00DC2F2C">
        <w:rPr>
          <w:szCs w:val="22"/>
          <w:lang w:val="fr-FR"/>
        </w:rPr>
        <w:t>tivozanib</w:t>
      </w:r>
      <w:proofErr w:type="spellEnd"/>
      <w:r w:rsidR="00552E2B" w:rsidRPr="00DC2F2C">
        <w:rPr>
          <w:szCs w:val="22"/>
          <w:lang w:val="fr-FR"/>
        </w:rPr>
        <w:t xml:space="preserve"> </w:t>
      </w:r>
      <w:r w:rsidRPr="00DC2F2C">
        <w:rPr>
          <w:lang w:val="fr-FR"/>
        </w:rPr>
        <w:t>chez la femme enceinte</w:t>
      </w:r>
      <w:r w:rsidR="00552E2B" w:rsidRPr="00DC2F2C">
        <w:rPr>
          <w:szCs w:val="22"/>
          <w:lang w:val="fr-FR"/>
        </w:rPr>
        <w:t xml:space="preserve">. </w:t>
      </w:r>
      <w:r w:rsidRPr="00DC2F2C">
        <w:rPr>
          <w:lang w:val="fr-FR"/>
        </w:rPr>
        <w:t xml:space="preserve">Les études effectuées chez l’animal ont mis en évidence une toxicité sur la reproduction </w:t>
      </w:r>
      <w:r w:rsidR="00552E2B" w:rsidRPr="00DC2F2C">
        <w:rPr>
          <w:szCs w:val="22"/>
          <w:lang w:val="fr-FR"/>
        </w:rPr>
        <w:t>(</w:t>
      </w:r>
      <w:r w:rsidR="002D6EE5" w:rsidRPr="00DC2F2C">
        <w:rPr>
          <w:szCs w:val="22"/>
          <w:lang w:val="fr-FR"/>
        </w:rPr>
        <w:t xml:space="preserve">voir rubrique </w:t>
      </w:r>
      <w:r w:rsidR="00552E2B" w:rsidRPr="00DC2F2C">
        <w:rPr>
          <w:szCs w:val="22"/>
          <w:lang w:val="fr-FR"/>
        </w:rPr>
        <w:t>5.3).</w:t>
      </w:r>
      <w:r w:rsidR="00A26CD3" w:rsidRPr="00DC2F2C">
        <w:rPr>
          <w:szCs w:val="22"/>
          <w:lang w:val="fr-FR"/>
        </w:rPr>
        <w:t xml:space="preserve"> </w:t>
      </w:r>
      <w:r w:rsidRPr="00DC2F2C">
        <w:rPr>
          <w:szCs w:val="22"/>
          <w:lang w:val="fr-FR"/>
        </w:rPr>
        <w:t xml:space="preserve">Le </w:t>
      </w:r>
      <w:proofErr w:type="spellStart"/>
      <w:r w:rsidRPr="00DC2F2C">
        <w:rPr>
          <w:szCs w:val="22"/>
          <w:lang w:val="fr-FR"/>
        </w:rPr>
        <w:t>ti</w:t>
      </w:r>
      <w:r w:rsidR="000D19D3" w:rsidRPr="00DC2F2C">
        <w:rPr>
          <w:szCs w:val="22"/>
          <w:lang w:val="fr-FR"/>
        </w:rPr>
        <w:t>vozanib</w:t>
      </w:r>
      <w:proofErr w:type="spellEnd"/>
      <w:r w:rsidR="00552E2B" w:rsidRPr="00DC2F2C">
        <w:rPr>
          <w:szCs w:val="22"/>
          <w:lang w:val="fr-FR"/>
        </w:rPr>
        <w:t xml:space="preserve"> </w:t>
      </w:r>
      <w:r w:rsidRPr="00DC2F2C">
        <w:rPr>
          <w:szCs w:val="22"/>
          <w:lang w:val="fr-FR"/>
        </w:rPr>
        <w:t xml:space="preserve">ne </w:t>
      </w:r>
      <w:r w:rsidRPr="00DC2F2C">
        <w:rPr>
          <w:szCs w:val="22"/>
          <w:lang w:val="fr-FR"/>
        </w:rPr>
        <w:lastRenderedPageBreak/>
        <w:t>doit pas être utilisé pendant la grossesse</w:t>
      </w:r>
      <w:r w:rsidR="00D65D5F" w:rsidRPr="00DC2F2C">
        <w:rPr>
          <w:szCs w:val="22"/>
          <w:lang w:val="fr-FR"/>
        </w:rPr>
        <w:t xml:space="preserve">. </w:t>
      </w:r>
      <w:r w:rsidRPr="00DC2F2C">
        <w:rPr>
          <w:szCs w:val="22"/>
          <w:lang w:val="fr-FR"/>
        </w:rPr>
        <w:t>Si le</w:t>
      </w:r>
      <w:r w:rsidR="00552E2B" w:rsidRPr="00DC2F2C">
        <w:rPr>
          <w:szCs w:val="22"/>
          <w:lang w:val="fr-FR"/>
        </w:rPr>
        <w:t xml:space="preserve"> </w:t>
      </w:r>
      <w:proofErr w:type="spellStart"/>
      <w:r w:rsidR="000D19D3" w:rsidRPr="00DC2F2C">
        <w:rPr>
          <w:szCs w:val="22"/>
          <w:lang w:val="fr-FR"/>
        </w:rPr>
        <w:t>tivozanib</w:t>
      </w:r>
      <w:proofErr w:type="spellEnd"/>
      <w:r w:rsidR="00552E2B" w:rsidRPr="00DC2F2C">
        <w:rPr>
          <w:szCs w:val="22"/>
          <w:lang w:val="fr-FR"/>
        </w:rPr>
        <w:t xml:space="preserve"> </w:t>
      </w:r>
      <w:r w:rsidRPr="00DC2F2C">
        <w:rPr>
          <w:szCs w:val="22"/>
          <w:lang w:val="fr-FR"/>
        </w:rPr>
        <w:t xml:space="preserve">est utilisé pendant la grossesse ou si la patiente </w:t>
      </w:r>
      <w:r w:rsidR="00CD1838" w:rsidRPr="00DC2F2C">
        <w:rPr>
          <w:szCs w:val="22"/>
          <w:lang w:val="fr-FR"/>
        </w:rPr>
        <w:t>devient</w:t>
      </w:r>
      <w:r w:rsidRPr="00DC2F2C">
        <w:rPr>
          <w:szCs w:val="22"/>
          <w:lang w:val="fr-FR"/>
        </w:rPr>
        <w:t xml:space="preserve"> enceinte pendant qu’elle </w:t>
      </w:r>
      <w:r w:rsidR="003506AD" w:rsidRPr="00DC2F2C">
        <w:rPr>
          <w:szCs w:val="22"/>
          <w:lang w:val="fr-FR"/>
        </w:rPr>
        <w:t>est traitée par</w:t>
      </w:r>
      <w:r w:rsidR="00CD1838" w:rsidRPr="00DC2F2C">
        <w:rPr>
          <w:szCs w:val="22"/>
          <w:lang w:val="fr-FR"/>
        </w:rPr>
        <w:t xml:space="preserve"> </w:t>
      </w:r>
      <w:proofErr w:type="spellStart"/>
      <w:r w:rsidR="000D19D3" w:rsidRPr="00DC2F2C">
        <w:rPr>
          <w:szCs w:val="22"/>
          <w:lang w:val="fr-FR"/>
        </w:rPr>
        <w:t>tivozanib</w:t>
      </w:r>
      <w:proofErr w:type="spellEnd"/>
      <w:r w:rsidR="00552E2B" w:rsidRPr="00DC2F2C">
        <w:rPr>
          <w:szCs w:val="22"/>
          <w:lang w:val="fr-FR"/>
        </w:rPr>
        <w:t xml:space="preserve">, </w:t>
      </w:r>
      <w:r w:rsidRPr="00DC2F2C">
        <w:rPr>
          <w:szCs w:val="22"/>
          <w:lang w:val="fr-FR"/>
        </w:rPr>
        <w:t>le risque potentiel pour le fœtus doit être expliqué</w:t>
      </w:r>
      <w:r w:rsidR="00552E2B" w:rsidRPr="00DC2F2C">
        <w:rPr>
          <w:szCs w:val="22"/>
          <w:lang w:val="fr-FR"/>
        </w:rPr>
        <w:t xml:space="preserve"> </w:t>
      </w:r>
      <w:r w:rsidRPr="00DC2F2C">
        <w:rPr>
          <w:szCs w:val="22"/>
          <w:lang w:val="fr-FR"/>
        </w:rPr>
        <w:t>à la patiente</w:t>
      </w:r>
      <w:r w:rsidR="00552E2B" w:rsidRPr="00DC2F2C">
        <w:rPr>
          <w:szCs w:val="22"/>
          <w:lang w:val="fr-FR"/>
        </w:rPr>
        <w:t>.</w:t>
      </w:r>
    </w:p>
    <w:p w14:paraId="7DFADEC5" w14:textId="77777777" w:rsidR="00552E2B" w:rsidRPr="00DC2F2C" w:rsidRDefault="00552E2B" w:rsidP="009D43DC">
      <w:pPr>
        <w:autoSpaceDE w:val="0"/>
        <w:autoSpaceDN w:val="0"/>
        <w:adjustRightInd w:val="0"/>
        <w:ind w:right="549"/>
        <w:rPr>
          <w:b/>
          <w:szCs w:val="22"/>
          <w:lang w:val="fr-FR"/>
        </w:rPr>
      </w:pPr>
    </w:p>
    <w:p w14:paraId="1C412002" w14:textId="77777777" w:rsidR="00A26CD3" w:rsidRPr="00DC2F2C" w:rsidRDefault="006F75F8" w:rsidP="00B01B8D">
      <w:pPr>
        <w:keepNext/>
        <w:keepLines/>
        <w:suppressLineNumbers/>
        <w:ind w:right="550"/>
        <w:rPr>
          <w:szCs w:val="22"/>
          <w:lang w:val="fr-FR"/>
        </w:rPr>
      </w:pPr>
      <w:r w:rsidRPr="00DC2F2C">
        <w:rPr>
          <w:u w:val="single"/>
          <w:lang w:val="fr-FR"/>
        </w:rPr>
        <w:t>Allaitement</w:t>
      </w:r>
    </w:p>
    <w:p w14:paraId="0975AAB2" w14:textId="77777777" w:rsidR="00E601B7" w:rsidRPr="00DC2F2C" w:rsidRDefault="00C551F6" w:rsidP="00F536C1">
      <w:pPr>
        <w:rPr>
          <w:szCs w:val="22"/>
          <w:lang w:val="fr-FR"/>
        </w:rPr>
      </w:pPr>
      <w:r w:rsidRPr="00DC2F2C">
        <w:rPr>
          <w:szCs w:val="22"/>
          <w:lang w:val="fr-FR"/>
        </w:rPr>
        <w:t>On ne sait pas si le</w:t>
      </w:r>
      <w:r w:rsidR="00CD7538" w:rsidRPr="00DC2F2C">
        <w:rPr>
          <w:szCs w:val="22"/>
          <w:lang w:val="fr-FR"/>
        </w:rPr>
        <w:t xml:space="preserve"> </w:t>
      </w:r>
      <w:proofErr w:type="spellStart"/>
      <w:r w:rsidR="00CD7538" w:rsidRPr="00DC2F2C">
        <w:rPr>
          <w:szCs w:val="22"/>
          <w:lang w:val="fr-FR"/>
        </w:rPr>
        <w:t>tivozanib</w:t>
      </w:r>
      <w:proofErr w:type="spellEnd"/>
      <w:r w:rsidR="00CD7538" w:rsidRPr="00DC2F2C">
        <w:rPr>
          <w:szCs w:val="22"/>
          <w:lang w:val="fr-FR"/>
        </w:rPr>
        <w:t xml:space="preserve"> </w:t>
      </w:r>
      <w:r w:rsidRPr="00DC2F2C">
        <w:rPr>
          <w:szCs w:val="22"/>
          <w:lang w:val="fr-FR"/>
        </w:rPr>
        <w:t>est excrété dans le lait maternel</w:t>
      </w:r>
      <w:r w:rsidR="008505DC" w:rsidRPr="00DC2F2C">
        <w:rPr>
          <w:szCs w:val="22"/>
          <w:lang w:val="fr-FR"/>
        </w:rPr>
        <w:t>,</w:t>
      </w:r>
      <w:r w:rsidR="00CD7538" w:rsidRPr="00DC2F2C">
        <w:rPr>
          <w:szCs w:val="22"/>
          <w:lang w:val="fr-FR"/>
        </w:rPr>
        <w:t xml:space="preserve"> </w:t>
      </w:r>
      <w:r w:rsidRPr="00DC2F2C">
        <w:rPr>
          <w:szCs w:val="22"/>
          <w:lang w:val="fr-FR"/>
        </w:rPr>
        <w:t>mais cela est possible</w:t>
      </w:r>
      <w:r w:rsidR="00CD7538" w:rsidRPr="00DC2F2C">
        <w:rPr>
          <w:szCs w:val="22"/>
          <w:lang w:val="fr-FR"/>
        </w:rPr>
        <w:t xml:space="preserve">. </w:t>
      </w:r>
      <w:r w:rsidRPr="00DC2F2C">
        <w:rPr>
          <w:szCs w:val="22"/>
          <w:lang w:val="fr-FR"/>
        </w:rPr>
        <w:t>En raison du risque d’effets indésirables médiés par le</w:t>
      </w:r>
      <w:r w:rsidR="00CD7538" w:rsidRPr="00DC2F2C">
        <w:rPr>
          <w:szCs w:val="22"/>
          <w:lang w:val="fr-FR"/>
        </w:rPr>
        <w:t xml:space="preserve"> </w:t>
      </w:r>
      <w:proofErr w:type="spellStart"/>
      <w:r w:rsidR="00CD7538" w:rsidRPr="00DC2F2C">
        <w:rPr>
          <w:szCs w:val="22"/>
          <w:lang w:val="fr-FR"/>
        </w:rPr>
        <w:t>tivozanib</w:t>
      </w:r>
      <w:proofErr w:type="spellEnd"/>
      <w:r w:rsidRPr="00DC2F2C">
        <w:rPr>
          <w:szCs w:val="22"/>
          <w:lang w:val="fr-FR"/>
        </w:rPr>
        <w:t xml:space="preserve"> chez l’enfant allaité, les femmes ne doivent pas allaiter pendant leur traitement par</w:t>
      </w:r>
      <w:r w:rsidR="00CD7538" w:rsidRPr="00DC2F2C">
        <w:rPr>
          <w:szCs w:val="22"/>
          <w:lang w:val="fr-FR"/>
        </w:rPr>
        <w:t xml:space="preserve"> </w:t>
      </w:r>
      <w:proofErr w:type="spellStart"/>
      <w:r w:rsidR="000D19D3" w:rsidRPr="00DC2F2C">
        <w:rPr>
          <w:rFonts w:eastAsia="SimSun"/>
          <w:szCs w:val="22"/>
          <w:lang w:val="fr-FR"/>
        </w:rPr>
        <w:t>tivozanib</w:t>
      </w:r>
      <w:proofErr w:type="spellEnd"/>
      <w:r w:rsidR="00CD7538" w:rsidRPr="00DC2F2C">
        <w:rPr>
          <w:szCs w:val="22"/>
          <w:lang w:val="fr-FR"/>
        </w:rPr>
        <w:t>.</w:t>
      </w:r>
    </w:p>
    <w:p w14:paraId="02222A76" w14:textId="77777777" w:rsidR="00B32103" w:rsidRPr="00DC2F2C" w:rsidRDefault="00B32103" w:rsidP="009D43DC">
      <w:pPr>
        <w:numPr>
          <w:ilvl w:val="12"/>
          <w:numId w:val="0"/>
        </w:numPr>
        <w:tabs>
          <w:tab w:val="clear" w:pos="567"/>
        </w:tabs>
        <w:ind w:right="549"/>
        <w:rPr>
          <w:szCs w:val="22"/>
          <w:lang w:val="fr-FR"/>
        </w:rPr>
      </w:pPr>
    </w:p>
    <w:p w14:paraId="73C3A264" w14:textId="77777777" w:rsidR="0097042F" w:rsidRPr="00DC2F2C" w:rsidRDefault="005C4DA8" w:rsidP="009D43DC">
      <w:pPr>
        <w:keepNext/>
        <w:keepLines/>
        <w:suppressLineNumbers/>
        <w:tabs>
          <w:tab w:val="clear" w:pos="567"/>
        </w:tabs>
        <w:ind w:right="550"/>
        <w:rPr>
          <w:bCs/>
          <w:iCs/>
          <w:szCs w:val="22"/>
          <w:u w:val="single"/>
          <w:lang w:val="fr-FR"/>
        </w:rPr>
      </w:pPr>
      <w:r w:rsidRPr="00DC2F2C">
        <w:rPr>
          <w:szCs w:val="22"/>
          <w:u w:val="single"/>
          <w:lang w:val="fr-FR"/>
        </w:rPr>
        <w:t>Fertilit</w:t>
      </w:r>
      <w:r w:rsidR="006F75F8" w:rsidRPr="00DC2F2C">
        <w:rPr>
          <w:szCs w:val="22"/>
          <w:u w:val="single"/>
          <w:lang w:val="fr-FR"/>
        </w:rPr>
        <w:t>é</w:t>
      </w:r>
    </w:p>
    <w:p w14:paraId="3339D902" w14:textId="77777777" w:rsidR="0097042F" w:rsidRPr="00DC2F2C" w:rsidRDefault="00C551F6" w:rsidP="00F536C1">
      <w:pPr>
        <w:rPr>
          <w:szCs w:val="22"/>
          <w:lang w:val="fr-FR"/>
        </w:rPr>
      </w:pPr>
      <w:r w:rsidRPr="00DC2F2C">
        <w:rPr>
          <w:szCs w:val="22"/>
          <w:lang w:val="fr-FR"/>
        </w:rPr>
        <w:t>Les études effectuées chez l’animal indiquent que la fertilité masculine et féminine peut être affectée par le traitement par</w:t>
      </w:r>
      <w:r w:rsidR="00920E79" w:rsidRPr="00DC2F2C">
        <w:rPr>
          <w:szCs w:val="22"/>
          <w:lang w:val="fr-FR"/>
        </w:rPr>
        <w:t xml:space="preserve"> </w:t>
      </w:r>
      <w:proofErr w:type="spellStart"/>
      <w:r w:rsidR="00920E79" w:rsidRPr="00DC2F2C">
        <w:rPr>
          <w:szCs w:val="22"/>
          <w:lang w:val="fr-FR"/>
        </w:rPr>
        <w:t>tivozanib</w:t>
      </w:r>
      <w:proofErr w:type="spellEnd"/>
      <w:r w:rsidR="00920E79" w:rsidRPr="00DC2F2C">
        <w:rPr>
          <w:szCs w:val="22"/>
          <w:lang w:val="fr-FR"/>
        </w:rPr>
        <w:t xml:space="preserve"> (</w:t>
      </w:r>
      <w:r w:rsidR="002D6EE5" w:rsidRPr="00DC2F2C">
        <w:rPr>
          <w:szCs w:val="22"/>
          <w:lang w:val="fr-FR"/>
        </w:rPr>
        <w:t xml:space="preserve">voir rubrique </w:t>
      </w:r>
      <w:r w:rsidR="00920E79" w:rsidRPr="00DC2F2C">
        <w:rPr>
          <w:szCs w:val="22"/>
          <w:lang w:val="fr-FR"/>
        </w:rPr>
        <w:t>5.3).</w:t>
      </w:r>
    </w:p>
    <w:p w14:paraId="4D46E3E3" w14:textId="77777777" w:rsidR="0097042F" w:rsidRPr="00DC2F2C" w:rsidRDefault="0097042F" w:rsidP="009D43DC">
      <w:pPr>
        <w:numPr>
          <w:ilvl w:val="12"/>
          <w:numId w:val="0"/>
        </w:numPr>
        <w:tabs>
          <w:tab w:val="clear" w:pos="567"/>
        </w:tabs>
        <w:ind w:right="549"/>
        <w:rPr>
          <w:szCs w:val="22"/>
          <w:lang w:val="fr-FR"/>
        </w:rPr>
      </w:pPr>
    </w:p>
    <w:p w14:paraId="33A16437" w14:textId="77777777" w:rsidR="00812D16" w:rsidRPr="00DC2F2C" w:rsidRDefault="00812D16" w:rsidP="00073C28">
      <w:pPr>
        <w:keepNext/>
        <w:keepLines/>
        <w:suppressLineNumbers/>
        <w:ind w:right="550"/>
        <w:rPr>
          <w:szCs w:val="22"/>
          <w:lang w:val="fr-FR"/>
        </w:rPr>
      </w:pPr>
      <w:r w:rsidRPr="00DC2F2C">
        <w:rPr>
          <w:b/>
          <w:szCs w:val="22"/>
          <w:lang w:val="fr-FR"/>
        </w:rPr>
        <w:t>4.7</w:t>
      </w:r>
      <w:r w:rsidRPr="00DC2F2C">
        <w:rPr>
          <w:b/>
          <w:szCs w:val="22"/>
          <w:lang w:val="fr-FR"/>
        </w:rPr>
        <w:tab/>
      </w:r>
      <w:r w:rsidR="00A12B3F" w:rsidRPr="00DC2F2C">
        <w:rPr>
          <w:b/>
          <w:lang w:val="fr-FR"/>
        </w:rPr>
        <w:t>Effets sur l’aptitude à conduire des véhicules et à utiliser des machines</w:t>
      </w:r>
    </w:p>
    <w:p w14:paraId="518E6945" w14:textId="77777777" w:rsidR="00812D16" w:rsidRPr="00DC2F2C" w:rsidRDefault="00812D16" w:rsidP="009D43DC">
      <w:pPr>
        <w:keepNext/>
        <w:keepLines/>
        <w:numPr>
          <w:ilvl w:val="12"/>
          <w:numId w:val="0"/>
        </w:numPr>
        <w:tabs>
          <w:tab w:val="clear" w:pos="567"/>
        </w:tabs>
        <w:ind w:right="550"/>
        <w:rPr>
          <w:szCs w:val="22"/>
          <w:lang w:val="fr-FR"/>
        </w:rPr>
      </w:pPr>
    </w:p>
    <w:p w14:paraId="5F696D5B" w14:textId="77777777" w:rsidR="0070310E" w:rsidRPr="00DC2F2C" w:rsidRDefault="00A12B3F" w:rsidP="001703D3">
      <w:pPr>
        <w:rPr>
          <w:szCs w:val="22"/>
          <w:lang w:val="fr-FR"/>
        </w:rPr>
      </w:pPr>
      <w:r w:rsidRPr="00DC2F2C">
        <w:rPr>
          <w:szCs w:val="22"/>
          <w:lang w:val="fr-FR"/>
        </w:rPr>
        <w:t xml:space="preserve">Le </w:t>
      </w:r>
      <w:proofErr w:type="spellStart"/>
      <w:r w:rsidRPr="00DC2F2C">
        <w:rPr>
          <w:szCs w:val="22"/>
          <w:lang w:val="fr-FR"/>
        </w:rPr>
        <w:t>t</w:t>
      </w:r>
      <w:r w:rsidR="00D22FE8" w:rsidRPr="00DC2F2C">
        <w:rPr>
          <w:szCs w:val="22"/>
          <w:lang w:val="fr-FR"/>
        </w:rPr>
        <w:t>ivozanib</w:t>
      </w:r>
      <w:proofErr w:type="spellEnd"/>
      <w:r w:rsidR="00D22FE8" w:rsidRPr="00DC2F2C">
        <w:rPr>
          <w:szCs w:val="22"/>
          <w:lang w:val="fr-FR"/>
        </w:rPr>
        <w:t xml:space="preserve"> </w:t>
      </w:r>
      <w:r w:rsidRPr="00DC2F2C">
        <w:rPr>
          <w:szCs w:val="22"/>
          <w:lang w:val="fr-FR"/>
        </w:rPr>
        <w:t>pourrait avoir une influence mineure sur</w:t>
      </w:r>
      <w:r w:rsidR="00D22FE8" w:rsidRPr="00DC2F2C">
        <w:rPr>
          <w:szCs w:val="22"/>
          <w:lang w:val="fr-FR"/>
        </w:rPr>
        <w:t xml:space="preserve"> </w:t>
      </w:r>
      <w:r w:rsidRPr="00DC2F2C">
        <w:rPr>
          <w:lang w:val="fr-FR"/>
        </w:rPr>
        <w:t>l’aptitude à conduire des véhicules et à utiliser des machines</w:t>
      </w:r>
      <w:r w:rsidR="00D22FE8" w:rsidRPr="00DC2F2C">
        <w:rPr>
          <w:szCs w:val="22"/>
          <w:lang w:val="fr-FR"/>
        </w:rPr>
        <w:t xml:space="preserve">. </w:t>
      </w:r>
      <w:r w:rsidR="00672C94" w:rsidRPr="00DC2F2C">
        <w:rPr>
          <w:szCs w:val="22"/>
          <w:lang w:val="fr-FR"/>
        </w:rPr>
        <w:t>Il faut conseiller aux patients d’être prudents lorsqu’ils conduisent un véhicule ou utilisent une machine s’ils ressentent des symptômes de type</w:t>
      </w:r>
      <w:r w:rsidR="0070310E" w:rsidRPr="00DC2F2C">
        <w:rPr>
          <w:szCs w:val="22"/>
          <w:lang w:val="fr-FR"/>
        </w:rPr>
        <w:t xml:space="preserve"> asth</w:t>
      </w:r>
      <w:r w:rsidR="00672C94" w:rsidRPr="00DC2F2C">
        <w:rPr>
          <w:szCs w:val="22"/>
          <w:lang w:val="fr-FR"/>
        </w:rPr>
        <w:t>é</w:t>
      </w:r>
      <w:r w:rsidR="0070310E" w:rsidRPr="00DC2F2C">
        <w:rPr>
          <w:szCs w:val="22"/>
          <w:lang w:val="fr-FR"/>
        </w:rPr>
        <w:t>ni</w:t>
      </w:r>
      <w:r w:rsidR="00672C94" w:rsidRPr="00DC2F2C">
        <w:rPr>
          <w:szCs w:val="22"/>
          <w:lang w:val="fr-FR"/>
        </w:rPr>
        <w:t>e, fatigue</w:t>
      </w:r>
      <w:r w:rsidR="0070310E" w:rsidRPr="00DC2F2C">
        <w:rPr>
          <w:szCs w:val="22"/>
          <w:lang w:val="fr-FR"/>
        </w:rPr>
        <w:t xml:space="preserve"> </w:t>
      </w:r>
      <w:r w:rsidR="00672C94" w:rsidRPr="00DC2F2C">
        <w:rPr>
          <w:szCs w:val="22"/>
          <w:lang w:val="fr-FR"/>
        </w:rPr>
        <w:t>et</w:t>
      </w:r>
      <w:r w:rsidR="0070310E" w:rsidRPr="00DC2F2C">
        <w:rPr>
          <w:szCs w:val="22"/>
          <w:lang w:val="fr-FR"/>
        </w:rPr>
        <w:t>/</w:t>
      </w:r>
      <w:r w:rsidR="00672C94" w:rsidRPr="00DC2F2C">
        <w:rPr>
          <w:szCs w:val="22"/>
          <w:lang w:val="fr-FR"/>
        </w:rPr>
        <w:t>ou</w:t>
      </w:r>
      <w:r w:rsidR="0070310E" w:rsidRPr="00DC2F2C">
        <w:rPr>
          <w:szCs w:val="22"/>
          <w:lang w:val="fr-FR"/>
        </w:rPr>
        <w:t xml:space="preserve"> </w:t>
      </w:r>
      <w:r w:rsidR="00672C94" w:rsidRPr="00DC2F2C">
        <w:rPr>
          <w:szCs w:val="22"/>
          <w:lang w:val="fr-FR"/>
        </w:rPr>
        <w:t>étourdissements pendant le traitement par</w:t>
      </w:r>
      <w:r w:rsidR="0070310E" w:rsidRPr="00DC2F2C">
        <w:rPr>
          <w:szCs w:val="22"/>
          <w:lang w:val="fr-FR"/>
        </w:rPr>
        <w:t xml:space="preserve"> </w:t>
      </w:r>
      <w:proofErr w:type="spellStart"/>
      <w:r w:rsidR="000D19D3" w:rsidRPr="00DC2F2C">
        <w:rPr>
          <w:szCs w:val="22"/>
          <w:lang w:val="fr-FR"/>
        </w:rPr>
        <w:t>tivozanib</w:t>
      </w:r>
      <w:proofErr w:type="spellEnd"/>
      <w:r w:rsidR="0070310E" w:rsidRPr="00DC2F2C">
        <w:rPr>
          <w:szCs w:val="22"/>
          <w:lang w:val="fr-FR"/>
        </w:rPr>
        <w:t xml:space="preserve"> (</w:t>
      </w:r>
      <w:r w:rsidR="002D6EE5" w:rsidRPr="00DC2F2C">
        <w:rPr>
          <w:szCs w:val="22"/>
          <w:lang w:val="fr-FR"/>
        </w:rPr>
        <w:t>voir rubrique</w:t>
      </w:r>
      <w:r w:rsidR="0070310E" w:rsidRPr="00DC2F2C">
        <w:rPr>
          <w:szCs w:val="22"/>
          <w:lang w:val="fr-FR"/>
        </w:rPr>
        <w:t xml:space="preserve"> 4.8).</w:t>
      </w:r>
    </w:p>
    <w:p w14:paraId="6A952E79" w14:textId="77777777" w:rsidR="000C53AA" w:rsidRPr="00DC2F2C" w:rsidRDefault="000C53AA" w:rsidP="009D43DC">
      <w:pPr>
        <w:numPr>
          <w:ilvl w:val="12"/>
          <w:numId w:val="0"/>
        </w:numPr>
        <w:tabs>
          <w:tab w:val="clear" w:pos="567"/>
        </w:tabs>
        <w:ind w:right="549"/>
        <w:rPr>
          <w:szCs w:val="22"/>
          <w:lang w:val="fr-FR"/>
        </w:rPr>
      </w:pPr>
    </w:p>
    <w:p w14:paraId="7824BFCE" w14:textId="77777777" w:rsidR="0070310E" w:rsidRPr="00DC2F2C" w:rsidRDefault="0070310E" w:rsidP="00073C28">
      <w:pPr>
        <w:keepNext/>
        <w:keepLines/>
        <w:suppressLineNumbers/>
        <w:ind w:right="550"/>
        <w:rPr>
          <w:b/>
          <w:szCs w:val="22"/>
          <w:lang w:val="fr-FR"/>
        </w:rPr>
      </w:pPr>
      <w:r w:rsidRPr="00DC2F2C">
        <w:rPr>
          <w:b/>
          <w:szCs w:val="22"/>
          <w:lang w:val="fr-FR"/>
        </w:rPr>
        <w:t>4.8</w:t>
      </w:r>
      <w:r w:rsidRPr="00DC2F2C">
        <w:rPr>
          <w:b/>
          <w:szCs w:val="22"/>
          <w:lang w:val="fr-FR"/>
        </w:rPr>
        <w:tab/>
      </w:r>
      <w:r w:rsidR="004D176A" w:rsidRPr="00DC2F2C">
        <w:rPr>
          <w:b/>
          <w:lang w:val="fr-FR"/>
        </w:rPr>
        <w:t>Effets indésirables</w:t>
      </w:r>
    </w:p>
    <w:p w14:paraId="34DF3899" w14:textId="77777777" w:rsidR="0070310E" w:rsidRPr="00DC2F2C" w:rsidRDefault="0070310E" w:rsidP="009D43DC">
      <w:pPr>
        <w:keepNext/>
        <w:keepLines/>
        <w:numPr>
          <w:ilvl w:val="12"/>
          <w:numId w:val="0"/>
        </w:numPr>
        <w:tabs>
          <w:tab w:val="clear" w:pos="567"/>
        </w:tabs>
        <w:ind w:right="550"/>
        <w:rPr>
          <w:b/>
          <w:szCs w:val="22"/>
          <w:lang w:val="fr-FR"/>
        </w:rPr>
      </w:pPr>
    </w:p>
    <w:p w14:paraId="728B1BAC" w14:textId="77777777" w:rsidR="0070310E" w:rsidRPr="00DC2F2C" w:rsidRDefault="001E7897" w:rsidP="009D43DC">
      <w:pPr>
        <w:keepNext/>
        <w:keepLines/>
        <w:ind w:left="567" w:hanging="567"/>
        <w:rPr>
          <w:szCs w:val="22"/>
          <w:u w:val="single"/>
          <w:lang w:val="fr-FR"/>
        </w:rPr>
      </w:pPr>
      <w:r w:rsidRPr="00DC2F2C">
        <w:rPr>
          <w:szCs w:val="22"/>
          <w:u w:val="single"/>
          <w:lang w:val="fr-FR"/>
        </w:rPr>
        <w:t>Résumé du profil de sécurité d’emploi</w:t>
      </w:r>
    </w:p>
    <w:p w14:paraId="5DB18A5F" w14:textId="77777777" w:rsidR="0070310E" w:rsidRPr="00DC2F2C" w:rsidRDefault="0070310E" w:rsidP="009D43DC">
      <w:pPr>
        <w:keepNext/>
        <w:keepLines/>
        <w:ind w:right="549"/>
        <w:rPr>
          <w:szCs w:val="22"/>
          <w:lang w:val="fr-FR"/>
        </w:rPr>
      </w:pPr>
    </w:p>
    <w:p w14:paraId="7F164622" w14:textId="77777777" w:rsidR="002B39E7" w:rsidRPr="00DC2F2C" w:rsidRDefault="001E7897" w:rsidP="001703D3">
      <w:pPr>
        <w:rPr>
          <w:szCs w:val="22"/>
          <w:lang w:val="fr-FR"/>
        </w:rPr>
      </w:pPr>
      <w:r w:rsidRPr="00DC2F2C">
        <w:rPr>
          <w:szCs w:val="22"/>
          <w:lang w:val="fr-FR"/>
        </w:rPr>
        <w:t>Les données de</w:t>
      </w:r>
      <w:r w:rsidR="0070310E" w:rsidRPr="00DC2F2C">
        <w:rPr>
          <w:szCs w:val="22"/>
          <w:lang w:val="fr-FR"/>
        </w:rPr>
        <w:t xml:space="preserve"> 674</w:t>
      </w:r>
      <w:r w:rsidR="00DD7C25" w:rsidRPr="00DC2F2C">
        <w:rPr>
          <w:szCs w:val="22"/>
          <w:lang w:val="fr-FR"/>
        </w:rPr>
        <w:t> </w:t>
      </w:r>
      <w:r w:rsidR="0070310E" w:rsidRPr="00DC2F2C">
        <w:rPr>
          <w:lang w:val="fr-FR"/>
        </w:rPr>
        <w:t xml:space="preserve">patients </w:t>
      </w:r>
      <w:r w:rsidRPr="00DC2F2C">
        <w:rPr>
          <w:lang w:val="fr-FR"/>
        </w:rPr>
        <w:t xml:space="preserve">atteints d’un CCR avancé </w:t>
      </w:r>
      <w:r w:rsidR="003506AD" w:rsidRPr="00DC2F2C">
        <w:rPr>
          <w:lang w:val="fr-FR"/>
        </w:rPr>
        <w:t xml:space="preserve">qui ont reçu </w:t>
      </w:r>
      <w:r w:rsidRPr="00DC2F2C">
        <w:rPr>
          <w:lang w:val="fr-FR"/>
        </w:rPr>
        <w:t>le</w:t>
      </w:r>
      <w:r w:rsidR="0070310E" w:rsidRPr="00DC2F2C">
        <w:rPr>
          <w:lang w:val="fr-FR"/>
        </w:rPr>
        <w:t xml:space="preserve"> </w:t>
      </w:r>
      <w:proofErr w:type="spellStart"/>
      <w:r w:rsidR="000D19D3" w:rsidRPr="00DC2F2C">
        <w:rPr>
          <w:lang w:val="fr-FR"/>
        </w:rPr>
        <w:t>tivozanib</w:t>
      </w:r>
      <w:proofErr w:type="spellEnd"/>
      <w:r w:rsidR="0070310E" w:rsidRPr="00DC2F2C">
        <w:rPr>
          <w:lang w:val="fr-FR"/>
        </w:rPr>
        <w:t xml:space="preserve"> </w:t>
      </w:r>
      <w:r w:rsidR="00806057" w:rsidRPr="00DC2F2C">
        <w:rPr>
          <w:lang w:val="fr-FR"/>
        </w:rPr>
        <w:t xml:space="preserve">comme traitement initial </w:t>
      </w:r>
      <w:r w:rsidRPr="00DC2F2C">
        <w:rPr>
          <w:lang w:val="fr-FR"/>
        </w:rPr>
        <w:t>dans les cinq études principales portant sur l</w:t>
      </w:r>
      <w:r w:rsidR="003506AD" w:rsidRPr="00DC2F2C">
        <w:rPr>
          <w:lang w:val="fr-FR"/>
        </w:rPr>
        <w:t xml:space="preserve">e </w:t>
      </w:r>
      <w:proofErr w:type="spellStart"/>
      <w:r w:rsidR="003506AD" w:rsidRPr="00DC2F2C">
        <w:rPr>
          <w:lang w:val="fr-FR"/>
        </w:rPr>
        <w:t>tivozanib</w:t>
      </w:r>
      <w:proofErr w:type="spellEnd"/>
      <w:r w:rsidR="003506AD" w:rsidRPr="00DC2F2C">
        <w:rPr>
          <w:lang w:val="fr-FR"/>
        </w:rPr>
        <w:t xml:space="preserve"> en monothérapie </w:t>
      </w:r>
      <w:r w:rsidRPr="00DC2F2C">
        <w:rPr>
          <w:lang w:val="fr-FR"/>
        </w:rPr>
        <w:t>dans le CCR</w:t>
      </w:r>
      <w:r w:rsidR="0070310E" w:rsidRPr="00DC2F2C">
        <w:rPr>
          <w:lang w:val="fr-FR"/>
        </w:rPr>
        <w:t xml:space="preserve"> </w:t>
      </w:r>
      <w:r w:rsidRPr="00DC2F2C">
        <w:rPr>
          <w:szCs w:val="22"/>
          <w:lang w:val="fr-FR"/>
        </w:rPr>
        <w:t>ont été analysées dans le cadre de l’évaluation globale de la sécurité d’emploi et de la tolérance du</w:t>
      </w:r>
      <w:r w:rsidR="0070310E" w:rsidRPr="00DC2F2C">
        <w:rPr>
          <w:szCs w:val="22"/>
          <w:lang w:val="fr-FR"/>
        </w:rPr>
        <w:t xml:space="preserve"> </w:t>
      </w:r>
      <w:proofErr w:type="spellStart"/>
      <w:r w:rsidR="000D19D3" w:rsidRPr="00DC2F2C">
        <w:rPr>
          <w:szCs w:val="22"/>
          <w:lang w:val="fr-FR"/>
        </w:rPr>
        <w:t>tivozanib</w:t>
      </w:r>
      <w:proofErr w:type="spellEnd"/>
      <w:r w:rsidR="00A12D29" w:rsidRPr="00DC2F2C">
        <w:rPr>
          <w:szCs w:val="22"/>
          <w:lang w:val="fr-FR"/>
        </w:rPr>
        <w:t>.</w:t>
      </w:r>
    </w:p>
    <w:p w14:paraId="148D8E93" w14:textId="77777777" w:rsidR="0070310E" w:rsidRPr="00DC2F2C" w:rsidRDefault="0070310E" w:rsidP="009D43DC">
      <w:pPr>
        <w:ind w:right="549"/>
        <w:rPr>
          <w:szCs w:val="22"/>
          <w:lang w:val="fr-FR"/>
        </w:rPr>
      </w:pPr>
    </w:p>
    <w:p w14:paraId="15A35993" w14:textId="77777777" w:rsidR="0070310E" w:rsidRPr="00DC2F2C" w:rsidRDefault="001E7897" w:rsidP="001703D3">
      <w:pPr>
        <w:rPr>
          <w:szCs w:val="22"/>
          <w:lang w:val="fr-FR"/>
        </w:rPr>
      </w:pPr>
      <w:r w:rsidRPr="00DC2F2C">
        <w:rPr>
          <w:szCs w:val="22"/>
          <w:lang w:val="fr-FR"/>
        </w:rPr>
        <w:t>L’effet indésirable grave le plus important est l’hypertension artérielle</w:t>
      </w:r>
      <w:r w:rsidR="0070310E" w:rsidRPr="00DC2F2C">
        <w:rPr>
          <w:szCs w:val="22"/>
          <w:lang w:val="fr-FR"/>
        </w:rPr>
        <w:t>.</w:t>
      </w:r>
    </w:p>
    <w:p w14:paraId="36B00A69" w14:textId="77777777" w:rsidR="0070310E" w:rsidRPr="00DC2F2C" w:rsidRDefault="001E7897" w:rsidP="009D43DC">
      <w:pPr>
        <w:ind w:right="549"/>
        <w:rPr>
          <w:strike/>
          <w:szCs w:val="22"/>
          <w:lang w:val="fr-FR"/>
        </w:rPr>
      </w:pPr>
      <w:r w:rsidRPr="00DC2F2C">
        <w:rPr>
          <w:szCs w:val="22"/>
          <w:lang w:val="fr-FR"/>
        </w:rPr>
        <w:t>Les effets indésirables les plus fréquents</w:t>
      </w:r>
      <w:r w:rsidR="00806057" w:rsidRPr="00DC2F2C">
        <w:rPr>
          <w:szCs w:val="22"/>
          <w:lang w:val="fr-FR"/>
        </w:rPr>
        <w:t>,</w:t>
      </w:r>
      <w:r w:rsidRPr="00DC2F2C">
        <w:rPr>
          <w:szCs w:val="22"/>
          <w:lang w:val="fr-FR"/>
        </w:rPr>
        <w:t xml:space="preserve"> tout grade</w:t>
      </w:r>
      <w:r w:rsidR="00806057" w:rsidRPr="00DC2F2C">
        <w:rPr>
          <w:szCs w:val="22"/>
          <w:lang w:val="fr-FR"/>
        </w:rPr>
        <w:t xml:space="preserve"> confondu,</w:t>
      </w:r>
      <w:r w:rsidRPr="00DC2F2C">
        <w:rPr>
          <w:szCs w:val="22"/>
          <w:lang w:val="fr-FR"/>
        </w:rPr>
        <w:t xml:space="preserve"> comprennent l’</w:t>
      </w:r>
      <w:r w:rsidR="0070310E" w:rsidRPr="00DC2F2C">
        <w:rPr>
          <w:szCs w:val="22"/>
          <w:lang w:val="fr-FR"/>
        </w:rPr>
        <w:t>hypertension</w:t>
      </w:r>
      <w:r w:rsidRPr="00DC2F2C">
        <w:rPr>
          <w:szCs w:val="22"/>
          <w:lang w:val="fr-FR"/>
        </w:rPr>
        <w:t xml:space="preserve"> artérielle (</w:t>
      </w:r>
      <w:r w:rsidR="009264AC" w:rsidRPr="00DC2F2C">
        <w:rPr>
          <w:szCs w:val="22"/>
          <w:lang w:val="fr-FR"/>
        </w:rPr>
        <w:t>47,6</w:t>
      </w:r>
      <w:r w:rsidRPr="00DC2F2C">
        <w:rPr>
          <w:szCs w:val="22"/>
          <w:lang w:val="fr-FR"/>
        </w:rPr>
        <w:t> </w:t>
      </w:r>
      <w:r w:rsidR="0070310E" w:rsidRPr="00DC2F2C">
        <w:rPr>
          <w:szCs w:val="22"/>
          <w:lang w:val="fr-FR"/>
        </w:rPr>
        <w:t xml:space="preserve">%), </w:t>
      </w:r>
      <w:r w:rsidRPr="00DC2F2C">
        <w:rPr>
          <w:szCs w:val="22"/>
          <w:lang w:val="fr-FR"/>
        </w:rPr>
        <w:t xml:space="preserve">la </w:t>
      </w:r>
      <w:r w:rsidR="0070310E" w:rsidRPr="00DC2F2C">
        <w:rPr>
          <w:szCs w:val="22"/>
          <w:lang w:val="fr-FR"/>
        </w:rPr>
        <w:t>d</w:t>
      </w:r>
      <w:r w:rsidRPr="00DC2F2C">
        <w:rPr>
          <w:szCs w:val="22"/>
          <w:lang w:val="fr-FR"/>
        </w:rPr>
        <w:t>ysphonie (</w:t>
      </w:r>
      <w:r w:rsidR="009264AC" w:rsidRPr="00DC2F2C">
        <w:rPr>
          <w:szCs w:val="22"/>
          <w:lang w:val="fr-FR"/>
        </w:rPr>
        <w:t>26,9</w:t>
      </w:r>
      <w:r w:rsidRPr="00DC2F2C">
        <w:rPr>
          <w:szCs w:val="22"/>
          <w:lang w:val="fr-FR"/>
        </w:rPr>
        <w:t> </w:t>
      </w:r>
      <w:r w:rsidR="00A12D29" w:rsidRPr="00DC2F2C">
        <w:rPr>
          <w:szCs w:val="22"/>
          <w:lang w:val="fr-FR"/>
        </w:rPr>
        <w:t>%)</w:t>
      </w:r>
      <w:r w:rsidR="009264AC" w:rsidRPr="00DC2F2C">
        <w:rPr>
          <w:szCs w:val="22"/>
          <w:lang w:val="fr-FR"/>
        </w:rPr>
        <w:t>, la fatigue (25,8 %)</w:t>
      </w:r>
      <w:r w:rsidR="00A12D29" w:rsidRPr="00DC2F2C">
        <w:rPr>
          <w:szCs w:val="22"/>
          <w:lang w:val="fr-FR"/>
        </w:rPr>
        <w:t xml:space="preserve"> </w:t>
      </w:r>
      <w:r w:rsidRPr="00DC2F2C">
        <w:rPr>
          <w:szCs w:val="22"/>
          <w:lang w:val="fr-FR"/>
        </w:rPr>
        <w:t>et la</w:t>
      </w:r>
      <w:r w:rsidR="00A12D29" w:rsidRPr="00DC2F2C">
        <w:rPr>
          <w:szCs w:val="22"/>
          <w:lang w:val="fr-FR"/>
        </w:rPr>
        <w:t xml:space="preserve"> diarrh</w:t>
      </w:r>
      <w:r w:rsidRPr="00DC2F2C">
        <w:rPr>
          <w:szCs w:val="22"/>
          <w:lang w:val="fr-FR"/>
        </w:rPr>
        <w:t>ée (</w:t>
      </w:r>
      <w:r w:rsidR="007A02E9" w:rsidRPr="00DC2F2C">
        <w:rPr>
          <w:szCs w:val="22"/>
          <w:lang w:val="fr-FR"/>
        </w:rPr>
        <w:t>25,5</w:t>
      </w:r>
      <w:r w:rsidRPr="00DC2F2C">
        <w:rPr>
          <w:szCs w:val="22"/>
          <w:lang w:val="fr-FR"/>
        </w:rPr>
        <w:t> </w:t>
      </w:r>
      <w:r w:rsidR="00A12D29" w:rsidRPr="00DC2F2C">
        <w:rPr>
          <w:szCs w:val="22"/>
          <w:lang w:val="fr-FR"/>
        </w:rPr>
        <w:t>%).</w:t>
      </w:r>
    </w:p>
    <w:p w14:paraId="1A8C25DB" w14:textId="77777777" w:rsidR="0070310E" w:rsidRPr="00DC2F2C" w:rsidRDefault="0070310E" w:rsidP="009D43DC">
      <w:pPr>
        <w:ind w:right="549"/>
        <w:rPr>
          <w:szCs w:val="22"/>
          <w:lang w:val="fr-FR"/>
        </w:rPr>
      </w:pPr>
    </w:p>
    <w:p w14:paraId="0D94EF85" w14:textId="77777777" w:rsidR="0070310E" w:rsidRPr="00DC2F2C" w:rsidRDefault="001E7897" w:rsidP="001703D3">
      <w:pPr>
        <w:rPr>
          <w:szCs w:val="22"/>
          <w:lang w:val="fr-FR"/>
        </w:rPr>
      </w:pPr>
      <w:r w:rsidRPr="00DC2F2C">
        <w:rPr>
          <w:szCs w:val="22"/>
          <w:lang w:val="fr-FR"/>
        </w:rPr>
        <w:t>Dans</w:t>
      </w:r>
      <w:r w:rsidR="0070310E" w:rsidRPr="00DC2F2C">
        <w:rPr>
          <w:szCs w:val="22"/>
          <w:lang w:val="fr-FR"/>
        </w:rPr>
        <w:t xml:space="preserve"> </w:t>
      </w:r>
      <w:r w:rsidRPr="00DC2F2C">
        <w:rPr>
          <w:lang w:val="fr-FR"/>
        </w:rPr>
        <w:t>les cinq études principales portant sur l</w:t>
      </w:r>
      <w:r w:rsidR="00806057" w:rsidRPr="00DC2F2C">
        <w:rPr>
          <w:lang w:val="fr-FR"/>
        </w:rPr>
        <w:t xml:space="preserve">e </w:t>
      </w:r>
      <w:proofErr w:type="spellStart"/>
      <w:r w:rsidR="00806057" w:rsidRPr="00DC2F2C">
        <w:rPr>
          <w:lang w:val="fr-FR"/>
        </w:rPr>
        <w:t>tivozanib</w:t>
      </w:r>
      <w:proofErr w:type="spellEnd"/>
      <w:r w:rsidR="00806057" w:rsidRPr="00DC2F2C">
        <w:rPr>
          <w:lang w:val="fr-FR"/>
        </w:rPr>
        <w:t xml:space="preserve"> en</w:t>
      </w:r>
      <w:r w:rsidRPr="00DC2F2C">
        <w:rPr>
          <w:lang w:val="fr-FR"/>
        </w:rPr>
        <w:t xml:space="preserve"> monothérapie dans le CCR</w:t>
      </w:r>
      <w:r w:rsidR="0079101A" w:rsidRPr="00DC2F2C">
        <w:rPr>
          <w:lang w:val="fr-FR"/>
        </w:rPr>
        <w:t xml:space="preserve">, le </w:t>
      </w:r>
      <w:proofErr w:type="spellStart"/>
      <w:r w:rsidR="000D19D3" w:rsidRPr="00DC2F2C">
        <w:rPr>
          <w:szCs w:val="22"/>
          <w:lang w:val="fr-FR"/>
        </w:rPr>
        <w:t>tivozanib</w:t>
      </w:r>
      <w:proofErr w:type="spellEnd"/>
      <w:r w:rsidR="0070310E" w:rsidRPr="00DC2F2C">
        <w:rPr>
          <w:szCs w:val="22"/>
          <w:lang w:val="fr-FR"/>
        </w:rPr>
        <w:t xml:space="preserve"> </w:t>
      </w:r>
      <w:r w:rsidR="0079101A" w:rsidRPr="00DC2F2C">
        <w:rPr>
          <w:szCs w:val="22"/>
          <w:lang w:val="fr-FR"/>
        </w:rPr>
        <w:t>a été arrêté chez un total de</w:t>
      </w:r>
      <w:r w:rsidR="0070310E" w:rsidRPr="00DC2F2C">
        <w:rPr>
          <w:szCs w:val="22"/>
          <w:lang w:val="fr-FR"/>
        </w:rPr>
        <w:t xml:space="preserve"> 20 patients (3</w:t>
      </w:r>
      <w:r w:rsidR="0079101A" w:rsidRPr="00DC2F2C">
        <w:rPr>
          <w:szCs w:val="22"/>
          <w:lang w:val="fr-FR"/>
        </w:rPr>
        <w:t> </w:t>
      </w:r>
      <w:r w:rsidR="0070310E" w:rsidRPr="00DC2F2C">
        <w:rPr>
          <w:szCs w:val="22"/>
          <w:lang w:val="fr-FR"/>
        </w:rPr>
        <w:t>%)</w:t>
      </w:r>
      <w:r w:rsidR="0079101A" w:rsidRPr="00DC2F2C">
        <w:rPr>
          <w:szCs w:val="22"/>
          <w:lang w:val="fr-FR"/>
        </w:rPr>
        <w:t xml:space="preserve"> en raison d’effets indésirables, le plus souvent à cause d’une hypertension artérielle </w:t>
      </w:r>
      <w:r w:rsidR="0070310E" w:rsidRPr="00DC2F2C">
        <w:rPr>
          <w:rFonts w:eastAsia="SimSun"/>
          <w:szCs w:val="22"/>
          <w:lang w:val="fr-FR"/>
        </w:rPr>
        <w:t>(0</w:t>
      </w:r>
      <w:r w:rsidR="0079101A" w:rsidRPr="00DC2F2C">
        <w:rPr>
          <w:rFonts w:eastAsia="SimSun"/>
          <w:szCs w:val="22"/>
          <w:lang w:val="fr-FR"/>
        </w:rPr>
        <w:t>,</w:t>
      </w:r>
      <w:r w:rsidR="0070310E" w:rsidRPr="00DC2F2C">
        <w:rPr>
          <w:rFonts w:eastAsia="SimSun"/>
          <w:szCs w:val="22"/>
          <w:lang w:val="fr-FR"/>
        </w:rPr>
        <w:t>4</w:t>
      </w:r>
      <w:r w:rsidR="0079101A" w:rsidRPr="00DC2F2C">
        <w:rPr>
          <w:rFonts w:eastAsia="SimSun"/>
          <w:szCs w:val="22"/>
          <w:lang w:val="fr-FR"/>
        </w:rPr>
        <w:t> </w:t>
      </w:r>
      <w:r w:rsidR="0070310E" w:rsidRPr="00DC2F2C">
        <w:rPr>
          <w:rFonts w:eastAsia="SimSun"/>
          <w:szCs w:val="22"/>
          <w:lang w:val="fr-FR"/>
        </w:rPr>
        <w:t>%)</w:t>
      </w:r>
      <w:r w:rsidR="0070310E" w:rsidRPr="00DC2F2C">
        <w:rPr>
          <w:szCs w:val="22"/>
          <w:lang w:val="fr-FR"/>
        </w:rPr>
        <w:t xml:space="preserve">, </w:t>
      </w:r>
      <w:r w:rsidR="0079101A" w:rsidRPr="00DC2F2C">
        <w:rPr>
          <w:szCs w:val="22"/>
          <w:lang w:val="fr-FR"/>
        </w:rPr>
        <w:t>d’une hypertension artérielle sévère persistante</w:t>
      </w:r>
      <w:r w:rsidR="0079101A" w:rsidRPr="00DC2F2C">
        <w:rPr>
          <w:rFonts w:eastAsia="SimSun"/>
          <w:szCs w:val="22"/>
          <w:lang w:val="fr-FR"/>
        </w:rPr>
        <w:t xml:space="preserve"> (0,</w:t>
      </w:r>
      <w:r w:rsidR="0070310E" w:rsidRPr="00DC2F2C">
        <w:rPr>
          <w:rFonts w:eastAsia="SimSun"/>
          <w:szCs w:val="22"/>
          <w:lang w:val="fr-FR"/>
        </w:rPr>
        <w:t>3</w:t>
      </w:r>
      <w:r w:rsidR="0079101A" w:rsidRPr="00DC2F2C">
        <w:rPr>
          <w:rFonts w:eastAsia="SimSun"/>
          <w:szCs w:val="22"/>
          <w:lang w:val="fr-FR"/>
        </w:rPr>
        <w:t> </w:t>
      </w:r>
      <w:r w:rsidR="0070310E" w:rsidRPr="00DC2F2C">
        <w:rPr>
          <w:rFonts w:eastAsia="SimSun"/>
          <w:szCs w:val="22"/>
          <w:lang w:val="fr-FR"/>
        </w:rPr>
        <w:t>%)</w:t>
      </w:r>
      <w:r w:rsidR="0079101A" w:rsidRPr="00DC2F2C">
        <w:rPr>
          <w:rFonts w:eastAsia="SimSun"/>
          <w:szCs w:val="22"/>
          <w:lang w:val="fr-FR"/>
        </w:rPr>
        <w:t xml:space="preserve"> ou d’un infarctus du myocarde aigu (0,</w:t>
      </w:r>
      <w:r w:rsidR="0070310E" w:rsidRPr="00DC2F2C">
        <w:rPr>
          <w:rFonts w:eastAsia="SimSun"/>
          <w:szCs w:val="22"/>
          <w:lang w:val="fr-FR"/>
        </w:rPr>
        <w:t>3</w:t>
      </w:r>
      <w:r w:rsidR="0079101A" w:rsidRPr="00DC2F2C">
        <w:rPr>
          <w:rFonts w:eastAsia="SimSun"/>
          <w:szCs w:val="22"/>
          <w:lang w:val="fr-FR"/>
        </w:rPr>
        <w:t> </w:t>
      </w:r>
      <w:r w:rsidR="0070310E" w:rsidRPr="00DC2F2C">
        <w:rPr>
          <w:rFonts w:eastAsia="SimSun"/>
          <w:szCs w:val="22"/>
          <w:lang w:val="fr-FR"/>
        </w:rPr>
        <w:t>%).</w:t>
      </w:r>
      <w:r w:rsidR="0070310E" w:rsidRPr="00DC2F2C">
        <w:rPr>
          <w:szCs w:val="22"/>
          <w:lang w:val="fr-FR"/>
        </w:rPr>
        <w:t xml:space="preserve"> </w:t>
      </w:r>
      <w:r w:rsidR="0079101A" w:rsidRPr="00DC2F2C">
        <w:rPr>
          <w:szCs w:val="22"/>
          <w:lang w:val="fr-FR"/>
        </w:rPr>
        <w:t xml:space="preserve">Les effets indésirables </w:t>
      </w:r>
      <w:r w:rsidR="0015181A" w:rsidRPr="00DC2F2C">
        <w:rPr>
          <w:szCs w:val="22"/>
          <w:lang w:val="fr-FR"/>
        </w:rPr>
        <w:t>ayant conduit le plus fréquemment à</w:t>
      </w:r>
      <w:r w:rsidR="0079101A" w:rsidRPr="00DC2F2C">
        <w:rPr>
          <w:szCs w:val="22"/>
          <w:lang w:val="fr-FR"/>
        </w:rPr>
        <w:t xml:space="preserve"> une réduction de dose/interruption du traitement par</w:t>
      </w:r>
      <w:r w:rsidR="0070310E" w:rsidRPr="00DC2F2C">
        <w:rPr>
          <w:szCs w:val="22"/>
          <w:lang w:val="fr-FR"/>
        </w:rPr>
        <w:t xml:space="preserve"> </w:t>
      </w:r>
      <w:proofErr w:type="spellStart"/>
      <w:r w:rsidR="000D19D3" w:rsidRPr="00DC2F2C">
        <w:rPr>
          <w:szCs w:val="22"/>
          <w:lang w:val="fr-FR"/>
        </w:rPr>
        <w:t>tivozanib</w:t>
      </w:r>
      <w:proofErr w:type="spellEnd"/>
      <w:r w:rsidR="0070310E" w:rsidRPr="00DC2F2C">
        <w:rPr>
          <w:szCs w:val="22"/>
          <w:lang w:val="fr-FR"/>
        </w:rPr>
        <w:t xml:space="preserve"> </w:t>
      </w:r>
      <w:r w:rsidR="0079101A" w:rsidRPr="00DC2F2C">
        <w:rPr>
          <w:szCs w:val="22"/>
          <w:lang w:val="fr-FR"/>
        </w:rPr>
        <w:t>étaient l’hypertension artérielle</w:t>
      </w:r>
      <w:r w:rsidR="0070310E" w:rsidRPr="00DC2F2C">
        <w:rPr>
          <w:szCs w:val="22"/>
          <w:lang w:val="fr-FR"/>
        </w:rPr>
        <w:t xml:space="preserve"> </w:t>
      </w:r>
      <w:r w:rsidR="0079101A" w:rsidRPr="00DC2F2C">
        <w:rPr>
          <w:szCs w:val="22"/>
          <w:lang w:val="fr-FR"/>
        </w:rPr>
        <w:t>(4,</w:t>
      </w:r>
      <w:r w:rsidR="0070310E" w:rsidRPr="00DC2F2C">
        <w:rPr>
          <w:szCs w:val="22"/>
          <w:lang w:val="fr-FR"/>
        </w:rPr>
        <w:t>7</w:t>
      </w:r>
      <w:r w:rsidR="0079101A" w:rsidRPr="00DC2F2C">
        <w:rPr>
          <w:szCs w:val="22"/>
          <w:lang w:val="fr-FR"/>
        </w:rPr>
        <w:t> </w:t>
      </w:r>
      <w:r w:rsidR="0070310E" w:rsidRPr="00DC2F2C">
        <w:rPr>
          <w:szCs w:val="22"/>
          <w:lang w:val="fr-FR"/>
        </w:rPr>
        <w:t xml:space="preserve">%), </w:t>
      </w:r>
      <w:r w:rsidR="0079101A" w:rsidRPr="00DC2F2C">
        <w:rPr>
          <w:szCs w:val="22"/>
          <w:lang w:val="fr-FR"/>
        </w:rPr>
        <w:t xml:space="preserve">la </w:t>
      </w:r>
      <w:r w:rsidR="0070310E" w:rsidRPr="00DC2F2C">
        <w:rPr>
          <w:szCs w:val="22"/>
          <w:lang w:val="fr-FR"/>
        </w:rPr>
        <w:t>di</w:t>
      </w:r>
      <w:r w:rsidR="00A12D29" w:rsidRPr="00DC2F2C">
        <w:rPr>
          <w:szCs w:val="22"/>
          <w:lang w:val="fr-FR"/>
        </w:rPr>
        <w:t>arrh</w:t>
      </w:r>
      <w:r w:rsidR="0079101A" w:rsidRPr="00DC2F2C">
        <w:rPr>
          <w:szCs w:val="22"/>
          <w:lang w:val="fr-FR"/>
        </w:rPr>
        <w:t>ée (3,</w:t>
      </w:r>
      <w:r w:rsidR="00A12D29" w:rsidRPr="00DC2F2C">
        <w:rPr>
          <w:szCs w:val="22"/>
          <w:lang w:val="fr-FR"/>
        </w:rPr>
        <w:t>1</w:t>
      </w:r>
      <w:r w:rsidR="0079101A" w:rsidRPr="00DC2F2C">
        <w:rPr>
          <w:szCs w:val="22"/>
          <w:lang w:val="fr-FR"/>
        </w:rPr>
        <w:t> %) et la fatigue (1,</w:t>
      </w:r>
      <w:r w:rsidR="00A12D29" w:rsidRPr="00DC2F2C">
        <w:rPr>
          <w:szCs w:val="22"/>
          <w:lang w:val="fr-FR"/>
        </w:rPr>
        <w:t>8</w:t>
      </w:r>
      <w:r w:rsidR="0079101A" w:rsidRPr="00DC2F2C">
        <w:rPr>
          <w:szCs w:val="22"/>
          <w:lang w:val="fr-FR"/>
        </w:rPr>
        <w:t> </w:t>
      </w:r>
      <w:r w:rsidR="00A12D29" w:rsidRPr="00DC2F2C">
        <w:rPr>
          <w:szCs w:val="22"/>
          <w:lang w:val="fr-FR"/>
        </w:rPr>
        <w:t>%).</w:t>
      </w:r>
    </w:p>
    <w:p w14:paraId="25B57432" w14:textId="77777777" w:rsidR="0070310E" w:rsidRPr="00DC2F2C" w:rsidRDefault="0079101A" w:rsidP="009D43DC">
      <w:pPr>
        <w:ind w:right="549"/>
        <w:rPr>
          <w:szCs w:val="22"/>
          <w:lang w:val="fr-FR"/>
        </w:rPr>
      </w:pPr>
      <w:r w:rsidRPr="00DC2F2C">
        <w:rPr>
          <w:rFonts w:eastAsia="Calibri"/>
          <w:szCs w:val="22"/>
          <w:lang w:val="fr-FR"/>
        </w:rPr>
        <w:t>Chez les patients recevant le</w:t>
      </w:r>
      <w:r w:rsidR="00FF2129" w:rsidRPr="00DC2F2C">
        <w:rPr>
          <w:rFonts w:eastAsia="Calibri"/>
          <w:szCs w:val="22"/>
          <w:lang w:val="fr-FR"/>
        </w:rPr>
        <w:t xml:space="preserve"> </w:t>
      </w:r>
      <w:proofErr w:type="spellStart"/>
      <w:r w:rsidR="00FF2129" w:rsidRPr="00DC2F2C">
        <w:rPr>
          <w:rFonts w:eastAsia="Calibri"/>
          <w:szCs w:val="22"/>
          <w:lang w:val="fr-FR"/>
        </w:rPr>
        <w:t>tivozanib</w:t>
      </w:r>
      <w:proofErr w:type="spellEnd"/>
      <w:r w:rsidR="00FF2129" w:rsidRPr="00DC2F2C">
        <w:rPr>
          <w:rFonts w:eastAsia="Calibri"/>
          <w:szCs w:val="22"/>
          <w:lang w:val="fr-FR"/>
        </w:rPr>
        <w:t xml:space="preserve"> </w:t>
      </w:r>
      <w:r w:rsidRPr="00DC2F2C">
        <w:rPr>
          <w:rFonts w:eastAsia="Calibri"/>
          <w:szCs w:val="22"/>
          <w:lang w:val="fr-FR"/>
        </w:rPr>
        <w:t>à titre de traitement initial, trois effets indésirables ont eu une issue fatale</w:t>
      </w:r>
      <w:r w:rsidR="00806057" w:rsidRPr="00DC2F2C">
        <w:rPr>
          <w:rFonts w:eastAsia="Calibri"/>
          <w:szCs w:val="22"/>
          <w:lang w:val="fr-FR"/>
        </w:rPr>
        <w:t xml:space="preserve"> : </w:t>
      </w:r>
      <w:r w:rsidRPr="00DC2F2C">
        <w:rPr>
          <w:rFonts w:eastAsia="Calibri"/>
          <w:szCs w:val="22"/>
          <w:lang w:val="fr-FR"/>
        </w:rPr>
        <w:t>un cas d’hypertension artérielle non contrôlée dans le cadre d’une suspicion de surdosage</w:t>
      </w:r>
      <w:r w:rsidR="00FF2129" w:rsidRPr="00DC2F2C">
        <w:rPr>
          <w:rFonts w:eastAsia="Calibri"/>
          <w:szCs w:val="22"/>
          <w:lang w:val="fr-FR"/>
        </w:rPr>
        <w:t xml:space="preserve"> (</w:t>
      </w:r>
      <w:r w:rsidR="002D6EE5" w:rsidRPr="00DC2F2C">
        <w:rPr>
          <w:szCs w:val="22"/>
          <w:lang w:val="fr-FR"/>
        </w:rPr>
        <w:t xml:space="preserve">voir rubrique </w:t>
      </w:r>
      <w:r w:rsidR="00FF2129" w:rsidRPr="00DC2F2C">
        <w:rPr>
          <w:rFonts w:eastAsia="Calibri"/>
          <w:szCs w:val="22"/>
          <w:lang w:val="fr-FR"/>
        </w:rPr>
        <w:t xml:space="preserve">4.9) </w:t>
      </w:r>
      <w:r w:rsidRPr="00DC2F2C">
        <w:rPr>
          <w:rFonts w:eastAsia="Calibri"/>
          <w:szCs w:val="22"/>
          <w:lang w:val="fr-FR"/>
        </w:rPr>
        <w:t>et deux cas simplement signalés comme des décès</w:t>
      </w:r>
      <w:r w:rsidR="00FF2129" w:rsidRPr="00DC2F2C">
        <w:rPr>
          <w:rFonts w:eastAsia="Calibri"/>
          <w:szCs w:val="22"/>
          <w:lang w:val="fr-FR"/>
        </w:rPr>
        <w:t>.</w:t>
      </w:r>
    </w:p>
    <w:p w14:paraId="3D376274" w14:textId="77777777" w:rsidR="0070310E" w:rsidRPr="00DC2F2C" w:rsidRDefault="0070310E" w:rsidP="009D43DC">
      <w:pPr>
        <w:ind w:right="549"/>
        <w:rPr>
          <w:szCs w:val="22"/>
          <w:lang w:val="fr-FR"/>
        </w:rPr>
      </w:pPr>
    </w:p>
    <w:p w14:paraId="10C8D023" w14:textId="77777777" w:rsidR="00C31524" w:rsidRPr="00DC2F2C" w:rsidRDefault="00812C1B" w:rsidP="00F97C94">
      <w:pPr>
        <w:keepNext/>
        <w:keepLines/>
        <w:ind w:left="567" w:right="549" w:hanging="567"/>
        <w:rPr>
          <w:szCs w:val="22"/>
          <w:u w:val="single"/>
          <w:lang w:val="fr-FR"/>
        </w:rPr>
      </w:pPr>
      <w:r w:rsidRPr="00DC2F2C">
        <w:rPr>
          <w:szCs w:val="22"/>
          <w:u w:val="single"/>
          <w:lang w:val="fr-FR"/>
        </w:rPr>
        <w:t>Tableau récapitulatif</w:t>
      </w:r>
      <w:r w:rsidR="00591240" w:rsidRPr="00DC2F2C">
        <w:rPr>
          <w:szCs w:val="22"/>
          <w:u w:val="single"/>
          <w:lang w:val="fr-FR"/>
        </w:rPr>
        <w:t xml:space="preserve"> des effets indésirables</w:t>
      </w:r>
    </w:p>
    <w:p w14:paraId="02E599F2" w14:textId="77777777" w:rsidR="00C31524" w:rsidRPr="00DC2F2C" w:rsidRDefault="00C31524" w:rsidP="00F97C94">
      <w:pPr>
        <w:keepNext/>
        <w:keepLines/>
        <w:ind w:right="549"/>
        <w:rPr>
          <w:szCs w:val="22"/>
          <w:u w:val="single"/>
          <w:lang w:val="fr-FR"/>
        </w:rPr>
      </w:pPr>
    </w:p>
    <w:p w14:paraId="3D4F9A7A" w14:textId="77777777" w:rsidR="00C31524" w:rsidRPr="00DC2F2C" w:rsidRDefault="00A6122A" w:rsidP="001703D3">
      <w:pPr>
        <w:rPr>
          <w:szCs w:val="22"/>
          <w:lang w:val="fr-FR"/>
        </w:rPr>
      </w:pPr>
      <w:r w:rsidRPr="00DC2F2C">
        <w:rPr>
          <w:lang w:val="fr-FR"/>
        </w:rPr>
        <w:t xml:space="preserve">Les effets indésirables survenus chez </w:t>
      </w:r>
      <w:r w:rsidR="00931075" w:rsidRPr="00DC2F2C">
        <w:rPr>
          <w:lang w:val="fr-FR"/>
        </w:rPr>
        <w:t>les</w:t>
      </w:r>
      <w:r w:rsidR="00C31524" w:rsidRPr="00DC2F2C">
        <w:rPr>
          <w:lang w:val="fr-FR"/>
        </w:rPr>
        <w:t xml:space="preserve"> patient</w:t>
      </w:r>
      <w:r w:rsidR="00931075" w:rsidRPr="00DC2F2C">
        <w:rPr>
          <w:lang w:val="fr-FR"/>
        </w:rPr>
        <w:t>s</w:t>
      </w:r>
      <w:r w:rsidR="00C31524" w:rsidRPr="00DC2F2C">
        <w:rPr>
          <w:lang w:val="fr-FR"/>
        </w:rPr>
        <w:t xml:space="preserve"> </w:t>
      </w:r>
      <w:r w:rsidR="009F571B" w:rsidRPr="00DC2F2C">
        <w:rPr>
          <w:lang w:val="fr-FR"/>
        </w:rPr>
        <w:t xml:space="preserve">qui ont reçu le </w:t>
      </w:r>
      <w:proofErr w:type="spellStart"/>
      <w:r w:rsidR="009F571B" w:rsidRPr="00DC2F2C">
        <w:rPr>
          <w:lang w:val="fr-FR"/>
        </w:rPr>
        <w:t>tivozanib</w:t>
      </w:r>
      <w:proofErr w:type="spellEnd"/>
      <w:r w:rsidR="009F571B" w:rsidRPr="00DC2F2C">
        <w:rPr>
          <w:lang w:val="fr-FR"/>
        </w:rPr>
        <w:t xml:space="preserve"> comme traitement initial dans les cinq études principales portant sur le </w:t>
      </w:r>
      <w:proofErr w:type="spellStart"/>
      <w:r w:rsidR="009F571B" w:rsidRPr="00DC2F2C">
        <w:rPr>
          <w:lang w:val="fr-FR"/>
        </w:rPr>
        <w:t>tivozanib</w:t>
      </w:r>
      <w:proofErr w:type="spellEnd"/>
      <w:r w:rsidR="009F571B" w:rsidRPr="00DC2F2C">
        <w:rPr>
          <w:lang w:val="fr-FR"/>
        </w:rPr>
        <w:t xml:space="preserve"> en monothérapie dans le CCR </w:t>
      </w:r>
      <w:r w:rsidR="00CD0E5A" w:rsidRPr="00DC2F2C">
        <w:rPr>
          <w:szCs w:val="22"/>
          <w:lang w:val="fr-FR"/>
        </w:rPr>
        <w:t xml:space="preserve">ont été regroupés et sont énumérés ci-dessous </w:t>
      </w:r>
      <w:r w:rsidR="00D00440" w:rsidRPr="00DC2F2C">
        <w:rPr>
          <w:szCs w:val="22"/>
          <w:lang w:val="fr-FR"/>
        </w:rPr>
        <w:t xml:space="preserve">par classe de systèmes d’organes </w:t>
      </w:r>
      <w:proofErr w:type="spellStart"/>
      <w:r w:rsidR="00D00440" w:rsidRPr="00DC2F2C">
        <w:rPr>
          <w:szCs w:val="22"/>
          <w:lang w:val="fr-FR"/>
        </w:rPr>
        <w:t>MedDRA</w:t>
      </w:r>
      <w:proofErr w:type="spellEnd"/>
      <w:r w:rsidR="00D00440" w:rsidRPr="00DC2F2C">
        <w:rPr>
          <w:szCs w:val="22"/>
          <w:lang w:val="fr-FR"/>
        </w:rPr>
        <w:t xml:space="preserve"> (SOC) </w:t>
      </w:r>
      <w:r w:rsidR="00D34055" w:rsidRPr="00DC2F2C">
        <w:rPr>
          <w:szCs w:val="22"/>
          <w:lang w:val="fr-FR"/>
        </w:rPr>
        <w:t xml:space="preserve">et </w:t>
      </w:r>
      <w:r w:rsidR="00D00440" w:rsidRPr="00DC2F2C">
        <w:rPr>
          <w:szCs w:val="22"/>
          <w:lang w:val="fr-FR"/>
        </w:rPr>
        <w:t>par</w:t>
      </w:r>
      <w:r w:rsidR="00CD0E5A" w:rsidRPr="00DC2F2C">
        <w:rPr>
          <w:szCs w:val="22"/>
          <w:lang w:val="fr-FR"/>
        </w:rPr>
        <w:t xml:space="preserve"> fréquence</w:t>
      </w:r>
      <w:r w:rsidR="00C31524" w:rsidRPr="00DC2F2C">
        <w:rPr>
          <w:szCs w:val="22"/>
          <w:lang w:val="fr-FR"/>
        </w:rPr>
        <w:t xml:space="preserve">. </w:t>
      </w:r>
      <w:r w:rsidR="00591240" w:rsidRPr="00DC2F2C">
        <w:rPr>
          <w:szCs w:val="22"/>
          <w:lang w:val="fr-FR"/>
        </w:rPr>
        <w:t>Les fréquences sont définies comme suit : très fréquent</w:t>
      </w:r>
      <w:r w:rsidR="00C31524" w:rsidRPr="00DC2F2C">
        <w:rPr>
          <w:szCs w:val="22"/>
          <w:lang w:val="fr-FR"/>
        </w:rPr>
        <w:t xml:space="preserve"> (≥1/10)</w:t>
      </w:r>
      <w:r w:rsidR="00591240" w:rsidRPr="00DC2F2C">
        <w:rPr>
          <w:szCs w:val="22"/>
          <w:lang w:val="fr-FR"/>
        </w:rPr>
        <w:t> </w:t>
      </w:r>
      <w:r w:rsidR="00C31524" w:rsidRPr="00DC2F2C">
        <w:rPr>
          <w:szCs w:val="22"/>
          <w:lang w:val="fr-FR"/>
        </w:rPr>
        <w:t xml:space="preserve">; </w:t>
      </w:r>
      <w:r w:rsidR="00591240" w:rsidRPr="00DC2F2C">
        <w:rPr>
          <w:szCs w:val="22"/>
          <w:lang w:val="fr-FR"/>
        </w:rPr>
        <w:t>fréquent</w:t>
      </w:r>
      <w:r w:rsidR="00C31524" w:rsidRPr="00DC2F2C">
        <w:rPr>
          <w:szCs w:val="22"/>
          <w:lang w:val="fr-FR"/>
        </w:rPr>
        <w:t xml:space="preserve"> (≥1/100</w:t>
      </w:r>
      <w:r w:rsidR="00591240" w:rsidRPr="00DC2F2C">
        <w:rPr>
          <w:szCs w:val="22"/>
          <w:lang w:val="fr-FR"/>
        </w:rPr>
        <w:t>,</w:t>
      </w:r>
      <w:r w:rsidR="00C31524" w:rsidRPr="00DC2F2C">
        <w:rPr>
          <w:szCs w:val="22"/>
          <w:lang w:val="fr-FR"/>
        </w:rPr>
        <w:t xml:space="preserve"> &lt;1/10)</w:t>
      </w:r>
      <w:r w:rsidR="00591240" w:rsidRPr="00DC2F2C">
        <w:rPr>
          <w:szCs w:val="22"/>
          <w:lang w:val="fr-FR"/>
        </w:rPr>
        <w:t> </w:t>
      </w:r>
      <w:r w:rsidR="00C31524" w:rsidRPr="00DC2F2C">
        <w:rPr>
          <w:szCs w:val="22"/>
          <w:lang w:val="fr-FR"/>
        </w:rPr>
        <w:t xml:space="preserve">; </w:t>
      </w:r>
      <w:r w:rsidR="00591240" w:rsidRPr="00DC2F2C">
        <w:rPr>
          <w:szCs w:val="22"/>
          <w:lang w:val="fr-FR"/>
        </w:rPr>
        <w:t>peu fréquent</w:t>
      </w:r>
      <w:r w:rsidR="00C31524" w:rsidRPr="00DC2F2C">
        <w:rPr>
          <w:szCs w:val="22"/>
          <w:lang w:val="fr-FR"/>
        </w:rPr>
        <w:t xml:space="preserve"> (≥</w:t>
      </w:r>
      <w:r w:rsidR="00591240" w:rsidRPr="00DC2F2C">
        <w:rPr>
          <w:szCs w:val="22"/>
          <w:lang w:val="fr-FR"/>
        </w:rPr>
        <w:t>1/1 </w:t>
      </w:r>
      <w:r w:rsidR="00C31524" w:rsidRPr="00DC2F2C">
        <w:rPr>
          <w:szCs w:val="22"/>
          <w:lang w:val="fr-FR"/>
        </w:rPr>
        <w:t>000</w:t>
      </w:r>
      <w:r w:rsidR="00591240" w:rsidRPr="00DC2F2C">
        <w:rPr>
          <w:szCs w:val="22"/>
          <w:lang w:val="fr-FR"/>
        </w:rPr>
        <w:t>,</w:t>
      </w:r>
      <w:r w:rsidR="00C31524" w:rsidRPr="00DC2F2C">
        <w:rPr>
          <w:szCs w:val="22"/>
          <w:lang w:val="fr-FR"/>
        </w:rPr>
        <w:t xml:space="preserve"> &lt;1/100)</w:t>
      </w:r>
      <w:r w:rsidR="00070586" w:rsidRPr="00DC2F2C">
        <w:rPr>
          <w:szCs w:val="22"/>
          <w:lang w:val="fr-FR"/>
        </w:rPr>
        <w:t>,</w:t>
      </w:r>
      <w:r w:rsidR="00C31524" w:rsidRPr="00DC2F2C">
        <w:rPr>
          <w:szCs w:val="22"/>
          <w:lang w:val="fr-FR"/>
        </w:rPr>
        <w:t xml:space="preserve"> rare (≥</w:t>
      </w:r>
      <w:r w:rsidR="00591240" w:rsidRPr="00DC2F2C">
        <w:rPr>
          <w:szCs w:val="22"/>
          <w:lang w:val="fr-FR"/>
        </w:rPr>
        <w:t>1/10 </w:t>
      </w:r>
      <w:r w:rsidR="00C31524" w:rsidRPr="00DC2F2C">
        <w:rPr>
          <w:szCs w:val="22"/>
          <w:lang w:val="fr-FR"/>
        </w:rPr>
        <w:t>000</w:t>
      </w:r>
      <w:r w:rsidR="00591240" w:rsidRPr="00DC2F2C">
        <w:rPr>
          <w:szCs w:val="22"/>
          <w:lang w:val="fr-FR"/>
        </w:rPr>
        <w:t>,</w:t>
      </w:r>
      <w:r w:rsidR="00C31524" w:rsidRPr="00DC2F2C">
        <w:rPr>
          <w:szCs w:val="22"/>
          <w:lang w:val="fr-FR"/>
        </w:rPr>
        <w:t xml:space="preserve"> &lt;</w:t>
      </w:r>
      <w:r w:rsidR="00591240" w:rsidRPr="00DC2F2C">
        <w:rPr>
          <w:szCs w:val="22"/>
          <w:lang w:val="fr-FR"/>
        </w:rPr>
        <w:t>1/1 </w:t>
      </w:r>
      <w:r w:rsidR="00C31524" w:rsidRPr="00DC2F2C">
        <w:rPr>
          <w:szCs w:val="22"/>
          <w:lang w:val="fr-FR"/>
        </w:rPr>
        <w:t>000)</w:t>
      </w:r>
      <w:r w:rsidR="00070586" w:rsidRPr="00DC2F2C">
        <w:rPr>
          <w:szCs w:val="22"/>
          <w:lang w:val="fr-FR"/>
        </w:rPr>
        <w:t xml:space="preserve"> et fréquence indéterminée (ne peut être estimée sur la base des données disponibles)</w:t>
      </w:r>
      <w:r w:rsidR="00C31524" w:rsidRPr="00DC2F2C">
        <w:rPr>
          <w:szCs w:val="22"/>
          <w:lang w:val="fr-FR"/>
        </w:rPr>
        <w:t>.</w:t>
      </w:r>
      <w:r w:rsidR="005A3C82" w:rsidRPr="00DC2F2C">
        <w:rPr>
          <w:szCs w:val="22"/>
          <w:lang w:val="fr-FR"/>
        </w:rPr>
        <w:t xml:space="preserve"> </w:t>
      </w:r>
      <w:r w:rsidR="001D3259" w:rsidRPr="00DC2F2C">
        <w:rPr>
          <w:szCs w:val="22"/>
          <w:lang w:val="fr-FR"/>
        </w:rPr>
        <w:t>Au sein de chaque</w:t>
      </w:r>
      <w:r w:rsidR="00392A55" w:rsidRPr="00DC2F2C">
        <w:rPr>
          <w:szCs w:val="22"/>
          <w:lang w:val="fr-FR"/>
        </w:rPr>
        <w:t xml:space="preserve"> </w:t>
      </w:r>
      <w:r w:rsidR="00070586" w:rsidRPr="00DC2F2C">
        <w:rPr>
          <w:szCs w:val="22"/>
          <w:lang w:val="fr-FR"/>
        </w:rPr>
        <w:t>SOC</w:t>
      </w:r>
      <w:r w:rsidR="001D3259" w:rsidRPr="00DC2F2C">
        <w:rPr>
          <w:szCs w:val="22"/>
          <w:lang w:val="fr-FR"/>
        </w:rPr>
        <w:t>, les effets indésirables sont présentés par ordre décroissant de gravité</w:t>
      </w:r>
      <w:r w:rsidR="00FF2129" w:rsidRPr="00DC2F2C">
        <w:rPr>
          <w:szCs w:val="22"/>
          <w:lang w:val="fr-FR"/>
        </w:rPr>
        <w:t>.</w:t>
      </w:r>
    </w:p>
    <w:p w14:paraId="31E611B1" w14:textId="77777777" w:rsidR="00C31524" w:rsidRPr="00DC2F2C" w:rsidRDefault="00C31524" w:rsidP="00F97C94">
      <w:pPr>
        <w:ind w:left="284" w:right="549" w:hanging="284"/>
        <w:rPr>
          <w:sz w:val="20"/>
          <w:lang w:val="fr-FR" w:eastAsia="ja-JP"/>
        </w:rPr>
      </w:pPr>
    </w:p>
    <w:p w14:paraId="624175D6" w14:textId="77777777" w:rsidR="00ED75AD" w:rsidRPr="00DC2F2C" w:rsidRDefault="00ED75AD" w:rsidP="00ED75AD">
      <w:pPr>
        <w:keepNext/>
        <w:keepLines/>
        <w:ind w:right="550"/>
        <w:rPr>
          <w:b/>
          <w:szCs w:val="22"/>
          <w:lang w:val="fr-FR"/>
        </w:rPr>
      </w:pPr>
      <w:r w:rsidRPr="00DC2F2C">
        <w:rPr>
          <w:b/>
          <w:szCs w:val="22"/>
          <w:lang w:val="fr-FR"/>
        </w:rPr>
        <w:lastRenderedPageBreak/>
        <w:t>Tableau 1: Tableau récapitulatif des effets indésirables (</w:t>
      </w:r>
      <w:r w:rsidRPr="00DC2F2C">
        <w:rPr>
          <w:rFonts w:eastAsia="Calibri"/>
          <w:b/>
          <w:szCs w:val="22"/>
          <w:lang w:val="fr-FR"/>
        </w:rPr>
        <w:t>présentés en utilisant les fréquences des événements indésirables toutes causes confondues)</w:t>
      </w:r>
    </w:p>
    <w:p w14:paraId="045277F9" w14:textId="77777777" w:rsidR="00ED75AD" w:rsidRPr="00DC2F2C" w:rsidRDefault="00ED75AD" w:rsidP="00ED75AD">
      <w:pPr>
        <w:keepNext/>
        <w:keepLines/>
        <w:tabs>
          <w:tab w:val="clear" w:pos="567"/>
        </w:tabs>
        <w:rPr>
          <w:rFonts w:eastAsia="Calibri"/>
          <w:szCs w:val="18"/>
          <w:lang w:val="fr-FR"/>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4" w:type="dxa"/>
          <w:bottom w:w="14" w:type="dxa"/>
          <w:right w:w="14" w:type="dxa"/>
        </w:tblCellMar>
        <w:tblLook w:val="0480" w:firstRow="0" w:lastRow="0" w:firstColumn="1" w:lastColumn="0" w:noHBand="0" w:noVBand="1"/>
      </w:tblPr>
      <w:tblGrid>
        <w:gridCol w:w="1737"/>
        <w:gridCol w:w="1660"/>
        <w:gridCol w:w="1560"/>
        <w:gridCol w:w="1842"/>
        <w:gridCol w:w="1418"/>
        <w:gridCol w:w="1559"/>
      </w:tblGrid>
      <w:tr w:rsidR="00190F18" w:rsidRPr="00DC2F2C" w14:paraId="3B66845E" w14:textId="6117133A" w:rsidTr="00FF2165">
        <w:trPr>
          <w:cantSplit/>
          <w:tblHeader/>
        </w:trPr>
        <w:tc>
          <w:tcPr>
            <w:tcW w:w="1737" w:type="dxa"/>
            <w:tcBorders>
              <w:top w:val="single" w:sz="4" w:space="0" w:color="000000"/>
              <w:left w:val="single" w:sz="4" w:space="0" w:color="000000"/>
              <w:bottom w:val="single" w:sz="4" w:space="0" w:color="000000"/>
              <w:right w:val="single" w:sz="4" w:space="0" w:color="000000"/>
            </w:tcBorders>
            <w:hideMark/>
          </w:tcPr>
          <w:p w14:paraId="6AD14E24" w14:textId="77777777" w:rsidR="00190F18" w:rsidRPr="00DC2F2C" w:rsidRDefault="00190F18" w:rsidP="0092147C">
            <w:pPr>
              <w:keepNext/>
              <w:keepLines/>
              <w:tabs>
                <w:tab w:val="clear" w:pos="567"/>
              </w:tabs>
              <w:spacing w:after="120"/>
              <w:ind w:left="142" w:right="411"/>
              <w:jc w:val="center"/>
              <w:rPr>
                <w:b/>
                <w:sz w:val="20"/>
                <w:lang w:val="fr-FR" w:eastAsia="ja-JP"/>
              </w:rPr>
            </w:pPr>
            <w:r w:rsidRPr="00DC2F2C">
              <w:rPr>
                <w:b/>
                <w:sz w:val="20"/>
                <w:lang w:val="fr-FR" w:eastAsia="ja-JP"/>
              </w:rPr>
              <w:t>Classification par discipline médicale</w:t>
            </w:r>
          </w:p>
        </w:tc>
        <w:tc>
          <w:tcPr>
            <w:tcW w:w="1660" w:type="dxa"/>
            <w:tcBorders>
              <w:top w:val="single" w:sz="4" w:space="0" w:color="000000"/>
              <w:left w:val="single" w:sz="4" w:space="0" w:color="000000"/>
              <w:bottom w:val="single" w:sz="4" w:space="0" w:color="000000"/>
              <w:right w:val="single" w:sz="4" w:space="0" w:color="000000"/>
            </w:tcBorders>
            <w:hideMark/>
          </w:tcPr>
          <w:p w14:paraId="7AAFAE3D" w14:textId="77777777" w:rsidR="00190F18" w:rsidRPr="00DC2F2C" w:rsidRDefault="00190F18" w:rsidP="0092147C">
            <w:pPr>
              <w:keepNext/>
              <w:keepLines/>
              <w:tabs>
                <w:tab w:val="clear" w:pos="567"/>
              </w:tabs>
              <w:spacing w:after="120"/>
              <w:ind w:left="129" w:right="188"/>
              <w:jc w:val="center"/>
              <w:rPr>
                <w:b/>
                <w:sz w:val="20"/>
                <w:lang w:val="fr-FR" w:eastAsia="ja-JP"/>
              </w:rPr>
            </w:pPr>
            <w:r w:rsidRPr="00DC2F2C">
              <w:rPr>
                <w:b/>
                <w:sz w:val="20"/>
                <w:lang w:val="fr-FR" w:eastAsia="ja-JP"/>
              </w:rPr>
              <w:t>Très fréquent</w:t>
            </w:r>
          </w:p>
        </w:tc>
        <w:tc>
          <w:tcPr>
            <w:tcW w:w="1560" w:type="dxa"/>
            <w:tcBorders>
              <w:top w:val="single" w:sz="4" w:space="0" w:color="000000"/>
              <w:left w:val="single" w:sz="4" w:space="0" w:color="000000"/>
              <w:bottom w:val="single" w:sz="4" w:space="0" w:color="000000"/>
              <w:right w:val="single" w:sz="4" w:space="0" w:color="000000"/>
            </w:tcBorders>
            <w:hideMark/>
          </w:tcPr>
          <w:p w14:paraId="40BC6168" w14:textId="77777777" w:rsidR="00190F18" w:rsidRPr="00DC2F2C" w:rsidRDefault="00190F18" w:rsidP="0092147C">
            <w:pPr>
              <w:keepNext/>
              <w:keepLines/>
              <w:tabs>
                <w:tab w:val="clear" w:pos="567"/>
              </w:tabs>
              <w:spacing w:after="120"/>
              <w:ind w:left="57" w:right="183"/>
              <w:jc w:val="center"/>
              <w:rPr>
                <w:rFonts w:eastAsia="MS Mincho"/>
                <w:b/>
                <w:sz w:val="20"/>
                <w:lang w:val="fr-FR" w:eastAsia="ja-JP"/>
              </w:rPr>
            </w:pPr>
            <w:r w:rsidRPr="00DC2F2C">
              <w:rPr>
                <w:rFonts w:eastAsia="MS Mincho"/>
                <w:b/>
                <w:sz w:val="20"/>
                <w:lang w:val="fr-FR" w:eastAsia="ja-JP"/>
              </w:rPr>
              <w:t>Fréquent</w:t>
            </w:r>
          </w:p>
        </w:tc>
        <w:tc>
          <w:tcPr>
            <w:tcW w:w="1842" w:type="dxa"/>
            <w:tcBorders>
              <w:top w:val="single" w:sz="4" w:space="0" w:color="000000"/>
              <w:left w:val="single" w:sz="4" w:space="0" w:color="000000"/>
              <w:bottom w:val="single" w:sz="4" w:space="0" w:color="000000"/>
              <w:right w:val="single" w:sz="4" w:space="0" w:color="000000"/>
            </w:tcBorders>
          </w:tcPr>
          <w:p w14:paraId="15F1A761" w14:textId="77777777" w:rsidR="00190F18" w:rsidRPr="00DC2F2C" w:rsidRDefault="00190F18" w:rsidP="0092147C">
            <w:pPr>
              <w:keepNext/>
              <w:keepLines/>
              <w:tabs>
                <w:tab w:val="clear" w:pos="567"/>
              </w:tabs>
              <w:spacing w:after="120"/>
              <w:ind w:left="57" w:right="183"/>
              <w:jc w:val="center"/>
              <w:rPr>
                <w:rFonts w:eastAsia="MS Mincho"/>
                <w:b/>
                <w:sz w:val="20"/>
                <w:lang w:val="fr-FR" w:eastAsia="ja-JP"/>
              </w:rPr>
            </w:pPr>
            <w:r w:rsidRPr="00DC2F2C">
              <w:rPr>
                <w:rFonts w:eastAsia="MS Mincho"/>
                <w:b/>
                <w:sz w:val="20"/>
                <w:lang w:val="fr-FR" w:eastAsia="ja-JP"/>
              </w:rPr>
              <w:t>Peu fréquent</w:t>
            </w:r>
          </w:p>
        </w:tc>
        <w:tc>
          <w:tcPr>
            <w:tcW w:w="1418" w:type="dxa"/>
            <w:tcBorders>
              <w:top w:val="single" w:sz="4" w:space="0" w:color="000000"/>
              <w:left w:val="single" w:sz="4" w:space="0" w:color="000000"/>
              <w:bottom w:val="single" w:sz="4" w:space="0" w:color="000000"/>
              <w:right w:val="single" w:sz="4" w:space="0" w:color="000000"/>
            </w:tcBorders>
          </w:tcPr>
          <w:p w14:paraId="72AEEA7C" w14:textId="77777777" w:rsidR="00190F18" w:rsidRPr="00DC2F2C" w:rsidRDefault="00190F18" w:rsidP="0092147C">
            <w:pPr>
              <w:keepNext/>
              <w:keepLines/>
              <w:tabs>
                <w:tab w:val="clear" w:pos="567"/>
              </w:tabs>
              <w:spacing w:after="120"/>
              <w:ind w:left="57" w:right="183"/>
              <w:jc w:val="center"/>
              <w:rPr>
                <w:rFonts w:eastAsia="MS Mincho"/>
                <w:b/>
                <w:sz w:val="20"/>
                <w:lang w:val="fr-FR" w:eastAsia="ja-JP"/>
              </w:rPr>
            </w:pPr>
            <w:r w:rsidRPr="00DC2F2C">
              <w:rPr>
                <w:rFonts w:eastAsia="Calibri"/>
                <w:b/>
                <w:color w:val="000000"/>
                <w:sz w:val="20"/>
                <w:lang w:val="fr-FR"/>
              </w:rPr>
              <w:t>Rare</w:t>
            </w:r>
          </w:p>
        </w:tc>
        <w:tc>
          <w:tcPr>
            <w:tcW w:w="1559" w:type="dxa"/>
            <w:tcBorders>
              <w:top w:val="single" w:sz="4" w:space="0" w:color="000000"/>
              <w:left w:val="single" w:sz="4" w:space="0" w:color="000000"/>
              <w:bottom w:val="single" w:sz="4" w:space="0" w:color="000000"/>
              <w:right w:val="single" w:sz="4" w:space="0" w:color="000000"/>
            </w:tcBorders>
          </w:tcPr>
          <w:p w14:paraId="4D498AB6" w14:textId="23702A6C" w:rsidR="00190F18" w:rsidRPr="00190F18" w:rsidRDefault="00190F18" w:rsidP="0092147C">
            <w:pPr>
              <w:keepNext/>
              <w:keepLines/>
              <w:tabs>
                <w:tab w:val="clear" w:pos="567"/>
              </w:tabs>
              <w:spacing w:after="120"/>
              <w:ind w:left="57" w:right="183"/>
              <w:jc w:val="center"/>
              <w:rPr>
                <w:rFonts w:eastAsia="Calibri"/>
                <w:b/>
                <w:color w:val="000000"/>
                <w:sz w:val="20"/>
                <w:lang w:val="fr-FR"/>
              </w:rPr>
            </w:pPr>
            <w:proofErr w:type="spellStart"/>
            <w:r w:rsidRPr="00190F18">
              <w:rPr>
                <w:b/>
              </w:rPr>
              <w:t>Indéterminé</w:t>
            </w:r>
            <w:proofErr w:type="spellEnd"/>
          </w:p>
        </w:tc>
      </w:tr>
      <w:tr w:rsidR="00190F18" w:rsidRPr="00DC2F2C" w14:paraId="59B0BD0F" w14:textId="195B3E83" w:rsidTr="00FF2165">
        <w:trPr>
          <w:cantSplit/>
        </w:trPr>
        <w:tc>
          <w:tcPr>
            <w:tcW w:w="1737" w:type="dxa"/>
            <w:tcBorders>
              <w:top w:val="single" w:sz="4" w:space="0" w:color="000000"/>
              <w:left w:val="single" w:sz="4" w:space="0" w:color="000000"/>
              <w:right w:val="single" w:sz="4" w:space="0" w:color="000000"/>
            </w:tcBorders>
            <w:hideMark/>
          </w:tcPr>
          <w:p w14:paraId="66F0E496" w14:textId="77777777" w:rsidR="00190F18" w:rsidRPr="00DC2F2C" w:rsidRDefault="00190F18" w:rsidP="00F004DF">
            <w:pPr>
              <w:tabs>
                <w:tab w:val="clear" w:pos="567"/>
              </w:tabs>
              <w:spacing w:after="120"/>
              <w:ind w:left="142"/>
              <w:jc w:val="center"/>
              <w:rPr>
                <w:sz w:val="20"/>
                <w:lang w:val="fr-FR"/>
              </w:rPr>
            </w:pPr>
            <w:r w:rsidRPr="00DC2F2C">
              <w:rPr>
                <w:sz w:val="20"/>
                <w:lang w:val="fr-FR" w:eastAsia="ja-JP"/>
              </w:rPr>
              <w:t>Infections et infestations</w:t>
            </w:r>
          </w:p>
        </w:tc>
        <w:tc>
          <w:tcPr>
            <w:tcW w:w="1660" w:type="dxa"/>
            <w:tcBorders>
              <w:top w:val="single" w:sz="4" w:space="0" w:color="000000"/>
              <w:left w:val="single" w:sz="4" w:space="0" w:color="000000"/>
              <w:bottom w:val="single" w:sz="4" w:space="0" w:color="000000"/>
              <w:right w:val="single" w:sz="4" w:space="0" w:color="000000"/>
            </w:tcBorders>
            <w:hideMark/>
          </w:tcPr>
          <w:p w14:paraId="427E318C" w14:textId="77777777" w:rsidR="00190F18" w:rsidRPr="00DC2F2C" w:rsidRDefault="00190F18" w:rsidP="0092147C">
            <w:pPr>
              <w:tabs>
                <w:tab w:val="clear" w:pos="567"/>
              </w:tabs>
              <w:spacing w:after="120"/>
              <w:ind w:left="129" w:right="188"/>
              <w:jc w:val="center"/>
              <w:rPr>
                <w:sz w:val="20"/>
                <w:lang w:val="fr-FR" w:eastAsia="ja-JP"/>
              </w:rPr>
            </w:pPr>
          </w:p>
        </w:tc>
        <w:tc>
          <w:tcPr>
            <w:tcW w:w="1560" w:type="dxa"/>
            <w:tcBorders>
              <w:top w:val="single" w:sz="4" w:space="0" w:color="000000"/>
              <w:left w:val="single" w:sz="4" w:space="0" w:color="000000"/>
              <w:bottom w:val="single" w:sz="4" w:space="0" w:color="000000"/>
              <w:right w:val="single" w:sz="4" w:space="0" w:color="000000"/>
            </w:tcBorders>
            <w:hideMark/>
          </w:tcPr>
          <w:p w14:paraId="7E3FA6A4" w14:textId="77777777" w:rsidR="00190F18" w:rsidRPr="00DC2F2C" w:rsidRDefault="00190F18" w:rsidP="0092147C">
            <w:pPr>
              <w:tabs>
                <w:tab w:val="clear" w:pos="567"/>
              </w:tabs>
              <w:spacing w:after="120"/>
              <w:jc w:val="center"/>
              <w:rPr>
                <w:rFonts w:eastAsia="Calibri"/>
                <w:color w:val="000000"/>
                <w:sz w:val="20"/>
                <w:lang w:val="fr-FR"/>
              </w:rPr>
            </w:pPr>
          </w:p>
        </w:tc>
        <w:tc>
          <w:tcPr>
            <w:tcW w:w="1842" w:type="dxa"/>
            <w:tcBorders>
              <w:top w:val="single" w:sz="4" w:space="0" w:color="000000"/>
              <w:left w:val="single" w:sz="4" w:space="0" w:color="000000"/>
              <w:bottom w:val="single" w:sz="4" w:space="0" w:color="000000"/>
              <w:right w:val="single" w:sz="4" w:space="0" w:color="000000"/>
            </w:tcBorders>
          </w:tcPr>
          <w:p w14:paraId="6AE8D929" w14:textId="77777777" w:rsidR="00190F18" w:rsidRPr="00DC2F2C" w:rsidRDefault="00190F18" w:rsidP="0092147C">
            <w:pPr>
              <w:tabs>
                <w:tab w:val="clear" w:pos="567"/>
              </w:tabs>
              <w:spacing w:after="120"/>
              <w:jc w:val="center"/>
              <w:rPr>
                <w:sz w:val="20"/>
                <w:lang w:val="fr-FR" w:eastAsia="ja-JP"/>
              </w:rPr>
            </w:pPr>
            <w:r w:rsidRPr="00DC2F2C">
              <w:rPr>
                <w:sz w:val="20"/>
                <w:lang w:val="fr-FR" w:eastAsia="ja-JP"/>
              </w:rPr>
              <w:t>Infection fongique</w:t>
            </w:r>
          </w:p>
          <w:p w14:paraId="01DFF634" w14:textId="77777777" w:rsidR="00190F18" w:rsidRPr="00DC2F2C" w:rsidRDefault="00190F18" w:rsidP="0092147C">
            <w:pPr>
              <w:tabs>
                <w:tab w:val="clear" w:pos="567"/>
              </w:tabs>
              <w:spacing w:after="120"/>
              <w:jc w:val="center"/>
              <w:rPr>
                <w:rFonts w:eastAsia="Calibri"/>
                <w:color w:val="000000"/>
                <w:sz w:val="20"/>
                <w:lang w:val="fr-FR"/>
              </w:rPr>
            </w:pPr>
            <w:r w:rsidRPr="00DC2F2C">
              <w:rPr>
                <w:sz w:val="20"/>
                <w:lang w:val="fr-FR" w:eastAsia="ja-JP"/>
              </w:rPr>
              <w:t>Éruption pustuleuse</w:t>
            </w:r>
          </w:p>
        </w:tc>
        <w:tc>
          <w:tcPr>
            <w:tcW w:w="1418" w:type="dxa"/>
            <w:tcBorders>
              <w:top w:val="single" w:sz="4" w:space="0" w:color="000000"/>
              <w:left w:val="single" w:sz="4" w:space="0" w:color="000000"/>
              <w:bottom w:val="single" w:sz="4" w:space="0" w:color="000000"/>
              <w:right w:val="single" w:sz="4" w:space="0" w:color="000000"/>
            </w:tcBorders>
          </w:tcPr>
          <w:p w14:paraId="07F4E98F" w14:textId="77777777" w:rsidR="00190F18" w:rsidRPr="00DC2F2C" w:rsidRDefault="00190F18" w:rsidP="0092147C">
            <w:pPr>
              <w:tabs>
                <w:tab w:val="clear" w:pos="567"/>
              </w:tabs>
              <w:spacing w:after="120"/>
              <w:jc w:val="center"/>
              <w:rPr>
                <w:rFonts w:eastAsia="Calibri"/>
                <w:color w:val="000000"/>
                <w:sz w:val="20"/>
                <w:lang w:val="fr-FR"/>
              </w:rPr>
            </w:pPr>
          </w:p>
        </w:tc>
        <w:tc>
          <w:tcPr>
            <w:tcW w:w="1559" w:type="dxa"/>
            <w:tcBorders>
              <w:top w:val="single" w:sz="4" w:space="0" w:color="000000"/>
              <w:left w:val="single" w:sz="4" w:space="0" w:color="000000"/>
              <w:bottom w:val="single" w:sz="4" w:space="0" w:color="000000"/>
              <w:right w:val="single" w:sz="4" w:space="0" w:color="000000"/>
            </w:tcBorders>
          </w:tcPr>
          <w:p w14:paraId="5C79EBA0" w14:textId="77777777" w:rsidR="00190F18" w:rsidRPr="00DC2F2C" w:rsidRDefault="00190F18" w:rsidP="0092147C">
            <w:pPr>
              <w:tabs>
                <w:tab w:val="clear" w:pos="567"/>
              </w:tabs>
              <w:spacing w:after="120"/>
              <w:jc w:val="center"/>
              <w:rPr>
                <w:rFonts w:eastAsia="Calibri"/>
                <w:color w:val="000000"/>
                <w:sz w:val="20"/>
                <w:lang w:val="fr-FR"/>
              </w:rPr>
            </w:pPr>
          </w:p>
        </w:tc>
      </w:tr>
      <w:tr w:rsidR="00190F18" w:rsidRPr="002605B1" w14:paraId="7A0EB15C" w14:textId="4C513044" w:rsidTr="00FF2165">
        <w:trPr>
          <w:cantSplit/>
        </w:trPr>
        <w:tc>
          <w:tcPr>
            <w:tcW w:w="1737" w:type="dxa"/>
            <w:tcBorders>
              <w:top w:val="single" w:sz="4" w:space="0" w:color="000000"/>
              <w:left w:val="single" w:sz="4" w:space="0" w:color="000000"/>
              <w:right w:val="single" w:sz="4" w:space="0" w:color="000000"/>
            </w:tcBorders>
            <w:hideMark/>
          </w:tcPr>
          <w:p w14:paraId="6C51DC6D" w14:textId="77777777" w:rsidR="00190F18" w:rsidRPr="00DC2F2C" w:rsidRDefault="00190F18" w:rsidP="0092147C">
            <w:pPr>
              <w:tabs>
                <w:tab w:val="clear" w:pos="567"/>
              </w:tabs>
              <w:spacing w:after="120"/>
              <w:ind w:left="142"/>
              <w:jc w:val="center"/>
              <w:rPr>
                <w:sz w:val="20"/>
                <w:lang w:val="fr-FR" w:eastAsia="ja-JP"/>
              </w:rPr>
            </w:pPr>
            <w:r w:rsidRPr="00DC2F2C">
              <w:rPr>
                <w:sz w:val="20"/>
                <w:lang w:val="fr-FR" w:eastAsia="ja-JP"/>
              </w:rPr>
              <w:t>Affections hématologiques et du système lymphatique</w:t>
            </w:r>
          </w:p>
        </w:tc>
        <w:tc>
          <w:tcPr>
            <w:tcW w:w="1660" w:type="dxa"/>
            <w:tcBorders>
              <w:top w:val="single" w:sz="4" w:space="0" w:color="000000"/>
              <w:left w:val="single" w:sz="4" w:space="0" w:color="000000"/>
              <w:bottom w:val="single" w:sz="4" w:space="0" w:color="000000"/>
              <w:right w:val="single" w:sz="4" w:space="0" w:color="000000"/>
            </w:tcBorders>
            <w:hideMark/>
          </w:tcPr>
          <w:p w14:paraId="1B823969" w14:textId="77777777" w:rsidR="00190F18" w:rsidRPr="00DC2F2C" w:rsidRDefault="00190F18" w:rsidP="0092147C">
            <w:pPr>
              <w:tabs>
                <w:tab w:val="clear" w:pos="567"/>
              </w:tabs>
              <w:spacing w:after="120"/>
              <w:ind w:left="129" w:right="188"/>
              <w:jc w:val="center"/>
              <w:rPr>
                <w:sz w:val="20"/>
                <w:lang w:val="fr-FR"/>
              </w:rPr>
            </w:pPr>
          </w:p>
        </w:tc>
        <w:tc>
          <w:tcPr>
            <w:tcW w:w="1560" w:type="dxa"/>
            <w:tcBorders>
              <w:top w:val="single" w:sz="4" w:space="0" w:color="000000"/>
              <w:left w:val="single" w:sz="4" w:space="0" w:color="000000"/>
              <w:bottom w:val="single" w:sz="4" w:space="0" w:color="000000"/>
              <w:right w:val="single" w:sz="4" w:space="0" w:color="000000"/>
            </w:tcBorders>
            <w:hideMark/>
          </w:tcPr>
          <w:p w14:paraId="6DE135B4" w14:textId="77777777" w:rsidR="00190F18" w:rsidRPr="00DC2F2C" w:rsidRDefault="00190F18" w:rsidP="00F004DF">
            <w:pPr>
              <w:tabs>
                <w:tab w:val="clear" w:pos="567"/>
              </w:tabs>
              <w:spacing w:after="120"/>
              <w:jc w:val="center"/>
              <w:rPr>
                <w:rFonts w:eastAsia="Calibri"/>
                <w:color w:val="000000"/>
                <w:sz w:val="20"/>
                <w:lang w:val="fr-FR"/>
              </w:rPr>
            </w:pPr>
            <w:r w:rsidRPr="00DC2F2C">
              <w:rPr>
                <w:sz w:val="20"/>
                <w:lang w:val="fr-FR"/>
              </w:rPr>
              <w:t>Anémie</w:t>
            </w:r>
          </w:p>
        </w:tc>
        <w:tc>
          <w:tcPr>
            <w:tcW w:w="1842" w:type="dxa"/>
            <w:tcBorders>
              <w:top w:val="single" w:sz="4" w:space="0" w:color="000000"/>
              <w:left w:val="single" w:sz="4" w:space="0" w:color="000000"/>
              <w:bottom w:val="single" w:sz="4" w:space="0" w:color="000000"/>
              <w:right w:val="single" w:sz="4" w:space="0" w:color="000000"/>
            </w:tcBorders>
          </w:tcPr>
          <w:p w14:paraId="73D61BF2" w14:textId="77777777" w:rsidR="00190F18" w:rsidRPr="00DC2F2C" w:rsidRDefault="00190F18" w:rsidP="0092147C">
            <w:pPr>
              <w:tabs>
                <w:tab w:val="clear" w:pos="567"/>
              </w:tabs>
              <w:spacing w:after="120"/>
              <w:jc w:val="center"/>
              <w:rPr>
                <w:sz w:val="20"/>
                <w:lang w:val="fr-FR"/>
              </w:rPr>
            </w:pPr>
            <w:r w:rsidRPr="00DC2F2C">
              <w:rPr>
                <w:sz w:val="20"/>
                <w:lang w:val="fr-FR"/>
              </w:rPr>
              <w:t>Thrombopénie</w:t>
            </w:r>
          </w:p>
          <w:p w14:paraId="77FAFFEF" w14:textId="77777777" w:rsidR="00190F18" w:rsidRPr="00DC2F2C" w:rsidRDefault="00190F18" w:rsidP="0092147C">
            <w:pPr>
              <w:tabs>
                <w:tab w:val="clear" w:pos="567"/>
              </w:tabs>
              <w:spacing w:after="120"/>
              <w:jc w:val="center"/>
              <w:rPr>
                <w:sz w:val="20"/>
                <w:lang w:val="fr-FR"/>
              </w:rPr>
            </w:pPr>
            <w:r w:rsidRPr="00DC2F2C">
              <w:rPr>
                <w:sz w:val="20"/>
                <w:lang w:val="fr-FR"/>
              </w:rPr>
              <w:t>Augmentation du taux d’hémoglobine</w:t>
            </w:r>
          </w:p>
        </w:tc>
        <w:tc>
          <w:tcPr>
            <w:tcW w:w="1418" w:type="dxa"/>
            <w:tcBorders>
              <w:top w:val="single" w:sz="4" w:space="0" w:color="000000"/>
              <w:left w:val="single" w:sz="4" w:space="0" w:color="000000"/>
              <w:bottom w:val="single" w:sz="4" w:space="0" w:color="000000"/>
              <w:right w:val="single" w:sz="4" w:space="0" w:color="000000"/>
            </w:tcBorders>
          </w:tcPr>
          <w:p w14:paraId="733958C0" w14:textId="77777777" w:rsidR="00190F18" w:rsidRPr="00DC2F2C" w:rsidRDefault="00190F18" w:rsidP="0092147C">
            <w:pPr>
              <w:tabs>
                <w:tab w:val="clear" w:pos="567"/>
              </w:tabs>
              <w:spacing w:after="120"/>
              <w:jc w:val="center"/>
              <w:rPr>
                <w:rFonts w:eastAsia="Calibri"/>
                <w:color w:val="000000"/>
                <w:sz w:val="20"/>
                <w:lang w:val="fr-FR"/>
              </w:rPr>
            </w:pPr>
          </w:p>
        </w:tc>
        <w:tc>
          <w:tcPr>
            <w:tcW w:w="1559" w:type="dxa"/>
            <w:tcBorders>
              <w:top w:val="single" w:sz="4" w:space="0" w:color="000000"/>
              <w:left w:val="single" w:sz="4" w:space="0" w:color="000000"/>
              <w:bottom w:val="single" w:sz="4" w:space="0" w:color="000000"/>
              <w:right w:val="single" w:sz="4" w:space="0" w:color="000000"/>
            </w:tcBorders>
          </w:tcPr>
          <w:p w14:paraId="61B5840E" w14:textId="77777777" w:rsidR="00190F18" w:rsidRPr="00DC2F2C" w:rsidRDefault="00190F18" w:rsidP="0092147C">
            <w:pPr>
              <w:tabs>
                <w:tab w:val="clear" w:pos="567"/>
              </w:tabs>
              <w:spacing w:after="120"/>
              <w:jc w:val="center"/>
              <w:rPr>
                <w:rFonts w:eastAsia="Calibri"/>
                <w:color w:val="000000"/>
                <w:sz w:val="20"/>
                <w:lang w:val="fr-FR"/>
              </w:rPr>
            </w:pPr>
          </w:p>
        </w:tc>
      </w:tr>
      <w:tr w:rsidR="00190F18" w:rsidRPr="00DC2F2C" w14:paraId="7AAD629C" w14:textId="0B9807BF" w:rsidTr="00FF2165">
        <w:trPr>
          <w:cantSplit/>
          <w:trHeight w:val="361"/>
        </w:trPr>
        <w:tc>
          <w:tcPr>
            <w:tcW w:w="1737" w:type="dxa"/>
            <w:tcBorders>
              <w:top w:val="single" w:sz="4" w:space="0" w:color="000000"/>
              <w:left w:val="single" w:sz="4" w:space="0" w:color="000000"/>
              <w:right w:val="single" w:sz="4" w:space="0" w:color="000000"/>
            </w:tcBorders>
            <w:hideMark/>
          </w:tcPr>
          <w:p w14:paraId="20B7211E" w14:textId="77777777" w:rsidR="00190F18" w:rsidRPr="00DC2F2C" w:rsidRDefault="00190F18" w:rsidP="0092147C">
            <w:pPr>
              <w:tabs>
                <w:tab w:val="clear" w:pos="567"/>
              </w:tabs>
              <w:spacing w:after="120"/>
              <w:ind w:left="142"/>
              <w:jc w:val="center"/>
              <w:rPr>
                <w:sz w:val="20"/>
                <w:lang w:val="fr-FR" w:eastAsia="ja-JP"/>
              </w:rPr>
            </w:pPr>
            <w:r w:rsidRPr="00DC2F2C">
              <w:rPr>
                <w:sz w:val="20"/>
                <w:lang w:val="fr-FR" w:eastAsia="ja-JP"/>
              </w:rPr>
              <w:t>Affections endocriniennes</w:t>
            </w:r>
          </w:p>
        </w:tc>
        <w:tc>
          <w:tcPr>
            <w:tcW w:w="1660" w:type="dxa"/>
            <w:tcBorders>
              <w:top w:val="single" w:sz="4" w:space="0" w:color="000000"/>
              <w:left w:val="single" w:sz="4" w:space="0" w:color="000000"/>
              <w:bottom w:val="single" w:sz="4" w:space="0" w:color="000000"/>
              <w:right w:val="single" w:sz="4" w:space="0" w:color="000000"/>
            </w:tcBorders>
            <w:hideMark/>
          </w:tcPr>
          <w:p w14:paraId="2C7E37C5" w14:textId="77777777" w:rsidR="00190F18" w:rsidRPr="00DC2F2C" w:rsidRDefault="00190F18" w:rsidP="0092147C">
            <w:pPr>
              <w:tabs>
                <w:tab w:val="clear" w:pos="567"/>
              </w:tabs>
              <w:spacing w:after="120"/>
              <w:ind w:left="129" w:right="188"/>
              <w:jc w:val="center"/>
              <w:rPr>
                <w:sz w:val="20"/>
                <w:lang w:val="fr-FR" w:eastAsia="ja-JP"/>
              </w:rPr>
            </w:pPr>
          </w:p>
        </w:tc>
        <w:tc>
          <w:tcPr>
            <w:tcW w:w="1560" w:type="dxa"/>
            <w:tcBorders>
              <w:top w:val="single" w:sz="4" w:space="0" w:color="000000"/>
              <w:left w:val="single" w:sz="4" w:space="0" w:color="000000"/>
              <w:bottom w:val="single" w:sz="4" w:space="0" w:color="000000"/>
              <w:right w:val="single" w:sz="4" w:space="0" w:color="000000"/>
            </w:tcBorders>
            <w:hideMark/>
          </w:tcPr>
          <w:p w14:paraId="012E3911" w14:textId="77777777" w:rsidR="00190F18" w:rsidRPr="00DC2F2C" w:rsidRDefault="00190F18" w:rsidP="00F004DF">
            <w:pPr>
              <w:tabs>
                <w:tab w:val="clear" w:pos="567"/>
              </w:tabs>
              <w:spacing w:after="120"/>
              <w:jc w:val="center"/>
              <w:rPr>
                <w:rFonts w:eastAsia="Calibri"/>
                <w:color w:val="000000"/>
                <w:sz w:val="20"/>
                <w:lang w:val="fr-FR"/>
              </w:rPr>
            </w:pPr>
            <w:r w:rsidRPr="00DC2F2C">
              <w:rPr>
                <w:sz w:val="20"/>
                <w:lang w:val="fr-FR" w:eastAsia="ja-JP"/>
              </w:rPr>
              <w:t>Hypothyroïdie</w:t>
            </w:r>
          </w:p>
        </w:tc>
        <w:tc>
          <w:tcPr>
            <w:tcW w:w="1842" w:type="dxa"/>
            <w:tcBorders>
              <w:top w:val="single" w:sz="4" w:space="0" w:color="000000"/>
              <w:left w:val="single" w:sz="4" w:space="0" w:color="000000"/>
              <w:bottom w:val="single" w:sz="4" w:space="0" w:color="000000"/>
              <w:right w:val="single" w:sz="4" w:space="0" w:color="000000"/>
            </w:tcBorders>
          </w:tcPr>
          <w:p w14:paraId="654FF300" w14:textId="77777777" w:rsidR="00190F18" w:rsidRPr="00DC2F2C" w:rsidRDefault="00190F18" w:rsidP="0092147C">
            <w:pPr>
              <w:tabs>
                <w:tab w:val="clear" w:pos="567"/>
              </w:tabs>
              <w:spacing w:after="120"/>
              <w:jc w:val="center"/>
              <w:rPr>
                <w:sz w:val="20"/>
                <w:lang w:val="fr-FR" w:eastAsia="ja-JP"/>
              </w:rPr>
            </w:pPr>
            <w:r w:rsidRPr="00DC2F2C">
              <w:rPr>
                <w:sz w:val="20"/>
                <w:lang w:val="fr-FR" w:eastAsia="ja-JP"/>
              </w:rPr>
              <w:t>Hyperthyroïdie</w:t>
            </w:r>
          </w:p>
          <w:p w14:paraId="472A3F30" w14:textId="77777777" w:rsidR="00190F18" w:rsidRPr="00DC2F2C" w:rsidRDefault="00190F18" w:rsidP="0092147C">
            <w:pPr>
              <w:tabs>
                <w:tab w:val="clear" w:pos="567"/>
              </w:tabs>
              <w:spacing w:after="120"/>
              <w:jc w:val="center"/>
              <w:rPr>
                <w:rFonts w:eastAsia="Calibri"/>
                <w:color w:val="000000"/>
                <w:sz w:val="20"/>
                <w:lang w:val="fr-FR"/>
              </w:rPr>
            </w:pPr>
            <w:r w:rsidRPr="00DC2F2C">
              <w:rPr>
                <w:sz w:val="20"/>
                <w:lang w:val="fr-FR" w:eastAsia="ja-JP"/>
              </w:rPr>
              <w:t>Goitre</w:t>
            </w:r>
            <w:r w:rsidRPr="00DC2F2C">
              <w:rPr>
                <w:sz w:val="20"/>
                <w:vertAlign w:val="superscript"/>
                <w:lang w:val="fr-FR" w:eastAsia="ja-JP"/>
              </w:rPr>
              <w:t>1</w:t>
            </w:r>
          </w:p>
        </w:tc>
        <w:tc>
          <w:tcPr>
            <w:tcW w:w="1418" w:type="dxa"/>
            <w:tcBorders>
              <w:top w:val="single" w:sz="4" w:space="0" w:color="000000"/>
              <w:left w:val="single" w:sz="4" w:space="0" w:color="000000"/>
              <w:bottom w:val="single" w:sz="4" w:space="0" w:color="000000"/>
              <w:right w:val="single" w:sz="4" w:space="0" w:color="000000"/>
            </w:tcBorders>
          </w:tcPr>
          <w:p w14:paraId="3AC6E0DD" w14:textId="77777777" w:rsidR="00190F18" w:rsidRPr="00DC2F2C" w:rsidRDefault="00190F18" w:rsidP="0092147C">
            <w:pPr>
              <w:tabs>
                <w:tab w:val="clear" w:pos="567"/>
              </w:tabs>
              <w:spacing w:after="120"/>
              <w:jc w:val="center"/>
              <w:rPr>
                <w:rFonts w:eastAsia="Calibri"/>
                <w:color w:val="000000"/>
                <w:sz w:val="20"/>
                <w:lang w:val="fr-FR"/>
              </w:rPr>
            </w:pPr>
          </w:p>
        </w:tc>
        <w:tc>
          <w:tcPr>
            <w:tcW w:w="1559" w:type="dxa"/>
            <w:tcBorders>
              <w:top w:val="single" w:sz="4" w:space="0" w:color="000000"/>
              <w:left w:val="single" w:sz="4" w:space="0" w:color="000000"/>
              <w:bottom w:val="single" w:sz="4" w:space="0" w:color="000000"/>
              <w:right w:val="single" w:sz="4" w:space="0" w:color="000000"/>
            </w:tcBorders>
          </w:tcPr>
          <w:p w14:paraId="626DEB1F" w14:textId="77777777" w:rsidR="00190F18" w:rsidRPr="00DC2F2C" w:rsidRDefault="00190F18" w:rsidP="0092147C">
            <w:pPr>
              <w:tabs>
                <w:tab w:val="clear" w:pos="567"/>
              </w:tabs>
              <w:spacing w:after="120"/>
              <w:jc w:val="center"/>
              <w:rPr>
                <w:rFonts w:eastAsia="Calibri"/>
                <w:color w:val="000000"/>
                <w:sz w:val="20"/>
                <w:lang w:val="fr-FR"/>
              </w:rPr>
            </w:pPr>
          </w:p>
        </w:tc>
      </w:tr>
      <w:tr w:rsidR="00190F18" w:rsidRPr="00DC2F2C" w14:paraId="239567BC" w14:textId="2DE20211" w:rsidTr="00FF2165">
        <w:trPr>
          <w:cantSplit/>
        </w:trPr>
        <w:tc>
          <w:tcPr>
            <w:tcW w:w="1737" w:type="dxa"/>
            <w:tcBorders>
              <w:top w:val="single" w:sz="4" w:space="0" w:color="000000"/>
              <w:left w:val="single" w:sz="4" w:space="0" w:color="000000"/>
              <w:right w:val="single" w:sz="4" w:space="0" w:color="000000"/>
            </w:tcBorders>
            <w:hideMark/>
          </w:tcPr>
          <w:p w14:paraId="68AD0330" w14:textId="77777777" w:rsidR="00190F18" w:rsidRPr="00DC2F2C" w:rsidRDefault="00190F18" w:rsidP="0092147C">
            <w:pPr>
              <w:tabs>
                <w:tab w:val="clear" w:pos="567"/>
              </w:tabs>
              <w:spacing w:after="120"/>
              <w:ind w:left="142"/>
              <w:jc w:val="center"/>
              <w:rPr>
                <w:sz w:val="20"/>
                <w:lang w:val="fr-FR" w:eastAsia="ja-JP"/>
              </w:rPr>
            </w:pPr>
            <w:r w:rsidRPr="00DC2F2C">
              <w:rPr>
                <w:sz w:val="20"/>
                <w:lang w:val="fr-FR" w:eastAsia="ja-JP"/>
              </w:rPr>
              <w:t>Troubles du métabolisme et de la nutrition</w:t>
            </w:r>
          </w:p>
        </w:tc>
        <w:tc>
          <w:tcPr>
            <w:tcW w:w="1660" w:type="dxa"/>
            <w:tcBorders>
              <w:top w:val="single" w:sz="4" w:space="0" w:color="000000"/>
              <w:left w:val="single" w:sz="4" w:space="0" w:color="000000"/>
              <w:bottom w:val="single" w:sz="4" w:space="0" w:color="000000"/>
              <w:right w:val="single" w:sz="4" w:space="0" w:color="000000"/>
            </w:tcBorders>
            <w:hideMark/>
          </w:tcPr>
          <w:p w14:paraId="506046D7" w14:textId="77777777" w:rsidR="00190F18" w:rsidRPr="00DC2F2C" w:rsidRDefault="00190F18" w:rsidP="0092147C">
            <w:pPr>
              <w:tabs>
                <w:tab w:val="clear" w:pos="567"/>
              </w:tabs>
              <w:spacing w:after="120"/>
              <w:ind w:left="129" w:right="188"/>
              <w:jc w:val="center"/>
              <w:rPr>
                <w:sz w:val="20"/>
                <w:lang w:val="fr-FR"/>
              </w:rPr>
            </w:pPr>
            <w:r w:rsidRPr="00DC2F2C">
              <w:rPr>
                <w:sz w:val="20"/>
                <w:lang w:val="fr-FR"/>
              </w:rPr>
              <w:t>Perte d’appétit</w:t>
            </w:r>
          </w:p>
        </w:tc>
        <w:tc>
          <w:tcPr>
            <w:tcW w:w="1560" w:type="dxa"/>
            <w:tcBorders>
              <w:top w:val="single" w:sz="4" w:space="0" w:color="000000"/>
              <w:left w:val="single" w:sz="4" w:space="0" w:color="000000"/>
              <w:bottom w:val="single" w:sz="4" w:space="0" w:color="000000"/>
              <w:right w:val="single" w:sz="4" w:space="0" w:color="000000"/>
            </w:tcBorders>
            <w:hideMark/>
          </w:tcPr>
          <w:p w14:paraId="188A905B" w14:textId="77777777" w:rsidR="00190F18" w:rsidRPr="00DC2F2C" w:rsidRDefault="00190F18" w:rsidP="0092147C">
            <w:pPr>
              <w:tabs>
                <w:tab w:val="clear" w:pos="567"/>
              </w:tabs>
              <w:spacing w:after="120"/>
              <w:jc w:val="center"/>
              <w:rPr>
                <w:rFonts w:eastAsia="Calibri"/>
                <w:color w:val="000000"/>
                <w:sz w:val="20"/>
                <w:lang w:val="fr-FR"/>
              </w:rPr>
            </w:pPr>
            <w:r w:rsidRPr="00DC2F2C">
              <w:rPr>
                <w:sz w:val="20"/>
                <w:lang w:val="fr-FR"/>
              </w:rPr>
              <w:t>Anorexie</w:t>
            </w:r>
          </w:p>
        </w:tc>
        <w:tc>
          <w:tcPr>
            <w:tcW w:w="1842" w:type="dxa"/>
            <w:tcBorders>
              <w:top w:val="single" w:sz="4" w:space="0" w:color="000000"/>
              <w:left w:val="single" w:sz="4" w:space="0" w:color="000000"/>
              <w:bottom w:val="single" w:sz="4" w:space="0" w:color="000000"/>
              <w:right w:val="single" w:sz="4" w:space="0" w:color="000000"/>
            </w:tcBorders>
          </w:tcPr>
          <w:p w14:paraId="16D0BC44" w14:textId="77777777" w:rsidR="00190F18" w:rsidRPr="00DC2F2C" w:rsidRDefault="00190F18" w:rsidP="0092147C">
            <w:pPr>
              <w:tabs>
                <w:tab w:val="clear" w:pos="567"/>
              </w:tabs>
              <w:spacing w:after="120"/>
              <w:jc w:val="center"/>
              <w:rPr>
                <w:rFonts w:eastAsia="Calibri"/>
                <w:color w:val="000000"/>
                <w:sz w:val="20"/>
                <w:lang w:val="fr-FR"/>
              </w:rPr>
            </w:pPr>
          </w:p>
        </w:tc>
        <w:tc>
          <w:tcPr>
            <w:tcW w:w="1418" w:type="dxa"/>
            <w:tcBorders>
              <w:top w:val="single" w:sz="4" w:space="0" w:color="000000"/>
              <w:left w:val="single" w:sz="4" w:space="0" w:color="000000"/>
              <w:bottom w:val="single" w:sz="4" w:space="0" w:color="000000"/>
              <w:right w:val="single" w:sz="4" w:space="0" w:color="000000"/>
            </w:tcBorders>
          </w:tcPr>
          <w:p w14:paraId="60D341EF" w14:textId="77777777" w:rsidR="00190F18" w:rsidRPr="00DC2F2C" w:rsidRDefault="00190F18" w:rsidP="0092147C">
            <w:pPr>
              <w:tabs>
                <w:tab w:val="clear" w:pos="567"/>
              </w:tabs>
              <w:spacing w:after="120"/>
              <w:jc w:val="center"/>
              <w:rPr>
                <w:rFonts w:eastAsia="Calibri"/>
                <w:color w:val="000000"/>
                <w:sz w:val="20"/>
                <w:lang w:val="fr-FR"/>
              </w:rPr>
            </w:pPr>
          </w:p>
        </w:tc>
        <w:tc>
          <w:tcPr>
            <w:tcW w:w="1559" w:type="dxa"/>
            <w:tcBorders>
              <w:top w:val="single" w:sz="4" w:space="0" w:color="000000"/>
              <w:left w:val="single" w:sz="4" w:space="0" w:color="000000"/>
              <w:bottom w:val="single" w:sz="4" w:space="0" w:color="000000"/>
              <w:right w:val="single" w:sz="4" w:space="0" w:color="000000"/>
            </w:tcBorders>
          </w:tcPr>
          <w:p w14:paraId="52761F0A" w14:textId="77777777" w:rsidR="00190F18" w:rsidRPr="00DC2F2C" w:rsidRDefault="00190F18" w:rsidP="0092147C">
            <w:pPr>
              <w:tabs>
                <w:tab w:val="clear" w:pos="567"/>
              </w:tabs>
              <w:spacing w:after="120"/>
              <w:jc w:val="center"/>
              <w:rPr>
                <w:rFonts w:eastAsia="Calibri"/>
                <w:color w:val="000000"/>
                <w:sz w:val="20"/>
                <w:lang w:val="fr-FR"/>
              </w:rPr>
            </w:pPr>
          </w:p>
        </w:tc>
      </w:tr>
      <w:tr w:rsidR="00190F18" w:rsidRPr="00DC2F2C" w14:paraId="69A469F4" w14:textId="1891ACCF" w:rsidTr="00FF2165">
        <w:trPr>
          <w:cantSplit/>
        </w:trPr>
        <w:tc>
          <w:tcPr>
            <w:tcW w:w="1737" w:type="dxa"/>
            <w:tcBorders>
              <w:top w:val="single" w:sz="4" w:space="0" w:color="000000"/>
              <w:left w:val="single" w:sz="4" w:space="0" w:color="000000"/>
              <w:bottom w:val="single" w:sz="4" w:space="0" w:color="000000"/>
              <w:right w:val="single" w:sz="4" w:space="0" w:color="000000"/>
            </w:tcBorders>
            <w:hideMark/>
          </w:tcPr>
          <w:p w14:paraId="35B95F14" w14:textId="77777777" w:rsidR="00190F18" w:rsidRPr="00DC2F2C" w:rsidRDefault="00190F18" w:rsidP="0092147C">
            <w:pPr>
              <w:tabs>
                <w:tab w:val="clear" w:pos="567"/>
              </w:tabs>
              <w:spacing w:after="120"/>
              <w:ind w:left="142"/>
              <w:jc w:val="center"/>
              <w:rPr>
                <w:sz w:val="20"/>
                <w:lang w:val="fr-FR" w:eastAsia="ja-JP"/>
              </w:rPr>
            </w:pPr>
            <w:r w:rsidRPr="00DC2F2C">
              <w:rPr>
                <w:sz w:val="20"/>
                <w:lang w:val="fr-FR" w:eastAsia="ja-JP"/>
              </w:rPr>
              <w:t>Affections psychiatriques</w:t>
            </w:r>
          </w:p>
        </w:tc>
        <w:tc>
          <w:tcPr>
            <w:tcW w:w="1660" w:type="dxa"/>
            <w:tcBorders>
              <w:top w:val="single" w:sz="4" w:space="0" w:color="000000"/>
              <w:left w:val="single" w:sz="4" w:space="0" w:color="000000"/>
              <w:bottom w:val="single" w:sz="4" w:space="0" w:color="000000"/>
              <w:right w:val="single" w:sz="4" w:space="0" w:color="000000"/>
            </w:tcBorders>
            <w:hideMark/>
          </w:tcPr>
          <w:p w14:paraId="23815C8E" w14:textId="77777777" w:rsidR="00190F18" w:rsidRPr="00DC2F2C" w:rsidRDefault="00190F18" w:rsidP="0092147C">
            <w:pPr>
              <w:tabs>
                <w:tab w:val="clear" w:pos="567"/>
              </w:tabs>
              <w:spacing w:after="120"/>
              <w:ind w:left="129" w:right="188"/>
              <w:jc w:val="center"/>
              <w:rPr>
                <w:sz w:val="20"/>
                <w:lang w:val="fr-FR"/>
              </w:rPr>
            </w:pPr>
          </w:p>
        </w:tc>
        <w:tc>
          <w:tcPr>
            <w:tcW w:w="1560" w:type="dxa"/>
            <w:tcBorders>
              <w:top w:val="single" w:sz="4" w:space="0" w:color="000000"/>
              <w:left w:val="single" w:sz="4" w:space="0" w:color="000000"/>
              <w:bottom w:val="single" w:sz="4" w:space="0" w:color="000000"/>
              <w:right w:val="single" w:sz="4" w:space="0" w:color="000000"/>
            </w:tcBorders>
            <w:hideMark/>
          </w:tcPr>
          <w:p w14:paraId="34C888B5" w14:textId="77777777" w:rsidR="00190F18" w:rsidRPr="00DC2F2C" w:rsidRDefault="00190F18" w:rsidP="0092147C">
            <w:pPr>
              <w:tabs>
                <w:tab w:val="clear" w:pos="567"/>
              </w:tabs>
              <w:spacing w:after="120"/>
              <w:ind w:right="183"/>
              <w:jc w:val="center"/>
              <w:rPr>
                <w:sz w:val="20"/>
                <w:lang w:val="fr-FR"/>
              </w:rPr>
            </w:pPr>
            <w:r w:rsidRPr="00DC2F2C">
              <w:rPr>
                <w:sz w:val="20"/>
                <w:lang w:val="fr-FR"/>
              </w:rPr>
              <w:t>Insomnie</w:t>
            </w:r>
          </w:p>
        </w:tc>
        <w:tc>
          <w:tcPr>
            <w:tcW w:w="1842" w:type="dxa"/>
            <w:tcBorders>
              <w:top w:val="single" w:sz="4" w:space="0" w:color="000000"/>
              <w:left w:val="single" w:sz="4" w:space="0" w:color="000000"/>
              <w:bottom w:val="single" w:sz="4" w:space="0" w:color="000000"/>
              <w:right w:val="single" w:sz="4" w:space="0" w:color="000000"/>
            </w:tcBorders>
          </w:tcPr>
          <w:p w14:paraId="0C31486C" w14:textId="77777777" w:rsidR="00190F18" w:rsidRPr="00DC2F2C" w:rsidRDefault="00190F18" w:rsidP="0092147C">
            <w:pPr>
              <w:tabs>
                <w:tab w:val="clear" w:pos="567"/>
              </w:tabs>
              <w:spacing w:after="120"/>
              <w:ind w:right="183"/>
              <w:jc w:val="center"/>
              <w:rPr>
                <w:sz w:val="20"/>
                <w:lang w:val="fr-FR"/>
              </w:rPr>
            </w:pPr>
          </w:p>
        </w:tc>
        <w:tc>
          <w:tcPr>
            <w:tcW w:w="1418" w:type="dxa"/>
            <w:tcBorders>
              <w:top w:val="single" w:sz="4" w:space="0" w:color="000000"/>
              <w:left w:val="single" w:sz="4" w:space="0" w:color="000000"/>
              <w:bottom w:val="single" w:sz="4" w:space="0" w:color="000000"/>
              <w:right w:val="single" w:sz="4" w:space="0" w:color="000000"/>
            </w:tcBorders>
          </w:tcPr>
          <w:p w14:paraId="59B40158" w14:textId="77777777" w:rsidR="00190F18" w:rsidRPr="00DC2F2C" w:rsidRDefault="00190F18" w:rsidP="0092147C">
            <w:pPr>
              <w:tabs>
                <w:tab w:val="clear" w:pos="567"/>
              </w:tabs>
              <w:spacing w:after="120"/>
              <w:ind w:right="183"/>
              <w:jc w:val="center"/>
              <w:rPr>
                <w:sz w:val="20"/>
                <w:lang w:val="fr-FR"/>
              </w:rPr>
            </w:pPr>
          </w:p>
        </w:tc>
        <w:tc>
          <w:tcPr>
            <w:tcW w:w="1559" w:type="dxa"/>
            <w:tcBorders>
              <w:top w:val="single" w:sz="4" w:space="0" w:color="000000"/>
              <w:left w:val="single" w:sz="4" w:space="0" w:color="000000"/>
              <w:bottom w:val="single" w:sz="4" w:space="0" w:color="000000"/>
              <w:right w:val="single" w:sz="4" w:space="0" w:color="000000"/>
            </w:tcBorders>
          </w:tcPr>
          <w:p w14:paraId="279F4370" w14:textId="77777777" w:rsidR="00190F18" w:rsidRPr="00DC2F2C" w:rsidRDefault="00190F18" w:rsidP="0092147C">
            <w:pPr>
              <w:tabs>
                <w:tab w:val="clear" w:pos="567"/>
              </w:tabs>
              <w:spacing w:after="120"/>
              <w:ind w:right="183"/>
              <w:jc w:val="center"/>
              <w:rPr>
                <w:sz w:val="20"/>
                <w:lang w:val="fr-FR"/>
              </w:rPr>
            </w:pPr>
          </w:p>
        </w:tc>
      </w:tr>
      <w:tr w:rsidR="00190F18" w:rsidRPr="002605B1" w14:paraId="70708187" w14:textId="23EAE90B" w:rsidTr="00FF2165">
        <w:trPr>
          <w:cantSplit/>
        </w:trPr>
        <w:tc>
          <w:tcPr>
            <w:tcW w:w="1737" w:type="dxa"/>
            <w:tcBorders>
              <w:top w:val="single" w:sz="4" w:space="0" w:color="000000"/>
              <w:left w:val="single" w:sz="4" w:space="0" w:color="000000"/>
              <w:right w:val="single" w:sz="4" w:space="0" w:color="000000"/>
            </w:tcBorders>
            <w:hideMark/>
          </w:tcPr>
          <w:p w14:paraId="63819F70" w14:textId="77777777" w:rsidR="00190F18" w:rsidRPr="00DC2F2C" w:rsidRDefault="00190F18" w:rsidP="0092147C">
            <w:pPr>
              <w:tabs>
                <w:tab w:val="clear" w:pos="567"/>
              </w:tabs>
              <w:spacing w:after="120"/>
              <w:ind w:left="142"/>
              <w:jc w:val="center"/>
              <w:rPr>
                <w:sz w:val="20"/>
                <w:lang w:val="fr-FR"/>
              </w:rPr>
            </w:pPr>
            <w:r w:rsidRPr="00DC2F2C">
              <w:rPr>
                <w:sz w:val="20"/>
                <w:lang w:val="fr-FR"/>
              </w:rPr>
              <w:t>Affections du système nerveux</w:t>
            </w:r>
          </w:p>
        </w:tc>
        <w:tc>
          <w:tcPr>
            <w:tcW w:w="1660" w:type="dxa"/>
            <w:tcBorders>
              <w:top w:val="single" w:sz="4" w:space="0" w:color="000000"/>
              <w:left w:val="single" w:sz="4" w:space="0" w:color="000000"/>
              <w:bottom w:val="single" w:sz="4" w:space="0" w:color="000000"/>
              <w:right w:val="single" w:sz="4" w:space="0" w:color="000000"/>
            </w:tcBorders>
            <w:hideMark/>
          </w:tcPr>
          <w:p w14:paraId="7ECE77CE" w14:textId="77777777" w:rsidR="00190F18" w:rsidRPr="00DC2F2C" w:rsidRDefault="00190F18" w:rsidP="0092147C">
            <w:pPr>
              <w:tabs>
                <w:tab w:val="clear" w:pos="567"/>
              </w:tabs>
              <w:spacing w:after="120"/>
              <w:ind w:left="129" w:right="188"/>
              <w:jc w:val="center"/>
              <w:rPr>
                <w:sz w:val="20"/>
                <w:lang w:val="fr-FR" w:eastAsia="ja-JP"/>
              </w:rPr>
            </w:pPr>
            <w:r w:rsidRPr="00DC2F2C">
              <w:rPr>
                <w:sz w:val="20"/>
                <w:lang w:val="fr-FR" w:eastAsia="ja-JP"/>
              </w:rPr>
              <w:t>Céphalées</w:t>
            </w:r>
          </w:p>
        </w:tc>
        <w:tc>
          <w:tcPr>
            <w:tcW w:w="1560" w:type="dxa"/>
            <w:tcBorders>
              <w:top w:val="single" w:sz="4" w:space="0" w:color="000000"/>
              <w:left w:val="single" w:sz="4" w:space="0" w:color="000000"/>
              <w:bottom w:val="single" w:sz="4" w:space="0" w:color="000000"/>
              <w:right w:val="single" w:sz="4" w:space="0" w:color="000000"/>
            </w:tcBorders>
          </w:tcPr>
          <w:p w14:paraId="51D71E29" w14:textId="77777777" w:rsidR="00190F18" w:rsidRPr="00DC2F2C" w:rsidRDefault="00190F18" w:rsidP="0092147C">
            <w:pPr>
              <w:tabs>
                <w:tab w:val="clear" w:pos="567"/>
              </w:tabs>
              <w:spacing w:after="120"/>
              <w:ind w:right="183"/>
              <w:jc w:val="center"/>
              <w:rPr>
                <w:sz w:val="20"/>
                <w:vertAlign w:val="superscript"/>
                <w:lang w:val="fr-FR" w:eastAsia="ja-JP"/>
              </w:rPr>
            </w:pPr>
            <w:r w:rsidRPr="00DC2F2C">
              <w:rPr>
                <w:sz w:val="20"/>
                <w:lang w:val="fr-FR" w:eastAsia="ja-JP"/>
              </w:rPr>
              <w:t>Neuropathie périphérique</w:t>
            </w:r>
            <w:r w:rsidRPr="00DC2F2C">
              <w:rPr>
                <w:sz w:val="20"/>
                <w:vertAlign w:val="superscript"/>
                <w:lang w:val="fr-FR" w:eastAsia="ja-JP"/>
              </w:rPr>
              <w:t>2</w:t>
            </w:r>
          </w:p>
          <w:p w14:paraId="44ACDC57" w14:textId="77777777" w:rsidR="00190F18" w:rsidRPr="00DC2F2C" w:rsidRDefault="00190F18" w:rsidP="0092147C">
            <w:pPr>
              <w:tabs>
                <w:tab w:val="clear" w:pos="567"/>
              </w:tabs>
              <w:spacing w:after="120"/>
              <w:ind w:right="183"/>
              <w:jc w:val="center"/>
              <w:rPr>
                <w:sz w:val="20"/>
                <w:lang w:val="fr-FR" w:eastAsia="ja-JP"/>
              </w:rPr>
            </w:pPr>
            <w:r w:rsidRPr="00DC2F2C">
              <w:rPr>
                <w:sz w:val="20"/>
                <w:lang w:val="fr-FR" w:eastAsia="ja-JP"/>
              </w:rPr>
              <w:t>Étourdissements</w:t>
            </w:r>
          </w:p>
          <w:p w14:paraId="368DE074" w14:textId="77777777" w:rsidR="00190F18" w:rsidRPr="00DC2F2C" w:rsidRDefault="00190F18" w:rsidP="00F004DF">
            <w:pPr>
              <w:tabs>
                <w:tab w:val="clear" w:pos="567"/>
              </w:tabs>
              <w:spacing w:after="120"/>
              <w:ind w:right="183"/>
              <w:jc w:val="center"/>
              <w:rPr>
                <w:sz w:val="20"/>
                <w:lang w:val="fr-FR" w:eastAsia="ja-JP"/>
              </w:rPr>
            </w:pPr>
            <w:r w:rsidRPr="00DC2F2C">
              <w:rPr>
                <w:sz w:val="20"/>
                <w:lang w:val="fr-FR" w:eastAsia="ja-JP"/>
              </w:rPr>
              <w:t>Dysgueusie</w:t>
            </w:r>
            <w:r w:rsidRPr="00DC2F2C">
              <w:rPr>
                <w:sz w:val="20"/>
                <w:vertAlign w:val="superscript"/>
                <w:lang w:val="fr-FR" w:eastAsia="ja-JP"/>
              </w:rPr>
              <w:t>3</w:t>
            </w:r>
          </w:p>
        </w:tc>
        <w:tc>
          <w:tcPr>
            <w:tcW w:w="1842" w:type="dxa"/>
            <w:tcBorders>
              <w:top w:val="single" w:sz="4" w:space="0" w:color="000000"/>
              <w:left w:val="single" w:sz="4" w:space="0" w:color="000000"/>
              <w:bottom w:val="single" w:sz="4" w:space="0" w:color="000000"/>
              <w:right w:val="single" w:sz="4" w:space="0" w:color="000000"/>
            </w:tcBorders>
          </w:tcPr>
          <w:p w14:paraId="7BE89CBA" w14:textId="77777777" w:rsidR="00190F18" w:rsidRPr="00DC2F2C" w:rsidRDefault="00190F18" w:rsidP="0092147C">
            <w:pPr>
              <w:tabs>
                <w:tab w:val="clear" w:pos="567"/>
              </w:tabs>
              <w:spacing w:after="120"/>
              <w:ind w:right="183"/>
              <w:jc w:val="center"/>
              <w:rPr>
                <w:sz w:val="20"/>
                <w:lang w:val="fr-FR" w:eastAsia="ja-JP"/>
              </w:rPr>
            </w:pPr>
            <w:r w:rsidRPr="00DC2F2C">
              <w:rPr>
                <w:sz w:val="20"/>
                <w:lang w:val="fr-FR" w:eastAsia="ja-JP"/>
              </w:rPr>
              <w:t>Accident ischémique transitoire</w:t>
            </w:r>
          </w:p>
          <w:p w14:paraId="25D17C90" w14:textId="77777777" w:rsidR="00190F18" w:rsidRPr="00DC2F2C" w:rsidRDefault="00190F18" w:rsidP="0092147C">
            <w:pPr>
              <w:tabs>
                <w:tab w:val="clear" w:pos="567"/>
              </w:tabs>
              <w:spacing w:after="120"/>
              <w:ind w:right="183"/>
              <w:jc w:val="center"/>
              <w:rPr>
                <w:sz w:val="20"/>
                <w:lang w:val="fr-FR" w:eastAsia="ja-JP"/>
              </w:rPr>
            </w:pPr>
            <w:r w:rsidRPr="00DC2F2C">
              <w:rPr>
                <w:sz w:val="20"/>
                <w:lang w:val="fr-FR" w:eastAsia="ja-JP"/>
              </w:rPr>
              <w:t>Troubles de la mémoire</w:t>
            </w:r>
            <w:r w:rsidRPr="00DC2F2C">
              <w:rPr>
                <w:sz w:val="20"/>
                <w:vertAlign w:val="superscript"/>
                <w:lang w:val="fr-FR" w:eastAsia="ja-JP"/>
              </w:rPr>
              <w:t>4</w:t>
            </w:r>
          </w:p>
        </w:tc>
        <w:tc>
          <w:tcPr>
            <w:tcW w:w="1418" w:type="dxa"/>
            <w:tcBorders>
              <w:top w:val="single" w:sz="4" w:space="0" w:color="000000"/>
              <w:left w:val="single" w:sz="4" w:space="0" w:color="000000"/>
              <w:bottom w:val="single" w:sz="4" w:space="0" w:color="000000"/>
              <w:right w:val="single" w:sz="4" w:space="0" w:color="000000"/>
            </w:tcBorders>
          </w:tcPr>
          <w:p w14:paraId="70A476DA" w14:textId="77777777" w:rsidR="00190F18" w:rsidRPr="00DC2F2C" w:rsidRDefault="00190F18" w:rsidP="00F004DF">
            <w:pPr>
              <w:tabs>
                <w:tab w:val="clear" w:pos="567"/>
              </w:tabs>
              <w:spacing w:after="120"/>
              <w:ind w:right="183"/>
              <w:jc w:val="center"/>
              <w:rPr>
                <w:sz w:val="20"/>
                <w:lang w:val="fr-FR" w:eastAsia="ja-JP"/>
              </w:rPr>
            </w:pPr>
            <w:r w:rsidRPr="00DC2F2C">
              <w:rPr>
                <w:sz w:val="20"/>
                <w:lang w:val="fr-FR" w:eastAsia="ja-JP"/>
              </w:rPr>
              <w:t>Syndrome d’encéphalopathie postérieure réversible (PRES)</w:t>
            </w:r>
            <w:r w:rsidRPr="00DC2F2C">
              <w:rPr>
                <w:sz w:val="20"/>
                <w:vertAlign w:val="superscript"/>
                <w:lang w:val="fr-FR" w:eastAsia="ja-JP"/>
              </w:rPr>
              <w:t>5</w:t>
            </w:r>
          </w:p>
        </w:tc>
        <w:tc>
          <w:tcPr>
            <w:tcW w:w="1559" w:type="dxa"/>
            <w:tcBorders>
              <w:top w:val="single" w:sz="4" w:space="0" w:color="000000"/>
              <w:left w:val="single" w:sz="4" w:space="0" w:color="000000"/>
              <w:bottom w:val="single" w:sz="4" w:space="0" w:color="000000"/>
              <w:right w:val="single" w:sz="4" w:space="0" w:color="000000"/>
            </w:tcBorders>
          </w:tcPr>
          <w:p w14:paraId="05FB1E2C" w14:textId="77777777" w:rsidR="00190F18" w:rsidRPr="00DC2F2C" w:rsidRDefault="00190F18" w:rsidP="00F004DF">
            <w:pPr>
              <w:tabs>
                <w:tab w:val="clear" w:pos="567"/>
              </w:tabs>
              <w:spacing w:after="120"/>
              <w:ind w:right="183"/>
              <w:jc w:val="center"/>
              <w:rPr>
                <w:sz w:val="20"/>
                <w:lang w:val="fr-FR" w:eastAsia="ja-JP"/>
              </w:rPr>
            </w:pPr>
          </w:p>
        </w:tc>
      </w:tr>
      <w:tr w:rsidR="00190F18" w:rsidRPr="00DC2F2C" w14:paraId="38EB93D3" w14:textId="0DC122ED" w:rsidTr="00FF2165">
        <w:trPr>
          <w:cantSplit/>
        </w:trPr>
        <w:tc>
          <w:tcPr>
            <w:tcW w:w="1737" w:type="dxa"/>
            <w:tcBorders>
              <w:top w:val="single" w:sz="4" w:space="0" w:color="000000"/>
              <w:left w:val="single" w:sz="4" w:space="0" w:color="000000"/>
              <w:right w:val="single" w:sz="4" w:space="0" w:color="000000"/>
            </w:tcBorders>
            <w:hideMark/>
          </w:tcPr>
          <w:p w14:paraId="27260D75" w14:textId="77777777" w:rsidR="00190F18" w:rsidRPr="00DC2F2C" w:rsidRDefault="00190F18" w:rsidP="0092147C">
            <w:pPr>
              <w:tabs>
                <w:tab w:val="clear" w:pos="567"/>
              </w:tabs>
              <w:spacing w:after="120"/>
              <w:ind w:left="142"/>
              <w:jc w:val="center"/>
              <w:rPr>
                <w:sz w:val="20"/>
                <w:lang w:val="fr-FR" w:eastAsia="ja-JP"/>
              </w:rPr>
            </w:pPr>
            <w:r w:rsidRPr="00DC2F2C">
              <w:rPr>
                <w:sz w:val="20"/>
                <w:lang w:val="fr-FR" w:eastAsia="ja-JP"/>
              </w:rPr>
              <w:t>Affections oculaires</w:t>
            </w:r>
          </w:p>
        </w:tc>
        <w:tc>
          <w:tcPr>
            <w:tcW w:w="1660" w:type="dxa"/>
            <w:tcBorders>
              <w:top w:val="single" w:sz="4" w:space="0" w:color="000000"/>
              <w:left w:val="single" w:sz="4" w:space="0" w:color="000000"/>
              <w:bottom w:val="single" w:sz="4" w:space="0" w:color="000000"/>
              <w:right w:val="single" w:sz="4" w:space="0" w:color="000000"/>
            </w:tcBorders>
            <w:hideMark/>
          </w:tcPr>
          <w:p w14:paraId="79DF0D41" w14:textId="77777777" w:rsidR="00190F18" w:rsidRPr="00DC2F2C" w:rsidRDefault="00190F18" w:rsidP="0092147C">
            <w:pPr>
              <w:tabs>
                <w:tab w:val="clear" w:pos="567"/>
              </w:tabs>
              <w:spacing w:after="120"/>
              <w:ind w:left="129" w:right="188"/>
              <w:jc w:val="center"/>
              <w:rPr>
                <w:sz w:val="20"/>
                <w:lang w:val="fr-FR"/>
              </w:rPr>
            </w:pPr>
          </w:p>
        </w:tc>
        <w:tc>
          <w:tcPr>
            <w:tcW w:w="1560" w:type="dxa"/>
            <w:tcBorders>
              <w:top w:val="single" w:sz="4" w:space="0" w:color="000000"/>
              <w:left w:val="single" w:sz="4" w:space="0" w:color="000000"/>
              <w:bottom w:val="single" w:sz="4" w:space="0" w:color="000000"/>
              <w:right w:val="single" w:sz="4" w:space="0" w:color="000000"/>
            </w:tcBorders>
            <w:hideMark/>
          </w:tcPr>
          <w:p w14:paraId="7D0C68F3" w14:textId="77777777" w:rsidR="00190F18" w:rsidRPr="00DC2F2C" w:rsidRDefault="00190F18" w:rsidP="0092147C">
            <w:pPr>
              <w:tabs>
                <w:tab w:val="clear" w:pos="567"/>
              </w:tabs>
              <w:spacing w:after="120"/>
              <w:ind w:right="183"/>
              <w:jc w:val="center"/>
              <w:rPr>
                <w:sz w:val="20"/>
                <w:lang w:val="fr-FR"/>
              </w:rPr>
            </w:pPr>
            <w:r w:rsidRPr="00DC2F2C">
              <w:rPr>
                <w:sz w:val="20"/>
                <w:lang w:val="fr-FR"/>
              </w:rPr>
              <w:t>Troubles de la vision</w:t>
            </w:r>
            <w:r w:rsidRPr="00DC2F2C">
              <w:rPr>
                <w:sz w:val="20"/>
                <w:vertAlign w:val="superscript"/>
                <w:lang w:val="fr-FR"/>
              </w:rPr>
              <w:t>6</w:t>
            </w:r>
          </w:p>
        </w:tc>
        <w:tc>
          <w:tcPr>
            <w:tcW w:w="1842" w:type="dxa"/>
            <w:tcBorders>
              <w:top w:val="single" w:sz="4" w:space="0" w:color="000000"/>
              <w:left w:val="single" w:sz="4" w:space="0" w:color="000000"/>
              <w:bottom w:val="single" w:sz="4" w:space="0" w:color="000000"/>
              <w:right w:val="single" w:sz="4" w:space="0" w:color="000000"/>
            </w:tcBorders>
          </w:tcPr>
          <w:p w14:paraId="602339AC" w14:textId="77777777" w:rsidR="00190F18" w:rsidRPr="00DC2F2C" w:rsidRDefault="00190F18" w:rsidP="0092147C">
            <w:pPr>
              <w:tabs>
                <w:tab w:val="clear" w:pos="567"/>
              </w:tabs>
              <w:spacing w:after="120"/>
              <w:ind w:right="183"/>
              <w:jc w:val="center"/>
              <w:rPr>
                <w:sz w:val="20"/>
                <w:lang w:val="fr-FR"/>
              </w:rPr>
            </w:pPr>
            <w:r w:rsidRPr="00DC2F2C">
              <w:rPr>
                <w:sz w:val="20"/>
                <w:lang w:val="fr-FR"/>
              </w:rPr>
              <w:t>Larmoiement</w:t>
            </w:r>
          </w:p>
        </w:tc>
        <w:tc>
          <w:tcPr>
            <w:tcW w:w="1418" w:type="dxa"/>
            <w:tcBorders>
              <w:top w:val="single" w:sz="4" w:space="0" w:color="000000"/>
              <w:left w:val="single" w:sz="4" w:space="0" w:color="000000"/>
              <w:bottom w:val="single" w:sz="4" w:space="0" w:color="000000"/>
              <w:right w:val="single" w:sz="4" w:space="0" w:color="000000"/>
            </w:tcBorders>
          </w:tcPr>
          <w:p w14:paraId="42685E04" w14:textId="77777777" w:rsidR="00190F18" w:rsidRPr="00DC2F2C" w:rsidRDefault="00190F18" w:rsidP="0092147C">
            <w:pPr>
              <w:tabs>
                <w:tab w:val="clear" w:pos="567"/>
              </w:tabs>
              <w:spacing w:after="120"/>
              <w:ind w:right="183"/>
              <w:jc w:val="center"/>
              <w:rPr>
                <w:sz w:val="20"/>
                <w:lang w:val="fr-FR"/>
              </w:rPr>
            </w:pPr>
          </w:p>
        </w:tc>
        <w:tc>
          <w:tcPr>
            <w:tcW w:w="1559" w:type="dxa"/>
            <w:tcBorders>
              <w:top w:val="single" w:sz="4" w:space="0" w:color="000000"/>
              <w:left w:val="single" w:sz="4" w:space="0" w:color="000000"/>
              <w:bottom w:val="single" w:sz="4" w:space="0" w:color="000000"/>
              <w:right w:val="single" w:sz="4" w:space="0" w:color="000000"/>
            </w:tcBorders>
          </w:tcPr>
          <w:p w14:paraId="4565A6A1" w14:textId="77777777" w:rsidR="00190F18" w:rsidRPr="00DC2F2C" w:rsidRDefault="00190F18" w:rsidP="0092147C">
            <w:pPr>
              <w:tabs>
                <w:tab w:val="clear" w:pos="567"/>
              </w:tabs>
              <w:spacing w:after="120"/>
              <w:ind w:right="183"/>
              <w:jc w:val="center"/>
              <w:rPr>
                <w:sz w:val="20"/>
                <w:lang w:val="fr-FR"/>
              </w:rPr>
            </w:pPr>
          </w:p>
        </w:tc>
      </w:tr>
      <w:tr w:rsidR="00190F18" w:rsidRPr="00DC2F2C" w14:paraId="572669F4" w14:textId="67B641BB" w:rsidTr="00FF2165">
        <w:trPr>
          <w:cantSplit/>
        </w:trPr>
        <w:tc>
          <w:tcPr>
            <w:tcW w:w="1737" w:type="dxa"/>
            <w:tcBorders>
              <w:top w:val="single" w:sz="4" w:space="0" w:color="000000"/>
              <w:left w:val="single" w:sz="4" w:space="0" w:color="000000"/>
              <w:right w:val="single" w:sz="4" w:space="0" w:color="000000"/>
            </w:tcBorders>
            <w:hideMark/>
          </w:tcPr>
          <w:p w14:paraId="4092CD5C" w14:textId="77777777" w:rsidR="00190F18" w:rsidRPr="00DC2F2C" w:rsidRDefault="00190F18" w:rsidP="0092147C">
            <w:pPr>
              <w:keepNext/>
              <w:keepLines/>
              <w:tabs>
                <w:tab w:val="clear" w:pos="567"/>
              </w:tabs>
              <w:spacing w:after="120"/>
              <w:ind w:left="142"/>
              <w:contextualSpacing/>
              <w:jc w:val="center"/>
              <w:rPr>
                <w:sz w:val="20"/>
                <w:lang w:val="fr-FR"/>
              </w:rPr>
            </w:pPr>
            <w:r w:rsidRPr="00DC2F2C">
              <w:rPr>
                <w:sz w:val="20"/>
                <w:lang w:val="fr-FR"/>
              </w:rPr>
              <w:t>Affections de l’oreille et du labyrinthe</w:t>
            </w:r>
          </w:p>
        </w:tc>
        <w:tc>
          <w:tcPr>
            <w:tcW w:w="1660" w:type="dxa"/>
            <w:tcBorders>
              <w:top w:val="single" w:sz="4" w:space="0" w:color="000000"/>
              <w:left w:val="single" w:sz="4" w:space="0" w:color="000000"/>
              <w:bottom w:val="single" w:sz="4" w:space="0" w:color="000000"/>
              <w:right w:val="single" w:sz="4" w:space="0" w:color="000000"/>
            </w:tcBorders>
            <w:hideMark/>
          </w:tcPr>
          <w:p w14:paraId="5ADD15BE" w14:textId="77777777" w:rsidR="00190F18" w:rsidRPr="00DC2F2C" w:rsidRDefault="00190F18" w:rsidP="0092147C">
            <w:pPr>
              <w:tabs>
                <w:tab w:val="clear" w:pos="567"/>
              </w:tabs>
              <w:spacing w:after="120"/>
              <w:ind w:left="129" w:right="188"/>
              <w:contextualSpacing/>
              <w:jc w:val="center"/>
              <w:rPr>
                <w:sz w:val="20"/>
                <w:lang w:val="fr-FR" w:eastAsia="ja-JP"/>
              </w:rPr>
            </w:pPr>
          </w:p>
        </w:tc>
        <w:tc>
          <w:tcPr>
            <w:tcW w:w="1560" w:type="dxa"/>
            <w:tcBorders>
              <w:top w:val="single" w:sz="4" w:space="0" w:color="000000"/>
              <w:left w:val="single" w:sz="4" w:space="0" w:color="000000"/>
              <w:bottom w:val="single" w:sz="4" w:space="0" w:color="000000"/>
              <w:right w:val="single" w:sz="4" w:space="0" w:color="000000"/>
            </w:tcBorders>
            <w:hideMark/>
          </w:tcPr>
          <w:p w14:paraId="6E97F343" w14:textId="77777777" w:rsidR="00190F18" w:rsidRPr="00DC2F2C" w:rsidRDefault="00190F18" w:rsidP="0092147C">
            <w:pPr>
              <w:tabs>
                <w:tab w:val="clear" w:pos="567"/>
              </w:tabs>
              <w:spacing w:after="120"/>
              <w:contextualSpacing/>
              <w:jc w:val="center"/>
              <w:rPr>
                <w:sz w:val="20"/>
                <w:lang w:val="fr-FR" w:eastAsia="ja-JP"/>
              </w:rPr>
            </w:pPr>
            <w:r w:rsidRPr="00DC2F2C">
              <w:rPr>
                <w:sz w:val="20"/>
                <w:lang w:val="fr-FR" w:eastAsia="ja-JP"/>
              </w:rPr>
              <w:t>Vertige</w:t>
            </w:r>
          </w:p>
          <w:p w14:paraId="565C37FE" w14:textId="77777777" w:rsidR="00190F18" w:rsidRPr="00DC2F2C" w:rsidRDefault="00190F18" w:rsidP="0092147C">
            <w:pPr>
              <w:tabs>
                <w:tab w:val="clear" w:pos="567"/>
              </w:tabs>
              <w:spacing w:after="120"/>
              <w:contextualSpacing/>
              <w:jc w:val="center"/>
              <w:rPr>
                <w:rFonts w:eastAsia="Calibri"/>
                <w:color w:val="000000"/>
                <w:sz w:val="20"/>
                <w:lang w:val="fr-FR"/>
              </w:rPr>
            </w:pPr>
            <w:r w:rsidRPr="00DC2F2C">
              <w:rPr>
                <w:sz w:val="20"/>
                <w:lang w:val="fr-FR" w:eastAsia="ja-JP"/>
              </w:rPr>
              <w:t>Acouphène</w:t>
            </w:r>
          </w:p>
        </w:tc>
        <w:tc>
          <w:tcPr>
            <w:tcW w:w="1842" w:type="dxa"/>
            <w:tcBorders>
              <w:top w:val="single" w:sz="4" w:space="0" w:color="000000"/>
              <w:left w:val="single" w:sz="4" w:space="0" w:color="000000"/>
              <w:bottom w:val="single" w:sz="4" w:space="0" w:color="000000"/>
              <w:right w:val="single" w:sz="4" w:space="0" w:color="000000"/>
            </w:tcBorders>
          </w:tcPr>
          <w:p w14:paraId="2ADCDF6B" w14:textId="77777777" w:rsidR="00190F18" w:rsidRPr="00DC2F2C" w:rsidRDefault="00190F18" w:rsidP="0092147C">
            <w:pPr>
              <w:tabs>
                <w:tab w:val="clear" w:pos="567"/>
              </w:tabs>
              <w:spacing w:after="120"/>
              <w:ind w:right="183"/>
              <w:contextualSpacing/>
              <w:jc w:val="center"/>
              <w:rPr>
                <w:sz w:val="20"/>
                <w:lang w:val="fr-FR" w:eastAsia="ja-JP"/>
              </w:rPr>
            </w:pPr>
            <w:r w:rsidRPr="00DC2F2C">
              <w:rPr>
                <w:sz w:val="20"/>
                <w:lang w:val="fr-FR" w:eastAsia="ja-JP"/>
              </w:rPr>
              <w:t>Congestion auriculaire</w:t>
            </w:r>
          </w:p>
        </w:tc>
        <w:tc>
          <w:tcPr>
            <w:tcW w:w="1418" w:type="dxa"/>
            <w:tcBorders>
              <w:top w:val="single" w:sz="4" w:space="0" w:color="000000"/>
              <w:left w:val="single" w:sz="4" w:space="0" w:color="000000"/>
              <w:bottom w:val="single" w:sz="4" w:space="0" w:color="000000"/>
              <w:right w:val="single" w:sz="4" w:space="0" w:color="000000"/>
            </w:tcBorders>
          </w:tcPr>
          <w:p w14:paraId="7673E508" w14:textId="77777777" w:rsidR="00190F18" w:rsidRPr="00DC2F2C" w:rsidRDefault="00190F18" w:rsidP="0092147C">
            <w:pPr>
              <w:tabs>
                <w:tab w:val="clear" w:pos="567"/>
              </w:tabs>
              <w:spacing w:after="120"/>
              <w:ind w:right="183"/>
              <w:contextualSpacing/>
              <w:jc w:val="center"/>
              <w:rPr>
                <w:sz w:val="20"/>
                <w:lang w:val="fr-FR" w:eastAsia="ja-JP"/>
              </w:rPr>
            </w:pPr>
          </w:p>
        </w:tc>
        <w:tc>
          <w:tcPr>
            <w:tcW w:w="1559" w:type="dxa"/>
            <w:tcBorders>
              <w:top w:val="single" w:sz="4" w:space="0" w:color="000000"/>
              <w:left w:val="single" w:sz="4" w:space="0" w:color="000000"/>
              <w:bottom w:val="single" w:sz="4" w:space="0" w:color="000000"/>
              <w:right w:val="single" w:sz="4" w:space="0" w:color="000000"/>
            </w:tcBorders>
          </w:tcPr>
          <w:p w14:paraId="56049B91" w14:textId="77777777" w:rsidR="00190F18" w:rsidRPr="00DC2F2C" w:rsidRDefault="00190F18" w:rsidP="0092147C">
            <w:pPr>
              <w:tabs>
                <w:tab w:val="clear" w:pos="567"/>
              </w:tabs>
              <w:spacing w:after="120"/>
              <w:ind w:right="183"/>
              <w:contextualSpacing/>
              <w:jc w:val="center"/>
              <w:rPr>
                <w:sz w:val="20"/>
                <w:lang w:val="fr-FR" w:eastAsia="ja-JP"/>
              </w:rPr>
            </w:pPr>
          </w:p>
        </w:tc>
      </w:tr>
      <w:tr w:rsidR="00190F18" w:rsidRPr="002605B1" w14:paraId="222C9873" w14:textId="09D0F474" w:rsidTr="00FF2165">
        <w:trPr>
          <w:cantSplit/>
        </w:trPr>
        <w:tc>
          <w:tcPr>
            <w:tcW w:w="1737" w:type="dxa"/>
            <w:tcBorders>
              <w:top w:val="single" w:sz="4" w:space="0" w:color="000000"/>
              <w:left w:val="single" w:sz="4" w:space="0" w:color="000000"/>
              <w:right w:val="single" w:sz="4" w:space="0" w:color="000000"/>
            </w:tcBorders>
            <w:hideMark/>
          </w:tcPr>
          <w:p w14:paraId="77BB8DD4" w14:textId="77777777" w:rsidR="00190F18" w:rsidRPr="00DC2F2C" w:rsidRDefault="00190F18" w:rsidP="0092147C">
            <w:pPr>
              <w:tabs>
                <w:tab w:val="clear" w:pos="567"/>
              </w:tabs>
              <w:spacing w:after="120"/>
              <w:ind w:left="142"/>
              <w:jc w:val="center"/>
              <w:rPr>
                <w:sz w:val="20"/>
                <w:lang w:val="fr-FR"/>
              </w:rPr>
            </w:pPr>
            <w:r w:rsidRPr="00DC2F2C">
              <w:rPr>
                <w:sz w:val="20"/>
                <w:lang w:val="fr-FR" w:eastAsia="ja-JP"/>
              </w:rPr>
              <w:t>Affections cardiaques</w:t>
            </w:r>
          </w:p>
        </w:tc>
        <w:tc>
          <w:tcPr>
            <w:tcW w:w="1660" w:type="dxa"/>
            <w:tcBorders>
              <w:top w:val="single" w:sz="4" w:space="0" w:color="000000"/>
              <w:left w:val="single" w:sz="4" w:space="0" w:color="000000"/>
              <w:bottom w:val="single" w:sz="4" w:space="0" w:color="000000"/>
              <w:right w:val="single" w:sz="4" w:space="0" w:color="000000"/>
            </w:tcBorders>
            <w:hideMark/>
          </w:tcPr>
          <w:p w14:paraId="713CF633" w14:textId="77777777" w:rsidR="00190F18" w:rsidRPr="00DC2F2C" w:rsidRDefault="00190F18" w:rsidP="0092147C">
            <w:pPr>
              <w:tabs>
                <w:tab w:val="clear" w:pos="567"/>
              </w:tabs>
              <w:spacing w:after="120"/>
              <w:ind w:left="129" w:right="188"/>
              <w:jc w:val="center"/>
              <w:rPr>
                <w:sz w:val="20"/>
                <w:lang w:val="fr-FR" w:eastAsia="ja-JP"/>
              </w:rPr>
            </w:pPr>
          </w:p>
        </w:tc>
        <w:tc>
          <w:tcPr>
            <w:tcW w:w="1560" w:type="dxa"/>
            <w:tcBorders>
              <w:top w:val="single" w:sz="4" w:space="0" w:color="000000"/>
              <w:left w:val="single" w:sz="4" w:space="0" w:color="000000"/>
              <w:bottom w:val="single" w:sz="4" w:space="0" w:color="000000"/>
              <w:right w:val="single" w:sz="4" w:space="0" w:color="000000"/>
            </w:tcBorders>
            <w:hideMark/>
          </w:tcPr>
          <w:p w14:paraId="4ABDE9DA" w14:textId="77777777" w:rsidR="00190F18" w:rsidRPr="00DC2F2C" w:rsidRDefault="00190F18" w:rsidP="0092147C">
            <w:pPr>
              <w:tabs>
                <w:tab w:val="clear" w:pos="567"/>
              </w:tabs>
              <w:spacing w:after="120"/>
              <w:ind w:right="183"/>
              <w:jc w:val="center"/>
              <w:rPr>
                <w:sz w:val="20"/>
                <w:vertAlign w:val="superscript"/>
                <w:lang w:val="fr-FR" w:eastAsia="ja-JP"/>
              </w:rPr>
            </w:pPr>
            <w:r w:rsidRPr="00DC2F2C">
              <w:rPr>
                <w:sz w:val="20"/>
                <w:lang w:val="fr-FR" w:eastAsia="ja-JP"/>
              </w:rPr>
              <w:t>Infarctus du myocarde (aigu)/ischémie</w:t>
            </w:r>
            <w:r w:rsidRPr="00DC2F2C">
              <w:rPr>
                <w:sz w:val="20"/>
                <w:vertAlign w:val="superscript"/>
                <w:lang w:val="fr-FR" w:eastAsia="ja-JP"/>
              </w:rPr>
              <w:t>7</w:t>
            </w:r>
          </w:p>
          <w:p w14:paraId="72C13C9D" w14:textId="77777777" w:rsidR="00190F18" w:rsidRPr="00DC2F2C" w:rsidRDefault="00190F18" w:rsidP="0092147C">
            <w:pPr>
              <w:tabs>
                <w:tab w:val="clear" w:pos="567"/>
              </w:tabs>
              <w:spacing w:after="120"/>
              <w:ind w:right="183"/>
              <w:jc w:val="center"/>
              <w:rPr>
                <w:sz w:val="20"/>
                <w:lang w:val="fr-FR" w:eastAsia="ja-JP"/>
              </w:rPr>
            </w:pPr>
            <w:r w:rsidRPr="00DC2F2C">
              <w:rPr>
                <w:sz w:val="20"/>
                <w:lang w:val="fr-FR" w:eastAsia="ja-JP"/>
              </w:rPr>
              <w:t>Angine de poitrine</w:t>
            </w:r>
          </w:p>
          <w:p w14:paraId="7A3F4CDE" w14:textId="77777777" w:rsidR="00190F18" w:rsidRPr="00DC2F2C" w:rsidRDefault="00190F18" w:rsidP="00F004DF">
            <w:pPr>
              <w:tabs>
                <w:tab w:val="clear" w:pos="567"/>
              </w:tabs>
              <w:spacing w:after="120"/>
              <w:ind w:right="183"/>
              <w:jc w:val="center"/>
              <w:rPr>
                <w:sz w:val="20"/>
                <w:lang w:val="fr-FR" w:eastAsia="ja-JP"/>
              </w:rPr>
            </w:pPr>
            <w:r w:rsidRPr="00DC2F2C">
              <w:rPr>
                <w:sz w:val="20"/>
                <w:lang w:val="fr-FR" w:eastAsia="ja-JP"/>
              </w:rPr>
              <w:t>Tachycardie</w:t>
            </w:r>
            <w:r w:rsidRPr="00DC2F2C">
              <w:rPr>
                <w:sz w:val="20"/>
                <w:vertAlign w:val="superscript"/>
                <w:lang w:val="fr-FR" w:eastAsia="ja-JP"/>
              </w:rPr>
              <w:t>8</w:t>
            </w:r>
          </w:p>
        </w:tc>
        <w:tc>
          <w:tcPr>
            <w:tcW w:w="1842" w:type="dxa"/>
            <w:tcBorders>
              <w:top w:val="single" w:sz="4" w:space="0" w:color="000000"/>
              <w:left w:val="single" w:sz="4" w:space="0" w:color="000000"/>
              <w:bottom w:val="single" w:sz="4" w:space="0" w:color="000000"/>
              <w:right w:val="single" w:sz="4" w:space="0" w:color="000000"/>
            </w:tcBorders>
          </w:tcPr>
          <w:p w14:paraId="6974C7F9" w14:textId="77777777" w:rsidR="00190F18" w:rsidRPr="00DC2F2C" w:rsidRDefault="00190F18" w:rsidP="0092147C">
            <w:pPr>
              <w:tabs>
                <w:tab w:val="clear" w:pos="567"/>
              </w:tabs>
              <w:spacing w:after="120"/>
              <w:ind w:right="183"/>
              <w:jc w:val="center"/>
              <w:rPr>
                <w:sz w:val="20"/>
                <w:lang w:val="fr-FR" w:eastAsia="ja-JP"/>
              </w:rPr>
            </w:pPr>
            <w:r w:rsidRPr="00DC2F2C">
              <w:rPr>
                <w:sz w:val="20"/>
                <w:lang w:val="fr-FR" w:eastAsia="ja-JP"/>
              </w:rPr>
              <w:t>Œdème pulmonaire</w:t>
            </w:r>
          </w:p>
          <w:p w14:paraId="402887E1" w14:textId="77777777" w:rsidR="00190F18" w:rsidRPr="00DC2F2C" w:rsidRDefault="00190F18" w:rsidP="0092147C">
            <w:pPr>
              <w:tabs>
                <w:tab w:val="clear" w:pos="567"/>
              </w:tabs>
              <w:spacing w:after="120"/>
              <w:ind w:right="183"/>
              <w:jc w:val="center"/>
              <w:rPr>
                <w:sz w:val="20"/>
                <w:lang w:val="fr-FR" w:eastAsia="ja-JP"/>
              </w:rPr>
            </w:pPr>
            <w:r w:rsidRPr="00DC2F2C">
              <w:rPr>
                <w:sz w:val="20"/>
                <w:lang w:val="fr-FR" w:eastAsia="ja-JP"/>
              </w:rPr>
              <w:t>Insuffisance coronarienne</w:t>
            </w:r>
          </w:p>
          <w:p w14:paraId="6DF19635" w14:textId="77777777" w:rsidR="00190F18" w:rsidRPr="00DC2F2C" w:rsidRDefault="00190F18" w:rsidP="00F004DF">
            <w:pPr>
              <w:tabs>
                <w:tab w:val="clear" w:pos="567"/>
              </w:tabs>
              <w:spacing w:after="120"/>
              <w:ind w:right="183"/>
              <w:jc w:val="center"/>
              <w:rPr>
                <w:sz w:val="20"/>
                <w:lang w:val="fr-FR" w:eastAsia="ja-JP"/>
              </w:rPr>
            </w:pPr>
            <w:r w:rsidRPr="00DC2F2C">
              <w:rPr>
                <w:sz w:val="20"/>
                <w:lang w:val="fr-FR" w:eastAsia="ja-JP"/>
              </w:rPr>
              <w:t>Allongement de l’intervalle QT à l’électrocardiogramme</w:t>
            </w:r>
          </w:p>
        </w:tc>
        <w:tc>
          <w:tcPr>
            <w:tcW w:w="1418" w:type="dxa"/>
            <w:tcBorders>
              <w:top w:val="single" w:sz="4" w:space="0" w:color="000000"/>
              <w:left w:val="single" w:sz="4" w:space="0" w:color="000000"/>
              <w:bottom w:val="single" w:sz="4" w:space="0" w:color="000000"/>
              <w:right w:val="single" w:sz="4" w:space="0" w:color="000000"/>
            </w:tcBorders>
          </w:tcPr>
          <w:p w14:paraId="681C566E" w14:textId="77777777" w:rsidR="00190F18" w:rsidRPr="00DC2F2C" w:rsidRDefault="00190F18" w:rsidP="0092147C">
            <w:pPr>
              <w:tabs>
                <w:tab w:val="clear" w:pos="567"/>
              </w:tabs>
              <w:spacing w:after="120"/>
              <w:ind w:right="183"/>
              <w:jc w:val="center"/>
              <w:rPr>
                <w:sz w:val="20"/>
                <w:lang w:val="fr-FR" w:eastAsia="ja-JP"/>
              </w:rPr>
            </w:pPr>
          </w:p>
        </w:tc>
        <w:tc>
          <w:tcPr>
            <w:tcW w:w="1559" w:type="dxa"/>
            <w:tcBorders>
              <w:top w:val="single" w:sz="4" w:space="0" w:color="000000"/>
              <w:left w:val="single" w:sz="4" w:space="0" w:color="000000"/>
              <w:bottom w:val="single" w:sz="4" w:space="0" w:color="000000"/>
              <w:right w:val="single" w:sz="4" w:space="0" w:color="000000"/>
            </w:tcBorders>
          </w:tcPr>
          <w:p w14:paraId="303EB366" w14:textId="77777777" w:rsidR="00190F18" w:rsidRPr="00DC2F2C" w:rsidRDefault="00190F18" w:rsidP="0092147C">
            <w:pPr>
              <w:tabs>
                <w:tab w:val="clear" w:pos="567"/>
              </w:tabs>
              <w:spacing w:after="120"/>
              <w:ind w:right="183"/>
              <w:jc w:val="center"/>
              <w:rPr>
                <w:sz w:val="20"/>
                <w:lang w:val="fr-FR" w:eastAsia="ja-JP"/>
              </w:rPr>
            </w:pPr>
          </w:p>
        </w:tc>
      </w:tr>
      <w:tr w:rsidR="00190F18" w:rsidRPr="000A49AD" w14:paraId="7C5F0F4C" w14:textId="70751ECD" w:rsidTr="00FF2165">
        <w:trPr>
          <w:cantSplit/>
        </w:trPr>
        <w:tc>
          <w:tcPr>
            <w:tcW w:w="1737" w:type="dxa"/>
            <w:tcBorders>
              <w:top w:val="single" w:sz="4" w:space="0" w:color="000000"/>
              <w:left w:val="single" w:sz="4" w:space="0" w:color="000000"/>
              <w:right w:val="single" w:sz="4" w:space="0" w:color="000000"/>
            </w:tcBorders>
            <w:hideMark/>
          </w:tcPr>
          <w:p w14:paraId="23E12921" w14:textId="77777777" w:rsidR="00190F18" w:rsidRPr="00DC2F2C" w:rsidRDefault="00190F18" w:rsidP="0092147C">
            <w:pPr>
              <w:tabs>
                <w:tab w:val="clear" w:pos="567"/>
              </w:tabs>
              <w:spacing w:after="120"/>
              <w:ind w:left="142"/>
              <w:jc w:val="center"/>
              <w:rPr>
                <w:sz w:val="20"/>
                <w:lang w:val="fr-FR" w:eastAsia="ja-JP"/>
              </w:rPr>
            </w:pPr>
            <w:r w:rsidRPr="00DC2F2C">
              <w:rPr>
                <w:sz w:val="20"/>
                <w:lang w:val="fr-FR" w:eastAsia="ja-JP"/>
              </w:rPr>
              <w:lastRenderedPageBreak/>
              <w:t>Affections vasculaires</w:t>
            </w:r>
          </w:p>
        </w:tc>
        <w:tc>
          <w:tcPr>
            <w:tcW w:w="1660" w:type="dxa"/>
            <w:tcBorders>
              <w:top w:val="single" w:sz="4" w:space="0" w:color="000000"/>
              <w:left w:val="single" w:sz="4" w:space="0" w:color="000000"/>
              <w:bottom w:val="single" w:sz="4" w:space="0" w:color="000000"/>
              <w:right w:val="single" w:sz="4" w:space="0" w:color="000000"/>
            </w:tcBorders>
            <w:hideMark/>
          </w:tcPr>
          <w:p w14:paraId="0FF3970E" w14:textId="77777777" w:rsidR="00190F18" w:rsidRPr="00DC2F2C" w:rsidRDefault="00190F18" w:rsidP="0092147C">
            <w:pPr>
              <w:tabs>
                <w:tab w:val="clear" w:pos="567"/>
              </w:tabs>
              <w:spacing w:after="120"/>
              <w:ind w:left="129" w:right="188"/>
              <w:jc w:val="center"/>
              <w:rPr>
                <w:sz w:val="20"/>
                <w:lang w:val="fr-FR" w:eastAsia="ja-JP"/>
              </w:rPr>
            </w:pPr>
            <w:r w:rsidRPr="00DC2F2C">
              <w:rPr>
                <w:sz w:val="20"/>
                <w:lang w:val="fr-FR" w:eastAsia="ja-JP"/>
              </w:rPr>
              <w:t>Hypertension artérielle</w:t>
            </w:r>
          </w:p>
        </w:tc>
        <w:tc>
          <w:tcPr>
            <w:tcW w:w="1560" w:type="dxa"/>
            <w:tcBorders>
              <w:top w:val="single" w:sz="4" w:space="0" w:color="000000"/>
              <w:left w:val="single" w:sz="4" w:space="0" w:color="000000"/>
              <w:bottom w:val="single" w:sz="4" w:space="0" w:color="000000"/>
              <w:right w:val="single" w:sz="4" w:space="0" w:color="000000"/>
            </w:tcBorders>
            <w:hideMark/>
          </w:tcPr>
          <w:p w14:paraId="0EF6B32E" w14:textId="77777777" w:rsidR="00190F18" w:rsidRPr="00DC2F2C" w:rsidRDefault="00190F18" w:rsidP="0092147C">
            <w:pPr>
              <w:tabs>
                <w:tab w:val="clear" w:pos="567"/>
              </w:tabs>
              <w:spacing w:after="120"/>
              <w:ind w:right="183"/>
              <w:jc w:val="center"/>
              <w:rPr>
                <w:sz w:val="20"/>
                <w:vertAlign w:val="superscript"/>
                <w:lang w:val="fr-FR" w:eastAsia="ja-JP"/>
              </w:rPr>
            </w:pPr>
            <w:r w:rsidRPr="00DC2F2C">
              <w:rPr>
                <w:sz w:val="20"/>
                <w:lang w:val="fr-FR" w:eastAsia="ja-JP"/>
              </w:rPr>
              <w:t>Hémorragie</w:t>
            </w:r>
            <w:r w:rsidRPr="00DC2F2C">
              <w:rPr>
                <w:sz w:val="20"/>
                <w:vertAlign w:val="superscript"/>
                <w:lang w:val="fr-FR" w:eastAsia="ja-JP"/>
              </w:rPr>
              <w:t>9</w:t>
            </w:r>
          </w:p>
          <w:p w14:paraId="29449CF1" w14:textId="77777777" w:rsidR="00190F18" w:rsidRPr="00DC2F2C" w:rsidRDefault="00190F18" w:rsidP="0092147C">
            <w:pPr>
              <w:tabs>
                <w:tab w:val="clear" w:pos="567"/>
              </w:tabs>
              <w:spacing w:after="120"/>
              <w:ind w:right="183"/>
              <w:jc w:val="center"/>
              <w:rPr>
                <w:sz w:val="20"/>
                <w:vertAlign w:val="superscript"/>
                <w:lang w:val="fr-FR" w:eastAsia="ja-JP"/>
              </w:rPr>
            </w:pPr>
            <w:r w:rsidRPr="00DC2F2C">
              <w:rPr>
                <w:sz w:val="20"/>
                <w:lang w:val="fr-FR" w:eastAsia="ja-JP"/>
              </w:rPr>
              <w:t>Événements thrombo-emboliques artériels</w:t>
            </w:r>
            <w:r w:rsidRPr="00DC2F2C">
              <w:rPr>
                <w:sz w:val="20"/>
                <w:vertAlign w:val="superscript"/>
                <w:lang w:val="fr-FR" w:eastAsia="ja-JP"/>
              </w:rPr>
              <w:t>10</w:t>
            </w:r>
          </w:p>
          <w:p w14:paraId="484589FD" w14:textId="77777777" w:rsidR="00190F18" w:rsidRPr="00DC2F2C" w:rsidRDefault="00190F18" w:rsidP="0092147C">
            <w:pPr>
              <w:tabs>
                <w:tab w:val="clear" w:pos="567"/>
              </w:tabs>
              <w:spacing w:after="120"/>
              <w:ind w:right="183"/>
              <w:jc w:val="center"/>
              <w:rPr>
                <w:sz w:val="20"/>
                <w:vertAlign w:val="superscript"/>
                <w:lang w:val="fr-FR" w:eastAsia="ja-JP"/>
              </w:rPr>
            </w:pPr>
            <w:r w:rsidRPr="00DC2F2C">
              <w:rPr>
                <w:sz w:val="20"/>
                <w:lang w:val="fr-FR" w:eastAsia="ja-JP"/>
              </w:rPr>
              <w:t>Événements thrombo-emboliques veineux</w:t>
            </w:r>
            <w:r w:rsidRPr="00DC2F2C">
              <w:rPr>
                <w:sz w:val="20"/>
                <w:vertAlign w:val="superscript"/>
                <w:lang w:val="fr-FR" w:eastAsia="ja-JP"/>
              </w:rPr>
              <w:t>11</w:t>
            </w:r>
          </w:p>
          <w:p w14:paraId="2ECB90D8" w14:textId="77777777" w:rsidR="00190F18" w:rsidRPr="00DC2F2C" w:rsidRDefault="00190F18" w:rsidP="0092147C">
            <w:pPr>
              <w:tabs>
                <w:tab w:val="clear" w:pos="567"/>
              </w:tabs>
              <w:spacing w:after="120"/>
              <w:ind w:right="183"/>
              <w:jc w:val="center"/>
              <w:rPr>
                <w:sz w:val="20"/>
                <w:vertAlign w:val="superscript"/>
                <w:lang w:val="fr-FR" w:eastAsia="ja-JP"/>
              </w:rPr>
            </w:pPr>
            <w:r w:rsidRPr="00DC2F2C">
              <w:rPr>
                <w:sz w:val="20"/>
                <w:lang w:val="fr-FR" w:eastAsia="ja-JP"/>
              </w:rPr>
              <w:t>Hypertension artérielle sévère persistante</w:t>
            </w:r>
            <w:r w:rsidRPr="00DC2F2C">
              <w:rPr>
                <w:sz w:val="20"/>
                <w:vertAlign w:val="superscript"/>
                <w:lang w:val="fr-FR" w:eastAsia="ja-JP"/>
              </w:rPr>
              <w:t>12</w:t>
            </w:r>
          </w:p>
          <w:p w14:paraId="52807174" w14:textId="77777777" w:rsidR="00190F18" w:rsidRPr="00DC2F2C" w:rsidRDefault="00190F18" w:rsidP="0092147C">
            <w:pPr>
              <w:tabs>
                <w:tab w:val="clear" w:pos="567"/>
              </w:tabs>
              <w:spacing w:after="120"/>
              <w:ind w:right="183"/>
              <w:jc w:val="center"/>
              <w:rPr>
                <w:rFonts w:eastAsia="MS Mincho"/>
                <w:sz w:val="20"/>
                <w:lang w:val="fr-FR" w:eastAsia="ja-JP"/>
              </w:rPr>
            </w:pPr>
            <w:r w:rsidRPr="00DC2F2C">
              <w:rPr>
                <w:sz w:val="20"/>
                <w:lang w:val="fr-FR" w:eastAsia="ja-JP"/>
              </w:rPr>
              <w:t>Bouffées vasomotrices</w:t>
            </w:r>
            <w:r w:rsidRPr="00DC2F2C">
              <w:rPr>
                <w:sz w:val="20"/>
                <w:vertAlign w:val="superscript"/>
                <w:lang w:val="fr-FR" w:eastAsia="ja-JP"/>
              </w:rPr>
              <w:t>13</w:t>
            </w:r>
          </w:p>
        </w:tc>
        <w:tc>
          <w:tcPr>
            <w:tcW w:w="1842" w:type="dxa"/>
            <w:tcBorders>
              <w:top w:val="single" w:sz="4" w:space="0" w:color="000000"/>
              <w:left w:val="single" w:sz="4" w:space="0" w:color="000000"/>
              <w:bottom w:val="single" w:sz="4" w:space="0" w:color="000000"/>
              <w:right w:val="single" w:sz="4" w:space="0" w:color="000000"/>
            </w:tcBorders>
          </w:tcPr>
          <w:p w14:paraId="248D57D1" w14:textId="77777777" w:rsidR="00190F18" w:rsidRPr="00DC2F2C" w:rsidRDefault="00190F18" w:rsidP="0092147C">
            <w:pPr>
              <w:tabs>
                <w:tab w:val="clear" w:pos="567"/>
              </w:tabs>
              <w:spacing w:after="120"/>
              <w:ind w:right="183"/>
              <w:jc w:val="center"/>
              <w:rPr>
                <w:rFonts w:eastAsia="MS Mincho"/>
                <w:sz w:val="20"/>
                <w:lang w:val="fr-FR" w:eastAsia="ja-JP"/>
              </w:rPr>
            </w:pPr>
          </w:p>
        </w:tc>
        <w:tc>
          <w:tcPr>
            <w:tcW w:w="1418" w:type="dxa"/>
            <w:tcBorders>
              <w:top w:val="single" w:sz="4" w:space="0" w:color="000000"/>
              <w:left w:val="single" w:sz="4" w:space="0" w:color="000000"/>
              <w:bottom w:val="single" w:sz="4" w:space="0" w:color="000000"/>
              <w:right w:val="single" w:sz="4" w:space="0" w:color="000000"/>
            </w:tcBorders>
          </w:tcPr>
          <w:p w14:paraId="5D6EBD3F" w14:textId="77777777" w:rsidR="00190F18" w:rsidRPr="00DC2F2C" w:rsidRDefault="00190F18" w:rsidP="0092147C">
            <w:pPr>
              <w:tabs>
                <w:tab w:val="clear" w:pos="567"/>
              </w:tabs>
              <w:spacing w:after="120"/>
              <w:ind w:right="183"/>
              <w:jc w:val="center"/>
              <w:rPr>
                <w:rFonts w:eastAsia="MS Mincho"/>
                <w:sz w:val="20"/>
                <w:lang w:val="fr-FR" w:eastAsia="ja-JP"/>
              </w:rPr>
            </w:pPr>
          </w:p>
        </w:tc>
        <w:tc>
          <w:tcPr>
            <w:tcW w:w="1559" w:type="dxa"/>
            <w:tcBorders>
              <w:top w:val="single" w:sz="4" w:space="0" w:color="000000"/>
              <w:left w:val="single" w:sz="4" w:space="0" w:color="000000"/>
              <w:bottom w:val="single" w:sz="4" w:space="0" w:color="000000"/>
              <w:right w:val="single" w:sz="4" w:space="0" w:color="000000"/>
            </w:tcBorders>
          </w:tcPr>
          <w:p w14:paraId="582B9B01" w14:textId="1AD3DF31" w:rsidR="00190F18" w:rsidRPr="00DC2F2C" w:rsidRDefault="00190F18" w:rsidP="0092147C">
            <w:pPr>
              <w:tabs>
                <w:tab w:val="clear" w:pos="567"/>
              </w:tabs>
              <w:spacing w:after="120"/>
              <w:ind w:right="183"/>
              <w:jc w:val="center"/>
              <w:rPr>
                <w:rFonts w:eastAsia="MS Mincho"/>
                <w:sz w:val="20"/>
                <w:lang w:val="fr-FR" w:eastAsia="ja-JP"/>
              </w:rPr>
            </w:pPr>
            <w:proofErr w:type="spellStart"/>
            <w:r>
              <w:t>Anévrismes</w:t>
            </w:r>
            <w:proofErr w:type="spellEnd"/>
            <w:r>
              <w:t xml:space="preserve"> et dissections </w:t>
            </w:r>
            <w:proofErr w:type="spellStart"/>
            <w:r>
              <w:t>artérielles</w:t>
            </w:r>
            <w:proofErr w:type="spellEnd"/>
          </w:p>
        </w:tc>
      </w:tr>
      <w:tr w:rsidR="00190F18" w:rsidRPr="00DC2F2C" w14:paraId="37EB6DDB" w14:textId="1BE64B02" w:rsidTr="00FF2165">
        <w:trPr>
          <w:cantSplit/>
        </w:trPr>
        <w:tc>
          <w:tcPr>
            <w:tcW w:w="1737" w:type="dxa"/>
            <w:tcBorders>
              <w:top w:val="single" w:sz="4" w:space="0" w:color="000000"/>
              <w:left w:val="single" w:sz="4" w:space="0" w:color="000000"/>
              <w:right w:val="single" w:sz="4" w:space="0" w:color="000000"/>
            </w:tcBorders>
            <w:hideMark/>
          </w:tcPr>
          <w:p w14:paraId="65DAC8A6" w14:textId="77777777" w:rsidR="00190F18" w:rsidRPr="00DC2F2C" w:rsidRDefault="00190F18" w:rsidP="0092147C">
            <w:pPr>
              <w:tabs>
                <w:tab w:val="clear" w:pos="567"/>
              </w:tabs>
              <w:spacing w:after="120"/>
              <w:ind w:left="142"/>
              <w:jc w:val="center"/>
              <w:rPr>
                <w:sz w:val="20"/>
                <w:lang w:val="fr-FR" w:eastAsia="ja-JP"/>
              </w:rPr>
            </w:pPr>
            <w:r w:rsidRPr="00DC2F2C">
              <w:rPr>
                <w:sz w:val="20"/>
                <w:lang w:val="fr-FR" w:eastAsia="ja-JP"/>
              </w:rPr>
              <w:t>Affections respiratoires, thoraciques et médiastinales</w:t>
            </w:r>
          </w:p>
        </w:tc>
        <w:tc>
          <w:tcPr>
            <w:tcW w:w="1660" w:type="dxa"/>
            <w:tcBorders>
              <w:top w:val="single" w:sz="4" w:space="0" w:color="000000"/>
              <w:left w:val="single" w:sz="4" w:space="0" w:color="000000"/>
              <w:bottom w:val="single" w:sz="4" w:space="0" w:color="000000"/>
              <w:right w:val="single" w:sz="4" w:space="0" w:color="000000"/>
            </w:tcBorders>
            <w:hideMark/>
          </w:tcPr>
          <w:p w14:paraId="155073D4" w14:textId="77777777" w:rsidR="00190F18" w:rsidRPr="00DC2F2C" w:rsidRDefault="00190F18" w:rsidP="0092147C">
            <w:pPr>
              <w:tabs>
                <w:tab w:val="clear" w:pos="567"/>
              </w:tabs>
              <w:spacing w:after="120"/>
              <w:ind w:left="129" w:right="188"/>
              <w:jc w:val="center"/>
              <w:rPr>
                <w:sz w:val="20"/>
                <w:vertAlign w:val="superscript"/>
                <w:lang w:val="fr-FR" w:eastAsia="ja-JP"/>
              </w:rPr>
            </w:pPr>
            <w:r w:rsidRPr="00DC2F2C">
              <w:rPr>
                <w:sz w:val="20"/>
                <w:lang w:val="fr-FR" w:eastAsia="ja-JP"/>
              </w:rPr>
              <w:t>Dyspnée</w:t>
            </w:r>
            <w:r w:rsidRPr="00DC2F2C">
              <w:rPr>
                <w:sz w:val="20"/>
                <w:vertAlign w:val="superscript"/>
                <w:lang w:val="fr-FR" w:eastAsia="ja-JP"/>
              </w:rPr>
              <w:t>14</w:t>
            </w:r>
          </w:p>
          <w:p w14:paraId="4A785898" w14:textId="77777777" w:rsidR="00190F18" w:rsidRPr="00DC2F2C" w:rsidRDefault="00190F18" w:rsidP="0092147C">
            <w:pPr>
              <w:tabs>
                <w:tab w:val="clear" w:pos="567"/>
              </w:tabs>
              <w:spacing w:after="120"/>
              <w:ind w:left="129" w:right="188"/>
              <w:jc w:val="center"/>
              <w:rPr>
                <w:sz w:val="20"/>
                <w:lang w:val="fr-FR" w:eastAsia="ja-JP"/>
              </w:rPr>
            </w:pPr>
            <w:r w:rsidRPr="00DC2F2C">
              <w:rPr>
                <w:sz w:val="20"/>
                <w:lang w:val="fr-FR" w:eastAsia="ja-JP"/>
              </w:rPr>
              <w:t>Dysphonie</w:t>
            </w:r>
          </w:p>
          <w:p w14:paraId="05EB8B20" w14:textId="77777777" w:rsidR="00190F18" w:rsidRPr="00DC2F2C" w:rsidRDefault="00190F18" w:rsidP="0092147C">
            <w:pPr>
              <w:tabs>
                <w:tab w:val="clear" w:pos="567"/>
              </w:tabs>
              <w:spacing w:after="120"/>
              <w:ind w:left="129" w:right="188"/>
              <w:jc w:val="center"/>
              <w:rPr>
                <w:sz w:val="20"/>
                <w:lang w:val="fr-FR" w:eastAsia="ja-JP"/>
              </w:rPr>
            </w:pPr>
            <w:r w:rsidRPr="00DC2F2C">
              <w:rPr>
                <w:sz w:val="20"/>
                <w:lang w:val="fr-FR" w:eastAsia="ja-JP"/>
              </w:rPr>
              <w:t>Toux</w:t>
            </w:r>
          </w:p>
        </w:tc>
        <w:tc>
          <w:tcPr>
            <w:tcW w:w="1560" w:type="dxa"/>
            <w:tcBorders>
              <w:top w:val="single" w:sz="4" w:space="0" w:color="000000"/>
              <w:left w:val="single" w:sz="4" w:space="0" w:color="000000"/>
              <w:bottom w:val="single" w:sz="4" w:space="0" w:color="000000"/>
              <w:right w:val="single" w:sz="4" w:space="0" w:color="000000"/>
            </w:tcBorders>
            <w:hideMark/>
          </w:tcPr>
          <w:p w14:paraId="3844FE2D" w14:textId="77777777" w:rsidR="00190F18" w:rsidRPr="00DC2F2C" w:rsidRDefault="00190F18" w:rsidP="0092147C">
            <w:pPr>
              <w:tabs>
                <w:tab w:val="clear" w:pos="567"/>
              </w:tabs>
              <w:spacing w:after="120"/>
              <w:ind w:right="199"/>
              <w:jc w:val="center"/>
              <w:rPr>
                <w:sz w:val="20"/>
                <w:lang w:val="fr-FR" w:eastAsia="ja-JP"/>
              </w:rPr>
            </w:pPr>
            <w:r w:rsidRPr="00DC2F2C">
              <w:rPr>
                <w:sz w:val="20"/>
                <w:lang w:val="fr-FR" w:eastAsia="ja-JP"/>
              </w:rPr>
              <w:t>Épistaxis</w:t>
            </w:r>
          </w:p>
          <w:p w14:paraId="49D7DCFD" w14:textId="77777777" w:rsidR="00190F18" w:rsidRPr="00DC2F2C" w:rsidRDefault="00190F18" w:rsidP="0092147C">
            <w:pPr>
              <w:tabs>
                <w:tab w:val="clear" w:pos="567"/>
              </w:tabs>
              <w:spacing w:after="120"/>
              <w:ind w:right="199"/>
              <w:jc w:val="center"/>
              <w:rPr>
                <w:sz w:val="20"/>
                <w:lang w:val="fr-FR" w:eastAsia="ja-JP"/>
              </w:rPr>
            </w:pPr>
            <w:r w:rsidRPr="00DC2F2C">
              <w:rPr>
                <w:sz w:val="20"/>
                <w:lang w:val="fr-FR" w:eastAsia="ja-JP"/>
              </w:rPr>
              <w:t>Rhinorrhée</w:t>
            </w:r>
          </w:p>
          <w:p w14:paraId="7945AB2D" w14:textId="77777777" w:rsidR="00190F18" w:rsidRPr="00DC2F2C" w:rsidRDefault="00190F18" w:rsidP="0092147C">
            <w:pPr>
              <w:tabs>
                <w:tab w:val="clear" w:pos="567"/>
              </w:tabs>
              <w:spacing w:after="120"/>
              <w:ind w:right="199"/>
              <w:jc w:val="center"/>
              <w:rPr>
                <w:sz w:val="20"/>
                <w:lang w:val="fr-FR" w:eastAsia="ja-JP"/>
              </w:rPr>
            </w:pPr>
            <w:r w:rsidRPr="00DC2F2C">
              <w:rPr>
                <w:sz w:val="20"/>
                <w:lang w:val="fr-FR" w:eastAsia="ja-JP"/>
              </w:rPr>
              <w:t>Congestion nasale</w:t>
            </w:r>
          </w:p>
        </w:tc>
        <w:tc>
          <w:tcPr>
            <w:tcW w:w="1842" w:type="dxa"/>
            <w:tcBorders>
              <w:top w:val="single" w:sz="4" w:space="0" w:color="000000"/>
              <w:left w:val="single" w:sz="4" w:space="0" w:color="000000"/>
              <w:bottom w:val="single" w:sz="4" w:space="0" w:color="000000"/>
              <w:right w:val="single" w:sz="4" w:space="0" w:color="000000"/>
            </w:tcBorders>
          </w:tcPr>
          <w:p w14:paraId="00C4D251" w14:textId="77777777" w:rsidR="00190F18" w:rsidRPr="00DC2F2C" w:rsidRDefault="00190F18" w:rsidP="0092147C">
            <w:pPr>
              <w:tabs>
                <w:tab w:val="clear" w:pos="567"/>
              </w:tabs>
              <w:spacing w:after="120"/>
              <w:ind w:right="199"/>
              <w:jc w:val="center"/>
              <w:rPr>
                <w:rFonts w:eastAsia="MS Mincho"/>
                <w:sz w:val="20"/>
                <w:shd w:val="pct15" w:color="auto" w:fill="FFFFFF"/>
                <w:lang w:val="fr-FR" w:eastAsia="zh-CN"/>
              </w:rPr>
            </w:pPr>
          </w:p>
        </w:tc>
        <w:tc>
          <w:tcPr>
            <w:tcW w:w="1418" w:type="dxa"/>
            <w:tcBorders>
              <w:top w:val="single" w:sz="4" w:space="0" w:color="000000"/>
              <w:left w:val="single" w:sz="4" w:space="0" w:color="000000"/>
              <w:bottom w:val="single" w:sz="4" w:space="0" w:color="000000"/>
              <w:right w:val="single" w:sz="4" w:space="0" w:color="000000"/>
            </w:tcBorders>
          </w:tcPr>
          <w:p w14:paraId="19C50F5F" w14:textId="77777777" w:rsidR="00190F18" w:rsidRPr="00DC2F2C" w:rsidRDefault="00190F18" w:rsidP="0092147C">
            <w:pPr>
              <w:tabs>
                <w:tab w:val="clear" w:pos="567"/>
              </w:tabs>
              <w:spacing w:after="120"/>
              <w:ind w:right="199"/>
              <w:jc w:val="center"/>
              <w:rPr>
                <w:rFonts w:eastAsia="MS Mincho"/>
                <w:sz w:val="20"/>
                <w:shd w:val="pct15" w:color="auto" w:fill="FFFFFF"/>
                <w:lang w:val="fr-FR" w:eastAsia="zh-CN"/>
              </w:rPr>
            </w:pPr>
          </w:p>
        </w:tc>
        <w:tc>
          <w:tcPr>
            <w:tcW w:w="1559" w:type="dxa"/>
            <w:tcBorders>
              <w:top w:val="single" w:sz="4" w:space="0" w:color="000000"/>
              <w:left w:val="single" w:sz="4" w:space="0" w:color="000000"/>
              <w:bottom w:val="single" w:sz="4" w:space="0" w:color="000000"/>
              <w:right w:val="single" w:sz="4" w:space="0" w:color="000000"/>
            </w:tcBorders>
          </w:tcPr>
          <w:p w14:paraId="6CD856CD" w14:textId="77777777" w:rsidR="00190F18" w:rsidRPr="00DC2F2C" w:rsidRDefault="00190F18" w:rsidP="0092147C">
            <w:pPr>
              <w:tabs>
                <w:tab w:val="clear" w:pos="567"/>
              </w:tabs>
              <w:spacing w:after="120"/>
              <w:ind w:right="199"/>
              <w:jc w:val="center"/>
              <w:rPr>
                <w:rFonts w:eastAsia="MS Mincho"/>
                <w:sz w:val="20"/>
                <w:shd w:val="pct15" w:color="auto" w:fill="FFFFFF"/>
                <w:lang w:val="fr-FR" w:eastAsia="zh-CN"/>
              </w:rPr>
            </w:pPr>
          </w:p>
        </w:tc>
      </w:tr>
      <w:tr w:rsidR="00190F18" w:rsidRPr="00DC2F2C" w14:paraId="6EA11FEA" w14:textId="4286F6D3" w:rsidTr="00FF2165">
        <w:trPr>
          <w:cantSplit/>
        </w:trPr>
        <w:tc>
          <w:tcPr>
            <w:tcW w:w="1737" w:type="dxa"/>
            <w:tcBorders>
              <w:top w:val="single" w:sz="4" w:space="0" w:color="000000"/>
              <w:left w:val="single" w:sz="4" w:space="0" w:color="000000"/>
              <w:right w:val="single" w:sz="4" w:space="0" w:color="000000"/>
            </w:tcBorders>
            <w:hideMark/>
          </w:tcPr>
          <w:p w14:paraId="5DE22E54" w14:textId="77777777" w:rsidR="00190F18" w:rsidRPr="00DC2F2C" w:rsidRDefault="00190F18" w:rsidP="0092147C">
            <w:pPr>
              <w:keepNext/>
              <w:keepLines/>
              <w:tabs>
                <w:tab w:val="clear" w:pos="567"/>
              </w:tabs>
              <w:spacing w:after="120"/>
              <w:ind w:left="142"/>
              <w:jc w:val="center"/>
              <w:rPr>
                <w:sz w:val="20"/>
                <w:lang w:val="fr-FR"/>
              </w:rPr>
            </w:pPr>
            <w:r w:rsidRPr="00DC2F2C">
              <w:rPr>
                <w:sz w:val="20"/>
                <w:lang w:val="fr-FR"/>
              </w:rPr>
              <w:t>Affections gastro-intestinales</w:t>
            </w:r>
          </w:p>
        </w:tc>
        <w:tc>
          <w:tcPr>
            <w:tcW w:w="1660" w:type="dxa"/>
            <w:tcBorders>
              <w:top w:val="single" w:sz="4" w:space="0" w:color="000000"/>
              <w:left w:val="single" w:sz="4" w:space="0" w:color="000000"/>
              <w:bottom w:val="single" w:sz="4" w:space="0" w:color="000000"/>
              <w:right w:val="single" w:sz="4" w:space="0" w:color="000000"/>
            </w:tcBorders>
            <w:hideMark/>
          </w:tcPr>
          <w:p w14:paraId="491844DA" w14:textId="77777777" w:rsidR="00190F18" w:rsidRPr="00DC2F2C" w:rsidRDefault="00190F18" w:rsidP="0092147C">
            <w:pPr>
              <w:keepNext/>
              <w:keepLines/>
              <w:tabs>
                <w:tab w:val="clear" w:pos="567"/>
              </w:tabs>
              <w:spacing w:after="120"/>
              <w:ind w:left="129" w:right="188"/>
              <w:jc w:val="center"/>
              <w:rPr>
                <w:sz w:val="20"/>
                <w:vertAlign w:val="superscript"/>
                <w:lang w:val="fr-FR"/>
              </w:rPr>
            </w:pPr>
            <w:r w:rsidRPr="00DC2F2C">
              <w:rPr>
                <w:sz w:val="20"/>
                <w:lang w:val="fr-FR"/>
              </w:rPr>
              <w:t>Douleurs abdominales</w:t>
            </w:r>
            <w:r w:rsidRPr="00DC2F2C">
              <w:rPr>
                <w:sz w:val="20"/>
                <w:vertAlign w:val="superscript"/>
                <w:lang w:val="fr-FR"/>
              </w:rPr>
              <w:t>15</w:t>
            </w:r>
          </w:p>
          <w:p w14:paraId="43162E18" w14:textId="77777777" w:rsidR="00190F18" w:rsidRPr="00DC2F2C" w:rsidRDefault="00190F18" w:rsidP="0092147C">
            <w:pPr>
              <w:keepNext/>
              <w:keepLines/>
              <w:tabs>
                <w:tab w:val="clear" w:pos="567"/>
              </w:tabs>
              <w:spacing w:after="120"/>
              <w:ind w:left="129" w:right="188"/>
              <w:jc w:val="center"/>
              <w:rPr>
                <w:sz w:val="20"/>
                <w:lang w:val="fr-FR"/>
              </w:rPr>
            </w:pPr>
            <w:r w:rsidRPr="00DC2F2C">
              <w:rPr>
                <w:sz w:val="20"/>
                <w:lang w:val="fr-FR"/>
              </w:rPr>
              <w:t>Nausées</w:t>
            </w:r>
          </w:p>
          <w:p w14:paraId="44F332D3" w14:textId="77777777" w:rsidR="00190F18" w:rsidRPr="00DC2F2C" w:rsidRDefault="00190F18" w:rsidP="0092147C">
            <w:pPr>
              <w:keepNext/>
              <w:keepLines/>
              <w:tabs>
                <w:tab w:val="clear" w:pos="567"/>
              </w:tabs>
              <w:spacing w:after="120"/>
              <w:ind w:left="129" w:right="188"/>
              <w:jc w:val="center"/>
              <w:rPr>
                <w:sz w:val="20"/>
                <w:lang w:val="fr-FR"/>
              </w:rPr>
            </w:pPr>
            <w:r w:rsidRPr="00DC2F2C">
              <w:rPr>
                <w:sz w:val="20"/>
                <w:lang w:val="fr-FR"/>
              </w:rPr>
              <w:t>Diarrhée</w:t>
            </w:r>
          </w:p>
          <w:p w14:paraId="40F195E7" w14:textId="77777777" w:rsidR="00190F18" w:rsidRPr="00DC2F2C" w:rsidRDefault="00190F18" w:rsidP="00F004DF">
            <w:pPr>
              <w:keepNext/>
              <w:keepLines/>
              <w:tabs>
                <w:tab w:val="clear" w:pos="567"/>
              </w:tabs>
              <w:spacing w:after="120"/>
              <w:ind w:left="129" w:right="188"/>
              <w:jc w:val="center"/>
              <w:rPr>
                <w:sz w:val="20"/>
                <w:lang w:val="fr-FR"/>
              </w:rPr>
            </w:pPr>
            <w:r w:rsidRPr="00DC2F2C">
              <w:rPr>
                <w:sz w:val="20"/>
                <w:lang w:val="fr-FR"/>
              </w:rPr>
              <w:t>Stomatite</w:t>
            </w:r>
            <w:r w:rsidRPr="00DC2F2C">
              <w:rPr>
                <w:sz w:val="20"/>
                <w:vertAlign w:val="superscript"/>
                <w:lang w:val="fr-FR"/>
              </w:rPr>
              <w:t>16</w:t>
            </w:r>
          </w:p>
        </w:tc>
        <w:tc>
          <w:tcPr>
            <w:tcW w:w="1560" w:type="dxa"/>
            <w:tcBorders>
              <w:top w:val="single" w:sz="4" w:space="0" w:color="000000"/>
              <w:left w:val="single" w:sz="4" w:space="0" w:color="000000"/>
              <w:bottom w:val="single" w:sz="4" w:space="0" w:color="000000"/>
              <w:right w:val="single" w:sz="4" w:space="0" w:color="000000"/>
            </w:tcBorders>
            <w:hideMark/>
          </w:tcPr>
          <w:p w14:paraId="0F10A32D" w14:textId="77777777" w:rsidR="00190F18" w:rsidRPr="00DC2F2C" w:rsidRDefault="00190F18" w:rsidP="0092147C">
            <w:pPr>
              <w:keepNext/>
              <w:keepLines/>
              <w:tabs>
                <w:tab w:val="clear" w:pos="567"/>
              </w:tabs>
              <w:spacing w:after="120"/>
              <w:ind w:right="183"/>
              <w:jc w:val="center"/>
              <w:rPr>
                <w:sz w:val="20"/>
                <w:vertAlign w:val="superscript"/>
                <w:lang w:val="fr-FR"/>
              </w:rPr>
            </w:pPr>
            <w:r w:rsidRPr="00DC2F2C">
              <w:rPr>
                <w:sz w:val="20"/>
                <w:lang w:val="fr-FR"/>
              </w:rPr>
              <w:t>Pancréatite</w:t>
            </w:r>
            <w:r w:rsidRPr="00DC2F2C">
              <w:rPr>
                <w:sz w:val="20"/>
                <w:vertAlign w:val="superscript"/>
                <w:lang w:val="fr-FR"/>
              </w:rPr>
              <w:t>17</w:t>
            </w:r>
          </w:p>
          <w:p w14:paraId="0C50AA2D" w14:textId="77777777" w:rsidR="00190F18" w:rsidRPr="00DC2F2C" w:rsidRDefault="00190F18" w:rsidP="0092147C">
            <w:pPr>
              <w:keepNext/>
              <w:keepLines/>
              <w:tabs>
                <w:tab w:val="clear" w:pos="567"/>
              </w:tabs>
              <w:spacing w:after="120"/>
              <w:ind w:right="183"/>
              <w:jc w:val="center"/>
              <w:rPr>
                <w:sz w:val="20"/>
                <w:vertAlign w:val="superscript"/>
                <w:lang w:val="fr-FR"/>
              </w:rPr>
            </w:pPr>
            <w:r w:rsidRPr="00DC2F2C">
              <w:rPr>
                <w:sz w:val="20"/>
                <w:lang w:val="fr-FR"/>
              </w:rPr>
              <w:t>Dysphagie</w:t>
            </w:r>
            <w:r w:rsidRPr="00DC2F2C">
              <w:rPr>
                <w:sz w:val="20"/>
                <w:vertAlign w:val="superscript"/>
                <w:lang w:val="fr-FR"/>
              </w:rPr>
              <w:t>18</w:t>
            </w:r>
          </w:p>
          <w:p w14:paraId="0D9D3600" w14:textId="77777777" w:rsidR="00190F18" w:rsidRPr="00DC2F2C" w:rsidRDefault="00190F18" w:rsidP="0092147C">
            <w:pPr>
              <w:keepNext/>
              <w:keepLines/>
              <w:tabs>
                <w:tab w:val="clear" w:pos="567"/>
              </w:tabs>
              <w:spacing w:after="120"/>
              <w:ind w:right="183"/>
              <w:jc w:val="center"/>
              <w:rPr>
                <w:sz w:val="20"/>
                <w:lang w:val="fr-FR"/>
              </w:rPr>
            </w:pPr>
            <w:r w:rsidRPr="00DC2F2C">
              <w:rPr>
                <w:sz w:val="20"/>
                <w:lang w:val="fr-FR"/>
              </w:rPr>
              <w:t>Vomissements</w:t>
            </w:r>
          </w:p>
          <w:p w14:paraId="632D5392" w14:textId="77777777" w:rsidR="00190F18" w:rsidRPr="00DC2F2C" w:rsidRDefault="00190F18" w:rsidP="0092147C">
            <w:pPr>
              <w:keepNext/>
              <w:keepLines/>
              <w:tabs>
                <w:tab w:val="clear" w:pos="567"/>
              </w:tabs>
              <w:spacing w:after="120"/>
              <w:ind w:right="183"/>
              <w:jc w:val="center"/>
              <w:rPr>
                <w:sz w:val="20"/>
                <w:lang w:val="fr-FR"/>
              </w:rPr>
            </w:pPr>
            <w:r w:rsidRPr="00DC2F2C">
              <w:rPr>
                <w:sz w:val="20"/>
                <w:lang w:val="fr-FR"/>
              </w:rPr>
              <w:t>Reflux gastro-œsophagien</w:t>
            </w:r>
          </w:p>
          <w:p w14:paraId="5CEC035F" w14:textId="77777777" w:rsidR="00190F18" w:rsidRPr="00DC2F2C" w:rsidRDefault="00190F18" w:rsidP="0092147C">
            <w:pPr>
              <w:keepNext/>
              <w:keepLines/>
              <w:tabs>
                <w:tab w:val="clear" w:pos="567"/>
              </w:tabs>
              <w:spacing w:after="120"/>
              <w:ind w:right="183"/>
              <w:jc w:val="center"/>
              <w:rPr>
                <w:sz w:val="20"/>
                <w:lang w:val="fr-FR"/>
              </w:rPr>
            </w:pPr>
            <w:r w:rsidRPr="00DC2F2C">
              <w:rPr>
                <w:sz w:val="20"/>
                <w:lang w:val="fr-FR"/>
              </w:rPr>
              <w:t>Distension abdominale</w:t>
            </w:r>
          </w:p>
          <w:p w14:paraId="654A2C99" w14:textId="77777777" w:rsidR="00190F18" w:rsidRPr="00DC2F2C" w:rsidRDefault="00190F18" w:rsidP="0092147C">
            <w:pPr>
              <w:keepNext/>
              <w:keepLines/>
              <w:tabs>
                <w:tab w:val="clear" w:pos="567"/>
              </w:tabs>
              <w:spacing w:after="120"/>
              <w:ind w:right="183"/>
              <w:jc w:val="center"/>
              <w:rPr>
                <w:sz w:val="20"/>
                <w:vertAlign w:val="superscript"/>
                <w:lang w:val="fr-FR"/>
              </w:rPr>
            </w:pPr>
            <w:r w:rsidRPr="00DC2F2C">
              <w:rPr>
                <w:sz w:val="20"/>
                <w:lang w:val="fr-FR"/>
              </w:rPr>
              <w:t>Glossite</w:t>
            </w:r>
            <w:r w:rsidRPr="00DC2F2C">
              <w:rPr>
                <w:sz w:val="20"/>
                <w:vertAlign w:val="superscript"/>
                <w:lang w:val="fr-FR"/>
              </w:rPr>
              <w:t>19</w:t>
            </w:r>
          </w:p>
          <w:p w14:paraId="699DE8A8" w14:textId="77777777" w:rsidR="00190F18" w:rsidRPr="00DC2F2C" w:rsidRDefault="00190F18" w:rsidP="0092147C">
            <w:pPr>
              <w:keepNext/>
              <w:keepLines/>
              <w:tabs>
                <w:tab w:val="clear" w:pos="567"/>
              </w:tabs>
              <w:spacing w:after="120"/>
              <w:ind w:right="183"/>
              <w:jc w:val="center"/>
              <w:rPr>
                <w:sz w:val="20"/>
                <w:vertAlign w:val="superscript"/>
                <w:lang w:val="fr-FR"/>
              </w:rPr>
            </w:pPr>
            <w:r w:rsidRPr="00DC2F2C">
              <w:rPr>
                <w:sz w:val="20"/>
                <w:lang w:val="fr-FR"/>
              </w:rPr>
              <w:t>Gingivite</w:t>
            </w:r>
            <w:r w:rsidRPr="00DC2F2C">
              <w:rPr>
                <w:sz w:val="20"/>
                <w:vertAlign w:val="superscript"/>
                <w:lang w:val="fr-FR"/>
              </w:rPr>
              <w:t>20</w:t>
            </w:r>
          </w:p>
          <w:p w14:paraId="69F377A1" w14:textId="77777777" w:rsidR="00190F18" w:rsidRPr="00DC2F2C" w:rsidRDefault="00190F18" w:rsidP="0092147C">
            <w:pPr>
              <w:keepNext/>
              <w:keepLines/>
              <w:tabs>
                <w:tab w:val="clear" w:pos="567"/>
              </w:tabs>
              <w:spacing w:after="120"/>
              <w:ind w:right="183"/>
              <w:jc w:val="center"/>
              <w:rPr>
                <w:sz w:val="20"/>
                <w:lang w:val="fr-FR"/>
              </w:rPr>
            </w:pPr>
            <w:r w:rsidRPr="00DC2F2C">
              <w:rPr>
                <w:sz w:val="20"/>
                <w:lang w:val="fr-FR"/>
              </w:rPr>
              <w:t>Dyspepsie</w:t>
            </w:r>
          </w:p>
          <w:p w14:paraId="3C414C55" w14:textId="77777777" w:rsidR="00190F18" w:rsidRPr="00DC2F2C" w:rsidRDefault="00190F18" w:rsidP="0092147C">
            <w:pPr>
              <w:keepNext/>
              <w:keepLines/>
              <w:tabs>
                <w:tab w:val="clear" w:pos="567"/>
              </w:tabs>
              <w:spacing w:after="120"/>
              <w:ind w:right="183"/>
              <w:jc w:val="center"/>
              <w:rPr>
                <w:sz w:val="20"/>
                <w:lang w:val="fr-FR"/>
              </w:rPr>
            </w:pPr>
            <w:r w:rsidRPr="00DC2F2C">
              <w:rPr>
                <w:sz w:val="20"/>
                <w:lang w:val="fr-FR"/>
              </w:rPr>
              <w:t>Constipation</w:t>
            </w:r>
          </w:p>
          <w:p w14:paraId="301A217C" w14:textId="77777777" w:rsidR="00190F18" w:rsidRPr="00DC2F2C" w:rsidRDefault="00190F18" w:rsidP="0092147C">
            <w:pPr>
              <w:keepNext/>
              <w:keepLines/>
              <w:tabs>
                <w:tab w:val="clear" w:pos="567"/>
              </w:tabs>
              <w:spacing w:after="120"/>
              <w:ind w:right="183"/>
              <w:jc w:val="center"/>
              <w:rPr>
                <w:sz w:val="20"/>
                <w:lang w:val="fr-FR"/>
              </w:rPr>
            </w:pPr>
            <w:r w:rsidRPr="00DC2F2C">
              <w:rPr>
                <w:sz w:val="20"/>
                <w:lang w:val="fr-FR"/>
              </w:rPr>
              <w:t>Sécheresse buccale</w:t>
            </w:r>
          </w:p>
          <w:p w14:paraId="75836C42" w14:textId="77777777" w:rsidR="00190F18" w:rsidRPr="00DC2F2C" w:rsidRDefault="00190F18" w:rsidP="0092147C">
            <w:pPr>
              <w:keepNext/>
              <w:keepLines/>
              <w:tabs>
                <w:tab w:val="clear" w:pos="567"/>
              </w:tabs>
              <w:spacing w:after="120"/>
              <w:ind w:right="183"/>
              <w:jc w:val="center"/>
              <w:rPr>
                <w:sz w:val="20"/>
                <w:lang w:val="fr-FR"/>
              </w:rPr>
            </w:pPr>
            <w:r w:rsidRPr="00DC2F2C">
              <w:rPr>
                <w:sz w:val="20"/>
                <w:lang w:val="fr-FR"/>
              </w:rPr>
              <w:t>Flatulences</w:t>
            </w:r>
          </w:p>
        </w:tc>
        <w:tc>
          <w:tcPr>
            <w:tcW w:w="1842" w:type="dxa"/>
            <w:tcBorders>
              <w:top w:val="single" w:sz="4" w:space="0" w:color="000000"/>
              <w:left w:val="single" w:sz="4" w:space="0" w:color="000000"/>
              <w:bottom w:val="single" w:sz="4" w:space="0" w:color="000000"/>
              <w:right w:val="single" w:sz="4" w:space="0" w:color="000000"/>
            </w:tcBorders>
          </w:tcPr>
          <w:p w14:paraId="4DDD147D" w14:textId="77777777" w:rsidR="00190F18" w:rsidRPr="00DC2F2C" w:rsidRDefault="00190F18" w:rsidP="00F004DF">
            <w:pPr>
              <w:keepNext/>
              <w:keepLines/>
              <w:tabs>
                <w:tab w:val="clear" w:pos="567"/>
              </w:tabs>
              <w:spacing w:after="120"/>
              <w:ind w:right="183"/>
              <w:jc w:val="center"/>
              <w:rPr>
                <w:sz w:val="20"/>
                <w:lang w:val="fr-FR"/>
              </w:rPr>
            </w:pPr>
            <w:r w:rsidRPr="00DC2F2C">
              <w:rPr>
                <w:sz w:val="20"/>
                <w:lang w:val="fr-FR"/>
              </w:rPr>
              <w:t xml:space="preserve">Ulcère duodénal </w:t>
            </w:r>
          </w:p>
        </w:tc>
        <w:tc>
          <w:tcPr>
            <w:tcW w:w="1418" w:type="dxa"/>
            <w:tcBorders>
              <w:top w:val="single" w:sz="4" w:space="0" w:color="000000"/>
              <w:left w:val="single" w:sz="4" w:space="0" w:color="000000"/>
              <w:bottom w:val="single" w:sz="4" w:space="0" w:color="000000"/>
              <w:right w:val="single" w:sz="4" w:space="0" w:color="000000"/>
            </w:tcBorders>
          </w:tcPr>
          <w:p w14:paraId="3567EAA2" w14:textId="77777777" w:rsidR="00190F18" w:rsidRPr="00DC2F2C" w:rsidRDefault="00190F18" w:rsidP="0092147C">
            <w:pPr>
              <w:keepNext/>
              <w:keepLines/>
              <w:tabs>
                <w:tab w:val="clear" w:pos="567"/>
              </w:tabs>
              <w:spacing w:after="120"/>
              <w:ind w:right="183"/>
              <w:jc w:val="center"/>
              <w:rPr>
                <w:sz w:val="20"/>
                <w:lang w:val="fr-FR"/>
              </w:rPr>
            </w:pPr>
          </w:p>
        </w:tc>
        <w:tc>
          <w:tcPr>
            <w:tcW w:w="1559" w:type="dxa"/>
            <w:tcBorders>
              <w:top w:val="single" w:sz="4" w:space="0" w:color="000000"/>
              <w:left w:val="single" w:sz="4" w:space="0" w:color="000000"/>
              <w:bottom w:val="single" w:sz="4" w:space="0" w:color="000000"/>
              <w:right w:val="single" w:sz="4" w:space="0" w:color="000000"/>
            </w:tcBorders>
          </w:tcPr>
          <w:p w14:paraId="4EB7DC56" w14:textId="77777777" w:rsidR="00190F18" w:rsidRPr="00DC2F2C" w:rsidRDefault="00190F18" w:rsidP="0092147C">
            <w:pPr>
              <w:keepNext/>
              <w:keepLines/>
              <w:tabs>
                <w:tab w:val="clear" w:pos="567"/>
              </w:tabs>
              <w:spacing w:after="120"/>
              <w:ind w:right="183"/>
              <w:jc w:val="center"/>
              <w:rPr>
                <w:sz w:val="20"/>
                <w:lang w:val="fr-FR"/>
              </w:rPr>
            </w:pPr>
          </w:p>
        </w:tc>
      </w:tr>
      <w:tr w:rsidR="00190F18" w:rsidRPr="002605B1" w14:paraId="6AD77760" w14:textId="7E8CA75B" w:rsidTr="00FF2165">
        <w:trPr>
          <w:cantSplit/>
        </w:trPr>
        <w:tc>
          <w:tcPr>
            <w:tcW w:w="1737" w:type="dxa"/>
            <w:tcBorders>
              <w:top w:val="single" w:sz="4" w:space="0" w:color="000000"/>
              <w:left w:val="single" w:sz="4" w:space="0" w:color="000000"/>
              <w:right w:val="single" w:sz="4" w:space="0" w:color="000000"/>
            </w:tcBorders>
            <w:hideMark/>
          </w:tcPr>
          <w:p w14:paraId="365256C2" w14:textId="77777777" w:rsidR="00190F18" w:rsidRPr="00DC2F2C" w:rsidRDefault="00190F18" w:rsidP="0092147C">
            <w:pPr>
              <w:tabs>
                <w:tab w:val="clear" w:pos="567"/>
              </w:tabs>
              <w:spacing w:after="120"/>
              <w:ind w:left="142"/>
              <w:jc w:val="center"/>
              <w:rPr>
                <w:sz w:val="20"/>
                <w:lang w:val="fr-FR"/>
              </w:rPr>
            </w:pPr>
            <w:r w:rsidRPr="00DC2F2C">
              <w:rPr>
                <w:sz w:val="20"/>
                <w:lang w:val="fr-FR"/>
              </w:rPr>
              <w:t>Affections hépatobiliaires</w:t>
            </w:r>
          </w:p>
        </w:tc>
        <w:tc>
          <w:tcPr>
            <w:tcW w:w="1660" w:type="dxa"/>
            <w:tcBorders>
              <w:top w:val="single" w:sz="4" w:space="0" w:color="000000"/>
              <w:left w:val="single" w:sz="4" w:space="0" w:color="000000"/>
              <w:bottom w:val="single" w:sz="4" w:space="0" w:color="000000"/>
              <w:right w:val="single" w:sz="4" w:space="0" w:color="000000"/>
            </w:tcBorders>
            <w:hideMark/>
          </w:tcPr>
          <w:p w14:paraId="0FD728F8" w14:textId="77777777" w:rsidR="00190F18" w:rsidRPr="00DC2F2C" w:rsidRDefault="00190F18" w:rsidP="0092147C">
            <w:pPr>
              <w:tabs>
                <w:tab w:val="clear" w:pos="567"/>
              </w:tabs>
              <w:spacing w:after="120"/>
              <w:ind w:left="129" w:right="188"/>
              <w:jc w:val="center"/>
              <w:rPr>
                <w:sz w:val="20"/>
                <w:lang w:val="fr-FR"/>
              </w:rPr>
            </w:pPr>
          </w:p>
        </w:tc>
        <w:tc>
          <w:tcPr>
            <w:tcW w:w="1560" w:type="dxa"/>
            <w:tcBorders>
              <w:top w:val="single" w:sz="4" w:space="0" w:color="000000"/>
              <w:left w:val="single" w:sz="4" w:space="0" w:color="000000"/>
              <w:bottom w:val="single" w:sz="4" w:space="0" w:color="000000"/>
              <w:right w:val="single" w:sz="4" w:space="0" w:color="000000"/>
            </w:tcBorders>
            <w:hideMark/>
          </w:tcPr>
          <w:p w14:paraId="4C4B796D" w14:textId="77777777" w:rsidR="00190F18" w:rsidRPr="00DC2F2C" w:rsidRDefault="00190F18" w:rsidP="0092147C">
            <w:pPr>
              <w:tabs>
                <w:tab w:val="clear" w:pos="567"/>
              </w:tabs>
              <w:spacing w:after="120"/>
              <w:ind w:right="183"/>
              <w:jc w:val="center"/>
              <w:rPr>
                <w:sz w:val="20"/>
                <w:vertAlign w:val="superscript"/>
                <w:lang w:val="fr-FR"/>
              </w:rPr>
            </w:pPr>
            <w:r w:rsidRPr="00DC2F2C">
              <w:rPr>
                <w:sz w:val="20"/>
                <w:lang w:val="fr-FR"/>
              </w:rPr>
              <w:t>Augmentation du taux d’ALAT/ASAT</w:t>
            </w:r>
            <w:r w:rsidRPr="00DC2F2C">
              <w:rPr>
                <w:sz w:val="20"/>
                <w:vertAlign w:val="superscript"/>
                <w:lang w:val="fr-FR"/>
              </w:rPr>
              <w:t xml:space="preserve"> 21</w:t>
            </w:r>
          </w:p>
          <w:p w14:paraId="067E2172" w14:textId="77777777" w:rsidR="00190F18" w:rsidRPr="00DC2F2C" w:rsidRDefault="00190F18" w:rsidP="0092147C">
            <w:pPr>
              <w:tabs>
                <w:tab w:val="clear" w:pos="567"/>
              </w:tabs>
              <w:spacing w:after="120"/>
              <w:ind w:right="183"/>
              <w:jc w:val="center"/>
              <w:rPr>
                <w:sz w:val="20"/>
                <w:lang w:val="fr-FR"/>
              </w:rPr>
            </w:pPr>
            <w:r w:rsidRPr="00DC2F2C">
              <w:rPr>
                <w:sz w:val="20"/>
                <w:lang w:val="fr-FR"/>
              </w:rPr>
              <w:t>Augmentation du taux de gamma-glutamyl-transférase</w:t>
            </w:r>
          </w:p>
          <w:p w14:paraId="2FD5B389" w14:textId="77777777" w:rsidR="00190F18" w:rsidRPr="00DC2F2C" w:rsidRDefault="00190F18" w:rsidP="0092147C">
            <w:pPr>
              <w:tabs>
                <w:tab w:val="clear" w:pos="567"/>
              </w:tabs>
              <w:spacing w:after="120"/>
              <w:ind w:right="183"/>
              <w:jc w:val="center"/>
              <w:rPr>
                <w:sz w:val="20"/>
                <w:lang w:val="fr-FR" w:eastAsia="ja-JP"/>
              </w:rPr>
            </w:pPr>
            <w:r w:rsidRPr="00DC2F2C">
              <w:rPr>
                <w:sz w:val="20"/>
                <w:lang w:val="fr-FR"/>
              </w:rPr>
              <w:t>Augmentation du taux sanguin de phosphatase alcaline</w:t>
            </w:r>
          </w:p>
        </w:tc>
        <w:tc>
          <w:tcPr>
            <w:tcW w:w="1842" w:type="dxa"/>
            <w:tcBorders>
              <w:top w:val="single" w:sz="4" w:space="0" w:color="000000"/>
              <w:left w:val="single" w:sz="4" w:space="0" w:color="000000"/>
              <w:bottom w:val="single" w:sz="4" w:space="0" w:color="000000"/>
              <w:right w:val="single" w:sz="4" w:space="0" w:color="000000"/>
            </w:tcBorders>
          </w:tcPr>
          <w:p w14:paraId="34554D30" w14:textId="77777777" w:rsidR="00190F18" w:rsidRPr="00DC2F2C" w:rsidRDefault="00190F18" w:rsidP="0092147C">
            <w:pPr>
              <w:tabs>
                <w:tab w:val="clear" w:pos="567"/>
              </w:tabs>
              <w:spacing w:after="120"/>
              <w:ind w:right="183"/>
              <w:jc w:val="center"/>
              <w:rPr>
                <w:sz w:val="20"/>
                <w:lang w:val="fr-FR" w:eastAsia="ja-JP"/>
              </w:rPr>
            </w:pPr>
          </w:p>
        </w:tc>
        <w:tc>
          <w:tcPr>
            <w:tcW w:w="1418" w:type="dxa"/>
            <w:tcBorders>
              <w:top w:val="single" w:sz="4" w:space="0" w:color="000000"/>
              <w:left w:val="single" w:sz="4" w:space="0" w:color="000000"/>
              <w:bottom w:val="single" w:sz="4" w:space="0" w:color="000000"/>
              <w:right w:val="single" w:sz="4" w:space="0" w:color="000000"/>
            </w:tcBorders>
          </w:tcPr>
          <w:p w14:paraId="477EE9AD" w14:textId="77777777" w:rsidR="00190F18" w:rsidRPr="00DC2F2C" w:rsidRDefault="00190F18" w:rsidP="0092147C">
            <w:pPr>
              <w:tabs>
                <w:tab w:val="clear" w:pos="567"/>
              </w:tabs>
              <w:spacing w:after="120"/>
              <w:ind w:right="183"/>
              <w:jc w:val="center"/>
              <w:rPr>
                <w:sz w:val="20"/>
                <w:lang w:val="fr-FR" w:eastAsia="ja-JP"/>
              </w:rPr>
            </w:pPr>
          </w:p>
        </w:tc>
        <w:tc>
          <w:tcPr>
            <w:tcW w:w="1559" w:type="dxa"/>
            <w:tcBorders>
              <w:top w:val="single" w:sz="4" w:space="0" w:color="000000"/>
              <w:left w:val="single" w:sz="4" w:space="0" w:color="000000"/>
              <w:bottom w:val="single" w:sz="4" w:space="0" w:color="000000"/>
              <w:right w:val="single" w:sz="4" w:space="0" w:color="000000"/>
            </w:tcBorders>
          </w:tcPr>
          <w:p w14:paraId="74FD3F46" w14:textId="77777777" w:rsidR="00190F18" w:rsidRPr="00DC2F2C" w:rsidRDefault="00190F18" w:rsidP="0092147C">
            <w:pPr>
              <w:tabs>
                <w:tab w:val="clear" w:pos="567"/>
              </w:tabs>
              <w:spacing w:after="120"/>
              <w:ind w:right="183"/>
              <w:jc w:val="center"/>
              <w:rPr>
                <w:sz w:val="20"/>
                <w:lang w:val="fr-FR" w:eastAsia="ja-JP"/>
              </w:rPr>
            </w:pPr>
          </w:p>
        </w:tc>
      </w:tr>
      <w:tr w:rsidR="00190F18" w:rsidRPr="00DC2F2C" w14:paraId="64D13001" w14:textId="32714BF4" w:rsidTr="00FF2165">
        <w:trPr>
          <w:cantSplit/>
        </w:trPr>
        <w:tc>
          <w:tcPr>
            <w:tcW w:w="1737" w:type="dxa"/>
            <w:tcBorders>
              <w:top w:val="single" w:sz="4" w:space="0" w:color="000000"/>
              <w:left w:val="single" w:sz="4" w:space="0" w:color="000000"/>
              <w:right w:val="single" w:sz="4" w:space="0" w:color="000000"/>
            </w:tcBorders>
            <w:hideMark/>
          </w:tcPr>
          <w:p w14:paraId="670B7C6F" w14:textId="77777777" w:rsidR="00190F18" w:rsidRPr="00DC2F2C" w:rsidRDefault="00190F18" w:rsidP="0092147C">
            <w:pPr>
              <w:tabs>
                <w:tab w:val="clear" w:pos="567"/>
              </w:tabs>
              <w:spacing w:after="120"/>
              <w:ind w:left="142"/>
              <w:jc w:val="center"/>
              <w:rPr>
                <w:sz w:val="20"/>
                <w:lang w:val="fr-FR"/>
              </w:rPr>
            </w:pPr>
            <w:r w:rsidRPr="00DC2F2C">
              <w:rPr>
                <w:sz w:val="20"/>
                <w:lang w:val="fr-FR"/>
              </w:rPr>
              <w:lastRenderedPageBreak/>
              <w:t>Affections de la peau et du tissu sous-cutané</w:t>
            </w:r>
          </w:p>
        </w:tc>
        <w:tc>
          <w:tcPr>
            <w:tcW w:w="1660" w:type="dxa"/>
            <w:tcBorders>
              <w:top w:val="single" w:sz="4" w:space="0" w:color="000000"/>
              <w:left w:val="single" w:sz="4" w:space="0" w:color="000000"/>
              <w:bottom w:val="single" w:sz="4" w:space="0" w:color="000000"/>
              <w:right w:val="single" w:sz="4" w:space="0" w:color="000000"/>
            </w:tcBorders>
            <w:hideMark/>
          </w:tcPr>
          <w:p w14:paraId="3EB19128" w14:textId="77777777" w:rsidR="00190F18" w:rsidRPr="00DC2F2C" w:rsidRDefault="00190F18" w:rsidP="0092147C">
            <w:pPr>
              <w:tabs>
                <w:tab w:val="clear" w:pos="567"/>
              </w:tabs>
              <w:spacing w:after="120"/>
              <w:ind w:left="129" w:right="188"/>
              <w:jc w:val="center"/>
              <w:rPr>
                <w:sz w:val="20"/>
                <w:lang w:val="fr-FR"/>
              </w:rPr>
            </w:pPr>
            <w:proofErr w:type="spellStart"/>
            <w:r w:rsidRPr="00DC2F2C">
              <w:rPr>
                <w:sz w:val="20"/>
                <w:lang w:val="fr-FR"/>
              </w:rPr>
              <w:t>Érythrodysesthésie</w:t>
            </w:r>
            <w:proofErr w:type="spellEnd"/>
            <w:r w:rsidRPr="00DC2F2C">
              <w:rPr>
                <w:sz w:val="20"/>
                <w:lang w:val="fr-FR"/>
              </w:rPr>
              <w:t xml:space="preserve"> </w:t>
            </w:r>
            <w:proofErr w:type="spellStart"/>
            <w:r w:rsidRPr="00DC2F2C">
              <w:rPr>
                <w:sz w:val="20"/>
                <w:lang w:val="fr-FR"/>
              </w:rPr>
              <w:t>palmo-plantaire</w:t>
            </w:r>
            <w:proofErr w:type="spellEnd"/>
            <w:r w:rsidRPr="00DC2F2C">
              <w:rPr>
                <w:sz w:val="20"/>
                <w:lang w:val="fr-FR"/>
              </w:rPr>
              <w:t xml:space="preserve"> (EPP)/syndrome main-pied</w:t>
            </w:r>
          </w:p>
        </w:tc>
        <w:tc>
          <w:tcPr>
            <w:tcW w:w="1560" w:type="dxa"/>
            <w:tcBorders>
              <w:top w:val="single" w:sz="4" w:space="0" w:color="000000"/>
              <w:left w:val="single" w:sz="4" w:space="0" w:color="000000"/>
              <w:bottom w:val="single" w:sz="4" w:space="0" w:color="000000"/>
              <w:right w:val="single" w:sz="4" w:space="0" w:color="000000"/>
            </w:tcBorders>
            <w:hideMark/>
          </w:tcPr>
          <w:p w14:paraId="3D1A7569" w14:textId="77777777" w:rsidR="00190F18" w:rsidRPr="00DC2F2C" w:rsidRDefault="00190F18" w:rsidP="0092147C">
            <w:pPr>
              <w:tabs>
                <w:tab w:val="clear" w:pos="567"/>
              </w:tabs>
              <w:spacing w:after="120"/>
              <w:jc w:val="center"/>
              <w:rPr>
                <w:sz w:val="20"/>
                <w:lang w:val="fr-FR"/>
              </w:rPr>
            </w:pPr>
            <w:r w:rsidRPr="00DC2F2C">
              <w:rPr>
                <w:sz w:val="20"/>
                <w:lang w:val="fr-FR"/>
              </w:rPr>
              <w:t>Exfoliation cutanée</w:t>
            </w:r>
          </w:p>
          <w:p w14:paraId="3B171ABB" w14:textId="77777777" w:rsidR="00190F18" w:rsidRPr="00DC2F2C" w:rsidRDefault="00190F18" w:rsidP="0092147C">
            <w:pPr>
              <w:tabs>
                <w:tab w:val="clear" w:pos="567"/>
              </w:tabs>
              <w:spacing w:after="120"/>
              <w:jc w:val="center"/>
              <w:rPr>
                <w:sz w:val="20"/>
                <w:vertAlign w:val="superscript"/>
                <w:lang w:val="fr-FR"/>
              </w:rPr>
            </w:pPr>
            <w:r w:rsidRPr="00DC2F2C">
              <w:rPr>
                <w:sz w:val="20"/>
                <w:lang w:val="fr-FR"/>
              </w:rPr>
              <w:t>Érythème</w:t>
            </w:r>
            <w:r w:rsidRPr="00DC2F2C">
              <w:rPr>
                <w:sz w:val="20"/>
                <w:vertAlign w:val="superscript"/>
                <w:lang w:val="fr-FR"/>
              </w:rPr>
              <w:t xml:space="preserve"> 22</w:t>
            </w:r>
          </w:p>
          <w:p w14:paraId="00694CC2" w14:textId="77777777" w:rsidR="00190F18" w:rsidRPr="00DC2F2C" w:rsidRDefault="00190F18" w:rsidP="0092147C">
            <w:pPr>
              <w:tabs>
                <w:tab w:val="clear" w:pos="567"/>
              </w:tabs>
              <w:spacing w:after="120"/>
              <w:jc w:val="center"/>
              <w:rPr>
                <w:sz w:val="20"/>
                <w:vertAlign w:val="superscript"/>
                <w:lang w:val="fr-FR"/>
              </w:rPr>
            </w:pPr>
            <w:r w:rsidRPr="00DC2F2C">
              <w:rPr>
                <w:sz w:val="20"/>
                <w:lang w:val="fr-FR"/>
              </w:rPr>
              <w:t>Prurit</w:t>
            </w:r>
            <w:r w:rsidRPr="00DC2F2C">
              <w:rPr>
                <w:sz w:val="20"/>
                <w:vertAlign w:val="superscript"/>
                <w:lang w:val="fr-FR"/>
              </w:rPr>
              <w:t>23</w:t>
            </w:r>
          </w:p>
          <w:p w14:paraId="62B25344" w14:textId="77777777" w:rsidR="00190F18" w:rsidRPr="00DC2F2C" w:rsidRDefault="00190F18" w:rsidP="0092147C">
            <w:pPr>
              <w:tabs>
                <w:tab w:val="clear" w:pos="567"/>
              </w:tabs>
              <w:spacing w:after="120"/>
              <w:jc w:val="center"/>
              <w:rPr>
                <w:sz w:val="20"/>
                <w:lang w:val="fr-FR"/>
              </w:rPr>
            </w:pPr>
            <w:r w:rsidRPr="00DC2F2C">
              <w:rPr>
                <w:sz w:val="20"/>
                <w:lang w:val="fr-FR"/>
              </w:rPr>
              <w:t>Alopécie</w:t>
            </w:r>
          </w:p>
          <w:p w14:paraId="6E3138A9" w14:textId="77777777" w:rsidR="00190F18" w:rsidRPr="00DC2F2C" w:rsidRDefault="00190F18" w:rsidP="0092147C">
            <w:pPr>
              <w:tabs>
                <w:tab w:val="clear" w:pos="567"/>
              </w:tabs>
              <w:spacing w:after="120"/>
              <w:jc w:val="center"/>
              <w:rPr>
                <w:sz w:val="20"/>
                <w:vertAlign w:val="superscript"/>
                <w:lang w:val="fr-FR"/>
              </w:rPr>
            </w:pPr>
            <w:r w:rsidRPr="00DC2F2C">
              <w:rPr>
                <w:sz w:val="20"/>
                <w:lang w:val="fr-FR"/>
              </w:rPr>
              <w:t>Éruption cutanée</w:t>
            </w:r>
            <w:r w:rsidRPr="00DC2F2C">
              <w:rPr>
                <w:sz w:val="20"/>
                <w:vertAlign w:val="superscript"/>
                <w:lang w:val="fr-FR"/>
              </w:rPr>
              <w:t>24</w:t>
            </w:r>
          </w:p>
          <w:p w14:paraId="71579544" w14:textId="77777777" w:rsidR="00190F18" w:rsidRPr="00DC2F2C" w:rsidRDefault="00190F18" w:rsidP="0092147C">
            <w:pPr>
              <w:tabs>
                <w:tab w:val="clear" w:pos="567"/>
              </w:tabs>
              <w:spacing w:after="120"/>
              <w:jc w:val="center"/>
              <w:rPr>
                <w:sz w:val="20"/>
                <w:vertAlign w:val="superscript"/>
                <w:lang w:val="fr-FR"/>
              </w:rPr>
            </w:pPr>
            <w:r w:rsidRPr="00DC2F2C">
              <w:rPr>
                <w:sz w:val="20"/>
                <w:lang w:val="fr-FR"/>
              </w:rPr>
              <w:t>Acné</w:t>
            </w:r>
            <w:r w:rsidRPr="00DC2F2C">
              <w:rPr>
                <w:sz w:val="20"/>
                <w:vertAlign w:val="superscript"/>
                <w:lang w:val="fr-FR"/>
              </w:rPr>
              <w:t>25</w:t>
            </w:r>
          </w:p>
          <w:p w14:paraId="480644DE" w14:textId="77777777" w:rsidR="00190F18" w:rsidRPr="00DC2F2C" w:rsidRDefault="00190F18" w:rsidP="0092147C">
            <w:pPr>
              <w:tabs>
                <w:tab w:val="clear" w:pos="567"/>
              </w:tabs>
              <w:spacing w:after="120"/>
              <w:jc w:val="center"/>
              <w:rPr>
                <w:rFonts w:eastAsia="Calibri"/>
                <w:sz w:val="20"/>
                <w:lang w:val="fr-FR"/>
              </w:rPr>
            </w:pPr>
            <w:r w:rsidRPr="00DC2F2C">
              <w:rPr>
                <w:sz w:val="20"/>
                <w:lang w:val="fr-FR"/>
              </w:rPr>
              <w:t>Sécheresse cutanée</w:t>
            </w:r>
          </w:p>
        </w:tc>
        <w:tc>
          <w:tcPr>
            <w:tcW w:w="1842" w:type="dxa"/>
            <w:tcBorders>
              <w:top w:val="single" w:sz="4" w:space="0" w:color="000000"/>
              <w:left w:val="single" w:sz="4" w:space="0" w:color="000000"/>
              <w:bottom w:val="single" w:sz="4" w:space="0" w:color="000000"/>
              <w:right w:val="single" w:sz="4" w:space="0" w:color="000000"/>
            </w:tcBorders>
          </w:tcPr>
          <w:p w14:paraId="338CD988" w14:textId="77777777" w:rsidR="00190F18" w:rsidRPr="00DC2F2C" w:rsidRDefault="00190F18" w:rsidP="0092147C">
            <w:pPr>
              <w:tabs>
                <w:tab w:val="clear" w:pos="567"/>
              </w:tabs>
              <w:spacing w:after="120"/>
              <w:ind w:right="183"/>
              <w:jc w:val="center"/>
              <w:rPr>
                <w:sz w:val="20"/>
                <w:lang w:val="fr-FR"/>
              </w:rPr>
            </w:pPr>
            <w:r w:rsidRPr="00DC2F2C">
              <w:rPr>
                <w:sz w:val="20"/>
                <w:lang w:val="fr-FR"/>
              </w:rPr>
              <w:t>Urticaire</w:t>
            </w:r>
          </w:p>
          <w:p w14:paraId="3D820AED" w14:textId="77777777" w:rsidR="00190F18" w:rsidRPr="00DC2F2C" w:rsidRDefault="00190F18" w:rsidP="0092147C">
            <w:pPr>
              <w:tabs>
                <w:tab w:val="clear" w:pos="567"/>
              </w:tabs>
              <w:spacing w:after="120"/>
              <w:ind w:right="183"/>
              <w:jc w:val="center"/>
              <w:rPr>
                <w:sz w:val="20"/>
                <w:vertAlign w:val="superscript"/>
                <w:lang w:val="fr-FR"/>
              </w:rPr>
            </w:pPr>
            <w:r w:rsidRPr="00DC2F2C">
              <w:rPr>
                <w:sz w:val="20"/>
                <w:lang w:val="fr-FR"/>
              </w:rPr>
              <w:t>Dermatite</w:t>
            </w:r>
            <w:r w:rsidRPr="00DC2F2C">
              <w:rPr>
                <w:sz w:val="20"/>
                <w:vertAlign w:val="superscript"/>
                <w:lang w:val="fr-FR"/>
              </w:rPr>
              <w:t>26</w:t>
            </w:r>
          </w:p>
          <w:p w14:paraId="40E9FBBE" w14:textId="77777777" w:rsidR="00190F18" w:rsidRPr="00DC2F2C" w:rsidRDefault="00190F18" w:rsidP="0092147C">
            <w:pPr>
              <w:tabs>
                <w:tab w:val="clear" w:pos="567"/>
              </w:tabs>
              <w:spacing w:after="120"/>
              <w:ind w:right="183"/>
              <w:jc w:val="center"/>
              <w:rPr>
                <w:rFonts w:eastAsia="Calibri"/>
                <w:sz w:val="20"/>
                <w:lang w:val="fr-FR"/>
              </w:rPr>
            </w:pPr>
            <w:r w:rsidRPr="00DC2F2C">
              <w:rPr>
                <w:rFonts w:eastAsia="Calibri"/>
                <w:sz w:val="20"/>
                <w:lang w:val="fr-FR"/>
              </w:rPr>
              <w:t>Hyperhidrose</w:t>
            </w:r>
          </w:p>
          <w:p w14:paraId="6B6B7319" w14:textId="77777777" w:rsidR="00190F18" w:rsidRPr="00DC2F2C" w:rsidRDefault="00190F18" w:rsidP="0092147C">
            <w:pPr>
              <w:tabs>
                <w:tab w:val="clear" w:pos="567"/>
              </w:tabs>
              <w:spacing w:after="120"/>
              <w:ind w:right="183"/>
              <w:jc w:val="center"/>
              <w:rPr>
                <w:sz w:val="20"/>
                <w:lang w:val="fr-FR" w:eastAsia="ja-JP"/>
              </w:rPr>
            </w:pPr>
            <w:r w:rsidRPr="00DC2F2C">
              <w:rPr>
                <w:sz w:val="20"/>
                <w:lang w:val="fr-FR"/>
              </w:rPr>
              <w:t>Xérodermie</w:t>
            </w:r>
          </w:p>
        </w:tc>
        <w:tc>
          <w:tcPr>
            <w:tcW w:w="1418" w:type="dxa"/>
            <w:tcBorders>
              <w:top w:val="single" w:sz="4" w:space="0" w:color="000000"/>
              <w:left w:val="single" w:sz="4" w:space="0" w:color="000000"/>
              <w:bottom w:val="single" w:sz="4" w:space="0" w:color="000000"/>
              <w:right w:val="single" w:sz="4" w:space="0" w:color="000000"/>
            </w:tcBorders>
          </w:tcPr>
          <w:p w14:paraId="142B8670" w14:textId="77777777" w:rsidR="00190F18" w:rsidRPr="00DC2F2C" w:rsidRDefault="00190F18" w:rsidP="0092147C">
            <w:pPr>
              <w:tabs>
                <w:tab w:val="clear" w:pos="567"/>
              </w:tabs>
              <w:spacing w:after="120"/>
              <w:ind w:right="183"/>
              <w:jc w:val="center"/>
              <w:rPr>
                <w:sz w:val="20"/>
                <w:lang w:val="fr-FR" w:eastAsia="ja-JP"/>
              </w:rPr>
            </w:pPr>
          </w:p>
        </w:tc>
        <w:tc>
          <w:tcPr>
            <w:tcW w:w="1559" w:type="dxa"/>
            <w:tcBorders>
              <w:top w:val="single" w:sz="4" w:space="0" w:color="000000"/>
              <w:left w:val="single" w:sz="4" w:space="0" w:color="000000"/>
              <w:bottom w:val="single" w:sz="4" w:space="0" w:color="000000"/>
              <w:right w:val="single" w:sz="4" w:space="0" w:color="000000"/>
            </w:tcBorders>
          </w:tcPr>
          <w:p w14:paraId="3F7B9C4B" w14:textId="77777777" w:rsidR="00190F18" w:rsidRPr="00DC2F2C" w:rsidRDefault="00190F18" w:rsidP="0092147C">
            <w:pPr>
              <w:tabs>
                <w:tab w:val="clear" w:pos="567"/>
              </w:tabs>
              <w:spacing w:after="120"/>
              <w:ind w:right="183"/>
              <w:jc w:val="center"/>
              <w:rPr>
                <w:sz w:val="20"/>
                <w:lang w:val="fr-FR" w:eastAsia="ja-JP"/>
              </w:rPr>
            </w:pPr>
          </w:p>
        </w:tc>
      </w:tr>
      <w:tr w:rsidR="00190F18" w:rsidRPr="00DC2F2C" w14:paraId="7F5E0D45" w14:textId="0427BC1F" w:rsidTr="00FF2165">
        <w:trPr>
          <w:cantSplit/>
        </w:trPr>
        <w:tc>
          <w:tcPr>
            <w:tcW w:w="1737" w:type="dxa"/>
            <w:tcBorders>
              <w:top w:val="single" w:sz="4" w:space="0" w:color="000000"/>
              <w:left w:val="single" w:sz="4" w:space="0" w:color="000000"/>
              <w:right w:val="single" w:sz="4" w:space="0" w:color="000000"/>
            </w:tcBorders>
            <w:hideMark/>
          </w:tcPr>
          <w:p w14:paraId="482B94D8" w14:textId="77777777" w:rsidR="00190F18" w:rsidRPr="00DC2F2C" w:rsidRDefault="00190F18" w:rsidP="0092147C">
            <w:pPr>
              <w:tabs>
                <w:tab w:val="clear" w:pos="567"/>
              </w:tabs>
              <w:spacing w:after="120"/>
              <w:ind w:left="142"/>
              <w:jc w:val="center"/>
              <w:rPr>
                <w:sz w:val="20"/>
                <w:lang w:val="fr-FR" w:eastAsia="ja-JP"/>
              </w:rPr>
            </w:pPr>
            <w:r w:rsidRPr="00DC2F2C">
              <w:rPr>
                <w:sz w:val="20"/>
                <w:lang w:val="fr-FR" w:eastAsia="ja-JP"/>
              </w:rPr>
              <w:t xml:space="preserve">Affections </w:t>
            </w:r>
            <w:proofErr w:type="spellStart"/>
            <w:r w:rsidRPr="00DC2F2C">
              <w:rPr>
                <w:sz w:val="20"/>
                <w:lang w:val="fr-FR" w:eastAsia="ja-JP"/>
              </w:rPr>
              <w:t>musculo-squelettiques</w:t>
            </w:r>
            <w:proofErr w:type="spellEnd"/>
            <w:r w:rsidRPr="00DC2F2C">
              <w:rPr>
                <w:sz w:val="20"/>
                <w:lang w:val="fr-FR" w:eastAsia="ja-JP"/>
              </w:rPr>
              <w:t xml:space="preserve"> et systémiques</w:t>
            </w:r>
          </w:p>
        </w:tc>
        <w:tc>
          <w:tcPr>
            <w:tcW w:w="1660" w:type="dxa"/>
            <w:tcBorders>
              <w:top w:val="single" w:sz="4" w:space="0" w:color="000000"/>
              <w:left w:val="single" w:sz="4" w:space="0" w:color="000000"/>
              <w:bottom w:val="single" w:sz="4" w:space="0" w:color="000000"/>
              <w:right w:val="single" w:sz="4" w:space="0" w:color="000000"/>
            </w:tcBorders>
            <w:hideMark/>
          </w:tcPr>
          <w:p w14:paraId="4AF9ED52" w14:textId="77777777" w:rsidR="00190F18" w:rsidRPr="00DC2F2C" w:rsidRDefault="00190F18" w:rsidP="0092147C">
            <w:pPr>
              <w:tabs>
                <w:tab w:val="clear" w:pos="567"/>
              </w:tabs>
              <w:spacing w:after="120"/>
              <w:ind w:left="129" w:right="188"/>
              <w:jc w:val="center"/>
              <w:rPr>
                <w:sz w:val="20"/>
                <w:lang w:val="fr-FR" w:eastAsia="ja-JP"/>
              </w:rPr>
            </w:pPr>
            <w:r w:rsidRPr="00DC2F2C">
              <w:rPr>
                <w:sz w:val="20"/>
                <w:lang w:val="fr-FR" w:eastAsia="ja-JP"/>
              </w:rPr>
              <w:t>Dorsalgie</w:t>
            </w:r>
          </w:p>
        </w:tc>
        <w:tc>
          <w:tcPr>
            <w:tcW w:w="1560" w:type="dxa"/>
            <w:tcBorders>
              <w:top w:val="single" w:sz="4" w:space="0" w:color="000000"/>
              <w:left w:val="single" w:sz="4" w:space="0" w:color="000000"/>
              <w:bottom w:val="single" w:sz="4" w:space="0" w:color="000000"/>
              <w:right w:val="single" w:sz="4" w:space="0" w:color="000000"/>
            </w:tcBorders>
            <w:hideMark/>
          </w:tcPr>
          <w:p w14:paraId="71124E3C" w14:textId="77777777" w:rsidR="00190F18" w:rsidRPr="00DC2F2C" w:rsidRDefault="00190F18" w:rsidP="0092147C">
            <w:pPr>
              <w:tabs>
                <w:tab w:val="clear" w:pos="567"/>
              </w:tabs>
              <w:spacing w:after="120"/>
              <w:jc w:val="center"/>
              <w:rPr>
                <w:sz w:val="20"/>
                <w:lang w:val="fr-FR" w:eastAsia="ja-JP"/>
              </w:rPr>
            </w:pPr>
            <w:r w:rsidRPr="00DC2F2C">
              <w:rPr>
                <w:sz w:val="20"/>
                <w:lang w:val="fr-FR" w:eastAsia="ja-JP"/>
              </w:rPr>
              <w:t>Arthralgie</w:t>
            </w:r>
          </w:p>
          <w:p w14:paraId="66503FC4" w14:textId="77777777" w:rsidR="00190F18" w:rsidRPr="00DC2F2C" w:rsidRDefault="00190F18" w:rsidP="0092147C">
            <w:pPr>
              <w:tabs>
                <w:tab w:val="clear" w:pos="567"/>
              </w:tabs>
              <w:spacing w:after="120"/>
              <w:jc w:val="center"/>
              <w:rPr>
                <w:sz w:val="20"/>
                <w:lang w:val="fr-FR" w:eastAsia="ja-JP"/>
              </w:rPr>
            </w:pPr>
            <w:r w:rsidRPr="00DC2F2C">
              <w:rPr>
                <w:sz w:val="20"/>
                <w:lang w:val="fr-FR" w:eastAsia="ja-JP"/>
              </w:rPr>
              <w:t>Myalgie</w:t>
            </w:r>
          </w:p>
          <w:p w14:paraId="2FAB38AB" w14:textId="77777777" w:rsidR="00190F18" w:rsidRPr="00DC2F2C" w:rsidRDefault="00190F18" w:rsidP="0092147C">
            <w:pPr>
              <w:tabs>
                <w:tab w:val="clear" w:pos="567"/>
              </w:tabs>
              <w:spacing w:after="120"/>
              <w:jc w:val="center"/>
              <w:rPr>
                <w:rFonts w:eastAsia="Calibri"/>
                <w:color w:val="000000"/>
                <w:sz w:val="20"/>
                <w:lang w:val="fr-FR"/>
              </w:rPr>
            </w:pPr>
            <w:r w:rsidRPr="00DC2F2C">
              <w:rPr>
                <w:sz w:val="20"/>
                <w:lang w:val="fr-FR" w:eastAsia="ja-JP"/>
              </w:rPr>
              <w:t xml:space="preserve">Douleurs thoraciques </w:t>
            </w:r>
            <w:proofErr w:type="spellStart"/>
            <w:r w:rsidRPr="00DC2F2C">
              <w:rPr>
                <w:sz w:val="20"/>
                <w:lang w:val="fr-FR" w:eastAsia="ja-JP"/>
              </w:rPr>
              <w:t>musculo-squelettiques</w:t>
            </w:r>
            <w:proofErr w:type="spellEnd"/>
          </w:p>
        </w:tc>
        <w:tc>
          <w:tcPr>
            <w:tcW w:w="1842" w:type="dxa"/>
            <w:tcBorders>
              <w:top w:val="single" w:sz="4" w:space="0" w:color="000000"/>
              <w:left w:val="single" w:sz="4" w:space="0" w:color="000000"/>
              <w:bottom w:val="single" w:sz="4" w:space="0" w:color="000000"/>
              <w:right w:val="single" w:sz="4" w:space="0" w:color="000000"/>
            </w:tcBorders>
          </w:tcPr>
          <w:p w14:paraId="56A9B244" w14:textId="77777777" w:rsidR="00190F18" w:rsidRPr="00DC2F2C" w:rsidRDefault="00190F18" w:rsidP="0092147C">
            <w:pPr>
              <w:tabs>
                <w:tab w:val="clear" w:pos="567"/>
              </w:tabs>
              <w:spacing w:after="120"/>
              <w:jc w:val="center"/>
              <w:rPr>
                <w:rFonts w:eastAsia="Calibri"/>
                <w:color w:val="000000"/>
                <w:sz w:val="20"/>
                <w:lang w:val="fr-FR"/>
              </w:rPr>
            </w:pPr>
            <w:r w:rsidRPr="00DC2F2C">
              <w:rPr>
                <w:sz w:val="20"/>
                <w:lang w:val="fr-FR" w:eastAsia="ja-JP"/>
              </w:rPr>
              <w:t>Faiblesse musculaire</w:t>
            </w:r>
          </w:p>
        </w:tc>
        <w:tc>
          <w:tcPr>
            <w:tcW w:w="1418" w:type="dxa"/>
            <w:tcBorders>
              <w:top w:val="single" w:sz="4" w:space="0" w:color="000000"/>
              <w:left w:val="single" w:sz="4" w:space="0" w:color="000000"/>
              <w:bottom w:val="single" w:sz="4" w:space="0" w:color="000000"/>
              <w:right w:val="single" w:sz="4" w:space="0" w:color="000000"/>
            </w:tcBorders>
          </w:tcPr>
          <w:p w14:paraId="4728B2BE" w14:textId="77777777" w:rsidR="00190F18" w:rsidRPr="00DC2F2C" w:rsidRDefault="00190F18" w:rsidP="0092147C">
            <w:pPr>
              <w:tabs>
                <w:tab w:val="clear" w:pos="567"/>
              </w:tabs>
              <w:spacing w:after="120"/>
              <w:jc w:val="center"/>
              <w:rPr>
                <w:rFonts w:eastAsia="Calibri"/>
                <w:color w:val="000000"/>
                <w:sz w:val="20"/>
                <w:lang w:val="fr-FR"/>
              </w:rPr>
            </w:pPr>
          </w:p>
        </w:tc>
        <w:tc>
          <w:tcPr>
            <w:tcW w:w="1559" w:type="dxa"/>
            <w:tcBorders>
              <w:top w:val="single" w:sz="4" w:space="0" w:color="000000"/>
              <w:left w:val="single" w:sz="4" w:space="0" w:color="000000"/>
              <w:bottom w:val="single" w:sz="4" w:space="0" w:color="000000"/>
              <w:right w:val="single" w:sz="4" w:space="0" w:color="000000"/>
            </w:tcBorders>
          </w:tcPr>
          <w:p w14:paraId="0368A0B2" w14:textId="77777777" w:rsidR="00190F18" w:rsidRPr="00DC2F2C" w:rsidRDefault="00190F18" w:rsidP="0092147C">
            <w:pPr>
              <w:tabs>
                <w:tab w:val="clear" w:pos="567"/>
              </w:tabs>
              <w:spacing w:after="120"/>
              <w:jc w:val="center"/>
              <w:rPr>
                <w:rFonts w:eastAsia="Calibri"/>
                <w:color w:val="000000"/>
                <w:sz w:val="20"/>
                <w:lang w:val="fr-FR"/>
              </w:rPr>
            </w:pPr>
          </w:p>
        </w:tc>
      </w:tr>
      <w:tr w:rsidR="00190F18" w:rsidRPr="002605B1" w14:paraId="1FFD4F9A" w14:textId="5FE97F50" w:rsidTr="00FF2165">
        <w:trPr>
          <w:cantSplit/>
        </w:trPr>
        <w:tc>
          <w:tcPr>
            <w:tcW w:w="1737" w:type="dxa"/>
            <w:tcBorders>
              <w:top w:val="single" w:sz="4" w:space="0" w:color="000000"/>
              <w:left w:val="single" w:sz="4" w:space="0" w:color="000000"/>
              <w:right w:val="single" w:sz="4" w:space="0" w:color="000000"/>
            </w:tcBorders>
            <w:hideMark/>
          </w:tcPr>
          <w:p w14:paraId="562FFFA2" w14:textId="77777777" w:rsidR="00190F18" w:rsidRPr="00DC2F2C" w:rsidRDefault="00190F18" w:rsidP="0092147C">
            <w:pPr>
              <w:tabs>
                <w:tab w:val="clear" w:pos="567"/>
              </w:tabs>
              <w:spacing w:after="120"/>
              <w:ind w:left="142"/>
              <w:jc w:val="center"/>
              <w:rPr>
                <w:sz w:val="20"/>
                <w:lang w:val="fr-FR"/>
              </w:rPr>
            </w:pPr>
            <w:r w:rsidRPr="00DC2F2C">
              <w:rPr>
                <w:sz w:val="20"/>
                <w:lang w:val="fr-FR" w:eastAsia="ja-JP"/>
              </w:rPr>
              <w:t>Affections du rein et des voies urinaires</w:t>
            </w:r>
          </w:p>
        </w:tc>
        <w:tc>
          <w:tcPr>
            <w:tcW w:w="1660" w:type="dxa"/>
            <w:tcBorders>
              <w:top w:val="single" w:sz="4" w:space="0" w:color="000000"/>
              <w:left w:val="single" w:sz="4" w:space="0" w:color="000000"/>
              <w:bottom w:val="single" w:sz="4" w:space="0" w:color="000000"/>
              <w:right w:val="single" w:sz="4" w:space="0" w:color="000000"/>
            </w:tcBorders>
            <w:hideMark/>
          </w:tcPr>
          <w:p w14:paraId="0A6ED587" w14:textId="77777777" w:rsidR="00190F18" w:rsidRPr="00DC2F2C" w:rsidRDefault="00190F18" w:rsidP="0092147C">
            <w:pPr>
              <w:tabs>
                <w:tab w:val="clear" w:pos="567"/>
              </w:tabs>
              <w:spacing w:after="120"/>
              <w:ind w:left="129" w:right="188"/>
              <w:jc w:val="center"/>
              <w:rPr>
                <w:sz w:val="20"/>
                <w:lang w:val="fr-FR"/>
              </w:rPr>
            </w:pPr>
          </w:p>
        </w:tc>
        <w:tc>
          <w:tcPr>
            <w:tcW w:w="1560" w:type="dxa"/>
            <w:tcBorders>
              <w:top w:val="single" w:sz="4" w:space="0" w:color="000000"/>
              <w:left w:val="single" w:sz="4" w:space="0" w:color="000000"/>
              <w:bottom w:val="single" w:sz="4" w:space="0" w:color="000000"/>
              <w:right w:val="single" w:sz="4" w:space="0" w:color="000000"/>
            </w:tcBorders>
            <w:hideMark/>
          </w:tcPr>
          <w:p w14:paraId="59025031" w14:textId="77777777" w:rsidR="00190F18" w:rsidRPr="00DC2F2C" w:rsidRDefault="00190F18" w:rsidP="0092147C">
            <w:pPr>
              <w:tabs>
                <w:tab w:val="clear" w:pos="567"/>
              </w:tabs>
              <w:spacing w:after="120"/>
              <w:jc w:val="center"/>
              <w:rPr>
                <w:sz w:val="20"/>
                <w:lang w:val="fr-FR" w:eastAsia="ja-JP"/>
              </w:rPr>
            </w:pPr>
            <w:r w:rsidRPr="00DC2F2C">
              <w:rPr>
                <w:sz w:val="20"/>
                <w:lang w:val="fr-FR" w:eastAsia="ja-JP"/>
              </w:rPr>
              <w:t xml:space="preserve">Protéinurie </w:t>
            </w:r>
          </w:p>
          <w:p w14:paraId="48CB51D3" w14:textId="77777777" w:rsidR="00190F18" w:rsidRPr="00DC2F2C" w:rsidRDefault="00190F18" w:rsidP="0092147C">
            <w:pPr>
              <w:tabs>
                <w:tab w:val="clear" w:pos="567"/>
              </w:tabs>
              <w:spacing w:after="120"/>
              <w:jc w:val="center"/>
              <w:rPr>
                <w:rFonts w:eastAsia="Calibri"/>
                <w:color w:val="000000"/>
                <w:sz w:val="20"/>
                <w:lang w:val="fr-FR"/>
              </w:rPr>
            </w:pPr>
            <w:r w:rsidRPr="00DC2F2C">
              <w:rPr>
                <w:sz w:val="20"/>
                <w:lang w:val="fr-FR" w:eastAsia="ja-JP"/>
              </w:rPr>
              <w:t>Augmentation du taux sanguin de créatinine</w:t>
            </w:r>
          </w:p>
        </w:tc>
        <w:tc>
          <w:tcPr>
            <w:tcW w:w="1842" w:type="dxa"/>
            <w:tcBorders>
              <w:top w:val="single" w:sz="4" w:space="0" w:color="000000"/>
              <w:left w:val="single" w:sz="4" w:space="0" w:color="000000"/>
              <w:bottom w:val="single" w:sz="4" w:space="0" w:color="000000"/>
              <w:right w:val="single" w:sz="4" w:space="0" w:color="000000"/>
            </w:tcBorders>
          </w:tcPr>
          <w:p w14:paraId="3B0EE651" w14:textId="77777777" w:rsidR="00190F18" w:rsidRPr="00DC2F2C" w:rsidRDefault="00190F18" w:rsidP="0092147C">
            <w:pPr>
              <w:tabs>
                <w:tab w:val="clear" w:pos="567"/>
              </w:tabs>
              <w:spacing w:after="120"/>
              <w:jc w:val="center"/>
              <w:rPr>
                <w:rFonts w:eastAsia="Calibri"/>
                <w:color w:val="000000"/>
                <w:sz w:val="20"/>
                <w:lang w:val="fr-FR"/>
              </w:rPr>
            </w:pPr>
          </w:p>
        </w:tc>
        <w:tc>
          <w:tcPr>
            <w:tcW w:w="1418" w:type="dxa"/>
            <w:tcBorders>
              <w:top w:val="single" w:sz="4" w:space="0" w:color="000000"/>
              <w:left w:val="single" w:sz="4" w:space="0" w:color="000000"/>
              <w:bottom w:val="single" w:sz="4" w:space="0" w:color="000000"/>
              <w:right w:val="single" w:sz="4" w:space="0" w:color="000000"/>
            </w:tcBorders>
          </w:tcPr>
          <w:p w14:paraId="45A68306" w14:textId="77777777" w:rsidR="00190F18" w:rsidRPr="00DC2F2C" w:rsidRDefault="00190F18" w:rsidP="0092147C">
            <w:pPr>
              <w:tabs>
                <w:tab w:val="clear" w:pos="567"/>
              </w:tabs>
              <w:spacing w:after="120"/>
              <w:jc w:val="center"/>
              <w:rPr>
                <w:rFonts w:eastAsia="Calibri"/>
                <w:color w:val="000000"/>
                <w:sz w:val="20"/>
                <w:lang w:val="fr-FR"/>
              </w:rPr>
            </w:pPr>
          </w:p>
        </w:tc>
        <w:tc>
          <w:tcPr>
            <w:tcW w:w="1559" w:type="dxa"/>
            <w:tcBorders>
              <w:top w:val="single" w:sz="4" w:space="0" w:color="000000"/>
              <w:left w:val="single" w:sz="4" w:space="0" w:color="000000"/>
              <w:bottom w:val="single" w:sz="4" w:space="0" w:color="000000"/>
              <w:right w:val="single" w:sz="4" w:space="0" w:color="000000"/>
            </w:tcBorders>
          </w:tcPr>
          <w:p w14:paraId="1BC6182D" w14:textId="77777777" w:rsidR="00190F18" w:rsidRPr="00DC2F2C" w:rsidRDefault="00190F18" w:rsidP="0092147C">
            <w:pPr>
              <w:tabs>
                <w:tab w:val="clear" w:pos="567"/>
              </w:tabs>
              <w:spacing w:after="120"/>
              <w:jc w:val="center"/>
              <w:rPr>
                <w:rFonts w:eastAsia="Calibri"/>
                <w:color w:val="000000"/>
                <w:sz w:val="20"/>
                <w:lang w:val="fr-FR"/>
              </w:rPr>
            </w:pPr>
          </w:p>
        </w:tc>
      </w:tr>
      <w:tr w:rsidR="00190F18" w:rsidRPr="00DC2F2C" w14:paraId="587C31B8" w14:textId="199A3058" w:rsidTr="00FF2165">
        <w:trPr>
          <w:cantSplit/>
        </w:trPr>
        <w:tc>
          <w:tcPr>
            <w:tcW w:w="1737" w:type="dxa"/>
            <w:tcBorders>
              <w:top w:val="single" w:sz="4" w:space="0" w:color="000000"/>
              <w:left w:val="single" w:sz="4" w:space="0" w:color="000000"/>
              <w:right w:val="single" w:sz="4" w:space="0" w:color="000000"/>
            </w:tcBorders>
            <w:hideMark/>
          </w:tcPr>
          <w:p w14:paraId="53E3994A" w14:textId="77777777" w:rsidR="00190F18" w:rsidRPr="00DC2F2C" w:rsidRDefault="00190F18" w:rsidP="0092147C">
            <w:pPr>
              <w:tabs>
                <w:tab w:val="clear" w:pos="567"/>
              </w:tabs>
              <w:spacing w:after="120"/>
              <w:ind w:left="142"/>
              <w:jc w:val="center"/>
              <w:rPr>
                <w:sz w:val="20"/>
                <w:lang w:val="fr-FR" w:eastAsia="ja-JP"/>
              </w:rPr>
            </w:pPr>
            <w:r w:rsidRPr="00DC2F2C">
              <w:rPr>
                <w:sz w:val="20"/>
                <w:lang w:val="fr-FR" w:eastAsia="ja-JP"/>
              </w:rPr>
              <w:t>Troubles généraux et anomalies au site d’administration</w:t>
            </w:r>
          </w:p>
        </w:tc>
        <w:tc>
          <w:tcPr>
            <w:tcW w:w="1660" w:type="dxa"/>
            <w:tcBorders>
              <w:top w:val="single" w:sz="4" w:space="0" w:color="000000"/>
              <w:left w:val="single" w:sz="4" w:space="0" w:color="000000"/>
              <w:bottom w:val="single" w:sz="4" w:space="0" w:color="000000"/>
              <w:right w:val="single" w:sz="4" w:space="0" w:color="000000"/>
            </w:tcBorders>
            <w:hideMark/>
          </w:tcPr>
          <w:p w14:paraId="5D7C9D9F" w14:textId="77777777" w:rsidR="00190F18" w:rsidRPr="00DC2F2C" w:rsidRDefault="00190F18" w:rsidP="0092147C">
            <w:pPr>
              <w:tabs>
                <w:tab w:val="clear" w:pos="567"/>
              </w:tabs>
              <w:spacing w:after="120"/>
              <w:ind w:left="129" w:right="188"/>
              <w:jc w:val="center"/>
              <w:rPr>
                <w:sz w:val="20"/>
                <w:vertAlign w:val="superscript"/>
                <w:lang w:val="fr-FR" w:eastAsia="ja-JP"/>
              </w:rPr>
            </w:pPr>
            <w:r w:rsidRPr="00DC2F2C">
              <w:rPr>
                <w:sz w:val="20"/>
                <w:lang w:val="fr-FR" w:eastAsia="ja-JP"/>
              </w:rPr>
              <w:t>Douleurs</w:t>
            </w:r>
            <w:r w:rsidRPr="00DC2F2C">
              <w:rPr>
                <w:sz w:val="20"/>
                <w:vertAlign w:val="superscript"/>
                <w:lang w:val="fr-FR" w:eastAsia="ja-JP"/>
              </w:rPr>
              <w:t xml:space="preserve"> 27</w:t>
            </w:r>
          </w:p>
          <w:p w14:paraId="10B7D2A1" w14:textId="77777777" w:rsidR="00190F18" w:rsidRPr="00DC2F2C" w:rsidRDefault="00190F18" w:rsidP="0092147C">
            <w:pPr>
              <w:tabs>
                <w:tab w:val="clear" w:pos="567"/>
              </w:tabs>
              <w:spacing w:after="120"/>
              <w:ind w:left="129" w:right="188"/>
              <w:jc w:val="center"/>
              <w:rPr>
                <w:sz w:val="20"/>
                <w:lang w:val="fr-FR" w:eastAsia="ja-JP"/>
              </w:rPr>
            </w:pPr>
            <w:r w:rsidRPr="00DC2F2C">
              <w:rPr>
                <w:sz w:val="20"/>
                <w:lang w:val="fr-FR" w:eastAsia="ja-JP"/>
              </w:rPr>
              <w:t>Asthénie</w:t>
            </w:r>
          </w:p>
          <w:p w14:paraId="7718133F" w14:textId="77777777" w:rsidR="00190F18" w:rsidRPr="00DC2F2C" w:rsidRDefault="00190F18" w:rsidP="0092147C">
            <w:pPr>
              <w:tabs>
                <w:tab w:val="clear" w:pos="567"/>
              </w:tabs>
              <w:spacing w:after="120"/>
              <w:ind w:left="129" w:right="188"/>
              <w:jc w:val="center"/>
              <w:rPr>
                <w:sz w:val="20"/>
                <w:lang w:val="fr-FR" w:eastAsia="ja-JP"/>
              </w:rPr>
            </w:pPr>
            <w:r w:rsidRPr="00DC2F2C">
              <w:rPr>
                <w:sz w:val="20"/>
                <w:lang w:val="fr-FR" w:eastAsia="ja-JP"/>
              </w:rPr>
              <w:t>Fatigue</w:t>
            </w:r>
          </w:p>
        </w:tc>
        <w:tc>
          <w:tcPr>
            <w:tcW w:w="1560" w:type="dxa"/>
            <w:tcBorders>
              <w:top w:val="single" w:sz="4" w:space="0" w:color="000000"/>
              <w:left w:val="single" w:sz="4" w:space="0" w:color="000000"/>
              <w:bottom w:val="single" w:sz="4" w:space="0" w:color="000000"/>
              <w:right w:val="single" w:sz="4" w:space="0" w:color="000000"/>
            </w:tcBorders>
            <w:hideMark/>
          </w:tcPr>
          <w:p w14:paraId="71A750E5" w14:textId="77777777" w:rsidR="00190F18" w:rsidRPr="00DC2F2C" w:rsidRDefault="00190F18" w:rsidP="0092147C">
            <w:pPr>
              <w:tabs>
                <w:tab w:val="clear" w:pos="567"/>
              </w:tabs>
              <w:spacing w:after="120"/>
              <w:ind w:right="183"/>
              <w:jc w:val="center"/>
              <w:rPr>
                <w:sz w:val="20"/>
                <w:vertAlign w:val="superscript"/>
                <w:lang w:val="fr-FR" w:eastAsia="ja-JP"/>
              </w:rPr>
            </w:pPr>
            <w:r w:rsidRPr="00DC2F2C">
              <w:rPr>
                <w:sz w:val="20"/>
                <w:lang w:val="fr-FR" w:eastAsia="ja-JP"/>
              </w:rPr>
              <w:t>Douleurs thoraciques</w:t>
            </w:r>
            <w:r w:rsidRPr="00DC2F2C">
              <w:rPr>
                <w:sz w:val="20"/>
                <w:vertAlign w:val="superscript"/>
                <w:lang w:val="fr-FR" w:eastAsia="ja-JP"/>
              </w:rPr>
              <w:t>28</w:t>
            </w:r>
          </w:p>
          <w:p w14:paraId="3AD74885" w14:textId="77777777" w:rsidR="00190F18" w:rsidRPr="00DC2F2C" w:rsidRDefault="00190F18" w:rsidP="0092147C">
            <w:pPr>
              <w:tabs>
                <w:tab w:val="clear" w:pos="567"/>
              </w:tabs>
              <w:spacing w:after="120"/>
              <w:ind w:right="183"/>
              <w:jc w:val="center"/>
              <w:rPr>
                <w:sz w:val="20"/>
                <w:vertAlign w:val="superscript"/>
                <w:lang w:val="fr-FR" w:eastAsia="ja-JP"/>
              </w:rPr>
            </w:pPr>
            <w:r w:rsidRPr="00DC2F2C">
              <w:rPr>
                <w:sz w:val="20"/>
                <w:lang w:val="fr-FR" w:eastAsia="ja-JP"/>
              </w:rPr>
              <w:t>Frissons</w:t>
            </w:r>
            <w:r w:rsidRPr="00DC2F2C">
              <w:rPr>
                <w:sz w:val="20"/>
                <w:vertAlign w:val="superscript"/>
                <w:lang w:val="fr-FR" w:eastAsia="ja-JP"/>
              </w:rPr>
              <w:t>29</w:t>
            </w:r>
          </w:p>
          <w:p w14:paraId="7005DC5F" w14:textId="77777777" w:rsidR="00190F18" w:rsidRPr="00DC2F2C" w:rsidRDefault="00190F18" w:rsidP="0092147C">
            <w:pPr>
              <w:tabs>
                <w:tab w:val="clear" w:pos="567"/>
              </w:tabs>
              <w:spacing w:after="120"/>
              <w:ind w:right="183"/>
              <w:jc w:val="center"/>
              <w:rPr>
                <w:sz w:val="20"/>
                <w:lang w:val="fr-FR" w:eastAsia="ja-JP"/>
              </w:rPr>
            </w:pPr>
            <w:r w:rsidRPr="00DC2F2C">
              <w:rPr>
                <w:sz w:val="20"/>
                <w:lang w:val="fr-FR" w:eastAsia="ja-JP"/>
              </w:rPr>
              <w:t>Pyrexie</w:t>
            </w:r>
          </w:p>
          <w:p w14:paraId="2BE42259" w14:textId="77777777" w:rsidR="00190F18" w:rsidRPr="00DC2F2C" w:rsidRDefault="00190F18" w:rsidP="0092147C">
            <w:pPr>
              <w:tabs>
                <w:tab w:val="clear" w:pos="567"/>
              </w:tabs>
              <w:spacing w:after="120"/>
              <w:ind w:right="183"/>
              <w:jc w:val="center"/>
              <w:rPr>
                <w:sz w:val="20"/>
                <w:lang w:val="fr-FR" w:eastAsia="ja-JP"/>
              </w:rPr>
            </w:pPr>
            <w:r w:rsidRPr="00DC2F2C">
              <w:rPr>
                <w:sz w:val="20"/>
                <w:lang w:val="fr-FR" w:eastAsia="ja-JP"/>
              </w:rPr>
              <w:t>Œdème périphérique</w:t>
            </w:r>
          </w:p>
        </w:tc>
        <w:tc>
          <w:tcPr>
            <w:tcW w:w="1842" w:type="dxa"/>
            <w:tcBorders>
              <w:top w:val="single" w:sz="4" w:space="0" w:color="000000"/>
              <w:left w:val="single" w:sz="4" w:space="0" w:color="000000"/>
              <w:bottom w:val="single" w:sz="4" w:space="0" w:color="000000"/>
              <w:right w:val="single" w:sz="4" w:space="0" w:color="000000"/>
            </w:tcBorders>
          </w:tcPr>
          <w:p w14:paraId="6A06714B" w14:textId="77777777" w:rsidR="00190F18" w:rsidRPr="00DC2F2C" w:rsidRDefault="00190F18" w:rsidP="0092147C">
            <w:pPr>
              <w:tabs>
                <w:tab w:val="clear" w:pos="567"/>
              </w:tabs>
              <w:spacing w:after="120"/>
              <w:ind w:right="183"/>
              <w:jc w:val="center"/>
              <w:rPr>
                <w:sz w:val="20"/>
                <w:lang w:val="fr-FR" w:eastAsia="ja-JP"/>
              </w:rPr>
            </w:pPr>
            <w:r w:rsidRPr="00DC2F2C">
              <w:rPr>
                <w:sz w:val="20"/>
                <w:lang w:val="fr-FR" w:eastAsia="ja-JP"/>
              </w:rPr>
              <w:t>Inflammation des muqueuses</w:t>
            </w:r>
          </w:p>
        </w:tc>
        <w:tc>
          <w:tcPr>
            <w:tcW w:w="1418" w:type="dxa"/>
            <w:tcBorders>
              <w:top w:val="single" w:sz="4" w:space="0" w:color="000000"/>
              <w:left w:val="single" w:sz="4" w:space="0" w:color="000000"/>
              <w:bottom w:val="single" w:sz="4" w:space="0" w:color="000000"/>
              <w:right w:val="single" w:sz="4" w:space="0" w:color="000000"/>
            </w:tcBorders>
          </w:tcPr>
          <w:p w14:paraId="14353698" w14:textId="77777777" w:rsidR="00190F18" w:rsidRPr="00DC2F2C" w:rsidRDefault="00190F18" w:rsidP="0092147C">
            <w:pPr>
              <w:tabs>
                <w:tab w:val="clear" w:pos="567"/>
              </w:tabs>
              <w:spacing w:after="120"/>
              <w:ind w:right="183"/>
              <w:jc w:val="center"/>
              <w:rPr>
                <w:sz w:val="20"/>
                <w:lang w:val="fr-FR" w:eastAsia="ja-JP"/>
              </w:rPr>
            </w:pPr>
          </w:p>
        </w:tc>
        <w:tc>
          <w:tcPr>
            <w:tcW w:w="1559" w:type="dxa"/>
            <w:tcBorders>
              <w:top w:val="single" w:sz="4" w:space="0" w:color="000000"/>
              <w:left w:val="single" w:sz="4" w:space="0" w:color="000000"/>
              <w:bottom w:val="single" w:sz="4" w:space="0" w:color="000000"/>
              <w:right w:val="single" w:sz="4" w:space="0" w:color="000000"/>
            </w:tcBorders>
          </w:tcPr>
          <w:p w14:paraId="4B3D6A13" w14:textId="77777777" w:rsidR="00190F18" w:rsidRPr="00DC2F2C" w:rsidRDefault="00190F18" w:rsidP="0092147C">
            <w:pPr>
              <w:tabs>
                <w:tab w:val="clear" w:pos="567"/>
              </w:tabs>
              <w:spacing w:after="120"/>
              <w:ind w:right="183"/>
              <w:jc w:val="center"/>
              <w:rPr>
                <w:sz w:val="20"/>
                <w:lang w:val="fr-FR" w:eastAsia="ja-JP"/>
              </w:rPr>
            </w:pPr>
          </w:p>
        </w:tc>
      </w:tr>
      <w:tr w:rsidR="00190F18" w:rsidRPr="002605B1" w14:paraId="36024CD8" w14:textId="0E1B2708" w:rsidTr="00FF2165">
        <w:trPr>
          <w:cantSplit/>
        </w:trPr>
        <w:tc>
          <w:tcPr>
            <w:tcW w:w="1737" w:type="dxa"/>
            <w:tcBorders>
              <w:top w:val="single" w:sz="4" w:space="0" w:color="000000"/>
              <w:left w:val="single" w:sz="4" w:space="0" w:color="000000"/>
              <w:right w:val="single" w:sz="4" w:space="0" w:color="000000"/>
            </w:tcBorders>
            <w:hideMark/>
          </w:tcPr>
          <w:p w14:paraId="2F8C4B24" w14:textId="77777777" w:rsidR="00190F18" w:rsidRPr="00DC2F2C" w:rsidRDefault="00190F18" w:rsidP="0092147C">
            <w:pPr>
              <w:tabs>
                <w:tab w:val="clear" w:pos="567"/>
              </w:tabs>
              <w:spacing w:after="120"/>
              <w:ind w:left="142"/>
              <w:jc w:val="center"/>
              <w:rPr>
                <w:sz w:val="20"/>
                <w:lang w:val="fr-FR" w:eastAsia="ja-JP"/>
              </w:rPr>
            </w:pPr>
            <w:r w:rsidRPr="00DC2F2C">
              <w:rPr>
                <w:sz w:val="20"/>
                <w:lang w:val="fr-FR" w:eastAsia="ja-JP"/>
              </w:rPr>
              <w:t>Investigations</w:t>
            </w:r>
          </w:p>
        </w:tc>
        <w:tc>
          <w:tcPr>
            <w:tcW w:w="1660" w:type="dxa"/>
            <w:tcBorders>
              <w:top w:val="single" w:sz="4" w:space="0" w:color="000000"/>
              <w:left w:val="single" w:sz="4" w:space="0" w:color="000000"/>
              <w:bottom w:val="single" w:sz="4" w:space="0" w:color="000000"/>
              <w:right w:val="single" w:sz="4" w:space="0" w:color="000000"/>
            </w:tcBorders>
            <w:hideMark/>
          </w:tcPr>
          <w:p w14:paraId="342B821D" w14:textId="77777777" w:rsidR="00190F18" w:rsidRPr="00DC2F2C" w:rsidRDefault="00190F18" w:rsidP="0092147C">
            <w:pPr>
              <w:tabs>
                <w:tab w:val="clear" w:pos="567"/>
              </w:tabs>
              <w:spacing w:after="120"/>
              <w:ind w:left="129" w:right="199"/>
              <w:jc w:val="center"/>
              <w:rPr>
                <w:sz w:val="20"/>
                <w:lang w:val="fr-FR" w:eastAsia="ja-JP"/>
              </w:rPr>
            </w:pPr>
            <w:r w:rsidRPr="00DC2F2C">
              <w:rPr>
                <w:sz w:val="20"/>
                <w:lang w:val="fr-FR" w:eastAsia="ja-JP"/>
              </w:rPr>
              <w:t>Perte de poids</w:t>
            </w:r>
          </w:p>
        </w:tc>
        <w:tc>
          <w:tcPr>
            <w:tcW w:w="1560" w:type="dxa"/>
            <w:tcBorders>
              <w:top w:val="single" w:sz="4" w:space="0" w:color="000000"/>
              <w:left w:val="single" w:sz="4" w:space="0" w:color="000000"/>
              <w:bottom w:val="single" w:sz="4" w:space="0" w:color="000000"/>
              <w:right w:val="single" w:sz="4" w:space="0" w:color="000000"/>
            </w:tcBorders>
            <w:hideMark/>
          </w:tcPr>
          <w:p w14:paraId="042B6ACE" w14:textId="77777777" w:rsidR="00190F18" w:rsidRPr="00DC2F2C" w:rsidRDefault="00190F18" w:rsidP="0092147C">
            <w:pPr>
              <w:tabs>
                <w:tab w:val="clear" w:pos="567"/>
              </w:tabs>
              <w:spacing w:after="120"/>
              <w:jc w:val="center"/>
              <w:rPr>
                <w:sz w:val="20"/>
                <w:lang w:val="fr-FR" w:eastAsia="ja-JP"/>
              </w:rPr>
            </w:pPr>
            <w:r w:rsidRPr="00DC2F2C">
              <w:rPr>
                <w:sz w:val="20"/>
                <w:lang w:val="fr-FR" w:eastAsia="ja-JP"/>
              </w:rPr>
              <w:t>Augmentation du taux d’amylase</w:t>
            </w:r>
          </w:p>
          <w:p w14:paraId="10AD1344" w14:textId="77777777" w:rsidR="00190F18" w:rsidRPr="00DC2F2C" w:rsidRDefault="00190F18" w:rsidP="0092147C">
            <w:pPr>
              <w:tabs>
                <w:tab w:val="clear" w:pos="567"/>
              </w:tabs>
              <w:spacing w:after="120"/>
              <w:jc w:val="center"/>
              <w:rPr>
                <w:sz w:val="20"/>
                <w:lang w:val="fr-FR" w:eastAsia="ja-JP"/>
              </w:rPr>
            </w:pPr>
            <w:r w:rsidRPr="00DC2F2C">
              <w:rPr>
                <w:sz w:val="20"/>
                <w:lang w:val="fr-FR" w:eastAsia="ja-JP"/>
              </w:rPr>
              <w:t>Augmentation du taux de lipase</w:t>
            </w:r>
          </w:p>
          <w:p w14:paraId="5AC8D48B" w14:textId="77777777" w:rsidR="00190F18" w:rsidRPr="00DC2F2C" w:rsidRDefault="00190F18" w:rsidP="0092147C">
            <w:pPr>
              <w:tabs>
                <w:tab w:val="clear" w:pos="567"/>
              </w:tabs>
              <w:spacing w:after="120"/>
              <w:jc w:val="center"/>
              <w:rPr>
                <w:rFonts w:eastAsia="Calibri"/>
                <w:sz w:val="20"/>
                <w:lang w:val="fr-FR"/>
              </w:rPr>
            </w:pPr>
            <w:r w:rsidRPr="00DC2F2C">
              <w:rPr>
                <w:sz w:val="20"/>
                <w:lang w:val="fr-FR" w:eastAsia="ja-JP"/>
              </w:rPr>
              <w:t>Augmentation du taux sanguin de thyréostimuline</w:t>
            </w:r>
          </w:p>
        </w:tc>
        <w:tc>
          <w:tcPr>
            <w:tcW w:w="1842" w:type="dxa"/>
            <w:tcBorders>
              <w:top w:val="single" w:sz="4" w:space="0" w:color="000000"/>
              <w:left w:val="single" w:sz="4" w:space="0" w:color="000000"/>
              <w:bottom w:val="single" w:sz="4" w:space="0" w:color="000000"/>
              <w:right w:val="single" w:sz="4" w:space="0" w:color="000000"/>
            </w:tcBorders>
          </w:tcPr>
          <w:p w14:paraId="658EC537" w14:textId="77777777" w:rsidR="00190F18" w:rsidRPr="00DC2F2C" w:rsidRDefault="00190F18" w:rsidP="0092147C">
            <w:pPr>
              <w:tabs>
                <w:tab w:val="clear" w:pos="567"/>
              </w:tabs>
              <w:spacing w:after="120"/>
              <w:jc w:val="center"/>
              <w:rPr>
                <w:rFonts w:eastAsia="Calibri"/>
                <w:color w:val="000000"/>
                <w:sz w:val="20"/>
                <w:lang w:val="fr-FR"/>
              </w:rPr>
            </w:pPr>
          </w:p>
        </w:tc>
        <w:tc>
          <w:tcPr>
            <w:tcW w:w="1418" w:type="dxa"/>
            <w:tcBorders>
              <w:top w:val="single" w:sz="4" w:space="0" w:color="000000"/>
              <w:left w:val="single" w:sz="4" w:space="0" w:color="000000"/>
              <w:bottom w:val="single" w:sz="4" w:space="0" w:color="000000"/>
              <w:right w:val="single" w:sz="4" w:space="0" w:color="000000"/>
            </w:tcBorders>
          </w:tcPr>
          <w:p w14:paraId="3130BE53" w14:textId="77777777" w:rsidR="00190F18" w:rsidRPr="00DC2F2C" w:rsidRDefault="00190F18" w:rsidP="0092147C">
            <w:pPr>
              <w:tabs>
                <w:tab w:val="clear" w:pos="567"/>
              </w:tabs>
              <w:spacing w:after="120"/>
              <w:jc w:val="center"/>
              <w:rPr>
                <w:rFonts w:eastAsia="Calibri"/>
                <w:color w:val="000000"/>
                <w:sz w:val="20"/>
                <w:lang w:val="fr-FR"/>
              </w:rPr>
            </w:pPr>
          </w:p>
        </w:tc>
        <w:tc>
          <w:tcPr>
            <w:tcW w:w="1559" w:type="dxa"/>
            <w:tcBorders>
              <w:top w:val="single" w:sz="4" w:space="0" w:color="000000"/>
              <w:left w:val="single" w:sz="4" w:space="0" w:color="000000"/>
              <w:bottom w:val="single" w:sz="4" w:space="0" w:color="000000"/>
              <w:right w:val="single" w:sz="4" w:space="0" w:color="000000"/>
            </w:tcBorders>
          </w:tcPr>
          <w:p w14:paraId="42B5265D" w14:textId="77777777" w:rsidR="00190F18" w:rsidRPr="00DC2F2C" w:rsidRDefault="00190F18" w:rsidP="0092147C">
            <w:pPr>
              <w:tabs>
                <w:tab w:val="clear" w:pos="567"/>
              </w:tabs>
              <w:spacing w:after="120"/>
              <w:jc w:val="center"/>
              <w:rPr>
                <w:rFonts w:eastAsia="Calibri"/>
                <w:color w:val="000000"/>
                <w:sz w:val="20"/>
                <w:lang w:val="fr-FR"/>
              </w:rPr>
            </w:pPr>
          </w:p>
        </w:tc>
      </w:tr>
    </w:tbl>
    <w:p w14:paraId="114ADA61" w14:textId="77777777" w:rsidR="006F1D9B" w:rsidRPr="00DC2F2C" w:rsidRDefault="00C770F7" w:rsidP="006F1D9B">
      <w:pPr>
        <w:tabs>
          <w:tab w:val="clear" w:pos="567"/>
        </w:tabs>
        <w:rPr>
          <w:rFonts w:eastAsia="Calibri"/>
          <w:sz w:val="18"/>
          <w:szCs w:val="18"/>
          <w:lang w:val="fr-FR"/>
        </w:rPr>
      </w:pPr>
      <w:r w:rsidRPr="00DC2F2C">
        <w:rPr>
          <w:rFonts w:eastAsia="Calibri"/>
          <w:sz w:val="18"/>
          <w:szCs w:val="18"/>
          <w:lang w:val="fr-FR"/>
        </w:rPr>
        <w:t xml:space="preserve">Les effets indésirables </w:t>
      </w:r>
      <w:r w:rsidR="00607B9A" w:rsidRPr="00DC2F2C">
        <w:rPr>
          <w:rFonts w:eastAsia="Calibri"/>
          <w:sz w:val="18"/>
          <w:szCs w:val="18"/>
          <w:lang w:val="fr-FR"/>
        </w:rPr>
        <w:t xml:space="preserve">survenus dans le cadre </w:t>
      </w:r>
      <w:r w:rsidRPr="00DC2F2C">
        <w:rPr>
          <w:rFonts w:eastAsia="Calibri"/>
          <w:sz w:val="18"/>
          <w:szCs w:val="18"/>
          <w:lang w:val="fr-FR"/>
        </w:rPr>
        <w:t>des études cliniques sont présentés en utilisant les fréquences des événements indésirables toutes causes confondues</w:t>
      </w:r>
      <w:r w:rsidR="006F1D9B" w:rsidRPr="00DC2F2C">
        <w:rPr>
          <w:rFonts w:eastAsia="Calibri"/>
          <w:sz w:val="18"/>
          <w:szCs w:val="18"/>
          <w:lang w:val="fr-FR"/>
        </w:rPr>
        <w:t>.</w:t>
      </w:r>
    </w:p>
    <w:p w14:paraId="7FA881E4" w14:textId="77777777" w:rsidR="006F1D9B" w:rsidRPr="00DC2F2C" w:rsidRDefault="000360FC" w:rsidP="006F1D9B">
      <w:pPr>
        <w:tabs>
          <w:tab w:val="clear" w:pos="567"/>
        </w:tabs>
        <w:rPr>
          <w:rFonts w:eastAsia="Calibri"/>
          <w:sz w:val="18"/>
          <w:szCs w:val="18"/>
          <w:lang w:val="fr-FR"/>
        </w:rPr>
      </w:pPr>
      <w:r w:rsidRPr="00DC2F2C">
        <w:rPr>
          <w:rFonts w:eastAsia="Calibri"/>
          <w:sz w:val="18"/>
          <w:szCs w:val="18"/>
          <w:lang w:val="fr-FR"/>
        </w:rPr>
        <w:t>Les termes suivants ont été combinés </w:t>
      </w:r>
      <w:r w:rsidR="006F1D9B" w:rsidRPr="00DC2F2C">
        <w:rPr>
          <w:rFonts w:eastAsia="Calibri"/>
          <w:sz w:val="18"/>
          <w:szCs w:val="18"/>
          <w:lang w:val="fr-FR"/>
        </w:rPr>
        <w:t xml:space="preserve">: </w:t>
      </w:r>
    </w:p>
    <w:p w14:paraId="7E8C130B" w14:textId="77777777" w:rsidR="006F1D9B" w:rsidRPr="00DC2F2C" w:rsidRDefault="006F1D9B" w:rsidP="000D6CFA">
      <w:pPr>
        <w:ind w:left="567" w:hanging="567"/>
        <w:rPr>
          <w:rFonts w:eastAsia="Calibri"/>
          <w:sz w:val="18"/>
          <w:szCs w:val="18"/>
          <w:lang w:val="fr-FR"/>
        </w:rPr>
      </w:pPr>
      <w:r w:rsidRPr="00DC2F2C">
        <w:rPr>
          <w:rFonts w:eastAsia="Calibri"/>
          <w:sz w:val="18"/>
          <w:szCs w:val="18"/>
          <w:lang w:val="fr-FR"/>
        </w:rPr>
        <w:t>1</w:t>
      </w:r>
      <w:r w:rsidRPr="00DC2F2C">
        <w:rPr>
          <w:rFonts w:eastAsia="Calibri"/>
          <w:sz w:val="18"/>
          <w:szCs w:val="18"/>
          <w:lang w:val="fr-FR"/>
        </w:rPr>
        <w:tab/>
        <w:t xml:space="preserve">Goitre </w:t>
      </w:r>
      <w:r w:rsidR="000360FC" w:rsidRPr="00DC2F2C">
        <w:rPr>
          <w:rFonts w:eastAsia="Calibri"/>
          <w:sz w:val="18"/>
          <w:szCs w:val="18"/>
          <w:lang w:val="fr-FR"/>
        </w:rPr>
        <w:t xml:space="preserve">comprenant </w:t>
      </w:r>
      <w:r w:rsidRPr="00DC2F2C">
        <w:rPr>
          <w:rFonts w:eastAsia="Calibri"/>
          <w:sz w:val="18"/>
          <w:szCs w:val="18"/>
          <w:lang w:val="fr-FR"/>
        </w:rPr>
        <w:t xml:space="preserve">goitre </w:t>
      </w:r>
      <w:r w:rsidR="000360FC" w:rsidRPr="00DC2F2C">
        <w:rPr>
          <w:rFonts w:eastAsia="Calibri"/>
          <w:sz w:val="18"/>
          <w:szCs w:val="18"/>
          <w:lang w:val="fr-FR"/>
        </w:rPr>
        <w:t>et goitre nodulaire toxique</w:t>
      </w:r>
    </w:p>
    <w:p w14:paraId="5EC379B7" w14:textId="77777777" w:rsidR="00B443A1" w:rsidRPr="00DC2F2C" w:rsidRDefault="00B443A1" w:rsidP="000D6CFA">
      <w:pPr>
        <w:ind w:left="567" w:hanging="567"/>
        <w:rPr>
          <w:rFonts w:eastAsia="Calibri"/>
          <w:sz w:val="18"/>
          <w:szCs w:val="18"/>
          <w:lang w:val="fr-FR"/>
        </w:rPr>
      </w:pPr>
      <w:r w:rsidRPr="00DC2F2C">
        <w:rPr>
          <w:rFonts w:eastAsia="Calibri"/>
          <w:sz w:val="18"/>
          <w:szCs w:val="18"/>
          <w:lang w:val="fr-FR"/>
        </w:rPr>
        <w:t>2</w:t>
      </w:r>
      <w:r w:rsidRPr="00DC2F2C">
        <w:rPr>
          <w:rFonts w:eastAsia="Calibri"/>
          <w:sz w:val="18"/>
          <w:szCs w:val="18"/>
          <w:lang w:val="fr-FR"/>
        </w:rPr>
        <w:tab/>
        <w:t xml:space="preserve">Neuropathie périphérique comprenant hyperesthésie, hypoesthésie, </w:t>
      </w:r>
      <w:proofErr w:type="spellStart"/>
      <w:r w:rsidRPr="00DC2F2C">
        <w:rPr>
          <w:rFonts w:eastAsia="Calibri"/>
          <w:sz w:val="18"/>
          <w:szCs w:val="18"/>
          <w:lang w:val="fr-FR"/>
        </w:rPr>
        <w:t>mononeuropathie</w:t>
      </w:r>
      <w:proofErr w:type="spellEnd"/>
      <w:r w:rsidRPr="00DC2F2C">
        <w:rPr>
          <w:rFonts w:eastAsia="Calibri"/>
          <w:sz w:val="18"/>
          <w:szCs w:val="18"/>
          <w:lang w:val="fr-FR"/>
        </w:rPr>
        <w:t>, neuropathie périphérique, neuropathie périphérique sensitive et paresthésie</w:t>
      </w:r>
    </w:p>
    <w:p w14:paraId="0C2150E7" w14:textId="77777777" w:rsidR="00B443A1" w:rsidRPr="00DC2F2C" w:rsidRDefault="00B443A1" w:rsidP="000D6CFA">
      <w:pPr>
        <w:ind w:left="567" w:hanging="567"/>
        <w:rPr>
          <w:rFonts w:eastAsia="Calibri"/>
          <w:sz w:val="18"/>
          <w:szCs w:val="18"/>
          <w:lang w:val="fr-FR"/>
        </w:rPr>
      </w:pPr>
      <w:r w:rsidRPr="00DC2F2C">
        <w:rPr>
          <w:rFonts w:eastAsia="Calibri"/>
          <w:sz w:val="18"/>
          <w:szCs w:val="18"/>
          <w:lang w:val="fr-FR"/>
        </w:rPr>
        <w:t>3</w:t>
      </w:r>
      <w:r w:rsidRPr="00DC2F2C">
        <w:rPr>
          <w:rFonts w:eastAsia="Calibri"/>
          <w:sz w:val="18"/>
          <w:szCs w:val="18"/>
          <w:lang w:val="fr-FR"/>
        </w:rPr>
        <w:tab/>
        <w:t>Dysgueusie comprenant agueusie, dysgueusie et hypogueusie</w:t>
      </w:r>
    </w:p>
    <w:p w14:paraId="75296536" w14:textId="77777777" w:rsidR="00B443A1" w:rsidRPr="00DC2F2C" w:rsidRDefault="00B443A1" w:rsidP="000D6CFA">
      <w:pPr>
        <w:ind w:left="567" w:hanging="567"/>
        <w:rPr>
          <w:rFonts w:eastAsia="Calibri"/>
          <w:sz w:val="18"/>
          <w:szCs w:val="18"/>
          <w:lang w:val="fr-FR"/>
        </w:rPr>
      </w:pPr>
      <w:r w:rsidRPr="00DC2F2C">
        <w:rPr>
          <w:rFonts w:eastAsia="Calibri"/>
          <w:sz w:val="18"/>
          <w:szCs w:val="18"/>
          <w:lang w:val="fr-FR"/>
        </w:rPr>
        <w:t>4</w:t>
      </w:r>
      <w:r w:rsidRPr="00DC2F2C">
        <w:rPr>
          <w:rFonts w:eastAsia="Calibri"/>
          <w:sz w:val="18"/>
          <w:szCs w:val="18"/>
          <w:lang w:val="fr-FR"/>
        </w:rPr>
        <w:tab/>
        <w:t>Troubles de la mémoire comprenant amnésie et troubles de la mémoire</w:t>
      </w:r>
    </w:p>
    <w:p w14:paraId="501CCAC4" w14:textId="77777777" w:rsidR="006F1D9B" w:rsidRPr="00DC2F2C" w:rsidRDefault="00B443A1" w:rsidP="000D6CFA">
      <w:pPr>
        <w:ind w:left="567" w:hanging="567"/>
        <w:rPr>
          <w:rFonts w:eastAsia="Calibri"/>
          <w:sz w:val="18"/>
          <w:szCs w:val="18"/>
          <w:lang w:val="fr-FR"/>
        </w:rPr>
      </w:pPr>
      <w:r w:rsidRPr="00DC2F2C">
        <w:rPr>
          <w:rFonts w:eastAsia="Calibri"/>
          <w:sz w:val="18"/>
          <w:szCs w:val="18"/>
          <w:lang w:val="fr-FR"/>
        </w:rPr>
        <w:t>5</w:t>
      </w:r>
      <w:r w:rsidRPr="00DC2F2C">
        <w:rPr>
          <w:rFonts w:eastAsia="Calibri"/>
          <w:sz w:val="18"/>
          <w:szCs w:val="18"/>
          <w:lang w:val="fr-FR"/>
        </w:rPr>
        <w:tab/>
      </w:r>
      <w:r w:rsidR="007C268E" w:rsidRPr="00DC2F2C">
        <w:rPr>
          <w:rFonts w:eastAsia="Calibri"/>
          <w:sz w:val="18"/>
          <w:szCs w:val="18"/>
          <w:lang w:val="fr-FR"/>
        </w:rPr>
        <w:t xml:space="preserve">Aucun cas de </w:t>
      </w:r>
      <w:r w:rsidR="006F1D9B" w:rsidRPr="00DC2F2C">
        <w:rPr>
          <w:rFonts w:eastAsia="Calibri"/>
          <w:sz w:val="18"/>
          <w:szCs w:val="18"/>
          <w:lang w:val="fr-FR"/>
        </w:rPr>
        <w:t xml:space="preserve">PRES </w:t>
      </w:r>
      <w:r w:rsidR="007C268E" w:rsidRPr="00DC2F2C">
        <w:rPr>
          <w:rFonts w:eastAsia="Calibri"/>
          <w:sz w:val="18"/>
          <w:szCs w:val="18"/>
          <w:lang w:val="fr-FR"/>
        </w:rPr>
        <w:t>n’a été observé chez les patients traités par</w:t>
      </w:r>
      <w:r w:rsidR="006F1D9B" w:rsidRPr="00DC2F2C">
        <w:rPr>
          <w:rFonts w:eastAsia="Calibri"/>
          <w:sz w:val="18"/>
          <w:szCs w:val="18"/>
          <w:lang w:val="fr-FR"/>
        </w:rPr>
        <w:t xml:space="preserve"> </w:t>
      </w:r>
      <w:proofErr w:type="spellStart"/>
      <w:r w:rsidR="006F1D9B" w:rsidRPr="00DC2F2C">
        <w:rPr>
          <w:rFonts w:eastAsia="Calibri"/>
          <w:sz w:val="18"/>
          <w:szCs w:val="18"/>
          <w:lang w:val="fr-FR"/>
        </w:rPr>
        <w:t>tivozanib</w:t>
      </w:r>
      <w:proofErr w:type="spellEnd"/>
      <w:r w:rsidR="006F1D9B" w:rsidRPr="00DC2F2C">
        <w:rPr>
          <w:rFonts w:eastAsia="Calibri"/>
          <w:sz w:val="18"/>
          <w:szCs w:val="18"/>
          <w:lang w:val="fr-FR"/>
        </w:rPr>
        <w:t xml:space="preserve"> </w:t>
      </w:r>
      <w:r w:rsidR="007C268E" w:rsidRPr="00DC2F2C">
        <w:rPr>
          <w:rFonts w:eastAsia="Calibri"/>
          <w:sz w:val="18"/>
          <w:szCs w:val="18"/>
          <w:lang w:val="fr-FR"/>
        </w:rPr>
        <w:t>dans les cinq études portant sur la monothérapie dans le CCR</w:t>
      </w:r>
      <w:r w:rsidR="006F1D9B" w:rsidRPr="00DC2F2C">
        <w:rPr>
          <w:rFonts w:eastAsia="Calibri"/>
          <w:sz w:val="18"/>
          <w:szCs w:val="18"/>
          <w:lang w:val="fr-FR"/>
        </w:rPr>
        <w:t xml:space="preserve">. </w:t>
      </w:r>
      <w:r w:rsidR="007C268E" w:rsidRPr="00DC2F2C">
        <w:rPr>
          <w:rFonts w:eastAsia="Calibri"/>
          <w:sz w:val="18"/>
          <w:szCs w:val="18"/>
          <w:lang w:val="fr-FR"/>
        </w:rPr>
        <w:t>Un patient a présenté un PRES de grade</w:t>
      </w:r>
      <w:r w:rsidR="006F1D9B" w:rsidRPr="00DC2F2C">
        <w:rPr>
          <w:rFonts w:eastAsia="Calibri"/>
          <w:sz w:val="18"/>
          <w:szCs w:val="18"/>
          <w:lang w:val="fr-FR"/>
        </w:rPr>
        <w:t xml:space="preserve"> 4 </w:t>
      </w:r>
      <w:r w:rsidR="007C268E" w:rsidRPr="00DC2F2C">
        <w:rPr>
          <w:rFonts w:eastAsia="Calibri"/>
          <w:sz w:val="18"/>
          <w:szCs w:val="18"/>
          <w:lang w:val="fr-FR"/>
        </w:rPr>
        <w:t>et une</w:t>
      </w:r>
      <w:r w:rsidR="006F1D9B" w:rsidRPr="00DC2F2C">
        <w:rPr>
          <w:rFonts w:eastAsia="Calibri"/>
          <w:sz w:val="18"/>
          <w:szCs w:val="18"/>
          <w:lang w:val="fr-FR"/>
        </w:rPr>
        <w:t xml:space="preserve"> hypertension</w:t>
      </w:r>
      <w:r w:rsidR="007C268E" w:rsidRPr="00DC2F2C">
        <w:rPr>
          <w:rFonts w:eastAsia="Calibri"/>
          <w:sz w:val="18"/>
          <w:szCs w:val="18"/>
          <w:lang w:val="fr-FR"/>
        </w:rPr>
        <w:t xml:space="preserve"> artérielle dans l’Étude</w:t>
      </w:r>
      <w:r w:rsidR="006F1D9B" w:rsidRPr="00DC2F2C">
        <w:rPr>
          <w:rFonts w:eastAsia="Calibri"/>
          <w:sz w:val="18"/>
          <w:szCs w:val="18"/>
          <w:lang w:val="fr-FR"/>
        </w:rPr>
        <w:t xml:space="preserve"> AV-951-09-901.</w:t>
      </w:r>
    </w:p>
    <w:p w14:paraId="7B9BAEAC" w14:textId="77777777" w:rsidR="006F1D9B" w:rsidRPr="00DC2F2C" w:rsidRDefault="006F1D9B" w:rsidP="000D6CFA">
      <w:pPr>
        <w:ind w:left="567" w:hanging="567"/>
        <w:rPr>
          <w:rFonts w:eastAsia="Calibri"/>
          <w:sz w:val="18"/>
          <w:szCs w:val="18"/>
          <w:lang w:val="fr-FR"/>
        </w:rPr>
      </w:pPr>
      <w:r w:rsidRPr="00DC2F2C">
        <w:rPr>
          <w:rFonts w:eastAsia="Calibri"/>
          <w:sz w:val="18"/>
          <w:szCs w:val="18"/>
          <w:lang w:val="fr-FR"/>
        </w:rPr>
        <w:t>6</w:t>
      </w:r>
      <w:r w:rsidRPr="00DC2F2C">
        <w:rPr>
          <w:rFonts w:eastAsia="Calibri"/>
          <w:sz w:val="18"/>
          <w:szCs w:val="18"/>
          <w:lang w:val="fr-FR"/>
        </w:rPr>
        <w:tab/>
      </w:r>
      <w:r w:rsidR="007C268E" w:rsidRPr="00DC2F2C">
        <w:rPr>
          <w:rFonts w:eastAsia="Calibri"/>
          <w:sz w:val="18"/>
          <w:szCs w:val="18"/>
          <w:lang w:val="fr-FR"/>
        </w:rPr>
        <w:t>Troubles de la vision comprenant</w:t>
      </w:r>
      <w:r w:rsidRPr="00DC2F2C">
        <w:rPr>
          <w:rFonts w:eastAsia="Calibri"/>
          <w:sz w:val="18"/>
          <w:szCs w:val="18"/>
          <w:lang w:val="fr-FR"/>
        </w:rPr>
        <w:t xml:space="preserve"> </w:t>
      </w:r>
      <w:r w:rsidR="007C268E" w:rsidRPr="00DC2F2C">
        <w:rPr>
          <w:rFonts w:eastAsia="Calibri"/>
          <w:sz w:val="18"/>
          <w:szCs w:val="18"/>
          <w:lang w:val="fr-FR"/>
        </w:rPr>
        <w:t>réduction de l’acuité visuelle</w:t>
      </w:r>
      <w:r w:rsidRPr="00DC2F2C">
        <w:rPr>
          <w:rFonts w:eastAsia="Calibri"/>
          <w:sz w:val="18"/>
          <w:szCs w:val="18"/>
          <w:lang w:val="fr-FR"/>
        </w:rPr>
        <w:t xml:space="preserve">, </w:t>
      </w:r>
      <w:r w:rsidR="007C268E" w:rsidRPr="00DC2F2C">
        <w:rPr>
          <w:rFonts w:eastAsia="Calibri"/>
          <w:sz w:val="18"/>
          <w:szCs w:val="18"/>
          <w:lang w:val="fr-FR"/>
        </w:rPr>
        <w:t>vision trouble et troubles de la vision</w:t>
      </w:r>
    </w:p>
    <w:p w14:paraId="1E88E4C9" w14:textId="77777777" w:rsidR="006F1D9B" w:rsidRPr="00DC2F2C" w:rsidRDefault="006F1D9B" w:rsidP="000D6CFA">
      <w:pPr>
        <w:ind w:left="567" w:hanging="567"/>
        <w:rPr>
          <w:rFonts w:eastAsia="Calibri"/>
          <w:sz w:val="18"/>
          <w:szCs w:val="18"/>
          <w:lang w:val="fr-FR"/>
        </w:rPr>
      </w:pPr>
      <w:r w:rsidRPr="00DC2F2C">
        <w:rPr>
          <w:rFonts w:eastAsia="Calibri"/>
          <w:sz w:val="18"/>
          <w:szCs w:val="18"/>
          <w:lang w:val="fr-FR"/>
        </w:rPr>
        <w:t>7</w:t>
      </w:r>
      <w:r w:rsidRPr="00DC2F2C">
        <w:rPr>
          <w:rFonts w:eastAsia="Calibri"/>
          <w:sz w:val="18"/>
          <w:szCs w:val="18"/>
          <w:lang w:val="fr-FR"/>
        </w:rPr>
        <w:tab/>
      </w:r>
      <w:r w:rsidR="00C44F09" w:rsidRPr="00DC2F2C">
        <w:rPr>
          <w:rFonts w:eastAsia="Calibri"/>
          <w:sz w:val="18"/>
          <w:szCs w:val="18"/>
          <w:lang w:val="fr-FR"/>
        </w:rPr>
        <w:t>Infarctus du myocarde</w:t>
      </w:r>
      <w:r w:rsidRPr="00DC2F2C">
        <w:rPr>
          <w:rFonts w:eastAsia="Calibri"/>
          <w:sz w:val="18"/>
          <w:szCs w:val="18"/>
          <w:lang w:val="fr-FR"/>
        </w:rPr>
        <w:t xml:space="preserve"> (</w:t>
      </w:r>
      <w:r w:rsidR="00C44F09" w:rsidRPr="00DC2F2C">
        <w:rPr>
          <w:rFonts w:eastAsia="Calibri"/>
          <w:sz w:val="18"/>
          <w:szCs w:val="18"/>
          <w:lang w:val="fr-FR"/>
        </w:rPr>
        <w:t>aigu</w:t>
      </w:r>
      <w:r w:rsidRPr="00DC2F2C">
        <w:rPr>
          <w:rFonts w:eastAsia="Calibri"/>
          <w:sz w:val="18"/>
          <w:szCs w:val="18"/>
          <w:lang w:val="fr-FR"/>
        </w:rPr>
        <w:t>)/</w:t>
      </w:r>
      <w:r w:rsidR="00C44F09" w:rsidRPr="00DC2F2C">
        <w:rPr>
          <w:rFonts w:eastAsia="Calibri"/>
          <w:sz w:val="18"/>
          <w:szCs w:val="18"/>
          <w:lang w:val="fr-FR"/>
        </w:rPr>
        <w:t>isché</w:t>
      </w:r>
      <w:r w:rsidRPr="00DC2F2C">
        <w:rPr>
          <w:rFonts w:eastAsia="Calibri"/>
          <w:sz w:val="18"/>
          <w:szCs w:val="18"/>
          <w:lang w:val="fr-FR"/>
        </w:rPr>
        <w:t>mi</w:t>
      </w:r>
      <w:r w:rsidR="00C44F09" w:rsidRPr="00DC2F2C">
        <w:rPr>
          <w:rFonts w:eastAsia="Calibri"/>
          <w:sz w:val="18"/>
          <w:szCs w:val="18"/>
          <w:lang w:val="fr-FR"/>
        </w:rPr>
        <w:t>e</w:t>
      </w:r>
      <w:r w:rsidRPr="00DC2F2C">
        <w:rPr>
          <w:rFonts w:eastAsia="Calibri"/>
          <w:sz w:val="18"/>
          <w:szCs w:val="18"/>
          <w:lang w:val="fr-FR"/>
        </w:rPr>
        <w:t xml:space="preserve"> </w:t>
      </w:r>
      <w:r w:rsidR="00C44F09" w:rsidRPr="00DC2F2C">
        <w:rPr>
          <w:rFonts w:eastAsia="Calibri"/>
          <w:sz w:val="18"/>
          <w:szCs w:val="18"/>
          <w:lang w:val="fr-FR"/>
        </w:rPr>
        <w:t>comprenant infarctus du myocarde aigu, ischémie et infarctus du myocarde</w:t>
      </w:r>
      <w:r w:rsidRPr="00DC2F2C">
        <w:rPr>
          <w:rFonts w:eastAsia="Calibri"/>
          <w:sz w:val="18"/>
          <w:szCs w:val="18"/>
          <w:lang w:val="fr-FR"/>
        </w:rPr>
        <w:t xml:space="preserve"> </w:t>
      </w:r>
    </w:p>
    <w:p w14:paraId="04BDC6DE" w14:textId="77777777" w:rsidR="006F1D9B" w:rsidRPr="00DC2F2C" w:rsidRDefault="006F1D9B" w:rsidP="000D6CFA">
      <w:pPr>
        <w:ind w:left="567" w:hanging="567"/>
        <w:rPr>
          <w:rFonts w:eastAsia="Calibri"/>
          <w:sz w:val="18"/>
          <w:szCs w:val="18"/>
          <w:lang w:val="fr-FR"/>
        </w:rPr>
      </w:pPr>
      <w:r w:rsidRPr="00DC2F2C">
        <w:rPr>
          <w:rFonts w:eastAsia="Calibri"/>
          <w:sz w:val="18"/>
          <w:szCs w:val="18"/>
          <w:lang w:val="fr-FR"/>
        </w:rPr>
        <w:t>8</w:t>
      </w:r>
      <w:r w:rsidRPr="00DC2F2C">
        <w:rPr>
          <w:rFonts w:eastAsia="Calibri"/>
          <w:sz w:val="18"/>
          <w:szCs w:val="18"/>
          <w:lang w:val="fr-FR"/>
        </w:rPr>
        <w:tab/>
      </w:r>
      <w:r w:rsidR="00332D26" w:rsidRPr="00DC2F2C">
        <w:rPr>
          <w:rFonts w:eastAsia="Calibri"/>
          <w:sz w:val="18"/>
          <w:szCs w:val="18"/>
          <w:lang w:val="fr-FR"/>
        </w:rPr>
        <w:t>Tachycardie</w:t>
      </w:r>
      <w:r w:rsidRPr="00DC2F2C">
        <w:rPr>
          <w:rFonts w:eastAsia="Calibri"/>
          <w:sz w:val="18"/>
          <w:szCs w:val="18"/>
          <w:lang w:val="fr-FR"/>
        </w:rPr>
        <w:t xml:space="preserve"> </w:t>
      </w:r>
      <w:r w:rsidR="00332D26" w:rsidRPr="00DC2F2C">
        <w:rPr>
          <w:rFonts w:eastAsia="Calibri"/>
          <w:sz w:val="18"/>
          <w:szCs w:val="18"/>
          <w:lang w:val="fr-FR"/>
        </w:rPr>
        <w:t>comprenant</w:t>
      </w:r>
      <w:r w:rsidRPr="00DC2F2C">
        <w:rPr>
          <w:rFonts w:eastAsia="Calibri"/>
          <w:sz w:val="18"/>
          <w:szCs w:val="18"/>
          <w:lang w:val="fr-FR"/>
        </w:rPr>
        <w:t xml:space="preserve"> </w:t>
      </w:r>
      <w:r w:rsidR="00332D26" w:rsidRPr="00DC2F2C">
        <w:rPr>
          <w:rFonts w:eastAsia="Calibri"/>
          <w:sz w:val="18"/>
          <w:szCs w:val="18"/>
          <w:lang w:val="fr-FR"/>
        </w:rPr>
        <w:t>tachycardie sinusale</w:t>
      </w:r>
      <w:r w:rsidRPr="00DC2F2C">
        <w:rPr>
          <w:rFonts w:eastAsia="Calibri"/>
          <w:sz w:val="18"/>
          <w:szCs w:val="18"/>
          <w:lang w:val="fr-FR"/>
        </w:rPr>
        <w:t>, tachycardi</w:t>
      </w:r>
      <w:r w:rsidR="00332D26" w:rsidRPr="00DC2F2C">
        <w:rPr>
          <w:rFonts w:eastAsia="Calibri"/>
          <w:sz w:val="18"/>
          <w:szCs w:val="18"/>
          <w:lang w:val="fr-FR"/>
        </w:rPr>
        <w:t>e supraventriculaire, tachycardie et</w:t>
      </w:r>
      <w:r w:rsidRPr="00DC2F2C">
        <w:rPr>
          <w:rFonts w:eastAsia="Calibri"/>
          <w:sz w:val="18"/>
          <w:szCs w:val="18"/>
          <w:lang w:val="fr-FR"/>
        </w:rPr>
        <w:t xml:space="preserve"> tachycardi</w:t>
      </w:r>
      <w:r w:rsidR="00332D26" w:rsidRPr="00DC2F2C">
        <w:rPr>
          <w:rFonts w:eastAsia="Calibri"/>
          <w:sz w:val="18"/>
          <w:szCs w:val="18"/>
          <w:lang w:val="fr-FR"/>
        </w:rPr>
        <w:t>e paroxystique</w:t>
      </w:r>
    </w:p>
    <w:p w14:paraId="7F82EFF0" w14:textId="77777777" w:rsidR="006F1D9B" w:rsidRPr="00DC2F2C" w:rsidRDefault="006F1D9B" w:rsidP="000D6CFA">
      <w:pPr>
        <w:ind w:left="567" w:hanging="567"/>
        <w:rPr>
          <w:rFonts w:eastAsia="Calibri"/>
          <w:sz w:val="18"/>
          <w:szCs w:val="18"/>
          <w:lang w:val="fr-FR"/>
        </w:rPr>
      </w:pPr>
      <w:r w:rsidRPr="00DC2F2C">
        <w:rPr>
          <w:rFonts w:eastAsia="Calibri"/>
          <w:sz w:val="18"/>
          <w:szCs w:val="18"/>
          <w:lang w:val="fr-FR"/>
        </w:rPr>
        <w:t xml:space="preserve">9 </w:t>
      </w:r>
      <w:r w:rsidRPr="00DC2F2C">
        <w:rPr>
          <w:rFonts w:eastAsia="Calibri"/>
          <w:sz w:val="18"/>
          <w:szCs w:val="18"/>
          <w:lang w:val="fr-FR"/>
        </w:rPr>
        <w:tab/>
      </w:r>
      <w:r w:rsidR="00332D26" w:rsidRPr="00DC2F2C">
        <w:rPr>
          <w:rFonts w:eastAsia="Calibri"/>
          <w:sz w:val="18"/>
          <w:szCs w:val="18"/>
          <w:lang w:val="fr-FR"/>
        </w:rPr>
        <w:t>Hémorragies comprenant</w:t>
      </w:r>
      <w:r w:rsidRPr="00DC2F2C">
        <w:rPr>
          <w:rFonts w:eastAsia="Calibri"/>
          <w:sz w:val="18"/>
          <w:szCs w:val="18"/>
          <w:lang w:val="fr-FR"/>
        </w:rPr>
        <w:t xml:space="preserve"> </w:t>
      </w:r>
      <w:r w:rsidR="00332D26" w:rsidRPr="00DC2F2C">
        <w:rPr>
          <w:rFonts w:eastAsia="Calibri"/>
          <w:sz w:val="18"/>
          <w:szCs w:val="18"/>
          <w:lang w:val="fr-FR"/>
        </w:rPr>
        <w:t>hémorragie surrénalienne</w:t>
      </w:r>
      <w:r w:rsidRPr="00DC2F2C">
        <w:rPr>
          <w:rFonts w:eastAsia="Calibri"/>
          <w:sz w:val="18"/>
          <w:szCs w:val="18"/>
          <w:lang w:val="fr-FR"/>
        </w:rPr>
        <w:t xml:space="preserve">, </w:t>
      </w:r>
      <w:r w:rsidR="00332D26" w:rsidRPr="00DC2F2C">
        <w:rPr>
          <w:rFonts w:eastAsia="Calibri"/>
          <w:sz w:val="18"/>
          <w:szCs w:val="18"/>
          <w:lang w:val="fr-FR"/>
        </w:rPr>
        <w:t>hémorragie anale</w:t>
      </w:r>
      <w:r w:rsidRPr="00DC2F2C">
        <w:rPr>
          <w:rFonts w:eastAsia="Calibri"/>
          <w:sz w:val="18"/>
          <w:szCs w:val="18"/>
          <w:lang w:val="fr-FR"/>
        </w:rPr>
        <w:t xml:space="preserve">, </w:t>
      </w:r>
      <w:r w:rsidR="00332D26" w:rsidRPr="00DC2F2C">
        <w:rPr>
          <w:rFonts w:eastAsia="Calibri"/>
          <w:sz w:val="18"/>
          <w:szCs w:val="18"/>
          <w:lang w:val="fr-FR"/>
        </w:rPr>
        <w:t>hémorragie du col de l’utérus</w:t>
      </w:r>
      <w:r w:rsidRPr="00DC2F2C">
        <w:rPr>
          <w:rFonts w:eastAsia="Calibri"/>
          <w:sz w:val="18"/>
          <w:szCs w:val="18"/>
          <w:lang w:val="fr-FR"/>
        </w:rPr>
        <w:t xml:space="preserve">, </w:t>
      </w:r>
      <w:r w:rsidR="00332D26" w:rsidRPr="00DC2F2C">
        <w:rPr>
          <w:rFonts w:eastAsia="Calibri"/>
          <w:sz w:val="18"/>
          <w:szCs w:val="18"/>
          <w:lang w:val="fr-FR"/>
        </w:rPr>
        <w:t>ulcère duodénal hémorragique</w:t>
      </w:r>
      <w:r w:rsidRPr="00DC2F2C">
        <w:rPr>
          <w:rFonts w:eastAsia="Calibri"/>
          <w:sz w:val="18"/>
          <w:szCs w:val="18"/>
          <w:lang w:val="fr-FR"/>
        </w:rPr>
        <w:t xml:space="preserve">, </w:t>
      </w:r>
      <w:r w:rsidR="00332D26" w:rsidRPr="00DC2F2C">
        <w:rPr>
          <w:rFonts w:eastAsia="Calibri"/>
          <w:sz w:val="18"/>
          <w:szCs w:val="18"/>
          <w:lang w:val="fr-FR"/>
        </w:rPr>
        <w:t>saignement gingival, hématémè</w:t>
      </w:r>
      <w:r w:rsidRPr="00DC2F2C">
        <w:rPr>
          <w:rFonts w:eastAsia="Calibri"/>
          <w:sz w:val="18"/>
          <w:szCs w:val="18"/>
          <w:lang w:val="fr-FR"/>
        </w:rPr>
        <w:t>s</w:t>
      </w:r>
      <w:r w:rsidR="00332D26" w:rsidRPr="00DC2F2C">
        <w:rPr>
          <w:rFonts w:eastAsia="Calibri"/>
          <w:sz w:val="18"/>
          <w:szCs w:val="18"/>
          <w:lang w:val="fr-FR"/>
        </w:rPr>
        <w:t>e, hé</w:t>
      </w:r>
      <w:r w:rsidRPr="00DC2F2C">
        <w:rPr>
          <w:rFonts w:eastAsia="Calibri"/>
          <w:sz w:val="18"/>
          <w:szCs w:val="18"/>
          <w:lang w:val="fr-FR"/>
        </w:rPr>
        <w:t>moptysi</w:t>
      </w:r>
      <w:r w:rsidR="00332D26" w:rsidRPr="00DC2F2C">
        <w:rPr>
          <w:rFonts w:eastAsia="Calibri"/>
          <w:sz w:val="18"/>
          <w:szCs w:val="18"/>
          <w:lang w:val="fr-FR"/>
        </w:rPr>
        <w:t>e</w:t>
      </w:r>
      <w:r w:rsidRPr="00DC2F2C">
        <w:rPr>
          <w:rFonts w:eastAsia="Calibri"/>
          <w:sz w:val="18"/>
          <w:szCs w:val="18"/>
          <w:lang w:val="fr-FR"/>
        </w:rPr>
        <w:t xml:space="preserve">, </w:t>
      </w:r>
      <w:r w:rsidR="00332D26" w:rsidRPr="00DC2F2C">
        <w:rPr>
          <w:rFonts w:eastAsia="Calibri"/>
          <w:sz w:val="18"/>
          <w:szCs w:val="18"/>
          <w:lang w:val="fr-FR"/>
        </w:rPr>
        <w:t>anémie hémorragique</w:t>
      </w:r>
      <w:r w:rsidRPr="00DC2F2C">
        <w:rPr>
          <w:rFonts w:eastAsia="Calibri"/>
          <w:sz w:val="18"/>
          <w:szCs w:val="18"/>
          <w:lang w:val="fr-FR"/>
        </w:rPr>
        <w:t xml:space="preserve">, </w:t>
      </w:r>
      <w:r w:rsidR="00332D26" w:rsidRPr="00DC2F2C">
        <w:rPr>
          <w:rFonts w:eastAsia="Calibri"/>
          <w:sz w:val="18"/>
          <w:szCs w:val="18"/>
          <w:lang w:val="fr-FR"/>
        </w:rPr>
        <w:t>gastrite é</w:t>
      </w:r>
      <w:r w:rsidRPr="00DC2F2C">
        <w:rPr>
          <w:rFonts w:eastAsia="Calibri"/>
          <w:sz w:val="18"/>
          <w:szCs w:val="18"/>
          <w:lang w:val="fr-FR"/>
        </w:rPr>
        <w:t xml:space="preserve">rosive </w:t>
      </w:r>
      <w:r w:rsidR="00332D26" w:rsidRPr="00DC2F2C">
        <w:rPr>
          <w:rFonts w:eastAsia="Calibri"/>
          <w:sz w:val="18"/>
          <w:szCs w:val="18"/>
          <w:lang w:val="fr-FR"/>
        </w:rPr>
        <w:t>hémorragique</w:t>
      </w:r>
      <w:r w:rsidRPr="00DC2F2C">
        <w:rPr>
          <w:rFonts w:eastAsia="Calibri"/>
          <w:sz w:val="18"/>
          <w:szCs w:val="18"/>
          <w:lang w:val="fr-FR"/>
        </w:rPr>
        <w:t xml:space="preserve">, </w:t>
      </w:r>
      <w:r w:rsidR="00332D26" w:rsidRPr="00DC2F2C">
        <w:rPr>
          <w:rFonts w:eastAsia="Calibri"/>
          <w:sz w:val="18"/>
          <w:szCs w:val="18"/>
          <w:lang w:val="fr-FR"/>
        </w:rPr>
        <w:t>AVC hémorragique</w:t>
      </w:r>
      <w:r w:rsidRPr="00DC2F2C">
        <w:rPr>
          <w:rFonts w:eastAsia="Calibri"/>
          <w:sz w:val="18"/>
          <w:szCs w:val="18"/>
          <w:lang w:val="fr-FR"/>
        </w:rPr>
        <w:t xml:space="preserve">, </w:t>
      </w:r>
      <w:r w:rsidR="00B749EA" w:rsidRPr="00DC2F2C">
        <w:rPr>
          <w:rFonts w:eastAsia="Calibri"/>
          <w:sz w:val="18"/>
          <w:szCs w:val="18"/>
          <w:lang w:val="fr-FR"/>
        </w:rPr>
        <w:t>hémorragie buccale</w:t>
      </w:r>
      <w:r w:rsidRPr="00DC2F2C">
        <w:rPr>
          <w:rFonts w:eastAsia="Calibri"/>
          <w:sz w:val="18"/>
          <w:szCs w:val="18"/>
          <w:lang w:val="fr-FR"/>
        </w:rPr>
        <w:t xml:space="preserve">, </w:t>
      </w:r>
      <w:r w:rsidR="00B749EA" w:rsidRPr="00DC2F2C">
        <w:rPr>
          <w:rFonts w:eastAsia="Calibri"/>
          <w:sz w:val="18"/>
          <w:szCs w:val="18"/>
          <w:lang w:val="fr-FR"/>
        </w:rPr>
        <w:t>hémorragie pulmonaire et hémorragie des voies respiratoires</w:t>
      </w:r>
    </w:p>
    <w:p w14:paraId="5D3BBA5B" w14:textId="77777777" w:rsidR="006F1D9B" w:rsidRPr="00DC2F2C" w:rsidRDefault="006F1D9B" w:rsidP="000D6CFA">
      <w:pPr>
        <w:ind w:left="567" w:hanging="567"/>
        <w:rPr>
          <w:rFonts w:eastAsia="Calibri"/>
          <w:sz w:val="18"/>
          <w:szCs w:val="18"/>
          <w:lang w:val="fr-FR"/>
        </w:rPr>
      </w:pPr>
      <w:r w:rsidRPr="00DC2F2C">
        <w:rPr>
          <w:rFonts w:eastAsia="Calibri"/>
          <w:sz w:val="18"/>
          <w:szCs w:val="18"/>
          <w:lang w:val="fr-FR"/>
        </w:rPr>
        <w:lastRenderedPageBreak/>
        <w:t>10</w:t>
      </w:r>
      <w:r w:rsidRPr="00DC2F2C">
        <w:rPr>
          <w:rFonts w:eastAsia="Calibri"/>
          <w:sz w:val="18"/>
          <w:szCs w:val="18"/>
          <w:lang w:val="fr-FR"/>
        </w:rPr>
        <w:tab/>
      </w:r>
      <w:r w:rsidR="00B749EA" w:rsidRPr="00DC2F2C">
        <w:rPr>
          <w:rFonts w:eastAsia="Calibri"/>
          <w:sz w:val="18"/>
          <w:szCs w:val="18"/>
          <w:lang w:val="fr-FR"/>
        </w:rPr>
        <w:t>Événements thrombo-emboliques artériels comprenant infarctus du myocarde aigu</w:t>
      </w:r>
      <w:r w:rsidRPr="00DC2F2C">
        <w:rPr>
          <w:rFonts w:eastAsia="Calibri"/>
          <w:sz w:val="18"/>
          <w:szCs w:val="18"/>
          <w:lang w:val="fr-FR"/>
        </w:rPr>
        <w:t xml:space="preserve">, </w:t>
      </w:r>
      <w:r w:rsidR="00B749EA" w:rsidRPr="00DC2F2C">
        <w:rPr>
          <w:rFonts w:eastAsia="Calibri"/>
          <w:sz w:val="18"/>
          <w:szCs w:val="18"/>
          <w:lang w:val="fr-FR"/>
        </w:rPr>
        <w:t>thrombose artérielle</w:t>
      </w:r>
      <w:r w:rsidRPr="00DC2F2C">
        <w:rPr>
          <w:rFonts w:eastAsia="Calibri"/>
          <w:sz w:val="18"/>
          <w:szCs w:val="18"/>
          <w:lang w:val="fr-FR"/>
        </w:rPr>
        <w:t xml:space="preserve">, </w:t>
      </w:r>
      <w:r w:rsidR="00B749EA" w:rsidRPr="00DC2F2C">
        <w:rPr>
          <w:rFonts w:eastAsia="Calibri"/>
          <w:sz w:val="18"/>
          <w:szCs w:val="18"/>
          <w:lang w:val="fr-FR"/>
        </w:rPr>
        <w:t>thrombose d’une artère iliaque</w:t>
      </w:r>
      <w:r w:rsidRPr="00DC2F2C">
        <w:rPr>
          <w:rFonts w:eastAsia="Calibri"/>
          <w:sz w:val="18"/>
          <w:szCs w:val="18"/>
          <w:lang w:val="fr-FR"/>
        </w:rPr>
        <w:t xml:space="preserve">, </w:t>
      </w:r>
      <w:r w:rsidR="00B749EA" w:rsidRPr="00DC2F2C">
        <w:rPr>
          <w:rFonts w:eastAsia="Calibri"/>
          <w:sz w:val="18"/>
          <w:szCs w:val="18"/>
          <w:lang w:val="fr-FR"/>
        </w:rPr>
        <w:t>AVC ischémique</w:t>
      </w:r>
      <w:r w:rsidRPr="00DC2F2C">
        <w:rPr>
          <w:rFonts w:eastAsia="Calibri"/>
          <w:sz w:val="18"/>
          <w:szCs w:val="18"/>
          <w:lang w:val="fr-FR"/>
        </w:rPr>
        <w:t xml:space="preserve">, </w:t>
      </w:r>
      <w:r w:rsidR="00B749EA" w:rsidRPr="00DC2F2C">
        <w:rPr>
          <w:rFonts w:eastAsia="Calibri"/>
          <w:sz w:val="18"/>
          <w:szCs w:val="18"/>
          <w:lang w:val="fr-FR"/>
        </w:rPr>
        <w:t>infarctus du myocarde et accident ischémique transitoire</w:t>
      </w:r>
    </w:p>
    <w:p w14:paraId="57690BC0" w14:textId="77777777" w:rsidR="006F1D9B" w:rsidRPr="00DC2F2C" w:rsidRDefault="006F1D9B" w:rsidP="000D6CFA">
      <w:pPr>
        <w:ind w:left="567" w:hanging="567"/>
        <w:rPr>
          <w:rFonts w:eastAsia="Calibri"/>
          <w:sz w:val="18"/>
          <w:szCs w:val="18"/>
          <w:lang w:val="fr-FR"/>
        </w:rPr>
      </w:pPr>
      <w:r w:rsidRPr="00DC2F2C">
        <w:rPr>
          <w:rFonts w:eastAsia="Calibri"/>
          <w:sz w:val="18"/>
          <w:szCs w:val="18"/>
          <w:lang w:val="fr-FR"/>
        </w:rPr>
        <w:t>11</w:t>
      </w:r>
      <w:r w:rsidRPr="00DC2F2C">
        <w:rPr>
          <w:rFonts w:eastAsia="Calibri"/>
          <w:sz w:val="18"/>
          <w:szCs w:val="18"/>
          <w:lang w:val="fr-FR"/>
        </w:rPr>
        <w:tab/>
      </w:r>
      <w:r w:rsidR="00A9640B" w:rsidRPr="00DC2F2C">
        <w:rPr>
          <w:rFonts w:eastAsia="Calibri"/>
          <w:sz w:val="18"/>
          <w:szCs w:val="18"/>
          <w:lang w:val="fr-FR"/>
        </w:rPr>
        <w:t xml:space="preserve">Événements thrombo-emboliques veineux comprenant thrombose veineuse profonde, embolie veineuse et embolie pulmonaire </w:t>
      </w:r>
    </w:p>
    <w:p w14:paraId="73F4A4A8" w14:textId="77777777" w:rsidR="006F1D9B" w:rsidRPr="00DC2F2C" w:rsidRDefault="006F1D9B" w:rsidP="000D6CFA">
      <w:pPr>
        <w:ind w:left="567" w:hanging="567"/>
        <w:rPr>
          <w:rFonts w:eastAsia="Calibri"/>
          <w:sz w:val="18"/>
          <w:szCs w:val="18"/>
          <w:lang w:val="fr-FR"/>
        </w:rPr>
      </w:pPr>
      <w:r w:rsidRPr="00DC2F2C">
        <w:rPr>
          <w:rFonts w:eastAsia="Calibri"/>
          <w:sz w:val="18"/>
          <w:szCs w:val="18"/>
          <w:lang w:val="fr-FR"/>
        </w:rPr>
        <w:t>12</w:t>
      </w:r>
      <w:r w:rsidRPr="00DC2F2C">
        <w:rPr>
          <w:rFonts w:eastAsia="Calibri"/>
          <w:sz w:val="18"/>
          <w:szCs w:val="18"/>
          <w:lang w:val="fr-FR"/>
        </w:rPr>
        <w:tab/>
      </w:r>
      <w:r w:rsidR="00A9640B" w:rsidRPr="00DC2F2C">
        <w:rPr>
          <w:rFonts w:eastAsia="Calibri"/>
          <w:sz w:val="18"/>
          <w:szCs w:val="18"/>
          <w:lang w:val="fr-FR"/>
        </w:rPr>
        <w:t>Hypertension artérielle sévère persistante comprenant crise hypertensive</w:t>
      </w:r>
    </w:p>
    <w:p w14:paraId="0B5DAE0E" w14:textId="77777777" w:rsidR="006F1D9B" w:rsidRPr="00DC2F2C" w:rsidRDefault="006F1D9B" w:rsidP="000D6CFA">
      <w:pPr>
        <w:ind w:left="567" w:hanging="567"/>
        <w:rPr>
          <w:rFonts w:eastAsia="Calibri"/>
          <w:sz w:val="18"/>
          <w:szCs w:val="18"/>
          <w:lang w:val="fr-FR"/>
        </w:rPr>
      </w:pPr>
      <w:r w:rsidRPr="00DC2F2C">
        <w:rPr>
          <w:rFonts w:eastAsia="Calibri"/>
          <w:sz w:val="18"/>
          <w:szCs w:val="18"/>
          <w:lang w:val="fr-FR"/>
        </w:rPr>
        <w:t>13</w:t>
      </w:r>
      <w:r w:rsidRPr="00DC2F2C">
        <w:rPr>
          <w:rFonts w:eastAsia="Calibri"/>
          <w:sz w:val="18"/>
          <w:szCs w:val="18"/>
          <w:lang w:val="fr-FR"/>
        </w:rPr>
        <w:tab/>
      </w:r>
      <w:r w:rsidR="003357F2" w:rsidRPr="00DC2F2C">
        <w:rPr>
          <w:rFonts w:eastAsia="Calibri"/>
          <w:sz w:val="18"/>
          <w:szCs w:val="18"/>
          <w:lang w:val="fr-FR"/>
        </w:rPr>
        <w:t>Bouffées vasomotrices comprenant bouffées vasomotrices et bouffées de chaleur</w:t>
      </w:r>
    </w:p>
    <w:p w14:paraId="23EB0DA7" w14:textId="77777777" w:rsidR="006F1D9B" w:rsidRPr="00DC2F2C" w:rsidRDefault="006F1D9B" w:rsidP="000D6CFA">
      <w:pPr>
        <w:ind w:left="567" w:hanging="567"/>
        <w:rPr>
          <w:rFonts w:eastAsia="Calibri"/>
          <w:sz w:val="18"/>
          <w:szCs w:val="18"/>
          <w:lang w:val="fr-FR"/>
        </w:rPr>
      </w:pPr>
      <w:r w:rsidRPr="00DC2F2C">
        <w:rPr>
          <w:rFonts w:eastAsia="Calibri"/>
          <w:sz w:val="18"/>
          <w:szCs w:val="18"/>
          <w:lang w:val="fr-FR"/>
        </w:rPr>
        <w:t>14</w:t>
      </w:r>
      <w:r w:rsidRPr="00DC2F2C">
        <w:rPr>
          <w:rFonts w:eastAsia="Calibri"/>
          <w:sz w:val="18"/>
          <w:szCs w:val="18"/>
          <w:lang w:val="fr-FR"/>
        </w:rPr>
        <w:tab/>
        <w:t>Dyspn</w:t>
      </w:r>
      <w:r w:rsidR="003357F2" w:rsidRPr="00DC2F2C">
        <w:rPr>
          <w:rFonts w:eastAsia="Calibri"/>
          <w:sz w:val="18"/>
          <w:szCs w:val="18"/>
          <w:lang w:val="fr-FR"/>
        </w:rPr>
        <w:t>ée</w:t>
      </w:r>
      <w:r w:rsidRPr="00DC2F2C">
        <w:rPr>
          <w:rFonts w:eastAsia="Calibri"/>
          <w:sz w:val="18"/>
          <w:szCs w:val="18"/>
          <w:lang w:val="fr-FR"/>
        </w:rPr>
        <w:t xml:space="preserve"> </w:t>
      </w:r>
      <w:r w:rsidR="003357F2" w:rsidRPr="00DC2F2C">
        <w:rPr>
          <w:rFonts w:eastAsia="Calibri"/>
          <w:sz w:val="18"/>
          <w:szCs w:val="18"/>
          <w:lang w:val="fr-FR"/>
        </w:rPr>
        <w:t>comprenant</w:t>
      </w:r>
      <w:r w:rsidRPr="00DC2F2C">
        <w:rPr>
          <w:rFonts w:eastAsia="Calibri"/>
          <w:sz w:val="18"/>
          <w:szCs w:val="18"/>
          <w:lang w:val="fr-FR"/>
        </w:rPr>
        <w:t xml:space="preserve"> dyspn</w:t>
      </w:r>
      <w:r w:rsidR="003357F2" w:rsidRPr="00DC2F2C">
        <w:rPr>
          <w:rFonts w:eastAsia="Calibri"/>
          <w:sz w:val="18"/>
          <w:szCs w:val="18"/>
          <w:lang w:val="fr-FR"/>
        </w:rPr>
        <w:t>ée et dyspnée d’effort</w:t>
      </w:r>
    </w:p>
    <w:p w14:paraId="0B778CD9" w14:textId="77777777" w:rsidR="00B443A1" w:rsidRPr="00DC2F2C" w:rsidRDefault="006F1D9B" w:rsidP="000D6CFA">
      <w:pPr>
        <w:ind w:left="567" w:hanging="567"/>
        <w:rPr>
          <w:rFonts w:eastAsia="Calibri"/>
          <w:sz w:val="18"/>
          <w:szCs w:val="18"/>
          <w:lang w:val="fr-FR"/>
        </w:rPr>
      </w:pPr>
      <w:r w:rsidRPr="00DC2F2C">
        <w:rPr>
          <w:rFonts w:eastAsia="Calibri"/>
          <w:sz w:val="18"/>
          <w:szCs w:val="18"/>
          <w:lang w:val="fr-FR"/>
        </w:rPr>
        <w:t>15</w:t>
      </w:r>
      <w:r w:rsidRPr="00DC2F2C">
        <w:rPr>
          <w:rFonts w:eastAsia="Calibri"/>
          <w:sz w:val="18"/>
          <w:szCs w:val="18"/>
          <w:lang w:val="fr-FR"/>
        </w:rPr>
        <w:tab/>
      </w:r>
      <w:r w:rsidR="00B443A1" w:rsidRPr="00DC2F2C">
        <w:rPr>
          <w:rFonts w:eastAsia="Calibri"/>
          <w:sz w:val="18"/>
          <w:szCs w:val="18"/>
          <w:lang w:val="fr-FR"/>
        </w:rPr>
        <w:t>Douleurs abdominales comprenant inconfort abdominal, douleurs abdominales, douleurs abdominales basses, douleurs abdominales hautes et contracture abdominale</w:t>
      </w:r>
    </w:p>
    <w:p w14:paraId="046317C2" w14:textId="77777777" w:rsidR="00B443A1" w:rsidRPr="00DC2F2C" w:rsidRDefault="00B443A1" w:rsidP="000D6CFA">
      <w:pPr>
        <w:ind w:left="567" w:hanging="567"/>
        <w:rPr>
          <w:rFonts w:eastAsia="Calibri"/>
          <w:sz w:val="18"/>
          <w:szCs w:val="18"/>
          <w:lang w:val="fr-FR"/>
        </w:rPr>
      </w:pPr>
      <w:r w:rsidRPr="00DC2F2C">
        <w:rPr>
          <w:rFonts w:eastAsia="Calibri"/>
          <w:sz w:val="18"/>
          <w:szCs w:val="18"/>
          <w:lang w:val="fr-FR"/>
        </w:rPr>
        <w:t>16</w:t>
      </w:r>
      <w:r w:rsidRPr="00DC2F2C">
        <w:rPr>
          <w:rFonts w:eastAsia="Calibri"/>
          <w:sz w:val="18"/>
          <w:szCs w:val="18"/>
          <w:lang w:val="fr-FR"/>
        </w:rPr>
        <w:tab/>
        <w:t>Stomatite comprenant inconfort buccal, trouble buccal et stomatite</w:t>
      </w:r>
    </w:p>
    <w:p w14:paraId="6893266B" w14:textId="77777777" w:rsidR="006F1D9B" w:rsidRPr="00DC2F2C" w:rsidRDefault="00B443A1" w:rsidP="000D6CFA">
      <w:pPr>
        <w:ind w:left="567" w:hanging="567"/>
        <w:rPr>
          <w:rFonts w:eastAsia="Calibri"/>
          <w:sz w:val="18"/>
          <w:szCs w:val="18"/>
          <w:lang w:val="fr-FR"/>
        </w:rPr>
      </w:pPr>
      <w:r w:rsidRPr="00DC2F2C">
        <w:rPr>
          <w:rFonts w:eastAsia="Calibri"/>
          <w:sz w:val="18"/>
          <w:szCs w:val="18"/>
          <w:lang w:val="fr-FR"/>
        </w:rPr>
        <w:t>17</w:t>
      </w:r>
      <w:r w:rsidRPr="00DC2F2C">
        <w:rPr>
          <w:rFonts w:eastAsia="Calibri"/>
          <w:sz w:val="18"/>
          <w:szCs w:val="18"/>
          <w:lang w:val="fr-FR"/>
        </w:rPr>
        <w:tab/>
      </w:r>
      <w:r w:rsidR="006F1D9B" w:rsidRPr="00DC2F2C">
        <w:rPr>
          <w:rFonts w:eastAsia="Calibri"/>
          <w:sz w:val="18"/>
          <w:szCs w:val="18"/>
          <w:lang w:val="fr-FR"/>
        </w:rPr>
        <w:t>Pancr</w:t>
      </w:r>
      <w:r w:rsidR="003357F2" w:rsidRPr="00DC2F2C">
        <w:rPr>
          <w:rFonts w:eastAsia="Calibri"/>
          <w:sz w:val="18"/>
          <w:szCs w:val="18"/>
          <w:lang w:val="fr-FR"/>
        </w:rPr>
        <w:t>éatite comprenant pancréatite et pancréatite aiguë</w:t>
      </w:r>
    </w:p>
    <w:p w14:paraId="7035D8DE" w14:textId="77777777" w:rsidR="006F1D9B" w:rsidRPr="00DC2F2C" w:rsidRDefault="00B075AA" w:rsidP="000D6CFA">
      <w:pPr>
        <w:ind w:left="567" w:hanging="567"/>
        <w:rPr>
          <w:rFonts w:eastAsia="Calibri"/>
          <w:sz w:val="18"/>
          <w:szCs w:val="18"/>
          <w:lang w:val="fr-FR"/>
        </w:rPr>
      </w:pPr>
      <w:r w:rsidRPr="00DC2F2C">
        <w:rPr>
          <w:rFonts w:eastAsia="Calibri"/>
          <w:sz w:val="18"/>
          <w:szCs w:val="18"/>
          <w:lang w:val="fr-FR"/>
        </w:rPr>
        <w:t>18</w:t>
      </w:r>
      <w:r w:rsidRPr="00DC2F2C">
        <w:rPr>
          <w:rFonts w:eastAsia="Calibri"/>
          <w:sz w:val="18"/>
          <w:szCs w:val="18"/>
          <w:lang w:val="fr-FR"/>
        </w:rPr>
        <w:tab/>
      </w:r>
      <w:r w:rsidR="006F1D9B" w:rsidRPr="00DC2F2C">
        <w:rPr>
          <w:rFonts w:eastAsia="Calibri"/>
          <w:sz w:val="18"/>
          <w:szCs w:val="18"/>
          <w:lang w:val="fr-FR"/>
        </w:rPr>
        <w:t>Dysphagi</w:t>
      </w:r>
      <w:r w:rsidR="003357F2" w:rsidRPr="00DC2F2C">
        <w:rPr>
          <w:rFonts w:eastAsia="Calibri"/>
          <w:sz w:val="18"/>
          <w:szCs w:val="18"/>
          <w:lang w:val="fr-FR"/>
        </w:rPr>
        <w:t>e</w:t>
      </w:r>
      <w:r w:rsidR="006F1D9B" w:rsidRPr="00DC2F2C">
        <w:rPr>
          <w:rFonts w:eastAsia="Calibri"/>
          <w:sz w:val="18"/>
          <w:szCs w:val="18"/>
          <w:lang w:val="fr-FR"/>
        </w:rPr>
        <w:t xml:space="preserve"> </w:t>
      </w:r>
      <w:r w:rsidR="003357F2" w:rsidRPr="00DC2F2C">
        <w:rPr>
          <w:rFonts w:eastAsia="Calibri"/>
          <w:sz w:val="18"/>
          <w:szCs w:val="18"/>
          <w:lang w:val="fr-FR"/>
        </w:rPr>
        <w:t>comprenant dysphagie, odynophagie et douleurs</w:t>
      </w:r>
      <w:r w:rsidR="006F1D9B" w:rsidRPr="00DC2F2C">
        <w:rPr>
          <w:rFonts w:eastAsia="Calibri"/>
          <w:sz w:val="18"/>
          <w:szCs w:val="18"/>
          <w:lang w:val="fr-FR"/>
        </w:rPr>
        <w:t xml:space="preserve"> oropharyng</w:t>
      </w:r>
      <w:r w:rsidR="003357F2" w:rsidRPr="00DC2F2C">
        <w:rPr>
          <w:rFonts w:eastAsia="Calibri"/>
          <w:sz w:val="18"/>
          <w:szCs w:val="18"/>
          <w:lang w:val="fr-FR"/>
        </w:rPr>
        <w:t>ées</w:t>
      </w:r>
    </w:p>
    <w:p w14:paraId="5CCDC278" w14:textId="77777777" w:rsidR="006F1D9B" w:rsidRPr="00DC2F2C" w:rsidRDefault="00B075AA" w:rsidP="000D6CFA">
      <w:pPr>
        <w:ind w:left="567" w:hanging="567"/>
        <w:rPr>
          <w:rFonts w:eastAsia="Calibri"/>
          <w:sz w:val="18"/>
          <w:szCs w:val="18"/>
          <w:lang w:val="fr-FR"/>
        </w:rPr>
      </w:pPr>
      <w:r w:rsidRPr="00DC2F2C">
        <w:rPr>
          <w:rFonts w:eastAsia="Calibri"/>
          <w:sz w:val="18"/>
          <w:szCs w:val="18"/>
          <w:lang w:val="fr-FR"/>
        </w:rPr>
        <w:t>19</w:t>
      </w:r>
      <w:r w:rsidRPr="00DC2F2C">
        <w:rPr>
          <w:rFonts w:eastAsia="Calibri"/>
          <w:sz w:val="18"/>
          <w:szCs w:val="18"/>
          <w:lang w:val="fr-FR"/>
        </w:rPr>
        <w:tab/>
      </w:r>
      <w:r w:rsidR="000B07E9" w:rsidRPr="00DC2F2C">
        <w:rPr>
          <w:rFonts w:eastAsia="Calibri"/>
          <w:sz w:val="18"/>
          <w:szCs w:val="18"/>
          <w:lang w:val="fr-FR"/>
        </w:rPr>
        <w:t>Glossite comprenant glossite et</w:t>
      </w:r>
      <w:r w:rsidR="006F1D9B" w:rsidRPr="00DC2F2C">
        <w:rPr>
          <w:rFonts w:eastAsia="Calibri"/>
          <w:sz w:val="18"/>
          <w:szCs w:val="18"/>
          <w:lang w:val="fr-FR"/>
        </w:rPr>
        <w:t xml:space="preserve"> </w:t>
      </w:r>
      <w:r w:rsidR="000B07E9" w:rsidRPr="00DC2F2C">
        <w:rPr>
          <w:rFonts w:eastAsia="Calibri"/>
          <w:sz w:val="18"/>
          <w:szCs w:val="18"/>
          <w:lang w:val="fr-FR"/>
        </w:rPr>
        <w:t>glossodynie</w:t>
      </w:r>
    </w:p>
    <w:p w14:paraId="5CAA5F51" w14:textId="77777777" w:rsidR="006F1D9B" w:rsidRPr="00DC2F2C" w:rsidRDefault="000B07E9" w:rsidP="000D6CFA">
      <w:pPr>
        <w:ind w:left="567" w:hanging="567"/>
        <w:rPr>
          <w:rFonts w:eastAsia="Calibri"/>
          <w:sz w:val="18"/>
          <w:szCs w:val="18"/>
          <w:lang w:val="fr-FR"/>
        </w:rPr>
      </w:pPr>
      <w:r w:rsidRPr="00DC2F2C">
        <w:rPr>
          <w:rFonts w:eastAsia="Calibri"/>
          <w:sz w:val="18"/>
          <w:szCs w:val="18"/>
          <w:lang w:val="fr-FR"/>
        </w:rPr>
        <w:t>20</w:t>
      </w:r>
      <w:r w:rsidRPr="00DC2F2C">
        <w:rPr>
          <w:rFonts w:eastAsia="Calibri"/>
          <w:sz w:val="18"/>
          <w:szCs w:val="18"/>
          <w:lang w:val="fr-FR"/>
        </w:rPr>
        <w:tab/>
        <w:t>Gingivite comprenant saignement gingival</w:t>
      </w:r>
      <w:r w:rsidR="006F1D9B" w:rsidRPr="00DC2F2C">
        <w:rPr>
          <w:rFonts w:eastAsia="Calibri"/>
          <w:sz w:val="18"/>
          <w:szCs w:val="18"/>
          <w:lang w:val="fr-FR"/>
        </w:rPr>
        <w:t xml:space="preserve">, </w:t>
      </w:r>
      <w:r w:rsidRPr="00DC2F2C">
        <w:rPr>
          <w:rFonts w:eastAsia="Calibri"/>
          <w:sz w:val="18"/>
          <w:szCs w:val="18"/>
          <w:lang w:val="fr-FR"/>
        </w:rPr>
        <w:t>trouble gingival</w:t>
      </w:r>
      <w:r w:rsidR="006F1D9B" w:rsidRPr="00DC2F2C">
        <w:rPr>
          <w:rFonts w:eastAsia="Calibri"/>
          <w:sz w:val="18"/>
          <w:szCs w:val="18"/>
          <w:lang w:val="fr-FR"/>
        </w:rPr>
        <w:t xml:space="preserve">, </w:t>
      </w:r>
      <w:r w:rsidRPr="00DC2F2C">
        <w:rPr>
          <w:rFonts w:eastAsia="Calibri"/>
          <w:sz w:val="18"/>
          <w:szCs w:val="18"/>
          <w:lang w:val="fr-FR"/>
        </w:rPr>
        <w:t>douleurs gingivales</w:t>
      </w:r>
      <w:r w:rsidR="006F1D9B" w:rsidRPr="00DC2F2C">
        <w:rPr>
          <w:rFonts w:eastAsia="Calibri"/>
          <w:sz w:val="18"/>
          <w:szCs w:val="18"/>
          <w:lang w:val="fr-FR"/>
        </w:rPr>
        <w:t xml:space="preserve"> </w:t>
      </w:r>
      <w:r w:rsidRPr="00DC2F2C">
        <w:rPr>
          <w:rFonts w:eastAsia="Calibri"/>
          <w:sz w:val="18"/>
          <w:szCs w:val="18"/>
          <w:lang w:val="fr-FR"/>
        </w:rPr>
        <w:t>et gingivite</w:t>
      </w:r>
    </w:p>
    <w:p w14:paraId="0F178B95" w14:textId="77777777" w:rsidR="006F1D9B" w:rsidRPr="00DC2F2C" w:rsidRDefault="006F1D9B" w:rsidP="000D6CFA">
      <w:pPr>
        <w:ind w:left="567" w:hanging="567"/>
        <w:rPr>
          <w:rFonts w:eastAsia="Calibri"/>
          <w:sz w:val="18"/>
          <w:szCs w:val="18"/>
          <w:lang w:val="fr-FR"/>
        </w:rPr>
      </w:pPr>
      <w:r w:rsidRPr="00DC2F2C">
        <w:rPr>
          <w:rFonts w:eastAsia="Calibri"/>
          <w:sz w:val="18"/>
          <w:szCs w:val="18"/>
          <w:lang w:val="fr-FR"/>
        </w:rPr>
        <w:t>21</w:t>
      </w:r>
      <w:r w:rsidRPr="00DC2F2C">
        <w:rPr>
          <w:rFonts w:eastAsia="Calibri"/>
          <w:sz w:val="18"/>
          <w:szCs w:val="18"/>
          <w:lang w:val="fr-FR"/>
        </w:rPr>
        <w:tab/>
      </w:r>
      <w:r w:rsidR="000B07E9" w:rsidRPr="00DC2F2C">
        <w:rPr>
          <w:rFonts w:eastAsia="Calibri"/>
          <w:sz w:val="18"/>
          <w:szCs w:val="18"/>
          <w:lang w:val="fr-FR"/>
        </w:rPr>
        <w:t>Augmentation du taux d’alanine-</w:t>
      </w:r>
      <w:r w:rsidRPr="00DC2F2C">
        <w:rPr>
          <w:rFonts w:eastAsia="Calibri"/>
          <w:sz w:val="18"/>
          <w:szCs w:val="18"/>
          <w:lang w:val="fr-FR"/>
        </w:rPr>
        <w:t>aminotransf</w:t>
      </w:r>
      <w:r w:rsidR="000B07E9" w:rsidRPr="00DC2F2C">
        <w:rPr>
          <w:rFonts w:eastAsia="Calibri"/>
          <w:sz w:val="18"/>
          <w:szCs w:val="18"/>
          <w:lang w:val="fr-FR"/>
        </w:rPr>
        <w:t>é</w:t>
      </w:r>
      <w:r w:rsidRPr="00DC2F2C">
        <w:rPr>
          <w:rFonts w:eastAsia="Calibri"/>
          <w:sz w:val="18"/>
          <w:szCs w:val="18"/>
          <w:lang w:val="fr-FR"/>
        </w:rPr>
        <w:t>rase (AL</w:t>
      </w:r>
      <w:r w:rsidR="000B07E9" w:rsidRPr="00DC2F2C">
        <w:rPr>
          <w:rFonts w:eastAsia="Calibri"/>
          <w:sz w:val="18"/>
          <w:szCs w:val="18"/>
          <w:lang w:val="fr-FR"/>
        </w:rPr>
        <w:t>AT)/aspartate-</w:t>
      </w:r>
      <w:r w:rsidRPr="00DC2F2C">
        <w:rPr>
          <w:rFonts w:eastAsia="Calibri"/>
          <w:sz w:val="18"/>
          <w:szCs w:val="18"/>
          <w:lang w:val="fr-FR"/>
        </w:rPr>
        <w:t>aminotransf</w:t>
      </w:r>
      <w:r w:rsidR="000B07E9" w:rsidRPr="00DC2F2C">
        <w:rPr>
          <w:rFonts w:eastAsia="Calibri"/>
          <w:sz w:val="18"/>
          <w:szCs w:val="18"/>
          <w:lang w:val="fr-FR"/>
        </w:rPr>
        <w:t>é</w:t>
      </w:r>
      <w:r w:rsidRPr="00DC2F2C">
        <w:rPr>
          <w:rFonts w:eastAsia="Calibri"/>
          <w:sz w:val="18"/>
          <w:szCs w:val="18"/>
          <w:lang w:val="fr-FR"/>
        </w:rPr>
        <w:t>rase (AS</w:t>
      </w:r>
      <w:r w:rsidR="000B07E9" w:rsidRPr="00DC2F2C">
        <w:rPr>
          <w:rFonts w:eastAsia="Calibri"/>
          <w:sz w:val="18"/>
          <w:szCs w:val="18"/>
          <w:lang w:val="fr-FR"/>
        </w:rPr>
        <w:t>A</w:t>
      </w:r>
      <w:r w:rsidRPr="00DC2F2C">
        <w:rPr>
          <w:rFonts w:eastAsia="Calibri"/>
          <w:sz w:val="18"/>
          <w:szCs w:val="18"/>
          <w:lang w:val="fr-FR"/>
        </w:rPr>
        <w:t xml:space="preserve">T) </w:t>
      </w:r>
      <w:r w:rsidR="000B07E9" w:rsidRPr="00DC2F2C">
        <w:rPr>
          <w:rFonts w:eastAsia="Calibri"/>
          <w:sz w:val="18"/>
          <w:szCs w:val="18"/>
          <w:lang w:val="fr-FR"/>
        </w:rPr>
        <w:t>comprenant augmentation du taux d’</w:t>
      </w:r>
      <w:r w:rsidRPr="00DC2F2C">
        <w:rPr>
          <w:rFonts w:eastAsia="Calibri"/>
          <w:sz w:val="18"/>
          <w:szCs w:val="18"/>
          <w:lang w:val="fr-FR"/>
        </w:rPr>
        <w:t>AL</w:t>
      </w:r>
      <w:r w:rsidR="000B07E9" w:rsidRPr="00DC2F2C">
        <w:rPr>
          <w:rFonts w:eastAsia="Calibri"/>
          <w:sz w:val="18"/>
          <w:szCs w:val="18"/>
          <w:lang w:val="fr-FR"/>
        </w:rPr>
        <w:t>A</w:t>
      </w:r>
      <w:r w:rsidRPr="00DC2F2C">
        <w:rPr>
          <w:rFonts w:eastAsia="Calibri"/>
          <w:sz w:val="18"/>
          <w:szCs w:val="18"/>
          <w:lang w:val="fr-FR"/>
        </w:rPr>
        <w:t xml:space="preserve">T </w:t>
      </w:r>
      <w:r w:rsidR="000B07E9" w:rsidRPr="00DC2F2C">
        <w:rPr>
          <w:rFonts w:eastAsia="Calibri"/>
          <w:sz w:val="18"/>
          <w:szCs w:val="18"/>
          <w:lang w:val="fr-FR"/>
        </w:rPr>
        <w:t>et augmentation du taux d’</w:t>
      </w:r>
      <w:r w:rsidRPr="00DC2F2C">
        <w:rPr>
          <w:rFonts w:eastAsia="Calibri"/>
          <w:sz w:val="18"/>
          <w:szCs w:val="18"/>
          <w:lang w:val="fr-FR"/>
        </w:rPr>
        <w:t>AS</w:t>
      </w:r>
      <w:r w:rsidR="000B07E9" w:rsidRPr="00DC2F2C">
        <w:rPr>
          <w:rFonts w:eastAsia="Calibri"/>
          <w:sz w:val="18"/>
          <w:szCs w:val="18"/>
          <w:lang w:val="fr-FR"/>
        </w:rPr>
        <w:t>A</w:t>
      </w:r>
      <w:r w:rsidRPr="00DC2F2C">
        <w:rPr>
          <w:rFonts w:eastAsia="Calibri"/>
          <w:sz w:val="18"/>
          <w:szCs w:val="18"/>
          <w:lang w:val="fr-FR"/>
        </w:rPr>
        <w:t xml:space="preserve">T </w:t>
      </w:r>
    </w:p>
    <w:p w14:paraId="15528EDA" w14:textId="77777777" w:rsidR="006F1D9B" w:rsidRPr="00DC2F2C" w:rsidRDefault="000B07E9" w:rsidP="000D6CFA">
      <w:pPr>
        <w:ind w:left="567" w:hanging="567"/>
        <w:rPr>
          <w:rFonts w:eastAsia="Calibri"/>
          <w:sz w:val="18"/>
          <w:szCs w:val="18"/>
          <w:lang w:val="fr-FR"/>
        </w:rPr>
      </w:pPr>
      <w:r w:rsidRPr="00DC2F2C">
        <w:rPr>
          <w:rFonts w:eastAsia="Calibri"/>
          <w:sz w:val="18"/>
          <w:szCs w:val="18"/>
          <w:lang w:val="fr-FR"/>
        </w:rPr>
        <w:t>22</w:t>
      </w:r>
      <w:r w:rsidRPr="00DC2F2C">
        <w:rPr>
          <w:rFonts w:eastAsia="Calibri"/>
          <w:sz w:val="18"/>
          <w:szCs w:val="18"/>
          <w:lang w:val="fr-FR"/>
        </w:rPr>
        <w:tab/>
        <w:t>É</w:t>
      </w:r>
      <w:r w:rsidR="006F1D9B" w:rsidRPr="00DC2F2C">
        <w:rPr>
          <w:rFonts w:eastAsia="Calibri"/>
          <w:sz w:val="18"/>
          <w:szCs w:val="18"/>
          <w:lang w:val="fr-FR"/>
        </w:rPr>
        <w:t>ryth</w:t>
      </w:r>
      <w:r w:rsidRPr="00DC2F2C">
        <w:rPr>
          <w:rFonts w:eastAsia="Calibri"/>
          <w:sz w:val="18"/>
          <w:szCs w:val="18"/>
          <w:lang w:val="fr-FR"/>
        </w:rPr>
        <w:t>ème</w:t>
      </w:r>
      <w:r w:rsidR="006F1D9B" w:rsidRPr="00DC2F2C">
        <w:rPr>
          <w:rFonts w:eastAsia="Calibri"/>
          <w:sz w:val="18"/>
          <w:szCs w:val="18"/>
          <w:lang w:val="fr-FR"/>
        </w:rPr>
        <w:t xml:space="preserve"> </w:t>
      </w:r>
      <w:r w:rsidR="00DC42C6" w:rsidRPr="00DC2F2C">
        <w:rPr>
          <w:rFonts w:eastAsia="Calibri"/>
          <w:sz w:val="18"/>
          <w:szCs w:val="18"/>
          <w:lang w:val="fr-FR"/>
        </w:rPr>
        <w:t>comprenant</w:t>
      </w:r>
      <w:r w:rsidR="006F1D9B" w:rsidRPr="00DC2F2C">
        <w:rPr>
          <w:rFonts w:eastAsia="Calibri"/>
          <w:sz w:val="18"/>
          <w:szCs w:val="18"/>
          <w:lang w:val="fr-FR"/>
        </w:rPr>
        <w:t xml:space="preserve"> </w:t>
      </w:r>
      <w:r w:rsidRPr="00DC2F2C">
        <w:rPr>
          <w:rFonts w:eastAsia="Calibri"/>
          <w:sz w:val="18"/>
          <w:szCs w:val="18"/>
          <w:lang w:val="fr-FR"/>
        </w:rPr>
        <w:t>érythème</w:t>
      </w:r>
      <w:r w:rsidR="006F1D9B" w:rsidRPr="00DC2F2C">
        <w:rPr>
          <w:rFonts w:eastAsia="Calibri"/>
          <w:sz w:val="18"/>
          <w:szCs w:val="18"/>
          <w:lang w:val="fr-FR"/>
        </w:rPr>
        <w:t xml:space="preserve">, </w:t>
      </w:r>
      <w:r w:rsidRPr="00DC2F2C">
        <w:rPr>
          <w:rFonts w:eastAsia="Calibri"/>
          <w:sz w:val="18"/>
          <w:szCs w:val="18"/>
          <w:lang w:val="fr-FR"/>
        </w:rPr>
        <w:t>érythème généralisé et érythème palmaire</w:t>
      </w:r>
    </w:p>
    <w:p w14:paraId="1B3EEBC2" w14:textId="77777777" w:rsidR="006F1D9B" w:rsidRPr="00DC2F2C" w:rsidRDefault="006F1D9B" w:rsidP="000D6CFA">
      <w:pPr>
        <w:ind w:left="567" w:hanging="567"/>
        <w:rPr>
          <w:rFonts w:eastAsia="Calibri"/>
          <w:sz w:val="18"/>
          <w:szCs w:val="18"/>
          <w:lang w:val="fr-FR"/>
        </w:rPr>
      </w:pPr>
      <w:r w:rsidRPr="00DC2F2C">
        <w:rPr>
          <w:rFonts w:eastAsia="Calibri"/>
          <w:sz w:val="18"/>
          <w:szCs w:val="18"/>
          <w:lang w:val="fr-FR"/>
        </w:rPr>
        <w:t>23</w:t>
      </w:r>
      <w:r w:rsidRPr="00DC2F2C">
        <w:rPr>
          <w:rFonts w:eastAsia="Calibri"/>
          <w:sz w:val="18"/>
          <w:szCs w:val="18"/>
          <w:lang w:val="fr-FR"/>
        </w:rPr>
        <w:tab/>
        <w:t>Prurit</w:t>
      </w:r>
      <w:r w:rsidR="004F77E3" w:rsidRPr="00DC2F2C">
        <w:rPr>
          <w:rFonts w:eastAsia="Calibri"/>
          <w:sz w:val="18"/>
          <w:szCs w:val="18"/>
          <w:lang w:val="fr-FR"/>
        </w:rPr>
        <w:t xml:space="preserve"> comprenant prurit généralisé</w:t>
      </w:r>
      <w:r w:rsidRPr="00DC2F2C">
        <w:rPr>
          <w:rFonts w:eastAsia="Calibri"/>
          <w:sz w:val="18"/>
          <w:szCs w:val="18"/>
          <w:lang w:val="fr-FR"/>
        </w:rPr>
        <w:t xml:space="preserve"> </w:t>
      </w:r>
      <w:r w:rsidR="004F77E3" w:rsidRPr="00DC2F2C">
        <w:rPr>
          <w:rFonts w:eastAsia="Calibri"/>
          <w:sz w:val="18"/>
          <w:szCs w:val="18"/>
          <w:lang w:val="fr-FR"/>
        </w:rPr>
        <w:t>et prurit</w:t>
      </w:r>
      <w:r w:rsidRPr="00DC2F2C">
        <w:rPr>
          <w:rFonts w:eastAsia="Calibri"/>
          <w:sz w:val="18"/>
          <w:szCs w:val="18"/>
          <w:lang w:val="fr-FR"/>
        </w:rPr>
        <w:t xml:space="preserve"> </w:t>
      </w:r>
    </w:p>
    <w:p w14:paraId="57E72B8B" w14:textId="77777777" w:rsidR="00B075AA" w:rsidRPr="00DC2F2C" w:rsidRDefault="004F77E3" w:rsidP="000D6CFA">
      <w:pPr>
        <w:ind w:left="567" w:hanging="567"/>
        <w:rPr>
          <w:rFonts w:eastAsia="Calibri"/>
          <w:sz w:val="18"/>
          <w:szCs w:val="18"/>
          <w:lang w:val="fr-FR"/>
        </w:rPr>
      </w:pPr>
      <w:r w:rsidRPr="00DC2F2C">
        <w:rPr>
          <w:rFonts w:eastAsia="Calibri"/>
          <w:sz w:val="18"/>
          <w:szCs w:val="18"/>
          <w:lang w:val="fr-FR"/>
        </w:rPr>
        <w:t>24</w:t>
      </w:r>
      <w:r w:rsidRPr="00DC2F2C">
        <w:rPr>
          <w:rFonts w:eastAsia="Calibri"/>
          <w:sz w:val="18"/>
          <w:szCs w:val="18"/>
          <w:lang w:val="fr-FR"/>
        </w:rPr>
        <w:tab/>
      </w:r>
      <w:r w:rsidR="00B075AA" w:rsidRPr="00DC2F2C">
        <w:rPr>
          <w:rFonts w:eastAsia="Calibri"/>
          <w:sz w:val="18"/>
          <w:szCs w:val="18"/>
          <w:lang w:val="fr-FR"/>
        </w:rPr>
        <w:t>Éruption cutanée comprenant éruption cutanée, éruption érythémateuse, érupti</w:t>
      </w:r>
      <w:r w:rsidR="003928E9">
        <w:rPr>
          <w:rFonts w:eastAsia="Calibri"/>
          <w:sz w:val="18"/>
          <w:szCs w:val="18"/>
          <w:lang w:val="fr-FR"/>
        </w:rPr>
        <w:t xml:space="preserve">on généralisée, éruption </w:t>
      </w:r>
      <w:proofErr w:type="spellStart"/>
      <w:r w:rsidR="003928E9">
        <w:rPr>
          <w:rFonts w:eastAsia="Calibri"/>
          <w:sz w:val="18"/>
          <w:szCs w:val="18"/>
          <w:lang w:val="fr-FR"/>
        </w:rPr>
        <w:t>maculo</w:t>
      </w:r>
      <w:proofErr w:type="spellEnd"/>
      <w:r w:rsidR="003928E9">
        <w:rPr>
          <w:rFonts w:eastAsia="Calibri"/>
          <w:sz w:val="18"/>
          <w:szCs w:val="18"/>
          <w:lang w:val="fr-FR"/>
        </w:rPr>
        <w:noBreakHyphen/>
      </w:r>
      <w:r w:rsidR="00B075AA" w:rsidRPr="00DC2F2C">
        <w:rPr>
          <w:rFonts w:eastAsia="Calibri"/>
          <w:sz w:val="18"/>
          <w:szCs w:val="18"/>
          <w:lang w:val="fr-FR"/>
        </w:rPr>
        <w:t>papuleuse, éruption papuleuse et éruption prurigineuse</w:t>
      </w:r>
    </w:p>
    <w:p w14:paraId="5A7E6AEE" w14:textId="77777777" w:rsidR="00B075AA" w:rsidRPr="00DC2F2C" w:rsidRDefault="00B075AA" w:rsidP="000D6CFA">
      <w:pPr>
        <w:ind w:left="567" w:hanging="567"/>
        <w:rPr>
          <w:rFonts w:eastAsia="Calibri"/>
          <w:sz w:val="18"/>
          <w:szCs w:val="18"/>
          <w:lang w:val="fr-FR"/>
        </w:rPr>
      </w:pPr>
      <w:r w:rsidRPr="00DC2F2C">
        <w:rPr>
          <w:rFonts w:eastAsia="Calibri"/>
          <w:sz w:val="18"/>
          <w:szCs w:val="18"/>
          <w:lang w:val="fr-FR"/>
        </w:rPr>
        <w:t>25</w:t>
      </w:r>
      <w:r w:rsidRPr="00DC2F2C">
        <w:rPr>
          <w:rFonts w:eastAsia="Calibri"/>
          <w:sz w:val="18"/>
          <w:szCs w:val="18"/>
          <w:lang w:val="fr-FR"/>
        </w:rPr>
        <w:tab/>
        <w:t>Acné comprenant acné et dermatite acnéiforme</w:t>
      </w:r>
    </w:p>
    <w:p w14:paraId="3ED91AD5" w14:textId="77777777" w:rsidR="006F1D9B" w:rsidRPr="00DC2F2C" w:rsidRDefault="00B075AA" w:rsidP="000D6CFA">
      <w:pPr>
        <w:ind w:left="567" w:hanging="567"/>
        <w:rPr>
          <w:rFonts w:eastAsia="Calibri"/>
          <w:sz w:val="18"/>
          <w:szCs w:val="18"/>
          <w:lang w:val="fr-FR"/>
        </w:rPr>
      </w:pPr>
      <w:r w:rsidRPr="00DC2F2C">
        <w:rPr>
          <w:rFonts w:eastAsia="Calibri"/>
          <w:sz w:val="18"/>
          <w:szCs w:val="18"/>
          <w:lang w:val="fr-FR"/>
        </w:rPr>
        <w:t>26</w:t>
      </w:r>
      <w:r w:rsidRPr="00DC2F2C">
        <w:rPr>
          <w:rFonts w:eastAsia="Calibri"/>
          <w:sz w:val="18"/>
          <w:szCs w:val="18"/>
          <w:lang w:val="fr-FR"/>
        </w:rPr>
        <w:tab/>
      </w:r>
      <w:r w:rsidR="004F77E3" w:rsidRPr="00DC2F2C">
        <w:rPr>
          <w:rFonts w:eastAsia="Calibri"/>
          <w:sz w:val="18"/>
          <w:szCs w:val="18"/>
          <w:lang w:val="fr-FR"/>
        </w:rPr>
        <w:t>Dermatite comprenant</w:t>
      </w:r>
      <w:r w:rsidR="006F1D9B" w:rsidRPr="00DC2F2C">
        <w:rPr>
          <w:rFonts w:eastAsia="Calibri"/>
          <w:sz w:val="18"/>
          <w:szCs w:val="18"/>
          <w:lang w:val="fr-FR"/>
        </w:rPr>
        <w:t xml:space="preserve"> </w:t>
      </w:r>
      <w:r w:rsidR="004F77E3" w:rsidRPr="00DC2F2C">
        <w:rPr>
          <w:rFonts w:eastAsia="Calibri"/>
          <w:sz w:val="18"/>
          <w:szCs w:val="18"/>
          <w:lang w:val="fr-FR"/>
        </w:rPr>
        <w:t>dermatite et dermatite bulleuse</w:t>
      </w:r>
    </w:p>
    <w:p w14:paraId="29E72636" w14:textId="77777777" w:rsidR="00B075AA" w:rsidRPr="00DC2F2C" w:rsidRDefault="006F1D9B" w:rsidP="000D6CFA">
      <w:pPr>
        <w:ind w:left="567" w:hanging="567"/>
        <w:rPr>
          <w:rFonts w:eastAsia="Calibri"/>
          <w:sz w:val="18"/>
          <w:szCs w:val="18"/>
          <w:lang w:val="fr-FR"/>
        </w:rPr>
      </w:pPr>
      <w:r w:rsidRPr="00DC2F2C">
        <w:rPr>
          <w:rFonts w:eastAsia="Calibri"/>
          <w:sz w:val="18"/>
          <w:szCs w:val="18"/>
          <w:lang w:val="fr-FR"/>
        </w:rPr>
        <w:t>27</w:t>
      </w:r>
      <w:r w:rsidRPr="00DC2F2C">
        <w:rPr>
          <w:rFonts w:eastAsia="Calibri"/>
          <w:sz w:val="18"/>
          <w:szCs w:val="18"/>
          <w:lang w:val="fr-FR"/>
        </w:rPr>
        <w:tab/>
      </w:r>
      <w:r w:rsidR="00B075AA" w:rsidRPr="00DC2F2C">
        <w:rPr>
          <w:rFonts w:eastAsia="Calibri"/>
          <w:sz w:val="18"/>
          <w:szCs w:val="18"/>
          <w:lang w:val="fr-FR"/>
        </w:rPr>
        <w:t>Douleurs comprenant douleurs osseuses, douleurs cancéreuses, douleurs au flanc, douleurs à l’aine, douleurs buccales, douleurs, douleurs au niveau des extrémités et douleurs tumorales</w:t>
      </w:r>
    </w:p>
    <w:p w14:paraId="23B1AE60" w14:textId="77777777" w:rsidR="006F1D9B" w:rsidRPr="00DC2F2C" w:rsidRDefault="00B075AA" w:rsidP="000D6CFA">
      <w:pPr>
        <w:ind w:left="567" w:hanging="567"/>
        <w:rPr>
          <w:rFonts w:eastAsia="Calibri"/>
          <w:sz w:val="18"/>
          <w:szCs w:val="18"/>
          <w:lang w:val="fr-FR"/>
        </w:rPr>
      </w:pPr>
      <w:r w:rsidRPr="00DC2F2C">
        <w:rPr>
          <w:rFonts w:eastAsia="Calibri"/>
          <w:sz w:val="18"/>
          <w:szCs w:val="18"/>
          <w:lang w:val="fr-FR"/>
        </w:rPr>
        <w:t>28</w:t>
      </w:r>
      <w:r w:rsidRPr="00DC2F2C">
        <w:rPr>
          <w:rFonts w:eastAsia="Calibri"/>
          <w:sz w:val="18"/>
          <w:szCs w:val="18"/>
          <w:lang w:val="fr-FR"/>
        </w:rPr>
        <w:tab/>
      </w:r>
      <w:r w:rsidR="001B64A3" w:rsidRPr="00DC2F2C">
        <w:rPr>
          <w:rFonts w:eastAsia="Calibri"/>
          <w:sz w:val="18"/>
          <w:szCs w:val="18"/>
          <w:lang w:val="fr-FR"/>
        </w:rPr>
        <w:t>Douleurs thoraciques comprenant douleurs thoraciques et douleurs thoraciques non cardiaques</w:t>
      </w:r>
    </w:p>
    <w:p w14:paraId="727B5AA9" w14:textId="77777777" w:rsidR="006F1D9B" w:rsidRPr="00DC2F2C" w:rsidRDefault="006F1D9B" w:rsidP="000D6CFA">
      <w:pPr>
        <w:ind w:left="567" w:hanging="567"/>
        <w:rPr>
          <w:rFonts w:eastAsia="Calibri"/>
          <w:sz w:val="18"/>
          <w:szCs w:val="18"/>
          <w:lang w:val="fr-FR"/>
        </w:rPr>
      </w:pPr>
      <w:r w:rsidRPr="00DC2F2C">
        <w:rPr>
          <w:rFonts w:eastAsia="Calibri"/>
          <w:sz w:val="18"/>
          <w:szCs w:val="18"/>
          <w:lang w:val="fr-FR"/>
        </w:rPr>
        <w:t>29</w:t>
      </w:r>
      <w:r w:rsidRPr="00DC2F2C">
        <w:rPr>
          <w:rFonts w:eastAsia="Calibri"/>
          <w:sz w:val="18"/>
          <w:szCs w:val="18"/>
          <w:lang w:val="fr-FR"/>
        </w:rPr>
        <w:tab/>
      </w:r>
      <w:r w:rsidR="004F1F11" w:rsidRPr="00DC2F2C">
        <w:rPr>
          <w:rFonts w:eastAsia="Calibri"/>
          <w:sz w:val="18"/>
          <w:szCs w:val="18"/>
          <w:lang w:val="fr-FR"/>
        </w:rPr>
        <w:t>Frissons comprenant frissons et hypothermie</w:t>
      </w:r>
    </w:p>
    <w:p w14:paraId="0151F1AC" w14:textId="77777777" w:rsidR="006F1D9B" w:rsidRPr="00DC2F2C" w:rsidRDefault="006F1D9B" w:rsidP="009D43DC">
      <w:pPr>
        <w:ind w:right="549"/>
        <w:rPr>
          <w:szCs w:val="22"/>
          <w:lang w:val="fr-FR"/>
        </w:rPr>
      </w:pPr>
    </w:p>
    <w:p w14:paraId="3FB0F2BB" w14:textId="77777777" w:rsidR="00531BDD" w:rsidRPr="00DC2F2C" w:rsidRDefault="00531BDD" w:rsidP="001E76D6">
      <w:pPr>
        <w:keepNext/>
        <w:keepLines/>
        <w:ind w:right="550"/>
        <w:rPr>
          <w:b/>
          <w:szCs w:val="22"/>
          <w:u w:val="single"/>
          <w:lang w:val="fr-FR"/>
        </w:rPr>
      </w:pPr>
      <w:r w:rsidRPr="00DC2F2C">
        <w:rPr>
          <w:szCs w:val="22"/>
          <w:u w:val="single"/>
          <w:lang w:val="fr-FR"/>
        </w:rPr>
        <w:t xml:space="preserve">Description </w:t>
      </w:r>
      <w:r w:rsidR="00856FB5" w:rsidRPr="00DC2F2C">
        <w:rPr>
          <w:szCs w:val="22"/>
          <w:u w:val="single"/>
          <w:lang w:val="fr-FR"/>
        </w:rPr>
        <w:t>de certains effets indésirables</w:t>
      </w:r>
    </w:p>
    <w:p w14:paraId="025CBFF6" w14:textId="77777777" w:rsidR="00531BDD" w:rsidRPr="00DC2F2C" w:rsidRDefault="00531BDD" w:rsidP="001E76D6">
      <w:pPr>
        <w:keepNext/>
        <w:keepLines/>
        <w:ind w:right="550"/>
        <w:rPr>
          <w:szCs w:val="22"/>
          <w:lang w:val="fr-FR"/>
        </w:rPr>
      </w:pPr>
    </w:p>
    <w:p w14:paraId="3B3CFF02" w14:textId="77777777" w:rsidR="00FF2129" w:rsidRPr="00DC2F2C" w:rsidRDefault="00FF2129" w:rsidP="00FF2129">
      <w:pPr>
        <w:keepNext/>
        <w:keepLines/>
        <w:tabs>
          <w:tab w:val="clear" w:pos="567"/>
        </w:tabs>
        <w:rPr>
          <w:rFonts w:eastAsia="Calibri"/>
          <w:i/>
          <w:szCs w:val="22"/>
          <w:lang w:val="fr-FR"/>
        </w:rPr>
      </w:pPr>
      <w:r w:rsidRPr="00DC2F2C">
        <w:rPr>
          <w:rFonts w:eastAsia="Calibri"/>
          <w:i/>
          <w:szCs w:val="22"/>
          <w:lang w:val="fr-FR"/>
        </w:rPr>
        <w:t>Hypertension</w:t>
      </w:r>
      <w:r w:rsidR="00856FB5" w:rsidRPr="00DC2F2C">
        <w:rPr>
          <w:rFonts w:eastAsia="Calibri"/>
          <w:i/>
          <w:szCs w:val="22"/>
          <w:lang w:val="fr-FR"/>
        </w:rPr>
        <w:t xml:space="preserve"> artérielle</w:t>
      </w:r>
    </w:p>
    <w:p w14:paraId="2E0FC3E0" w14:textId="77777777" w:rsidR="00FF2129" w:rsidRPr="00DC2F2C" w:rsidRDefault="00856FB5" w:rsidP="000D6CFA">
      <w:pPr>
        <w:rPr>
          <w:rFonts w:eastAsia="Calibri"/>
          <w:szCs w:val="22"/>
          <w:lang w:val="fr-FR"/>
        </w:rPr>
      </w:pPr>
      <w:r w:rsidRPr="00DC2F2C">
        <w:rPr>
          <w:rFonts w:eastAsia="Calibri"/>
          <w:szCs w:val="22"/>
          <w:lang w:val="fr-FR"/>
        </w:rPr>
        <w:t xml:space="preserve">Une hypertension artérielle a été rapportée en tant qu’effet indésirable chez </w:t>
      </w:r>
      <w:r w:rsidR="001206DC" w:rsidRPr="00DC2F2C">
        <w:rPr>
          <w:rFonts w:eastAsia="Calibri"/>
          <w:szCs w:val="22"/>
          <w:lang w:val="fr-FR"/>
        </w:rPr>
        <w:t>47,6</w:t>
      </w:r>
      <w:r w:rsidRPr="00DC2F2C">
        <w:rPr>
          <w:rFonts w:eastAsia="Calibri"/>
          <w:szCs w:val="22"/>
          <w:lang w:val="fr-FR"/>
        </w:rPr>
        <w:t> </w:t>
      </w:r>
      <w:r w:rsidR="00FF2129" w:rsidRPr="00DC2F2C">
        <w:rPr>
          <w:rFonts w:eastAsia="Calibri"/>
          <w:szCs w:val="22"/>
          <w:lang w:val="fr-FR"/>
        </w:rPr>
        <w:t xml:space="preserve">% </w:t>
      </w:r>
      <w:r w:rsidRPr="00DC2F2C">
        <w:rPr>
          <w:rFonts w:eastAsia="Calibri"/>
          <w:szCs w:val="22"/>
          <w:lang w:val="fr-FR"/>
        </w:rPr>
        <w:t>des</w:t>
      </w:r>
      <w:r w:rsidR="00FF2129" w:rsidRPr="00DC2F2C">
        <w:rPr>
          <w:rFonts w:eastAsia="Calibri"/>
          <w:szCs w:val="22"/>
          <w:lang w:val="fr-FR"/>
        </w:rPr>
        <w:t xml:space="preserve"> patients </w:t>
      </w:r>
      <w:r w:rsidR="0045407A" w:rsidRPr="00DC2F2C">
        <w:rPr>
          <w:rFonts w:eastAsia="Calibri"/>
          <w:szCs w:val="22"/>
          <w:lang w:val="fr-FR"/>
        </w:rPr>
        <w:t xml:space="preserve">traités par </w:t>
      </w:r>
      <w:proofErr w:type="spellStart"/>
      <w:r w:rsidR="00FF2129" w:rsidRPr="00DC2F2C">
        <w:rPr>
          <w:rFonts w:eastAsia="Calibri"/>
          <w:szCs w:val="22"/>
          <w:lang w:val="fr-FR"/>
        </w:rPr>
        <w:t>tivozanib</w:t>
      </w:r>
      <w:proofErr w:type="spellEnd"/>
      <w:r w:rsidR="00FF2129" w:rsidRPr="00DC2F2C">
        <w:rPr>
          <w:rFonts w:eastAsia="Calibri"/>
          <w:szCs w:val="22"/>
          <w:lang w:val="fr-FR"/>
        </w:rPr>
        <w:t xml:space="preserve">; </w:t>
      </w:r>
      <w:r w:rsidR="00EB29DE" w:rsidRPr="00DC2F2C">
        <w:rPr>
          <w:rFonts w:eastAsia="Calibri"/>
          <w:szCs w:val="22"/>
          <w:lang w:val="fr-FR"/>
        </w:rPr>
        <w:t>chez</w:t>
      </w:r>
      <w:r w:rsidR="00FF2129" w:rsidRPr="00DC2F2C">
        <w:rPr>
          <w:rFonts w:eastAsia="Calibri"/>
          <w:szCs w:val="22"/>
          <w:lang w:val="fr-FR"/>
        </w:rPr>
        <w:t xml:space="preserve"> </w:t>
      </w:r>
      <w:r w:rsidR="001206DC" w:rsidRPr="00DC2F2C">
        <w:rPr>
          <w:rFonts w:eastAsia="Calibri"/>
          <w:szCs w:val="22"/>
          <w:lang w:val="fr-FR"/>
        </w:rPr>
        <w:t>23,0</w:t>
      </w:r>
      <w:r w:rsidR="00EB29DE" w:rsidRPr="00DC2F2C">
        <w:rPr>
          <w:rFonts w:eastAsia="Calibri"/>
          <w:szCs w:val="22"/>
          <w:lang w:val="fr-FR"/>
        </w:rPr>
        <w:t> </w:t>
      </w:r>
      <w:r w:rsidR="00FF2129" w:rsidRPr="00DC2F2C">
        <w:rPr>
          <w:rFonts w:eastAsia="Calibri"/>
          <w:szCs w:val="22"/>
          <w:lang w:val="fr-FR"/>
        </w:rPr>
        <w:t>%</w:t>
      </w:r>
      <w:r w:rsidR="00EB29DE" w:rsidRPr="00DC2F2C">
        <w:rPr>
          <w:rFonts w:eastAsia="Calibri"/>
          <w:szCs w:val="22"/>
          <w:lang w:val="fr-FR"/>
        </w:rPr>
        <w:t xml:space="preserve"> des patients</w:t>
      </w:r>
      <w:r w:rsidR="0050381C" w:rsidRPr="00DC2F2C">
        <w:rPr>
          <w:rFonts w:eastAsia="Calibri"/>
          <w:szCs w:val="22"/>
          <w:lang w:val="fr-FR"/>
        </w:rPr>
        <w:t>,</w:t>
      </w:r>
      <w:r w:rsidR="00FF2129" w:rsidRPr="00DC2F2C">
        <w:rPr>
          <w:rFonts w:eastAsia="Calibri"/>
          <w:szCs w:val="22"/>
          <w:lang w:val="fr-FR"/>
        </w:rPr>
        <w:t xml:space="preserve"> </w:t>
      </w:r>
      <w:r w:rsidR="00EB29DE" w:rsidRPr="00DC2F2C">
        <w:rPr>
          <w:rFonts w:eastAsia="Calibri"/>
          <w:szCs w:val="22"/>
          <w:lang w:val="fr-FR"/>
        </w:rPr>
        <w:t>l’hypertension artérielle était de grade</w:t>
      </w:r>
      <w:r w:rsidR="00FF2129" w:rsidRPr="00DC2F2C">
        <w:rPr>
          <w:rFonts w:eastAsia="Calibri"/>
          <w:szCs w:val="22"/>
          <w:lang w:val="fr-FR"/>
        </w:rPr>
        <w:t xml:space="preserve"> CTC</w:t>
      </w:r>
      <w:r w:rsidR="00DD7C25" w:rsidRPr="00DC2F2C">
        <w:rPr>
          <w:rFonts w:eastAsia="Calibri"/>
          <w:szCs w:val="22"/>
          <w:lang w:val="fr-FR"/>
        </w:rPr>
        <w:t> </w:t>
      </w:r>
      <w:r w:rsidR="001206DC" w:rsidRPr="00DC2F2C">
        <w:rPr>
          <w:rFonts w:eastAsia="Calibri"/>
          <w:szCs w:val="22"/>
          <w:lang w:val="fr-FR"/>
        </w:rPr>
        <w:t>≥</w:t>
      </w:r>
      <w:r w:rsidR="00FF2129" w:rsidRPr="00DC2F2C">
        <w:rPr>
          <w:rFonts w:eastAsia="Calibri"/>
          <w:szCs w:val="22"/>
          <w:lang w:val="fr-FR"/>
        </w:rPr>
        <w:t xml:space="preserve">3. </w:t>
      </w:r>
      <w:r w:rsidR="00EB29DE" w:rsidRPr="00DC2F2C">
        <w:rPr>
          <w:rFonts w:eastAsia="Calibri"/>
          <w:szCs w:val="22"/>
          <w:lang w:val="fr-FR"/>
        </w:rPr>
        <w:t xml:space="preserve">Une hypertension artérielle sévère persistante (« crise </w:t>
      </w:r>
      <w:r w:rsidR="00FF2129" w:rsidRPr="00DC2F2C">
        <w:rPr>
          <w:rFonts w:eastAsia="Calibri"/>
          <w:szCs w:val="22"/>
          <w:lang w:val="fr-FR"/>
        </w:rPr>
        <w:t>hypertensive</w:t>
      </w:r>
      <w:r w:rsidR="00EB29DE" w:rsidRPr="00DC2F2C">
        <w:rPr>
          <w:rFonts w:eastAsia="Calibri"/>
          <w:szCs w:val="22"/>
          <w:lang w:val="fr-FR"/>
        </w:rPr>
        <w:t> »</w:t>
      </w:r>
      <w:r w:rsidR="00FF2129" w:rsidRPr="00DC2F2C">
        <w:rPr>
          <w:rFonts w:eastAsia="Calibri"/>
          <w:szCs w:val="22"/>
          <w:lang w:val="fr-FR"/>
        </w:rPr>
        <w:t xml:space="preserve">) </w:t>
      </w:r>
      <w:r w:rsidR="00EB29DE" w:rsidRPr="00DC2F2C">
        <w:rPr>
          <w:rFonts w:eastAsia="Calibri"/>
          <w:szCs w:val="22"/>
          <w:lang w:val="fr-FR"/>
        </w:rPr>
        <w:t xml:space="preserve">a été signalée comme effet indésirable chez </w:t>
      </w:r>
      <w:r w:rsidR="001206DC" w:rsidRPr="00DC2F2C">
        <w:rPr>
          <w:rFonts w:eastAsia="Calibri"/>
          <w:szCs w:val="22"/>
          <w:lang w:val="fr-FR"/>
        </w:rPr>
        <w:t>1,0</w:t>
      </w:r>
      <w:r w:rsidR="00EB29DE" w:rsidRPr="00DC2F2C">
        <w:rPr>
          <w:rFonts w:eastAsia="Calibri"/>
          <w:szCs w:val="22"/>
          <w:lang w:val="fr-FR"/>
        </w:rPr>
        <w:t> </w:t>
      </w:r>
      <w:r w:rsidR="00FF2129" w:rsidRPr="00DC2F2C">
        <w:rPr>
          <w:rFonts w:eastAsia="Calibri"/>
          <w:szCs w:val="22"/>
          <w:lang w:val="fr-FR"/>
        </w:rPr>
        <w:t>%</w:t>
      </w:r>
      <w:r w:rsidR="00EB29DE" w:rsidRPr="00DC2F2C">
        <w:rPr>
          <w:rFonts w:eastAsia="Calibri"/>
          <w:szCs w:val="22"/>
          <w:lang w:val="fr-FR"/>
        </w:rPr>
        <w:t xml:space="preserve"> des patients</w:t>
      </w:r>
      <w:r w:rsidR="00FF2129" w:rsidRPr="00DC2F2C">
        <w:rPr>
          <w:rFonts w:eastAsia="Calibri"/>
          <w:szCs w:val="22"/>
          <w:lang w:val="fr-FR"/>
        </w:rPr>
        <w:t xml:space="preserve">, </w:t>
      </w:r>
      <w:r w:rsidR="00EB29DE" w:rsidRPr="00DC2F2C">
        <w:rPr>
          <w:rFonts w:eastAsia="Calibri"/>
          <w:szCs w:val="22"/>
          <w:lang w:val="fr-FR"/>
        </w:rPr>
        <w:t xml:space="preserve">de grade </w:t>
      </w:r>
      <w:r w:rsidR="00FF2129" w:rsidRPr="00DC2F2C">
        <w:rPr>
          <w:rFonts w:eastAsia="Calibri"/>
          <w:szCs w:val="22"/>
          <w:lang w:val="fr-FR"/>
        </w:rPr>
        <w:t>CTC</w:t>
      </w:r>
      <w:r w:rsidR="00EB29DE" w:rsidRPr="00DC2F2C">
        <w:rPr>
          <w:rFonts w:eastAsia="Calibri"/>
          <w:szCs w:val="22"/>
          <w:lang w:val="fr-FR"/>
        </w:rPr>
        <w:t xml:space="preserve"> </w:t>
      </w:r>
      <w:r w:rsidR="00FF2129" w:rsidRPr="00DC2F2C">
        <w:rPr>
          <w:rFonts w:eastAsia="Calibri"/>
          <w:szCs w:val="22"/>
          <w:lang w:val="fr-FR"/>
        </w:rPr>
        <w:t xml:space="preserve">3 </w:t>
      </w:r>
      <w:r w:rsidR="00EB29DE" w:rsidRPr="00DC2F2C">
        <w:rPr>
          <w:rFonts w:eastAsia="Calibri"/>
          <w:szCs w:val="22"/>
          <w:lang w:val="fr-FR"/>
        </w:rPr>
        <w:t>ou plus chez 0,</w:t>
      </w:r>
      <w:r w:rsidR="001206DC" w:rsidRPr="00DC2F2C">
        <w:rPr>
          <w:rFonts w:eastAsia="Calibri"/>
          <w:szCs w:val="22"/>
          <w:lang w:val="fr-FR"/>
        </w:rPr>
        <w:t>9</w:t>
      </w:r>
      <w:r w:rsidR="00EB29DE" w:rsidRPr="00DC2F2C">
        <w:rPr>
          <w:rFonts w:eastAsia="Calibri"/>
          <w:szCs w:val="22"/>
          <w:lang w:val="fr-FR"/>
        </w:rPr>
        <w:t> </w:t>
      </w:r>
      <w:r w:rsidR="00FF2129" w:rsidRPr="00DC2F2C">
        <w:rPr>
          <w:rFonts w:eastAsia="Calibri"/>
          <w:szCs w:val="22"/>
          <w:lang w:val="fr-FR"/>
        </w:rPr>
        <w:t>%</w:t>
      </w:r>
      <w:r w:rsidR="00EB29DE" w:rsidRPr="00DC2F2C">
        <w:rPr>
          <w:rFonts w:eastAsia="Calibri"/>
          <w:szCs w:val="22"/>
          <w:lang w:val="fr-FR"/>
        </w:rPr>
        <w:t xml:space="preserve"> des patients</w:t>
      </w:r>
      <w:r w:rsidR="00FF2129" w:rsidRPr="00DC2F2C">
        <w:rPr>
          <w:rFonts w:eastAsia="Calibri"/>
          <w:szCs w:val="22"/>
          <w:lang w:val="fr-FR"/>
        </w:rPr>
        <w:t xml:space="preserve">. </w:t>
      </w:r>
      <w:r w:rsidR="00EB29DE" w:rsidRPr="00DC2F2C">
        <w:rPr>
          <w:rFonts w:eastAsia="Calibri"/>
          <w:szCs w:val="22"/>
          <w:lang w:val="fr-FR"/>
        </w:rPr>
        <w:t>Un patient est décédé des suites d’une hypertension artérielle non contrôlée</w:t>
      </w:r>
      <w:r w:rsidR="00FF2129" w:rsidRPr="00DC2F2C">
        <w:rPr>
          <w:rFonts w:eastAsia="Calibri"/>
          <w:szCs w:val="22"/>
          <w:lang w:val="fr-FR"/>
        </w:rPr>
        <w:t xml:space="preserve"> </w:t>
      </w:r>
      <w:r w:rsidR="00EB29DE" w:rsidRPr="00DC2F2C">
        <w:rPr>
          <w:rFonts w:eastAsia="Calibri"/>
          <w:szCs w:val="22"/>
          <w:lang w:val="fr-FR"/>
        </w:rPr>
        <w:t>dans le cadre d’une suspicion de surdosage</w:t>
      </w:r>
      <w:r w:rsidR="00FF2129" w:rsidRPr="00DC2F2C">
        <w:rPr>
          <w:rFonts w:eastAsia="Calibri"/>
          <w:szCs w:val="22"/>
          <w:lang w:val="fr-FR"/>
        </w:rPr>
        <w:t>.</w:t>
      </w:r>
    </w:p>
    <w:p w14:paraId="2DDA322E" w14:textId="77777777" w:rsidR="00FF2129" w:rsidRPr="00DC2F2C" w:rsidRDefault="00FF2129" w:rsidP="00FF2129">
      <w:pPr>
        <w:ind w:right="549"/>
        <w:rPr>
          <w:szCs w:val="22"/>
          <w:lang w:val="fr-FR"/>
        </w:rPr>
      </w:pPr>
    </w:p>
    <w:p w14:paraId="26C3E554" w14:textId="77777777" w:rsidR="00531BDD" w:rsidRPr="00A0745B" w:rsidRDefault="00EB29DE" w:rsidP="00A0745B">
      <w:pPr>
        <w:keepNext/>
        <w:keepLines/>
        <w:rPr>
          <w:i/>
          <w:lang w:val="fr-FR"/>
        </w:rPr>
      </w:pPr>
      <w:r w:rsidRPr="00A0745B">
        <w:rPr>
          <w:i/>
          <w:lang w:val="fr-FR"/>
        </w:rPr>
        <w:t>Syndrome d’encéphalopathie postérieure réversible (</w:t>
      </w:r>
      <w:proofErr w:type="spellStart"/>
      <w:r w:rsidRPr="00A0745B">
        <w:rPr>
          <w:i/>
          <w:lang w:val="fr-FR"/>
        </w:rPr>
        <w:t>P</w:t>
      </w:r>
      <w:r w:rsidR="00531BDD" w:rsidRPr="00A0745B">
        <w:rPr>
          <w:i/>
          <w:lang w:val="fr-FR"/>
        </w:rPr>
        <w:t>osterior</w:t>
      </w:r>
      <w:proofErr w:type="spellEnd"/>
      <w:r w:rsidR="00531BDD" w:rsidRPr="00A0745B">
        <w:rPr>
          <w:i/>
          <w:lang w:val="fr-FR"/>
        </w:rPr>
        <w:t xml:space="preserve"> </w:t>
      </w:r>
      <w:proofErr w:type="spellStart"/>
      <w:r w:rsidR="00531BDD" w:rsidRPr="00A0745B">
        <w:rPr>
          <w:i/>
          <w:lang w:val="fr-FR"/>
        </w:rPr>
        <w:t>Reversible</w:t>
      </w:r>
      <w:proofErr w:type="spellEnd"/>
      <w:r w:rsidR="00531BDD" w:rsidRPr="00A0745B">
        <w:rPr>
          <w:i/>
          <w:lang w:val="fr-FR"/>
        </w:rPr>
        <w:t xml:space="preserve"> </w:t>
      </w:r>
      <w:proofErr w:type="spellStart"/>
      <w:r w:rsidR="00531BDD" w:rsidRPr="00A0745B">
        <w:rPr>
          <w:i/>
          <w:lang w:val="fr-FR"/>
        </w:rPr>
        <w:t>Encephalopathy</w:t>
      </w:r>
      <w:proofErr w:type="spellEnd"/>
      <w:r w:rsidR="00531BDD" w:rsidRPr="00A0745B">
        <w:rPr>
          <w:i/>
          <w:lang w:val="fr-FR"/>
        </w:rPr>
        <w:t xml:space="preserve"> Syndrome</w:t>
      </w:r>
      <w:r w:rsidRPr="00A0745B">
        <w:rPr>
          <w:i/>
          <w:lang w:val="fr-FR"/>
        </w:rPr>
        <w:t xml:space="preserve">, </w:t>
      </w:r>
      <w:r w:rsidR="00531BDD" w:rsidRPr="00A0745B">
        <w:rPr>
          <w:i/>
          <w:lang w:val="fr-FR"/>
        </w:rPr>
        <w:t>PRES)</w:t>
      </w:r>
    </w:p>
    <w:p w14:paraId="4441A075" w14:textId="77777777" w:rsidR="00531BDD" w:rsidRPr="00DC2F2C" w:rsidRDefault="00EB29DE" w:rsidP="000A5BB2">
      <w:pPr>
        <w:rPr>
          <w:lang w:val="fr-FR"/>
        </w:rPr>
      </w:pPr>
      <w:r w:rsidRPr="00DC2F2C">
        <w:rPr>
          <w:lang w:val="fr-FR"/>
        </w:rPr>
        <w:t xml:space="preserve">Un </w:t>
      </w:r>
      <w:r w:rsidR="00486F3A" w:rsidRPr="00DC2F2C">
        <w:rPr>
          <w:lang w:val="fr-FR"/>
        </w:rPr>
        <w:t>PRES (</w:t>
      </w:r>
      <w:r w:rsidRPr="00DC2F2C">
        <w:rPr>
          <w:lang w:val="fr-FR"/>
        </w:rPr>
        <w:t>également connu sous le nom de syndrome de leuco</w:t>
      </w:r>
      <w:r w:rsidR="00E1530D" w:rsidRPr="00DC2F2C">
        <w:rPr>
          <w:lang w:val="fr-FR"/>
        </w:rPr>
        <w:t>-</w:t>
      </w:r>
      <w:r w:rsidRPr="00DC2F2C">
        <w:rPr>
          <w:lang w:val="fr-FR"/>
        </w:rPr>
        <w:t>encéphalopathie postérieure réversible</w:t>
      </w:r>
      <w:r w:rsidRPr="00DC2F2C">
        <w:rPr>
          <w:rFonts w:eastAsia="Calibri"/>
          <w:lang w:val="fr-FR"/>
        </w:rPr>
        <w:t xml:space="preserve"> [</w:t>
      </w:r>
      <w:proofErr w:type="spellStart"/>
      <w:r w:rsidR="00486F3A" w:rsidRPr="00DC2F2C">
        <w:rPr>
          <w:i/>
          <w:lang w:val="fr-FR"/>
        </w:rPr>
        <w:t>reversible</w:t>
      </w:r>
      <w:proofErr w:type="spellEnd"/>
      <w:r w:rsidR="00486F3A" w:rsidRPr="00DC2F2C">
        <w:rPr>
          <w:i/>
          <w:lang w:val="fr-FR"/>
        </w:rPr>
        <w:t xml:space="preserve"> </w:t>
      </w:r>
      <w:proofErr w:type="spellStart"/>
      <w:r w:rsidR="00486F3A" w:rsidRPr="00DC2F2C">
        <w:rPr>
          <w:i/>
          <w:lang w:val="fr-FR"/>
        </w:rPr>
        <w:t>posterior</w:t>
      </w:r>
      <w:proofErr w:type="spellEnd"/>
      <w:r w:rsidR="00486F3A" w:rsidRPr="00DC2F2C">
        <w:rPr>
          <w:i/>
          <w:lang w:val="fr-FR"/>
        </w:rPr>
        <w:t xml:space="preserve"> </w:t>
      </w:r>
      <w:proofErr w:type="spellStart"/>
      <w:r w:rsidR="00486F3A" w:rsidRPr="00DC2F2C">
        <w:rPr>
          <w:i/>
          <w:lang w:val="fr-FR"/>
        </w:rPr>
        <w:t>leukoencephalopathy</w:t>
      </w:r>
      <w:proofErr w:type="spellEnd"/>
      <w:r w:rsidR="00486F3A" w:rsidRPr="00DC2F2C">
        <w:rPr>
          <w:i/>
          <w:lang w:val="fr-FR"/>
        </w:rPr>
        <w:t xml:space="preserve"> syndrome</w:t>
      </w:r>
      <w:r w:rsidRPr="00DC2F2C">
        <w:rPr>
          <w:lang w:val="fr-FR"/>
        </w:rPr>
        <w:t>, RPLS]</w:t>
      </w:r>
      <w:r w:rsidR="00486F3A" w:rsidRPr="00DC2F2C">
        <w:rPr>
          <w:lang w:val="fr-FR"/>
        </w:rPr>
        <w:t xml:space="preserve">) </w:t>
      </w:r>
      <w:r w:rsidRPr="00DC2F2C">
        <w:rPr>
          <w:lang w:val="fr-FR"/>
        </w:rPr>
        <w:t>a été confirmé chez un patient non atteint de CCR après environ</w:t>
      </w:r>
      <w:r w:rsidR="00486F3A" w:rsidRPr="00DC2F2C">
        <w:rPr>
          <w:lang w:val="fr-FR"/>
        </w:rPr>
        <w:t xml:space="preserve"> </w:t>
      </w:r>
      <w:r w:rsidR="00531BDD" w:rsidRPr="00DC2F2C">
        <w:rPr>
          <w:lang w:val="fr-FR"/>
        </w:rPr>
        <w:t>8</w:t>
      </w:r>
      <w:r w:rsidR="00DF6F93" w:rsidRPr="00DC2F2C">
        <w:rPr>
          <w:lang w:val="fr-FR"/>
        </w:rPr>
        <w:t> </w:t>
      </w:r>
      <w:r w:rsidRPr="00DC2F2C">
        <w:rPr>
          <w:lang w:val="fr-FR"/>
        </w:rPr>
        <w:t>semaines de traitement par</w:t>
      </w:r>
      <w:r w:rsidR="00531BDD" w:rsidRPr="00DC2F2C">
        <w:rPr>
          <w:lang w:val="fr-FR"/>
        </w:rPr>
        <w:t xml:space="preserve"> </w:t>
      </w:r>
      <w:proofErr w:type="spellStart"/>
      <w:r w:rsidR="000D19D3" w:rsidRPr="00DC2F2C">
        <w:rPr>
          <w:lang w:val="fr-FR"/>
        </w:rPr>
        <w:t>tivozanib</w:t>
      </w:r>
      <w:proofErr w:type="spellEnd"/>
      <w:r w:rsidR="00531BDD" w:rsidRPr="00DC2F2C">
        <w:rPr>
          <w:lang w:val="fr-FR"/>
        </w:rPr>
        <w:t xml:space="preserve">. </w:t>
      </w:r>
      <w:r w:rsidRPr="00DC2F2C">
        <w:rPr>
          <w:lang w:val="fr-FR"/>
        </w:rPr>
        <w:t xml:space="preserve">Le </w:t>
      </w:r>
      <w:r w:rsidR="00531BDD" w:rsidRPr="00DC2F2C">
        <w:rPr>
          <w:lang w:val="fr-FR"/>
        </w:rPr>
        <w:t xml:space="preserve">PRES </w:t>
      </w:r>
      <w:r w:rsidRPr="00DC2F2C">
        <w:rPr>
          <w:lang w:val="fr-FR"/>
        </w:rPr>
        <w:t>est un trouble neurologique qui peut se manifester par des céphalées, des convulsions, une léthargie, une confusion, une cécité et d’autres troubles visuels et neurologiques</w:t>
      </w:r>
      <w:r w:rsidR="00531BDD" w:rsidRPr="00DC2F2C">
        <w:rPr>
          <w:lang w:val="fr-FR"/>
        </w:rPr>
        <w:t xml:space="preserve">. </w:t>
      </w:r>
      <w:r w:rsidRPr="00DC2F2C">
        <w:rPr>
          <w:lang w:val="fr-FR"/>
        </w:rPr>
        <w:t>Une hypertension artérielle légère à sévère peut être présente</w:t>
      </w:r>
      <w:r w:rsidR="00CC1234" w:rsidRPr="00DC2F2C">
        <w:rPr>
          <w:lang w:val="fr-FR"/>
        </w:rPr>
        <w:t xml:space="preserve"> (</w:t>
      </w:r>
      <w:r w:rsidR="002D6EE5" w:rsidRPr="00DC2F2C">
        <w:rPr>
          <w:lang w:val="fr-FR"/>
        </w:rPr>
        <w:t>voir rubrique</w:t>
      </w:r>
      <w:r w:rsidR="00531BDD" w:rsidRPr="00DC2F2C">
        <w:rPr>
          <w:lang w:val="fr-FR"/>
        </w:rPr>
        <w:t xml:space="preserve"> 4.4</w:t>
      </w:r>
      <w:r w:rsidR="00CC1234" w:rsidRPr="00DC2F2C">
        <w:rPr>
          <w:lang w:val="fr-FR"/>
        </w:rPr>
        <w:t>)</w:t>
      </w:r>
      <w:r w:rsidR="00531BDD" w:rsidRPr="00DC2F2C">
        <w:rPr>
          <w:lang w:val="fr-FR"/>
        </w:rPr>
        <w:t xml:space="preserve">. </w:t>
      </w:r>
    </w:p>
    <w:p w14:paraId="24B57349" w14:textId="77777777" w:rsidR="009A71DF" w:rsidRPr="00DC2F2C" w:rsidRDefault="009A71DF" w:rsidP="00531BDD">
      <w:pPr>
        <w:pStyle w:val="00Paragraph"/>
        <w:spacing w:before="0" w:after="0" w:line="240" w:lineRule="auto"/>
        <w:ind w:right="549"/>
        <w:rPr>
          <w:sz w:val="22"/>
          <w:szCs w:val="22"/>
          <w:lang w:val="fr-FR"/>
        </w:rPr>
      </w:pPr>
    </w:p>
    <w:p w14:paraId="601475A2" w14:textId="77777777" w:rsidR="009A71DF" w:rsidRPr="00DC2F2C" w:rsidRDefault="00710AA4" w:rsidP="00A12D29">
      <w:pPr>
        <w:pStyle w:val="00Paragraph"/>
        <w:keepNext/>
        <w:spacing w:before="0" w:after="0" w:line="240" w:lineRule="auto"/>
        <w:ind w:right="550"/>
        <w:rPr>
          <w:i/>
          <w:sz w:val="22"/>
          <w:szCs w:val="22"/>
          <w:lang w:val="fr-FR"/>
        </w:rPr>
      </w:pPr>
      <w:r w:rsidRPr="00DC2F2C">
        <w:rPr>
          <w:i/>
          <w:sz w:val="22"/>
          <w:szCs w:val="22"/>
          <w:lang w:val="fr-FR"/>
        </w:rPr>
        <w:t>Événements thrombo-emboliques veineux</w:t>
      </w:r>
    </w:p>
    <w:p w14:paraId="0BF1B7F3" w14:textId="77777777" w:rsidR="00CC1234" w:rsidRPr="00C17B37" w:rsidRDefault="00750F76" w:rsidP="000A5BB2">
      <w:pPr>
        <w:rPr>
          <w:lang w:val="fr-FR" w:eastAsia="zh-CN"/>
        </w:rPr>
      </w:pPr>
      <w:r w:rsidRPr="00C17B37">
        <w:rPr>
          <w:lang w:val="fr-FR"/>
        </w:rPr>
        <w:t xml:space="preserve">Une embolie pulmonaire a été rapportée chez </w:t>
      </w:r>
      <w:r w:rsidR="001D04C6" w:rsidRPr="00C17B37">
        <w:rPr>
          <w:lang w:val="fr-FR"/>
        </w:rPr>
        <w:t xml:space="preserve">des </w:t>
      </w:r>
      <w:r w:rsidRPr="00C17B37">
        <w:rPr>
          <w:lang w:val="fr-FR"/>
        </w:rPr>
        <w:t>patient</w:t>
      </w:r>
      <w:r w:rsidR="001D04C6" w:rsidRPr="00C17B37">
        <w:rPr>
          <w:lang w:val="fr-FR"/>
        </w:rPr>
        <w:t>s</w:t>
      </w:r>
      <w:r w:rsidRPr="00C17B37">
        <w:rPr>
          <w:lang w:val="fr-FR"/>
        </w:rPr>
        <w:t xml:space="preserve"> (0,</w:t>
      </w:r>
      <w:r w:rsidR="001D04C6" w:rsidRPr="00C17B37">
        <w:rPr>
          <w:lang w:val="fr-FR"/>
        </w:rPr>
        <w:t>7</w:t>
      </w:r>
      <w:r w:rsidRPr="00C17B37">
        <w:rPr>
          <w:lang w:val="fr-FR"/>
        </w:rPr>
        <w:t> </w:t>
      </w:r>
      <w:r w:rsidR="00825F06" w:rsidRPr="00C17B37">
        <w:rPr>
          <w:lang w:val="fr-FR"/>
        </w:rPr>
        <w:t xml:space="preserve">%) </w:t>
      </w:r>
      <w:r w:rsidR="0045407A" w:rsidRPr="00C17B37">
        <w:rPr>
          <w:lang w:val="fr-FR"/>
        </w:rPr>
        <w:t xml:space="preserve">qui ont reçu le </w:t>
      </w:r>
      <w:proofErr w:type="spellStart"/>
      <w:r w:rsidR="0045407A" w:rsidRPr="00C17B37">
        <w:rPr>
          <w:lang w:val="fr-FR"/>
        </w:rPr>
        <w:t>tivozanib</w:t>
      </w:r>
      <w:proofErr w:type="spellEnd"/>
      <w:r w:rsidR="0045407A" w:rsidRPr="00C17B37">
        <w:rPr>
          <w:lang w:val="fr-FR"/>
        </w:rPr>
        <w:t xml:space="preserve"> comme traitement initial dans les cinq études principales portant sur le </w:t>
      </w:r>
      <w:proofErr w:type="spellStart"/>
      <w:r w:rsidR="0045407A" w:rsidRPr="00C17B37">
        <w:rPr>
          <w:lang w:val="fr-FR"/>
        </w:rPr>
        <w:t>tivozanib</w:t>
      </w:r>
      <w:proofErr w:type="spellEnd"/>
      <w:r w:rsidR="0045407A" w:rsidRPr="00C17B37">
        <w:rPr>
          <w:lang w:val="fr-FR"/>
        </w:rPr>
        <w:t xml:space="preserve"> en monothérapie dans le CCR </w:t>
      </w:r>
      <w:r w:rsidR="00364AC5" w:rsidRPr="00C17B37">
        <w:rPr>
          <w:lang w:val="fr-FR"/>
        </w:rPr>
        <w:t xml:space="preserve">, </w:t>
      </w:r>
      <w:r w:rsidR="009417BA" w:rsidRPr="00C17B37">
        <w:rPr>
          <w:lang w:val="fr-FR"/>
        </w:rPr>
        <w:t xml:space="preserve">la majorité </w:t>
      </w:r>
      <w:r w:rsidR="00B47EEA" w:rsidRPr="00C17B37">
        <w:rPr>
          <w:lang w:val="fr-FR"/>
        </w:rPr>
        <w:t xml:space="preserve">de ces événements </w:t>
      </w:r>
      <w:r w:rsidR="009417BA" w:rsidRPr="00C17B37">
        <w:rPr>
          <w:lang w:val="fr-FR"/>
        </w:rPr>
        <w:t>étant de</w:t>
      </w:r>
      <w:r w:rsidR="00364AC5" w:rsidRPr="00C17B37">
        <w:rPr>
          <w:lang w:val="fr-FR"/>
        </w:rPr>
        <w:t xml:space="preserve"> grade</w:t>
      </w:r>
      <w:r w:rsidR="003928E9">
        <w:rPr>
          <w:lang w:val="fr-FR"/>
        </w:rPr>
        <w:t xml:space="preserve"> CTC ≥ </w:t>
      </w:r>
      <w:r w:rsidR="009417BA" w:rsidRPr="00C17B37">
        <w:rPr>
          <w:lang w:val="fr-FR"/>
        </w:rPr>
        <w:t xml:space="preserve">3 </w:t>
      </w:r>
      <w:r w:rsidR="00825F06" w:rsidRPr="00C17B37">
        <w:rPr>
          <w:lang w:val="fr-FR"/>
        </w:rPr>
        <w:t xml:space="preserve"> </w:t>
      </w:r>
      <w:r w:rsidR="00CC1234" w:rsidRPr="00C17B37">
        <w:rPr>
          <w:lang w:val="fr-FR"/>
        </w:rPr>
        <w:t>(</w:t>
      </w:r>
      <w:r w:rsidR="003928E9">
        <w:rPr>
          <w:lang w:val="fr-FR"/>
        </w:rPr>
        <w:t>voir rubrique </w:t>
      </w:r>
      <w:r w:rsidR="00CC1234" w:rsidRPr="00C17B37">
        <w:rPr>
          <w:lang w:val="fr-FR"/>
        </w:rPr>
        <w:t>4.4).</w:t>
      </w:r>
      <w:r w:rsidR="00FF2129" w:rsidRPr="00C17B37">
        <w:rPr>
          <w:lang w:val="fr-FR"/>
        </w:rPr>
        <w:t xml:space="preserve"> </w:t>
      </w:r>
      <w:r w:rsidR="004C3572" w:rsidRPr="00C17B37">
        <w:rPr>
          <w:lang w:val="fr-FR" w:eastAsia="zh-CN"/>
        </w:rPr>
        <w:t>Une</w:t>
      </w:r>
      <w:r w:rsidR="00364AC5" w:rsidRPr="00C17B37">
        <w:rPr>
          <w:lang w:val="fr-FR" w:eastAsia="zh-CN"/>
        </w:rPr>
        <w:t xml:space="preserve"> thrombose veineuse profonde</w:t>
      </w:r>
      <w:r w:rsidR="00FF2129" w:rsidRPr="00C17B37">
        <w:rPr>
          <w:lang w:val="fr-FR" w:eastAsia="zh-CN"/>
        </w:rPr>
        <w:t xml:space="preserve"> </w:t>
      </w:r>
      <w:r w:rsidR="00364AC5" w:rsidRPr="00C17B37">
        <w:rPr>
          <w:lang w:val="fr-FR" w:eastAsia="zh-CN"/>
        </w:rPr>
        <w:t>a également été rapporté</w:t>
      </w:r>
      <w:r w:rsidR="004C3572" w:rsidRPr="00C17B37">
        <w:rPr>
          <w:lang w:val="fr-FR" w:eastAsia="zh-CN"/>
        </w:rPr>
        <w:t>e</w:t>
      </w:r>
      <w:r w:rsidR="00364AC5" w:rsidRPr="00C17B37">
        <w:rPr>
          <w:lang w:val="fr-FR" w:eastAsia="zh-CN"/>
        </w:rPr>
        <w:t xml:space="preserve"> chez </w:t>
      </w:r>
      <w:r w:rsidR="004C3572" w:rsidRPr="00C17B37">
        <w:rPr>
          <w:lang w:val="fr-FR" w:eastAsia="zh-CN"/>
        </w:rPr>
        <w:t xml:space="preserve">deux </w:t>
      </w:r>
      <w:r w:rsidR="00364AC5" w:rsidRPr="00C17B37">
        <w:rPr>
          <w:lang w:val="fr-FR" w:eastAsia="zh-CN"/>
        </w:rPr>
        <w:t>patient</w:t>
      </w:r>
      <w:r w:rsidR="004C3572" w:rsidRPr="00C17B37">
        <w:rPr>
          <w:lang w:val="fr-FR" w:eastAsia="zh-CN"/>
        </w:rPr>
        <w:t>s</w:t>
      </w:r>
      <w:r w:rsidR="00364AC5" w:rsidRPr="00C17B37">
        <w:rPr>
          <w:lang w:val="fr-FR" w:eastAsia="zh-CN"/>
        </w:rPr>
        <w:t xml:space="preserve"> (0,</w:t>
      </w:r>
      <w:r w:rsidR="004C3572" w:rsidRPr="00C17B37">
        <w:rPr>
          <w:lang w:val="fr-FR" w:eastAsia="zh-CN"/>
        </w:rPr>
        <w:t>3</w:t>
      </w:r>
      <w:r w:rsidR="00364AC5" w:rsidRPr="00C17B37">
        <w:rPr>
          <w:lang w:val="fr-FR" w:eastAsia="zh-CN"/>
        </w:rPr>
        <w:t> </w:t>
      </w:r>
      <w:r w:rsidR="00FF2129" w:rsidRPr="00C17B37">
        <w:rPr>
          <w:lang w:val="fr-FR" w:eastAsia="zh-CN"/>
        </w:rPr>
        <w:t xml:space="preserve">%) </w:t>
      </w:r>
      <w:r w:rsidR="004C3572" w:rsidRPr="00C17B37">
        <w:rPr>
          <w:lang w:val="fr-FR" w:eastAsia="zh-CN"/>
        </w:rPr>
        <w:t xml:space="preserve">et était de grade CTC ≥3 chez un patient (0,1 %) </w:t>
      </w:r>
      <w:r w:rsidR="00364AC5" w:rsidRPr="00C17B37">
        <w:rPr>
          <w:lang w:val="fr-FR" w:eastAsia="zh-CN"/>
        </w:rPr>
        <w:t>recevant le</w:t>
      </w:r>
      <w:r w:rsidR="00FF2129" w:rsidRPr="00C17B37">
        <w:rPr>
          <w:lang w:val="fr-FR" w:eastAsia="zh-CN"/>
        </w:rPr>
        <w:t xml:space="preserve"> </w:t>
      </w:r>
      <w:proofErr w:type="spellStart"/>
      <w:r w:rsidR="000D19D3" w:rsidRPr="00C17B37">
        <w:rPr>
          <w:lang w:val="fr-FR" w:eastAsia="zh-CN"/>
        </w:rPr>
        <w:t>tivozanib</w:t>
      </w:r>
      <w:proofErr w:type="spellEnd"/>
      <w:r w:rsidR="00FF2129" w:rsidRPr="00C17B37">
        <w:rPr>
          <w:lang w:val="fr-FR" w:eastAsia="zh-CN"/>
        </w:rPr>
        <w:t xml:space="preserve"> </w:t>
      </w:r>
      <w:r w:rsidR="00364AC5" w:rsidRPr="00C17B37">
        <w:rPr>
          <w:lang w:val="fr-FR" w:eastAsia="zh-CN"/>
        </w:rPr>
        <w:t>en traitement in</w:t>
      </w:r>
      <w:r w:rsidR="00711573" w:rsidRPr="00C17B37">
        <w:rPr>
          <w:lang w:val="fr-FR" w:eastAsia="zh-CN"/>
        </w:rPr>
        <w:t>i</w:t>
      </w:r>
      <w:r w:rsidR="00364AC5" w:rsidRPr="00C17B37">
        <w:rPr>
          <w:lang w:val="fr-FR" w:eastAsia="zh-CN"/>
        </w:rPr>
        <w:t>tial</w:t>
      </w:r>
      <w:r w:rsidR="0027406B" w:rsidRPr="00C17B37">
        <w:rPr>
          <w:lang w:val="fr-FR" w:eastAsia="zh-CN"/>
        </w:rPr>
        <w:t xml:space="preserve">. </w:t>
      </w:r>
    </w:p>
    <w:p w14:paraId="532A8E90" w14:textId="77777777" w:rsidR="00DC2B22" w:rsidRPr="00DC2F2C" w:rsidRDefault="00DC2B22" w:rsidP="00FF2129">
      <w:pPr>
        <w:pStyle w:val="CommentText"/>
        <w:rPr>
          <w:sz w:val="22"/>
          <w:szCs w:val="22"/>
          <w:lang w:val="fr-FR" w:eastAsia="zh-CN"/>
        </w:rPr>
      </w:pPr>
    </w:p>
    <w:p w14:paraId="22AC0760" w14:textId="77777777" w:rsidR="00DC2B22" w:rsidRPr="00DC2F2C" w:rsidRDefault="00710AA4" w:rsidP="00DC2B22">
      <w:pPr>
        <w:keepNext/>
        <w:keepLines/>
        <w:tabs>
          <w:tab w:val="clear" w:pos="567"/>
        </w:tabs>
        <w:rPr>
          <w:rFonts w:eastAsia="Calibri"/>
          <w:i/>
          <w:szCs w:val="22"/>
          <w:lang w:val="fr-FR"/>
        </w:rPr>
      </w:pPr>
      <w:r w:rsidRPr="00DC2F2C">
        <w:rPr>
          <w:rFonts w:eastAsia="Calibri"/>
          <w:i/>
          <w:szCs w:val="22"/>
          <w:lang w:val="fr-FR"/>
        </w:rPr>
        <w:t>Événements thrombo-emboliques artériels</w:t>
      </w:r>
    </w:p>
    <w:p w14:paraId="3CA3B848" w14:textId="77777777" w:rsidR="00DC2B22" w:rsidRPr="00DC2F2C" w:rsidRDefault="00710AA4" w:rsidP="000A5BB2">
      <w:pPr>
        <w:rPr>
          <w:lang w:val="fr-FR"/>
        </w:rPr>
      </w:pPr>
      <w:r w:rsidRPr="00FF283D">
        <w:rPr>
          <w:rFonts w:eastAsia="Calibri"/>
          <w:lang w:val="fr-FR"/>
        </w:rPr>
        <w:t xml:space="preserve">Les effets indésirables thrombo-emboliques artériels rapportés chez les patients </w:t>
      </w:r>
      <w:r w:rsidR="0045407A" w:rsidRPr="00FF283D">
        <w:rPr>
          <w:lang w:val="fr-FR"/>
        </w:rPr>
        <w:t xml:space="preserve">qui ont reçu le </w:t>
      </w:r>
      <w:proofErr w:type="spellStart"/>
      <w:r w:rsidR="0045407A" w:rsidRPr="00FF283D">
        <w:rPr>
          <w:lang w:val="fr-FR"/>
        </w:rPr>
        <w:t>tivozanib</w:t>
      </w:r>
      <w:proofErr w:type="spellEnd"/>
      <w:r w:rsidR="0045407A" w:rsidRPr="00FF283D">
        <w:rPr>
          <w:lang w:val="fr-FR"/>
        </w:rPr>
        <w:t xml:space="preserve"> comme traitement initial </w:t>
      </w:r>
      <w:r w:rsidRPr="00FF283D">
        <w:rPr>
          <w:rFonts w:eastAsia="Calibri"/>
          <w:lang w:val="fr-FR"/>
        </w:rPr>
        <w:t>étaient les suivants :</w:t>
      </w:r>
      <w:r w:rsidR="00DC2B22" w:rsidRPr="00FF283D">
        <w:rPr>
          <w:rFonts w:eastAsia="Calibri"/>
          <w:lang w:val="fr-FR"/>
        </w:rPr>
        <w:t xml:space="preserve"> </w:t>
      </w:r>
      <w:r w:rsidRPr="00FF283D">
        <w:rPr>
          <w:rFonts w:eastAsia="Calibri"/>
          <w:lang w:val="fr-FR"/>
        </w:rPr>
        <w:t>AVC ischémique (</w:t>
      </w:r>
      <w:r w:rsidR="0046157D" w:rsidRPr="00FF283D">
        <w:rPr>
          <w:rFonts w:eastAsia="Calibri"/>
          <w:lang w:val="fr-FR"/>
        </w:rPr>
        <w:t>1,0</w:t>
      </w:r>
      <w:r w:rsidRPr="00FF283D">
        <w:rPr>
          <w:rFonts w:eastAsia="Calibri"/>
          <w:lang w:val="fr-FR"/>
        </w:rPr>
        <w:t> </w:t>
      </w:r>
      <w:r w:rsidR="00DC2B22" w:rsidRPr="00FF283D">
        <w:rPr>
          <w:rFonts w:eastAsia="Calibri"/>
          <w:lang w:val="fr-FR"/>
        </w:rPr>
        <w:t xml:space="preserve">%), </w:t>
      </w:r>
      <w:r w:rsidRPr="00FF283D">
        <w:rPr>
          <w:rFonts w:eastAsia="Calibri"/>
          <w:lang w:val="fr-FR"/>
        </w:rPr>
        <w:t>infarctus du myocarde</w:t>
      </w:r>
      <w:r w:rsidR="00DC2B22" w:rsidRPr="00FF283D">
        <w:rPr>
          <w:rFonts w:eastAsia="Calibri"/>
          <w:lang w:val="fr-FR"/>
        </w:rPr>
        <w:t xml:space="preserve"> (0</w:t>
      </w:r>
      <w:r w:rsidRPr="00FF283D">
        <w:rPr>
          <w:rFonts w:eastAsia="Calibri"/>
          <w:lang w:val="fr-FR"/>
        </w:rPr>
        <w:t>,</w:t>
      </w:r>
      <w:r w:rsidR="0046157D" w:rsidRPr="00FF283D">
        <w:rPr>
          <w:rFonts w:eastAsia="Calibri"/>
          <w:lang w:val="fr-FR"/>
        </w:rPr>
        <w:t>7</w:t>
      </w:r>
      <w:r w:rsidRPr="00FF283D">
        <w:rPr>
          <w:rFonts w:eastAsia="Calibri"/>
          <w:lang w:val="fr-FR"/>
        </w:rPr>
        <w:t> %), accident ischémique transitoire (0,</w:t>
      </w:r>
      <w:r w:rsidR="0046157D" w:rsidRPr="00FF283D">
        <w:rPr>
          <w:rFonts w:eastAsia="Calibri"/>
          <w:lang w:val="fr-FR"/>
        </w:rPr>
        <w:t>7</w:t>
      </w:r>
      <w:r w:rsidRPr="00FF283D">
        <w:rPr>
          <w:rFonts w:eastAsia="Calibri"/>
          <w:lang w:val="fr-FR"/>
        </w:rPr>
        <w:t> </w:t>
      </w:r>
      <w:r w:rsidR="00DC2B22" w:rsidRPr="00FF283D">
        <w:rPr>
          <w:rFonts w:eastAsia="Calibri"/>
          <w:lang w:val="fr-FR"/>
        </w:rPr>
        <w:t xml:space="preserve">%) </w:t>
      </w:r>
      <w:r w:rsidRPr="00FF283D">
        <w:rPr>
          <w:rFonts w:eastAsia="Calibri"/>
          <w:lang w:val="fr-FR"/>
        </w:rPr>
        <w:t>et infarctus du myocarde aigu</w:t>
      </w:r>
      <w:r w:rsidR="00DC2B22" w:rsidRPr="00FF283D">
        <w:rPr>
          <w:rFonts w:eastAsia="Calibri"/>
          <w:lang w:val="fr-FR"/>
        </w:rPr>
        <w:t xml:space="preserve"> (0</w:t>
      </w:r>
      <w:r w:rsidRPr="00FF283D">
        <w:rPr>
          <w:rFonts w:eastAsia="Calibri"/>
          <w:lang w:val="fr-FR"/>
        </w:rPr>
        <w:t>,</w:t>
      </w:r>
      <w:r w:rsidR="0046157D" w:rsidRPr="00FF283D">
        <w:rPr>
          <w:rFonts w:eastAsia="Calibri"/>
          <w:lang w:val="fr-FR"/>
        </w:rPr>
        <w:t>4</w:t>
      </w:r>
      <w:r w:rsidRPr="00FF283D">
        <w:rPr>
          <w:rFonts w:eastAsia="Calibri"/>
          <w:lang w:val="fr-FR"/>
        </w:rPr>
        <w:t xml:space="preserve"> %) - </w:t>
      </w:r>
      <w:r w:rsidR="0046157D" w:rsidRPr="00FF283D">
        <w:rPr>
          <w:rFonts w:eastAsia="Calibri"/>
          <w:lang w:val="fr-FR"/>
        </w:rPr>
        <w:t xml:space="preserve">la majorité de </w:t>
      </w:r>
      <w:r w:rsidRPr="00FF283D">
        <w:rPr>
          <w:rFonts w:eastAsia="Calibri"/>
          <w:lang w:val="fr-FR"/>
        </w:rPr>
        <w:t>ces événements étaient au moins de grade</w:t>
      </w:r>
      <w:r w:rsidR="00DC2B22" w:rsidRPr="00FF283D">
        <w:rPr>
          <w:rFonts w:eastAsia="Calibri"/>
          <w:lang w:val="fr-FR"/>
        </w:rPr>
        <w:t xml:space="preserve"> CTC</w:t>
      </w:r>
      <w:r w:rsidR="00DF6F93" w:rsidRPr="00FF283D">
        <w:rPr>
          <w:rFonts w:eastAsia="Calibri"/>
          <w:lang w:val="fr-FR"/>
        </w:rPr>
        <w:t> </w:t>
      </w:r>
      <w:r w:rsidRPr="00FF283D">
        <w:rPr>
          <w:rFonts w:eastAsia="Calibri"/>
          <w:lang w:val="fr-FR"/>
        </w:rPr>
        <w:t xml:space="preserve">3 - </w:t>
      </w:r>
      <w:r w:rsidR="00DC2B22" w:rsidRPr="00FF283D">
        <w:rPr>
          <w:rFonts w:eastAsia="Calibri"/>
          <w:lang w:val="fr-FR"/>
        </w:rPr>
        <w:t xml:space="preserve">plus </w:t>
      </w:r>
      <w:r w:rsidR="006630A1" w:rsidRPr="00FF283D">
        <w:rPr>
          <w:rFonts w:eastAsia="Calibri"/>
          <w:lang w:val="fr-FR"/>
        </w:rPr>
        <w:t>thrombose d’une artère iliaque (0,</w:t>
      </w:r>
      <w:r w:rsidR="00DC2B22" w:rsidRPr="00FF283D">
        <w:rPr>
          <w:rFonts w:eastAsia="Calibri"/>
          <w:lang w:val="fr-FR"/>
        </w:rPr>
        <w:t>1</w:t>
      </w:r>
      <w:r w:rsidR="006630A1" w:rsidRPr="00FF283D">
        <w:rPr>
          <w:rFonts w:eastAsia="Calibri"/>
          <w:lang w:val="fr-FR"/>
        </w:rPr>
        <w:t> </w:t>
      </w:r>
      <w:r w:rsidR="00DC2B22" w:rsidRPr="00FF283D">
        <w:rPr>
          <w:rFonts w:eastAsia="Calibri"/>
          <w:lang w:val="fr-FR"/>
        </w:rPr>
        <w:t xml:space="preserve">%). </w:t>
      </w:r>
      <w:r w:rsidR="006630A1" w:rsidRPr="00FF283D">
        <w:rPr>
          <w:rFonts w:eastAsia="Calibri"/>
          <w:lang w:val="fr-FR"/>
        </w:rPr>
        <w:t xml:space="preserve">Il n’y a eu aucun décès dû aux effets indésirables </w:t>
      </w:r>
      <w:r w:rsidR="006630A1" w:rsidRPr="00DC2F2C">
        <w:rPr>
          <w:rFonts w:eastAsia="Calibri"/>
          <w:lang w:val="fr-FR"/>
        </w:rPr>
        <w:t>thrombo-emboliques artériels</w:t>
      </w:r>
      <w:r w:rsidR="00DC2B22" w:rsidRPr="00DC2F2C">
        <w:rPr>
          <w:rFonts w:eastAsia="Calibri"/>
          <w:lang w:val="fr-FR"/>
        </w:rPr>
        <w:t xml:space="preserve"> </w:t>
      </w:r>
      <w:r w:rsidR="006630A1" w:rsidRPr="00DC2F2C">
        <w:rPr>
          <w:rFonts w:eastAsia="Calibri"/>
          <w:lang w:val="fr-FR"/>
        </w:rPr>
        <w:t>chez les patients recevant le</w:t>
      </w:r>
      <w:r w:rsidR="00DC2B22" w:rsidRPr="00DC2F2C">
        <w:rPr>
          <w:rFonts w:eastAsia="Calibri"/>
          <w:lang w:val="fr-FR"/>
        </w:rPr>
        <w:t xml:space="preserve"> </w:t>
      </w:r>
      <w:proofErr w:type="spellStart"/>
      <w:r w:rsidR="00DC2B22" w:rsidRPr="00DC2F2C">
        <w:rPr>
          <w:rFonts w:eastAsia="Calibri"/>
          <w:lang w:val="fr-FR"/>
        </w:rPr>
        <w:t>tivozanib</w:t>
      </w:r>
      <w:proofErr w:type="spellEnd"/>
      <w:r w:rsidR="00DC2B22" w:rsidRPr="00DC2F2C">
        <w:rPr>
          <w:rFonts w:eastAsia="Calibri"/>
          <w:lang w:val="fr-FR"/>
        </w:rPr>
        <w:t xml:space="preserve"> </w:t>
      </w:r>
      <w:r w:rsidR="006630A1" w:rsidRPr="00DC2F2C">
        <w:rPr>
          <w:rFonts w:eastAsia="Calibri"/>
          <w:lang w:val="fr-FR"/>
        </w:rPr>
        <w:t>à titre de traitement initial mais un infarctus du myocarde chez un patient recevant le</w:t>
      </w:r>
      <w:r w:rsidR="00DC2B22" w:rsidRPr="00DC2F2C">
        <w:rPr>
          <w:rFonts w:eastAsia="Calibri"/>
          <w:lang w:val="fr-FR"/>
        </w:rPr>
        <w:t xml:space="preserve"> </w:t>
      </w:r>
      <w:proofErr w:type="spellStart"/>
      <w:r w:rsidR="00DC2B22" w:rsidRPr="00DC2F2C">
        <w:rPr>
          <w:rFonts w:eastAsia="Calibri"/>
          <w:lang w:val="fr-FR"/>
        </w:rPr>
        <w:t>tivozanib</w:t>
      </w:r>
      <w:proofErr w:type="spellEnd"/>
      <w:r w:rsidR="00DC2B22" w:rsidRPr="00DC2F2C">
        <w:rPr>
          <w:rFonts w:eastAsia="Calibri"/>
          <w:lang w:val="fr-FR"/>
        </w:rPr>
        <w:t xml:space="preserve"> </w:t>
      </w:r>
      <w:r w:rsidR="006630A1" w:rsidRPr="00DC2F2C">
        <w:rPr>
          <w:rFonts w:eastAsia="Calibri"/>
          <w:lang w:val="fr-FR"/>
        </w:rPr>
        <w:t>en deuxième ligne a eu une issue fatale</w:t>
      </w:r>
      <w:r w:rsidR="00DC2B22" w:rsidRPr="00DC2F2C">
        <w:rPr>
          <w:rFonts w:eastAsia="Calibri"/>
          <w:lang w:val="fr-FR"/>
        </w:rPr>
        <w:t>.</w:t>
      </w:r>
    </w:p>
    <w:p w14:paraId="6FE163CA" w14:textId="77777777" w:rsidR="00CC1234" w:rsidRPr="00DC2F2C" w:rsidRDefault="00CC1234" w:rsidP="00825F06">
      <w:pPr>
        <w:ind w:right="549"/>
        <w:rPr>
          <w:szCs w:val="22"/>
          <w:lang w:val="fr-FR"/>
        </w:rPr>
      </w:pPr>
    </w:p>
    <w:p w14:paraId="34BE4115" w14:textId="77777777" w:rsidR="009A71DF" w:rsidRPr="00DC2F2C" w:rsidRDefault="009F3FA9" w:rsidP="00A676A2">
      <w:pPr>
        <w:keepNext/>
        <w:keepLines/>
        <w:ind w:right="550"/>
        <w:rPr>
          <w:i/>
          <w:szCs w:val="22"/>
          <w:lang w:val="fr-FR"/>
        </w:rPr>
      </w:pPr>
      <w:r w:rsidRPr="00DC2F2C">
        <w:rPr>
          <w:i/>
          <w:szCs w:val="22"/>
          <w:lang w:val="fr-FR"/>
        </w:rPr>
        <w:lastRenderedPageBreak/>
        <w:t>Insuffisance cardiaque</w:t>
      </w:r>
    </w:p>
    <w:p w14:paraId="01D3907C" w14:textId="77777777" w:rsidR="00CC1234" w:rsidRPr="00DC2F2C" w:rsidRDefault="009F3FA9" w:rsidP="000A5BB2">
      <w:pPr>
        <w:rPr>
          <w:i/>
          <w:lang w:val="fr-FR"/>
        </w:rPr>
      </w:pPr>
      <w:r w:rsidRPr="00DC2F2C">
        <w:rPr>
          <w:lang w:val="fr-FR"/>
        </w:rPr>
        <w:t xml:space="preserve">Un œdème pulmonaire a été rapporté chez </w:t>
      </w:r>
      <w:r w:rsidR="0046157D" w:rsidRPr="00DC2F2C">
        <w:rPr>
          <w:lang w:val="fr-FR"/>
        </w:rPr>
        <w:t xml:space="preserve">deux </w:t>
      </w:r>
      <w:r w:rsidRPr="00DC2F2C">
        <w:rPr>
          <w:lang w:val="fr-FR"/>
        </w:rPr>
        <w:t>patient</w:t>
      </w:r>
      <w:r w:rsidR="0046157D" w:rsidRPr="00DC2F2C">
        <w:rPr>
          <w:lang w:val="fr-FR"/>
        </w:rPr>
        <w:t>s</w:t>
      </w:r>
      <w:r w:rsidRPr="00DC2F2C">
        <w:rPr>
          <w:lang w:val="fr-FR"/>
        </w:rPr>
        <w:t xml:space="preserve"> (0,</w:t>
      </w:r>
      <w:r w:rsidR="0046157D" w:rsidRPr="00DC2F2C">
        <w:rPr>
          <w:lang w:val="fr-FR"/>
        </w:rPr>
        <w:t>3</w:t>
      </w:r>
      <w:r w:rsidRPr="00DC2F2C">
        <w:rPr>
          <w:lang w:val="fr-FR"/>
        </w:rPr>
        <w:t> </w:t>
      </w:r>
      <w:r w:rsidR="00825F06" w:rsidRPr="00DC2F2C">
        <w:rPr>
          <w:lang w:val="fr-FR"/>
        </w:rPr>
        <w:t xml:space="preserve">%) </w:t>
      </w:r>
      <w:r w:rsidRPr="00DC2F2C">
        <w:rPr>
          <w:lang w:val="fr-FR"/>
        </w:rPr>
        <w:t>recevant le</w:t>
      </w:r>
      <w:r w:rsidR="007E3611" w:rsidRPr="00DC2F2C">
        <w:rPr>
          <w:lang w:val="fr-FR"/>
        </w:rPr>
        <w:t xml:space="preserve"> </w:t>
      </w:r>
      <w:proofErr w:type="spellStart"/>
      <w:r w:rsidR="005F4D84" w:rsidRPr="00DC2F2C">
        <w:rPr>
          <w:lang w:val="fr-FR"/>
        </w:rPr>
        <w:t>tivozanib</w:t>
      </w:r>
      <w:proofErr w:type="spellEnd"/>
      <w:r w:rsidR="007E3611" w:rsidRPr="00DC2F2C">
        <w:rPr>
          <w:lang w:val="fr-FR"/>
        </w:rPr>
        <w:t xml:space="preserve"> </w:t>
      </w:r>
      <w:r w:rsidRPr="00DC2F2C">
        <w:rPr>
          <w:lang w:val="fr-FR"/>
        </w:rPr>
        <w:t>à titre de traitement initial dans les cinq études principales portant sur l</w:t>
      </w:r>
      <w:r w:rsidR="0045407A" w:rsidRPr="00DC2F2C">
        <w:rPr>
          <w:lang w:val="fr-FR"/>
        </w:rPr>
        <w:t xml:space="preserve">e </w:t>
      </w:r>
      <w:proofErr w:type="spellStart"/>
      <w:r w:rsidR="0045407A" w:rsidRPr="00DC2F2C">
        <w:rPr>
          <w:lang w:val="fr-FR"/>
        </w:rPr>
        <w:t>tivozanib</w:t>
      </w:r>
      <w:proofErr w:type="spellEnd"/>
      <w:r w:rsidR="0045407A" w:rsidRPr="00DC2F2C">
        <w:rPr>
          <w:lang w:val="fr-FR"/>
        </w:rPr>
        <w:t xml:space="preserve"> en</w:t>
      </w:r>
      <w:r w:rsidRPr="00DC2F2C">
        <w:rPr>
          <w:lang w:val="fr-FR"/>
        </w:rPr>
        <w:t xml:space="preserve"> monothérapie dans le CCR</w:t>
      </w:r>
      <w:r w:rsidR="00825F06" w:rsidRPr="00DC2F2C">
        <w:rPr>
          <w:lang w:val="fr-FR"/>
        </w:rPr>
        <w:t xml:space="preserve">. </w:t>
      </w:r>
      <w:r w:rsidR="0046157D" w:rsidRPr="00DC2F2C">
        <w:rPr>
          <w:lang w:val="fr-FR"/>
        </w:rPr>
        <w:t xml:space="preserve">Ces deux </w:t>
      </w:r>
      <w:r w:rsidRPr="00DC2F2C">
        <w:rPr>
          <w:lang w:val="fr-FR"/>
        </w:rPr>
        <w:t>événement</w:t>
      </w:r>
      <w:r w:rsidR="0046157D" w:rsidRPr="00DC2F2C">
        <w:rPr>
          <w:lang w:val="fr-FR"/>
        </w:rPr>
        <w:t>s</w:t>
      </w:r>
      <w:r w:rsidRPr="00DC2F2C">
        <w:rPr>
          <w:lang w:val="fr-FR"/>
        </w:rPr>
        <w:t xml:space="preserve"> </w:t>
      </w:r>
      <w:r w:rsidR="0046157D" w:rsidRPr="00DC2F2C">
        <w:rPr>
          <w:lang w:val="fr-FR"/>
        </w:rPr>
        <w:t>étaient</w:t>
      </w:r>
      <w:r w:rsidRPr="00DC2F2C">
        <w:rPr>
          <w:lang w:val="fr-FR"/>
        </w:rPr>
        <w:t xml:space="preserve"> de grade</w:t>
      </w:r>
      <w:r w:rsidR="00825F06" w:rsidRPr="00DC2F2C">
        <w:rPr>
          <w:lang w:val="fr-FR"/>
        </w:rPr>
        <w:t xml:space="preserve"> CTC</w:t>
      </w:r>
      <w:r w:rsidRPr="00DC2F2C">
        <w:rPr>
          <w:lang w:val="fr-FR"/>
        </w:rPr>
        <w:t xml:space="preserve"> </w:t>
      </w:r>
      <w:r w:rsidR="00825F06" w:rsidRPr="00DC2F2C">
        <w:rPr>
          <w:lang w:val="fr-FR"/>
        </w:rPr>
        <w:t xml:space="preserve">3 </w:t>
      </w:r>
      <w:r w:rsidR="00CC1234" w:rsidRPr="00DC2F2C">
        <w:rPr>
          <w:lang w:val="fr-FR"/>
        </w:rPr>
        <w:t>(</w:t>
      </w:r>
      <w:r w:rsidR="002D6EE5" w:rsidRPr="00DC2F2C">
        <w:rPr>
          <w:lang w:val="fr-FR"/>
        </w:rPr>
        <w:t xml:space="preserve">voir rubrique </w:t>
      </w:r>
      <w:r w:rsidR="00CC1234" w:rsidRPr="00DC2F2C">
        <w:rPr>
          <w:lang w:val="fr-FR"/>
        </w:rPr>
        <w:t>4.4).</w:t>
      </w:r>
    </w:p>
    <w:p w14:paraId="2C5A8DF6" w14:textId="77777777" w:rsidR="00BD32D1" w:rsidRPr="00DC2F2C" w:rsidRDefault="00BD32D1" w:rsidP="00825F06">
      <w:pPr>
        <w:ind w:right="549"/>
        <w:rPr>
          <w:szCs w:val="22"/>
          <w:lang w:val="fr-FR"/>
        </w:rPr>
      </w:pPr>
    </w:p>
    <w:p w14:paraId="2904D097" w14:textId="77777777" w:rsidR="00BD32D1" w:rsidRPr="00DC2F2C" w:rsidRDefault="009F3FA9" w:rsidP="00A12D29">
      <w:pPr>
        <w:keepNext/>
        <w:ind w:right="550"/>
        <w:rPr>
          <w:i/>
          <w:szCs w:val="22"/>
          <w:lang w:val="fr-FR"/>
        </w:rPr>
      </w:pPr>
      <w:r w:rsidRPr="00DC2F2C">
        <w:rPr>
          <w:i/>
          <w:szCs w:val="22"/>
          <w:lang w:val="fr-FR"/>
        </w:rPr>
        <w:t xml:space="preserve">Allongement de l’intervalle </w:t>
      </w:r>
      <w:r w:rsidR="00BD32D1" w:rsidRPr="00DC2F2C">
        <w:rPr>
          <w:i/>
          <w:szCs w:val="22"/>
          <w:lang w:val="fr-FR"/>
        </w:rPr>
        <w:t>QT/</w:t>
      </w:r>
      <w:proofErr w:type="spellStart"/>
      <w:r w:rsidR="00BD32D1" w:rsidRPr="00DC2F2C">
        <w:rPr>
          <w:i/>
          <w:szCs w:val="22"/>
          <w:lang w:val="fr-FR"/>
        </w:rPr>
        <w:t>QTc</w:t>
      </w:r>
      <w:proofErr w:type="spellEnd"/>
      <w:r w:rsidR="00BD32D1" w:rsidRPr="00DC2F2C">
        <w:rPr>
          <w:i/>
          <w:szCs w:val="22"/>
          <w:lang w:val="fr-FR"/>
        </w:rPr>
        <w:t xml:space="preserve"> </w:t>
      </w:r>
    </w:p>
    <w:p w14:paraId="38C30081" w14:textId="77777777" w:rsidR="00CC1234" w:rsidRPr="00DC2F2C" w:rsidRDefault="009F3FA9" w:rsidP="000A5BB2">
      <w:pPr>
        <w:rPr>
          <w:i/>
          <w:lang w:val="fr-FR"/>
        </w:rPr>
      </w:pPr>
      <w:r w:rsidRPr="00DC2F2C">
        <w:rPr>
          <w:lang w:val="fr-FR"/>
        </w:rPr>
        <w:t xml:space="preserve">Un allongement de l’intervalle </w:t>
      </w:r>
      <w:r w:rsidR="00825F06" w:rsidRPr="00DC2F2C">
        <w:rPr>
          <w:lang w:val="fr-FR"/>
        </w:rPr>
        <w:t xml:space="preserve">QT </w:t>
      </w:r>
      <w:r w:rsidRPr="00DC2F2C">
        <w:rPr>
          <w:lang w:val="fr-FR"/>
        </w:rPr>
        <w:t xml:space="preserve">a été rapporté chez deux </w:t>
      </w:r>
      <w:r w:rsidR="00825F06" w:rsidRPr="00DC2F2C">
        <w:rPr>
          <w:lang w:val="fr-FR"/>
        </w:rPr>
        <w:t>patients (</w:t>
      </w:r>
      <w:r w:rsidRPr="00DC2F2C">
        <w:rPr>
          <w:lang w:val="fr-FR"/>
        </w:rPr>
        <w:t xml:space="preserve">grade </w:t>
      </w:r>
      <w:r w:rsidR="00825F06" w:rsidRPr="00DC2F2C">
        <w:rPr>
          <w:lang w:val="fr-FR"/>
        </w:rPr>
        <w:t>CTC</w:t>
      </w:r>
      <w:r w:rsidR="00DF6F93" w:rsidRPr="00DC2F2C">
        <w:rPr>
          <w:lang w:val="fr-FR"/>
        </w:rPr>
        <w:t> </w:t>
      </w:r>
      <w:r w:rsidR="00825F06" w:rsidRPr="00DC2F2C">
        <w:rPr>
          <w:lang w:val="fr-FR"/>
        </w:rPr>
        <w:t>2</w:t>
      </w:r>
      <w:r w:rsidR="003928E9">
        <w:rPr>
          <w:lang w:val="fr-FR"/>
        </w:rPr>
        <w:t> </w:t>
      </w:r>
      <w:r w:rsidRPr="00DC2F2C">
        <w:rPr>
          <w:lang w:val="fr-FR"/>
        </w:rPr>
        <w:t>et</w:t>
      </w:r>
      <w:r w:rsidR="003928E9">
        <w:rPr>
          <w:lang w:val="fr-FR"/>
        </w:rPr>
        <w:t> </w:t>
      </w:r>
      <w:r w:rsidR="00825F06" w:rsidRPr="00DC2F2C">
        <w:rPr>
          <w:lang w:val="fr-FR"/>
        </w:rPr>
        <w:t xml:space="preserve">3) </w:t>
      </w:r>
      <w:r w:rsidRPr="00DC2F2C">
        <w:rPr>
          <w:lang w:val="fr-FR"/>
        </w:rPr>
        <w:t>dans l’étude portant sur la sécurité cardiaque du</w:t>
      </w:r>
      <w:r w:rsidR="00825F06" w:rsidRPr="00DC2F2C">
        <w:rPr>
          <w:lang w:val="fr-FR"/>
        </w:rPr>
        <w:t xml:space="preserve"> </w:t>
      </w:r>
      <w:proofErr w:type="spellStart"/>
      <w:r w:rsidR="005F4D84" w:rsidRPr="00DC2F2C">
        <w:rPr>
          <w:lang w:val="fr-FR"/>
        </w:rPr>
        <w:t>tivozanib</w:t>
      </w:r>
      <w:proofErr w:type="spellEnd"/>
      <w:r w:rsidRPr="00DC2F2C">
        <w:rPr>
          <w:lang w:val="fr-FR"/>
        </w:rPr>
        <w:t xml:space="preserve">. Aucun de ces deux cas n’a été considéré comme grave </w:t>
      </w:r>
      <w:r w:rsidR="00CC1234" w:rsidRPr="00DC2F2C">
        <w:rPr>
          <w:lang w:val="fr-FR"/>
        </w:rPr>
        <w:t>(</w:t>
      </w:r>
      <w:r w:rsidR="002D6EE5" w:rsidRPr="00DC2F2C">
        <w:rPr>
          <w:lang w:val="fr-FR"/>
        </w:rPr>
        <w:t xml:space="preserve">voir rubrique </w:t>
      </w:r>
      <w:r w:rsidR="00CC1234" w:rsidRPr="00DC2F2C">
        <w:rPr>
          <w:lang w:val="fr-FR"/>
        </w:rPr>
        <w:t>4.4</w:t>
      </w:r>
      <w:r w:rsidR="00B24ADF" w:rsidRPr="00DC2F2C">
        <w:rPr>
          <w:lang w:val="fr-FR"/>
        </w:rPr>
        <w:t xml:space="preserve"> </w:t>
      </w:r>
      <w:r w:rsidR="002D6EE5" w:rsidRPr="00DC2F2C">
        <w:rPr>
          <w:lang w:val="fr-FR"/>
        </w:rPr>
        <w:t>et rubrique</w:t>
      </w:r>
      <w:r w:rsidR="00B24ADF" w:rsidRPr="00DC2F2C">
        <w:rPr>
          <w:lang w:val="fr-FR"/>
        </w:rPr>
        <w:t xml:space="preserve"> 5.1</w:t>
      </w:r>
      <w:r w:rsidR="00CC1234" w:rsidRPr="00DC2F2C">
        <w:rPr>
          <w:lang w:val="fr-FR"/>
        </w:rPr>
        <w:t>).</w:t>
      </w:r>
    </w:p>
    <w:p w14:paraId="2BF731ED" w14:textId="77777777" w:rsidR="009A71DF" w:rsidRPr="00DC2F2C" w:rsidRDefault="009A71DF" w:rsidP="009D43DC">
      <w:pPr>
        <w:ind w:right="549"/>
        <w:rPr>
          <w:szCs w:val="22"/>
          <w:lang w:val="fr-FR"/>
        </w:rPr>
      </w:pPr>
    </w:p>
    <w:p w14:paraId="45431B80" w14:textId="77777777" w:rsidR="00DC2B22" w:rsidRPr="00DC2F2C" w:rsidRDefault="009F3FA9" w:rsidP="00DC2B22">
      <w:pPr>
        <w:keepNext/>
        <w:keepLines/>
        <w:tabs>
          <w:tab w:val="clear" w:pos="567"/>
        </w:tabs>
        <w:rPr>
          <w:rFonts w:eastAsia="Calibri"/>
          <w:i/>
          <w:szCs w:val="22"/>
          <w:lang w:val="fr-FR"/>
        </w:rPr>
      </w:pPr>
      <w:r w:rsidRPr="00DC2F2C">
        <w:rPr>
          <w:rFonts w:eastAsia="Calibri"/>
          <w:i/>
          <w:szCs w:val="22"/>
          <w:lang w:val="fr-FR"/>
        </w:rPr>
        <w:t>Hypothyroï</w:t>
      </w:r>
      <w:r w:rsidR="00DC2B22" w:rsidRPr="00DC2F2C">
        <w:rPr>
          <w:rFonts w:eastAsia="Calibri"/>
          <w:i/>
          <w:szCs w:val="22"/>
          <w:lang w:val="fr-FR"/>
        </w:rPr>
        <w:t>di</w:t>
      </w:r>
      <w:r w:rsidRPr="00DC2F2C">
        <w:rPr>
          <w:rFonts w:eastAsia="Calibri"/>
          <w:i/>
          <w:szCs w:val="22"/>
          <w:lang w:val="fr-FR"/>
        </w:rPr>
        <w:t>e</w:t>
      </w:r>
    </w:p>
    <w:p w14:paraId="3A82E580" w14:textId="77777777" w:rsidR="00DC2B22" w:rsidRPr="00DC2F2C" w:rsidRDefault="009F3FA9" w:rsidP="000A5BB2">
      <w:pPr>
        <w:rPr>
          <w:rFonts w:eastAsia="Calibri"/>
          <w:lang w:val="fr-FR"/>
        </w:rPr>
      </w:pPr>
      <w:r w:rsidRPr="00DC2F2C">
        <w:rPr>
          <w:rFonts w:eastAsia="Calibri"/>
          <w:lang w:val="fr-FR"/>
        </w:rPr>
        <w:t>Une hypothyroï</w:t>
      </w:r>
      <w:r w:rsidR="00DC2B22" w:rsidRPr="00DC2F2C">
        <w:rPr>
          <w:rFonts w:eastAsia="Calibri"/>
          <w:lang w:val="fr-FR"/>
        </w:rPr>
        <w:t>di</w:t>
      </w:r>
      <w:r w:rsidRPr="00DC2F2C">
        <w:rPr>
          <w:rFonts w:eastAsia="Calibri"/>
          <w:lang w:val="fr-FR"/>
        </w:rPr>
        <w:t>e</w:t>
      </w:r>
      <w:r w:rsidR="00DC2B22" w:rsidRPr="00DC2F2C">
        <w:rPr>
          <w:rFonts w:eastAsia="Calibri"/>
          <w:lang w:val="fr-FR"/>
        </w:rPr>
        <w:t xml:space="preserve"> </w:t>
      </w:r>
      <w:r w:rsidRPr="00DC2F2C">
        <w:rPr>
          <w:rFonts w:eastAsia="Calibri"/>
          <w:lang w:val="fr-FR"/>
        </w:rPr>
        <w:t xml:space="preserve">a été rapportée en tant qu’effet indésirable chez </w:t>
      </w:r>
      <w:r w:rsidR="002830CE" w:rsidRPr="00DC2F2C">
        <w:rPr>
          <w:rFonts w:eastAsia="Calibri"/>
          <w:lang w:val="fr-FR"/>
        </w:rPr>
        <w:t>5,6</w:t>
      </w:r>
      <w:r w:rsidRPr="00DC2F2C">
        <w:rPr>
          <w:rFonts w:eastAsia="Calibri"/>
          <w:lang w:val="fr-FR"/>
        </w:rPr>
        <w:t> </w:t>
      </w:r>
      <w:r w:rsidR="00DC2B22" w:rsidRPr="00DC2F2C">
        <w:rPr>
          <w:rFonts w:eastAsia="Calibri"/>
          <w:lang w:val="fr-FR"/>
        </w:rPr>
        <w:t xml:space="preserve">% </w:t>
      </w:r>
      <w:r w:rsidRPr="00DC2F2C">
        <w:rPr>
          <w:rFonts w:eastAsia="Calibri"/>
          <w:lang w:val="fr-FR"/>
        </w:rPr>
        <w:t>des</w:t>
      </w:r>
      <w:r w:rsidR="00DC2B22" w:rsidRPr="00DC2F2C">
        <w:rPr>
          <w:rFonts w:eastAsia="Calibri"/>
          <w:lang w:val="fr-FR"/>
        </w:rPr>
        <w:t xml:space="preserve"> patients </w:t>
      </w:r>
      <w:r w:rsidRPr="00DC2F2C">
        <w:rPr>
          <w:rFonts w:eastAsia="Calibri"/>
          <w:lang w:val="fr-FR"/>
        </w:rPr>
        <w:t>au cours du traitement initial et il s’agissait d’un événement de grade</w:t>
      </w:r>
      <w:r w:rsidR="00DC2B22" w:rsidRPr="00DC2F2C">
        <w:rPr>
          <w:rFonts w:eastAsia="Calibri"/>
          <w:lang w:val="fr-FR"/>
        </w:rPr>
        <w:t xml:space="preserve"> CTC</w:t>
      </w:r>
      <w:r w:rsidR="00DF6F93" w:rsidRPr="00DC2F2C">
        <w:rPr>
          <w:rFonts w:eastAsia="Calibri"/>
          <w:lang w:val="fr-FR"/>
        </w:rPr>
        <w:t> </w:t>
      </w:r>
      <w:r w:rsidR="00DC2B22" w:rsidRPr="00DC2F2C">
        <w:rPr>
          <w:rFonts w:eastAsia="Calibri"/>
          <w:lang w:val="fr-FR"/>
        </w:rPr>
        <w:t xml:space="preserve">2 </w:t>
      </w:r>
      <w:r w:rsidRPr="00DC2F2C">
        <w:rPr>
          <w:rFonts w:eastAsia="Calibri"/>
          <w:lang w:val="fr-FR"/>
        </w:rPr>
        <w:t>ou moins dans tous les cas</w:t>
      </w:r>
      <w:r w:rsidR="00DC2B22" w:rsidRPr="00DC2F2C">
        <w:rPr>
          <w:rFonts w:eastAsia="Calibri"/>
          <w:lang w:val="fr-FR"/>
        </w:rPr>
        <w:t xml:space="preserve">. </w:t>
      </w:r>
      <w:r w:rsidR="00DE5748" w:rsidRPr="00DC2F2C">
        <w:rPr>
          <w:rFonts w:eastAsia="Calibri"/>
          <w:lang w:val="fr-FR"/>
        </w:rPr>
        <w:t>Cet événement a été rapporté comme grave chez un patient</w:t>
      </w:r>
      <w:r w:rsidR="00DC2B22" w:rsidRPr="00DC2F2C">
        <w:rPr>
          <w:rFonts w:eastAsia="Calibri"/>
          <w:lang w:val="fr-FR"/>
        </w:rPr>
        <w:t>.</w:t>
      </w:r>
    </w:p>
    <w:p w14:paraId="4AAB3DD6" w14:textId="77777777" w:rsidR="00DC2B22" w:rsidRPr="00DC2F2C" w:rsidRDefault="00DC2B22" w:rsidP="00DC2B22">
      <w:pPr>
        <w:ind w:right="549"/>
        <w:rPr>
          <w:szCs w:val="22"/>
          <w:lang w:val="fr-FR"/>
        </w:rPr>
      </w:pPr>
    </w:p>
    <w:p w14:paraId="26700885" w14:textId="77777777" w:rsidR="00DC2B22" w:rsidRPr="00DC2F2C" w:rsidRDefault="00DE5748" w:rsidP="00DC2B22">
      <w:pPr>
        <w:keepNext/>
        <w:keepLines/>
        <w:autoSpaceDE w:val="0"/>
        <w:autoSpaceDN w:val="0"/>
        <w:adjustRightInd w:val="0"/>
        <w:rPr>
          <w:i/>
          <w:szCs w:val="22"/>
          <w:lang w:val="fr-FR"/>
        </w:rPr>
      </w:pPr>
      <w:r w:rsidRPr="00DC2F2C">
        <w:rPr>
          <w:i/>
          <w:szCs w:val="22"/>
          <w:lang w:val="fr-FR"/>
        </w:rPr>
        <w:t>Hémorragie</w:t>
      </w:r>
    </w:p>
    <w:p w14:paraId="33039EA0" w14:textId="77777777" w:rsidR="00DC2B22" w:rsidRPr="00DC2F2C" w:rsidRDefault="002830CE" w:rsidP="000A5BB2">
      <w:pPr>
        <w:rPr>
          <w:lang w:val="fr-FR"/>
        </w:rPr>
      </w:pPr>
      <w:r w:rsidRPr="00DC2F2C">
        <w:rPr>
          <w:rFonts w:eastAsia="SimSun"/>
          <w:lang w:val="fr-FR" w:eastAsia="zh-CN"/>
        </w:rPr>
        <w:t>Des</w:t>
      </w:r>
      <w:r w:rsidR="00DE5748" w:rsidRPr="00DC2F2C">
        <w:rPr>
          <w:rFonts w:eastAsia="SimSun"/>
          <w:lang w:val="fr-FR" w:eastAsia="zh-CN"/>
        </w:rPr>
        <w:t xml:space="preserve"> effet</w:t>
      </w:r>
      <w:r w:rsidRPr="00DC2F2C">
        <w:rPr>
          <w:rFonts w:eastAsia="SimSun"/>
          <w:lang w:val="fr-FR" w:eastAsia="zh-CN"/>
        </w:rPr>
        <w:t>s</w:t>
      </w:r>
      <w:r w:rsidR="00DE5748" w:rsidRPr="00DC2F2C">
        <w:rPr>
          <w:rFonts w:eastAsia="SimSun"/>
          <w:lang w:val="fr-FR" w:eastAsia="zh-CN"/>
        </w:rPr>
        <w:t xml:space="preserve"> indésirable</w:t>
      </w:r>
      <w:r w:rsidRPr="00DC2F2C">
        <w:rPr>
          <w:rFonts w:eastAsia="SimSun"/>
          <w:lang w:val="fr-FR" w:eastAsia="zh-CN"/>
        </w:rPr>
        <w:t>s</w:t>
      </w:r>
      <w:r w:rsidR="00DE5748" w:rsidRPr="00DC2F2C">
        <w:rPr>
          <w:rFonts w:eastAsia="SimSun"/>
          <w:lang w:val="fr-FR" w:eastAsia="zh-CN"/>
        </w:rPr>
        <w:t xml:space="preserve"> hémorragique</w:t>
      </w:r>
      <w:r w:rsidRPr="00DC2F2C">
        <w:rPr>
          <w:rFonts w:eastAsia="SimSun"/>
          <w:lang w:val="fr-FR" w:eastAsia="zh-CN"/>
        </w:rPr>
        <w:t>s</w:t>
      </w:r>
      <w:r w:rsidR="00DE5748" w:rsidRPr="00DC2F2C">
        <w:rPr>
          <w:rFonts w:eastAsia="SimSun"/>
          <w:lang w:val="fr-FR" w:eastAsia="zh-CN"/>
        </w:rPr>
        <w:t xml:space="preserve"> </w:t>
      </w:r>
      <w:r w:rsidRPr="00DC2F2C">
        <w:rPr>
          <w:rFonts w:eastAsia="SimSun"/>
          <w:lang w:val="fr-FR" w:eastAsia="zh-CN"/>
        </w:rPr>
        <w:t>ont</w:t>
      </w:r>
      <w:r w:rsidR="00DE5748" w:rsidRPr="00DC2F2C">
        <w:rPr>
          <w:rFonts w:eastAsia="SimSun"/>
          <w:lang w:val="fr-FR" w:eastAsia="zh-CN"/>
        </w:rPr>
        <w:t xml:space="preserve"> été rapporté</w:t>
      </w:r>
      <w:r w:rsidRPr="00DC2F2C">
        <w:rPr>
          <w:rFonts w:eastAsia="SimSun"/>
          <w:lang w:val="fr-FR" w:eastAsia="zh-CN"/>
        </w:rPr>
        <w:t>s</w:t>
      </w:r>
      <w:r w:rsidR="00DE5748" w:rsidRPr="00DC2F2C">
        <w:rPr>
          <w:rFonts w:eastAsia="SimSun"/>
          <w:lang w:val="fr-FR" w:eastAsia="zh-CN"/>
        </w:rPr>
        <w:t xml:space="preserve"> dans les études principales</w:t>
      </w:r>
      <w:r w:rsidR="00DC2B22" w:rsidRPr="00DC2F2C">
        <w:rPr>
          <w:rFonts w:eastAsia="SimSun"/>
          <w:lang w:val="fr-FR" w:eastAsia="zh-CN"/>
        </w:rPr>
        <w:t xml:space="preserve"> </w:t>
      </w:r>
      <w:r w:rsidR="00DE5748" w:rsidRPr="00DC2F2C">
        <w:rPr>
          <w:lang w:val="fr-FR"/>
        </w:rPr>
        <w:t>portant sur l</w:t>
      </w:r>
      <w:r w:rsidR="0045407A" w:rsidRPr="00DC2F2C">
        <w:rPr>
          <w:lang w:val="fr-FR"/>
        </w:rPr>
        <w:t xml:space="preserve">e </w:t>
      </w:r>
      <w:proofErr w:type="spellStart"/>
      <w:r w:rsidR="0045407A" w:rsidRPr="00DC2F2C">
        <w:rPr>
          <w:lang w:val="fr-FR"/>
        </w:rPr>
        <w:t>tivozanib</w:t>
      </w:r>
      <w:proofErr w:type="spellEnd"/>
      <w:r w:rsidR="0045407A" w:rsidRPr="00DC2F2C">
        <w:rPr>
          <w:lang w:val="fr-FR"/>
        </w:rPr>
        <w:t xml:space="preserve"> en</w:t>
      </w:r>
      <w:r w:rsidR="00DE5748" w:rsidRPr="00DC2F2C">
        <w:rPr>
          <w:lang w:val="fr-FR"/>
        </w:rPr>
        <w:t xml:space="preserve"> monothérapie </w:t>
      </w:r>
      <w:r w:rsidR="0045407A" w:rsidRPr="00DC2F2C">
        <w:rPr>
          <w:lang w:val="fr-FR"/>
        </w:rPr>
        <w:t xml:space="preserve">en première ligne </w:t>
      </w:r>
      <w:r w:rsidRPr="00DC2F2C">
        <w:rPr>
          <w:rFonts w:eastAsia="SimSun"/>
          <w:lang w:val="fr-FR" w:eastAsia="zh-CN"/>
        </w:rPr>
        <w:t>(voir rubrique 4.4).</w:t>
      </w:r>
    </w:p>
    <w:p w14:paraId="2CE91E78" w14:textId="77777777" w:rsidR="00DC2B22" w:rsidRPr="00DC2F2C" w:rsidRDefault="00DC2B22" w:rsidP="009D43DC">
      <w:pPr>
        <w:ind w:right="549"/>
        <w:rPr>
          <w:szCs w:val="22"/>
          <w:lang w:val="fr-FR"/>
        </w:rPr>
      </w:pPr>
    </w:p>
    <w:p w14:paraId="064299DE" w14:textId="77777777" w:rsidR="000D3C03" w:rsidRPr="00DC2F2C" w:rsidRDefault="004D176A" w:rsidP="00825F06">
      <w:pPr>
        <w:keepNext/>
        <w:autoSpaceDE w:val="0"/>
        <w:autoSpaceDN w:val="0"/>
        <w:adjustRightInd w:val="0"/>
        <w:rPr>
          <w:szCs w:val="22"/>
          <w:u w:val="single"/>
          <w:lang w:val="fr-FR"/>
        </w:rPr>
      </w:pPr>
      <w:r w:rsidRPr="00DC2F2C">
        <w:rPr>
          <w:u w:val="single"/>
          <w:lang w:val="fr-FR"/>
        </w:rPr>
        <w:t>Déclaration des effets indésirables suspectés</w:t>
      </w:r>
    </w:p>
    <w:p w14:paraId="44159CEF" w14:textId="4AB44320" w:rsidR="000D3C03" w:rsidRDefault="004D176A" w:rsidP="000A5BB2">
      <w:pPr>
        <w:rPr>
          <w:lang w:val="fr-FR"/>
        </w:rPr>
      </w:pPr>
      <w:r w:rsidRPr="00DC2F2C">
        <w:rPr>
          <w:lang w:val="fr-FR"/>
        </w:rPr>
        <w:t xml:space="preserve">La déclaration des effets indésirables suspectés après autorisation du médicament est importante. Elle permet une surveillance continue du rapport bénéfice/risque du médicament. Les professionnels de santé déclarent tout effet indésirable suspecté via </w:t>
      </w:r>
      <w:r w:rsidRPr="00DC2F2C">
        <w:rPr>
          <w:highlight w:val="lightGray"/>
          <w:lang w:val="fr-FR"/>
        </w:rPr>
        <w:t xml:space="preserve">le système national de déclaration </w:t>
      </w:r>
      <w:r w:rsidRPr="00DC2F2C">
        <w:rPr>
          <w:lang w:val="fr-FR"/>
        </w:rPr>
        <w:t>–</w:t>
      </w:r>
    </w:p>
    <w:p w14:paraId="007FEE28" w14:textId="77777777" w:rsidR="00977B2E" w:rsidRPr="008352AE" w:rsidRDefault="00977B2E" w:rsidP="000A5BB2">
      <w:pPr>
        <w:rPr>
          <w:lang w:val="fr-FR"/>
        </w:rPr>
      </w:pPr>
    </w:p>
    <w:p w14:paraId="44C8997C" w14:textId="61406EB0" w:rsidR="00977B2E" w:rsidRDefault="00977B2E" w:rsidP="00977B2E">
      <w:pPr>
        <w:autoSpaceDE w:val="0"/>
        <w:autoSpaceDN w:val="0"/>
        <w:adjustRightInd w:val="0"/>
        <w:rPr>
          <w:rFonts w:eastAsia="Calibri"/>
          <w:b/>
          <w:noProof/>
          <w:lang w:val="fr-FR" w:eastAsia="zh-CN"/>
        </w:rPr>
      </w:pPr>
      <w:r>
        <w:rPr>
          <w:rFonts w:eastAsia="Calibri"/>
          <w:b/>
          <w:noProof/>
          <w:lang w:val="fr-FR" w:eastAsia="zh-CN"/>
        </w:rPr>
        <w:t>France</w:t>
      </w:r>
    </w:p>
    <w:p w14:paraId="10DEB8A3" w14:textId="47092476" w:rsidR="00977B2E" w:rsidRDefault="00977B2E" w:rsidP="00977B2E">
      <w:pPr>
        <w:autoSpaceDE w:val="0"/>
        <w:autoSpaceDN w:val="0"/>
        <w:adjustRightInd w:val="0"/>
        <w:rPr>
          <w:rFonts w:eastAsia="Calibri"/>
          <w:noProof/>
          <w:lang w:val="fr-FR" w:eastAsia="zh-CN"/>
        </w:rPr>
      </w:pPr>
      <w:r w:rsidRPr="00BB06F8">
        <w:rPr>
          <w:rFonts w:eastAsia="Calibri"/>
          <w:noProof/>
          <w:lang w:val="fr-FR" w:eastAsia="zh-CN"/>
        </w:rPr>
        <w:t xml:space="preserve">Agence nationale de sécurité du médicament </w:t>
      </w:r>
    </w:p>
    <w:p w14:paraId="4B5DFCD0" w14:textId="3A6F25D7" w:rsidR="00977B2E" w:rsidRDefault="00977B2E" w:rsidP="00977B2E">
      <w:pPr>
        <w:autoSpaceDE w:val="0"/>
        <w:autoSpaceDN w:val="0"/>
        <w:adjustRightInd w:val="0"/>
        <w:rPr>
          <w:rFonts w:eastAsia="Calibri"/>
          <w:noProof/>
          <w:lang w:val="fr-FR" w:eastAsia="zh-CN"/>
        </w:rPr>
      </w:pPr>
      <w:r w:rsidRPr="00BB06F8">
        <w:rPr>
          <w:rFonts w:eastAsia="Calibri"/>
          <w:noProof/>
          <w:lang w:val="fr-FR" w:eastAsia="zh-CN"/>
        </w:rPr>
        <w:t>et des produits de santé (</w:t>
      </w:r>
      <w:r w:rsidR="008352AE">
        <w:rPr>
          <w:rFonts w:eastAsia="Calibri"/>
          <w:noProof/>
          <w:lang w:val="fr-FR" w:eastAsia="zh-CN"/>
        </w:rPr>
        <w:t>ANSM</w:t>
      </w:r>
      <w:r w:rsidRPr="00BB06F8">
        <w:rPr>
          <w:rFonts w:eastAsia="Calibri"/>
          <w:noProof/>
          <w:lang w:val="fr-FR" w:eastAsia="zh-CN"/>
        </w:rPr>
        <w:t>)</w:t>
      </w:r>
    </w:p>
    <w:p w14:paraId="6FB888DB" w14:textId="77777777" w:rsidR="00977B2E" w:rsidRDefault="00977B2E" w:rsidP="00977B2E">
      <w:pPr>
        <w:autoSpaceDE w:val="0"/>
        <w:autoSpaceDN w:val="0"/>
        <w:adjustRightInd w:val="0"/>
        <w:rPr>
          <w:rFonts w:eastAsia="Calibri"/>
          <w:noProof/>
          <w:lang w:val="fr-FR" w:eastAsia="zh-CN"/>
        </w:rPr>
      </w:pPr>
      <w:r w:rsidRPr="00BB06F8">
        <w:rPr>
          <w:rFonts w:eastAsia="Calibri"/>
          <w:noProof/>
          <w:lang w:val="fr-FR" w:eastAsia="zh-CN"/>
        </w:rPr>
        <w:t>et réseau des Centres</w:t>
      </w:r>
      <w:r>
        <w:rPr>
          <w:rFonts w:eastAsia="Calibri"/>
          <w:noProof/>
          <w:lang w:val="fr-FR" w:eastAsia="zh-CN"/>
        </w:rPr>
        <w:t xml:space="preserve"> </w:t>
      </w:r>
      <w:r w:rsidRPr="00BB06F8">
        <w:rPr>
          <w:rFonts w:eastAsia="Calibri"/>
          <w:noProof/>
          <w:lang w:val="fr-FR" w:eastAsia="zh-CN"/>
        </w:rPr>
        <w:t>Régionaux de Pharmacovigilance</w:t>
      </w:r>
      <w:r>
        <w:rPr>
          <w:rFonts w:eastAsia="Calibri"/>
          <w:noProof/>
          <w:lang w:val="fr-FR" w:eastAsia="zh-CN"/>
        </w:rPr>
        <w:t>.</w:t>
      </w:r>
    </w:p>
    <w:p w14:paraId="15673CD6" w14:textId="19ADA1CD" w:rsidR="00977B2E" w:rsidRPr="00475A46" w:rsidRDefault="00977B2E" w:rsidP="00977B2E">
      <w:pPr>
        <w:autoSpaceDE w:val="0"/>
        <w:autoSpaceDN w:val="0"/>
        <w:adjustRightInd w:val="0"/>
        <w:rPr>
          <w:rStyle w:val="Hyperlink"/>
          <w:lang w:val="fr-FR"/>
        </w:rPr>
      </w:pPr>
      <w:r w:rsidRPr="00AE58DB">
        <w:rPr>
          <w:rFonts w:eastAsia="Calibri"/>
          <w:lang w:val="fr-FR" w:eastAsia="zh-CN"/>
        </w:rPr>
        <w:t>Site internet</w:t>
      </w:r>
      <w:r>
        <w:rPr>
          <w:rFonts w:eastAsia="Calibri"/>
          <w:lang w:val="fr-FR" w:eastAsia="zh-CN"/>
        </w:rPr>
        <w:t xml:space="preserve"> </w:t>
      </w:r>
      <w:r w:rsidRPr="00AE58DB">
        <w:rPr>
          <w:rFonts w:eastAsia="Calibri"/>
          <w:noProof/>
          <w:lang w:val="fr-FR" w:eastAsia="zh-CN"/>
        </w:rPr>
        <w:t>:</w:t>
      </w:r>
      <w:r w:rsidRPr="00BB06F8">
        <w:rPr>
          <w:rFonts w:eastAsia="Calibri"/>
          <w:noProof/>
          <w:color w:val="FF0000"/>
          <w:lang w:val="pt-PT" w:eastAsia="zh-CN"/>
        </w:rPr>
        <w:t xml:space="preserve"> </w:t>
      </w:r>
      <w:r w:rsidR="008352AE" w:rsidRPr="00D95A2F">
        <w:rPr>
          <w:rStyle w:val="Hyperlink"/>
          <w:lang w:val="fr-FR"/>
        </w:rPr>
        <w:t>www.signalement-sante.gouv.fr</w:t>
      </w:r>
    </w:p>
    <w:p w14:paraId="34959A36" w14:textId="77777777" w:rsidR="00977B2E" w:rsidRDefault="00977B2E" w:rsidP="00977B2E">
      <w:pPr>
        <w:rPr>
          <w:lang w:val="pt-PT"/>
        </w:rPr>
      </w:pPr>
    </w:p>
    <w:p w14:paraId="6A49D37F" w14:textId="77777777" w:rsidR="00977B2E" w:rsidRPr="004A7F53" w:rsidRDefault="00977B2E" w:rsidP="00977B2E">
      <w:pPr>
        <w:autoSpaceDE w:val="0"/>
        <w:autoSpaceDN w:val="0"/>
        <w:adjustRightInd w:val="0"/>
        <w:rPr>
          <w:rFonts w:eastAsia="Calibri"/>
          <w:b/>
          <w:noProof/>
          <w:lang w:val="fr-FR" w:eastAsia="zh-CN"/>
        </w:rPr>
      </w:pPr>
      <w:r w:rsidRPr="004A7F53">
        <w:rPr>
          <w:rFonts w:eastAsia="Calibri"/>
          <w:b/>
          <w:noProof/>
          <w:lang w:val="fr-FR" w:eastAsia="zh-CN"/>
        </w:rPr>
        <w:t>Belgique</w:t>
      </w:r>
    </w:p>
    <w:p w14:paraId="2D438CB9" w14:textId="77777777" w:rsidR="00977B2E" w:rsidRPr="004A7F53" w:rsidRDefault="00977B2E" w:rsidP="00977B2E">
      <w:pPr>
        <w:rPr>
          <w:lang w:val="fr-FR"/>
        </w:rPr>
      </w:pPr>
      <w:r w:rsidRPr="004A7F53">
        <w:rPr>
          <w:lang w:val="fr-FR"/>
        </w:rPr>
        <w:t>Agence fédérale des médicaments et des produits de santé</w:t>
      </w:r>
    </w:p>
    <w:p w14:paraId="137A6A07" w14:textId="77777777" w:rsidR="00977B2E" w:rsidRPr="004A7F53" w:rsidRDefault="00977B2E" w:rsidP="00977B2E">
      <w:pPr>
        <w:rPr>
          <w:lang w:val="fr-BE"/>
        </w:rPr>
      </w:pPr>
      <w:r w:rsidRPr="004A7F53">
        <w:rPr>
          <w:lang w:val="fr-BE"/>
        </w:rPr>
        <w:t>Division Vigilance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268"/>
      </w:tblGrid>
      <w:tr w:rsidR="008352AE" w:rsidRPr="002605B1" w14:paraId="5E0FB47D" w14:textId="77777777" w:rsidTr="006831BE">
        <w:tc>
          <w:tcPr>
            <w:tcW w:w="2547" w:type="dxa"/>
            <w:tcBorders>
              <w:top w:val="single" w:sz="4" w:space="0" w:color="auto"/>
              <w:left w:val="single" w:sz="4" w:space="0" w:color="auto"/>
              <w:bottom w:val="single" w:sz="4" w:space="0" w:color="auto"/>
              <w:right w:val="single" w:sz="4" w:space="0" w:color="auto"/>
            </w:tcBorders>
            <w:hideMark/>
          </w:tcPr>
          <w:p w14:paraId="5CFF5878" w14:textId="77777777" w:rsidR="004654A6" w:rsidRDefault="004654A6" w:rsidP="004654A6">
            <w:pPr>
              <w:rPr>
                <w:szCs w:val="22"/>
                <w:lang w:val="fr-FR" w:eastAsia="zh-CN"/>
              </w:rPr>
            </w:pPr>
            <w:r>
              <w:rPr>
                <w:szCs w:val="22"/>
                <w:lang w:val="fr-FR" w:eastAsia="zh-CN"/>
              </w:rPr>
              <w:t>Avenue Galilée 5/03</w:t>
            </w:r>
          </w:p>
          <w:p w14:paraId="4BB2488F" w14:textId="2DBF16B9" w:rsidR="008352AE" w:rsidRPr="00A6650F" w:rsidRDefault="004654A6" w:rsidP="00164954">
            <w:pPr>
              <w:rPr>
                <w:rFonts w:eastAsia="Calibri"/>
                <w:szCs w:val="22"/>
                <w:lang w:val="fr-BE" w:eastAsia="zh-CN"/>
              </w:rPr>
            </w:pPr>
            <w:r>
              <w:rPr>
                <w:szCs w:val="22"/>
                <w:lang w:val="fr-FR" w:eastAsia="zh-CN"/>
              </w:rPr>
              <w:t>1210 BRUSSEL</w:t>
            </w:r>
          </w:p>
        </w:tc>
        <w:tc>
          <w:tcPr>
            <w:tcW w:w="2268" w:type="dxa"/>
            <w:tcBorders>
              <w:top w:val="single" w:sz="4" w:space="0" w:color="auto"/>
              <w:left w:val="single" w:sz="4" w:space="0" w:color="auto"/>
              <w:bottom w:val="single" w:sz="4" w:space="0" w:color="auto"/>
              <w:right w:val="single" w:sz="4" w:space="0" w:color="auto"/>
            </w:tcBorders>
            <w:hideMark/>
          </w:tcPr>
          <w:p w14:paraId="11966BAC" w14:textId="77777777" w:rsidR="008352AE" w:rsidRDefault="008352AE" w:rsidP="00164954">
            <w:pPr>
              <w:rPr>
                <w:rFonts w:eastAsia="Calibri"/>
                <w:szCs w:val="22"/>
                <w:lang w:val="fr-BE" w:eastAsia="zh-CN"/>
              </w:rPr>
            </w:pPr>
            <w:r>
              <w:rPr>
                <w:rFonts w:eastAsia="Calibri"/>
                <w:szCs w:val="22"/>
                <w:lang w:val="fr-BE" w:eastAsia="zh-CN"/>
              </w:rPr>
              <w:t>Boîte Postale 97</w:t>
            </w:r>
          </w:p>
          <w:p w14:paraId="52AD512B" w14:textId="16D77254" w:rsidR="008352AE" w:rsidRPr="00E85249" w:rsidRDefault="008352AE" w:rsidP="00164954">
            <w:pPr>
              <w:rPr>
                <w:rFonts w:eastAsia="Calibri"/>
                <w:szCs w:val="22"/>
                <w:lang w:val="fr-BE" w:eastAsia="zh-CN"/>
              </w:rPr>
            </w:pPr>
            <w:r>
              <w:rPr>
                <w:rFonts w:eastAsia="Calibri"/>
                <w:szCs w:val="22"/>
                <w:lang w:val="fr-BE" w:eastAsia="zh-CN"/>
              </w:rPr>
              <w:t xml:space="preserve">1000 </w:t>
            </w:r>
            <w:r w:rsidR="001B2759">
              <w:rPr>
                <w:rFonts w:eastAsia="Calibri"/>
                <w:szCs w:val="22"/>
                <w:lang w:val="fr-BE" w:eastAsia="zh-CN"/>
              </w:rPr>
              <w:t>BRUXELLES</w:t>
            </w:r>
            <w:r>
              <w:rPr>
                <w:rFonts w:eastAsia="Calibri"/>
                <w:szCs w:val="22"/>
                <w:lang w:val="fr-BE" w:eastAsia="zh-CN"/>
              </w:rPr>
              <w:t xml:space="preserve"> Madou</w:t>
            </w:r>
          </w:p>
        </w:tc>
      </w:tr>
    </w:tbl>
    <w:p w14:paraId="148FCFCE" w14:textId="5415350E" w:rsidR="008629E8" w:rsidRDefault="001B2759" w:rsidP="001B2759">
      <w:pPr>
        <w:ind w:right="34"/>
        <w:rPr>
          <w:rFonts w:eastAsia="Calibri"/>
          <w:szCs w:val="22"/>
          <w:lang w:val="fr-FR" w:eastAsia="zh-CN"/>
        </w:rPr>
      </w:pPr>
      <w:r w:rsidRPr="004A6986">
        <w:rPr>
          <w:rFonts w:eastAsia="Calibri"/>
          <w:szCs w:val="22"/>
          <w:lang w:val="fr-FR" w:eastAsia="zh-CN"/>
        </w:rPr>
        <w:t xml:space="preserve">Site internet: </w:t>
      </w:r>
      <w:hyperlink r:id="rId12" w:history="1">
        <w:r w:rsidR="008629E8" w:rsidRPr="00BA3C5E">
          <w:rPr>
            <w:rStyle w:val="Hyperlink"/>
            <w:rFonts w:eastAsia="Calibri"/>
            <w:szCs w:val="22"/>
            <w:lang w:val="fr-FR" w:eastAsia="zh-CN"/>
          </w:rPr>
          <w:t>www.notifieruneffetindesirable.be</w:t>
        </w:r>
      </w:hyperlink>
    </w:p>
    <w:p w14:paraId="2FFA1D55" w14:textId="53EAEF34" w:rsidR="008629E8" w:rsidRDefault="001B2759" w:rsidP="001B2759">
      <w:pPr>
        <w:rPr>
          <w:rFonts w:eastAsia="Calibri"/>
          <w:szCs w:val="22"/>
          <w:lang w:val="fr-FR" w:eastAsia="zh-CN"/>
        </w:rPr>
      </w:pPr>
      <w:r w:rsidRPr="00BD29FF">
        <w:rPr>
          <w:rFonts w:eastAsia="Calibri"/>
          <w:szCs w:val="22"/>
          <w:lang w:val="fr-FR" w:eastAsia="zh-CN"/>
        </w:rPr>
        <w:t xml:space="preserve">e-mail: </w:t>
      </w:r>
      <w:hyperlink r:id="rId13" w:history="1">
        <w:r w:rsidR="008629E8" w:rsidRPr="00BA3C5E">
          <w:rPr>
            <w:rStyle w:val="Hyperlink"/>
            <w:rFonts w:eastAsia="Calibri"/>
            <w:szCs w:val="22"/>
            <w:lang w:val="fr-FR" w:eastAsia="zh-CN"/>
          </w:rPr>
          <w:t>adr@afmps.be</w:t>
        </w:r>
      </w:hyperlink>
    </w:p>
    <w:p w14:paraId="17CF5612" w14:textId="77777777" w:rsidR="00977B2E" w:rsidRDefault="00977B2E" w:rsidP="00977B2E">
      <w:pPr>
        <w:rPr>
          <w:lang w:val="nl-NL"/>
        </w:rPr>
      </w:pPr>
    </w:p>
    <w:p w14:paraId="2AD6A9F3" w14:textId="7560460F" w:rsidR="00227807" w:rsidRPr="000E3556" w:rsidRDefault="00227807" w:rsidP="00227807">
      <w:pPr>
        <w:rPr>
          <w:b/>
          <w:bCs/>
          <w:szCs w:val="22"/>
          <w:lang w:val="fr-FR"/>
        </w:rPr>
      </w:pPr>
      <w:r w:rsidRPr="000E3556">
        <w:rPr>
          <w:b/>
          <w:bCs/>
          <w:szCs w:val="22"/>
          <w:lang w:val="fr-FR"/>
        </w:rPr>
        <w:t>Luxembourg/Luxemburg</w:t>
      </w:r>
    </w:p>
    <w:p w14:paraId="08428814" w14:textId="77777777" w:rsidR="00227807" w:rsidRPr="00227807" w:rsidRDefault="00227807" w:rsidP="00227807">
      <w:pPr>
        <w:rPr>
          <w:szCs w:val="22"/>
          <w:lang w:val="fr-FR"/>
        </w:rPr>
      </w:pPr>
      <w:r w:rsidRPr="00227807">
        <w:rPr>
          <w:szCs w:val="22"/>
          <w:lang w:val="fr-FR"/>
        </w:rPr>
        <w:t>Centre Régional de Pharmacovigilance de Nancy</w:t>
      </w:r>
    </w:p>
    <w:p w14:paraId="7B6B0E9A" w14:textId="77777777" w:rsidR="00227807" w:rsidRPr="00227807" w:rsidRDefault="00227807" w:rsidP="00227807">
      <w:pPr>
        <w:rPr>
          <w:szCs w:val="22"/>
          <w:lang w:val="fr-FR"/>
        </w:rPr>
      </w:pPr>
      <w:r w:rsidRPr="00227807">
        <w:rPr>
          <w:szCs w:val="22"/>
          <w:lang w:val="fr-FR"/>
        </w:rPr>
        <w:t xml:space="preserve">Bâtiment de Biologie Moléculaire et de </w:t>
      </w:r>
      <w:proofErr w:type="spellStart"/>
      <w:r w:rsidRPr="00227807">
        <w:rPr>
          <w:szCs w:val="22"/>
          <w:lang w:val="fr-FR"/>
        </w:rPr>
        <w:t>Biopathologie</w:t>
      </w:r>
      <w:proofErr w:type="spellEnd"/>
      <w:r w:rsidRPr="00227807">
        <w:rPr>
          <w:szCs w:val="22"/>
          <w:lang w:val="fr-FR"/>
        </w:rPr>
        <w:t xml:space="preserve"> (BBB)</w:t>
      </w:r>
    </w:p>
    <w:p w14:paraId="551C11A5" w14:textId="77777777" w:rsidR="00227807" w:rsidRPr="00227807" w:rsidRDefault="00227807" w:rsidP="00227807">
      <w:pPr>
        <w:rPr>
          <w:szCs w:val="22"/>
          <w:lang w:val="fr-FR"/>
        </w:rPr>
      </w:pPr>
      <w:r w:rsidRPr="00227807">
        <w:rPr>
          <w:szCs w:val="22"/>
          <w:lang w:val="fr-FR"/>
        </w:rPr>
        <w:t>CHRU de Nancy – Hôpitaux de Brabois</w:t>
      </w:r>
    </w:p>
    <w:p w14:paraId="30DDCFC4" w14:textId="77777777" w:rsidR="00227807" w:rsidRPr="00227807" w:rsidRDefault="00227807" w:rsidP="00227807">
      <w:pPr>
        <w:rPr>
          <w:szCs w:val="22"/>
          <w:lang w:val="fr-FR"/>
        </w:rPr>
      </w:pPr>
      <w:r w:rsidRPr="00227807">
        <w:rPr>
          <w:szCs w:val="22"/>
          <w:lang w:val="fr-FR"/>
        </w:rPr>
        <w:t>Rue du Morvan</w:t>
      </w:r>
    </w:p>
    <w:p w14:paraId="49162E26" w14:textId="77777777" w:rsidR="001B2759" w:rsidRDefault="00227807" w:rsidP="00227807">
      <w:pPr>
        <w:rPr>
          <w:szCs w:val="22"/>
          <w:lang w:val="fr-FR"/>
        </w:rPr>
      </w:pPr>
      <w:r w:rsidRPr="00227807">
        <w:rPr>
          <w:szCs w:val="22"/>
          <w:lang w:val="fr-FR"/>
        </w:rPr>
        <w:t xml:space="preserve">54 511 VANDOEUVRE LES NANCY CEDEX </w:t>
      </w:r>
    </w:p>
    <w:p w14:paraId="4F7F4C09" w14:textId="7336E8CF" w:rsidR="00227807" w:rsidRPr="00227807" w:rsidRDefault="00227807" w:rsidP="00227807">
      <w:pPr>
        <w:rPr>
          <w:szCs w:val="22"/>
          <w:lang w:val="fr-FR"/>
        </w:rPr>
      </w:pPr>
      <w:r w:rsidRPr="00227807">
        <w:rPr>
          <w:szCs w:val="22"/>
          <w:lang w:val="fr-FR"/>
        </w:rPr>
        <w:t>Tél  : (+33) 3 83 65 60 85 / 87</w:t>
      </w:r>
    </w:p>
    <w:p w14:paraId="28976BC8" w14:textId="2D9CEF3C" w:rsidR="00227807" w:rsidRDefault="001B2759" w:rsidP="00227807">
      <w:pPr>
        <w:rPr>
          <w:szCs w:val="22"/>
          <w:lang w:val="fr-FR"/>
        </w:rPr>
      </w:pPr>
      <w:r>
        <w:rPr>
          <w:szCs w:val="22"/>
          <w:lang w:val="fr-FR"/>
        </w:rPr>
        <w:t>e</w:t>
      </w:r>
      <w:r w:rsidR="00227807" w:rsidRPr="00227807">
        <w:rPr>
          <w:szCs w:val="22"/>
          <w:lang w:val="fr-FR"/>
        </w:rPr>
        <w:t xml:space="preserve">-mail : </w:t>
      </w:r>
      <w:hyperlink r:id="rId14" w:history="1">
        <w:r w:rsidR="008629E8" w:rsidRPr="00BA3C5E">
          <w:rPr>
            <w:rStyle w:val="Hyperlink"/>
            <w:szCs w:val="22"/>
            <w:lang w:val="fr-FR"/>
          </w:rPr>
          <w:t>crpv@chru-nancy.fr</w:t>
        </w:r>
      </w:hyperlink>
    </w:p>
    <w:p w14:paraId="3C7B17EB" w14:textId="77777777" w:rsidR="008629E8" w:rsidRPr="00227807" w:rsidRDefault="008629E8" w:rsidP="00227807">
      <w:pPr>
        <w:rPr>
          <w:szCs w:val="22"/>
          <w:lang w:val="fr-FR"/>
        </w:rPr>
      </w:pPr>
    </w:p>
    <w:p w14:paraId="540E9373" w14:textId="77777777" w:rsidR="00227807" w:rsidRPr="00227807" w:rsidRDefault="00227807" w:rsidP="00227807">
      <w:pPr>
        <w:rPr>
          <w:szCs w:val="22"/>
          <w:lang w:val="fr-FR"/>
        </w:rPr>
      </w:pPr>
      <w:r w:rsidRPr="00227807">
        <w:rPr>
          <w:szCs w:val="22"/>
          <w:lang w:val="fr-FR"/>
        </w:rPr>
        <w:t>ou</w:t>
      </w:r>
    </w:p>
    <w:p w14:paraId="4E3B7AAB" w14:textId="77777777" w:rsidR="00227807" w:rsidRPr="00227807" w:rsidRDefault="00227807" w:rsidP="00227807">
      <w:pPr>
        <w:rPr>
          <w:szCs w:val="22"/>
          <w:lang w:val="fr-FR"/>
        </w:rPr>
      </w:pPr>
    </w:p>
    <w:p w14:paraId="5ADDCE6E" w14:textId="77777777" w:rsidR="00227807" w:rsidRPr="00227807" w:rsidRDefault="00227807" w:rsidP="00227807">
      <w:pPr>
        <w:rPr>
          <w:szCs w:val="22"/>
          <w:lang w:val="fr-FR"/>
        </w:rPr>
      </w:pPr>
      <w:r w:rsidRPr="00227807">
        <w:rPr>
          <w:szCs w:val="22"/>
          <w:lang w:val="fr-FR"/>
        </w:rPr>
        <w:t>Direction de la Santé</w:t>
      </w:r>
    </w:p>
    <w:p w14:paraId="0A4549C6" w14:textId="77777777" w:rsidR="00227807" w:rsidRPr="00227807" w:rsidRDefault="00227807" w:rsidP="00227807">
      <w:pPr>
        <w:rPr>
          <w:szCs w:val="22"/>
          <w:lang w:val="fr-FR"/>
        </w:rPr>
      </w:pPr>
      <w:r w:rsidRPr="00227807">
        <w:rPr>
          <w:szCs w:val="22"/>
          <w:lang w:val="fr-FR"/>
        </w:rPr>
        <w:t xml:space="preserve">Division de la Pharmacie et des Médicaments </w:t>
      </w:r>
    </w:p>
    <w:p w14:paraId="7472BE18" w14:textId="193F458C" w:rsidR="00227807" w:rsidRPr="00227807" w:rsidRDefault="00227807" w:rsidP="00227807">
      <w:pPr>
        <w:rPr>
          <w:szCs w:val="22"/>
          <w:lang w:val="fr-FR"/>
        </w:rPr>
      </w:pPr>
      <w:r w:rsidRPr="00227807">
        <w:rPr>
          <w:szCs w:val="22"/>
          <w:lang w:val="fr-FR"/>
        </w:rPr>
        <w:t xml:space="preserve">20, rue de </w:t>
      </w:r>
      <w:proofErr w:type="spellStart"/>
      <w:r w:rsidRPr="00227807">
        <w:rPr>
          <w:szCs w:val="22"/>
          <w:lang w:val="fr-FR"/>
        </w:rPr>
        <w:t>Bitbourg</w:t>
      </w:r>
      <w:proofErr w:type="spellEnd"/>
    </w:p>
    <w:p w14:paraId="70F38FB5" w14:textId="77777777" w:rsidR="00227807" w:rsidRPr="00227807" w:rsidRDefault="00227807" w:rsidP="00227807">
      <w:pPr>
        <w:rPr>
          <w:szCs w:val="22"/>
          <w:lang w:val="fr-FR"/>
        </w:rPr>
      </w:pPr>
      <w:r w:rsidRPr="00227807">
        <w:rPr>
          <w:szCs w:val="22"/>
          <w:lang w:val="fr-FR"/>
        </w:rPr>
        <w:t>L-1273 Luxembourg-Hamm</w:t>
      </w:r>
    </w:p>
    <w:p w14:paraId="1DAE9872" w14:textId="2B5BD73D" w:rsidR="00227807" w:rsidRPr="00227807" w:rsidRDefault="00227807" w:rsidP="00227807">
      <w:pPr>
        <w:rPr>
          <w:szCs w:val="22"/>
          <w:lang w:val="fr-FR"/>
        </w:rPr>
      </w:pPr>
      <w:r w:rsidRPr="00227807">
        <w:rPr>
          <w:szCs w:val="22"/>
          <w:lang w:val="fr-FR"/>
        </w:rPr>
        <w:t>Tél. : (+352) 2478 5592</w:t>
      </w:r>
    </w:p>
    <w:p w14:paraId="6238A7AF" w14:textId="39DA6966" w:rsidR="00227807" w:rsidRDefault="001B2759" w:rsidP="00227807">
      <w:pPr>
        <w:rPr>
          <w:szCs w:val="22"/>
          <w:lang w:val="fr-FR"/>
        </w:rPr>
      </w:pPr>
      <w:r>
        <w:rPr>
          <w:szCs w:val="22"/>
          <w:lang w:val="fr-FR"/>
        </w:rPr>
        <w:t>e</w:t>
      </w:r>
      <w:r w:rsidR="00227807" w:rsidRPr="00227807">
        <w:rPr>
          <w:szCs w:val="22"/>
          <w:lang w:val="fr-FR"/>
        </w:rPr>
        <w:t xml:space="preserve">-mail : </w:t>
      </w:r>
      <w:hyperlink r:id="rId15" w:history="1">
        <w:r w:rsidR="008629E8" w:rsidRPr="00BA3C5E">
          <w:rPr>
            <w:rStyle w:val="Hyperlink"/>
            <w:szCs w:val="22"/>
            <w:lang w:val="fr-FR"/>
          </w:rPr>
          <w:t>pharmacovigilance@ms.etat.lu</w:t>
        </w:r>
      </w:hyperlink>
    </w:p>
    <w:p w14:paraId="19773B1A" w14:textId="77777777" w:rsidR="006831BE" w:rsidRDefault="006831BE" w:rsidP="001B2759">
      <w:pPr>
        <w:rPr>
          <w:szCs w:val="22"/>
          <w:lang w:val="fr-FR"/>
        </w:rPr>
      </w:pPr>
    </w:p>
    <w:p w14:paraId="1BA60A46" w14:textId="5CE6B33E" w:rsidR="001B2759" w:rsidRPr="00BD29FF" w:rsidRDefault="00227807" w:rsidP="001B2759">
      <w:pPr>
        <w:rPr>
          <w:lang w:val="fr-FR"/>
        </w:rPr>
      </w:pPr>
      <w:r w:rsidRPr="00227807">
        <w:rPr>
          <w:szCs w:val="22"/>
          <w:lang w:val="fr-FR"/>
        </w:rPr>
        <w:lastRenderedPageBreak/>
        <w:t xml:space="preserve">Link pour le formulaire : </w:t>
      </w:r>
    </w:p>
    <w:p w14:paraId="0BC21A10" w14:textId="77777777" w:rsidR="001B2759" w:rsidRPr="00BD29FF" w:rsidRDefault="008629E8" w:rsidP="001B2759">
      <w:pPr>
        <w:rPr>
          <w:color w:val="1F497D"/>
          <w:szCs w:val="22"/>
          <w:lang w:val="fr-FR"/>
        </w:rPr>
      </w:pPr>
      <w:hyperlink r:id="rId16" w:history="1">
        <w:r w:rsidR="001B2759" w:rsidRPr="00BD29FF">
          <w:rPr>
            <w:rStyle w:val="Hyperlink"/>
            <w:rFonts w:eastAsia="Calibri"/>
            <w:noProof/>
            <w:szCs w:val="22"/>
            <w:lang w:val="fr-FR" w:eastAsia="zh-CN"/>
          </w:rPr>
          <w:t>https://guichet.public.lu/fr/entreprises/sectoriel/sante/medecins/notification-effets-indesirables-medicaments.html</w:t>
        </w:r>
      </w:hyperlink>
    </w:p>
    <w:p w14:paraId="3285C54F" w14:textId="7BB37EA5" w:rsidR="00227807" w:rsidRPr="00BD29FF" w:rsidRDefault="00227807" w:rsidP="00227807">
      <w:pPr>
        <w:rPr>
          <w:szCs w:val="22"/>
          <w:lang w:val="fr-FR"/>
        </w:rPr>
      </w:pPr>
    </w:p>
    <w:p w14:paraId="1778D060" w14:textId="77777777" w:rsidR="00977B2E" w:rsidRPr="00BD29FF" w:rsidRDefault="00977B2E" w:rsidP="000A5BB2">
      <w:pPr>
        <w:rPr>
          <w:szCs w:val="22"/>
          <w:lang w:val="fr-FR"/>
        </w:rPr>
      </w:pPr>
    </w:p>
    <w:p w14:paraId="02DA41EF" w14:textId="77777777" w:rsidR="0070310E" w:rsidRPr="00DC2F2C" w:rsidRDefault="0070310E" w:rsidP="00073C28">
      <w:pPr>
        <w:keepNext/>
        <w:keepLines/>
        <w:suppressLineNumbers/>
        <w:ind w:right="550"/>
        <w:rPr>
          <w:szCs w:val="22"/>
          <w:lang w:val="fr-FR"/>
        </w:rPr>
      </w:pPr>
      <w:r w:rsidRPr="00DC2F2C">
        <w:rPr>
          <w:b/>
          <w:szCs w:val="22"/>
          <w:lang w:val="fr-FR"/>
        </w:rPr>
        <w:t>4.9</w:t>
      </w:r>
      <w:r w:rsidRPr="00DC2F2C">
        <w:rPr>
          <w:b/>
          <w:szCs w:val="22"/>
          <w:lang w:val="fr-FR"/>
        </w:rPr>
        <w:tab/>
      </w:r>
      <w:r w:rsidR="003F7FCF" w:rsidRPr="00DC2F2C">
        <w:rPr>
          <w:b/>
          <w:lang w:val="fr-FR"/>
        </w:rPr>
        <w:t>Surdosage</w:t>
      </w:r>
    </w:p>
    <w:p w14:paraId="0A201803" w14:textId="77777777" w:rsidR="0070310E" w:rsidRPr="00DC2F2C" w:rsidRDefault="0070310E" w:rsidP="009D43DC">
      <w:pPr>
        <w:keepNext/>
        <w:keepLines/>
        <w:numPr>
          <w:ilvl w:val="12"/>
          <w:numId w:val="0"/>
        </w:numPr>
        <w:tabs>
          <w:tab w:val="clear" w:pos="567"/>
        </w:tabs>
        <w:ind w:right="550"/>
        <w:rPr>
          <w:szCs w:val="22"/>
          <w:lang w:val="fr-FR"/>
        </w:rPr>
      </w:pPr>
    </w:p>
    <w:p w14:paraId="0C45E8B0" w14:textId="77777777" w:rsidR="00573311" w:rsidRPr="00DC2F2C" w:rsidRDefault="00366047" w:rsidP="000A5BB2">
      <w:pPr>
        <w:rPr>
          <w:rFonts w:eastAsia="Calibri"/>
          <w:lang w:val="fr-FR"/>
        </w:rPr>
      </w:pPr>
      <w:r w:rsidRPr="00DC2F2C">
        <w:rPr>
          <w:rFonts w:eastAsia="Calibri"/>
          <w:lang w:val="fr-FR"/>
        </w:rPr>
        <w:t>Deux</w:t>
      </w:r>
      <w:r w:rsidR="00573311" w:rsidRPr="00DC2F2C">
        <w:rPr>
          <w:rFonts w:eastAsia="Calibri"/>
          <w:lang w:val="fr-FR"/>
        </w:rPr>
        <w:t xml:space="preserve"> patients </w:t>
      </w:r>
      <w:r w:rsidRPr="00DC2F2C">
        <w:rPr>
          <w:rFonts w:eastAsia="Calibri"/>
          <w:lang w:val="fr-FR"/>
        </w:rPr>
        <w:t>ont reçu des doses</w:t>
      </w:r>
      <w:r w:rsidR="00573311" w:rsidRPr="00DC2F2C">
        <w:rPr>
          <w:rFonts w:eastAsia="Calibri"/>
          <w:lang w:val="fr-FR"/>
        </w:rPr>
        <w:t xml:space="preserve"> excessive</w:t>
      </w:r>
      <w:r w:rsidRPr="00DC2F2C">
        <w:rPr>
          <w:rFonts w:eastAsia="Calibri"/>
          <w:lang w:val="fr-FR"/>
        </w:rPr>
        <w:t>s</w:t>
      </w:r>
      <w:r w:rsidR="00573311" w:rsidRPr="00DC2F2C">
        <w:rPr>
          <w:rFonts w:eastAsia="Calibri"/>
          <w:lang w:val="fr-FR"/>
        </w:rPr>
        <w:t xml:space="preserve"> </w:t>
      </w:r>
      <w:r w:rsidRPr="00DC2F2C">
        <w:rPr>
          <w:rFonts w:eastAsia="Calibri"/>
          <w:lang w:val="fr-FR"/>
        </w:rPr>
        <w:t>de</w:t>
      </w:r>
      <w:r w:rsidR="00573311" w:rsidRPr="00DC2F2C">
        <w:rPr>
          <w:rFonts w:eastAsia="Calibri"/>
          <w:lang w:val="fr-FR"/>
        </w:rPr>
        <w:t xml:space="preserve"> </w:t>
      </w:r>
      <w:proofErr w:type="spellStart"/>
      <w:r w:rsidR="005F4D84" w:rsidRPr="00DC2F2C">
        <w:rPr>
          <w:rFonts w:eastAsia="Calibri"/>
          <w:lang w:val="fr-FR"/>
        </w:rPr>
        <w:t>tivozanib</w:t>
      </w:r>
      <w:proofErr w:type="spellEnd"/>
      <w:r w:rsidR="00573311" w:rsidRPr="00DC2F2C">
        <w:rPr>
          <w:rFonts w:eastAsia="Calibri"/>
          <w:lang w:val="fr-FR"/>
        </w:rPr>
        <w:t xml:space="preserve"> </w:t>
      </w:r>
      <w:r w:rsidRPr="00DC2F2C">
        <w:rPr>
          <w:rFonts w:eastAsia="Calibri"/>
          <w:lang w:val="fr-FR"/>
        </w:rPr>
        <w:t>pendant les études portant sur l</w:t>
      </w:r>
      <w:r w:rsidR="0045407A" w:rsidRPr="00DC2F2C">
        <w:rPr>
          <w:rFonts w:eastAsia="Calibri"/>
          <w:lang w:val="fr-FR"/>
        </w:rPr>
        <w:t xml:space="preserve">e </w:t>
      </w:r>
      <w:proofErr w:type="spellStart"/>
      <w:r w:rsidR="0045407A" w:rsidRPr="00DC2F2C">
        <w:rPr>
          <w:rFonts w:eastAsia="Calibri"/>
          <w:lang w:val="fr-FR"/>
        </w:rPr>
        <w:t>tivozanb</w:t>
      </w:r>
      <w:proofErr w:type="spellEnd"/>
      <w:r w:rsidR="0045407A" w:rsidRPr="00DC2F2C">
        <w:rPr>
          <w:rFonts w:eastAsia="Calibri"/>
          <w:lang w:val="fr-FR"/>
        </w:rPr>
        <w:t xml:space="preserve"> en </w:t>
      </w:r>
      <w:r w:rsidRPr="00DC2F2C">
        <w:rPr>
          <w:rFonts w:eastAsia="Calibri"/>
          <w:lang w:val="fr-FR"/>
        </w:rPr>
        <w:t xml:space="preserve"> monothérapie. Un</w:t>
      </w:r>
      <w:r w:rsidR="00573311" w:rsidRPr="00DC2F2C">
        <w:rPr>
          <w:rFonts w:eastAsia="Calibri"/>
          <w:lang w:val="fr-FR"/>
        </w:rPr>
        <w:t xml:space="preserve"> patient </w:t>
      </w:r>
      <w:r w:rsidRPr="00DC2F2C">
        <w:rPr>
          <w:rFonts w:eastAsia="Calibri"/>
          <w:lang w:val="fr-FR"/>
        </w:rPr>
        <w:t>ayant des antécédents d’</w:t>
      </w:r>
      <w:r w:rsidR="00573311" w:rsidRPr="00DC2F2C">
        <w:rPr>
          <w:rFonts w:eastAsia="Calibri"/>
          <w:lang w:val="fr-FR"/>
        </w:rPr>
        <w:t>hypertension</w:t>
      </w:r>
      <w:r w:rsidRPr="00DC2F2C">
        <w:rPr>
          <w:rFonts w:eastAsia="Calibri"/>
          <w:lang w:val="fr-FR"/>
        </w:rPr>
        <w:t xml:space="preserve"> artérielle a présenté une aggravation d’hypertension non contrôlée</w:t>
      </w:r>
      <w:r w:rsidR="00573311" w:rsidRPr="00DC2F2C">
        <w:rPr>
          <w:rFonts w:eastAsia="Calibri"/>
          <w:lang w:val="fr-FR"/>
        </w:rPr>
        <w:t xml:space="preserve"> </w:t>
      </w:r>
      <w:r w:rsidRPr="00DC2F2C">
        <w:rPr>
          <w:rFonts w:eastAsia="Calibri"/>
          <w:lang w:val="fr-FR"/>
        </w:rPr>
        <w:t>qui s’est avérée fatale après la prise de</w:t>
      </w:r>
      <w:r w:rsidR="00573311" w:rsidRPr="00DC2F2C">
        <w:rPr>
          <w:rFonts w:eastAsia="Calibri"/>
          <w:lang w:val="fr-FR"/>
        </w:rPr>
        <w:t xml:space="preserve"> 3</w:t>
      </w:r>
      <w:r w:rsidR="00DF6F93" w:rsidRPr="00DC2F2C">
        <w:rPr>
          <w:rFonts w:eastAsia="Calibri"/>
          <w:lang w:val="fr-FR"/>
        </w:rPr>
        <w:t> </w:t>
      </w:r>
      <w:r w:rsidR="00573311" w:rsidRPr="00DC2F2C">
        <w:rPr>
          <w:rFonts w:eastAsia="Calibri"/>
          <w:lang w:val="fr-FR"/>
        </w:rPr>
        <w:t xml:space="preserve">doses </w:t>
      </w:r>
      <w:r w:rsidRPr="00DC2F2C">
        <w:rPr>
          <w:rFonts w:eastAsia="Calibri"/>
          <w:lang w:val="fr-FR"/>
        </w:rPr>
        <w:t xml:space="preserve">de </w:t>
      </w:r>
      <w:proofErr w:type="spellStart"/>
      <w:r w:rsidRPr="00DC2F2C">
        <w:rPr>
          <w:rFonts w:eastAsia="Calibri"/>
          <w:lang w:val="fr-FR"/>
        </w:rPr>
        <w:t>tivozanib</w:t>
      </w:r>
      <w:proofErr w:type="spellEnd"/>
      <w:r w:rsidRPr="00DC2F2C">
        <w:rPr>
          <w:rFonts w:eastAsia="Calibri"/>
          <w:lang w:val="fr-FR"/>
        </w:rPr>
        <w:t xml:space="preserve"> à</w:t>
      </w:r>
      <w:r w:rsidR="00573311" w:rsidRPr="00DC2F2C">
        <w:rPr>
          <w:rFonts w:eastAsia="Calibri"/>
          <w:lang w:val="fr-FR"/>
        </w:rPr>
        <w:t xml:space="preserve"> 1</w:t>
      </w:r>
      <w:r w:rsidRPr="00DC2F2C">
        <w:rPr>
          <w:rFonts w:eastAsia="Calibri"/>
          <w:lang w:val="fr-FR"/>
        </w:rPr>
        <w:t> </w:t>
      </w:r>
      <w:r w:rsidR="005F4D84" w:rsidRPr="00DC2F2C">
        <w:rPr>
          <w:rFonts w:eastAsia="Calibri"/>
          <w:lang w:val="fr-FR"/>
        </w:rPr>
        <w:t>340</w:t>
      </w:r>
      <w:r w:rsidR="00DF6F93" w:rsidRPr="00DC2F2C">
        <w:rPr>
          <w:rFonts w:eastAsia="Calibri"/>
          <w:lang w:val="fr-FR"/>
        </w:rPr>
        <w:t> </w:t>
      </w:r>
      <w:r w:rsidR="00573311" w:rsidRPr="00DC2F2C">
        <w:rPr>
          <w:rFonts w:eastAsia="Calibri"/>
          <w:lang w:val="fr-FR"/>
        </w:rPr>
        <w:t>m</w:t>
      </w:r>
      <w:r w:rsidR="005F4D84" w:rsidRPr="00DC2F2C">
        <w:rPr>
          <w:rFonts w:eastAsia="Calibri"/>
          <w:lang w:val="fr-FR"/>
        </w:rPr>
        <w:t>icro</w:t>
      </w:r>
      <w:r w:rsidR="00573311" w:rsidRPr="00DC2F2C">
        <w:rPr>
          <w:rFonts w:eastAsia="Calibri"/>
          <w:lang w:val="fr-FR"/>
        </w:rPr>
        <w:t>g</w:t>
      </w:r>
      <w:r w:rsidR="005F4D84" w:rsidRPr="00DC2F2C">
        <w:rPr>
          <w:rFonts w:eastAsia="Calibri"/>
          <w:lang w:val="fr-FR"/>
        </w:rPr>
        <w:t>ram</w:t>
      </w:r>
      <w:r w:rsidRPr="00DC2F2C">
        <w:rPr>
          <w:rFonts w:eastAsia="Calibri"/>
          <w:lang w:val="fr-FR"/>
        </w:rPr>
        <w:t>mes sur une seule journée</w:t>
      </w:r>
      <w:r w:rsidR="00573311" w:rsidRPr="00DC2F2C">
        <w:rPr>
          <w:rFonts w:eastAsia="Calibri"/>
          <w:lang w:val="fr-FR"/>
        </w:rPr>
        <w:t xml:space="preserve"> (</w:t>
      </w:r>
      <w:r w:rsidRPr="00DC2F2C">
        <w:rPr>
          <w:rFonts w:eastAsia="Calibri"/>
          <w:lang w:val="fr-FR"/>
        </w:rPr>
        <w:t>soit</w:t>
      </w:r>
      <w:r w:rsidR="00573311" w:rsidRPr="00DC2F2C">
        <w:rPr>
          <w:rFonts w:eastAsia="Calibri"/>
          <w:lang w:val="fr-FR"/>
        </w:rPr>
        <w:t xml:space="preserve"> 4</w:t>
      </w:r>
      <w:r w:rsidRPr="00DC2F2C">
        <w:rPr>
          <w:rFonts w:eastAsia="Calibri"/>
          <w:lang w:val="fr-FR"/>
        </w:rPr>
        <w:t> </w:t>
      </w:r>
      <w:r w:rsidR="005F4D84" w:rsidRPr="00DC2F2C">
        <w:rPr>
          <w:rFonts w:eastAsia="Calibri"/>
          <w:lang w:val="fr-FR"/>
        </w:rPr>
        <w:t>020</w:t>
      </w:r>
      <w:r w:rsidR="00DF6F93" w:rsidRPr="00DC2F2C">
        <w:rPr>
          <w:rFonts w:eastAsia="Calibri"/>
          <w:lang w:val="fr-FR"/>
        </w:rPr>
        <w:t> </w:t>
      </w:r>
      <w:r w:rsidR="00573311" w:rsidRPr="00DC2F2C">
        <w:rPr>
          <w:rFonts w:eastAsia="Calibri"/>
          <w:lang w:val="fr-FR"/>
        </w:rPr>
        <w:t>m</w:t>
      </w:r>
      <w:r w:rsidR="005F4D84" w:rsidRPr="00DC2F2C">
        <w:rPr>
          <w:rFonts w:eastAsia="Calibri"/>
          <w:lang w:val="fr-FR"/>
        </w:rPr>
        <w:t>icro</w:t>
      </w:r>
      <w:r w:rsidR="00573311" w:rsidRPr="00DC2F2C">
        <w:rPr>
          <w:rFonts w:eastAsia="Calibri"/>
          <w:lang w:val="fr-FR"/>
        </w:rPr>
        <w:t>g</w:t>
      </w:r>
      <w:r w:rsidR="005F4D84" w:rsidRPr="00DC2F2C">
        <w:rPr>
          <w:rFonts w:eastAsia="Calibri"/>
          <w:lang w:val="fr-FR"/>
        </w:rPr>
        <w:t>ram</w:t>
      </w:r>
      <w:r w:rsidRPr="00DC2F2C">
        <w:rPr>
          <w:rFonts w:eastAsia="Calibri"/>
          <w:lang w:val="fr-FR"/>
        </w:rPr>
        <w:t xml:space="preserve">mes au total). Le second patient </w:t>
      </w:r>
      <w:r w:rsidR="008F3364" w:rsidRPr="00DC2F2C">
        <w:rPr>
          <w:rFonts w:eastAsia="Calibri"/>
          <w:lang w:val="fr-FR"/>
        </w:rPr>
        <w:t>qui a</w:t>
      </w:r>
      <w:r w:rsidRPr="00DC2F2C">
        <w:rPr>
          <w:rFonts w:eastAsia="Calibri"/>
          <w:lang w:val="fr-FR"/>
        </w:rPr>
        <w:t xml:space="preserve"> pris </w:t>
      </w:r>
      <w:r w:rsidR="00573311" w:rsidRPr="00DC2F2C">
        <w:rPr>
          <w:rFonts w:eastAsia="Calibri"/>
          <w:lang w:val="fr-FR"/>
        </w:rPr>
        <w:t>2</w:t>
      </w:r>
      <w:r w:rsidR="00DF6F93" w:rsidRPr="00DC2F2C">
        <w:rPr>
          <w:rFonts w:eastAsia="Calibri"/>
          <w:lang w:val="fr-FR"/>
        </w:rPr>
        <w:t> </w:t>
      </w:r>
      <w:r w:rsidR="00573311" w:rsidRPr="00DC2F2C">
        <w:rPr>
          <w:rFonts w:eastAsia="Calibri"/>
          <w:lang w:val="fr-FR"/>
        </w:rPr>
        <w:t xml:space="preserve">doses </w:t>
      </w:r>
      <w:r w:rsidRPr="00DC2F2C">
        <w:rPr>
          <w:rFonts w:eastAsia="Calibri"/>
          <w:lang w:val="fr-FR"/>
        </w:rPr>
        <w:t>de</w:t>
      </w:r>
      <w:r w:rsidR="00573311" w:rsidRPr="00DC2F2C">
        <w:rPr>
          <w:rFonts w:eastAsia="Calibri"/>
          <w:lang w:val="fr-FR"/>
        </w:rPr>
        <w:t xml:space="preserve"> </w:t>
      </w:r>
      <w:proofErr w:type="spellStart"/>
      <w:r w:rsidRPr="00DC2F2C">
        <w:rPr>
          <w:rFonts w:eastAsia="Calibri"/>
          <w:lang w:val="fr-FR"/>
        </w:rPr>
        <w:t>tivozanib</w:t>
      </w:r>
      <w:proofErr w:type="spellEnd"/>
      <w:r w:rsidRPr="00DC2F2C">
        <w:rPr>
          <w:rFonts w:eastAsia="Calibri"/>
          <w:lang w:val="fr-FR"/>
        </w:rPr>
        <w:t xml:space="preserve"> à </w:t>
      </w:r>
      <w:r w:rsidR="00573311" w:rsidRPr="00DC2F2C">
        <w:rPr>
          <w:rFonts w:eastAsia="Calibri"/>
          <w:lang w:val="fr-FR"/>
        </w:rPr>
        <w:t>1</w:t>
      </w:r>
      <w:r w:rsidRPr="00DC2F2C">
        <w:rPr>
          <w:rFonts w:eastAsia="Calibri"/>
          <w:lang w:val="fr-FR"/>
        </w:rPr>
        <w:t> </w:t>
      </w:r>
      <w:r w:rsidR="005F4D84" w:rsidRPr="00DC2F2C">
        <w:rPr>
          <w:rFonts w:eastAsia="Calibri"/>
          <w:lang w:val="fr-FR"/>
        </w:rPr>
        <w:t>340</w:t>
      </w:r>
      <w:r w:rsidR="00DF6F93" w:rsidRPr="00DC2F2C">
        <w:rPr>
          <w:rFonts w:eastAsia="Calibri"/>
          <w:lang w:val="fr-FR"/>
        </w:rPr>
        <w:t> </w:t>
      </w:r>
      <w:r w:rsidR="00573311" w:rsidRPr="00DC2F2C">
        <w:rPr>
          <w:rFonts w:eastAsia="Calibri"/>
          <w:lang w:val="fr-FR"/>
        </w:rPr>
        <w:t>m</w:t>
      </w:r>
      <w:r w:rsidR="005F4D84" w:rsidRPr="00DC2F2C">
        <w:rPr>
          <w:rFonts w:eastAsia="Calibri"/>
          <w:lang w:val="fr-FR"/>
        </w:rPr>
        <w:t>icro</w:t>
      </w:r>
      <w:r w:rsidR="00573311" w:rsidRPr="00DC2F2C">
        <w:rPr>
          <w:rFonts w:eastAsia="Calibri"/>
          <w:lang w:val="fr-FR"/>
        </w:rPr>
        <w:t>g</w:t>
      </w:r>
      <w:r w:rsidR="005F4D84" w:rsidRPr="00DC2F2C">
        <w:rPr>
          <w:rFonts w:eastAsia="Calibri"/>
          <w:lang w:val="fr-FR"/>
        </w:rPr>
        <w:t>ram</w:t>
      </w:r>
      <w:r w:rsidRPr="00DC2F2C">
        <w:rPr>
          <w:rFonts w:eastAsia="Calibri"/>
          <w:lang w:val="fr-FR"/>
        </w:rPr>
        <w:t>mes sur une seule journée</w:t>
      </w:r>
      <w:r w:rsidR="00573311" w:rsidRPr="00DC2F2C">
        <w:rPr>
          <w:rFonts w:eastAsia="Calibri"/>
          <w:lang w:val="fr-FR"/>
        </w:rPr>
        <w:t xml:space="preserve"> (</w:t>
      </w:r>
      <w:r w:rsidRPr="00DC2F2C">
        <w:rPr>
          <w:rFonts w:eastAsia="Calibri"/>
          <w:lang w:val="fr-FR"/>
        </w:rPr>
        <w:t>soit</w:t>
      </w:r>
      <w:r w:rsidR="00573311" w:rsidRPr="00DC2F2C">
        <w:rPr>
          <w:rFonts w:eastAsia="Calibri"/>
          <w:lang w:val="fr-FR"/>
        </w:rPr>
        <w:t xml:space="preserve"> </w:t>
      </w:r>
      <w:r w:rsidR="005F4D84" w:rsidRPr="00DC2F2C">
        <w:rPr>
          <w:rFonts w:eastAsia="Calibri"/>
          <w:lang w:val="fr-FR"/>
        </w:rPr>
        <w:t>2</w:t>
      </w:r>
      <w:r w:rsidRPr="00DC2F2C">
        <w:rPr>
          <w:rFonts w:eastAsia="Calibri"/>
          <w:lang w:val="fr-FR"/>
        </w:rPr>
        <w:t> </w:t>
      </w:r>
      <w:r w:rsidR="005F4D84" w:rsidRPr="00DC2F2C">
        <w:rPr>
          <w:rFonts w:eastAsia="Calibri"/>
          <w:lang w:val="fr-FR"/>
        </w:rPr>
        <w:t>68</w:t>
      </w:r>
      <w:r w:rsidR="00573311" w:rsidRPr="00DC2F2C">
        <w:rPr>
          <w:rFonts w:eastAsia="Calibri"/>
          <w:lang w:val="fr-FR"/>
        </w:rPr>
        <w:t>0</w:t>
      </w:r>
      <w:r w:rsidR="00DF6F93" w:rsidRPr="00DC2F2C">
        <w:rPr>
          <w:rFonts w:eastAsia="Calibri"/>
          <w:lang w:val="fr-FR"/>
        </w:rPr>
        <w:t> </w:t>
      </w:r>
      <w:r w:rsidR="00573311" w:rsidRPr="00DC2F2C">
        <w:rPr>
          <w:rFonts w:eastAsia="Calibri"/>
          <w:lang w:val="fr-FR"/>
        </w:rPr>
        <w:t>m</w:t>
      </w:r>
      <w:r w:rsidR="005F4D84" w:rsidRPr="00DC2F2C">
        <w:rPr>
          <w:rFonts w:eastAsia="Calibri"/>
          <w:lang w:val="fr-FR"/>
        </w:rPr>
        <w:t>icro</w:t>
      </w:r>
      <w:r w:rsidR="00573311" w:rsidRPr="00DC2F2C">
        <w:rPr>
          <w:rFonts w:eastAsia="Calibri"/>
          <w:lang w:val="fr-FR"/>
        </w:rPr>
        <w:t>g</w:t>
      </w:r>
      <w:r w:rsidR="005F4D84" w:rsidRPr="00DC2F2C">
        <w:rPr>
          <w:rFonts w:eastAsia="Calibri"/>
          <w:lang w:val="fr-FR"/>
        </w:rPr>
        <w:t>ram</w:t>
      </w:r>
      <w:r w:rsidRPr="00DC2F2C">
        <w:rPr>
          <w:rFonts w:eastAsia="Calibri"/>
          <w:lang w:val="fr-FR"/>
        </w:rPr>
        <w:t>mes au total</w:t>
      </w:r>
      <w:r w:rsidR="00573311" w:rsidRPr="00DC2F2C">
        <w:rPr>
          <w:rFonts w:eastAsia="Calibri"/>
          <w:lang w:val="fr-FR"/>
        </w:rPr>
        <w:t>)</w:t>
      </w:r>
      <w:r w:rsidRPr="00DC2F2C">
        <w:rPr>
          <w:rFonts w:eastAsia="Calibri"/>
          <w:lang w:val="fr-FR"/>
        </w:rPr>
        <w:t xml:space="preserve"> n’a présenté aucun effet indésirable</w:t>
      </w:r>
      <w:r w:rsidR="00573311" w:rsidRPr="00DC2F2C">
        <w:rPr>
          <w:rFonts w:eastAsia="Calibri"/>
          <w:lang w:val="fr-FR"/>
        </w:rPr>
        <w:t xml:space="preserve">. </w:t>
      </w:r>
    </w:p>
    <w:p w14:paraId="70FC57E1" w14:textId="77777777" w:rsidR="0070310E" w:rsidRPr="00DC2F2C" w:rsidRDefault="00206947" w:rsidP="000A5BB2">
      <w:pPr>
        <w:rPr>
          <w:lang w:val="fr-FR"/>
        </w:rPr>
      </w:pPr>
      <w:r w:rsidRPr="00DC2F2C">
        <w:rPr>
          <w:lang w:val="fr-FR"/>
        </w:rPr>
        <w:t xml:space="preserve">La pression artérielle doit être bien contrôlée avant le début du traitement par </w:t>
      </w:r>
      <w:proofErr w:type="spellStart"/>
      <w:r w:rsidRPr="00DC2F2C">
        <w:rPr>
          <w:lang w:val="fr-FR"/>
        </w:rPr>
        <w:t>tivozanib</w:t>
      </w:r>
      <w:proofErr w:type="spellEnd"/>
      <w:r w:rsidRPr="00DC2F2C">
        <w:rPr>
          <w:rFonts w:eastAsia="Calibri"/>
          <w:lang w:val="fr-FR"/>
        </w:rPr>
        <w:t xml:space="preserve"> et, pendant le traitement, les </w:t>
      </w:r>
      <w:r w:rsidR="00573311" w:rsidRPr="00DC2F2C">
        <w:rPr>
          <w:rFonts w:eastAsia="Calibri"/>
          <w:lang w:val="fr-FR"/>
        </w:rPr>
        <w:t xml:space="preserve">patients </w:t>
      </w:r>
      <w:r w:rsidRPr="00DC2F2C">
        <w:rPr>
          <w:lang w:val="fr-FR"/>
        </w:rPr>
        <w:t xml:space="preserve">doivent être </w:t>
      </w:r>
      <w:r w:rsidR="009D75BE" w:rsidRPr="00DC2F2C">
        <w:rPr>
          <w:lang w:val="fr-FR"/>
        </w:rPr>
        <w:t>surveillés</w:t>
      </w:r>
      <w:r w:rsidRPr="00DC2F2C">
        <w:rPr>
          <w:lang w:val="fr-FR"/>
        </w:rPr>
        <w:t xml:space="preserve"> afin de détecter la survenue d’une hypertension artérielle</w:t>
      </w:r>
      <w:r w:rsidRPr="00DC2F2C">
        <w:rPr>
          <w:rFonts w:eastAsia="Calibri"/>
          <w:lang w:val="fr-FR"/>
        </w:rPr>
        <w:t xml:space="preserve"> </w:t>
      </w:r>
      <w:r w:rsidR="00573311" w:rsidRPr="00DC2F2C">
        <w:rPr>
          <w:rFonts w:eastAsia="Calibri"/>
          <w:lang w:val="fr-FR"/>
        </w:rPr>
        <w:t>(</w:t>
      </w:r>
      <w:r w:rsidR="002D6EE5" w:rsidRPr="00DC2F2C">
        <w:rPr>
          <w:lang w:val="fr-FR"/>
        </w:rPr>
        <w:t xml:space="preserve">voir rubrique </w:t>
      </w:r>
      <w:r w:rsidR="00573311" w:rsidRPr="00DC2F2C">
        <w:rPr>
          <w:rFonts w:eastAsia="Calibri"/>
          <w:lang w:val="fr-FR"/>
        </w:rPr>
        <w:t>4.4).</w:t>
      </w:r>
    </w:p>
    <w:p w14:paraId="1BC44D47" w14:textId="77777777" w:rsidR="0070310E" w:rsidRPr="00DC2F2C" w:rsidRDefault="0070310E" w:rsidP="009D43DC">
      <w:pPr>
        <w:numPr>
          <w:ilvl w:val="12"/>
          <w:numId w:val="0"/>
        </w:numPr>
        <w:tabs>
          <w:tab w:val="clear" w:pos="567"/>
        </w:tabs>
        <w:ind w:right="549"/>
        <w:rPr>
          <w:rFonts w:eastAsia="MS Mincho"/>
          <w:szCs w:val="22"/>
          <w:lang w:val="fr-FR"/>
        </w:rPr>
      </w:pPr>
    </w:p>
    <w:p w14:paraId="54D55703" w14:textId="77777777" w:rsidR="0070310E" w:rsidRPr="00DC2F2C" w:rsidRDefault="00D67946" w:rsidP="000A5BB2">
      <w:pPr>
        <w:rPr>
          <w:rFonts w:eastAsia="MS Mincho"/>
          <w:lang w:val="fr-FR"/>
        </w:rPr>
      </w:pPr>
      <w:r w:rsidRPr="00DC2F2C">
        <w:rPr>
          <w:rFonts w:eastAsia="MS Mincho"/>
          <w:lang w:val="fr-FR"/>
        </w:rPr>
        <w:t>En cas de suspicion de surdosage</w:t>
      </w:r>
      <w:r w:rsidR="0070310E" w:rsidRPr="00DC2F2C">
        <w:rPr>
          <w:rFonts w:eastAsia="MS Mincho"/>
          <w:lang w:val="fr-FR"/>
        </w:rPr>
        <w:t xml:space="preserve">, </w:t>
      </w:r>
      <w:r w:rsidRPr="00DC2F2C">
        <w:rPr>
          <w:rFonts w:eastAsia="MS Mincho"/>
          <w:lang w:val="fr-FR"/>
        </w:rPr>
        <w:t xml:space="preserve">le traitement par </w:t>
      </w:r>
      <w:proofErr w:type="spellStart"/>
      <w:r w:rsidR="005F4D84" w:rsidRPr="00DC2F2C">
        <w:rPr>
          <w:rFonts w:eastAsia="MS Mincho"/>
          <w:lang w:val="fr-FR"/>
        </w:rPr>
        <w:t>tivozanib</w:t>
      </w:r>
      <w:proofErr w:type="spellEnd"/>
      <w:r w:rsidR="0070310E" w:rsidRPr="00DC2F2C">
        <w:rPr>
          <w:rFonts w:eastAsia="MS Mincho"/>
          <w:lang w:val="fr-FR"/>
        </w:rPr>
        <w:t xml:space="preserve"> </w:t>
      </w:r>
      <w:r w:rsidRPr="00DC2F2C">
        <w:rPr>
          <w:rFonts w:eastAsia="MS Mincho"/>
          <w:lang w:val="fr-FR"/>
        </w:rPr>
        <w:t xml:space="preserve">doit être arrêté et </w:t>
      </w:r>
      <w:r w:rsidR="006D5BD9" w:rsidRPr="00DC2F2C">
        <w:rPr>
          <w:rFonts w:eastAsia="MS Mincho"/>
          <w:lang w:val="fr-FR"/>
        </w:rPr>
        <w:t xml:space="preserve">le patient doit être </w:t>
      </w:r>
      <w:r w:rsidR="009D75BE" w:rsidRPr="00DC2F2C">
        <w:rPr>
          <w:rFonts w:eastAsia="MS Mincho"/>
          <w:lang w:val="fr-FR"/>
        </w:rPr>
        <w:t>surveillé</w:t>
      </w:r>
      <w:r w:rsidR="0070310E" w:rsidRPr="00DC2F2C">
        <w:rPr>
          <w:rFonts w:eastAsia="MS Mincho"/>
          <w:lang w:val="fr-FR"/>
        </w:rPr>
        <w:t xml:space="preserve"> </w:t>
      </w:r>
      <w:r w:rsidR="00B15A9B" w:rsidRPr="00DC2F2C">
        <w:rPr>
          <w:rFonts w:eastAsia="MS Mincho"/>
          <w:lang w:val="fr-FR"/>
        </w:rPr>
        <w:t>a</w:t>
      </w:r>
      <w:r w:rsidR="006D5BD9" w:rsidRPr="00DC2F2C">
        <w:rPr>
          <w:lang w:val="fr-FR"/>
        </w:rPr>
        <w:t>fin de détecter la survenue d’une hypertension artérielle</w:t>
      </w:r>
      <w:r w:rsidR="006D5BD9" w:rsidRPr="00DC2F2C">
        <w:rPr>
          <w:rFonts w:eastAsia="Calibri"/>
          <w:lang w:val="fr-FR"/>
        </w:rPr>
        <w:t xml:space="preserve"> </w:t>
      </w:r>
      <w:r w:rsidR="006D5BD9" w:rsidRPr="00DC2F2C">
        <w:rPr>
          <w:rFonts w:eastAsia="MS Mincho"/>
          <w:lang w:val="fr-FR"/>
        </w:rPr>
        <w:t>et traité si nécessaire</w:t>
      </w:r>
      <w:r w:rsidR="0070310E" w:rsidRPr="00DC2F2C">
        <w:rPr>
          <w:rFonts w:eastAsia="MS Mincho"/>
          <w:lang w:val="fr-FR"/>
        </w:rPr>
        <w:t xml:space="preserve"> </w:t>
      </w:r>
      <w:r w:rsidR="006D5BD9" w:rsidRPr="00DC2F2C">
        <w:rPr>
          <w:lang w:val="fr-FR"/>
        </w:rPr>
        <w:t>avec un traitement antihypertenseur</w:t>
      </w:r>
      <w:r w:rsidR="0070310E" w:rsidRPr="00DC2F2C">
        <w:rPr>
          <w:rFonts w:eastAsia="MS Mincho"/>
          <w:lang w:val="fr-FR"/>
        </w:rPr>
        <w:t>.</w:t>
      </w:r>
    </w:p>
    <w:p w14:paraId="1777ED1A" w14:textId="77777777" w:rsidR="00B159D1" w:rsidRPr="00DC2F2C" w:rsidRDefault="006D5BD9" w:rsidP="000A5BB2">
      <w:pPr>
        <w:rPr>
          <w:rFonts w:eastAsia="MS Mincho"/>
          <w:u w:val="double"/>
          <w:lang w:val="fr-FR"/>
        </w:rPr>
      </w:pPr>
      <w:r w:rsidRPr="00DC2F2C">
        <w:rPr>
          <w:lang w:val="fr-FR"/>
        </w:rPr>
        <w:t>Il n’y a pas de traitement spécifique ni d’</w:t>
      </w:r>
      <w:r w:rsidR="004A5990" w:rsidRPr="00DC2F2C">
        <w:rPr>
          <w:lang w:val="fr-FR"/>
        </w:rPr>
        <w:t xml:space="preserve">antidote </w:t>
      </w:r>
      <w:r w:rsidRPr="00DC2F2C">
        <w:rPr>
          <w:lang w:val="fr-FR"/>
        </w:rPr>
        <w:t>en cas de surdosage en</w:t>
      </w:r>
      <w:r w:rsidR="004A5990" w:rsidRPr="00DC2F2C">
        <w:rPr>
          <w:lang w:val="fr-FR"/>
        </w:rPr>
        <w:t xml:space="preserve"> </w:t>
      </w:r>
      <w:proofErr w:type="spellStart"/>
      <w:r w:rsidR="005F4D84" w:rsidRPr="00DC2F2C">
        <w:rPr>
          <w:lang w:val="fr-FR"/>
        </w:rPr>
        <w:t>tivozanib</w:t>
      </w:r>
      <w:proofErr w:type="spellEnd"/>
      <w:r w:rsidR="004A5990" w:rsidRPr="00DC2F2C">
        <w:rPr>
          <w:lang w:val="fr-FR"/>
        </w:rPr>
        <w:t>.</w:t>
      </w:r>
    </w:p>
    <w:p w14:paraId="6ECFBE35" w14:textId="77777777" w:rsidR="00984B70" w:rsidRPr="00DC2F2C" w:rsidRDefault="00984B70" w:rsidP="009D43DC">
      <w:pPr>
        <w:numPr>
          <w:ilvl w:val="12"/>
          <w:numId w:val="0"/>
        </w:numPr>
        <w:tabs>
          <w:tab w:val="clear" w:pos="567"/>
        </w:tabs>
        <w:ind w:right="549"/>
        <w:rPr>
          <w:rFonts w:eastAsia="MS Mincho"/>
          <w:szCs w:val="22"/>
          <w:u w:val="double"/>
          <w:lang w:val="fr-FR"/>
        </w:rPr>
      </w:pPr>
    </w:p>
    <w:p w14:paraId="32C0E733" w14:textId="77777777" w:rsidR="000C1BA5" w:rsidRPr="00DC2F2C" w:rsidRDefault="000C1BA5" w:rsidP="000C1BA5">
      <w:pPr>
        <w:numPr>
          <w:ilvl w:val="12"/>
          <w:numId w:val="0"/>
        </w:numPr>
        <w:tabs>
          <w:tab w:val="clear" w:pos="567"/>
        </w:tabs>
        <w:ind w:right="549"/>
        <w:rPr>
          <w:b/>
          <w:szCs w:val="22"/>
          <w:lang w:val="fr-FR"/>
        </w:rPr>
      </w:pPr>
    </w:p>
    <w:p w14:paraId="2D725164" w14:textId="77777777" w:rsidR="00812D16" w:rsidRPr="00DC2F2C" w:rsidRDefault="00812D16" w:rsidP="00073C28">
      <w:pPr>
        <w:keepNext/>
        <w:keepLines/>
        <w:suppressLineNumbers/>
        <w:ind w:right="550"/>
        <w:rPr>
          <w:szCs w:val="22"/>
          <w:lang w:val="fr-FR"/>
        </w:rPr>
      </w:pPr>
      <w:r w:rsidRPr="00DC2F2C">
        <w:rPr>
          <w:b/>
          <w:szCs w:val="22"/>
          <w:lang w:val="fr-FR"/>
        </w:rPr>
        <w:t>5.</w:t>
      </w:r>
      <w:r w:rsidRPr="00DC2F2C">
        <w:rPr>
          <w:b/>
          <w:szCs w:val="22"/>
          <w:lang w:val="fr-FR"/>
        </w:rPr>
        <w:tab/>
      </w:r>
      <w:r w:rsidR="003F7FCF" w:rsidRPr="00DC2F2C">
        <w:rPr>
          <w:b/>
          <w:lang w:val="fr-FR"/>
        </w:rPr>
        <w:t>PROPRIÉTÉS PHARMACOLOGIQUES</w:t>
      </w:r>
    </w:p>
    <w:p w14:paraId="15A93635" w14:textId="77777777" w:rsidR="00812D16" w:rsidRPr="00DC2F2C" w:rsidRDefault="00812D16" w:rsidP="009D43DC">
      <w:pPr>
        <w:keepNext/>
        <w:keepLines/>
        <w:numPr>
          <w:ilvl w:val="12"/>
          <w:numId w:val="0"/>
        </w:numPr>
        <w:tabs>
          <w:tab w:val="clear" w:pos="567"/>
        </w:tabs>
        <w:ind w:right="550"/>
        <w:rPr>
          <w:szCs w:val="22"/>
          <w:lang w:val="fr-FR"/>
        </w:rPr>
      </w:pPr>
    </w:p>
    <w:p w14:paraId="179150AB" w14:textId="77777777" w:rsidR="00812D16" w:rsidRPr="00DC2F2C" w:rsidRDefault="00812D16" w:rsidP="00073C28">
      <w:pPr>
        <w:keepNext/>
        <w:keepLines/>
        <w:suppressLineNumbers/>
        <w:ind w:right="550"/>
        <w:rPr>
          <w:szCs w:val="22"/>
          <w:lang w:val="fr-FR"/>
        </w:rPr>
      </w:pPr>
      <w:r w:rsidRPr="00DC2F2C">
        <w:rPr>
          <w:b/>
          <w:szCs w:val="22"/>
          <w:lang w:val="fr-FR"/>
        </w:rPr>
        <w:t xml:space="preserve">5.1 </w:t>
      </w:r>
      <w:r w:rsidRPr="00DC2F2C">
        <w:rPr>
          <w:b/>
          <w:szCs w:val="22"/>
          <w:lang w:val="fr-FR"/>
        </w:rPr>
        <w:tab/>
      </w:r>
      <w:r w:rsidR="003F7FCF" w:rsidRPr="00DC2F2C">
        <w:rPr>
          <w:b/>
          <w:lang w:val="fr-FR"/>
        </w:rPr>
        <w:t>Propriétés pharmacodynamiques</w:t>
      </w:r>
    </w:p>
    <w:p w14:paraId="3CD0798D" w14:textId="77777777" w:rsidR="00812D16" w:rsidRPr="00DC2F2C" w:rsidRDefault="00812D16" w:rsidP="009D43DC">
      <w:pPr>
        <w:keepNext/>
        <w:keepLines/>
        <w:numPr>
          <w:ilvl w:val="12"/>
          <w:numId w:val="0"/>
        </w:numPr>
        <w:tabs>
          <w:tab w:val="clear" w:pos="567"/>
        </w:tabs>
        <w:ind w:right="550"/>
        <w:rPr>
          <w:szCs w:val="22"/>
          <w:lang w:val="fr-FR"/>
        </w:rPr>
      </w:pPr>
    </w:p>
    <w:p w14:paraId="24D3F05D" w14:textId="4259B420" w:rsidR="00812D16" w:rsidRPr="00DC2F2C" w:rsidRDefault="003F7FCF" w:rsidP="000A5BB2">
      <w:pPr>
        <w:rPr>
          <w:lang w:val="fr-FR"/>
        </w:rPr>
      </w:pPr>
      <w:r w:rsidRPr="00DC2F2C">
        <w:rPr>
          <w:lang w:val="fr-FR"/>
        </w:rPr>
        <w:t>Classe pharmacothérapeutique </w:t>
      </w:r>
      <w:r w:rsidR="00812D16" w:rsidRPr="00DC2F2C">
        <w:rPr>
          <w:lang w:val="fr-FR"/>
        </w:rPr>
        <w:t xml:space="preserve">: </w:t>
      </w:r>
      <w:r w:rsidR="006D5BD9" w:rsidRPr="00DC2F2C">
        <w:rPr>
          <w:lang w:val="fr-FR"/>
        </w:rPr>
        <w:t>agents a</w:t>
      </w:r>
      <w:r w:rsidR="00CD5C20" w:rsidRPr="00DC2F2C">
        <w:rPr>
          <w:lang w:val="fr-FR"/>
        </w:rPr>
        <w:t>ntin</w:t>
      </w:r>
      <w:r w:rsidR="006D5BD9" w:rsidRPr="00DC2F2C">
        <w:rPr>
          <w:lang w:val="fr-FR"/>
        </w:rPr>
        <w:t>é</w:t>
      </w:r>
      <w:r w:rsidR="00CD5C20" w:rsidRPr="00DC2F2C">
        <w:rPr>
          <w:lang w:val="fr-FR"/>
        </w:rPr>
        <w:t>oplas</w:t>
      </w:r>
      <w:r w:rsidR="006D5BD9" w:rsidRPr="00DC2F2C">
        <w:rPr>
          <w:lang w:val="fr-FR"/>
        </w:rPr>
        <w:t>iques</w:t>
      </w:r>
      <w:r w:rsidR="00CD5C20" w:rsidRPr="00DC2F2C">
        <w:rPr>
          <w:lang w:val="fr-FR"/>
        </w:rPr>
        <w:t xml:space="preserve">, </w:t>
      </w:r>
      <w:r w:rsidR="006D5BD9" w:rsidRPr="00DC2F2C">
        <w:rPr>
          <w:lang w:val="fr-FR"/>
        </w:rPr>
        <w:t>inhibiteurs de protéine kinase</w:t>
      </w:r>
      <w:r w:rsidR="00812D16" w:rsidRPr="00DC2F2C">
        <w:rPr>
          <w:lang w:val="fr-FR"/>
        </w:rPr>
        <w:t xml:space="preserve">, </w:t>
      </w:r>
      <w:r w:rsidRPr="00DC2F2C">
        <w:rPr>
          <w:lang w:val="fr-FR"/>
        </w:rPr>
        <w:t xml:space="preserve">Code </w:t>
      </w:r>
      <w:r w:rsidR="00812D16" w:rsidRPr="00DC2F2C">
        <w:rPr>
          <w:lang w:val="fr-FR"/>
        </w:rPr>
        <w:t>ATC</w:t>
      </w:r>
      <w:r w:rsidRPr="00DC2F2C">
        <w:rPr>
          <w:lang w:val="fr-FR"/>
        </w:rPr>
        <w:t> </w:t>
      </w:r>
      <w:r w:rsidR="00812D16" w:rsidRPr="00DC2F2C">
        <w:rPr>
          <w:lang w:val="fr-FR"/>
        </w:rPr>
        <w:t xml:space="preserve">: </w:t>
      </w:r>
      <w:r w:rsidR="002605B1" w:rsidRPr="002605B1">
        <w:rPr>
          <w:lang w:val="fr-FR"/>
        </w:rPr>
        <w:t xml:space="preserve">L01EK03 </w:t>
      </w:r>
      <w:r w:rsidR="005066FB" w:rsidRPr="00DC2F2C">
        <w:rPr>
          <w:lang w:val="fr-FR"/>
        </w:rPr>
        <w:t xml:space="preserve"> </w:t>
      </w:r>
    </w:p>
    <w:p w14:paraId="71B8E6F7" w14:textId="77777777" w:rsidR="00472CEA" w:rsidRPr="00DC2F2C" w:rsidRDefault="00472CEA" w:rsidP="009D43DC">
      <w:pPr>
        <w:numPr>
          <w:ilvl w:val="12"/>
          <w:numId w:val="0"/>
        </w:numPr>
        <w:tabs>
          <w:tab w:val="clear" w:pos="567"/>
        </w:tabs>
        <w:ind w:right="549"/>
        <w:rPr>
          <w:szCs w:val="22"/>
          <w:lang w:val="fr-FR"/>
        </w:rPr>
      </w:pPr>
    </w:p>
    <w:p w14:paraId="5D8180FF" w14:textId="77777777" w:rsidR="00812D16" w:rsidRPr="00DC2F2C" w:rsidRDefault="00AD646F" w:rsidP="009D43DC">
      <w:pPr>
        <w:keepNext/>
        <w:keepLines/>
        <w:suppressLineNumbers/>
        <w:ind w:right="550"/>
        <w:rPr>
          <w:strike/>
          <w:szCs w:val="22"/>
          <w:u w:val="single"/>
          <w:lang w:val="fr-FR"/>
        </w:rPr>
      </w:pPr>
      <w:r w:rsidRPr="00DC2F2C">
        <w:rPr>
          <w:u w:val="single"/>
          <w:lang w:val="fr-FR"/>
        </w:rPr>
        <w:t>Mécanisme d’action</w:t>
      </w:r>
      <w:r w:rsidR="002C19FE" w:rsidRPr="00DC2F2C">
        <w:rPr>
          <w:strike/>
          <w:szCs w:val="22"/>
          <w:u w:val="single"/>
          <w:lang w:val="fr-FR"/>
        </w:rPr>
        <w:t xml:space="preserve"> </w:t>
      </w:r>
    </w:p>
    <w:p w14:paraId="4C3EACCC" w14:textId="77777777" w:rsidR="00463174" w:rsidRPr="00DC2F2C" w:rsidRDefault="00463174" w:rsidP="009D43DC">
      <w:pPr>
        <w:pStyle w:val="CommentText"/>
        <w:keepNext/>
        <w:keepLines/>
        <w:ind w:right="550"/>
        <w:rPr>
          <w:sz w:val="22"/>
          <w:szCs w:val="22"/>
          <w:lang w:val="fr-FR"/>
        </w:rPr>
      </w:pPr>
    </w:p>
    <w:p w14:paraId="1B77F91C" w14:textId="77777777" w:rsidR="00910E6B" w:rsidRPr="00DC2F2C" w:rsidRDefault="00F85534" w:rsidP="000A5BB2">
      <w:pPr>
        <w:rPr>
          <w:lang w:val="fr-FR"/>
        </w:rPr>
      </w:pPr>
      <w:r w:rsidRPr="00DC2F2C">
        <w:rPr>
          <w:lang w:val="fr-FR"/>
        </w:rPr>
        <w:t xml:space="preserve">Le </w:t>
      </w:r>
      <w:proofErr w:type="spellStart"/>
      <w:r w:rsidRPr="00DC2F2C">
        <w:rPr>
          <w:lang w:val="fr-FR"/>
        </w:rPr>
        <w:t>t</w:t>
      </w:r>
      <w:r w:rsidR="0069099F" w:rsidRPr="00DC2F2C">
        <w:rPr>
          <w:lang w:val="fr-FR"/>
        </w:rPr>
        <w:t>ivozanib</w:t>
      </w:r>
      <w:proofErr w:type="spellEnd"/>
      <w:r w:rsidR="0069099F" w:rsidRPr="00DC2F2C">
        <w:rPr>
          <w:lang w:val="fr-FR"/>
        </w:rPr>
        <w:t xml:space="preserve"> </w:t>
      </w:r>
      <w:r w:rsidRPr="00DC2F2C">
        <w:rPr>
          <w:lang w:val="fr-FR"/>
        </w:rPr>
        <w:t>bloque puissamment et sélectivement les 3 récepteurs du facteur de croissance de l’endothélium vasculaire (</w:t>
      </w:r>
      <w:proofErr w:type="spellStart"/>
      <w:r w:rsidR="005E716E" w:rsidRPr="00DC2F2C">
        <w:rPr>
          <w:i/>
          <w:lang w:val="fr-FR"/>
        </w:rPr>
        <w:t>Vascular</w:t>
      </w:r>
      <w:proofErr w:type="spellEnd"/>
      <w:r w:rsidR="005E716E" w:rsidRPr="00DC2F2C">
        <w:rPr>
          <w:i/>
          <w:lang w:val="fr-FR"/>
        </w:rPr>
        <w:t xml:space="preserve"> </w:t>
      </w:r>
      <w:proofErr w:type="spellStart"/>
      <w:r w:rsidR="005E716E" w:rsidRPr="00DC2F2C">
        <w:rPr>
          <w:i/>
          <w:lang w:val="fr-FR"/>
        </w:rPr>
        <w:t>Endothelial</w:t>
      </w:r>
      <w:proofErr w:type="spellEnd"/>
      <w:r w:rsidR="005E716E" w:rsidRPr="00DC2F2C">
        <w:rPr>
          <w:i/>
          <w:lang w:val="fr-FR"/>
        </w:rPr>
        <w:t xml:space="preserve"> </w:t>
      </w:r>
      <w:proofErr w:type="spellStart"/>
      <w:r w:rsidR="005E716E" w:rsidRPr="00DC2F2C">
        <w:rPr>
          <w:i/>
          <w:lang w:val="fr-FR"/>
        </w:rPr>
        <w:t>Growth</w:t>
      </w:r>
      <w:proofErr w:type="spellEnd"/>
      <w:r w:rsidR="005E716E" w:rsidRPr="00DC2F2C">
        <w:rPr>
          <w:i/>
          <w:lang w:val="fr-FR"/>
        </w:rPr>
        <w:t xml:space="preserve"> Factor </w:t>
      </w:r>
      <w:proofErr w:type="spellStart"/>
      <w:r w:rsidR="005E716E" w:rsidRPr="00DC2F2C">
        <w:rPr>
          <w:i/>
          <w:lang w:val="fr-FR"/>
        </w:rPr>
        <w:t>receptors</w:t>
      </w:r>
      <w:proofErr w:type="spellEnd"/>
      <w:r w:rsidRPr="00DC2F2C">
        <w:rPr>
          <w:lang w:val="fr-FR"/>
        </w:rPr>
        <w:t xml:space="preserve">, </w:t>
      </w:r>
      <w:r w:rsidR="0069099F" w:rsidRPr="00DC2F2C">
        <w:rPr>
          <w:lang w:val="fr-FR"/>
        </w:rPr>
        <w:t>VEGF</w:t>
      </w:r>
      <w:r w:rsidR="005E716E" w:rsidRPr="00DC2F2C">
        <w:rPr>
          <w:lang w:val="fr-FR"/>
        </w:rPr>
        <w:t>R)</w:t>
      </w:r>
      <w:r w:rsidR="0069099F" w:rsidRPr="00DC2F2C">
        <w:rPr>
          <w:lang w:val="fr-FR"/>
        </w:rPr>
        <w:t xml:space="preserve"> </w:t>
      </w:r>
      <w:r w:rsidR="001B2118" w:rsidRPr="00DC2F2C">
        <w:rPr>
          <w:lang w:val="fr-FR"/>
        </w:rPr>
        <w:t>et bloque également différentes réponses biochimiques et biologiques induites par le</w:t>
      </w:r>
      <w:r w:rsidR="0069099F" w:rsidRPr="00DC2F2C">
        <w:rPr>
          <w:lang w:val="fr-FR"/>
        </w:rPr>
        <w:t xml:space="preserve"> VEGF </w:t>
      </w:r>
      <w:r w:rsidR="0069099F" w:rsidRPr="00DC2F2C">
        <w:rPr>
          <w:i/>
          <w:iCs/>
          <w:lang w:val="fr-FR"/>
        </w:rPr>
        <w:t xml:space="preserve">in vitro, </w:t>
      </w:r>
      <w:r w:rsidR="001B2118" w:rsidRPr="00DC2F2C">
        <w:rPr>
          <w:lang w:val="fr-FR"/>
        </w:rPr>
        <w:t>y compris la</w:t>
      </w:r>
      <w:r w:rsidR="0069099F" w:rsidRPr="00DC2F2C">
        <w:rPr>
          <w:lang w:val="fr-FR"/>
        </w:rPr>
        <w:t xml:space="preserve"> </w:t>
      </w:r>
      <w:r w:rsidR="001B2118" w:rsidRPr="00DC2F2C">
        <w:rPr>
          <w:lang w:val="fr-FR"/>
        </w:rPr>
        <w:t xml:space="preserve">phosphorylation induite par le ligand </w:t>
      </w:r>
      <w:r w:rsidR="0069099F" w:rsidRPr="00DC2F2C">
        <w:rPr>
          <w:lang w:val="fr-FR"/>
        </w:rPr>
        <w:t xml:space="preserve">VEGF </w:t>
      </w:r>
      <w:r w:rsidR="001B2118" w:rsidRPr="00DC2F2C">
        <w:rPr>
          <w:lang w:val="fr-FR"/>
        </w:rPr>
        <w:t>des trois récepteurs</w:t>
      </w:r>
      <w:r w:rsidR="0069099F" w:rsidRPr="00DC2F2C">
        <w:rPr>
          <w:lang w:val="fr-FR"/>
        </w:rPr>
        <w:t xml:space="preserve"> </w:t>
      </w:r>
      <w:r w:rsidR="00463174" w:rsidRPr="00DC2F2C">
        <w:rPr>
          <w:lang w:val="fr-FR"/>
        </w:rPr>
        <w:t>VEGFR</w:t>
      </w:r>
      <w:r w:rsidR="00DF6F93" w:rsidRPr="00DC2F2C">
        <w:rPr>
          <w:lang w:val="fr-FR"/>
        </w:rPr>
        <w:t> </w:t>
      </w:r>
      <w:r w:rsidR="00463174" w:rsidRPr="00DC2F2C">
        <w:rPr>
          <w:lang w:val="fr-FR"/>
        </w:rPr>
        <w:t xml:space="preserve">1, 2 </w:t>
      </w:r>
      <w:r w:rsidR="001B2118" w:rsidRPr="00DC2F2C">
        <w:rPr>
          <w:lang w:val="fr-FR"/>
        </w:rPr>
        <w:t>et</w:t>
      </w:r>
      <w:r w:rsidR="00463174" w:rsidRPr="00DC2F2C">
        <w:rPr>
          <w:lang w:val="fr-FR"/>
        </w:rPr>
        <w:t xml:space="preserve"> 3</w:t>
      </w:r>
      <w:r w:rsidR="0069099F" w:rsidRPr="00DC2F2C">
        <w:rPr>
          <w:lang w:val="fr-FR"/>
        </w:rPr>
        <w:t xml:space="preserve">, </w:t>
      </w:r>
      <w:r w:rsidR="001B2118" w:rsidRPr="00DC2F2C">
        <w:rPr>
          <w:lang w:val="fr-FR"/>
        </w:rPr>
        <w:t>et la</w:t>
      </w:r>
      <w:r w:rsidR="0069099F" w:rsidRPr="00DC2F2C">
        <w:rPr>
          <w:lang w:val="fr-FR"/>
        </w:rPr>
        <w:t xml:space="preserve"> prolif</w:t>
      </w:r>
      <w:r w:rsidR="001B2118" w:rsidRPr="00DC2F2C">
        <w:rPr>
          <w:lang w:val="fr-FR"/>
        </w:rPr>
        <w:t>é</w:t>
      </w:r>
      <w:r w:rsidR="0069099F" w:rsidRPr="00DC2F2C">
        <w:rPr>
          <w:lang w:val="fr-FR"/>
        </w:rPr>
        <w:t xml:space="preserve">ration </w:t>
      </w:r>
      <w:r w:rsidR="001B2118" w:rsidRPr="00DC2F2C">
        <w:rPr>
          <w:lang w:val="fr-FR"/>
        </w:rPr>
        <w:t>des cellules endothéliales humaines</w:t>
      </w:r>
      <w:r w:rsidR="0069099F" w:rsidRPr="00DC2F2C">
        <w:rPr>
          <w:lang w:val="fr-FR"/>
        </w:rPr>
        <w:t xml:space="preserve">. </w:t>
      </w:r>
      <w:r w:rsidR="00E721D4" w:rsidRPr="00DC2F2C">
        <w:rPr>
          <w:lang w:val="fr-FR"/>
        </w:rPr>
        <w:t xml:space="preserve">La deuxième kinase la plus puissamment inhibée est </w:t>
      </w:r>
      <w:r w:rsidR="0069099F" w:rsidRPr="00DC2F2C">
        <w:rPr>
          <w:rStyle w:val="apple-style-span"/>
          <w:szCs w:val="22"/>
          <w:lang w:val="fr-FR"/>
        </w:rPr>
        <w:t>c</w:t>
      </w:r>
      <w:r w:rsidR="00E721D4" w:rsidRPr="00DC2F2C">
        <w:rPr>
          <w:rStyle w:val="apple-style-span"/>
          <w:szCs w:val="22"/>
          <w:lang w:val="fr-FR"/>
        </w:rPr>
        <w:t>-</w:t>
      </w:r>
      <w:r w:rsidR="0069099F" w:rsidRPr="00DC2F2C">
        <w:rPr>
          <w:rStyle w:val="apple-style-span"/>
          <w:szCs w:val="22"/>
          <w:lang w:val="fr-FR"/>
        </w:rPr>
        <w:t>kit</w:t>
      </w:r>
      <w:r w:rsidR="00E721D4" w:rsidRPr="00DC2F2C">
        <w:rPr>
          <w:rStyle w:val="apple-style-span"/>
          <w:szCs w:val="22"/>
          <w:lang w:val="fr-FR"/>
        </w:rPr>
        <w:t xml:space="preserve">, qui est </w:t>
      </w:r>
      <w:r w:rsidR="0069099F" w:rsidRPr="00DC2F2C">
        <w:rPr>
          <w:rStyle w:val="apple-style-span"/>
          <w:szCs w:val="22"/>
          <w:lang w:val="fr-FR"/>
        </w:rPr>
        <w:t>8</w:t>
      </w:r>
      <w:r w:rsidR="00E721D4" w:rsidRPr="00DC2F2C">
        <w:rPr>
          <w:rStyle w:val="apple-style-span"/>
          <w:szCs w:val="22"/>
          <w:lang w:val="fr-FR"/>
        </w:rPr>
        <w:t> fois moins sensible à l’</w:t>
      </w:r>
      <w:r w:rsidR="0069099F" w:rsidRPr="00DC2F2C">
        <w:rPr>
          <w:rStyle w:val="apple-style-span"/>
          <w:szCs w:val="22"/>
          <w:lang w:val="fr-FR"/>
        </w:rPr>
        <w:t xml:space="preserve">inhibition </w:t>
      </w:r>
      <w:r w:rsidR="00E721D4" w:rsidRPr="00DC2F2C">
        <w:rPr>
          <w:rStyle w:val="apple-style-span"/>
          <w:szCs w:val="22"/>
          <w:lang w:val="fr-FR"/>
        </w:rPr>
        <w:t>par le</w:t>
      </w:r>
      <w:r w:rsidR="0069099F" w:rsidRPr="00DC2F2C">
        <w:rPr>
          <w:rStyle w:val="apple-style-span"/>
          <w:szCs w:val="22"/>
          <w:lang w:val="fr-FR"/>
        </w:rPr>
        <w:t xml:space="preserve"> </w:t>
      </w:r>
      <w:proofErr w:type="spellStart"/>
      <w:r w:rsidR="0069099F" w:rsidRPr="00DC2F2C">
        <w:rPr>
          <w:rStyle w:val="apple-style-span"/>
          <w:szCs w:val="22"/>
          <w:lang w:val="fr-FR"/>
        </w:rPr>
        <w:t>tivozanib</w:t>
      </w:r>
      <w:proofErr w:type="spellEnd"/>
      <w:r w:rsidR="0069099F" w:rsidRPr="00DC2F2C">
        <w:rPr>
          <w:rStyle w:val="apple-style-span"/>
          <w:szCs w:val="22"/>
          <w:lang w:val="fr-FR"/>
        </w:rPr>
        <w:t xml:space="preserve"> </w:t>
      </w:r>
      <w:r w:rsidR="00E721D4" w:rsidRPr="00DC2F2C">
        <w:rPr>
          <w:rStyle w:val="apple-style-span"/>
          <w:szCs w:val="22"/>
          <w:lang w:val="fr-FR"/>
        </w:rPr>
        <w:t>que les</w:t>
      </w:r>
      <w:r w:rsidR="0069099F" w:rsidRPr="00DC2F2C">
        <w:rPr>
          <w:rStyle w:val="apple-style-span"/>
          <w:szCs w:val="22"/>
          <w:lang w:val="fr-FR"/>
        </w:rPr>
        <w:t xml:space="preserve"> VEGFR</w:t>
      </w:r>
      <w:r w:rsidR="00597101" w:rsidRPr="00DC2F2C">
        <w:rPr>
          <w:rStyle w:val="apple-style-span"/>
          <w:szCs w:val="22"/>
          <w:lang w:val="fr-FR"/>
        </w:rPr>
        <w:t> </w:t>
      </w:r>
      <w:r w:rsidR="0069099F" w:rsidRPr="00DC2F2C">
        <w:rPr>
          <w:rStyle w:val="apple-style-span"/>
          <w:szCs w:val="22"/>
          <w:lang w:val="fr-FR"/>
        </w:rPr>
        <w:t xml:space="preserve">1, 2 </w:t>
      </w:r>
      <w:r w:rsidR="00E721D4" w:rsidRPr="00DC2F2C">
        <w:rPr>
          <w:rStyle w:val="apple-style-span"/>
          <w:szCs w:val="22"/>
          <w:lang w:val="fr-FR"/>
        </w:rPr>
        <w:t>et</w:t>
      </w:r>
      <w:r w:rsidR="0069099F" w:rsidRPr="00DC2F2C">
        <w:rPr>
          <w:rStyle w:val="apple-style-span"/>
          <w:szCs w:val="22"/>
          <w:lang w:val="fr-FR"/>
        </w:rPr>
        <w:t xml:space="preserve"> 3.</w:t>
      </w:r>
      <w:r w:rsidR="00ED15FB" w:rsidRPr="00DC2F2C">
        <w:rPr>
          <w:lang w:val="fr-FR"/>
        </w:rPr>
        <w:t xml:space="preserve"> </w:t>
      </w:r>
      <w:r w:rsidR="00E721D4" w:rsidRPr="00DC2F2C">
        <w:rPr>
          <w:lang w:val="fr-FR"/>
        </w:rPr>
        <w:t xml:space="preserve">Le </w:t>
      </w:r>
      <w:r w:rsidR="0069099F" w:rsidRPr="00DC2F2C">
        <w:rPr>
          <w:lang w:val="fr-FR"/>
        </w:rPr>
        <w:t xml:space="preserve">VEGF </w:t>
      </w:r>
      <w:r w:rsidR="00E721D4" w:rsidRPr="00DC2F2C">
        <w:rPr>
          <w:lang w:val="fr-FR"/>
        </w:rPr>
        <w:t>est un puissant facteur mitogène</w:t>
      </w:r>
      <w:r w:rsidR="0069099F" w:rsidRPr="00DC2F2C">
        <w:rPr>
          <w:lang w:val="fr-FR"/>
        </w:rPr>
        <w:t xml:space="preserve"> </w:t>
      </w:r>
      <w:r w:rsidR="00E721D4" w:rsidRPr="00DC2F2C">
        <w:rPr>
          <w:lang w:val="fr-FR"/>
        </w:rPr>
        <w:t>qui joue un rôle central dans l’</w:t>
      </w:r>
      <w:r w:rsidR="0069099F" w:rsidRPr="00DC2F2C">
        <w:rPr>
          <w:lang w:val="fr-FR"/>
        </w:rPr>
        <w:t>angiogen</w:t>
      </w:r>
      <w:r w:rsidR="00E721D4" w:rsidRPr="00DC2F2C">
        <w:rPr>
          <w:lang w:val="fr-FR"/>
        </w:rPr>
        <w:t>è</w:t>
      </w:r>
      <w:r w:rsidR="0069099F" w:rsidRPr="00DC2F2C">
        <w:rPr>
          <w:lang w:val="fr-FR"/>
        </w:rPr>
        <w:t>s</w:t>
      </w:r>
      <w:r w:rsidR="00E721D4" w:rsidRPr="00DC2F2C">
        <w:rPr>
          <w:lang w:val="fr-FR"/>
        </w:rPr>
        <w:t>e</w:t>
      </w:r>
      <w:r w:rsidR="0069099F" w:rsidRPr="00DC2F2C">
        <w:rPr>
          <w:lang w:val="fr-FR"/>
        </w:rPr>
        <w:t xml:space="preserve"> </w:t>
      </w:r>
      <w:r w:rsidR="00E721D4" w:rsidRPr="00DC2F2C">
        <w:rPr>
          <w:lang w:val="fr-FR"/>
        </w:rPr>
        <w:t>et la perméabilité vasculaire des tissus tumoraux</w:t>
      </w:r>
      <w:r w:rsidR="0069099F" w:rsidRPr="00DC2F2C">
        <w:rPr>
          <w:lang w:val="fr-FR"/>
        </w:rPr>
        <w:t xml:space="preserve">. </w:t>
      </w:r>
      <w:r w:rsidR="00F66F06" w:rsidRPr="00DC2F2C">
        <w:rPr>
          <w:lang w:val="fr-FR"/>
        </w:rPr>
        <w:t>En bloquant l’activation des VEGFR induite par le</w:t>
      </w:r>
      <w:r w:rsidR="0069099F" w:rsidRPr="00DC2F2C">
        <w:rPr>
          <w:lang w:val="fr-FR"/>
        </w:rPr>
        <w:t xml:space="preserve"> VEGF, </w:t>
      </w:r>
      <w:r w:rsidR="00651BC5" w:rsidRPr="00DC2F2C">
        <w:rPr>
          <w:lang w:val="fr-FR"/>
        </w:rPr>
        <w:t xml:space="preserve">le </w:t>
      </w:r>
      <w:proofErr w:type="spellStart"/>
      <w:r w:rsidR="0069099F" w:rsidRPr="00DC2F2C">
        <w:rPr>
          <w:lang w:val="fr-FR"/>
        </w:rPr>
        <w:t>tivozanib</w:t>
      </w:r>
      <w:proofErr w:type="spellEnd"/>
      <w:r w:rsidR="0069099F" w:rsidRPr="00DC2F2C">
        <w:rPr>
          <w:lang w:val="fr-FR"/>
        </w:rPr>
        <w:t xml:space="preserve"> inhib</w:t>
      </w:r>
      <w:r w:rsidR="00651BC5" w:rsidRPr="00DC2F2C">
        <w:rPr>
          <w:lang w:val="fr-FR"/>
        </w:rPr>
        <w:t>e l’angiogenè</w:t>
      </w:r>
      <w:r w:rsidR="0069099F" w:rsidRPr="00DC2F2C">
        <w:rPr>
          <w:lang w:val="fr-FR"/>
        </w:rPr>
        <w:t>s</w:t>
      </w:r>
      <w:r w:rsidR="00651BC5" w:rsidRPr="00DC2F2C">
        <w:rPr>
          <w:lang w:val="fr-FR"/>
        </w:rPr>
        <w:t>e</w:t>
      </w:r>
      <w:r w:rsidR="0069099F" w:rsidRPr="00DC2F2C">
        <w:rPr>
          <w:lang w:val="fr-FR"/>
        </w:rPr>
        <w:t xml:space="preserve"> </w:t>
      </w:r>
      <w:r w:rsidR="00651BC5" w:rsidRPr="00DC2F2C">
        <w:rPr>
          <w:lang w:val="fr-FR"/>
        </w:rPr>
        <w:t>et la perméabilité vasculaire dans les tissus tumoraux</w:t>
      </w:r>
      <w:r w:rsidR="0069099F" w:rsidRPr="00DC2F2C">
        <w:rPr>
          <w:lang w:val="fr-FR"/>
        </w:rPr>
        <w:t xml:space="preserve">, </w:t>
      </w:r>
      <w:r w:rsidR="00651BC5" w:rsidRPr="00DC2F2C">
        <w:rPr>
          <w:lang w:val="fr-FR"/>
        </w:rPr>
        <w:t>ce qui entraîne l’</w:t>
      </w:r>
      <w:r w:rsidR="0069099F" w:rsidRPr="00DC2F2C">
        <w:rPr>
          <w:lang w:val="fr-FR"/>
        </w:rPr>
        <w:t xml:space="preserve">inhibition </w:t>
      </w:r>
      <w:r w:rsidR="00651BC5" w:rsidRPr="00DC2F2C">
        <w:rPr>
          <w:lang w:val="fr-FR"/>
        </w:rPr>
        <w:t>de la croissance tumorale</w:t>
      </w:r>
      <w:r w:rsidR="0069099F" w:rsidRPr="00DC2F2C">
        <w:rPr>
          <w:lang w:val="fr-FR"/>
        </w:rPr>
        <w:t xml:space="preserve"> </w:t>
      </w:r>
      <w:r w:rsidR="0069099F" w:rsidRPr="00DC2F2C">
        <w:rPr>
          <w:i/>
          <w:iCs/>
          <w:lang w:val="fr-FR"/>
        </w:rPr>
        <w:t>in vivo</w:t>
      </w:r>
      <w:r w:rsidR="00ED15FB" w:rsidRPr="00DC2F2C">
        <w:rPr>
          <w:lang w:val="fr-FR"/>
        </w:rPr>
        <w:t>.</w:t>
      </w:r>
      <w:r w:rsidR="0069099F" w:rsidRPr="00DC2F2C">
        <w:rPr>
          <w:lang w:val="fr-FR"/>
        </w:rPr>
        <w:t xml:space="preserve"> </w:t>
      </w:r>
    </w:p>
    <w:p w14:paraId="649C6955" w14:textId="77777777" w:rsidR="00B159D1" w:rsidRPr="00DC2F2C" w:rsidRDefault="00B159D1" w:rsidP="009D43DC">
      <w:pPr>
        <w:numPr>
          <w:ilvl w:val="12"/>
          <w:numId w:val="0"/>
        </w:numPr>
        <w:tabs>
          <w:tab w:val="clear" w:pos="567"/>
        </w:tabs>
        <w:ind w:right="549"/>
        <w:rPr>
          <w:szCs w:val="22"/>
          <w:lang w:val="fr-FR"/>
        </w:rPr>
      </w:pPr>
    </w:p>
    <w:p w14:paraId="5F81CAA1" w14:textId="77777777" w:rsidR="00812D16" w:rsidRPr="00DC2F2C" w:rsidRDefault="00AD646F" w:rsidP="009D43DC">
      <w:pPr>
        <w:keepNext/>
        <w:keepLines/>
        <w:suppressLineNumbers/>
        <w:ind w:right="550"/>
        <w:rPr>
          <w:szCs w:val="22"/>
          <w:lang w:val="fr-FR"/>
        </w:rPr>
      </w:pPr>
      <w:r w:rsidRPr="00DC2F2C">
        <w:rPr>
          <w:szCs w:val="22"/>
          <w:u w:val="single"/>
          <w:lang w:val="fr-FR"/>
        </w:rPr>
        <w:t>Efficacité clinique</w:t>
      </w:r>
    </w:p>
    <w:p w14:paraId="114759C8" w14:textId="77777777" w:rsidR="003B7DEC" w:rsidRPr="00DC2F2C" w:rsidRDefault="003B7DEC" w:rsidP="009D43DC">
      <w:pPr>
        <w:keepNext/>
        <w:keepLines/>
        <w:numPr>
          <w:ilvl w:val="12"/>
          <w:numId w:val="0"/>
        </w:numPr>
        <w:tabs>
          <w:tab w:val="clear" w:pos="567"/>
        </w:tabs>
        <w:ind w:right="550"/>
        <w:rPr>
          <w:szCs w:val="22"/>
          <w:lang w:val="fr-FR"/>
        </w:rPr>
      </w:pPr>
    </w:p>
    <w:p w14:paraId="794C1895" w14:textId="77777777" w:rsidR="00357CC6" w:rsidRPr="00DC2F2C" w:rsidRDefault="00651BC5" w:rsidP="000A5BB2">
      <w:pPr>
        <w:rPr>
          <w:lang w:val="fr-FR"/>
        </w:rPr>
      </w:pPr>
      <w:r w:rsidRPr="00DC2F2C">
        <w:rPr>
          <w:lang w:val="fr-FR"/>
        </w:rPr>
        <w:t xml:space="preserve">L’efficacité du </w:t>
      </w:r>
      <w:proofErr w:type="spellStart"/>
      <w:r w:rsidR="005F4D84" w:rsidRPr="00DC2F2C">
        <w:rPr>
          <w:lang w:val="fr-FR"/>
        </w:rPr>
        <w:t>tivozanib</w:t>
      </w:r>
      <w:proofErr w:type="spellEnd"/>
      <w:r w:rsidR="00AF4571" w:rsidRPr="00DC2F2C">
        <w:rPr>
          <w:lang w:val="fr-FR"/>
        </w:rPr>
        <w:t xml:space="preserve"> </w:t>
      </w:r>
      <w:r w:rsidRPr="00DC2F2C">
        <w:rPr>
          <w:lang w:val="fr-FR"/>
        </w:rPr>
        <w:t>dans le traitement du CCR avancé a été étudiée dans l’étude clinique randomisée décrite ci-après</w:t>
      </w:r>
      <w:r w:rsidR="00357CC6" w:rsidRPr="00DC2F2C">
        <w:rPr>
          <w:lang w:val="fr-FR"/>
        </w:rPr>
        <w:t>.</w:t>
      </w:r>
    </w:p>
    <w:p w14:paraId="7757FE8B" w14:textId="77777777" w:rsidR="00357CC6" w:rsidRPr="00DC2F2C" w:rsidRDefault="00357CC6" w:rsidP="009D43DC">
      <w:pPr>
        <w:numPr>
          <w:ilvl w:val="12"/>
          <w:numId w:val="0"/>
        </w:numPr>
        <w:tabs>
          <w:tab w:val="clear" w:pos="567"/>
        </w:tabs>
        <w:ind w:right="549"/>
        <w:rPr>
          <w:szCs w:val="22"/>
          <w:lang w:val="fr-FR"/>
        </w:rPr>
      </w:pPr>
    </w:p>
    <w:p w14:paraId="05CD026D" w14:textId="77777777" w:rsidR="00357CC6" w:rsidRPr="00DC2F2C" w:rsidRDefault="00651BC5" w:rsidP="009D43DC">
      <w:pPr>
        <w:suppressLineNumbers/>
        <w:tabs>
          <w:tab w:val="clear" w:pos="567"/>
        </w:tabs>
        <w:ind w:right="549"/>
        <w:rPr>
          <w:bCs/>
          <w:i/>
          <w:iCs/>
          <w:szCs w:val="22"/>
          <w:lang w:val="fr-FR"/>
        </w:rPr>
      </w:pPr>
      <w:r w:rsidRPr="00DC2F2C">
        <w:rPr>
          <w:i/>
          <w:szCs w:val="22"/>
          <w:lang w:val="fr-FR"/>
        </w:rPr>
        <w:t>Étude</w:t>
      </w:r>
      <w:r w:rsidR="00357CC6" w:rsidRPr="00DC2F2C">
        <w:rPr>
          <w:i/>
          <w:szCs w:val="22"/>
          <w:lang w:val="fr-FR"/>
        </w:rPr>
        <w:t xml:space="preserve"> </w:t>
      </w:r>
      <w:r w:rsidR="00544DF6" w:rsidRPr="00DC2F2C">
        <w:rPr>
          <w:i/>
          <w:szCs w:val="22"/>
          <w:lang w:val="fr-FR"/>
        </w:rPr>
        <w:t>AV-951-09-301</w:t>
      </w:r>
    </w:p>
    <w:p w14:paraId="24E2C0AD" w14:textId="77777777" w:rsidR="009B2D74" w:rsidRPr="00DC2F2C" w:rsidRDefault="00651BC5" w:rsidP="000A5BB2">
      <w:pPr>
        <w:rPr>
          <w:lang w:val="fr-FR"/>
        </w:rPr>
      </w:pPr>
      <w:r w:rsidRPr="00DC2F2C">
        <w:rPr>
          <w:lang w:val="fr-FR"/>
        </w:rPr>
        <w:t>Cette étude clinique contrôlée était une étude randomisée de phase III, multicentrique, en ouvert et internationale</w:t>
      </w:r>
      <w:r w:rsidR="009B2D74" w:rsidRPr="00DC2F2C">
        <w:rPr>
          <w:lang w:val="fr-FR"/>
        </w:rPr>
        <w:t xml:space="preserve"> </w:t>
      </w:r>
      <w:r w:rsidRPr="00DC2F2C">
        <w:rPr>
          <w:lang w:val="fr-FR"/>
        </w:rPr>
        <w:t>comparant le</w:t>
      </w:r>
      <w:r w:rsidR="009B2D74" w:rsidRPr="00DC2F2C">
        <w:rPr>
          <w:lang w:val="fr-FR"/>
        </w:rPr>
        <w:t xml:space="preserve"> </w:t>
      </w:r>
      <w:proofErr w:type="spellStart"/>
      <w:r w:rsidR="005F4D84" w:rsidRPr="00DC2F2C">
        <w:rPr>
          <w:lang w:val="fr-FR"/>
        </w:rPr>
        <w:t>tivozanib</w:t>
      </w:r>
      <w:proofErr w:type="spellEnd"/>
      <w:r w:rsidR="009B2D74" w:rsidRPr="00DC2F2C">
        <w:rPr>
          <w:lang w:val="fr-FR"/>
        </w:rPr>
        <w:t xml:space="preserve"> </w:t>
      </w:r>
      <w:r w:rsidRPr="00DC2F2C">
        <w:rPr>
          <w:lang w:val="fr-FR"/>
        </w:rPr>
        <w:t>au</w:t>
      </w:r>
      <w:r w:rsidR="009B2D74" w:rsidRPr="00DC2F2C">
        <w:rPr>
          <w:lang w:val="fr-FR"/>
        </w:rPr>
        <w:t xml:space="preserve"> </w:t>
      </w:r>
      <w:proofErr w:type="spellStart"/>
      <w:r w:rsidR="009B2D74" w:rsidRPr="00DC2F2C">
        <w:rPr>
          <w:lang w:val="fr-FR"/>
        </w:rPr>
        <w:t>soraf</w:t>
      </w:r>
      <w:r w:rsidRPr="00DC2F2C">
        <w:rPr>
          <w:lang w:val="fr-FR"/>
        </w:rPr>
        <w:t>é</w:t>
      </w:r>
      <w:r w:rsidR="009B2D74" w:rsidRPr="00DC2F2C">
        <w:rPr>
          <w:lang w:val="fr-FR"/>
        </w:rPr>
        <w:t>nib</w:t>
      </w:r>
      <w:proofErr w:type="spellEnd"/>
      <w:r w:rsidR="009B2D74" w:rsidRPr="00DC2F2C">
        <w:rPr>
          <w:lang w:val="fr-FR"/>
        </w:rPr>
        <w:t xml:space="preserve"> </w:t>
      </w:r>
      <w:r w:rsidRPr="00DC2F2C">
        <w:rPr>
          <w:lang w:val="fr-FR"/>
        </w:rPr>
        <w:t>chez des</w:t>
      </w:r>
      <w:r w:rsidR="009B2D74" w:rsidRPr="00DC2F2C">
        <w:rPr>
          <w:lang w:val="fr-FR"/>
        </w:rPr>
        <w:t xml:space="preserve"> patients </w:t>
      </w:r>
      <w:r w:rsidRPr="00DC2F2C">
        <w:rPr>
          <w:lang w:val="fr-FR"/>
        </w:rPr>
        <w:t>atteints d’un CCR avancé</w:t>
      </w:r>
      <w:r w:rsidR="009B2D74" w:rsidRPr="00DC2F2C">
        <w:rPr>
          <w:lang w:val="fr-FR"/>
        </w:rPr>
        <w:t xml:space="preserve">. </w:t>
      </w:r>
      <w:r w:rsidR="000A5BB2">
        <w:rPr>
          <w:lang w:val="fr-FR"/>
        </w:rPr>
        <w:t>Cinq</w:t>
      </w:r>
      <w:r w:rsidR="000A5BB2">
        <w:rPr>
          <w:lang w:val="fr-FR"/>
        </w:rPr>
        <w:noBreakHyphen/>
      </w:r>
      <w:r w:rsidRPr="00DC2F2C">
        <w:rPr>
          <w:lang w:val="fr-FR"/>
        </w:rPr>
        <w:t>cent-dix-sept</w:t>
      </w:r>
      <w:r w:rsidR="009B2D74" w:rsidRPr="00DC2F2C">
        <w:rPr>
          <w:lang w:val="fr-FR"/>
        </w:rPr>
        <w:t xml:space="preserve"> (517) patients </w:t>
      </w:r>
      <w:r w:rsidRPr="00DC2F2C">
        <w:rPr>
          <w:lang w:val="fr-FR"/>
        </w:rPr>
        <w:t>atteints d’un CCR récidivant ou métastatique</w:t>
      </w:r>
      <w:r w:rsidR="009B2D74" w:rsidRPr="00DC2F2C">
        <w:rPr>
          <w:lang w:val="fr-FR"/>
        </w:rPr>
        <w:t xml:space="preserve"> </w:t>
      </w:r>
      <w:r w:rsidRPr="00DC2F2C">
        <w:rPr>
          <w:lang w:val="fr-FR"/>
        </w:rPr>
        <w:t>avec une composante à cellules claires</w:t>
      </w:r>
      <w:r w:rsidR="009B2D74" w:rsidRPr="00DC2F2C">
        <w:rPr>
          <w:lang w:val="fr-FR"/>
        </w:rPr>
        <w:t xml:space="preserve"> </w:t>
      </w:r>
      <w:r w:rsidRPr="00DC2F2C">
        <w:rPr>
          <w:lang w:val="fr-FR"/>
        </w:rPr>
        <w:t>ont été randomisés (1/</w:t>
      </w:r>
      <w:r w:rsidR="009B2D74" w:rsidRPr="00DC2F2C">
        <w:rPr>
          <w:lang w:val="fr-FR"/>
        </w:rPr>
        <w:t xml:space="preserve">1) </w:t>
      </w:r>
      <w:r w:rsidRPr="00DC2F2C">
        <w:rPr>
          <w:lang w:val="fr-FR"/>
        </w:rPr>
        <w:t>pour recevoir du</w:t>
      </w:r>
      <w:r w:rsidR="009B2D74" w:rsidRPr="00DC2F2C">
        <w:rPr>
          <w:lang w:val="fr-FR"/>
        </w:rPr>
        <w:t xml:space="preserve"> </w:t>
      </w:r>
      <w:proofErr w:type="spellStart"/>
      <w:r w:rsidR="005F4D84" w:rsidRPr="00DC2F2C">
        <w:rPr>
          <w:lang w:val="fr-FR"/>
        </w:rPr>
        <w:t>tivozanib</w:t>
      </w:r>
      <w:proofErr w:type="spellEnd"/>
      <w:r w:rsidR="009B2D74" w:rsidRPr="00DC2F2C">
        <w:rPr>
          <w:lang w:val="fr-FR"/>
        </w:rPr>
        <w:t xml:space="preserve"> </w:t>
      </w:r>
      <w:r w:rsidRPr="00DC2F2C">
        <w:rPr>
          <w:lang w:val="fr-FR"/>
        </w:rPr>
        <w:t xml:space="preserve">à raison de </w:t>
      </w:r>
      <w:r w:rsidR="009B2D74" w:rsidRPr="00DC2F2C">
        <w:rPr>
          <w:lang w:val="fr-FR"/>
        </w:rPr>
        <w:t>1</w:t>
      </w:r>
      <w:r w:rsidRPr="00DC2F2C">
        <w:rPr>
          <w:lang w:val="fr-FR"/>
        </w:rPr>
        <w:t> </w:t>
      </w:r>
      <w:r w:rsidR="005F4D84" w:rsidRPr="00DC2F2C">
        <w:rPr>
          <w:lang w:val="fr-FR"/>
        </w:rPr>
        <w:t>340</w:t>
      </w:r>
      <w:r w:rsidR="00597101" w:rsidRPr="00DC2F2C">
        <w:rPr>
          <w:lang w:val="fr-FR"/>
        </w:rPr>
        <w:t> </w:t>
      </w:r>
      <w:r w:rsidR="009B2D74" w:rsidRPr="00DC2F2C">
        <w:rPr>
          <w:lang w:val="fr-FR"/>
        </w:rPr>
        <w:t>m</w:t>
      </w:r>
      <w:r w:rsidR="005F4D84" w:rsidRPr="00DC2F2C">
        <w:rPr>
          <w:lang w:val="fr-FR"/>
        </w:rPr>
        <w:t>icro</w:t>
      </w:r>
      <w:r w:rsidR="009B2D74" w:rsidRPr="00DC2F2C">
        <w:rPr>
          <w:lang w:val="fr-FR"/>
        </w:rPr>
        <w:t>g</w:t>
      </w:r>
      <w:r w:rsidR="005F4D84" w:rsidRPr="00DC2F2C">
        <w:rPr>
          <w:lang w:val="fr-FR"/>
        </w:rPr>
        <w:t>ram</w:t>
      </w:r>
      <w:r w:rsidRPr="00DC2F2C">
        <w:rPr>
          <w:lang w:val="fr-FR"/>
        </w:rPr>
        <w:t>mes 1 fois par jour pendant</w:t>
      </w:r>
      <w:r w:rsidR="009B2D74" w:rsidRPr="00DC2F2C">
        <w:rPr>
          <w:lang w:val="fr-FR"/>
        </w:rPr>
        <w:t xml:space="preserve"> 3</w:t>
      </w:r>
      <w:r w:rsidRPr="00DC2F2C">
        <w:rPr>
          <w:lang w:val="fr-FR"/>
        </w:rPr>
        <w:t> semaines</w:t>
      </w:r>
      <w:r w:rsidR="009B2D74" w:rsidRPr="00DC2F2C">
        <w:rPr>
          <w:lang w:val="fr-FR"/>
        </w:rPr>
        <w:t xml:space="preserve"> </w:t>
      </w:r>
      <w:r w:rsidRPr="00DC2F2C">
        <w:rPr>
          <w:lang w:val="fr-FR"/>
        </w:rPr>
        <w:t>suivies de 1 semaine de repos</w:t>
      </w:r>
      <w:r w:rsidR="009B2D74" w:rsidRPr="00DC2F2C">
        <w:rPr>
          <w:lang w:val="fr-FR"/>
        </w:rPr>
        <w:t xml:space="preserve"> (</w:t>
      </w:r>
      <w:r w:rsidRPr="00DC2F2C">
        <w:rPr>
          <w:lang w:val="fr-FR"/>
        </w:rPr>
        <w:t>schéma</w:t>
      </w:r>
      <w:r w:rsidR="00927525" w:rsidRPr="00DC2F2C">
        <w:rPr>
          <w:lang w:val="fr-FR"/>
        </w:rPr>
        <w:t> </w:t>
      </w:r>
      <w:r w:rsidR="009B2D74" w:rsidRPr="00DC2F2C">
        <w:rPr>
          <w:lang w:val="fr-FR"/>
        </w:rPr>
        <w:t xml:space="preserve">3/1) </w:t>
      </w:r>
      <w:r w:rsidR="00927525" w:rsidRPr="00DC2F2C">
        <w:rPr>
          <w:lang w:val="fr-FR"/>
        </w:rPr>
        <w:t>ou du</w:t>
      </w:r>
      <w:r w:rsidR="009B2D74" w:rsidRPr="00DC2F2C">
        <w:rPr>
          <w:lang w:val="fr-FR"/>
        </w:rPr>
        <w:t xml:space="preserve"> </w:t>
      </w:r>
      <w:proofErr w:type="spellStart"/>
      <w:r w:rsidR="009B2D74" w:rsidRPr="00DC2F2C">
        <w:rPr>
          <w:lang w:val="fr-FR"/>
        </w:rPr>
        <w:t>soraf</w:t>
      </w:r>
      <w:r w:rsidR="00927525" w:rsidRPr="00DC2F2C">
        <w:rPr>
          <w:lang w:val="fr-FR"/>
        </w:rPr>
        <w:t>é</w:t>
      </w:r>
      <w:r w:rsidR="009B2D74" w:rsidRPr="00DC2F2C">
        <w:rPr>
          <w:lang w:val="fr-FR"/>
        </w:rPr>
        <w:t>nib</w:t>
      </w:r>
      <w:proofErr w:type="spellEnd"/>
      <w:r w:rsidR="009B2D74" w:rsidRPr="00DC2F2C">
        <w:rPr>
          <w:lang w:val="fr-FR"/>
        </w:rPr>
        <w:t xml:space="preserve"> </w:t>
      </w:r>
      <w:r w:rsidR="00927525" w:rsidRPr="00DC2F2C">
        <w:rPr>
          <w:lang w:val="fr-FR"/>
        </w:rPr>
        <w:t xml:space="preserve">à raison de </w:t>
      </w:r>
      <w:r w:rsidR="009B2D74" w:rsidRPr="00DC2F2C">
        <w:rPr>
          <w:lang w:val="fr-FR"/>
        </w:rPr>
        <w:t>400</w:t>
      </w:r>
      <w:r w:rsidR="00597101" w:rsidRPr="00DC2F2C">
        <w:rPr>
          <w:lang w:val="fr-FR"/>
        </w:rPr>
        <w:t> </w:t>
      </w:r>
      <w:r w:rsidR="009B2D74" w:rsidRPr="00DC2F2C">
        <w:rPr>
          <w:lang w:val="fr-FR"/>
        </w:rPr>
        <w:t xml:space="preserve">mg </w:t>
      </w:r>
      <w:r w:rsidR="00927525" w:rsidRPr="00DC2F2C">
        <w:rPr>
          <w:lang w:val="fr-FR"/>
        </w:rPr>
        <w:t>2 fois par jour</w:t>
      </w:r>
      <w:r w:rsidR="009B2D74" w:rsidRPr="00DC2F2C">
        <w:rPr>
          <w:lang w:val="fr-FR"/>
        </w:rPr>
        <w:t xml:space="preserve">. </w:t>
      </w:r>
      <w:r w:rsidR="00927525" w:rsidRPr="00DC2F2C">
        <w:rPr>
          <w:lang w:val="fr-FR"/>
        </w:rPr>
        <w:t>L’étude a inclus des patients ayant déjà tous subi une</w:t>
      </w:r>
      <w:r w:rsidR="009B2D74" w:rsidRPr="00DC2F2C">
        <w:rPr>
          <w:lang w:val="fr-FR"/>
        </w:rPr>
        <w:t xml:space="preserve"> n</w:t>
      </w:r>
      <w:r w:rsidR="00927525" w:rsidRPr="00DC2F2C">
        <w:rPr>
          <w:lang w:val="fr-FR"/>
        </w:rPr>
        <w:t>éphrectomie</w:t>
      </w:r>
      <w:r w:rsidR="009B2D74" w:rsidRPr="00DC2F2C">
        <w:rPr>
          <w:lang w:val="fr-FR"/>
        </w:rPr>
        <w:t xml:space="preserve">, </w:t>
      </w:r>
      <w:r w:rsidR="00927525" w:rsidRPr="00DC2F2C">
        <w:rPr>
          <w:lang w:val="fr-FR"/>
        </w:rPr>
        <w:t xml:space="preserve">et soit n’ayant reçu aucun traitement antérieur, soit pas plus d’un traitement systémique antérieur pour </w:t>
      </w:r>
      <w:r w:rsidR="00F9206E" w:rsidRPr="00DC2F2C">
        <w:rPr>
          <w:lang w:val="fr-FR"/>
        </w:rPr>
        <w:t>leur</w:t>
      </w:r>
      <w:r w:rsidR="00927525" w:rsidRPr="00DC2F2C">
        <w:rPr>
          <w:lang w:val="fr-FR"/>
        </w:rPr>
        <w:t xml:space="preserve"> maladie métastatique </w:t>
      </w:r>
      <w:r w:rsidR="009B2D74" w:rsidRPr="00DC2F2C">
        <w:rPr>
          <w:lang w:val="fr-FR"/>
        </w:rPr>
        <w:t>(immunoth</w:t>
      </w:r>
      <w:r w:rsidR="00927525" w:rsidRPr="00DC2F2C">
        <w:rPr>
          <w:lang w:val="fr-FR"/>
        </w:rPr>
        <w:t>é</w:t>
      </w:r>
      <w:r w:rsidR="009B2D74" w:rsidRPr="00DC2F2C">
        <w:rPr>
          <w:lang w:val="fr-FR"/>
        </w:rPr>
        <w:t>rap</w:t>
      </w:r>
      <w:r w:rsidR="00927525" w:rsidRPr="00DC2F2C">
        <w:rPr>
          <w:lang w:val="fr-FR"/>
        </w:rPr>
        <w:t>ie</w:t>
      </w:r>
      <w:r w:rsidR="009B2D74" w:rsidRPr="00DC2F2C">
        <w:rPr>
          <w:lang w:val="fr-FR"/>
        </w:rPr>
        <w:t>/</w:t>
      </w:r>
      <w:r w:rsidR="00927525" w:rsidRPr="00DC2F2C">
        <w:rPr>
          <w:lang w:val="fr-FR"/>
        </w:rPr>
        <w:t>chimiothérapie</w:t>
      </w:r>
      <w:r w:rsidR="009B2D74" w:rsidRPr="00DC2F2C">
        <w:rPr>
          <w:lang w:val="fr-FR"/>
        </w:rPr>
        <w:t>)</w:t>
      </w:r>
      <w:r w:rsidR="00927525" w:rsidRPr="00DC2F2C">
        <w:rPr>
          <w:lang w:val="fr-FR"/>
        </w:rPr>
        <w:t> </w:t>
      </w:r>
      <w:r w:rsidR="009B2D74" w:rsidRPr="00DC2F2C">
        <w:rPr>
          <w:lang w:val="fr-FR"/>
        </w:rPr>
        <w:t xml:space="preserve">; </w:t>
      </w:r>
      <w:r w:rsidR="009D0D17" w:rsidRPr="00DC2F2C">
        <w:rPr>
          <w:lang w:val="fr-FR"/>
        </w:rPr>
        <w:t>un traitement antérieur ciblant le</w:t>
      </w:r>
      <w:r w:rsidR="009B2D74" w:rsidRPr="00DC2F2C">
        <w:rPr>
          <w:lang w:val="fr-FR"/>
        </w:rPr>
        <w:t xml:space="preserve"> VEGF </w:t>
      </w:r>
      <w:r w:rsidR="009D0D17" w:rsidRPr="00DC2F2C">
        <w:rPr>
          <w:lang w:val="fr-FR"/>
        </w:rPr>
        <w:t>ou</w:t>
      </w:r>
      <w:r w:rsidR="009B2D74" w:rsidRPr="00DC2F2C">
        <w:rPr>
          <w:lang w:val="fr-FR"/>
        </w:rPr>
        <w:t xml:space="preserve"> </w:t>
      </w:r>
      <w:r w:rsidR="009D0D17" w:rsidRPr="00DC2F2C">
        <w:rPr>
          <w:lang w:val="fr-FR"/>
        </w:rPr>
        <w:t xml:space="preserve">la </w:t>
      </w:r>
      <w:r w:rsidR="009D0D17" w:rsidRPr="00DC2F2C">
        <w:rPr>
          <w:lang w:val="fr-FR"/>
        </w:rPr>
        <w:lastRenderedPageBreak/>
        <w:t>mTOR</w:t>
      </w:r>
      <w:r w:rsidR="008B0191" w:rsidRPr="00DC2F2C">
        <w:rPr>
          <w:lang w:val="fr-FR"/>
        </w:rPr>
        <w:t xml:space="preserve"> (</w:t>
      </w:r>
      <w:proofErr w:type="spellStart"/>
      <w:r w:rsidR="008B0191" w:rsidRPr="00DC2F2C">
        <w:rPr>
          <w:i/>
          <w:lang w:val="fr-FR"/>
        </w:rPr>
        <w:t>mechanistic</w:t>
      </w:r>
      <w:proofErr w:type="spellEnd"/>
      <w:r w:rsidR="008B0191" w:rsidRPr="00DC2F2C">
        <w:rPr>
          <w:i/>
          <w:lang w:val="fr-FR"/>
        </w:rPr>
        <w:t xml:space="preserve"> Target of </w:t>
      </w:r>
      <w:proofErr w:type="spellStart"/>
      <w:r w:rsidR="008B0191" w:rsidRPr="00DC2F2C">
        <w:rPr>
          <w:i/>
          <w:lang w:val="fr-FR"/>
        </w:rPr>
        <w:t>Rapamycin</w:t>
      </w:r>
      <w:proofErr w:type="spellEnd"/>
      <w:r w:rsidR="008B0191" w:rsidRPr="00DC2F2C">
        <w:rPr>
          <w:lang w:val="fr-FR"/>
        </w:rPr>
        <w:t>)</w:t>
      </w:r>
      <w:r w:rsidR="009D0D17" w:rsidRPr="00DC2F2C">
        <w:rPr>
          <w:lang w:val="fr-FR"/>
        </w:rPr>
        <w:t xml:space="preserve"> n’était pas autorisé</w:t>
      </w:r>
      <w:r w:rsidR="009B2D74" w:rsidRPr="00DC2F2C">
        <w:rPr>
          <w:lang w:val="fr-FR"/>
        </w:rPr>
        <w:t xml:space="preserve">. </w:t>
      </w:r>
      <w:r w:rsidR="006F4FB5" w:rsidRPr="00DC2F2C">
        <w:rPr>
          <w:lang w:val="fr-FR"/>
        </w:rPr>
        <w:t>Le passage dans le bras</w:t>
      </w:r>
      <w:r w:rsidR="009B2D74" w:rsidRPr="00DC2F2C">
        <w:rPr>
          <w:lang w:val="fr-FR"/>
        </w:rPr>
        <w:t xml:space="preserve"> </w:t>
      </w:r>
      <w:proofErr w:type="spellStart"/>
      <w:r w:rsidR="005F4D84" w:rsidRPr="00DC2F2C">
        <w:rPr>
          <w:lang w:val="fr-FR"/>
        </w:rPr>
        <w:t>tivozanib</w:t>
      </w:r>
      <w:proofErr w:type="spellEnd"/>
      <w:r w:rsidR="009B2D74" w:rsidRPr="00DC2F2C">
        <w:rPr>
          <w:lang w:val="fr-FR"/>
        </w:rPr>
        <w:t xml:space="preserve"> </w:t>
      </w:r>
      <w:r w:rsidR="006F4FB5" w:rsidRPr="00DC2F2C">
        <w:rPr>
          <w:lang w:val="fr-FR"/>
        </w:rPr>
        <w:t>était autorisé en cas de progression d’après les critères RECIST</w:t>
      </w:r>
      <w:r w:rsidR="00544DF6" w:rsidRPr="00DC2F2C">
        <w:rPr>
          <w:lang w:val="fr-FR"/>
        </w:rPr>
        <w:t xml:space="preserve"> </w:t>
      </w:r>
      <w:r w:rsidR="006F4FB5" w:rsidRPr="00DC2F2C">
        <w:rPr>
          <w:lang w:val="fr-FR"/>
        </w:rPr>
        <w:t>(</w:t>
      </w:r>
      <w:proofErr w:type="spellStart"/>
      <w:r w:rsidR="00544DF6" w:rsidRPr="00DC2F2C">
        <w:rPr>
          <w:i/>
          <w:lang w:val="fr-FR"/>
        </w:rPr>
        <w:t>Response</w:t>
      </w:r>
      <w:proofErr w:type="spellEnd"/>
      <w:r w:rsidR="00544DF6" w:rsidRPr="00DC2F2C">
        <w:rPr>
          <w:i/>
          <w:lang w:val="fr-FR"/>
        </w:rPr>
        <w:t xml:space="preserve"> Evaluation </w:t>
      </w:r>
      <w:proofErr w:type="spellStart"/>
      <w:r w:rsidR="00544DF6" w:rsidRPr="00DC2F2C">
        <w:rPr>
          <w:i/>
          <w:lang w:val="fr-FR"/>
        </w:rPr>
        <w:t>Criteria</w:t>
      </w:r>
      <w:proofErr w:type="spellEnd"/>
      <w:r w:rsidR="00544DF6" w:rsidRPr="00DC2F2C">
        <w:rPr>
          <w:i/>
          <w:lang w:val="fr-FR"/>
        </w:rPr>
        <w:t xml:space="preserve"> In Solid </w:t>
      </w:r>
      <w:proofErr w:type="spellStart"/>
      <w:r w:rsidR="00544DF6" w:rsidRPr="00DC2F2C">
        <w:rPr>
          <w:i/>
          <w:lang w:val="fr-FR"/>
        </w:rPr>
        <w:t>Tumours</w:t>
      </w:r>
      <w:proofErr w:type="spellEnd"/>
      <w:r w:rsidR="00544DF6" w:rsidRPr="00DC2F2C">
        <w:rPr>
          <w:lang w:val="fr-FR"/>
        </w:rPr>
        <w:t>)</w:t>
      </w:r>
      <w:r w:rsidR="006F4FB5" w:rsidRPr="00DC2F2C">
        <w:rPr>
          <w:lang w:val="fr-FR"/>
        </w:rPr>
        <w:t xml:space="preserve"> sous </w:t>
      </w:r>
      <w:proofErr w:type="spellStart"/>
      <w:r w:rsidR="009B2D74" w:rsidRPr="00DC2F2C">
        <w:rPr>
          <w:lang w:val="fr-FR"/>
        </w:rPr>
        <w:t>soraf</w:t>
      </w:r>
      <w:r w:rsidR="006F4FB5" w:rsidRPr="00DC2F2C">
        <w:rPr>
          <w:lang w:val="fr-FR"/>
        </w:rPr>
        <w:t>é</w:t>
      </w:r>
      <w:r w:rsidR="009B2D74" w:rsidRPr="00DC2F2C">
        <w:rPr>
          <w:lang w:val="fr-FR"/>
        </w:rPr>
        <w:t>nib</w:t>
      </w:r>
      <w:proofErr w:type="spellEnd"/>
      <w:r w:rsidR="009B2D74" w:rsidRPr="00DC2F2C">
        <w:rPr>
          <w:lang w:val="fr-FR"/>
        </w:rPr>
        <w:t xml:space="preserve"> </w:t>
      </w:r>
      <w:r w:rsidR="006F4FB5" w:rsidRPr="00DC2F2C">
        <w:rPr>
          <w:lang w:val="fr-FR"/>
        </w:rPr>
        <w:t>dans le cadre du protocole d’une étude d’extension séparée</w:t>
      </w:r>
      <w:r w:rsidR="009B2D74" w:rsidRPr="00DC2F2C">
        <w:rPr>
          <w:lang w:val="fr-FR"/>
        </w:rPr>
        <w:t xml:space="preserve">. </w:t>
      </w:r>
    </w:p>
    <w:p w14:paraId="2A0685B7" w14:textId="77777777" w:rsidR="00C76F02" w:rsidRDefault="00C76F02" w:rsidP="009D43DC">
      <w:pPr>
        <w:pStyle w:val="C-BodyText"/>
        <w:spacing w:before="0" w:after="0" w:line="240" w:lineRule="auto"/>
        <w:ind w:right="549"/>
        <w:rPr>
          <w:sz w:val="22"/>
          <w:szCs w:val="22"/>
          <w:lang w:val="fr-FR"/>
        </w:rPr>
      </w:pPr>
    </w:p>
    <w:p w14:paraId="5744814A" w14:textId="77777777" w:rsidR="009D6445" w:rsidRDefault="006F4FB5" w:rsidP="000A5BB2">
      <w:pPr>
        <w:rPr>
          <w:lang w:val="fr-FR"/>
        </w:rPr>
      </w:pPr>
      <w:r w:rsidRPr="00DC2F2C">
        <w:rPr>
          <w:lang w:val="fr-FR"/>
        </w:rPr>
        <w:t>Le critère de jugement principal de l’étude était la survie sans progression</w:t>
      </w:r>
      <w:r w:rsidR="009B2D74" w:rsidRPr="00DC2F2C">
        <w:rPr>
          <w:lang w:val="fr-FR"/>
        </w:rPr>
        <w:t xml:space="preserve"> (</w:t>
      </w:r>
      <w:r w:rsidRPr="00DC2F2C">
        <w:rPr>
          <w:lang w:val="fr-FR"/>
        </w:rPr>
        <w:t>SSP</w:t>
      </w:r>
      <w:r w:rsidR="009B2D74" w:rsidRPr="00DC2F2C">
        <w:rPr>
          <w:lang w:val="fr-FR"/>
        </w:rPr>
        <w:t xml:space="preserve">) </w:t>
      </w:r>
      <w:r w:rsidR="00FE6332" w:rsidRPr="00DC2F2C">
        <w:rPr>
          <w:lang w:val="fr-FR"/>
        </w:rPr>
        <w:t>d’après un examen radiologique indépendant en aveugle </w:t>
      </w:r>
      <w:r w:rsidR="009B2D74" w:rsidRPr="00DC2F2C">
        <w:rPr>
          <w:lang w:val="fr-FR"/>
        </w:rPr>
        <w:t xml:space="preserve">; </w:t>
      </w:r>
      <w:r w:rsidR="00FE6332" w:rsidRPr="00DC2F2C">
        <w:rPr>
          <w:lang w:val="fr-FR"/>
        </w:rPr>
        <w:t>les critères de jugement secondaires clés incluaient la survie globale</w:t>
      </w:r>
      <w:r w:rsidR="009B2D74" w:rsidRPr="00DC2F2C">
        <w:rPr>
          <w:lang w:val="fr-FR"/>
        </w:rPr>
        <w:t xml:space="preserve"> (</w:t>
      </w:r>
      <w:r w:rsidR="00FE6332" w:rsidRPr="00DC2F2C">
        <w:rPr>
          <w:lang w:val="fr-FR"/>
        </w:rPr>
        <w:t>SG</w:t>
      </w:r>
      <w:r w:rsidR="009B2D74" w:rsidRPr="00DC2F2C">
        <w:rPr>
          <w:lang w:val="fr-FR"/>
        </w:rPr>
        <w:t xml:space="preserve">) </w:t>
      </w:r>
      <w:r w:rsidR="00FE6332" w:rsidRPr="00DC2F2C">
        <w:rPr>
          <w:lang w:val="fr-FR"/>
        </w:rPr>
        <w:t xml:space="preserve">et le taux de réponse </w:t>
      </w:r>
      <w:r w:rsidR="009B2D74" w:rsidRPr="00DC2F2C">
        <w:rPr>
          <w:lang w:val="fr-FR"/>
        </w:rPr>
        <w:t>objective (</w:t>
      </w:r>
      <w:r w:rsidR="00FE6332" w:rsidRPr="00DC2F2C">
        <w:rPr>
          <w:lang w:val="fr-FR"/>
        </w:rPr>
        <w:t>TRO</w:t>
      </w:r>
      <w:r w:rsidR="009B2D74" w:rsidRPr="00DC2F2C">
        <w:rPr>
          <w:lang w:val="fr-FR"/>
        </w:rPr>
        <w:t xml:space="preserve">) </w:t>
      </w:r>
      <w:r w:rsidR="00FE6332" w:rsidRPr="00DC2F2C">
        <w:rPr>
          <w:lang w:val="fr-FR"/>
        </w:rPr>
        <w:t>d’après un examen radiologique indépendant</w:t>
      </w:r>
      <w:r w:rsidR="009B2D74" w:rsidRPr="00DC2F2C">
        <w:rPr>
          <w:lang w:val="fr-FR"/>
        </w:rPr>
        <w:t xml:space="preserve">. </w:t>
      </w:r>
    </w:p>
    <w:p w14:paraId="7A20DC7B" w14:textId="77777777" w:rsidR="002043D6" w:rsidRPr="00DC2F2C" w:rsidRDefault="002043D6" w:rsidP="009D43DC">
      <w:pPr>
        <w:pStyle w:val="C-BodyText"/>
        <w:spacing w:before="0" w:after="0" w:line="240" w:lineRule="auto"/>
        <w:ind w:right="549"/>
        <w:rPr>
          <w:sz w:val="22"/>
          <w:szCs w:val="22"/>
          <w:lang w:val="fr-FR"/>
        </w:rPr>
      </w:pPr>
    </w:p>
    <w:p w14:paraId="59B74A67" w14:textId="77777777" w:rsidR="009B2D74" w:rsidRPr="00DC2F2C" w:rsidRDefault="0091709E" w:rsidP="000A5BB2">
      <w:pPr>
        <w:rPr>
          <w:lang w:val="fr-FR"/>
        </w:rPr>
      </w:pPr>
      <w:r w:rsidRPr="00DC2F2C">
        <w:rPr>
          <w:lang w:val="fr-FR"/>
        </w:rPr>
        <w:t>La population en intention de traiter</w:t>
      </w:r>
      <w:r w:rsidR="009B2D74" w:rsidRPr="00DC2F2C">
        <w:rPr>
          <w:lang w:val="fr-FR"/>
        </w:rPr>
        <w:t xml:space="preserve"> (ITT) </w:t>
      </w:r>
      <w:r w:rsidRPr="00DC2F2C">
        <w:rPr>
          <w:lang w:val="fr-FR"/>
        </w:rPr>
        <w:t>incluait</w:t>
      </w:r>
      <w:r w:rsidR="009B2D74" w:rsidRPr="00DC2F2C">
        <w:rPr>
          <w:lang w:val="fr-FR"/>
        </w:rPr>
        <w:t xml:space="preserve"> 517</w:t>
      </w:r>
      <w:r w:rsidR="005A2932" w:rsidRPr="00DC2F2C">
        <w:rPr>
          <w:lang w:val="fr-FR"/>
        </w:rPr>
        <w:t> </w:t>
      </w:r>
      <w:r w:rsidR="009B2D74" w:rsidRPr="00DC2F2C">
        <w:rPr>
          <w:lang w:val="fr-FR"/>
        </w:rPr>
        <w:t>patients, 260</w:t>
      </w:r>
      <w:r w:rsidR="005A2932" w:rsidRPr="00DC2F2C">
        <w:rPr>
          <w:lang w:val="fr-FR"/>
        </w:rPr>
        <w:t> </w:t>
      </w:r>
      <w:r w:rsidR="001D4A7E" w:rsidRPr="00DC2F2C">
        <w:rPr>
          <w:lang w:val="fr-FR"/>
        </w:rPr>
        <w:t>randomis</w:t>
      </w:r>
      <w:r w:rsidRPr="00DC2F2C">
        <w:rPr>
          <w:lang w:val="fr-FR"/>
        </w:rPr>
        <w:t>és dans le bras</w:t>
      </w:r>
      <w:r w:rsidR="009B2D74" w:rsidRPr="00DC2F2C">
        <w:rPr>
          <w:lang w:val="fr-FR"/>
        </w:rPr>
        <w:t xml:space="preserve"> </w:t>
      </w:r>
      <w:proofErr w:type="spellStart"/>
      <w:r w:rsidR="005F4D84" w:rsidRPr="00DC2F2C">
        <w:rPr>
          <w:lang w:val="fr-FR"/>
        </w:rPr>
        <w:t>tivozanib</w:t>
      </w:r>
      <w:proofErr w:type="spellEnd"/>
      <w:r w:rsidR="009B2D74" w:rsidRPr="00DC2F2C">
        <w:rPr>
          <w:lang w:val="fr-FR"/>
        </w:rPr>
        <w:t xml:space="preserve"> </w:t>
      </w:r>
      <w:r w:rsidRPr="00DC2F2C">
        <w:rPr>
          <w:lang w:val="fr-FR"/>
        </w:rPr>
        <w:t>et</w:t>
      </w:r>
      <w:r w:rsidR="009B2D74" w:rsidRPr="00DC2F2C">
        <w:rPr>
          <w:lang w:val="fr-FR"/>
        </w:rPr>
        <w:t xml:space="preserve"> 257</w:t>
      </w:r>
      <w:r w:rsidR="005A2932" w:rsidRPr="00DC2F2C">
        <w:rPr>
          <w:lang w:val="fr-FR"/>
        </w:rPr>
        <w:t> </w:t>
      </w:r>
      <w:r w:rsidRPr="00DC2F2C">
        <w:rPr>
          <w:lang w:val="fr-FR"/>
        </w:rPr>
        <w:t>randomisés dans le bras</w:t>
      </w:r>
      <w:r w:rsidR="009B2D74" w:rsidRPr="00DC2F2C">
        <w:rPr>
          <w:lang w:val="fr-FR"/>
        </w:rPr>
        <w:t xml:space="preserve"> </w:t>
      </w:r>
      <w:proofErr w:type="spellStart"/>
      <w:r w:rsidR="009B2D74" w:rsidRPr="00DC2F2C">
        <w:rPr>
          <w:lang w:val="fr-FR"/>
        </w:rPr>
        <w:t>soraf</w:t>
      </w:r>
      <w:r w:rsidRPr="00DC2F2C">
        <w:rPr>
          <w:lang w:val="fr-FR"/>
        </w:rPr>
        <w:t>é</w:t>
      </w:r>
      <w:r w:rsidR="009B2D74" w:rsidRPr="00DC2F2C">
        <w:rPr>
          <w:lang w:val="fr-FR"/>
        </w:rPr>
        <w:t>nib</w:t>
      </w:r>
      <w:proofErr w:type="spellEnd"/>
      <w:r w:rsidR="009B2D74" w:rsidRPr="00DC2F2C">
        <w:rPr>
          <w:lang w:val="fr-FR"/>
        </w:rPr>
        <w:t xml:space="preserve">. </w:t>
      </w:r>
      <w:r w:rsidRPr="00DC2F2C">
        <w:rPr>
          <w:lang w:val="fr-FR"/>
        </w:rPr>
        <w:t>Les caractéristiques démographiques et de la maladie à l’inclusion étaient globalement bien équilibrées entre les bras</w:t>
      </w:r>
      <w:r w:rsidR="00CD77C4" w:rsidRPr="00DC2F2C">
        <w:rPr>
          <w:lang w:val="fr-FR"/>
        </w:rPr>
        <w:t xml:space="preserve"> </w:t>
      </w:r>
      <w:proofErr w:type="spellStart"/>
      <w:r w:rsidR="005F4D84" w:rsidRPr="00DC2F2C">
        <w:rPr>
          <w:bCs/>
          <w:lang w:val="fr-FR"/>
        </w:rPr>
        <w:t>tivozanib</w:t>
      </w:r>
      <w:proofErr w:type="spellEnd"/>
      <w:r w:rsidR="00CD77C4" w:rsidRPr="00DC2F2C">
        <w:rPr>
          <w:bCs/>
          <w:lang w:val="fr-FR"/>
        </w:rPr>
        <w:t xml:space="preserve"> </w:t>
      </w:r>
      <w:r w:rsidRPr="00DC2F2C">
        <w:rPr>
          <w:bCs/>
          <w:lang w:val="fr-FR"/>
        </w:rPr>
        <w:t>et</w:t>
      </w:r>
      <w:r w:rsidR="00CD77C4" w:rsidRPr="00DC2F2C">
        <w:rPr>
          <w:bCs/>
          <w:lang w:val="fr-FR"/>
        </w:rPr>
        <w:t xml:space="preserve"> </w:t>
      </w:r>
      <w:proofErr w:type="spellStart"/>
      <w:r w:rsidR="00CD77C4" w:rsidRPr="00DC2F2C">
        <w:rPr>
          <w:bCs/>
          <w:lang w:val="fr-FR"/>
        </w:rPr>
        <w:t>soraf</w:t>
      </w:r>
      <w:r w:rsidRPr="00DC2F2C">
        <w:rPr>
          <w:bCs/>
          <w:lang w:val="fr-FR"/>
        </w:rPr>
        <w:t>é</w:t>
      </w:r>
      <w:r w:rsidR="00CD77C4" w:rsidRPr="00DC2F2C">
        <w:rPr>
          <w:bCs/>
          <w:lang w:val="fr-FR"/>
        </w:rPr>
        <w:t>nib</w:t>
      </w:r>
      <w:proofErr w:type="spellEnd"/>
      <w:r w:rsidR="00CD77C4" w:rsidRPr="00DC2F2C">
        <w:rPr>
          <w:bCs/>
          <w:lang w:val="fr-FR"/>
        </w:rPr>
        <w:t xml:space="preserve"> </w:t>
      </w:r>
      <w:r w:rsidRPr="00DC2F2C">
        <w:rPr>
          <w:bCs/>
          <w:lang w:val="fr-FR"/>
        </w:rPr>
        <w:t>en ce qui concerne l’âge</w:t>
      </w:r>
      <w:r w:rsidR="00CD77C4" w:rsidRPr="00DC2F2C">
        <w:rPr>
          <w:bCs/>
          <w:lang w:val="fr-FR"/>
        </w:rPr>
        <w:t xml:space="preserve"> </w:t>
      </w:r>
      <w:r w:rsidR="00CD77C4" w:rsidRPr="00DC2F2C">
        <w:rPr>
          <w:bCs/>
          <w:iCs/>
          <w:lang w:val="fr-FR"/>
        </w:rPr>
        <w:t>(</w:t>
      </w:r>
      <w:r w:rsidRPr="00DC2F2C">
        <w:rPr>
          <w:bCs/>
          <w:iCs/>
          <w:lang w:val="fr-FR"/>
        </w:rPr>
        <w:t>âge moyen</w:t>
      </w:r>
      <w:r w:rsidR="00CD77C4" w:rsidRPr="00DC2F2C">
        <w:rPr>
          <w:bCs/>
          <w:iCs/>
          <w:lang w:val="fr-FR"/>
        </w:rPr>
        <w:t xml:space="preserve"> 58</w:t>
      </w:r>
      <w:r w:rsidRPr="00DC2F2C">
        <w:rPr>
          <w:bCs/>
          <w:iCs/>
          <w:lang w:val="fr-FR"/>
        </w:rPr>
        <w:t>,</w:t>
      </w:r>
      <w:r w:rsidR="00CD77C4" w:rsidRPr="00DC2F2C">
        <w:rPr>
          <w:bCs/>
          <w:iCs/>
          <w:lang w:val="fr-FR"/>
        </w:rPr>
        <w:t xml:space="preserve">2 </w:t>
      </w:r>
      <w:r w:rsidR="00CD77C4" w:rsidRPr="00DC2F2C">
        <w:rPr>
          <w:bCs/>
          <w:i/>
          <w:iCs/>
          <w:lang w:val="fr-FR"/>
        </w:rPr>
        <w:t>vs</w:t>
      </w:r>
      <w:r w:rsidR="00CD77C4" w:rsidRPr="00DC2F2C">
        <w:rPr>
          <w:bCs/>
          <w:iCs/>
          <w:lang w:val="fr-FR"/>
        </w:rPr>
        <w:t xml:space="preserve"> 5</w:t>
      </w:r>
      <w:r w:rsidR="00D27F28" w:rsidRPr="00DC2F2C">
        <w:rPr>
          <w:bCs/>
          <w:iCs/>
          <w:lang w:val="fr-FR"/>
        </w:rPr>
        <w:t>8</w:t>
      </w:r>
      <w:r w:rsidRPr="00DC2F2C">
        <w:rPr>
          <w:bCs/>
          <w:iCs/>
          <w:lang w:val="fr-FR"/>
        </w:rPr>
        <w:t>,</w:t>
      </w:r>
      <w:r w:rsidR="00CD77C4" w:rsidRPr="00DC2F2C">
        <w:rPr>
          <w:bCs/>
          <w:iCs/>
          <w:lang w:val="fr-FR"/>
        </w:rPr>
        <w:t>4 </w:t>
      </w:r>
      <w:r w:rsidRPr="00DC2F2C">
        <w:rPr>
          <w:bCs/>
          <w:iCs/>
          <w:lang w:val="fr-FR"/>
        </w:rPr>
        <w:t>ans respectivement</w:t>
      </w:r>
      <w:r w:rsidR="00CD77C4" w:rsidRPr="00DC2F2C">
        <w:rPr>
          <w:bCs/>
          <w:iCs/>
          <w:lang w:val="fr-FR"/>
        </w:rPr>
        <w:t>),</w:t>
      </w:r>
      <w:r w:rsidR="00CD77C4" w:rsidRPr="00DC2F2C">
        <w:rPr>
          <w:bCs/>
          <w:lang w:val="fr-FR"/>
        </w:rPr>
        <w:t xml:space="preserve"> </w:t>
      </w:r>
      <w:r w:rsidRPr="00DC2F2C">
        <w:rPr>
          <w:bCs/>
          <w:lang w:val="fr-FR"/>
        </w:rPr>
        <w:t>le sexe</w:t>
      </w:r>
      <w:r w:rsidR="00CD77C4" w:rsidRPr="00DC2F2C">
        <w:rPr>
          <w:bCs/>
          <w:lang w:val="fr-FR"/>
        </w:rPr>
        <w:t xml:space="preserve"> </w:t>
      </w:r>
      <w:r w:rsidRPr="00DC2F2C">
        <w:rPr>
          <w:bCs/>
          <w:iCs/>
          <w:lang w:val="fr-FR"/>
        </w:rPr>
        <w:t>(71,</w:t>
      </w:r>
      <w:r w:rsidR="00CD77C4" w:rsidRPr="00DC2F2C">
        <w:rPr>
          <w:bCs/>
          <w:iCs/>
          <w:lang w:val="fr-FR"/>
        </w:rPr>
        <w:t>2</w:t>
      </w:r>
      <w:r w:rsidRPr="00DC2F2C">
        <w:rPr>
          <w:bCs/>
          <w:iCs/>
          <w:lang w:val="fr-FR"/>
        </w:rPr>
        <w:t> </w:t>
      </w:r>
      <w:r w:rsidR="00CD77C4" w:rsidRPr="00DC2F2C">
        <w:rPr>
          <w:bCs/>
          <w:iCs/>
          <w:lang w:val="fr-FR"/>
        </w:rPr>
        <w:t xml:space="preserve">% </w:t>
      </w:r>
      <w:r w:rsidR="00CD77C4" w:rsidRPr="00DC2F2C">
        <w:rPr>
          <w:bCs/>
          <w:i/>
          <w:iCs/>
          <w:lang w:val="fr-FR"/>
        </w:rPr>
        <w:t>vs</w:t>
      </w:r>
      <w:r w:rsidRPr="00DC2F2C">
        <w:rPr>
          <w:bCs/>
          <w:iCs/>
          <w:lang w:val="fr-FR"/>
        </w:rPr>
        <w:t xml:space="preserve"> 73,</w:t>
      </w:r>
      <w:r w:rsidR="00CD77C4" w:rsidRPr="00DC2F2C">
        <w:rPr>
          <w:bCs/>
          <w:iCs/>
          <w:lang w:val="fr-FR"/>
        </w:rPr>
        <w:t>5</w:t>
      </w:r>
      <w:r w:rsidRPr="00DC2F2C">
        <w:rPr>
          <w:bCs/>
          <w:iCs/>
          <w:lang w:val="fr-FR"/>
        </w:rPr>
        <w:t> </w:t>
      </w:r>
      <w:r w:rsidR="00CD77C4" w:rsidRPr="00DC2F2C">
        <w:rPr>
          <w:bCs/>
          <w:iCs/>
          <w:lang w:val="fr-FR"/>
        </w:rPr>
        <w:t xml:space="preserve">% </w:t>
      </w:r>
      <w:r w:rsidRPr="00DC2F2C">
        <w:rPr>
          <w:bCs/>
          <w:iCs/>
          <w:lang w:val="fr-FR"/>
        </w:rPr>
        <w:t>d’hommes respectivement</w:t>
      </w:r>
      <w:r w:rsidR="00CD77C4" w:rsidRPr="00DC2F2C">
        <w:rPr>
          <w:bCs/>
          <w:iCs/>
          <w:lang w:val="fr-FR"/>
        </w:rPr>
        <w:t>)</w:t>
      </w:r>
      <w:r w:rsidR="00CD77C4" w:rsidRPr="00DC2F2C">
        <w:rPr>
          <w:bCs/>
          <w:lang w:val="fr-FR"/>
        </w:rPr>
        <w:t xml:space="preserve">, </w:t>
      </w:r>
      <w:r w:rsidRPr="00DC2F2C">
        <w:rPr>
          <w:bCs/>
          <w:lang w:val="fr-FR"/>
        </w:rPr>
        <w:t>l’origine ethnique</w:t>
      </w:r>
      <w:r w:rsidR="00CD77C4" w:rsidRPr="00DC2F2C">
        <w:rPr>
          <w:bCs/>
          <w:lang w:val="fr-FR"/>
        </w:rPr>
        <w:t xml:space="preserve"> (</w:t>
      </w:r>
      <w:r w:rsidR="00CD77C4" w:rsidRPr="00DC2F2C">
        <w:rPr>
          <w:bCs/>
          <w:iCs/>
          <w:lang w:val="fr-FR"/>
        </w:rPr>
        <w:t>95</w:t>
      </w:r>
      <w:r w:rsidRPr="00DC2F2C">
        <w:rPr>
          <w:bCs/>
          <w:iCs/>
          <w:lang w:val="fr-FR"/>
        </w:rPr>
        <w:t>,</w:t>
      </w:r>
      <w:r w:rsidR="00CD77C4" w:rsidRPr="00DC2F2C">
        <w:rPr>
          <w:bCs/>
          <w:iCs/>
          <w:lang w:val="fr-FR"/>
        </w:rPr>
        <w:t>8</w:t>
      </w:r>
      <w:r w:rsidRPr="00DC2F2C">
        <w:rPr>
          <w:bCs/>
          <w:iCs/>
          <w:lang w:val="fr-FR"/>
        </w:rPr>
        <w:t> </w:t>
      </w:r>
      <w:r w:rsidR="00CD77C4" w:rsidRPr="00DC2F2C">
        <w:rPr>
          <w:bCs/>
          <w:iCs/>
          <w:lang w:val="fr-FR"/>
        </w:rPr>
        <w:t xml:space="preserve">% </w:t>
      </w:r>
      <w:r w:rsidR="00CD77C4" w:rsidRPr="00DC2F2C">
        <w:rPr>
          <w:bCs/>
          <w:i/>
          <w:iCs/>
          <w:lang w:val="fr-FR"/>
        </w:rPr>
        <w:t>vs</w:t>
      </w:r>
      <w:r w:rsidR="00CD77C4" w:rsidRPr="00DC2F2C">
        <w:rPr>
          <w:bCs/>
          <w:iCs/>
          <w:lang w:val="fr-FR"/>
        </w:rPr>
        <w:t xml:space="preserve"> </w:t>
      </w:r>
      <w:r w:rsidRPr="00DC2F2C">
        <w:rPr>
          <w:bCs/>
          <w:iCs/>
          <w:lang w:val="fr-FR"/>
        </w:rPr>
        <w:t>96,</w:t>
      </w:r>
      <w:r w:rsidR="00CD77C4" w:rsidRPr="00DC2F2C">
        <w:rPr>
          <w:bCs/>
          <w:iCs/>
          <w:lang w:val="fr-FR"/>
        </w:rPr>
        <w:t>9</w:t>
      </w:r>
      <w:r w:rsidRPr="00DC2F2C">
        <w:rPr>
          <w:bCs/>
          <w:iCs/>
          <w:lang w:val="fr-FR"/>
        </w:rPr>
        <w:t> </w:t>
      </w:r>
      <w:r w:rsidR="00CD77C4" w:rsidRPr="00DC2F2C">
        <w:rPr>
          <w:bCs/>
          <w:iCs/>
          <w:lang w:val="fr-FR"/>
        </w:rPr>
        <w:t xml:space="preserve">% </w:t>
      </w:r>
      <w:r w:rsidRPr="00DC2F2C">
        <w:rPr>
          <w:bCs/>
          <w:iCs/>
          <w:lang w:val="fr-FR"/>
        </w:rPr>
        <w:t>de Blancs respectivement</w:t>
      </w:r>
      <w:r w:rsidR="00CD77C4" w:rsidRPr="00DC2F2C">
        <w:rPr>
          <w:bCs/>
          <w:iCs/>
          <w:lang w:val="fr-FR"/>
        </w:rPr>
        <w:t xml:space="preserve">), </w:t>
      </w:r>
      <w:r w:rsidRPr="00DC2F2C">
        <w:rPr>
          <w:bCs/>
          <w:lang w:val="fr-FR"/>
        </w:rPr>
        <w:t>la zone géographique</w:t>
      </w:r>
      <w:r w:rsidR="00CD77C4" w:rsidRPr="00DC2F2C">
        <w:rPr>
          <w:bCs/>
          <w:lang w:val="fr-FR"/>
        </w:rPr>
        <w:t xml:space="preserve"> </w:t>
      </w:r>
      <w:r w:rsidRPr="00DC2F2C">
        <w:rPr>
          <w:bCs/>
          <w:iCs/>
          <w:lang w:val="fr-FR"/>
        </w:rPr>
        <w:t>(88,</w:t>
      </w:r>
      <w:r w:rsidR="00CD77C4" w:rsidRPr="00DC2F2C">
        <w:rPr>
          <w:bCs/>
          <w:iCs/>
          <w:lang w:val="fr-FR"/>
        </w:rPr>
        <w:t>1</w:t>
      </w:r>
      <w:r w:rsidRPr="00DC2F2C">
        <w:rPr>
          <w:bCs/>
          <w:iCs/>
          <w:lang w:val="fr-FR"/>
        </w:rPr>
        <w:t> </w:t>
      </w:r>
      <w:r w:rsidR="00CD77C4" w:rsidRPr="00DC2F2C">
        <w:rPr>
          <w:bCs/>
          <w:iCs/>
          <w:lang w:val="fr-FR"/>
        </w:rPr>
        <w:t xml:space="preserve">% </w:t>
      </w:r>
      <w:r w:rsidR="00CD77C4" w:rsidRPr="00DC2F2C">
        <w:rPr>
          <w:bCs/>
          <w:i/>
          <w:iCs/>
          <w:lang w:val="fr-FR"/>
        </w:rPr>
        <w:t>vs</w:t>
      </w:r>
      <w:r w:rsidRPr="00DC2F2C">
        <w:rPr>
          <w:bCs/>
          <w:iCs/>
          <w:lang w:val="fr-FR"/>
        </w:rPr>
        <w:t xml:space="preserve"> 88,</w:t>
      </w:r>
      <w:r w:rsidR="00CD77C4" w:rsidRPr="00DC2F2C">
        <w:rPr>
          <w:bCs/>
          <w:iCs/>
          <w:lang w:val="fr-FR"/>
        </w:rPr>
        <w:t>7</w:t>
      </w:r>
      <w:r w:rsidRPr="00DC2F2C">
        <w:rPr>
          <w:bCs/>
          <w:iCs/>
          <w:lang w:val="fr-FR"/>
        </w:rPr>
        <w:t> </w:t>
      </w:r>
      <w:r w:rsidR="00CD77C4" w:rsidRPr="00DC2F2C">
        <w:rPr>
          <w:bCs/>
          <w:iCs/>
          <w:lang w:val="fr-FR"/>
        </w:rPr>
        <w:t xml:space="preserve">% </w:t>
      </w:r>
      <w:r w:rsidRPr="00DC2F2C">
        <w:rPr>
          <w:bCs/>
          <w:iCs/>
          <w:lang w:val="fr-FR"/>
        </w:rPr>
        <w:t>de patients d’Europe centrale/orientale respectivement</w:t>
      </w:r>
      <w:r w:rsidR="00CD77C4" w:rsidRPr="00DC2F2C">
        <w:rPr>
          <w:bCs/>
          <w:iCs/>
          <w:lang w:val="fr-FR"/>
        </w:rPr>
        <w:t xml:space="preserve">) </w:t>
      </w:r>
      <w:r w:rsidRPr="00DC2F2C">
        <w:rPr>
          <w:bCs/>
          <w:lang w:val="fr-FR"/>
        </w:rPr>
        <w:t xml:space="preserve">et le traitement antérieur pour </w:t>
      </w:r>
      <w:r w:rsidR="00F9206E" w:rsidRPr="00DC2F2C">
        <w:rPr>
          <w:bCs/>
          <w:lang w:val="fr-FR"/>
        </w:rPr>
        <w:t>le</w:t>
      </w:r>
      <w:r w:rsidRPr="00DC2F2C">
        <w:rPr>
          <w:bCs/>
          <w:lang w:val="fr-FR"/>
        </w:rPr>
        <w:t xml:space="preserve"> CCR métastatique</w:t>
      </w:r>
      <w:r w:rsidR="00CD77C4" w:rsidRPr="00DC2F2C">
        <w:rPr>
          <w:bCs/>
          <w:lang w:val="fr-FR"/>
        </w:rPr>
        <w:t xml:space="preserve"> </w:t>
      </w:r>
      <w:r w:rsidRPr="00DC2F2C">
        <w:rPr>
          <w:bCs/>
          <w:iCs/>
          <w:lang w:val="fr-FR"/>
        </w:rPr>
        <w:t>(69,</w:t>
      </w:r>
      <w:r w:rsidR="00CD77C4" w:rsidRPr="00DC2F2C">
        <w:rPr>
          <w:bCs/>
          <w:iCs/>
          <w:lang w:val="fr-FR"/>
        </w:rPr>
        <w:t>6</w:t>
      </w:r>
      <w:r w:rsidRPr="00DC2F2C">
        <w:rPr>
          <w:bCs/>
          <w:iCs/>
          <w:lang w:val="fr-FR"/>
        </w:rPr>
        <w:t> </w:t>
      </w:r>
      <w:r w:rsidR="00CD77C4" w:rsidRPr="00DC2F2C">
        <w:rPr>
          <w:bCs/>
          <w:iCs/>
          <w:lang w:val="fr-FR"/>
        </w:rPr>
        <w:t xml:space="preserve">% </w:t>
      </w:r>
      <w:r w:rsidR="00CD77C4" w:rsidRPr="00DC2F2C">
        <w:rPr>
          <w:bCs/>
          <w:i/>
          <w:iCs/>
          <w:lang w:val="fr-FR"/>
        </w:rPr>
        <w:t>vs</w:t>
      </w:r>
      <w:r w:rsidRPr="00DC2F2C">
        <w:rPr>
          <w:bCs/>
          <w:iCs/>
          <w:lang w:val="fr-FR"/>
        </w:rPr>
        <w:t xml:space="preserve"> 70,</w:t>
      </w:r>
      <w:r w:rsidR="00CD77C4" w:rsidRPr="00DC2F2C">
        <w:rPr>
          <w:bCs/>
          <w:iCs/>
          <w:lang w:val="fr-FR"/>
        </w:rPr>
        <w:t>8</w:t>
      </w:r>
      <w:r w:rsidRPr="00DC2F2C">
        <w:rPr>
          <w:bCs/>
          <w:iCs/>
          <w:lang w:val="fr-FR"/>
        </w:rPr>
        <w:t> </w:t>
      </w:r>
      <w:r w:rsidR="00CD77C4" w:rsidRPr="00DC2F2C">
        <w:rPr>
          <w:bCs/>
          <w:iCs/>
          <w:lang w:val="fr-FR"/>
        </w:rPr>
        <w:t xml:space="preserve">% </w:t>
      </w:r>
      <w:r w:rsidRPr="00DC2F2C">
        <w:rPr>
          <w:bCs/>
          <w:iCs/>
          <w:lang w:val="fr-FR"/>
        </w:rPr>
        <w:t>de patients naïfs de traitement respectivement</w:t>
      </w:r>
      <w:r w:rsidR="00CD77C4" w:rsidRPr="00DC2F2C">
        <w:rPr>
          <w:bCs/>
          <w:iCs/>
          <w:lang w:val="fr-FR"/>
        </w:rPr>
        <w:t>)</w:t>
      </w:r>
      <w:r w:rsidR="00CD77C4" w:rsidRPr="00DC2F2C">
        <w:rPr>
          <w:bCs/>
          <w:lang w:val="fr-FR"/>
        </w:rPr>
        <w:t xml:space="preserve">. </w:t>
      </w:r>
      <w:r w:rsidR="002B348E" w:rsidRPr="00DC2F2C">
        <w:rPr>
          <w:bCs/>
          <w:lang w:val="fr-FR"/>
        </w:rPr>
        <w:t>Pour les</w:t>
      </w:r>
      <w:r w:rsidR="00CD77C4" w:rsidRPr="00DC2F2C">
        <w:rPr>
          <w:bCs/>
          <w:lang w:val="fr-FR"/>
        </w:rPr>
        <w:t xml:space="preserve"> 30</w:t>
      </w:r>
      <w:r w:rsidR="002B348E" w:rsidRPr="00DC2F2C">
        <w:rPr>
          <w:bCs/>
          <w:lang w:val="fr-FR"/>
        </w:rPr>
        <w:t> </w:t>
      </w:r>
      <w:r w:rsidR="00CD77C4" w:rsidRPr="00DC2F2C">
        <w:rPr>
          <w:bCs/>
          <w:lang w:val="fr-FR"/>
        </w:rPr>
        <w:t xml:space="preserve">% </w:t>
      </w:r>
      <w:r w:rsidR="002B348E" w:rsidRPr="00DC2F2C">
        <w:rPr>
          <w:bCs/>
          <w:lang w:val="fr-FR"/>
        </w:rPr>
        <w:t>de</w:t>
      </w:r>
      <w:r w:rsidR="00CD77C4" w:rsidRPr="00DC2F2C">
        <w:rPr>
          <w:bCs/>
          <w:lang w:val="fr-FR"/>
        </w:rPr>
        <w:t xml:space="preserve"> patients </w:t>
      </w:r>
      <w:r w:rsidR="002B348E" w:rsidRPr="00DC2F2C">
        <w:rPr>
          <w:bCs/>
          <w:lang w:val="fr-FR"/>
        </w:rPr>
        <w:t>ayant reçu un traitement antérieur</w:t>
      </w:r>
      <w:r w:rsidR="00CD77C4" w:rsidRPr="00DC2F2C">
        <w:rPr>
          <w:bCs/>
          <w:lang w:val="fr-FR"/>
        </w:rPr>
        <w:t xml:space="preserve">, </w:t>
      </w:r>
      <w:r w:rsidR="002B348E" w:rsidRPr="00DC2F2C">
        <w:rPr>
          <w:bCs/>
          <w:lang w:val="fr-FR"/>
        </w:rPr>
        <w:t>le traitement prédominant était l’</w:t>
      </w:r>
      <w:r w:rsidR="00CD77C4" w:rsidRPr="00DC2F2C">
        <w:rPr>
          <w:bCs/>
          <w:lang w:val="fr-FR"/>
        </w:rPr>
        <w:t>interf</w:t>
      </w:r>
      <w:r w:rsidR="002B348E" w:rsidRPr="00DC2F2C">
        <w:rPr>
          <w:bCs/>
          <w:lang w:val="fr-FR"/>
        </w:rPr>
        <w:t>é</w:t>
      </w:r>
      <w:r w:rsidR="00CD77C4" w:rsidRPr="00DC2F2C">
        <w:rPr>
          <w:bCs/>
          <w:lang w:val="fr-FR"/>
        </w:rPr>
        <w:t>ron al</w:t>
      </w:r>
      <w:r w:rsidR="00470166" w:rsidRPr="00DC2F2C">
        <w:rPr>
          <w:bCs/>
          <w:lang w:val="fr-FR"/>
        </w:rPr>
        <w:t>ph</w:t>
      </w:r>
      <w:r w:rsidR="00CD77C4" w:rsidRPr="00DC2F2C">
        <w:rPr>
          <w:bCs/>
          <w:lang w:val="fr-FR"/>
        </w:rPr>
        <w:t xml:space="preserve">a </w:t>
      </w:r>
      <w:r w:rsidR="002B348E" w:rsidRPr="00DC2F2C">
        <w:rPr>
          <w:bCs/>
          <w:lang w:val="fr-FR"/>
        </w:rPr>
        <w:t>en monothérapie, reçu par</w:t>
      </w:r>
      <w:r w:rsidR="00CD77C4" w:rsidRPr="00DC2F2C">
        <w:rPr>
          <w:bCs/>
          <w:lang w:val="fr-FR"/>
        </w:rPr>
        <w:t xml:space="preserve"> 75</w:t>
      </w:r>
      <w:r w:rsidR="005A2932" w:rsidRPr="00DC2F2C">
        <w:rPr>
          <w:bCs/>
          <w:lang w:val="fr-FR"/>
        </w:rPr>
        <w:t> </w:t>
      </w:r>
      <w:r w:rsidR="00CD77C4" w:rsidRPr="00DC2F2C">
        <w:rPr>
          <w:bCs/>
          <w:lang w:val="fr-FR"/>
        </w:rPr>
        <w:t xml:space="preserve">patients </w:t>
      </w:r>
      <w:r w:rsidR="002B348E" w:rsidRPr="00DC2F2C">
        <w:rPr>
          <w:bCs/>
          <w:lang w:val="fr-FR"/>
        </w:rPr>
        <w:t>dans le bras</w:t>
      </w:r>
      <w:r w:rsidR="00CD77C4" w:rsidRPr="00DC2F2C">
        <w:rPr>
          <w:bCs/>
          <w:lang w:val="fr-FR"/>
        </w:rPr>
        <w:t xml:space="preserve"> </w:t>
      </w:r>
      <w:proofErr w:type="spellStart"/>
      <w:r w:rsidR="005F4D84" w:rsidRPr="00DC2F2C">
        <w:rPr>
          <w:bCs/>
          <w:lang w:val="fr-FR"/>
        </w:rPr>
        <w:t>tivozanib</w:t>
      </w:r>
      <w:proofErr w:type="spellEnd"/>
      <w:r w:rsidR="00CD77C4" w:rsidRPr="00DC2F2C">
        <w:rPr>
          <w:bCs/>
          <w:lang w:val="fr-FR"/>
        </w:rPr>
        <w:t xml:space="preserve"> </w:t>
      </w:r>
      <w:r w:rsidR="002B348E" w:rsidRPr="00DC2F2C">
        <w:rPr>
          <w:bCs/>
          <w:lang w:val="fr-FR"/>
        </w:rPr>
        <w:t>et</w:t>
      </w:r>
      <w:r w:rsidR="00CD77C4" w:rsidRPr="00DC2F2C">
        <w:rPr>
          <w:bCs/>
          <w:lang w:val="fr-FR"/>
        </w:rPr>
        <w:t xml:space="preserve"> 62</w:t>
      </w:r>
      <w:r w:rsidR="005A2932" w:rsidRPr="00DC2F2C">
        <w:rPr>
          <w:bCs/>
          <w:lang w:val="fr-FR"/>
        </w:rPr>
        <w:t> </w:t>
      </w:r>
      <w:r w:rsidR="00CD77C4" w:rsidRPr="00DC2F2C">
        <w:rPr>
          <w:bCs/>
          <w:lang w:val="fr-FR"/>
        </w:rPr>
        <w:t xml:space="preserve">patients </w:t>
      </w:r>
      <w:r w:rsidR="002B348E" w:rsidRPr="00DC2F2C">
        <w:rPr>
          <w:bCs/>
          <w:lang w:val="fr-FR"/>
        </w:rPr>
        <w:t>dans le bras</w:t>
      </w:r>
      <w:r w:rsidR="00CD77C4" w:rsidRPr="00DC2F2C">
        <w:rPr>
          <w:bCs/>
          <w:lang w:val="fr-FR"/>
        </w:rPr>
        <w:t xml:space="preserve"> </w:t>
      </w:r>
      <w:proofErr w:type="spellStart"/>
      <w:r w:rsidR="00CD77C4" w:rsidRPr="00DC2F2C">
        <w:rPr>
          <w:bCs/>
          <w:lang w:val="fr-FR"/>
        </w:rPr>
        <w:t>soraf</w:t>
      </w:r>
      <w:r w:rsidR="002B348E" w:rsidRPr="00DC2F2C">
        <w:rPr>
          <w:bCs/>
          <w:lang w:val="fr-FR"/>
        </w:rPr>
        <w:t>é</w:t>
      </w:r>
      <w:r w:rsidR="00CD77C4" w:rsidRPr="00DC2F2C">
        <w:rPr>
          <w:bCs/>
          <w:lang w:val="fr-FR"/>
        </w:rPr>
        <w:t>nib</w:t>
      </w:r>
      <w:proofErr w:type="spellEnd"/>
      <w:r w:rsidR="00CD77C4" w:rsidRPr="00DC2F2C">
        <w:rPr>
          <w:bCs/>
          <w:lang w:val="fr-FR"/>
        </w:rPr>
        <w:t>.</w:t>
      </w:r>
      <w:r w:rsidR="009B2D74" w:rsidRPr="00DC2F2C">
        <w:rPr>
          <w:lang w:val="fr-FR"/>
        </w:rPr>
        <w:t xml:space="preserve"> </w:t>
      </w:r>
    </w:p>
    <w:p w14:paraId="67AE24A9" w14:textId="77777777" w:rsidR="00C76F02" w:rsidRDefault="00C76F02" w:rsidP="009D43DC">
      <w:pPr>
        <w:pStyle w:val="C-BodyText"/>
        <w:spacing w:before="0" w:after="0" w:line="240" w:lineRule="auto"/>
        <w:ind w:right="549"/>
        <w:rPr>
          <w:sz w:val="22"/>
          <w:szCs w:val="22"/>
          <w:lang w:val="fr-FR"/>
        </w:rPr>
      </w:pPr>
    </w:p>
    <w:p w14:paraId="1EC16008" w14:textId="77777777" w:rsidR="009B2D74" w:rsidRPr="00DC2F2C" w:rsidRDefault="00433ABB" w:rsidP="000A5BB2">
      <w:pPr>
        <w:rPr>
          <w:lang w:val="fr-FR"/>
        </w:rPr>
      </w:pPr>
      <w:r w:rsidRPr="00DC2F2C">
        <w:rPr>
          <w:lang w:val="fr-FR"/>
        </w:rPr>
        <w:t xml:space="preserve">Le </w:t>
      </w:r>
      <w:proofErr w:type="spellStart"/>
      <w:r w:rsidRPr="00DC2F2C">
        <w:rPr>
          <w:lang w:val="fr-FR"/>
        </w:rPr>
        <w:t>t</w:t>
      </w:r>
      <w:r w:rsidR="005F4D84" w:rsidRPr="00DC2F2C">
        <w:rPr>
          <w:lang w:val="fr-FR"/>
        </w:rPr>
        <w:t>ivozanib</w:t>
      </w:r>
      <w:proofErr w:type="spellEnd"/>
      <w:r w:rsidR="009B2D74" w:rsidRPr="00DC2F2C">
        <w:rPr>
          <w:lang w:val="fr-FR"/>
        </w:rPr>
        <w:t xml:space="preserve"> </w:t>
      </w:r>
      <w:r w:rsidRPr="00DC2F2C">
        <w:rPr>
          <w:lang w:val="fr-FR"/>
        </w:rPr>
        <w:t>a entraîné une amélioration statistiquement significative de la SSP et du TRO par rapport au</w:t>
      </w:r>
      <w:r w:rsidR="009B2D74" w:rsidRPr="00DC2F2C">
        <w:rPr>
          <w:lang w:val="fr-FR"/>
        </w:rPr>
        <w:t xml:space="preserve"> </w:t>
      </w:r>
      <w:proofErr w:type="spellStart"/>
      <w:r w:rsidR="009B2D74" w:rsidRPr="00DC2F2C">
        <w:rPr>
          <w:lang w:val="fr-FR"/>
        </w:rPr>
        <w:t>soraf</w:t>
      </w:r>
      <w:r w:rsidRPr="00DC2F2C">
        <w:rPr>
          <w:lang w:val="fr-FR"/>
        </w:rPr>
        <w:t>é</w:t>
      </w:r>
      <w:r w:rsidR="009B2D74" w:rsidRPr="00DC2F2C">
        <w:rPr>
          <w:lang w:val="fr-FR"/>
        </w:rPr>
        <w:t>nib</w:t>
      </w:r>
      <w:proofErr w:type="spellEnd"/>
      <w:r w:rsidR="009B2D74" w:rsidRPr="00DC2F2C">
        <w:rPr>
          <w:lang w:val="fr-FR"/>
        </w:rPr>
        <w:t xml:space="preserve"> </w:t>
      </w:r>
      <w:r w:rsidRPr="00DC2F2C">
        <w:rPr>
          <w:lang w:val="fr-FR"/>
        </w:rPr>
        <w:t>d’après l’examen</w:t>
      </w:r>
      <w:r w:rsidR="009B2D74" w:rsidRPr="00DC2F2C">
        <w:rPr>
          <w:lang w:val="fr-FR"/>
        </w:rPr>
        <w:t xml:space="preserve"> </w:t>
      </w:r>
      <w:r w:rsidRPr="00DC2F2C">
        <w:rPr>
          <w:lang w:val="fr-FR"/>
        </w:rPr>
        <w:t>radiologique indépendant</w:t>
      </w:r>
      <w:r w:rsidR="009B2D74" w:rsidRPr="00DC2F2C">
        <w:rPr>
          <w:lang w:val="fr-FR"/>
        </w:rPr>
        <w:t xml:space="preserve"> (Table</w:t>
      </w:r>
      <w:r w:rsidR="00197335" w:rsidRPr="00DC2F2C">
        <w:rPr>
          <w:lang w:val="fr-FR"/>
        </w:rPr>
        <w:t>au</w:t>
      </w:r>
      <w:r w:rsidR="009B2D74" w:rsidRPr="00DC2F2C">
        <w:rPr>
          <w:lang w:val="fr-FR"/>
        </w:rPr>
        <w:t xml:space="preserve"> </w:t>
      </w:r>
      <w:r w:rsidR="00597101" w:rsidRPr="00DC2F2C">
        <w:rPr>
          <w:lang w:val="fr-FR"/>
        </w:rPr>
        <w:t>2</w:t>
      </w:r>
      <w:r w:rsidR="00D93171" w:rsidRPr="00DC2F2C">
        <w:rPr>
          <w:lang w:val="fr-FR"/>
        </w:rPr>
        <w:t xml:space="preserve"> </w:t>
      </w:r>
      <w:r w:rsidR="00197335" w:rsidRPr="00DC2F2C">
        <w:rPr>
          <w:lang w:val="fr-FR"/>
        </w:rPr>
        <w:t>et</w:t>
      </w:r>
      <w:r w:rsidR="009B2D74" w:rsidRPr="00DC2F2C">
        <w:rPr>
          <w:lang w:val="fr-FR"/>
        </w:rPr>
        <w:t xml:space="preserve"> Figure 1). </w:t>
      </w:r>
    </w:p>
    <w:p w14:paraId="7B8DD750" w14:textId="77777777" w:rsidR="00357CC6" w:rsidRPr="00DC2F2C" w:rsidRDefault="00357CC6" w:rsidP="009D43DC">
      <w:pPr>
        <w:numPr>
          <w:ilvl w:val="12"/>
          <w:numId w:val="0"/>
        </w:numPr>
        <w:tabs>
          <w:tab w:val="clear" w:pos="567"/>
        </w:tabs>
        <w:ind w:right="549"/>
        <w:rPr>
          <w:szCs w:val="22"/>
          <w:lang w:val="fr-FR"/>
        </w:rPr>
      </w:pPr>
    </w:p>
    <w:p w14:paraId="0B8A120D" w14:textId="77777777" w:rsidR="00732175" w:rsidRPr="00DC2F2C" w:rsidRDefault="005066FB" w:rsidP="000C1BA5">
      <w:pPr>
        <w:pStyle w:val="Caption"/>
        <w:keepNext/>
        <w:ind w:left="993" w:right="549" w:hanging="993"/>
        <w:rPr>
          <w:sz w:val="22"/>
          <w:szCs w:val="22"/>
          <w:lang w:val="fr-FR"/>
        </w:rPr>
      </w:pPr>
      <w:r w:rsidRPr="00DC2F2C">
        <w:rPr>
          <w:sz w:val="22"/>
          <w:szCs w:val="22"/>
          <w:lang w:val="fr-FR"/>
        </w:rPr>
        <w:t xml:space="preserve">Figure </w:t>
      </w:r>
      <w:r w:rsidR="0069099F" w:rsidRPr="006F2649">
        <w:rPr>
          <w:sz w:val="22"/>
          <w:szCs w:val="22"/>
          <w:lang w:val="fr-FR"/>
        </w:rPr>
        <w:fldChar w:fldCharType="begin"/>
      </w:r>
      <w:r w:rsidR="0069099F" w:rsidRPr="00DC2F2C">
        <w:rPr>
          <w:sz w:val="22"/>
          <w:szCs w:val="22"/>
          <w:lang w:val="fr-FR"/>
        </w:rPr>
        <w:instrText xml:space="preserve"> </w:instrText>
      </w:r>
      <w:r w:rsidR="0082785E" w:rsidRPr="00DC2F2C">
        <w:rPr>
          <w:sz w:val="22"/>
          <w:szCs w:val="22"/>
          <w:lang w:val="fr-FR"/>
        </w:rPr>
        <w:instrText>SEQ</w:instrText>
      </w:r>
      <w:r w:rsidR="0069099F" w:rsidRPr="00DC2F2C">
        <w:rPr>
          <w:sz w:val="22"/>
          <w:szCs w:val="22"/>
          <w:lang w:val="fr-FR"/>
        </w:rPr>
        <w:instrText xml:space="preserve"> Figure \* ARABIC </w:instrText>
      </w:r>
      <w:r w:rsidR="0069099F" w:rsidRPr="006F2649">
        <w:rPr>
          <w:sz w:val="22"/>
          <w:szCs w:val="22"/>
          <w:lang w:val="fr-FR"/>
        </w:rPr>
        <w:fldChar w:fldCharType="separate"/>
      </w:r>
      <w:r w:rsidR="00E4299B">
        <w:rPr>
          <w:noProof/>
          <w:sz w:val="22"/>
          <w:szCs w:val="22"/>
          <w:lang w:val="fr-FR"/>
        </w:rPr>
        <w:t>1</w:t>
      </w:r>
      <w:r w:rsidR="0069099F" w:rsidRPr="006F2649">
        <w:rPr>
          <w:sz w:val="22"/>
          <w:szCs w:val="22"/>
          <w:lang w:val="fr-FR"/>
        </w:rPr>
        <w:fldChar w:fldCharType="end"/>
      </w:r>
      <w:r w:rsidR="00F9206E" w:rsidRPr="00DC2F2C">
        <w:rPr>
          <w:sz w:val="22"/>
          <w:szCs w:val="22"/>
          <w:lang w:val="fr-FR"/>
        </w:rPr>
        <w:t> </w:t>
      </w:r>
      <w:r w:rsidR="00732175" w:rsidRPr="00DC2F2C">
        <w:rPr>
          <w:sz w:val="22"/>
          <w:szCs w:val="22"/>
          <w:lang w:val="fr-FR"/>
        </w:rPr>
        <w:t>:</w:t>
      </w:r>
      <w:r w:rsidR="00BB733A" w:rsidRPr="00DC2F2C">
        <w:rPr>
          <w:sz w:val="22"/>
          <w:szCs w:val="22"/>
          <w:lang w:val="fr-FR"/>
        </w:rPr>
        <w:t xml:space="preserve"> </w:t>
      </w:r>
      <w:r w:rsidR="000C1BA5" w:rsidRPr="00DC2F2C">
        <w:rPr>
          <w:sz w:val="22"/>
          <w:szCs w:val="22"/>
          <w:lang w:val="fr-FR"/>
        </w:rPr>
        <w:tab/>
      </w:r>
      <w:r w:rsidR="00F9206E" w:rsidRPr="00DC2F2C">
        <w:rPr>
          <w:sz w:val="22"/>
          <w:szCs w:val="22"/>
          <w:lang w:val="fr-FR"/>
        </w:rPr>
        <w:t xml:space="preserve">Courbe de </w:t>
      </w:r>
      <w:r w:rsidR="00732175" w:rsidRPr="00DC2F2C">
        <w:rPr>
          <w:sz w:val="22"/>
          <w:szCs w:val="22"/>
          <w:lang w:val="fr-FR"/>
        </w:rPr>
        <w:t>Kaplan</w:t>
      </w:r>
      <w:r w:rsidR="00F9206E" w:rsidRPr="00DC2F2C">
        <w:rPr>
          <w:sz w:val="22"/>
          <w:szCs w:val="22"/>
          <w:lang w:val="fr-FR"/>
        </w:rPr>
        <w:t>-</w:t>
      </w:r>
      <w:r w:rsidR="00330919" w:rsidRPr="00DC2F2C">
        <w:rPr>
          <w:sz w:val="22"/>
          <w:szCs w:val="22"/>
          <w:lang w:val="fr-FR"/>
        </w:rPr>
        <w:t>M</w:t>
      </w:r>
      <w:r w:rsidR="00732175" w:rsidRPr="00DC2F2C">
        <w:rPr>
          <w:sz w:val="22"/>
          <w:szCs w:val="22"/>
          <w:lang w:val="fr-FR"/>
        </w:rPr>
        <w:t xml:space="preserve">eier </w:t>
      </w:r>
      <w:r w:rsidR="00F9206E" w:rsidRPr="00DC2F2C">
        <w:rPr>
          <w:sz w:val="22"/>
          <w:szCs w:val="22"/>
          <w:lang w:val="fr-FR"/>
        </w:rPr>
        <w:t>de la survie sans progression</w:t>
      </w:r>
      <w:r w:rsidR="00732175" w:rsidRPr="00DC2F2C">
        <w:rPr>
          <w:sz w:val="22"/>
          <w:szCs w:val="22"/>
          <w:lang w:val="fr-FR"/>
        </w:rPr>
        <w:t xml:space="preserve">, </w:t>
      </w:r>
      <w:r w:rsidR="00F9206E" w:rsidRPr="00DC2F2C">
        <w:rPr>
          <w:sz w:val="22"/>
          <w:szCs w:val="22"/>
          <w:lang w:val="fr-FR"/>
        </w:rPr>
        <w:t>d’après un examen radiologique indépendant</w:t>
      </w:r>
      <w:r w:rsidR="0028294E" w:rsidRPr="00DC2F2C">
        <w:rPr>
          <w:sz w:val="22"/>
          <w:szCs w:val="22"/>
          <w:lang w:val="fr-FR"/>
        </w:rPr>
        <w:t xml:space="preserve"> </w:t>
      </w:r>
      <w:r w:rsidR="00732175" w:rsidRPr="00DC2F2C">
        <w:rPr>
          <w:sz w:val="22"/>
          <w:szCs w:val="22"/>
          <w:lang w:val="fr-FR"/>
        </w:rPr>
        <w:t>(</w:t>
      </w:r>
      <w:r w:rsidR="00F9206E" w:rsidRPr="00DC2F2C">
        <w:rPr>
          <w:sz w:val="22"/>
          <w:szCs w:val="22"/>
          <w:lang w:val="fr-FR"/>
        </w:rPr>
        <w:t xml:space="preserve">population </w:t>
      </w:r>
      <w:r w:rsidR="00732175" w:rsidRPr="00DC2F2C">
        <w:rPr>
          <w:sz w:val="22"/>
          <w:szCs w:val="22"/>
          <w:lang w:val="fr-FR"/>
        </w:rPr>
        <w:t>ITT)</w:t>
      </w:r>
    </w:p>
    <w:p w14:paraId="4AE3251C" w14:textId="77777777" w:rsidR="00D278FF" w:rsidRDefault="00D278FF" w:rsidP="000F0D0C">
      <w:pPr>
        <w:keepNext/>
        <w:keepLines/>
        <w:numPr>
          <w:ilvl w:val="12"/>
          <w:numId w:val="0"/>
        </w:numPr>
        <w:tabs>
          <w:tab w:val="clear" w:pos="567"/>
        </w:tabs>
        <w:ind w:right="550"/>
        <w:rPr>
          <w:lang w:val="fr-FR" w:eastAsia="en-GB"/>
        </w:rPr>
      </w:pPr>
      <w:r>
        <w:rPr>
          <w:noProof/>
          <w:lang w:eastAsia="en-GB"/>
        </w:rPr>
        <w:drawing>
          <wp:inline distT="0" distB="0" distL="0" distR="0" wp14:anchorId="19C6944D" wp14:editId="7234014C">
            <wp:extent cx="5553075" cy="2854556"/>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54221" cy="2855145"/>
                    </a:xfrm>
                    <a:prstGeom prst="rect">
                      <a:avLst/>
                    </a:prstGeom>
                    <a:noFill/>
                    <a:ln>
                      <a:noFill/>
                    </a:ln>
                  </pic:spPr>
                </pic:pic>
              </a:graphicData>
            </a:graphic>
          </wp:inline>
        </w:drawing>
      </w:r>
    </w:p>
    <w:p w14:paraId="07137958" w14:textId="77777777" w:rsidR="00E4299B" w:rsidRPr="00DC2F2C" w:rsidRDefault="00E4299B" w:rsidP="009D43DC">
      <w:pPr>
        <w:numPr>
          <w:ilvl w:val="12"/>
          <w:numId w:val="0"/>
        </w:numPr>
        <w:tabs>
          <w:tab w:val="clear" w:pos="567"/>
        </w:tabs>
        <w:ind w:right="549"/>
        <w:rPr>
          <w:lang w:val="fr-FR" w:eastAsia="en-GB"/>
        </w:rPr>
      </w:pPr>
    </w:p>
    <w:p w14:paraId="1122D41A" w14:textId="77777777" w:rsidR="009B2D74" w:rsidRPr="00DC2F2C" w:rsidRDefault="009B2D74" w:rsidP="00DB098A">
      <w:pPr>
        <w:keepNext/>
        <w:keepLines/>
        <w:ind w:right="549"/>
        <w:rPr>
          <w:b/>
          <w:szCs w:val="22"/>
          <w:lang w:val="fr-FR"/>
        </w:rPr>
      </w:pPr>
      <w:r w:rsidRPr="00DC2F2C">
        <w:rPr>
          <w:b/>
          <w:szCs w:val="22"/>
          <w:lang w:val="fr-FR"/>
        </w:rPr>
        <w:lastRenderedPageBreak/>
        <w:t>Table</w:t>
      </w:r>
      <w:r w:rsidR="007C3124" w:rsidRPr="00DC2F2C">
        <w:rPr>
          <w:b/>
          <w:szCs w:val="22"/>
          <w:lang w:val="fr-FR"/>
        </w:rPr>
        <w:t>au</w:t>
      </w:r>
      <w:r w:rsidRPr="00DC2F2C">
        <w:rPr>
          <w:b/>
          <w:szCs w:val="22"/>
          <w:lang w:val="fr-FR"/>
        </w:rPr>
        <w:t xml:space="preserve"> </w:t>
      </w:r>
      <w:r w:rsidR="00A645E9" w:rsidRPr="00DC2F2C">
        <w:rPr>
          <w:b/>
          <w:szCs w:val="22"/>
          <w:lang w:val="fr-FR"/>
        </w:rPr>
        <w:t>2</w:t>
      </w:r>
      <w:r w:rsidR="007C3124" w:rsidRPr="00DC2F2C">
        <w:rPr>
          <w:b/>
          <w:szCs w:val="22"/>
          <w:lang w:val="fr-FR"/>
        </w:rPr>
        <w:t> </w:t>
      </w:r>
      <w:r w:rsidR="00F57F6A" w:rsidRPr="00DC2F2C">
        <w:rPr>
          <w:b/>
          <w:szCs w:val="22"/>
          <w:lang w:val="fr-FR"/>
        </w:rPr>
        <w:t>:</w:t>
      </w:r>
      <w:r w:rsidRPr="00DC2F2C">
        <w:rPr>
          <w:b/>
          <w:szCs w:val="22"/>
          <w:lang w:val="fr-FR"/>
        </w:rPr>
        <w:t xml:space="preserve"> </w:t>
      </w:r>
      <w:r w:rsidR="007C3124" w:rsidRPr="00DC2F2C">
        <w:rPr>
          <w:b/>
          <w:szCs w:val="22"/>
          <w:lang w:val="fr-FR"/>
        </w:rPr>
        <w:t>Analyse de l’efficacité d’après</w:t>
      </w:r>
      <w:r w:rsidRPr="00DC2F2C">
        <w:rPr>
          <w:b/>
          <w:szCs w:val="22"/>
          <w:lang w:val="fr-FR"/>
        </w:rPr>
        <w:t xml:space="preserve"> </w:t>
      </w:r>
      <w:r w:rsidR="007C3124" w:rsidRPr="00DC2F2C">
        <w:rPr>
          <w:b/>
          <w:szCs w:val="22"/>
          <w:lang w:val="fr-FR"/>
        </w:rPr>
        <w:t xml:space="preserve">un examen radiologique indépendant </w:t>
      </w:r>
      <w:r w:rsidR="00CD77C4" w:rsidRPr="00DC2F2C">
        <w:rPr>
          <w:b/>
          <w:szCs w:val="22"/>
          <w:lang w:val="fr-FR"/>
        </w:rPr>
        <w:t>(</w:t>
      </w:r>
      <w:r w:rsidR="007C3124" w:rsidRPr="00DC2F2C">
        <w:rPr>
          <w:b/>
          <w:szCs w:val="22"/>
          <w:lang w:val="fr-FR"/>
        </w:rPr>
        <w:t xml:space="preserve">population </w:t>
      </w:r>
      <w:r w:rsidR="00CD77C4" w:rsidRPr="00DC2F2C">
        <w:rPr>
          <w:b/>
          <w:szCs w:val="22"/>
          <w:lang w:val="fr-FR"/>
        </w:rPr>
        <w:t>ITT)</w:t>
      </w:r>
    </w:p>
    <w:p w14:paraId="002FA697" w14:textId="77777777" w:rsidR="00752BAA" w:rsidRPr="00DC2F2C" w:rsidRDefault="00752BAA" w:rsidP="00DB098A">
      <w:pPr>
        <w:keepNext/>
        <w:keepLines/>
        <w:ind w:right="549"/>
        <w:rPr>
          <w:b/>
          <w:szCs w:val="22"/>
          <w:lang w:val="fr-FR"/>
        </w:rPr>
      </w:pPr>
    </w:p>
    <w:tbl>
      <w:tblPr>
        <w:tblW w:w="9630"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2410"/>
        <w:gridCol w:w="992"/>
        <w:gridCol w:w="1276"/>
        <w:gridCol w:w="992"/>
        <w:gridCol w:w="1276"/>
        <w:gridCol w:w="1559"/>
        <w:gridCol w:w="1125"/>
      </w:tblGrid>
      <w:tr w:rsidR="00E273F0" w:rsidRPr="002605B1" w14:paraId="5C37F8D8" w14:textId="77777777" w:rsidTr="00E4299B">
        <w:tc>
          <w:tcPr>
            <w:tcW w:w="2410" w:type="dxa"/>
            <w:tcBorders>
              <w:top w:val="single" w:sz="12" w:space="0" w:color="000000"/>
              <w:bottom w:val="single" w:sz="12" w:space="0" w:color="000000"/>
              <w:right w:val="single" w:sz="12" w:space="0" w:color="000000"/>
            </w:tcBorders>
          </w:tcPr>
          <w:p w14:paraId="3F16AAB9" w14:textId="77777777" w:rsidR="0070336E" w:rsidRPr="00DC2F2C" w:rsidRDefault="0070336E" w:rsidP="00DB098A">
            <w:pPr>
              <w:keepNext/>
              <w:keepLines/>
              <w:rPr>
                <w:b/>
                <w:sz w:val="20"/>
                <w:lang w:val="fr-FR"/>
              </w:rPr>
            </w:pPr>
          </w:p>
        </w:tc>
        <w:tc>
          <w:tcPr>
            <w:tcW w:w="2268" w:type="dxa"/>
            <w:gridSpan w:val="2"/>
            <w:tcBorders>
              <w:top w:val="single" w:sz="12" w:space="0" w:color="000000"/>
              <w:left w:val="single" w:sz="12" w:space="0" w:color="000000"/>
              <w:bottom w:val="single" w:sz="12" w:space="0" w:color="000000"/>
              <w:right w:val="single" w:sz="12" w:space="0" w:color="000000"/>
            </w:tcBorders>
          </w:tcPr>
          <w:p w14:paraId="63A05A11" w14:textId="77777777" w:rsidR="0070336E" w:rsidRPr="00DC2F2C" w:rsidRDefault="005F4D84" w:rsidP="00DB098A">
            <w:pPr>
              <w:keepNext/>
              <w:keepLines/>
              <w:jc w:val="center"/>
              <w:rPr>
                <w:b/>
                <w:bCs/>
                <w:sz w:val="20"/>
                <w:lang w:val="fr-FR"/>
              </w:rPr>
            </w:pPr>
            <w:proofErr w:type="spellStart"/>
            <w:r w:rsidRPr="00DC2F2C">
              <w:rPr>
                <w:b/>
                <w:sz w:val="20"/>
                <w:lang w:val="fr-FR"/>
              </w:rPr>
              <w:t>Tivozanib</w:t>
            </w:r>
            <w:proofErr w:type="spellEnd"/>
          </w:p>
        </w:tc>
        <w:tc>
          <w:tcPr>
            <w:tcW w:w="2268" w:type="dxa"/>
            <w:gridSpan w:val="2"/>
            <w:tcBorders>
              <w:top w:val="single" w:sz="12" w:space="0" w:color="000000"/>
              <w:left w:val="single" w:sz="12" w:space="0" w:color="000000"/>
              <w:bottom w:val="single" w:sz="12" w:space="0" w:color="000000"/>
              <w:right w:val="single" w:sz="12" w:space="0" w:color="000000"/>
            </w:tcBorders>
          </w:tcPr>
          <w:p w14:paraId="19AC24C1" w14:textId="77777777" w:rsidR="0070336E" w:rsidRPr="00DC2F2C" w:rsidRDefault="0070336E" w:rsidP="00DB098A">
            <w:pPr>
              <w:keepNext/>
              <w:keepLines/>
              <w:jc w:val="center"/>
              <w:rPr>
                <w:b/>
                <w:bCs/>
                <w:sz w:val="20"/>
                <w:lang w:val="fr-FR"/>
              </w:rPr>
            </w:pPr>
            <w:proofErr w:type="spellStart"/>
            <w:r w:rsidRPr="00DC2F2C">
              <w:rPr>
                <w:b/>
                <w:sz w:val="20"/>
                <w:lang w:val="fr-FR"/>
              </w:rPr>
              <w:t>Soraf</w:t>
            </w:r>
            <w:r w:rsidR="007C3124" w:rsidRPr="00DC2F2C">
              <w:rPr>
                <w:b/>
                <w:sz w:val="20"/>
                <w:lang w:val="fr-FR"/>
              </w:rPr>
              <w:t>é</w:t>
            </w:r>
            <w:r w:rsidRPr="00DC2F2C">
              <w:rPr>
                <w:b/>
                <w:sz w:val="20"/>
                <w:lang w:val="fr-FR"/>
              </w:rPr>
              <w:t>nib</w:t>
            </w:r>
            <w:proofErr w:type="spellEnd"/>
          </w:p>
          <w:p w14:paraId="7C0ACD23" w14:textId="77777777" w:rsidR="0070336E" w:rsidRPr="00DC2F2C" w:rsidRDefault="0070336E" w:rsidP="00DB098A">
            <w:pPr>
              <w:keepNext/>
              <w:keepLines/>
              <w:jc w:val="center"/>
              <w:rPr>
                <w:b/>
                <w:bCs/>
                <w:sz w:val="20"/>
                <w:lang w:val="fr-FR"/>
              </w:rPr>
            </w:pPr>
          </w:p>
        </w:tc>
        <w:tc>
          <w:tcPr>
            <w:tcW w:w="1559" w:type="dxa"/>
            <w:tcBorders>
              <w:top w:val="single" w:sz="12" w:space="0" w:color="000000"/>
              <w:left w:val="single" w:sz="12" w:space="0" w:color="000000"/>
              <w:bottom w:val="single" w:sz="12" w:space="0" w:color="000000"/>
            </w:tcBorders>
          </w:tcPr>
          <w:p w14:paraId="456CAD6D" w14:textId="77777777" w:rsidR="0070336E" w:rsidRPr="00DC2F2C" w:rsidRDefault="0070336E" w:rsidP="00DB098A">
            <w:pPr>
              <w:keepNext/>
              <w:keepLines/>
              <w:rPr>
                <w:b/>
                <w:bCs/>
                <w:i/>
                <w:sz w:val="20"/>
                <w:lang w:val="fr-FR"/>
              </w:rPr>
            </w:pPr>
            <w:r w:rsidRPr="00DC2F2C">
              <w:rPr>
                <w:b/>
                <w:i/>
                <w:sz w:val="20"/>
                <w:lang w:val="fr-FR"/>
              </w:rPr>
              <w:t>Hazard Ratio</w:t>
            </w:r>
          </w:p>
          <w:p w14:paraId="75461638" w14:textId="77777777" w:rsidR="0070336E" w:rsidRPr="00DC2F2C" w:rsidRDefault="0070336E" w:rsidP="00DB098A">
            <w:pPr>
              <w:keepNext/>
              <w:keepLines/>
              <w:rPr>
                <w:b/>
                <w:sz w:val="20"/>
                <w:lang w:val="fr-FR"/>
              </w:rPr>
            </w:pPr>
            <w:r w:rsidRPr="00DC2F2C">
              <w:rPr>
                <w:b/>
                <w:sz w:val="20"/>
                <w:lang w:val="fr-FR"/>
              </w:rPr>
              <w:t>(</w:t>
            </w:r>
            <w:r w:rsidR="007C3124" w:rsidRPr="00DC2F2C">
              <w:rPr>
                <w:b/>
                <w:sz w:val="20"/>
                <w:lang w:val="fr-FR"/>
              </w:rPr>
              <w:t xml:space="preserve">IC </w:t>
            </w:r>
            <w:r w:rsidRPr="00DC2F2C">
              <w:rPr>
                <w:b/>
                <w:sz w:val="20"/>
                <w:lang w:val="fr-FR"/>
              </w:rPr>
              <w:t>95</w:t>
            </w:r>
            <w:r w:rsidR="007C3124" w:rsidRPr="00DC2F2C">
              <w:rPr>
                <w:b/>
                <w:sz w:val="20"/>
                <w:lang w:val="fr-FR"/>
              </w:rPr>
              <w:t> </w:t>
            </w:r>
            <w:r w:rsidRPr="00DC2F2C">
              <w:rPr>
                <w:b/>
                <w:sz w:val="20"/>
                <w:lang w:val="fr-FR"/>
              </w:rPr>
              <w:t>%)</w:t>
            </w:r>
          </w:p>
        </w:tc>
        <w:tc>
          <w:tcPr>
            <w:tcW w:w="1125" w:type="dxa"/>
            <w:tcBorders>
              <w:top w:val="single" w:sz="12" w:space="0" w:color="000000"/>
              <w:bottom w:val="single" w:sz="12" w:space="0" w:color="000000"/>
            </w:tcBorders>
          </w:tcPr>
          <w:p w14:paraId="1CCF6A91" w14:textId="77777777" w:rsidR="0070336E" w:rsidRPr="00DC2F2C" w:rsidRDefault="007C3124" w:rsidP="00DB098A">
            <w:pPr>
              <w:keepNext/>
              <w:keepLines/>
              <w:rPr>
                <w:b/>
                <w:bCs/>
                <w:sz w:val="20"/>
                <w:lang w:val="fr-FR"/>
              </w:rPr>
            </w:pPr>
            <w:r w:rsidRPr="00DC2F2C">
              <w:rPr>
                <w:b/>
                <w:sz w:val="20"/>
                <w:lang w:val="fr-FR"/>
              </w:rPr>
              <w:t>Valeur de p</w:t>
            </w:r>
            <w:r w:rsidR="0070336E" w:rsidRPr="00DC2F2C">
              <w:rPr>
                <w:b/>
                <w:sz w:val="20"/>
                <w:lang w:val="fr-FR"/>
              </w:rPr>
              <w:t xml:space="preserve"> (</w:t>
            </w:r>
            <w:r w:rsidRPr="00DC2F2C">
              <w:rPr>
                <w:b/>
                <w:sz w:val="20"/>
                <w:lang w:val="fr-FR"/>
              </w:rPr>
              <w:t xml:space="preserve">test du </w:t>
            </w:r>
            <w:r w:rsidRPr="00DC2F2C">
              <w:rPr>
                <w:b/>
                <w:i/>
                <w:sz w:val="20"/>
                <w:lang w:val="fr-FR"/>
              </w:rPr>
              <w:t>log-</w:t>
            </w:r>
            <w:proofErr w:type="spellStart"/>
            <w:r w:rsidRPr="00DC2F2C">
              <w:rPr>
                <w:b/>
                <w:i/>
                <w:sz w:val="20"/>
                <w:lang w:val="fr-FR"/>
              </w:rPr>
              <w:t>rank</w:t>
            </w:r>
            <w:proofErr w:type="spellEnd"/>
            <w:r w:rsidR="0070336E" w:rsidRPr="00DC2F2C">
              <w:rPr>
                <w:b/>
                <w:sz w:val="20"/>
                <w:lang w:val="fr-FR"/>
              </w:rPr>
              <w:t>)</w:t>
            </w:r>
          </w:p>
        </w:tc>
      </w:tr>
      <w:tr w:rsidR="00E273F0" w:rsidRPr="00DC2F2C" w14:paraId="18574F17" w14:textId="77777777" w:rsidTr="00E4299B">
        <w:tc>
          <w:tcPr>
            <w:tcW w:w="2410" w:type="dxa"/>
            <w:tcBorders>
              <w:top w:val="single" w:sz="12" w:space="0" w:color="000000"/>
              <w:bottom w:val="single" w:sz="4" w:space="0" w:color="000000"/>
              <w:right w:val="single" w:sz="12" w:space="0" w:color="000000"/>
            </w:tcBorders>
          </w:tcPr>
          <w:p w14:paraId="6A524AD6" w14:textId="77777777" w:rsidR="0070336E" w:rsidRPr="00DC2F2C" w:rsidRDefault="007C3124" w:rsidP="00DB098A">
            <w:pPr>
              <w:keepNext/>
              <w:keepLines/>
              <w:rPr>
                <w:sz w:val="20"/>
                <w:lang w:val="fr-FR"/>
              </w:rPr>
            </w:pPr>
            <w:r w:rsidRPr="00DC2F2C">
              <w:rPr>
                <w:sz w:val="20"/>
                <w:lang w:val="fr-FR"/>
              </w:rPr>
              <w:t>Survie sans progression</w:t>
            </w:r>
            <w:r w:rsidR="0070336E" w:rsidRPr="00DC2F2C">
              <w:rPr>
                <w:sz w:val="20"/>
                <w:lang w:val="fr-FR"/>
              </w:rPr>
              <w:t xml:space="preserve"> [m</w:t>
            </w:r>
            <w:r w:rsidRPr="00DC2F2C">
              <w:rPr>
                <w:sz w:val="20"/>
                <w:lang w:val="fr-FR"/>
              </w:rPr>
              <w:t>é</w:t>
            </w:r>
            <w:r w:rsidR="0070336E" w:rsidRPr="00DC2F2C">
              <w:rPr>
                <w:sz w:val="20"/>
                <w:lang w:val="fr-FR"/>
              </w:rPr>
              <w:t>dian</w:t>
            </w:r>
            <w:r w:rsidRPr="00DC2F2C">
              <w:rPr>
                <w:sz w:val="20"/>
                <w:lang w:val="fr-FR"/>
              </w:rPr>
              <w:t>e</w:t>
            </w:r>
            <w:r w:rsidR="0070336E" w:rsidRPr="00DC2F2C">
              <w:rPr>
                <w:sz w:val="20"/>
                <w:lang w:val="fr-FR"/>
              </w:rPr>
              <w:t xml:space="preserve">, </w:t>
            </w:r>
            <w:r w:rsidRPr="00DC2F2C">
              <w:rPr>
                <w:sz w:val="20"/>
                <w:lang w:val="fr-FR"/>
              </w:rPr>
              <w:t>mois</w:t>
            </w:r>
            <w:r w:rsidR="0070336E" w:rsidRPr="00DC2F2C">
              <w:rPr>
                <w:sz w:val="20"/>
                <w:lang w:val="fr-FR"/>
              </w:rPr>
              <w:t xml:space="preserve"> (</w:t>
            </w:r>
            <w:r w:rsidRPr="00DC2F2C">
              <w:rPr>
                <w:sz w:val="20"/>
                <w:lang w:val="fr-FR"/>
              </w:rPr>
              <w:t xml:space="preserve">IC </w:t>
            </w:r>
            <w:r w:rsidR="0070336E" w:rsidRPr="00DC2F2C">
              <w:rPr>
                <w:sz w:val="20"/>
                <w:lang w:val="fr-FR"/>
              </w:rPr>
              <w:t>95</w:t>
            </w:r>
            <w:r w:rsidRPr="00DC2F2C">
              <w:rPr>
                <w:sz w:val="20"/>
                <w:lang w:val="fr-FR"/>
              </w:rPr>
              <w:t> %</w:t>
            </w:r>
            <w:r w:rsidR="0070336E" w:rsidRPr="00DC2F2C">
              <w:rPr>
                <w:sz w:val="20"/>
                <w:lang w:val="fr-FR"/>
              </w:rPr>
              <w:t xml:space="preserve">)], </w:t>
            </w:r>
            <w:r w:rsidRPr="00DC2F2C">
              <w:rPr>
                <w:sz w:val="20"/>
                <w:lang w:val="fr-FR"/>
              </w:rPr>
              <w:t xml:space="preserve">population </w:t>
            </w:r>
            <w:r w:rsidR="0070336E" w:rsidRPr="00DC2F2C">
              <w:rPr>
                <w:sz w:val="20"/>
                <w:lang w:val="fr-FR"/>
              </w:rPr>
              <w:t xml:space="preserve">ITT </w:t>
            </w:r>
          </w:p>
        </w:tc>
        <w:tc>
          <w:tcPr>
            <w:tcW w:w="992" w:type="dxa"/>
            <w:tcBorders>
              <w:top w:val="single" w:sz="12" w:space="0" w:color="000000"/>
              <w:left w:val="single" w:sz="12" w:space="0" w:color="000000"/>
            </w:tcBorders>
          </w:tcPr>
          <w:p w14:paraId="720DE1CF" w14:textId="77777777" w:rsidR="0070336E" w:rsidRPr="00DC2F2C" w:rsidRDefault="0070336E" w:rsidP="00DB098A">
            <w:pPr>
              <w:keepNext/>
              <w:keepLines/>
              <w:rPr>
                <w:sz w:val="20"/>
                <w:lang w:val="fr-FR"/>
              </w:rPr>
            </w:pPr>
            <w:r w:rsidRPr="00DC2F2C">
              <w:rPr>
                <w:sz w:val="20"/>
                <w:lang w:val="fr-FR"/>
              </w:rPr>
              <w:t>N</w:t>
            </w:r>
            <w:r w:rsidR="008C0604" w:rsidRPr="00DC2F2C">
              <w:rPr>
                <w:sz w:val="20"/>
                <w:lang w:val="fr-FR"/>
              </w:rPr>
              <w:t> </w:t>
            </w:r>
            <w:r w:rsidRPr="00DC2F2C">
              <w:rPr>
                <w:sz w:val="20"/>
                <w:lang w:val="fr-FR"/>
              </w:rPr>
              <w:t>=</w:t>
            </w:r>
            <w:r w:rsidR="008C0604" w:rsidRPr="00DC2F2C">
              <w:rPr>
                <w:sz w:val="20"/>
                <w:lang w:val="fr-FR"/>
              </w:rPr>
              <w:t> </w:t>
            </w:r>
            <w:r w:rsidRPr="00DC2F2C">
              <w:rPr>
                <w:sz w:val="20"/>
                <w:lang w:val="fr-FR"/>
              </w:rPr>
              <w:t>260</w:t>
            </w:r>
          </w:p>
        </w:tc>
        <w:tc>
          <w:tcPr>
            <w:tcW w:w="1276" w:type="dxa"/>
            <w:tcBorders>
              <w:top w:val="single" w:sz="12" w:space="0" w:color="000000"/>
              <w:right w:val="single" w:sz="12" w:space="0" w:color="000000"/>
            </w:tcBorders>
          </w:tcPr>
          <w:p w14:paraId="199CBBE3" w14:textId="77777777" w:rsidR="0070336E" w:rsidRPr="00DC2F2C" w:rsidRDefault="0070336E" w:rsidP="00DB098A">
            <w:pPr>
              <w:keepNext/>
              <w:keepLines/>
              <w:rPr>
                <w:sz w:val="20"/>
                <w:lang w:val="fr-FR"/>
              </w:rPr>
            </w:pPr>
            <w:r w:rsidRPr="00DC2F2C">
              <w:rPr>
                <w:sz w:val="20"/>
                <w:lang w:val="fr-FR"/>
              </w:rPr>
              <w:t>11</w:t>
            </w:r>
            <w:r w:rsidR="00A84CB8" w:rsidRPr="00DC2F2C">
              <w:rPr>
                <w:sz w:val="20"/>
                <w:lang w:val="fr-FR"/>
              </w:rPr>
              <w:t>,</w:t>
            </w:r>
            <w:r w:rsidRPr="00DC2F2C">
              <w:rPr>
                <w:sz w:val="20"/>
                <w:lang w:val="fr-FR"/>
              </w:rPr>
              <w:t>9</w:t>
            </w:r>
          </w:p>
          <w:p w14:paraId="2CE0A658" w14:textId="77777777" w:rsidR="0070336E" w:rsidRPr="00DC2F2C" w:rsidRDefault="0070336E" w:rsidP="00DB098A">
            <w:pPr>
              <w:keepNext/>
              <w:keepLines/>
              <w:rPr>
                <w:sz w:val="20"/>
                <w:lang w:val="fr-FR"/>
              </w:rPr>
            </w:pPr>
            <w:r w:rsidRPr="00DC2F2C">
              <w:rPr>
                <w:sz w:val="20"/>
                <w:lang w:val="fr-FR"/>
              </w:rPr>
              <w:t>(9</w:t>
            </w:r>
            <w:r w:rsidR="00A84CB8" w:rsidRPr="00DC2F2C">
              <w:rPr>
                <w:sz w:val="20"/>
                <w:lang w:val="fr-FR"/>
              </w:rPr>
              <w:t>,</w:t>
            </w:r>
            <w:r w:rsidRPr="00DC2F2C">
              <w:rPr>
                <w:sz w:val="20"/>
                <w:lang w:val="fr-FR"/>
              </w:rPr>
              <w:t>3, 14</w:t>
            </w:r>
            <w:r w:rsidR="00A84CB8" w:rsidRPr="00DC2F2C">
              <w:rPr>
                <w:sz w:val="20"/>
                <w:lang w:val="fr-FR"/>
              </w:rPr>
              <w:t>,</w:t>
            </w:r>
            <w:r w:rsidRPr="00DC2F2C">
              <w:rPr>
                <w:sz w:val="20"/>
                <w:lang w:val="fr-FR"/>
              </w:rPr>
              <w:t>7)</w:t>
            </w:r>
          </w:p>
        </w:tc>
        <w:tc>
          <w:tcPr>
            <w:tcW w:w="992" w:type="dxa"/>
            <w:tcBorders>
              <w:top w:val="single" w:sz="12" w:space="0" w:color="000000"/>
              <w:left w:val="single" w:sz="12" w:space="0" w:color="000000"/>
            </w:tcBorders>
          </w:tcPr>
          <w:p w14:paraId="415A3E42" w14:textId="77777777" w:rsidR="0070336E" w:rsidRPr="00DC2F2C" w:rsidRDefault="0070336E" w:rsidP="00DB098A">
            <w:pPr>
              <w:keepNext/>
              <w:keepLines/>
              <w:rPr>
                <w:sz w:val="20"/>
                <w:lang w:val="fr-FR"/>
              </w:rPr>
            </w:pPr>
            <w:r w:rsidRPr="00DC2F2C">
              <w:rPr>
                <w:sz w:val="20"/>
                <w:lang w:val="fr-FR"/>
              </w:rPr>
              <w:t>N</w:t>
            </w:r>
            <w:r w:rsidR="001547F9" w:rsidRPr="00DC2F2C">
              <w:rPr>
                <w:sz w:val="20"/>
                <w:lang w:val="fr-FR"/>
              </w:rPr>
              <w:t> </w:t>
            </w:r>
            <w:r w:rsidRPr="00DC2F2C">
              <w:rPr>
                <w:sz w:val="20"/>
                <w:lang w:val="fr-FR"/>
              </w:rPr>
              <w:t>=</w:t>
            </w:r>
            <w:r w:rsidR="001547F9" w:rsidRPr="00DC2F2C">
              <w:rPr>
                <w:sz w:val="20"/>
                <w:lang w:val="fr-FR"/>
              </w:rPr>
              <w:t> </w:t>
            </w:r>
            <w:r w:rsidRPr="00DC2F2C">
              <w:rPr>
                <w:sz w:val="20"/>
                <w:lang w:val="fr-FR"/>
              </w:rPr>
              <w:t>257</w:t>
            </w:r>
          </w:p>
        </w:tc>
        <w:tc>
          <w:tcPr>
            <w:tcW w:w="1276" w:type="dxa"/>
            <w:tcBorders>
              <w:top w:val="single" w:sz="12" w:space="0" w:color="000000"/>
              <w:right w:val="single" w:sz="12" w:space="0" w:color="000000"/>
            </w:tcBorders>
          </w:tcPr>
          <w:p w14:paraId="3E133DF9" w14:textId="77777777" w:rsidR="0070336E" w:rsidRPr="00DC2F2C" w:rsidRDefault="0070336E" w:rsidP="00DB098A">
            <w:pPr>
              <w:keepNext/>
              <w:keepLines/>
              <w:rPr>
                <w:sz w:val="20"/>
                <w:lang w:val="fr-FR"/>
              </w:rPr>
            </w:pPr>
            <w:r w:rsidRPr="00DC2F2C">
              <w:rPr>
                <w:sz w:val="20"/>
                <w:lang w:val="fr-FR"/>
              </w:rPr>
              <w:t>9</w:t>
            </w:r>
            <w:r w:rsidR="00A84CB8" w:rsidRPr="00DC2F2C">
              <w:rPr>
                <w:sz w:val="20"/>
                <w:lang w:val="fr-FR"/>
              </w:rPr>
              <w:t>,</w:t>
            </w:r>
            <w:r w:rsidRPr="00DC2F2C">
              <w:rPr>
                <w:sz w:val="20"/>
                <w:lang w:val="fr-FR"/>
              </w:rPr>
              <w:t>1</w:t>
            </w:r>
          </w:p>
          <w:p w14:paraId="033D44B0" w14:textId="77777777" w:rsidR="0070336E" w:rsidRPr="00DC2F2C" w:rsidRDefault="0070336E" w:rsidP="00DB098A">
            <w:pPr>
              <w:keepNext/>
              <w:keepLines/>
              <w:rPr>
                <w:sz w:val="20"/>
                <w:lang w:val="fr-FR"/>
              </w:rPr>
            </w:pPr>
            <w:r w:rsidRPr="00DC2F2C">
              <w:rPr>
                <w:sz w:val="20"/>
                <w:lang w:val="fr-FR"/>
              </w:rPr>
              <w:t>(7</w:t>
            </w:r>
            <w:r w:rsidR="00A84CB8" w:rsidRPr="00DC2F2C">
              <w:rPr>
                <w:sz w:val="20"/>
                <w:lang w:val="fr-FR"/>
              </w:rPr>
              <w:t>,</w:t>
            </w:r>
            <w:r w:rsidRPr="00DC2F2C">
              <w:rPr>
                <w:sz w:val="20"/>
                <w:lang w:val="fr-FR"/>
              </w:rPr>
              <w:t>3, 9</w:t>
            </w:r>
            <w:r w:rsidR="00A84CB8" w:rsidRPr="00DC2F2C">
              <w:rPr>
                <w:sz w:val="20"/>
                <w:lang w:val="fr-FR"/>
              </w:rPr>
              <w:t>,</w:t>
            </w:r>
            <w:r w:rsidRPr="00DC2F2C">
              <w:rPr>
                <w:sz w:val="20"/>
                <w:lang w:val="fr-FR"/>
              </w:rPr>
              <w:t>5)</w:t>
            </w:r>
          </w:p>
        </w:tc>
        <w:tc>
          <w:tcPr>
            <w:tcW w:w="1559" w:type="dxa"/>
            <w:tcBorders>
              <w:top w:val="single" w:sz="12" w:space="0" w:color="000000"/>
              <w:left w:val="single" w:sz="12" w:space="0" w:color="000000"/>
            </w:tcBorders>
          </w:tcPr>
          <w:p w14:paraId="6080D580" w14:textId="77777777" w:rsidR="0070336E" w:rsidRPr="00DC2F2C" w:rsidRDefault="0070336E" w:rsidP="00DB098A">
            <w:pPr>
              <w:keepNext/>
              <w:keepLines/>
              <w:rPr>
                <w:sz w:val="20"/>
                <w:lang w:val="fr-FR"/>
              </w:rPr>
            </w:pPr>
            <w:r w:rsidRPr="00DC2F2C">
              <w:rPr>
                <w:sz w:val="20"/>
                <w:lang w:val="fr-FR"/>
              </w:rPr>
              <w:t>0</w:t>
            </w:r>
            <w:r w:rsidR="00A84CB8" w:rsidRPr="00DC2F2C">
              <w:rPr>
                <w:sz w:val="20"/>
                <w:lang w:val="fr-FR"/>
              </w:rPr>
              <w:t>,</w:t>
            </w:r>
            <w:r w:rsidRPr="00DC2F2C">
              <w:rPr>
                <w:sz w:val="20"/>
                <w:lang w:val="fr-FR"/>
              </w:rPr>
              <w:t>797</w:t>
            </w:r>
          </w:p>
          <w:p w14:paraId="498B66DE" w14:textId="77777777" w:rsidR="0070336E" w:rsidRPr="00DC2F2C" w:rsidRDefault="0070336E" w:rsidP="00DB098A">
            <w:pPr>
              <w:keepNext/>
              <w:keepLines/>
              <w:rPr>
                <w:sz w:val="20"/>
                <w:lang w:val="fr-FR"/>
              </w:rPr>
            </w:pPr>
            <w:r w:rsidRPr="00DC2F2C">
              <w:rPr>
                <w:sz w:val="20"/>
                <w:lang w:val="fr-FR"/>
              </w:rPr>
              <w:t>(0</w:t>
            </w:r>
            <w:r w:rsidR="00A84CB8" w:rsidRPr="00DC2F2C">
              <w:rPr>
                <w:sz w:val="20"/>
                <w:lang w:val="fr-FR"/>
              </w:rPr>
              <w:t>,</w:t>
            </w:r>
            <w:r w:rsidRPr="00DC2F2C">
              <w:rPr>
                <w:sz w:val="20"/>
                <w:lang w:val="fr-FR"/>
              </w:rPr>
              <w:t>639, 0</w:t>
            </w:r>
            <w:r w:rsidR="00A84CB8" w:rsidRPr="00DC2F2C">
              <w:rPr>
                <w:sz w:val="20"/>
                <w:lang w:val="fr-FR"/>
              </w:rPr>
              <w:t>,</w:t>
            </w:r>
            <w:r w:rsidRPr="00DC2F2C">
              <w:rPr>
                <w:sz w:val="20"/>
                <w:lang w:val="fr-FR"/>
              </w:rPr>
              <w:t>993)</w:t>
            </w:r>
            <w:r w:rsidR="00506755" w:rsidRPr="00DC2F2C">
              <w:rPr>
                <w:sz w:val="20"/>
                <w:vertAlign w:val="superscript"/>
                <w:lang w:val="fr-FR"/>
              </w:rPr>
              <w:t>a</w:t>
            </w:r>
            <w:r w:rsidR="00506755" w:rsidRPr="00DC2F2C" w:rsidDel="00506755">
              <w:rPr>
                <w:sz w:val="20"/>
                <w:vertAlign w:val="superscript"/>
                <w:lang w:val="fr-FR"/>
              </w:rPr>
              <w:t xml:space="preserve"> </w:t>
            </w:r>
          </w:p>
        </w:tc>
        <w:tc>
          <w:tcPr>
            <w:tcW w:w="1125" w:type="dxa"/>
            <w:tcBorders>
              <w:top w:val="single" w:sz="12" w:space="0" w:color="000000"/>
            </w:tcBorders>
          </w:tcPr>
          <w:p w14:paraId="03F63B8D" w14:textId="77777777" w:rsidR="0070336E" w:rsidRPr="00DC2F2C" w:rsidRDefault="0070336E" w:rsidP="00DB098A">
            <w:pPr>
              <w:keepNext/>
              <w:keepLines/>
              <w:rPr>
                <w:sz w:val="20"/>
                <w:vertAlign w:val="superscript"/>
                <w:lang w:val="fr-FR"/>
              </w:rPr>
            </w:pPr>
            <w:r w:rsidRPr="00DC2F2C">
              <w:rPr>
                <w:sz w:val="20"/>
                <w:lang w:val="fr-FR"/>
              </w:rPr>
              <w:t>0</w:t>
            </w:r>
            <w:r w:rsidR="00A84CB8" w:rsidRPr="00DC2F2C">
              <w:rPr>
                <w:sz w:val="20"/>
                <w:lang w:val="fr-FR"/>
              </w:rPr>
              <w:t>,</w:t>
            </w:r>
            <w:r w:rsidRPr="00DC2F2C">
              <w:rPr>
                <w:sz w:val="20"/>
                <w:lang w:val="fr-FR"/>
              </w:rPr>
              <w:t>04</w:t>
            </w:r>
            <w:r w:rsidR="00506755" w:rsidRPr="00DC2F2C">
              <w:rPr>
                <w:sz w:val="20"/>
                <w:lang w:val="fr-FR"/>
              </w:rPr>
              <w:t>2</w:t>
            </w:r>
            <w:r w:rsidR="00506755" w:rsidRPr="00DC2F2C">
              <w:rPr>
                <w:sz w:val="20"/>
                <w:vertAlign w:val="superscript"/>
                <w:lang w:val="fr-FR"/>
              </w:rPr>
              <w:t>b</w:t>
            </w:r>
          </w:p>
        </w:tc>
      </w:tr>
      <w:tr w:rsidR="00E273F0" w:rsidRPr="00DC2F2C" w14:paraId="1EC22165" w14:textId="77777777" w:rsidTr="00E4299B">
        <w:tc>
          <w:tcPr>
            <w:tcW w:w="2410" w:type="dxa"/>
            <w:tcBorders>
              <w:top w:val="single" w:sz="4" w:space="0" w:color="000000"/>
              <w:bottom w:val="single" w:sz="4" w:space="0" w:color="000000"/>
              <w:right w:val="single" w:sz="12" w:space="0" w:color="000000"/>
            </w:tcBorders>
          </w:tcPr>
          <w:p w14:paraId="6881E80A" w14:textId="77777777" w:rsidR="0070336E" w:rsidRPr="00DC2F2C" w:rsidRDefault="007C3124" w:rsidP="00DB098A">
            <w:pPr>
              <w:keepNext/>
              <w:keepLines/>
              <w:rPr>
                <w:sz w:val="20"/>
                <w:lang w:val="fr-FR"/>
              </w:rPr>
            </w:pPr>
            <w:r w:rsidRPr="00DC2F2C">
              <w:rPr>
                <w:sz w:val="20"/>
                <w:lang w:val="fr-FR"/>
              </w:rPr>
              <w:t>Taux de réponse objective</w:t>
            </w:r>
            <w:r w:rsidR="0070336E" w:rsidRPr="00DC2F2C">
              <w:rPr>
                <w:sz w:val="20"/>
                <w:lang w:val="fr-FR"/>
              </w:rPr>
              <w:t xml:space="preserve"> (</w:t>
            </w:r>
            <w:r w:rsidRPr="00DC2F2C">
              <w:rPr>
                <w:sz w:val="20"/>
                <w:lang w:val="fr-FR"/>
              </w:rPr>
              <w:t>IC 95 %</w:t>
            </w:r>
            <w:r w:rsidR="0070336E" w:rsidRPr="00DC2F2C">
              <w:rPr>
                <w:sz w:val="20"/>
                <w:lang w:val="fr-FR"/>
              </w:rPr>
              <w:t xml:space="preserve">), </w:t>
            </w:r>
            <w:r w:rsidRPr="00DC2F2C">
              <w:rPr>
                <w:sz w:val="20"/>
                <w:lang w:val="fr-FR"/>
              </w:rPr>
              <w:t>population ITT</w:t>
            </w:r>
          </w:p>
        </w:tc>
        <w:tc>
          <w:tcPr>
            <w:tcW w:w="992" w:type="dxa"/>
            <w:tcBorders>
              <w:left w:val="single" w:sz="12" w:space="0" w:color="000000"/>
            </w:tcBorders>
          </w:tcPr>
          <w:p w14:paraId="5AAFBACC" w14:textId="77777777" w:rsidR="0070336E" w:rsidRPr="00DC2F2C" w:rsidRDefault="0070336E" w:rsidP="00DB098A">
            <w:pPr>
              <w:keepNext/>
              <w:keepLines/>
              <w:rPr>
                <w:sz w:val="20"/>
                <w:lang w:val="fr-FR"/>
              </w:rPr>
            </w:pPr>
            <w:r w:rsidRPr="00DC2F2C">
              <w:rPr>
                <w:sz w:val="20"/>
                <w:lang w:val="fr-FR"/>
              </w:rPr>
              <w:t>N</w:t>
            </w:r>
            <w:r w:rsidR="008C0604" w:rsidRPr="00DC2F2C">
              <w:rPr>
                <w:sz w:val="20"/>
                <w:lang w:val="fr-FR"/>
              </w:rPr>
              <w:t> </w:t>
            </w:r>
            <w:r w:rsidRPr="00DC2F2C">
              <w:rPr>
                <w:sz w:val="20"/>
                <w:lang w:val="fr-FR"/>
              </w:rPr>
              <w:t>=</w:t>
            </w:r>
            <w:r w:rsidR="008C0604" w:rsidRPr="00DC2F2C">
              <w:rPr>
                <w:sz w:val="20"/>
                <w:lang w:val="fr-FR"/>
              </w:rPr>
              <w:t> </w:t>
            </w:r>
            <w:r w:rsidRPr="00DC2F2C">
              <w:rPr>
                <w:sz w:val="20"/>
                <w:lang w:val="fr-FR"/>
              </w:rPr>
              <w:t>260</w:t>
            </w:r>
          </w:p>
        </w:tc>
        <w:tc>
          <w:tcPr>
            <w:tcW w:w="1276" w:type="dxa"/>
            <w:tcBorders>
              <w:right w:val="single" w:sz="12" w:space="0" w:color="000000"/>
            </w:tcBorders>
          </w:tcPr>
          <w:p w14:paraId="229E04EB" w14:textId="77777777" w:rsidR="0070336E" w:rsidRPr="00DC2F2C" w:rsidRDefault="0070336E" w:rsidP="00DB098A">
            <w:pPr>
              <w:keepNext/>
              <w:keepLines/>
              <w:rPr>
                <w:sz w:val="20"/>
                <w:lang w:val="fr-FR"/>
              </w:rPr>
            </w:pPr>
            <w:r w:rsidRPr="00DC2F2C">
              <w:rPr>
                <w:sz w:val="20"/>
                <w:lang w:val="fr-FR"/>
              </w:rPr>
              <w:t>33</w:t>
            </w:r>
            <w:r w:rsidR="00A84CB8" w:rsidRPr="00DC2F2C">
              <w:rPr>
                <w:sz w:val="20"/>
                <w:lang w:val="fr-FR"/>
              </w:rPr>
              <w:t>,</w:t>
            </w:r>
            <w:r w:rsidRPr="00DC2F2C">
              <w:rPr>
                <w:sz w:val="20"/>
                <w:lang w:val="fr-FR"/>
              </w:rPr>
              <w:t>1</w:t>
            </w:r>
            <w:r w:rsidR="001547F9" w:rsidRPr="00DC2F2C">
              <w:rPr>
                <w:sz w:val="20"/>
                <w:lang w:val="fr-FR"/>
              </w:rPr>
              <w:t> </w:t>
            </w:r>
            <w:r w:rsidRPr="00DC2F2C">
              <w:rPr>
                <w:sz w:val="20"/>
                <w:lang w:val="fr-FR"/>
              </w:rPr>
              <w:t>%</w:t>
            </w:r>
          </w:p>
          <w:p w14:paraId="232F78ED" w14:textId="77777777" w:rsidR="0070336E" w:rsidRPr="00DC2F2C" w:rsidRDefault="0070336E" w:rsidP="00DB098A">
            <w:pPr>
              <w:keepNext/>
              <w:keepLines/>
              <w:rPr>
                <w:sz w:val="20"/>
                <w:lang w:val="fr-FR"/>
              </w:rPr>
            </w:pPr>
            <w:r w:rsidRPr="00DC2F2C">
              <w:rPr>
                <w:sz w:val="20"/>
                <w:lang w:val="fr-FR"/>
              </w:rPr>
              <w:t>(27</w:t>
            </w:r>
            <w:r w:rsidR="00A84CB8" w:rsidRPr="00DC2F2C">
              <w:rPr>
                <w:sz w:val="20"/>
                <w:lang w:val="fr-FR"/>
              </w:rPr>
              <w:t>,</w:t>
            </w:r>
            <w:r w:rsidRPr="00DC2F2C">
              <w:rPr>
                <w:sz w:val="20"/>
                <w:lang w:val="fr-FR"/>
              </w:rPr>
              <w:t>4, 39</w:t>
            </w:r>
            <w:r w:rsidR="00A84CB8" w:rsidRPr="00DC2F2C">
              <w:rPr>
                <w:sz w:val="20"/>
                <w:lang w:val="fr-FR"/>
              </w:rPr>
              <w:t>,</w:t>
            </w:r>
            <w:r w:rsidRPr="00DC2F2C">
              <w:rPr>
                <w:sz w:val="20"/>
                <w:lang w:val="fr-FR"/>
              </w:rPr>
              <w:t>2)</w:t>
            </w:r>
          </w:p>
        </w:tc>
        <w:tc>
          <w:tcPr>
            <w:tcW w:w="992" w:type="dxa"/>
            <w:tcBorders>
              <w:left w:val="single" w:sz="12" w:space="0" w:color="000000"/>
            </w:tcBorders>
          </w:tcPr>
          <w:p w14:paraId="6F3ECF7F" w14:textId="77777777" w:rsidR="0070336E" w:rsidRPr="00DC2F2C" w:rsidRDefault="0070336E" w:rsidP="00DB098A">
            <w:pPr>
              <w:keepNext/>
              <w:keepLines/>
              <w:rPr>
                <w:sz w:val="20"/>
                <w:lang w:val="fr-FR"/>
              </w:rPr>
            </w:pPr>
            <w:r w:rsidRPr="00DC2F2C">
              <w:rPr>
                <w:sz w:val="20"/>
                <w:lang w:val="fr-FR"/>
              </w:rPr>
              <w:t>N</w:t>
            </w:r>
            <w:r w:rsidR="001547F9" w:rsidRPr="00DC2F2C">
              <w:rPr>
                <w:sz w:val="20"/>
                <w:lang w:val="fr-FR"/>
              </w:rPr>
              <w:t> </w:t>
            </w:r>
            <w:r w:rsidRPr="00DC2F2C">
              <w:rPr>
                <w:sz w:val="20"/>
                <w:lang w:val="fr-FR"/>
              </w:rPr>
              <w:t>=</w:t>
            </w:r>
            <w:r w:rsidR="001547F9" w:rsidRPr="00DC2F2C">
              <w:rPr>
                <w:sz w:val="20"/>
                <w:lang w:val="fr-FR"/>
              </w:rPr>
              <w:t> </w:t>
            </w:r>
            <w:r w:rsidRPr="00DC2F2C">
              <w:rPr>
                <w:sz w:val="20"/>
                <w:lang w:val="fr-FR"/>
              </w:rPr>
              <w:t>257</w:t>
            </w:r>
          </w:p>
        </w:tc>
        <w:tc>
          <w:tcPr>
            <w:tcW w:w="1276" w:type="dxa"/>
            <w:tcBorders>
              <w:right w:val="single" w:sz="12" w:space="0" w:color="000000"/>
            </w:tcBorders>
          </w:tcPr>
          <w:p w14:paraId="57AB2C34" w14:textId="77777777" w:rsidR="0070336E" w:rsidRPr="00DC2F2C" w:rsidRDefault="0070336E" w:rsidP="00DB098A">
            <w:pPr>
              <w:keepNext/>
              <w:keepLines/>
              <w:rPr>
                <w:sz w:val="20"/>
                <w:lang w:val="fr-FR"/>
              </w:rPr>
            </w:pPr>
            <w:r w:rsidRPr="00DC2F2C">
              <w:rPr>
                <w:sz w:val="20"/>
                <w:lang w:val="fr-FR"/>
              </w:rPr>
              <w:t>23</w:t>
            </w:r>
            <w:r w:rsidR="00A84CB8" w:rsidRPr="00DC2F2C">
              <w:rPr>
                <w:sz w:val="20"/>
                <w:lang w:val="fr-FR"/>
              </w:rPr>
              <w:t>,</w:t>
            </w:r>
            <w:r w:rsidRPr="00DC2F2C">
              <w:rPr>
                <w:sz w:val="20"/>
                <w:lang w:val="fr-FR"/>
              </w:rPr>
              <w:t>3</w:t>
            </w:r>
            <w:r w:rsidR="001547F9" w:rsidRPr="00DC2F2C">
              <w:rPr>
                <w:sz w:val="20"/>
                <w:lang w:val="fr-FR"/>
              </w:rPr>
              <w:t> </w:t>
            </w:r>
            <w:r w:rsidRPr="00DC2F2C">
              <w:rPr>
                <w:sz w:val="20"/>
                <w:lang w:val="fr-FR"/>
              </w:rPr>
              <w:t>%</w:t>
            </w:r>
          </w:p>
          <w:p w14:paraId="5CCBA47A" w14:textId="77777777" w:rsidR="0070336E" w:rsidRPr="00DC2F2C" w:rsidRDefault="0070336E" w:rsidP="00DB098A">
            <w:pPr>
              <w:keepNext/>
              <w:keepLines/>
              <w:rPr>
                <w:sz w:val="20"/>
                <w:lang w:val="fr-FR"/>
              </w:rPr>
            </w:pPr>
            <w:r w:rsidRPr="00DC2F2C">
              <w:rPr>
                <w:sz w:val="20"/>
                <w:lang w:val="fr-FR"/>
              </w:rPr>
              <w:t>(18</w:t>
            </w:r>
            <w:r w:rsidR="00A84CB8" w:rsidRPr="00DC2F2C">
              <w:rPr>
                <w:sz w:val="20"/>
                <w:lang w:val="fr-FR"/>
              </w:rPr>
              <w:t>,</w:t>
            </w:r>
            <w:r w:rsidRPr="00DC2F2C">
              <w:rPr>
                <w:sz w:val="20"/>
                <w:lang w:val="fr-FR"/>
              </w:rPr>
              <w:t>3, 29</w:t>
            </w:r>
            <w:r w:rsidR="00A84CB8" w:rsidRPr="00DC2F2C">
              <w:rPr>
                <w:sz w:val="20"/>
                <w:lang w:val="fr-FR"/>
              </w:rPr>
              <w:t>,</w:t>
            </w:r>
            <w:r w:rsidRPr="00DC2F2C">
              <w:rPr>
                <w:sz w:val="20"/>
                <w:lang w:val="fr-FR"/>
              </w:rPr>
              <w:t>0)</w:t>
            </w:r>
          </w:p>
        </w:tc>
        <w:tc>
          <w:tcPr>
            <w:tcW w:w="1559" w:type="dxa"/>
            <w:tcBorders>
              <w:left w:val="single" w:sz="12" w:space="0" w:color="000000"/>
            </w:tcBorders>
          </w:tcPr>
          <w:p w14:paraId="0B71B125" w14:textId="77777777" w:rsidR="0070336E" w:rsidRPr="00DC2F2C" w:rsidRDefault="0070336E" w:rsidP="00DB098A">
            <w:pPr>
              <w:keepNext/>
              <w:keepLines/>
              <w:rPr>
                <w:sz w:val="20"/>
                <w:lang w:val="fr-FR"/>
              </w:rPr>
            </w:pPr>
          </w:p>
        </w:tc>
        <w:tc>
          <w:tcPr>
            <w:tcW w:w="1125" w:type="dxa"/>
          </w:tcPr>
          <w:p w14:paraId="23A57D3C" w14:textId="77777777" w:rsidR="0070336E" w:rsidRPr="00DC2F2C" w:rsidRDefault="0070336E" w:rsidP="00DB098A">
            <w:pPr>
              <w:keepNext/>
              <w:keepLines/>
              <w:rPr>
                <w:sz w:val="20"/>
                <w:lang w:val="fr-FR"/>
              </w:rPr>
            </w:pPr>
            <w:r w:rsidRPr="00DC2F2C">
              <w:rPr>
                <w:sz w:val="20"/>
                <w:lang w:val="fr-FR"/>
              </w:rPr>
              <w:t>0</w:t>
            </w:r>
            <w:r w:rsidR="00A84CB8" w:rsidRPr="00DC2F2C">
              <w:rPr>
                <w:sz w:val="20"/>
                <w:lang w:val="fr-FR"/>
              </w:rPr>
              <w:t>,</w:t>
            </w:r>
            <w:r w:rsidRPr="00DC2F2C">
              <w:rPr>
                <w:sz w:val="20"/>
                <w:lang w:val="fr-FR"/>
              </w:rPr>
              <w:t>014</w:t>
            </w:r>
            <w:r w:rsidRPr="00DC2F2C">
              <w:rPr>
                <w:sz w:val="20"/>
                <w:vertAlign w:val="superscript"/>
                <w:lang w:val="fr-FR"/>
              </w:rPr>
              <w:t>c</w:t>
            </w:r>
          </w:p>
        </w:tc>
      </w:tr>
      <w:tr w:rsidR="00E273F0" w:rsidRPr="00DC2F2C" w14:paraId="484F18B4" w14:textId="77777777" w:rsidTr="00E4299B">
        <w:tc>
          <w:tcPr>
            <w:tcW w:w="2410" w:type="dxa"/>
            <w:tcBorders>
              <w:top w:val="single" w:sz="4" w:space="0" w:color="000000"/>
              <w:bottom w:val="single" w:sz="4" w:space="0" w:color="000000"/>
              <w:right w:val="single" w:sz="12" w:space="0" w:color="000000"/>
            </w:tcBorders>
          </w:tcPr>
          <w:p w14:paraId="1887D4D1" w14:textId="77777777" w:rsidR="0070336E" w:rsidRPr="00DC2F2C" w:rsidRDefault="007C3124" w:rsidP="00DB098A">
            <w:pPr>
              <w:keepNext/>
              <w:keepLines/>
              <w:rPr>
                <w:sz w:val="20"/>
                <w:lang w:val="fr-FR"/>
              </w:rPr>
            </w:pPr>
            <w:r w:rsidRPr="00DC2F2C">
              <w:rPr>
                <w:sz w:val="20"/>
                <w:lang w:val="fr-FR"/>
              </w:rPr>
              <w:t>Survie sans progression</w:t>
            </w:r>
            <w:r w:rsidR="0070336E" w:rsidRPr="00DC2F2C">
              <w:rPr>
                <w:sz w:val="20"/>
                <w:lang w:val="fr-FR"/>
              </w:rPr>
              <w:t>,</w:t>
            </w:r>
            <w:r w:rsidR="00D55908" w:rsidRPr="00DC2F2C">
              <w:rPr>
                <w:sz w:val="20"/>
                <w:lang w:val="fr-FR"/>
              </w:rPr>
              <w:t xml:space="preserve"> </w:t>
            </w:r>
            <w:r w:rsidRPr="00DC2F2C">
              <w:rPr>
                <w:sz w:val="20"/>
                <w:lang w:val="fr-FR"/>
              </w:rPr>
              <w:t xml:space="preserve">sous-groupe de patients n’ayant pas reçu de traitement antérieur pour leur CCR métastatique </w:t>
            </w:r>
            <w:r w:rsidR="0070336E" w:rsidRPr="00DC2F2C">
              <w:rPr>
                <w:sz w:val="20"/>
                <w:lang w:val="fr-FR"/>
              </w:rPr>
              <w:t>[m</w:t>
            </w:r>
            <w:r w:rsidRPr="00DC2F2C">
              <w:rPr>
                <w:sz w:val="20"/>
                <w:lang w:val="fr-FR"/>
              </w:rPr>
              <w:t>é</w:t>
            </w:r>
            <w:r w:rsidR="0070336E" w:rsidRPr="00DC2F2C">
              <w:rPr>
                <w:sz w:val="20"/>
                <w:lang w:val="fr-FR"/>
              </w:rPr>
              <w:t>dian</w:t>
            </w:r>
            <w:r w:rsidRPr="00DC2F2C">
              <w:rPr>
                <w:sz w:val="20"/>
                <w:lang w:val="fr-FR"/>
              </w:rPr>
              <w:t>e</w:t>
            </w:r>
            <w:r w:rsidR="0070336E" w:rsidRPr="00DC2F2C">
              <w:rPr>
                <w:sz w:val="20"/>
                <w:lang w:val="fr-FR"/>
              </w:rPr>
              <w:t xml:space="preserve">, </w:t>
            </w:r>
            <w:r w:rsidRPr="00DC2F2C">
              <w:rPr>
                <w:sz w:val="20"/>
                <w:lang w:val="fr-FR"/>
              </w:rPr>
              <w:t>mois</w:t>
            </w:r>
            <w:r w:rsidR="0070336E" w:rsidRPr="00DC2F2C">
              <w:rPr>
                <w:sz w:val="20"/>
                <w:lang w:val="fr-FR"/>
              </w:rPr>
              <w:t xml:space="preserve"> (</w:t>
            </w:r>
            <w:r w:rsidRPr="00DC2F2C">
              <w:rPr>
                <w:sz w:val="20"/>
                <w:lang w:val="fr-FR"/>
              </w:rPr>
              <w:t>IC 95 %</w:t>
            </w:r>
            <w:r w:rsidR="0070336E" w:rsidRPr="00DC2F2C">
              <w:rPr>
                <w:sz w:val="20"/>
                <w:lang w:val="fr-FR"/>
              </w:rPr>
              <w:t xml:space="preserve">)] </w:t>
            </w:r>
          </w:p>
        </w:tc>
        <w:tc>
          <w:tcPr>
            <w:tcW w:w="992" w:type="dxa"/>
            <w:tcBorders>
              <w:left w:val="single" w:sz="12" w:space="0" w:color="000000"/>
            </w:tcBorders>
          </w:tcPr>
          <w:p w14:paraId="2DFC2773" w14:textId="77777777" w:rsidR="0070336E" w:rsidRPr="00DC2F2C" w:rsidRDefault="0070336E" w:rsidP="00DB098A">
            <w:pPr>
              <w:keepNext/>
              <w:keepLines/>
              <w:rPr>
                <w:sz w:val="20"/>
                <w:lang w:val="fr-FR"/>
              </w:rPr>
            </w:pPr>
            <w:r w:rsidRPr="00DC2F2C">
              <w:rPr>
                <w:sz w:val="20"/>
                <w:lang w:val="fr-FR"/>
              </w:rPr>
              <w:t>N</w:t>
            </w:r>
            <w:r w:rsidR="008C0604" w:rsidRPr="00DC2F2C">
              <w:rPr>
                <w:sz w:val="20"/>
                <w:lang w:val="fr-FR"/>
              </w:rPr>
              <w:t> </w:t>
            </w:r>
            <w:r w:rsidRPr="00DC2F2C">
              <w:rPr>
                <w:sz w:val="20"/>
                <w:lang w:val="fr-FR"/>
              </w:rPr>
              <w:t>=</w:t>
            </w:r>
            <w:r w:rsidR="008C0604" w:rsidRPr="00DC2F2C">
              <w:rPr>
                <w:sz w:val="20"/>
                <w:lang w:val="fr-FR"/>
              </w:rPr>
              <w:t> </w:t>
            </w:r>
            <w:r w:rsidRPr="00DC2F2C">
              <w:rPr>
                <w:sz w:val="20"/>
                <w:lang w:val="fr-FR"/>
              </w:rPr>
              <w:t>181</w:t>
            </w:r>
          </w:p>
        </w:tc>
        <w:tc>
          <w:tcPr>
            <w:tcW w:w="1276" w:type="dxa"/>
            <w:tcBorders>
              <w:right w:val="single" w:sz="12" w:space="0" w:color="000000"/>
            </w:tcBorders>
          </w:tcPr>
          <w:p w14:paraId="3D82323B" w14:textId="77777777" w:rsidR="0070336E" w:rsidRPr="00DC2F2C" w:rsidRDefault="0070336E" w:rsidP="00DB098A">
            <w:pPr>
              <w:keepNext/>
              <w:keepLines/>
              <w:rPr>
                <w:sz w:val="20"/>
                <w:lang w:val="fr-FR"/>
              </w:rPr>
            </w:pPr>
            <w:r w:rsidRPr="00DC2F2C">
              <w:rPr>
                <w:sz w:val="20"/>
                <w:lang w:val="fr-FR"/>
              </w:rPr>
              <w:t>12</w:t>
            </w:r>
            <w:r w:rsidR="00A84CB8" w:rsidRPr="00DC2F2C">
              <w:rPr>
                <w:sz w:val="20"/>
                <w:lang w:val="fr-FR"/>
              </w:rPr>
              <w:t>,</w:t>
            </w:r>
            <w:r w:rsidRPr="00DC2F2C">
              <w:rPr>
                <w:sz w:val="20"/>
                <w:lang w:val="fr-FR"/>
              </w:rPr>
              <w:t xml:space="preserve">7 </w:t>
            </w:r>
          </w:p>
          <w:p w14:paraId="46CDD7E7" w14:textId="77777777" w:rsidR="0070336E" w:rsidRPr="00DC2F2C" w:rsidRDefault="0070336E" w:rsidP="00DB098A">
            <w:pPr>
              <w:keepNext/>
              <w:keepLines/>
              <w:rPr>
                <w:sz w:val="20"/>
                <w:lang w:val="fr-FR"/>
              </w:rPr>
            </w:pPr>
            <w:r w:rsidRPr="00DC2F2C">
              <w:rPr>
                <w:sz w:val="20"/>
                <w:lang w:val="fr-FR"/>
              </w:rPr>
              <w:t>(9</w:t>
            </w:r>
            <w:r w:rsidR="00A84CB8" w:rsidRPr="00DC2F2C">
              <w:rPr>
                <w:sz w:val="20"/>
                <w:lang w:val="fr-FR"/>
              </w:rPr>
              <w:t>,</w:t>
            </w:r>
            <w:r w:rsidRPr="00DC2F2C">
              <w:rPr>
                <w:sz w:val="20"/>
                <w:lang w:val="fr-FR"/>
              </w:rPr>
              <w:t>1, 15</w:t>
            </w:r>
            <w:r w:rsidR="00A84CB8" w:rsidRPr="00DC2F2C">
              <w:rPr>
                <w:sz w:val="20"/>
                <w:lang w:val="fr-FR"/>
              </w:rPr>
              <w:t>,</w:t>
            </w:r>
            <w:r w:rsidRPr="00DC2F2C">
              <w:rPr>
                <w:sz w:val="20"/>
                <w:lang w:val="fr-FR"/>
              </w:rPr>
              <w:t>0)</w:t>
            </w:r>
          </w:p>
        </w:tc>
        <w:tc>
          <w:tcPr>
            <w:tcW w:w="992" w:type="dxa"/>
            <w:tcBorders>
              <w:left w:val="single" w:sz="12" w:space="0" w:color="000000"/>
            </w:tcBorders>
          </w:tcPr>
          <w:p w14:paraId="61E083EB" w14:textId="77777777" w:rsidR="0070336E" w:rsidRPr="00DC2F2C" w:rsidRDefault="0070336E" w:rsidP="00DB098A">
            <w:pPr>
              <w:keepNext/>
              <w:keepLines/>
              <w:rPr>
                <w:sz w:val="20"/>
                <w:lang w:val="fr-FR"/>
              </w:rPr>
            </w:pPr>
            <w:r w:rsidRPr="00DC2F2C">
              <w:rPr>
                <w:sz w:val="20"/>
                <w:lang w:val="fr-FR"/>
              </w:rPr>
              <w:t>N</w:t>
            </w:r>
            <w:r w:rsidR="001547F9" w:rsidRPr="00DC2F2C">
              <w:rPr>
                <w:sz w:val="20"/>
                <w:lang w:val="fr-FR"/>
              </w:rPr>
              <w:t> </w:t>
            </w:r>
            <w:r w:rsidRPr="00DC2F2C">
              <w:rPr>
                <w:sz w:val="20"/>
                <w:lang w:val="fr-FR"/>
              </w:rPr>
              <w:t>=</w:t>
            </w:r>
            <w:r w:rsidR="001547F9" w:rsidRPr="00DC2F2C">
              <w:rPr>
                <w:sz w:val="20"/>
                <w:lang w:val="fr-FR"/>
              </w:rPr>
              <w:t> </w:t>
            </w:r>
            <w:r w:rsidRPr="00DC2F2C">
              <w:rPr>
                <w:sz w:val="20"/>
                <w:lang w:val="fr-FR"/>
              </w:rPr>
              <w:t>181</w:t>
            </w:r>
          </w:p>
        </w:tc>
        <w:tc>
          <w:tcPr>
            <w:tcW w:w="1276" w:type="dxa"/>
            <w:tcBorders>
              <w:right w:val="single" w:sz="12" w:space="0" w:color="000000"/>
            </w:tcBorders>
          </w:tcPr>
          <w:p w14:paraId="7D31C7C0" w14:textId="77777777" w:rsidR="0070336E" w:rsidRPr="00DC2F2C" w:rsidRDefault="0070336E" w:rsidP="00DB098A">
            <w:pPr>
              <w:keepNext/>
              <w:keepLines/>
              <w:rPr>
                <w:sz w:val="20"/>
                <w:lang w:val="fr-FR"/>
              </w:rPr>
            </w:pPr>
            <w:r w:rsidRPr="00DC2F2C">
              <w:rPr>
                <w:sz w:val="20"/>
                <w:lang w:val="fr-FR"/>
              </w:rPr>
              <w:t>9</w:t>
            </w:r>
            <w:r w:rsidR="00A84CB8" w:rsidRPr="00DC2F2C">
              <w:rPr>
                <w:sz w:val="20"/>
                <w:lang w:val="fr-FR"/>
              </w:rPr>
              <w:t>,</w:t>
            </w:r>
            <w:r w:rsidRPr="00DC2F2C">
              <w:rPr>
                <w:sz w:val="20"/>
                <w:lang w:val="fr-FR"/>
              </w:rPr>
              <w:t xml:space="preserve">1 </w:t>
            </w:r>
          </w:p>
          <w:p w14:paraId="79C91AD7" w14:textId="77777777" w:rsidR="0070336E" w:rsidRPr="00DC2F2C" w:rsidRDefault="0070336E" w:rsidP="00DB098A">
            <w:pPr>
              <w:keepNext/>
              <w:keepLines/>
              <w:rPr>
                <w:sz w:val="20"/>
                <w:lang w:val="fr-FR"/>
              </w:rPr>
            </w:pPr>
            <w:r w:rsidRPr="00DC2F2C">
              <w:rPr>
                <w:sz w:val="20"/>
                <w:lang w:val="fr-FR"/>
              </w:rPr>
              <w:t>(7</w:t>
            </w:r>
            <w:r w:rsidR="00A84CB8" w:rsidRPr="00DC2F2C">
              <w:rPr>
                <w:sz w:val="20"/>
                <w:lang w:val="fr-FR"/>
              </w:rPr>
              <w:t>,</w:t>
            </w:r>
            <w:r w:rsidRPr="00DC2F2C">
              <w:rPr>
                <w:sz w:val="20"/>
                <w:lang w:val="fr-FR"/>
              </w:rPr>
              <w:t>3, 10</w:t>
            </w:r>
            <w:r w:rsidR="00A84CB8" w:rsidRPr="00DC2F2C">
              <w:rPr>
                <w:sz w:val="20"/>
                <w:lang w:val="fr-FR"/>
              </w:rPr>
              <w:t>,</w:t>
            </w:r>
            <w:r w:rsidRPr="00DC2F2C">
              <w:rPr>
                <w:sz w:val="20"/>
                <w:lang w:val="fr-FR"/>
              </w:rPr>
              <w:t>8)</w:t>
            </w:r>
          </w:p>
        </w:tc>
        <w:tc>
          <w:tcPr>
            <w:tcW w:w="1559" w:type="dxa"/>
            <w:tcBorders>
              <w:left w:val="single" w:sz="12" w:space="0" w:color="000000"/>
            </w:tcBorders>
          </w:tcPr>
          <w:p w14:paraId="3317A151" w14:textId="77777777" w:rsidR="0070336E" w:rsidRPr="00DC2F2C" w:rsidRDefault="0070336E" w:rsidP="00DB098A">
            <w:pPr>
              <w:keepNext/>
              <w:keepLines/>
              <w:rPr>
                <w:sz w:val="20"/>
                <w:lang w:val="fr-FR"/>
              </w:rPr>
            </w:pPr>
            <w:r w:rsidRPr="00DC2F2C">
              <w:rPr>
                <w:sz w:val="20"/>
                <w:lang w:val="fr-FR"/>
              </w:rPr>
              <w:t>0</w:t>
            </w:r>
            <w:r w:rsidR="00A84CB8" w:rsidRPr="00DC2F2C">
              <w:rPr>
                <w:sz w:val="20"/>
                <w:lang w:val="fr-FR"/>
              </w:rPr>
              <w:t>,</w:t>
            </w:r>
            <w:r w:rsidRPr="00DC2F2C">
              <w:rPr>
                <w:sz w:val="20"/>
                <w:lang w:val="fr-FR"/>
              </w:rPr>
              <w:t xml:space="preserve">756 </w:t>
            </w:r>
          </w:p>
          <w:p w14:paraId="2C9479F7" w14:textId="77777777" w:rsidR="0070336E" w:rsidRPr="00DC2F2C" w:rsidRDefault="0070336E" w:rsidP="00DB098A">
            <w:pPr>
              <w:keepNext/>
              <w:keepLines/>
              <w:rPr>
                <w:sz w:val="20"/>
                <w:vertAlign w:val="superscript"/>
                <w:lang w:val="fr-FR"/>
              </w:rPr>
            </w:pPr>
            <w:r w:rsidRPr="00DC2F2C">
              <w:rPr>
                <w:sz w:val="20"/>
                <w:lang w:val="fr-FR"/>
              </w:rPr>
              <w:t>(0</w:t>
            </w:r>
            <w:r w:rsidR="00A84CB8" w:rsidRPr="00DC2F2C">
              <w:rPr>
                <w:sz w:val="20"/>
                <w:lang w:val="fr-FR"/>
              </w:rPr>
              <w:t>,</w:t>
            </w:r>
            <w:r w:rsidRPr="00DC2F2C">
              <w:rPr>
                <w:sz w:val="20"/>
                <w:lang w:val="fr-FR"/>
              </w:rPr>
              <w:t>580, 0</w:t>
            </w:r>
            <w:r w:rsidR="00A84CB8" w:rsidRPr="00DC2F2C">
              <w:rPr>
                <w:sz w:val="20"/>
                <w:lang w:val="fr-FR"/>
              </w:rPr>
              <w:t>,</w:t>
            </w:r>
            <w:r w:rsidRPr="00DC2F2C">
              <w:rPr>
                <w:sz w:val="20"/>
                <w:lang w:val="fr-FR"/>
              </w:rPr>
              <w:t>985)</w:t>
            </w:r>
            <w:r w:rsidR="00506755" w:rsidRPr="00DC2F2C">
              <w:rPr>
                <w:sz w:val="20"/>
                <w:vertAlign w:val="superscript"/>
                <w:lang w:val="fr-FR"/>
              </w:rPr>
              <w:t>d</w:t>
            </w:r>
          </w:p>
        </w:tc>
        <w:tc>
          <w:tcPr>
            <w:tcW w:w="1125" w:type="dxa"/>
          </w:tcPr>
          <w:p w14:paraId="5717D4E4" w14:textId="77777777" w:rsidR="0070336E" w:rsidRPr="00DC2F2C" w:rsidRDefault="0070336E" w:rsidP="00DB098A">
            <w:pPr>
              <w:keepNext/>
              <w:keepLines/>
              <w:rPr>
                <w:sz w:val="20"/>
                <w:vertAlign w:val="superscript"/>
                <w:lang w:val="fr-FR"/>
              </w:rPr>
            </w:pPr>
            <w:r w:rsidRPr="00DC2F2C">
              <w:rPr>
                <w:sz w:val="20"/>
                <w:lang w:val="fr-FR"/>
              </w:rPr>
              <w:t>0</w:t>
            </w:r>
            <w:r w:rsidR="00A84CB8" w:rsidRPr="00DC2F2C">
              <w:rPr>
                <w:sz w:val="20"/>
                <w:lang w:val="fr-FR"/>
              </w:rPr>
              <w:t>,</w:t>
            </w:r>
            <w:r w:rsidRPr="00DC2F2C">
              <w:rPr>
                <w:sz w:val="20"/>
                <w:lang w:val="fr-FR"/>
              </w:rPr>
              <w:t>03</w:t>
            </w:r>
            <w:r w:rsidR="00506755" w:rsidRPr="00DC2F2C">
              <w:rPr>
                <w:sz w:val="20"/>
                <w:lang w:val="fr-FR"/>
              </w:rPr>
              <w:t>7</w:t>
            </w:r>
            <w:r w:rsidR="00506755" w:rsidRPr="00DC2F2C">
              <w:rPr>
                <w:sz w:val="20"/>
                <w:vertAlign w:val="superscript"/>
                <w:lang w:val="fr-FR"/>
              </w:rPr>
              <w:t>e</w:t>
            </w:r>
          </w:p>
        </w:tc>
      </w:tr>
      <w:tr w:rsidR="0070336E" w:rsidRPr="00DC2F2C" w14:paraId="57A30F19" w14:textId="77777777" w:rsidTr="00E4299B">
        <w:tc>
          <w:tcPr>
            <w:tcW w:w="2410" w:type="dxa"/>
            <w:tcBorders>
              <w:top w:val="single" w:sz="4" w:space="0" w:color="000000"/>
              <w:bottom w:val="single" w:sz="12" w:space="0" w:color="000000"/>
              <w:right w:val="single" w:sz="12" w:space="0" w:color="000000"/>
            </w:tcBorders>
          </w:tcPr>
          <w:p w14:paraId="1D737E1F" w14:textId="77777777" w:rsidR="0070336E" w:rsidRPr="00DC2F2C" w:rsidRDefault="007C3124" w:rsidP="00DB098A">
            <w:pPr>
              <w:keepNext/>
              <w:keepLines/>
              <w:rPr>
                <w:sz w:val="20"/>
                <w:lang w:val="fr-FR"/>
              </w:rPr>
            </w:pPr>
            <w:r w:rsidRPr="00DC2F2C">
              <w:rPr>
                <w:sz w:val="20"/>
                <w:lang w:val="fr-FR"/>
              </w:rPr>
              <w:t>Survie sans progression</w:t>
            </w:r>
            <w:r w:rsidR="0070336E" w:rsidRPr="00DC2F2C">
              <w:rPr>
                <w:sz w:val="20"/>
                <w:lang w:val="fr-FR"/>
              </w:rPr>
              <w:t xml:space="preserve">, </w:t>
            </w:r>
            <w:r w:rsidRPr="00DC2F2C">
              <w:rPr>
                <w:sz w:val="20"/>
                <w:lang w:val="fr-FR"/>
              </w:rPr>
              <w:t>sous-groupe de patients ayant reçu un traitement antérieur pour leur maladie métastatique</w:t>
            </w:r>
            <w:r w:rsidR="0070336E" w:rsidRPr="00DC2F2C">
              <w:rPr>
                <w:sz w:val="20"/>
                <w:lang w:val="fr-FR"/>
              </w:rPr>
              <w:t xml:space="preserve"> [m</w:t>
            </w:r>
            <w:r w:rsidRPr="00DC2F2C">
              <w:rPr>
                <w:sz w:val="20"/>
                <w:lang w:val="fr-FR"/>
              </w:rPr>
              <w:t>é</w:t>
            </w:r>
            <w:r w:rsidR="0070336E" w:rsidRPr="00DC2F2C">
              <w:rPr>
                <w:sz w:val="20"/>
                <w:lang w:val="fr-FR"/>
              </w:rPr>
              <w:t>dian</w:t>
            </w:r>
            <w:r w:rsidRPr="00DC2F2C">
              <w:rPr>
                <w:sz w:val="20"/>
                <w:lang w:val="fr-FR"/>
              </w:rPr>
              <w:t>e</w:t>
            </w:r>
            <w:r w:rsidR="0070336E" w:rsidRPr="00DC2F2C">
              <w:rPr>
                <w:sz w:val="20"/>
                <w:lang w:val="fr-FR"/>
              </w:rPr>
              <w:t xml:space="preserve">, </w:t>
            </w:r>
            <w:r w:rsidR="00111526" w:rsidRPr="00DC2F2C">
              <w:rPr>
                <w:sz w:val="20"/>
                <w:lang w:val="fr-FR"/>
              </w:rPr>
              <w:t>mois</w:t>
            </w:r>
            <w:r w:rsidR="0070336E" w:rsidRPr="00DC2F2C">
              <w:rPr>
                <w:sz w:val="20"/>
                <w:lang w:val="fr-FR"/>
              </w:rPr>
              <w:t xml:space="preserve"> (</w:t>
            </w:r>
            <w:r w:rsidRPr="00DC2F2C">
              <w:rPr>
                <w:sz w:val="20"/>
                <w:lang w:val="fr-FR"/>
              </w:rPr>
              <w:t>IC 95 %</w:t>
            </w:r>
            <w:r w:rsidR="0070336E" w:rsidRPr="00DC2F2C">
              <w:rPr>
                <w:sz w:val="20"/>
                <w:lang w:val="fr-FR"/>
              </w:rPr>
              <w:t xml:space="preserve">)] </w:t>
            </w:r>
          </w:p>
        </w:tc>
        <w:tc>
          <w:tcPr>
            <w:tcW w:w="992" w:type="dxa"/>
            <w:tcBorders>
              <w:left w:val="single" w:sz="12" w:space="0" w:color="000000"/>
              <w:bottom w:val="single" w:sz="12" w:space="0" w:color="000000"/>
            </w:tcBorders>
          </w:tcPr>
          <w:p w14:paraId="72BA1EBC" w14:textId="77777777" w:rsidR="0070336E" w:rsidRPr="00DC2F2C" w:rsidRDefault="0070336E" w:rsidP="00DB098A">
            <w:pPr>
              <w:keepNext/>
              <w:keepLines/>
              <w:rPr>
                <w:sz w:val="20"/>
                <w:lang w:val="fr-FR"/>
              </w:rPr>
            </w:pPr>
            <w:r w:rsidRPr="00DC2F2C">
              <w:rPr>
                <w:sz w:val="20"/>
                <w:lang w:val="fr-FR"/>
              </w:rPr>
              <w:t>N</w:t>
            </w:r>
            <w:r w:rsidR="008C0604" w:rsidRPr="00DC2F2C">
              <w:rPr>
                <w:sz w:val="20"/>
                <w:lang w:val="fr-FR"/>
              </w:rPr>
              <w:t> </w:t>
            </w:r>
            <w:r w:rsidRPr="00DC2F2C">
              <w:rPr>
                <w:sz w:val="20"/>
                <w:lang w:val="fr-FR"/>
              </w:rPr>
              <w:t>=</w:t>
            </w:r>
            <w:r w:rsidR="008C0604" w:rsidRPr="00DC2F2C">
              <w:rPr>
                <w:sz w:val="20"/>
                <w:lang w:val="fr-FR"/>
              </w:rPr>
              <w:t> </w:t>
            </w:r>
            <w:r w:rsidRPr="00DC2F2C">
              <w:rPr>
                <w:sz w:val="20"/>
                <w:lang w:val="fr-FR"/>
              </w:rPr>
              <w:t>78</w:t>
            </w:r>
          </w:p>
        </w:tc>
        <w:tc>
          <w:tcPr>
            <w:tcW w:w="1276" w:type="dxa"/>
            <w:tcBorders>
              <w:bottom w:val="single" w:sz="12" w:space="0" w:color="000000"/>
              <w:right w:val="single" w:sz="12" w:space="0" w:color="000000"/>
            </w:tcBorders>
          </w:tcPr>
          <w:p w14:paraId="693A0A54" w14:textId="77777777" w:rsidR="0070336E" w:rsidRPr="00DC2F2C" w:rsidRDefault="0070336E" w:rsidP="00DB098A">
            <w:pPr>
              <w:keepNext/>
              <w:keepLines/>
              <w:rPr>
                <w:sz w:val="20"/>
                <w:lang w:val="fr-FR"/>
              </w:rPr>
            </w:pPr>
            <w:r w:rsidRPr="00DC2F2C">
              <w:rPr>
                <w:sz w:val="20"/>
                <w:lang w:val="fr-FR"/>
              </w:rPr>
              <w:t>11</w:t>
            </w:r>
            <w:r w:rsidR="00A84CB8" w:rsidRPr="00DC2F2C">
              <w:rPr>
                <w:sz w:val="20"/>
                <w:lang w:val="fr-FR"/>
              </w:rPr>
              <w:t>,</w:t>
            </w:r>
            <w:r w:rsidRPr="00DC2F2C">
              <w:rPr>
                <w:sz w:val="20"/>
                <w:lang w:val="fr-FR"/>
              </w:rPr>
              <w:t>9</w:t>
            </w:r>
          </w:p>
          <w:p w14:paraId="72AB386A" w14:textId="77777777" w:rsidR="0070336E" w:rsidRPr="00DC2F2C" w:rsidRDefault="0070336E" w:rsidP="00DB098A">
            <w:pPr>
              <w:keepNext/>
              <w:keepLines/>
              <w:rPr>
                <w:sz w:val="20"/>
                <w:lang w:val="fr-FR"/>
              </w:rPr>
            </w:pPr>
            <w:r w:rsidRPr="00DC2F2C">
              <w:rPr>
                <w:sz w:val="20"/>
                <w:lang w:val="fr-FR"/>
              </w:rPr>
              <w:t>(8</w:t>
            </w:r>
            <w:r w:rsidR="00A84CB8" w:rsidRPr="00DC2F2C">
              <w:rPr>
                <w:sz w:val="20"/>
                <w:lang w:val="fr-FR"/>
              </w:rPr>
              <w:t>,</w:t>
            </w:r>
            <w:r w:rsidRPr="00DC2F2C">
              <w:rPr>
                <w:sz w:val="20"/>
                <w:lang w:val="fr-FR"/>
              </w:rPr>
              <w:t>0, 16</w:t>
            </w:r>
            <w:r w:rsidR="00A84CB8" w:rsidRPr="00DC2F2C">
              <w:rPr>
                <w:sz w:val="20"/>
                <w:lang w:val="fr-FR"/>
              </w:rPr>
              <w:t>,</w:t>
            </w:r>
            <w:r w:rsidRPr="00DC2F2C">
              <w:rPr>
                <w:sz w:val="20"/>
                <w:lang w:val="fr-FR"/>
              </w:rPr>
              <w:t>6)</w:t>
            </w:r>
          </w:p>
        </w:tc>
        <w:tc>
          <w:tcPr>
            <w:tcW w:w="992" w:type="dxa"/>
            <w:tcBorders>
              <w:left w:val="single" w:sz="12" w:space="0" w:color="000000"/>
            </w:tcBorders>
          </w:tcPr>
          <w:p w14:paraId="2DA03D09" w14:textId="77777777" w:rsidR="0070336E" w:rsidRPr="00DC2F2C" w:rsidRDefault="0070336E" w:rsidP="00DB098A">
            <w:pPr>
              <w:keepNext/>
              <w:keepLines/>
              <w:rPr>
                <w:sz w:val="20"/>
                <w:lang w:val="fr-FR"/>
              </w:rPr>
            </w:pPr>
            <w:r w:rsidRPr="00DC2F2C">
              <w:rPr>
                <w:sz w:val="20"/>
                <w:lang w:val="fr-FR"/>
              </w:rPr>
              <w:t>N</w:t>
            </w:r>
            <w:r w:rsidR="001547F9" w:rsidRPr="00DC2F2C">
              <w:rPr>
                <w:sz w:val="20"/>
                <w:lang w:val="fr-FR"/>
              </w:rPr>
              <w:t> </w:t>
            </w:r>
            <w:r w:rsidRPr="00DC2F2C">
              <w:rPr>
                <w:sz w:val="20"/>
                <w:lang w:val="fr-FR"/>
              </w:rPr>
              <w:t>=</w:t>
            </w:r>
            <w:r w:rsidR="001547F9" w:rsidRPr="00DC2F2C">
              <w:rPr>
                <w:sz w:val="20"/>
                <w:lang w:val="fr-FR"/>
              </w:rPr>
              <w:t> </w:t>
            </w:r>
            <w:r w:rsidRPr="00DC2F2C">
              <w:rPr>
                <w:sz w:val="20"/>
                <w:lang w:val="fr-FR"/>
              </w:rPr>
              <w:t>76</w:t>
            </w:r>
          </w:p>
        </w:tc>
        <w:tc>
          <w:tcPr>
            <w:tcW w:w="1276" w:type="dxa"/>
            <w:tcBorders>
              <w:right w:val="single" w:sz="12" w:space="0" w:color="000000"/>
            </w:tcBorders>
          </w:tcPr>
          <w:p w14:paraId="775245ED" w14:textId="77777777" w:rsidR="0070336E" w:rsidRPr="00DC2F2C" w:rsidRDefault="0070336E" w:rsidP="00DB098A">
            <w:pPr>
              <w:keepNext/>
              <w:keepLines/>
              <w:rPr>
                <w:sz w:val="20"/>
                <w:lang w:val="fr-FR"/>
              </w:rPr>
            </w:pPr>
            <w:r w:rsidRPr="00DC2F2C">
              <w:rPr>
                <w:sz w:val="20"/>
                <w:lang w:val="fr-FR"/>
              </w:rPr>
              <w:t>9</w:t>
            </w:r>
            <w:r w:rsidR="00A84CB8" w:rsidRPr="00DC2F2C">
              <w:rPr>
                <w:sz w:val="20"/>
                <w:lang w:val="fr-FR"/>
              </w:rPr>
              <w:t>,</w:t>
            </w:r>
            <w:r w:rsidRPr="00DC2F2C">
              <w:rPr>
                <w:sz w:val="20"/>
                <w:lang w:val="fr-FR"/>
              </w:rPr>
              <w:t>1</w:t>
            </w:r>
          </w:p>
          <w:p w14:paraId="2A519620" w14:textId="77777777" w:rsidR="0070336E" w:rsidRPr="00DC2F2C" w:rsidRDefault="0070336E" w:rsidP="00DB098A">
            <w:pPr>
              <w:keepNext/>
              <w:keepLines/>
              <w:rPr>
                <w:sz w:val="20"/>
                <w:lang w:val="fr-FR"/>
              </w:rPr>
            </w:pPr>
            <w:r w:rsidRPr="00DC2F2C">
              <w:rPr>
                <w:sz w:val="20"/>
                <w:lang w:val="fr-FR"/>
              </w:rPr>
              <w:t>(7</w:t>
            </w:r>
            <w:r w:rsidR="00A84CB8" w:rsidRPr="00DC2F2C">
              <w:rPr>
                <w:sz w:val="20"/>
                <w:lang w:val="fr-FR"/>
              </w:rPr>
              <w:t>,</w:t>
            </w:r>
            <w:r w:rsidRPr="00DC2F2C">
              <w:rPr>
                <w:sz w:val="20"/>
                <w:lang w:val="fr-FR"/>
              </w:rPr>
              <w:t>2, 11</w:t>
            </w:r>
            <w:r w:rsidR="00A84CB8" w:rsidRPr="00DC2F2C">
              <w:rPr>
                <w:sz w:val="20"/>
                <w:lang w:val="fr-FR"/>
              </w:rPr>
              <w:t>,</w:t>
            </w:r>
            <w:r w:rsidRPr="00DC2F2C">
              <w:rPr>
                <w:sz w:val="20"/>
                <w:lang w:val="fr-FR"/>
              </w:rPr>
              <w:t>1)</w:t>
            </w:r>
          </w:p>
        </w:tc>
        <w:tc>
          <w:tcPr>
            <w:tcW w:w="1559" w:type="dxa"/>
            <w:tcBorders>
              <w:left w:val="single" w:sz="12" w:space="0" w:color="000000"/>
              <w:bottom w:val="single" w:sz="12" w:space="0" w:color="000000"/>
            </w:tcBorders>
          </w:tcPr>
          <w:p w14:paraId="16F91B60" w14:textId="77777777" w:rsidR="0070336E" w:rsidRPr="00DC2F2C" w:rsidRDefault="0070336E" w:rsidP="00DB098A">
            <w:pPr>
              <w:keepNext/>
              <w:keepLines/>
              <w:rPr>
                <w:sz w:val="20"/>
                <w:lang w:val="fr-FR"/>
              </w:rPr>
            </w:pPr>
            <w:r w:rsidRPr="00DC2F2C">
              <w:rPr>
                <w:sz w:val="20"/>
                <w:lang w:val="fr-FR"/>
              </w:rPr>
              <w:t>0</w:t>
            </w:r>
            <w:r w:rsidR="00A84CB8" w:rsidRPr="00DC2F2C">
              <w:rPr>
                <w:sz w:val="20"/>
                <w:lang w:val="fr-FR"/>
              </w:rPr>
              <w:t>,</w:t>
            </w:r>
            <w:r w:rsidRPr="00DC2F2C">
              <w:rPr>
                <w:sz w:val="20"/>
                <w:lang w:val="fr-FR"/>
              </w:rPr>
              <w:t>877</w:t>
            </w:r>
          </w:p>
          <w:p w14:paraId="6D9BEBDE" w14:textId="77777777" w:rsidR="0070336E" w:rsidRPr="00DC2F2C" w:rsidRDefault="0070336E" w:rsidP="00DB098A">
            <w:pPr>
              <w:keepNext/>
              <w:keepLines/>
              <w:rPr>
                <w:sz w:val="20"/>
                <w:vertAlign w:val="superscript"/>
                <w:lang w:val="fr-FR"/>
              </w:rPr>
            </w:pPr>
            <w:r w:rsidRPr="00DC2F2C">
              <w:rPr>
                <w:sz w:val="20"/>
                <w:lang w:val="fr-FR"/>
              </w:rPr>
              <w:t>(0</w:t>
            </w:r>
            <w:r w:rsidR="00A84CB8" w:rsidRPr="00DC2F2C">
              <w:rPr>
                <w:sz w:val="20"/>
                <w:lang w:val="fr-FR"/>
              </w:rPr>
              <w:t>,</w:t>
            </w:r>
            <w:r w:rsidRPr="00DC2F2C">
              <w:rPr>
                <w:sz w:val="20"/>
                <w:lang w:val="fr-FR"/>
              </w:rPr>
              <w:t>587, 1</w:t>
            </w:r>
            <w:r w:rsidR="00A84CB8" w:rsidRPr="00DC2F2C">
              <w:rPr>
                <w:sz w:val="20"/>
                <w:lang w:val="fr-FR"/>
              </w:rPr>
              <w:t>,</w:t>
            </w:r>
            <w:r w:rsidRPr="00DC2F2C">
              <w:rPr>
                <w:sz w:val="20"/>
                <w:lang w:val="fr-FR"/>
              </w:rPr>
              <w:t>309)</w:t>
            </w:r>
            <w:r w:rsidR="00506755" w:rsidRPr="00DC2F2C">
              <w:rPr>
                <w:sz w:val="20"/>
                <w:vertAlign w:val="superscript"/>
                <w:lang w:val="fr-FR"/>
              </w:rPr>
              <w:t>d</w:t>
            </w:r>
          </w:p>
        </w:tc>
        <w:tc>
          <w:tcPr>
            <w:tcW w:w="1125" w:type="dxa"/>
            <w:tcBorders>
              <w:bottom w:val="single" w:sz="12" w:space="0" w:color="000000"/>
            </w:tcBorders>
          </w:tcPr>
          <w:p w14:paraId="11B4941E" w14:textId="77777777" w:rsidR="0070336E" w:rsidRPr="00DC2F2C" w:rsidRDefault="0070336E" w:rsidP="00DB098A">
            <w:pPr>
              <w:keepNext/>
              <w:keepLines/>
              <w:rPr>
                <w:sz w:val="20"/>
                <w:vertAlign w:val="superscript"/>
                <w:lang w:val="fr-FR"/>
              </w:rPr>
            </w:pPr>
            <w:r w:rsidRPr="00DC2F2C">
              <w:rPr>
                <w:sz w:val="20"/>
                <w:lang w:val="fr-FR"/>
              </w:rPr>
              <w:t>0</w:t>
            </w:r>
            <w:r w:rsidR="00A84CB8" w:rsidRPr="00DC2F2C">
              <w:rPr>
                <w:sz w:val="20"/>
                <w:lang w:val="fr-FR"/>
              </w:rPr>
              <w:t>,</w:t>
            </w:r>
            <w:r w:rsidRPr="00DC2F2C">
              <w:rPr>
                <w:sz w:val="20"/>
                <w:lang w:val="fr-FR"/>
              </w:rPr>
              <w:t>520</w:t>
            </w:r>
            <w:r w:rsidRPr="00DC2F2C">
              <w:rPr>
                <w:sz w:val="20"/>
                <w:vertAlign w:val="superscript"/>
                <w:lang w:val="fr-FR"/>
              </w:rPr>
              <w:t>e</w:t>
            </w:r>
          </w:p>
        </w:tc>
      </w:tr>
    </w:tbl>
    <w:p w14:paraId="258727DF" w14:textId="77777777" w:rsidR="00597101" w:rsidRPr="00690707" w:rsidRDefault="009B2D74" w:rsidP="000A5BB2">
      <w:pPr>
        <w:keepNext/>
        <w:keepLines/>
        <w:tabs>
          <w:tab w:val="left" w:pos="9071"/>
        </w:tabs>
        <w:ind w:left="90" w:right="-1" w:hanging="90"/>
        <w:rPr>
          <w:sz w:val="18"/>
          <w:lang w:val="fr-FR"/>
        </w:rPr>
      </w:pPr>
      <w:r w:rsidRPr="00690707">
        <w:rPr>
          <w:sz w:val="18"/>
          <w:vertAlign w:val="superscript"/>
          <w:lang w:val="fr-FR"/>
        </w:rPr>
        <w:t>a</w:t>
      </w:r>
      <w:r w:rsidRPr="00690707">
        <w:rPr>
          <w:sz w:val="18"/>
          <w:lang w:val="fr-FR"/>
        </w:rPr>
        <w:t xml:space="preserve"> </w:t>
      </w:r>
      <w:r w:rsidRPr="00690707">
        <w:rPr>
          <w:i/>
          <w:sz w:val="18"/>
          <w:lang w:val="fr-FR"/>
        </w:rPr>
        <w:t>Hazard ratio</w:t>
      </w:r>
      <w:r w:rsidRPr="00690707">
        <w:rPr>
          <w:sz w:val="18"/>
          <w:lang w:val="fr-FR"/>
        </w:rPr>
        <w:t xml:space="preserve"> </w:t>
      </w:r>
      <w:r w:rsidR="00792165" w:rsidRPr="00690707">
        <w:rPr>
          <w:sz w:val="18"/>
          <w:lang w:val="fr-FR"/>
        </w:rPr>
        <w:t>pour le bras</w:t>
      </w:r>
      <w:r w:rsidRPr="00690707">
        <w:rPr>
          <w:sz w:val="18"/>
          <w:lang w:val="fr-FR"/>
        </w:rPr>
        <w:t xml:space="preserve"> </w:t>
      </w:r>
      <w:proofErr w:type="spellStart"/>
      <w:r w:rsidR="005F4D84" w:rsidRPr="00690707">
        <w:rPr>
          <w:sz w:val="18"/>
          <w:lang w:val="fr-FR"/>
        </w:rPr>
        <w:t>tivozanib</w:t>
      </w:r>
      <w:proofErr w:type="spellEnd"/>
      <w:r w:rsidRPr="00690707">
        <w:rPr>
          <w:sz w:val="18"/>
          <w:lang w:val="fr-FR"/>
        </w:rPr>
        <w:t xml:space="preserve"> </w:t>
      </w:r>
      <w:r w:rsidRPr="00690707">
        <w:rPr>
          <w:i/>
          <w:sz w:val="18"/>
          <w:lang w:val="fr-FR"/>
        </w:rPr>
        <w:t>vs</w:t>
      </w:r>
      <w:r w:rsidR="00153AFD" w:rsidRPr="00690707">
        <w:rPr>
          <w:sz w:val="18"/>
          <w:lang w:val="fr-FR"/>
        </w:rPr>
        <w:t>.</w:t>
      </w:r>
      <w:r w:rsidRPr="00690707">
        <w:rPr>
          <w:sz w:val="18"/>
          <w:lang w:val="fr-FR"/>
        </w:rPr>
        <w:t xml:space="preserve"> </w:t>
      </w:r>
      <w:r w:rsidR="00792165" w:rsidRPr="00690707">
        <w:rPr>
          <w:sz w:val="18"/>
          <w:lang w:val="fr-FR"/>
        </w:rPr>
        <w:t xml:space="preserve">le bras </w:t>
      </w:r>
      <w:proofErr w:type="spellStart"/>
      <w:r w:rsidRPr="00690707">
        <w:rPr>
          <w:sz w:val="18"/>
          <w:lang w:val="fr-FR"/>
        </w:rPr>
        <w:t>soraf</w:t>
      </w:r>
      <w:r w:rsidR="00792165" w:rsidRPr="00690707">
        <w:rPr>
          <w:sz w:val="18"/>
          <w:lang w:val="fr-FR"/>
        </w:rPr>
        <w:t>é</w:t>
      </w:r>
      <w:r w:rsidRPr="00690707">
        <w:rPr>
          <w:sz w:val="18"/>
          <w:lang w:val="fr-FR"/>
        </w:rPr>
        <w:t>nib</w:t>
      </w:r>
      <w:proofErr w:type="spellEnd"/>
      <w:r w:rsidRPr="00690707">
        <w:rPr>
          <w:sz w:val="18"/>
          <w:lang w:val="fr-FR"/>
        </w:rPr>
        <w:t xml:space="preserve">, </w:t>
      </w:r>
      <w:r w:rsidR="00792165" w:rsidRPr="00690707">
        <w:rPr>
          <w:sz w:val="18"/>
          <w:lang w:val="fr-FR"/>
        </w:rPr>
        <w:t xml:space="preserve">basé sur </w:t>
      </w:r>
      <w:r w:rsidR="00C21255" w:rsidRPr="00690707">
        <w:rPr>
          <w:sz w:val="18"/>
          <w:lang w:val="fr-FR"/>
        </w:rPr>
        <w:t>un</w:t>
      </w:r>
      <w:r w:rsidR="00792165" w:rsidRPr="00690707">
        <w:rPr>
          <w:sz w:val="18"/>
          <w:lang w:val="fr-FR"/>
        </w:rPr>
        <w:t xml:space="preserve"> modèle</w:t>
      </w:r>
      <w:r w:rsidRPr="00690707">
        <w:rPr>
          <w:sz w:val="18"/>
          <w:lang w:val="fr-FR"/>
        </w:rPr>
        <w:t xml:space="preserve"> </w:t>
      </w:r>
      <w:r w:rsidR="00511E03" w:rsidRPr="00690707">
        <w:rPr>
          <w:sz w:val="18"/>
          <w:lang w:val="fr-FR"/>
        </w:rPr>
        <w:t>à</w:t>
      </w:r>
      <w:r w:rsidR="00792165" w:rsidRPr="00690707">
        <w:rPr>
          <w:sz w:val="18"/>
          <w:lang w:val="fr-FR"/>
        </w:rPr>
        <w:t xml:space="preserve"> risques proportionnels de </w:t>
      </w:r>
      <w:r w:rsidRPr="00690707">
        <w:rPr>
          <w:sz w:val="18"/>
          <w:lang w:val="fr-FR"/>
        </w:rPr>
        <w:t xml:space="preserve">Cox </w:t>
      </w:r>
      <w:r w:rsidR="00792165" w:rsidRPr="00690707">
        <w:rPr>
          <w:sz w:val="18"/>
          <w:lang w:val="fr-FR"/>
        </w:rPr>
        <w:t>stratifié</w:t>
      </w:r>
      <w:r w:rsidRPr="00690707">
        <w:rPr>
          <w:sz w:val="18"/>
          <w:lang w:val="fr-FR"/>
        </w:rPr>
        <w:t xml:space="preserve">. </w:t>
      </w:r>
      <w:r w:rsidR="00792165" w:rsidRPr="00690707">
        <w:rPr>
          <w:sz w:val="18"/>
          <w:lang w:val="fr-FR"/>
        </w:rPr>
        <w:t>Les facteurs de stratification sont le nombre de traitements antérieurs</w:t>
      </w:r>
      <w:r w:rsidRPr="00690707">
        <w:rPr>
          <w:sz w:val="18"/>
          <w:lang w:val="fr-FR"/>
        </w:rPr>
        <w:t xml:space="preserve"> (0 </w:t>
      </w:r>
      <w:r w:rsidR="00792165" w:rsidRPr="00690707">
        <w:rPr>
          <w:sz w:val="18"/>
          <w:lang w:val="fr-FR"/>
        </w:rPr>
        <w:t>ou</w:t>
      </w:r>
      <w:r w:rsidRPr="00690707">
        <w:rPr>
          <w:sz w:val="18"/>
          <w:lang w:val="fr-FR"/>
        </w:rPr>
        <w:t xml:space="preserve"> 1) </w:t>
      </w:r>
      <w:r w:rsidR="00792165" w:rsidRPr="00690707">
        <w:rPr>
          <w:sz w:val="18"/>
          <w:lang w:val="fr-FR"/>
        </w:rPr>
        <w:t xml:space="preserve">et le nombre de sites métastatiques/organes </w:t>
      </w:r>
      <w:r w:rsidR="005933DC" w:rsidRPr="00690707">
        <w:rPr>
          <w:sz w:val="18"/>
          <w:lang w:val="fr-FR"/>
        </w:rPr>
        <w:t>envahis</w:t>
      </w:r>
      <w:r w:rsidRPr="00690707">
        <w:rPr>
          <w:sz w:val="18"/>
          <w:lang w:val="fr-FR"/>
        </w:rPr>
        <w:t xml:space="preserve"> (1 </w:t>
      </w:r>
      <w:r w:rsidR="00792165" w:rsidRPr="00690707">
        <w:rPr>
          <w:sz w:val="18"/>
          <w:lang w:val="fr-FR"/>
        </w:rPr>
        <w:t>ou</w:t>
      </w:r>
      <w:r w:rsidRPr="00690707">
        <w:rPr>
          <w:sz w:val="18"/>
          <w:lang w:val="fr-FR"/>
        </w:rPr>
        <w:t xml:space="preserve"> ≥2). </w:t>
      </w:r>
      <w:r w:rsidR="00750C9B" w:rsidRPr="00690707">
        <w:rPr>
          <w:sz w:val="18"/>
          <w:lang w:val="fr-FR"/>
        </w:rPr>
        <w:t>En supposant la proportionnalité des risques</w:t>
      </w:r>
      <w:r w:rsidRPr="00690707">
        <w:rPr>
          <w:sz w:val="18"/>
          <w:lang w:val="fr-FR"/>
        </w:rPr>
        <w:t xml:space="preserve">, </w:t>
      </w:r>
      <w:r w:rsidR="00C21255" w:rsidRPr="00690707">
        <w:rPr>
          <w:sz w:val="18"/>
          <w:lang w:val="fr-FR"/>
        </w:rPr>
        <w:t>un</w:t>
      </w:r>
      <w:r w:rsidRPr="00690707">
        <w:rPr>
          <w:sz w:val="18"/>
          <w:lang w:val="fr-FR"/>
        </w:rPr>
        <w:t xml:space="preserve"> </w:t>
      </w:r>
      <w:proofErr w:type="spellStart"/>
      <w:r w:rsidRPr="00690707">
        <w:rPr>
          <w:i/>
          <w:sz w:val="18"/>
          <w:lang w:val="fr-FR"/>
        </w:rPr>
        <w:t>hazard</w:t>
      </w:r>
      <w:proofErr w:type="spellEnd"/>
      <w:r w:rsidRPr="00690707">
        <w:rPr>
          <w:i/>
          <w:sz w:val="18"/>
          <w:lang w:val="fr-FR"/>
        </w:rPr>
        <w:t xml:space="preserve"> ratio</w:t>
      </w:r>
      <w:r w:rsidRPr="00690707">
        <w:rPr>
          <w:sz w:val="18"/>
          <w:lang w:val="fr-FR"/>
        </w:rPr>
        <w:t xml:space="preserve"> </w:t>
      </w:r>
      <w:r w:rsidR="00C21255" w:rsidRPr="00690707">
        <w:rPr>
          <w:sz w:val="18"/>
          <w:lang w:val="fr-FR"/>
        </w:rPr>
        <w:t>inférieur à</w:t>
      </w:r>
      <w:r w:rsidRPr="00690707">
        <w:rPr>
          <w:sz w:val="18"/>
          <w:lang w:val="fr-FR"/>
        </w:rPr>
        <w:t xml:space="preserve"> 1 </w:t>
      </w:r>
      <w:r w:rsidR="00C21255" w:rsidRPr="00690707">
        <w:rPr>
          <w:sz w:val="18"/>
          <w:lang w:val="fr-FR"/>
        </w:rPr>
        <w:t>indique une réduction du</w:t>
      </w:r>
      <w:r w:rsidRPr="00690707">
        <w:rPr>
          <w:sz w:val="18"/>
          <w:lang w:val="fr-FR"/>
        </w:rPr>
        <w:t xml:space="preserve"> </w:t>
      </w:r>
      <w:r w:rsidR="00C21255" w:rsidRPr="00690707">
        <w:rPr>
          <w:sz w:val="18"/>
          <w:lang w:val="fr-FR"/>
        </w:rPr>
        <w:t>taux de risque en faveur du</w:t>
      </w:r>
      <w:r w:rsidRPr="00690707">
        <w:rPr>
          <w:sz w:val="18"/>
          <w:lang w:val="fr-FR"/>
        </w:rPr>
        <w:t xml:space="preserve"> </w:t>
      </w:r>
      <w:proofErr w:type="spellStart"/>
      <w:r w:rsidR="005F4D84" w:rsidRPr="00690707">
        <w:rPr>
          <w:sz w:val="18"/>
          <w:lang w:val="fr-FR"/>
        </w:rPr>
        <w:t>tivozanib</w:t>
      </w:r>
      <w:proofErr w:type="spellEnd"/>
      <w:r w:rsidR="00C21255" w:rsidRPr="00690707">
        <w:rPr>
          <w:sz w:val="18"/>
          <w:lang w:val="fr-FR"/>
        </w:rPr>
        <w:t> </w:t>
      </w:r>
      <w:r w:rsidR="00C67197" w:rsidRPr="00690707">
        <w:rPr>
          <w:sz w:val="18"/>
          <w:lang w:val="fr-FR"/>
        </w:rPr>
        <w:t>;</w:t>
      </w:r>
    </w:p>
    <w:p w14:paraId="4D115E2B" w14:textId="77777777" w:rsidR="00597101" w:rsidRPr="00690707" w:rsidRDefault="009B2D74" w:rsidP="000A5BB2">
      <w:pPr>
        <w:tabs>
          <w:tab w:val="left" w:pos="9071"/>
        </w:tabs>
        <w:ind w:left="90" w:right="-1" w:hanging="90"/>
        <w:rPr>
          <w:sz w:val="18"/>
          <w:lang w:val="fr-FR"/>
        </w:rPr>
      </w:pPr>
      <w:r w:rsidRPr="00690707">
        <w:rPr>
          <w:sz w:val="18"/>
          <w:vertAlign w:val="superscript"/>
          <w:lang w:val="fr-FR"/>
        </w:rPr>
        <w:t>b</w:t>
      </w:r>
      <w:r w:rsidRPr="00690707">
        <w:rPr>
          <w:sz w:val="18"/>
          <w:lang w:val="fr-FR"/>
        </w:rPr>
        <w:t xml:space="preserve"> </w:t>
      </w:r>
      <w:r w:rsidR="00C21255" w:rsidRPr="00690707">
        <w:rPr>
          <w:sz w:val="18"/>
          <w:lang w:val="fr-FR"/>
        </w:rPr>
        <w:t xml:space="preserve">Valeur de </w:t>
      </w:r>
      <w:r w:rsidRPr="00690707">
        <w:rPr>
          <w:sz w:val="18"/>
          <w:lang w:val="fr-FR"/>
        </w:rPr>
        <w:t>p</w:t>
      </w:r>
      <w:r w:rsidR="00C21255" w:rsidRPr="00690707">
        <w:rPr>
          <w:sz w:val="18"/>
          <w:lang w:val="fr-FR"/>
        </w:rPr>
        <w:t xml:space="preserve"> basée sur un test du </w:t>
      </w:r>
      <w:r w:rsidR="00C21255" w:rsidRPr="00690707">
        <w:rPr>
          <w:i/>
          <w:sz w:val="18"/>
          <w:lang w:val="fr-FR"/>
        </w:rPr>
        <w:t>log-</w:t>
      </w:r>
      <w:proofErr w:type="spellStart"/>
      <w:r w:rsidR="00C21255" w:rsidRPr="00690707">
        <w:rPr>
          <w:i/>
          <w:sz w:val="18"/>
          <w:lang w:val="fr-FR"/>
        </w:rPr>
        <w:t>rank</w:t>
      </w:r>
      <w:proofErr w:type="spellEnd"/>
      <w:r w:rsidR="00C21255" w:rsidRPr="00690707">
        <w:rPr>
          <w:sz w:val="18"/>
          <w:lang w:val="fr-FR"/>
        </w:rPr>
        <w:t xml:space="preserve"> stratifié</w:t>
      </w:r>
      <w:r w:rsidRPr="00690707">
        <w:rPr>
          <w:sz w:val="18"/>
          <w:lang w:val="fr-FR"/>
        </w:rPr>
        <w:t xml:space="preserve">. </w:t>
      </w:r>
      <w:r w:rsidR="00C21255" w:rsidRPr="00690707">
        <w:rPr>
          <w:sz w:val="18"/>
          <w:lang w:val="fr-FR"/>
        </w:rPr>
        <w:t>Les facteurs de stratification sont le nomb</w:t>
      </w:r>
      <w:r w:rsidR="000A5BB2">
        <w:rPr>
          <w:sz w:val="18"/>
          <w:lang w:val="fr-FR"/>
        </w:rPr>
        <w:t>re de traitements antérieurs (0 </w:t>
      </w:r>
      <w:r w:rsidR="00C21255" w:rsidRPr="00690707">
        <w:rPr>
          <w:sz w:val="18"/>
          <w:lang w:val="fr-FR"/>
        </w:rPr>
        <w:t xml:space="preserve">ou 1) et le nombre de sites métastatiques/organes </w:t>
      </w:r>
      <w:r w:rsidR="005933DC" w:rsidRPr="00690707">
        <w:rPr>
          <w:sz w:val="18"/>
          <w:lang w:val="fr-FR"/>
        </w:rPr>
        <w:t>envahis</w:t>
      </w:r>
      <w:r w:rsidR="00C21255" w:rsidRPr="00690707">
        <w:rPr>
          <w:sz w:val="18"/>
          <w:lang w:val="fr-FR"/>
        </w:rPr>
        <w:t xml:space="preserve"> (1 ou ≥2) </w:t>
      </w:r>
      <w:r w:rsidR="00C67197" w:rsidRPr="00690707">
        <w:rPr>
          <w:sz w:val="18"/>
          <w:lang w:val="fr-FR"/>
        </w:rPr>
        <w:t>;</w:t>
      </w:r>
      <w:r w:rsidRPr="00690707">
        <w:rPr>
          <w:sz w:val="18"/>
          <w:lang w:val="fr-FR"/>
        </w:rPr>
        <w:t xml:space="preserve"> </w:t>
      </w:r>
    </w:p>
    <w:p w14:paraId="2E566E64" w14:textId="77777777" w:rsidR="00597101" w:rsidRPr="00690707" w:rsidRDefault="009B2D74" w:rsidP="000A5BB2">
      <w:pPr>
        <w:tabs>
          <w:tab w:val="left" w:pos="9071"/>
        </w:tabs>
        <w:ind w:left="90" w:right="-1" w:hanging="90"/>
        <w:rPr>
          <w:sz w:val="18"/>
          <w:lang w:val="fr-FR"/>
        </w:rPr>
      </w:pPr>
      <w:r w:rsidRPr="00690707">
        <w:rPr>
          <w:sz w:val="18"/>
          <w:vertAlign w:val="superscript"/>
          <w:lang w:val="fr-FR"/>
        </w:rPr>
        <w:t>c</w:t>
      </w:r>
      <w:r w:rsidRPr="00690707">
        <w:rPr>
          <w:sz w:val="18"/>
          <w:lang w:val="fr-FR"/>
        </w:rPr>
        <w:t xml:space="preserve"> </w:t>
      </w:r>
      <w:r w:rsidR="00C21255" w:rsidRPr="00690707">
        <w:rPr>
          <w:sz w:val="18"/>
          <w:lang w:val="fr-FR"/>
        </w:rPr>
        <w:t>Valeur de p basée sur un test de</w:t>
      </w:r>
      <w:r w:rsidRPr="00690707">
        <w:rPr>
          <w:sz w:val="18"/>
          <w:lang w:val="fr-FR"/>
        </w:rPr>
        <w:t xml:space="preserve"> </w:t>
      </w:r>
      <w:r w:rsidR="00C21255" w:rsidRPr="00690707">
        <w:rPr>
          <w:sz w:val="18"/>
          <w:lang w:val="fr-FR"/>
        </w:rPr>
        <w:t>Cochran-</w:t>
      </w:r>
      <w:proofErr w:type="spellStart"/>
      <w:r w:rsidR="00C21255" w:rsidRPr="00690707">
        <w:rPr>
          <w:sz w:val="18"/>
          <w:lang w:val="fr-FR"/>
        </w:rPr>
        <w:t>Mantel</w:t>
      </w:r>
      <w:proofErr w:type="spellEnd"/>
      <w:r w:rsidR="00C21255" w:rsidRPr="00690707">
        <w:rPr>
          <w:sz w:val="18"/>
          <w:lang w:val="fr-FR"/>
        </w:rPr>
        <w:t>-</w:t>
      </w:r>
      <w:proofErr w:type="spellStart"/>
      <w:r w:rsidR="00C21255" w:rsidRPr="00690707">
        <w:rPr>
          <w:sz w:val="18"/>
          <w:lang w:val="fr-FR"/>
        </w:rPr>
        <w:t>Haenszel</w:t>
      </w:r>
      <w:proofErr w:type="spellEnd"/>
      <w:r w:rsidR="00C21255" w:rsidRPr="00690707">
        <w:rPr>
          <w:sz w:val="18"/>
          <w:lang w:val="fr-FR"/>
        </w:rPr>
        <w:t xml:space="preserve"> (CMH) stratifié</w:t>
      </w:r>
      <w:r w:rsidRPr="00690707">
        <w:rPr>
          <w:sz w:val="18"/>
          <w:lang w:val="fr-FR"/>
        </w:rPr>
        <w:t xml:space="preserve">. </w:t>
      </w:r>
      <w:r w:rsidR="00C21255" w:rsidRPr="00690707">
        <w:rPr>
          <w:sz w:val="18"/>
          <w:lang w:val="fr-FR"/>
        </w:rPr>
        <w:t xml:space="preserve">Les facteurs de stratification sont le nombre de traitements antérieurs (0 ou 1) et le nombre de sites métastatiques/organes </w:t>
      </w:r>
      <w:r w:rsidR="005933DC" w:rsidRPr="00690707">
        <w:rPr>
          <w:sz w:val="18"/>
          <w:lang w:val="fr-FR"/>
        </w:rPr>
        <w:t>envahis</w:t>
      </w:r>
      <w:r w:rsidR="00C21255" w:rsidRPr="00690707">
        <w:rPr>
          <w:sz w:val="18"/>
          <w:lang w:val="fr-FR"/>
        </w:rPr>
        <w:t xml:space="preserve"> (1 ou ≥2) </w:t>
      </w:r>
      <w:r w:rsidR="00C67197" w:rsidRPr="00690707">
        <w:rPr>
          <w:sz w:val="18"/>
          <w:lang w:val="fr-FR"/>
        </w:rPr>
        <w:t>;</w:t>
      </w:r>
    </w:p>
    <w:p w14:paraId="44D5B2D7" w14:textId="77777777" w:rsidR="00597101" w:rsidRPr="00690707" w:rsidRDefault="009B2D74" w:rsidP="000A5BB2">
      <w:pPr>
        <w:tabs>
          <w:tab w:val="left" w:pos="9071"/>
        </w:tabs>
        <w:ind w:left="90" w:right="-1" w:hanging="90"/>
        <w:rPr>
          <w:sz w:val="18"/>
          <w:lang w:val="fr-FR"/>
        </w:rPr>
      </w:pPr>
      <w:r w:rsidRPr="00690707">
        <w:rPr>
          <w:sz w:val="18"/>
          <w:vertAlign w:val="superscript"/>
          <w:lang w:val="fr-FR"/>
        </w:rPr>
        <w:t>d</w:t>
      </w:r>
      <w:r w:rsidRPr="00690707">
        <w:rPr>
          <w:sz w:val="18"/>
          <w:lang w:val="fr-FR"/>
        </w:rPr>
        <w:t xml:space="preserve"> </w:t>
      </w:r>
      <w:r w:rsidR="00C21255" w:rsidRPr="00690707">
        <w:rPr>
          <w:i/>
          <w:sz w:val="18"/>
          <w:lang w:val="fr-FR"/>
        </w:rPr>
        <w:t>Hazard ratio</w:t>
      </w:r>
      <w:r w:rsidR="00C21255" w:rsidRPr="00690707">
        <w:rPr>
          <w:sz w:val="18"/>
          <w:lang w:val="fr-FR"/>
        </w:rPr>
        <w:t xml:space="preserve"> pour les analyses en sous-groupes dans le bras </w:t>
      </w:r>
      <w:proofErr w:type="spellStart"/>
      <w:r w:rsidR="00C21255" w:rsidRPr="00690707">
        <w:rPr>
          <w:sz w:val="18"/>
          <w:lang w:val="fr-FR"/>
        </w:rPr>
        <w:t>tivozanib</w:t>
      </w:r>
      <w:proofErr w:type="spellEnd"/>
      <w:r w:rsidR="00C21255" w:rsidRPr="00690707">
        <w:rPr>
          <w:sz w:val="18"/>
          <w:lang w:val="fr-FR"/>
        </w:rPr>
        <w:t xml:space="preserve"> </w:t>
      </w:r>
      <w:r w:rsidR="00C21255" w:rsidRPr="00690707">
        <w:rPr>
          <w:i/>
          <w:sz w:val="18"/>
          <w:lang w:val="fr-FR"/>
        </w:rPr>
        <w:t>vs</w:t>
      </w:r>
      <w:r w:rsidR="00C21255" w:rsidRPr="00690707">
        <w:rPr>
          <w:sz w:val="18"/>
          <w:lang w:val="fr-FR"/>
        </w:rPr>
        <w:t xml:space="preserve">. le bras </w:t>
      </w:r>
      <w:proofErr w:type="spellStart"/>
      <w:r w:rsidR="00C21255" w:rsidRPr="00690707">
        <w:rPr>
          <w:sz w:val="18"/>
          <w:lang w:val="fr-FR"/>
        </w:rPr>
        <w:t>sorafénib</w:t>
      </w:r>
      <w:proofErr w:type="spellEnd"/>
      <w:r w:rsidRPr="00690707">
        <w:rPr>
          <w:sz w:val="18"/>
          <w:lang w:val="fr-FR"/>
        </w:rPr>
        <w:t xml:space="preserve">, </w:t>
      </w:r>
      <w:r w:rsidR="00C21255" w:rsidRPr="00690707">
        <w:rPr>
          <w:sz w:val="18"/>
          <w:lang w:val="fr-FR"/>
        </w:rPr>
        <w:t xml:space="preserve">basé sur un modèle </w:t>
      </w:r>
      <w:r w:rsidR="00511E03" w:rsidRPr="00690707">
        <w:rPr>
          <w:sz w:val="18"/>
          <w:lang w:val="fr-FR"/>
        </w:rPr>
        <w:t>à</w:t>
      </w:r>
      <w:r w:rsidR="00C21255" w:rsidRPr="00690707">
        <w:rPr>
          <w:sz w:val="18"/>
          <w:lang w:val="fr-FR"/>
        </w:rPr>
        <w:t xml:space="preserve"> risques proportionnels de Cox non stratifié</w:t>
      </w:r>
      <w:r w:rsidRPr="00690707">
        <w:rPr>
          <w:sz w:val="18"/>
          <w:lang w:val="fr-FR"/>
        </w:rPr>
        <w:t xml:space="preserve">. </w:t>
      </w:r>
      <w:r w:rsidR="00750C9B" w:rsidRPr="00690707">
        <w:rPr>
          <w:sz w:val="18"/>
          <w:lang w:val="fr-FR"/>
        </w:rPr>
        <w:t>En supposant la proportionnalité des risques</w:t>
      </w:r>
      <w:r w:rsidRPr="00690707">
        <w:rPr>
          <w:sz w:val="18"/>
          <w:lang w:val="fr-FR"/>
        </w:rPr>
        <w:t xml:space="preserve">, </w:t>
      </w:r>
      <w:r w:rsidR="00C21255" w:rsidRPr="00690707">
        <w:rPr>
          <w:sz w:val="18"/>
          <w:lang w:val="fr-FR"/>
        </w:rPr>
        <w:t xml:space="preserve">un </w:t>
      </w:r>
      <w:proofErr w:type="spellStart"/>
      <w:r w:rsidR="00C21255" w:rsidRPr="00690707">
        <w:rPr>
          <w:i/>
          <w:sz w:val="18"/>
          <w:lang w:val="fr-FR"/>
        </w:rPr>
        <w:t>hazard</w:t>
      </w:r>
      <w:proofErr w:type="spellEnd"/>
      <w:r w:rsidR="00C21255" w:rsidRPr="00690707">
        <w:rPr>
          <w:i/>
          <w:sz w:val="18"/>
          <w:lang w:val="fr-FR"/>
        </w:rPr>
        <w:t xml:space="preserve"> ratio</w:t>
      </w:r>
      <w:r w:rsidR="00C21255" w:rsidRPr="00690707">
        <w:rPr>
          <w:sz w:val="18"/>
          <w:lang w:val="fr-FR"/>
        </w:rPr>
        <w:t xml:space="preserve"> inférieur à 1 indique une réduction du taux de risque en faveur du </w:t>
      </w:r>
      <w:proofErr w:type="spellStart"/>
      <w:r w:rsidR="00C21255" w:rsidRPr="00690707">
        <w:rPr>
          <w:sz w:val="18"/>
          <w:lang w:val="fr-FR"/>
        </w:rPr>
        <w:t>tivozanib</w:t>
      </w:r>
      <w:proofErr w:type="spellEnd"/>
      <w:r w:rsidR="00C21255" w:rsidRPr="00690707">
        <w:rPr>
          <w:sz w:val="18"/>
          <w:lang w:val="fr-FR"/>
        </w:rPr>
        <w:t> </w:t>
      </w:r>
      <w:r w:rsidR="00C67197" w:rsidRPr="00690707">
        <w:rPr>
          <w:sz w:val="18"/>
          <w:lang w:val="fr-FR"/>
        </w:rPr>
        <w:t xml:space="preserve">; </w:t>
      </w:r>
    </w:p>
    <w:p w14:paraId="553ACB01" w14:textId="77777777" w:rsidR="009B2D74" w:rsidRPr="00690707" w:rsidRDefault="009B2D74" w:rsidP="000A5BB2">
      <w:pPr>
        <w:tabs>
          <w:tab w:val="left" w:pos="9071"/>
        </w:tabs>
        <w:ind w:left="90" w:right="-1" w:hanging="90"/>
        <w:rPr>
          <w:sz w:val="18"/>
          <w:lang w:val="fr-FR"/>
        </w:rPr>
      </w:pPr>
      <w:r w:rsidRPr="00690707">
        <w:rPr>
          <w:sz w:val="18"/>
          <w:vertAlign w:val="superscript"/>
          <w:lang w:val="fr-FR"/>
        </w:rPr>
        <w:t>e</w:t>
      </w:r>
      <w:r w:rsidRPr="00690707">
        <w:rPr>
          <w:sz w:val="18"/>
          <w:lang w:val="fr-FR"/>
        </w:rPr>
        <w:t xml:space="preserve"> </w:t>
      </w:r>
      <w:r w:rsidR="00C21255" w:rsidRPr="00690707">
        <w:rPr>
          <w:sz w:val="18"/>
          <w:lang w:val="fr-FR"/>
        </w:rPr>
        <w:t xml:space="preserve">Valeur de p pour les analyses en sous-groupes basée sur un test du </w:t>
      </w:r>
      <w:r w:rsidR="00C21255" w:rsidRPr="00690707">
        <w:rPr>
          <w:i/>
          <w:sz w:val="18"/>
          <w:lang w:val="fr-FR"/>
        </w:rPr>
        <w:t>log-</w:t>
      </w:r>
      <w:proofErr w:type="spellStart"/>
      <w:r w:rsidR="00C21255" w:rsidRPr="00690707">
        <w:rPr>
          <w:i/>
          <w:sz w:val="18"/>
          <w:lang w:val="fr-FR"/>
        </w:rPr>
        <w:t>rank</w:t>
      </w:r>
      <w:proofErr w:type="spellEnd"/>
      <w:r w:rsidR="00C21255" w:rsidRPr="00690707">
        <w:rPr>
          <w:i/>
          <w:sz w:val="18"/>
          <w:lang w:val="fr-FR"/>
        </w:rPr>
        <w:t xml:space="preserve"> </w:t>
      </w:r>
      <w:r w:rsidR="00C21255" w:rsidRPr="00690707">
        <w:rPr>
          <w:sz w:val="18"/>
          <w:lang w:val="fr-FR"/>
        </w:rPr>
        <w:t>non stratifié</w:t>
      </w:r>
      <w:r w:rsidRPr="00690707">
        <w:rPr>
          <w:sz w:val="18"/>
          <w:lang w:val="fr-FR"/>
        </w:rPr>
        <w:t>.</w:t>
      </w:r>
    </w:p>
    <w:p w14:paraId="4B8ACA97" w14:textId="77777777" w:rsidR="009D6445" w:rsidRPr="00DC2F2C" w:rsidRDefault="009D6445" w:rsidP="009D43DC">
      <w:pPr>
        <w:numPr>
          <w:ilvl w:val="12"/>
          <w:numId w:val="0"/>
        </w:numPr>
        <w:tabs>
          <w:tab w:val="clear" w:pos="567"/>
        </w:tabs>
        <w:ind w:right="549"/>
        <w:rPr>
          <w:szCs w:val="22"/>
          <w:lang w:val="fr-FR"/>
        </w:rPr>
      </w:pPr>
    </w:p>
    <w:p w14:paraId="268AEBE8" w14:textId="77777777" w:rsidR="00CD77C4" w:rsidRPr="00DC2F2C" w:rsidRDefault="009C4C81" w:rsidP="00B60D15">
      <w:pPr>
        <w:pStyle w:val="DocumentText"/>
        <w:spacing w:after="0" w:line="240" w:lineRule="auto"/>
        <w:rPr>
          <w:sz w:val="22"/>
          <w:szCs w:val="22"/>
          <w:lang w:val="fr-FR"/>
        </w:rPr>
      </w:pPr>
      <w:r w:rsidRPr="00DC2F2C">
        <w:rPr>
          <w:sz w:val="22"/>
          <w:szCs w:val="22"/>
          <w:lang w:val="fr-FR"/>
        </w:rPr>
        <w:t>La SG était un critère de jugement secondaire clé dans l’étude pivot et l’analyse a inclus les données de tous les patients randomisés</w:t>
      </w:r>
      <w:r w:rsidR="00A44F0C" w:rsidRPr="00DC2F2C">
        <w:rPr>
          <w:sz w:val="22"/>
          <w:szCs w:val="22"/>
          <w:lang w:val="fr-FR"/>
        </w:rPr>
        <w:t xml:space="preserve">, </w:t>
      </w:r>
      <w:r w:rsidRPr="00DC2F2C">
        <w:rPr>
          <w:sz w:val="22"/>
          <w:szCs w:val="22"/>
          <w:lang w:val="fr-FR"/>
        </w:rPr>
        <w:t>y compris ceux ayant présenté une progression sous</w:t>
      </w:r>
      <w:r w:rsidR="00A44F0C" w:rsidRPr="00DC2F2C">
        <w:rPr>
          <w:sz w:val="22"/>
          <w:szCs w:val="22"/>
          <w:lang w:val="fr-FR"/>
        </w:rPr>
        <w:t xml:space="preserve"> </w:t>
      </w:r>
      <w:proofErr w:type="spellStart"/>
      <w:r w:rsidR="00A44F0C" w:rsidRPr="00DC2F2C">
        <w:rPr>
          <w:sz w:val="22"/>
          <w:szCs w:val="22"/>
          <w:lang w:val="fr-FR"/>
        </w:rPr>
        <w:t>soraf</w:t>
      </w:r>
      <w:r w:rsidRPr="00DC2F2C">
        <w:rPr>
          <w:sz w:val="22"/>
          <w:szCs w:val="22"/>
          <w:lang w:val="fr-FR"/>
        </w:rPr>
        <w:t>é</w:t>
      </w:r>
      <w:r w:rsidR="00A44F0C" w:rsidRPr="00DC2F2C">
        <w:rPr>
          <w:sz w:val="22"/>
          <w:szCs w:val="22"/>
          <w:lang w:val="fr-FR"/>
        </w:rPr>
        <w:t>nib</w:t>
      </w:r>
      <w:proofErr w:type="spellEnd"/>
      <w:r w:rsidR="00A44F0C" w:rsidRPr="00DC2F2C">
        <w:rPr>
          <w:sz w:val="22"/>
          <w:szCs w:val="22"/>
          <w:lang w:val="fr-FR"/>
        </w:rPr>
        <w:t xml:space="preserve"> </w:t>
      </w:r>
      <w:r w:rsidRPr="00DC2F2C">
        <w:rPr>
          <w:sz w:val="22"/>
          <w:szCs w:val="22"/>
          <w:lang w:val="fr-FR"/>
        </w:rPr>
        <w:t>et passés dans le bras</w:t>
      </w:r>
      <w:r w:rsidR="00A44F0C" w:rsidRPr="00DC2F2C">
        <w:rPr>
          <w:sz w:val="22"/>
          <w:szCs w:val="22"/>
          <w:lang w:val="fr-FR"/>
        </w:rPr>
        <w:t xml:space="preserve"> </w:t>
      </w:r>
      <w:proofErr w:type="spellStart"/>
      <w:r w:rsidR="005F4D84" w:rsidRPr="00DC2F2C">
        <w:rPr>
          <w:sz w:val="22"/>
          <w:szCs w:val="22"/>
          <w:lang w:val="fr-FR"/>
        </w:rPr>
        <w:t>tivozanib</w:t>
      </w:r>
      <w:proofErr w:type="spellEnd"/>
      <w:r w:rsidR="00A44F0C" w:rsidRPr="00DC2F2C">
        <w:rPr>
          <w:sz w:val="22"/>
          <w:szCs w:val="22"/>
          <w:lang w:val="fr-FR"/>
        </w:rPr>
        <w:t xml:space="preserve"> </w:t>
      </w:r>
      <w:r w:rsidRPr="00DC2F2C">
        <w:rPr>
          <w:sz w:val="22"/>
          <w:szCs w:val="22"/>
          <w:lang w:val="fr-FR"/>
        </w:rPr>
        <w:t>dans le cadre de l’étude d’</w:t>
      </w:r>
      <w:r w:rsidR="00531B10" w:rsidRPr="00DC2F2C">
        <w:rPr>
          <w:sz w:val="22"/>
          <w:szCs w:val="22"/>
          <w:lang w:val="fr-FR"/>
        </w:rPr>
        <w:t xml:space="preserve">extension. Dans la population </w:t>
      </w:r>
      <w:r w:rsidR="00A44F0C" w:rsidRPr="00DC2F2C">
        <w:rPr>
          <w:sz w:val="22"/>
          <w:szCs w:val="22"/>
          <w:lang w:val="fr-FR"/>
        </w:rPr>
        <w:t>ITT</w:t>
      </w:r>
      <w:r w:rsidR="00531B10" w:rsidRPr="00DC2F2C">
        <w:rPr>
          <w:sz w:val="22"/>
          <w:szCs w:val="22"/>
          <w:lang w:val="fr-FR"/>
        </w:rPr>
        <w:t>,</w:t>
      </w:r>
      <w:r w:rsidR="00A44F0C" w:rsidRPr="00DC2F2C">
        <w:rPr>
          <w:sz w:val="22"/>
          <w:szCs w:val="22"/>
          <w:lang w:val="fr-FR"/>
        </w:rPr>
        <w:t xml:space="preserve"> </w:t>
      </w:r>
      <w:r w:rsidR="00531B10" w:rsidRPr="00DC2F2C">
        <w:rPr>
          <w:sz w:val="22"/>
          <w:szCs w:val="22"/>
          <w:lang w:val="fr-FR"/>
        </w:rPr>
        <w:t>il y a eu une petite différence numérique entre les deux bras en termes de survie globale</w:t>
      </w:r>
      <w:r w:rsidR="00F0260B" w:rsidRPr="00DC2F2C">
        <w:rPr>
          <w:sz w:val="22"/>
          <w:szCs w:val="22"/>
          <w:lang w:val="fr-FR"/>
        </w:rPr>
        <w:t>.</w:t>
      </w:r>
      <w:r w:rsidR="00A44F0C" w:rsidRPr="00DC2F2C">
        <w:rPr>
          <w:sz w:val="22"/>
          <w:szCs w:val="22"/>
          <w:lang w:val="fr-FR"/>
        </w:rPr>
        <w:t xml:space="preserve"> </w:t>
      </w:r>
      <w:r w:rsidR="00FF441C" w:rsidRPr="00DC2F2C">
        <w:rPr>
          <w:sz w:val="22"/>
          <w:szCs w:val="22"/>
          <w:lang w:val="fr-FR"/>
        </w:rPr>
        <w:t>L</w:t>
      </w:r>
      <w:r w:rsidR="00447C88" w:rsidRPr="00DC2F2C">
        <w:rPr>
          <w:sz w:val="22"/>
          <w:szCs w:val="22"/>
          <w:lang w:val="fr-FR"/>
        </w:rPr>
        <w:t>a SG médiane était de</w:t>
      </w:r>
      <w:r w:rsidR="00A44F0C" w:rsidRPr="00DC2F2C">
        <w:rPr>
          <w:sz w:val="22"/>
          <w:szCs w:val="22"/>
          <w:lang w:val="fr-FR"/>
        </w:rPr>
        <w:t xml:space="preserve"> 28</w:t>
      </w:r>
      <w:r w:rsidR="00447C88" w:rsidRPr="00DC2F2C">
        <w:rPr>
          <w:sz w:val="22"/>
          <w:szCs w:val="22"/>
          <w:lang w:val="fr-FR"/>
        </w:rPr>
        <w:t>,</w:t>
      </w:r>
      <w:r w:rsidR="00A44F0C" w:rsidRPr="00DC2F2C">
        <w:rPr>
          <w:sz w:val="22"/>
          <w:szCs w:val="22"/>
          <w:lang w:val="fr-FR"/>
        </w:rPr>
        <w:t>2</w:t>
      </w:r>
      <w:r w:rsidR="00001A31" w:rsidRPr="00DC2F2C">
        <w:rPr>
          <w:sz w:val="22"/>
          <w:szCs w:val="22"/>
          <w:lang w:val="fr-FR"/>
        </w:rPr>
        <w:t> </w:t>
      </w:r>
      <w:r w:rsidR="00447C88" w:rsidRPr="00DC2F2C">
        <w:rPr>
          <w:sz w:val="22"/>
          <w:szCs w:val="22"/>
          <w:lang w:val="fr-FR"/>
        </w:rPr>
        <w:t>mois</w:t>
      </w:r>
      <w:r w:rsidR="00A44F0C" w:rsidRPr="00DC2F2C">
        <w:rPr>
          <w:sz w:val="22"/>
          <w:szCs w:val="22"/>
          <w:lang w:val="fr-FR"/>
        </w:rPr>
        <w:t xml:space="preserve"> (</w:t>
      </w:r>
      <w:r w:rsidR="00447C88" w:rsidRPr="00DC2F2C">
        <w:rPr>
          <w:sz w:val="22"/>
          <w:szCs w:val="22"/>
          <w:lang w:val="fr-FR"/>
        </w:rPr>
        <w:t xml:space="preserve">IC </w:t>
      </w:r>
      <w:r w:rsidR="00A44F0C" w:rsidRPr="00DC2F2C">
        <w:rPr>
          <w:sz w:val="22"/>
          <w:szCs w:val="22"/>
          <w:lang w:val="fr-FR"/>
        </w:rPr>
        <w:t>95</w:t>
      </w:r>
      <w:r w:rsidR="00447C88" w:rsidRPr="00DC2F2C">
        <w:rPr>
          <w:sz w:val="22"/>
          <w:szCs w:val="22"/>
          <w:lang w:val="fr-FR"/>
        </w:rPr>
        <w:t> </w:t>
      </w:r>
      <w:r w:rsidR="00A44F0C" w:rsidRPr="00DC2F2C">
        <w:rPr>
          <w:sz w:val="22"/>
          <w:szCs w:val="22"/>
          <w:lang w:val="fr-FR"/>
        </w:rPr>
        <w:t>%</w:t>
      </w:r>
      <w:r w:rsidR="00447C88" w:rsidRPr="00DC2F2C">
        <w:rPr>
          <w:sz w:val="22"/>
          <w:szCs w:val="22"/>
          <w:lang w:val="fr-FR"/>
        </w:rPr>
        <w:t xml:space="preserve"> 22,5, 33,</w:t>
      </w:r>
      <w:r w:rsidR="00A44F0C" w:rsidRPr="00DC2F2C">
        <w:rPr>
          <w:sz w:val="22"/>
          <w:szCs w:val="22"/>
          <w:lang w:val="fr-FR"/>
        </w:rPr>
        <w:t xml:space="preserve">0) </w:t>
      </w:r>
      <w:r w:rsidR="00447C88" w:rsidRPr="00DC2F2C">
        <w:rPr>
          <w:sz w:val="22"/>
          <w:szCs w:val="22"/>
          <w:lang w:val="fr-FR"/>
        </w:rPr>
        <w:t>dans le bras</w:t>
      </w:r>
      <w:r w:rsidR="00A44F0C" w:rsidRPr="00DC2F2C">
        <w:rPr>
          <w:sz w:val="22"/>
          <w:szCs w:val="22"/>
          <w:lang w:val="fr-FR"/>
        </w:rPr>
        <w:t xml:space="preserve"> </w:t>
      </w:r>
      <w:proofErr w:type="spellStart"/>
      <w:r w:rsidR="005F4D84" w:rsidRPr="00DC2F2C">
        <w:rPr>
          <w:sz w:val="22"/>
          <w:szCs w:val="22"/>
          <w:lang w:val="fr-FR"/>
        </w:rPr>
        <w:t>tivozanib</w:t>
      </w:r>
      <w:proofErr w:type="spellEnd"/>
      <w:r w:rsidR="00A44F0C" w:rsidRPr="00DC2F2C">
        <w:rPr>
          <w:sz w:val="22"/>
          <w:szCs w:val="22"/>
          <w:lang w:val="fr-FR"/>
        </w:rPr>
        <w:t xml:space="preserve"> </w:t>
      </w:r>
      <w:r w:rsidR="00447C88" w:rsidRPr="00DC2F2C">
        <w:rPr>
          <w:i/>
          <w:sz w:val="22"/>
          <w:szCs w:val="22"/>
          <w:lang w:val="fr-FR"/>
        </w:rPr>
        <w:t>versus</w:t>
      </w:r>
      <w:r w:rsidR="00447C88" w:rsidRPr="00DC2F2C">
        <w:rPr>
          <w:sz w:val="22"/>
          <w:szCs w:val="22"/>
          <w:lang w:val="fr-FR"/>
        </w:rPr>
        <w:t xml:space="preserve"> 30,</w:t>
      </w:r>
      <w:r w:rsidR="00A44F0C" w:rsidRPr="00DC2F2C">
        <w:rPr>
          <w:sz w:val="22"/>
          <w:szCs w:val="22"/>
          <w:lang w:val="fr-FR"/>
        </w:rPr>
        <w:t>8</w:t>
      </w:r>
      <w:r w:rsidR="00001A31" w:rsidRPr="00DC2F2C">
        <w:rPr>
          <w:sz w:val="22"/>
          <w:szCs w:val="22"/>
          <w:lang w:val="fr-FR"/>
        </w:rPr>
        <w:t> </w:t>
      </w:r>
      <w:r w:rsidR="00447C88" w:rsidRPr="00DC2F2C">
        <w:rPr>
          <w:sz w:val="22"/>
          <w:szCs w:val="22"/>
          <w:lang w:val="fr-FR"/>
        </w:rPr>
        <w:t>mois</w:t>
      </w:r>
      <w:r w:rsidR="00A44F0C" w:rsidRPr="00DC2F2C">
        <w:rPr>
          <w:sz w:val="22"/>
          <w:szCs w:val="22"/>
          <w:lang w:val="fr-FR"/>
        </w:rPr>
        <w:t xml:space="preserve"> (</w:t>
      </w:r>
      <w:r w:rsidR="00447C88" w:rsidRPr="00DC2F2C">
        <w:rPr>
          <w:sz w:val="22"/>
          <w:szCs w:val="22"/>
          <w:lang w:val="fr-FR"/>
        </w:rPr>
        <w:t xml:space="preserve">IC 95 % </w:t>
      </w:r>
      <w:r w:rsidR="00A44F0C" w:rsidRPr="00DC2F2C">
        <w:rPr>
          <w:sz w:val="22"/>
          <w:szCs w:val="22"/>
          <w:lang w:val="fr-FR"/>
        </w:rPr>
        <w:t>28</w:t>
      </w:r>
      <w:r w:rsidR="00447C88" w:rsidRPr="00DC2F2C">
        <w:rPr>
          <w:sz w:val="22"/>
          <w:szCs w:val="22"/>
          <w:lang w:val="fr-FR"/>
        </w:rPr>
        <w:t>,4, 33,</w:t>
      </w:r>
      <w:r w:rsidR="00A44F0C" w:rsidRPr="00DC2F2C">
        <w:rPr>
          <w:sz w:val="22"/>
          <w:szCs w:val="22"/>
          <w:lang w:val="fr-FR"/>
        </w:rPr>
        <w:t xml:space="preserve">3) </w:t>
      </w:r>
      <w:r w:rsidR="00447C88" w:rsidRPr="00DC2F2C">
        <w:rPr>
          <w:sz w:val="22"/>
          <w:szCs w:val="22"/>
          <w:lang w:val="fr-FR"/>
        </w:rPr>
        <w:t>dans le bras</w:t>
      </w:r>
      <w:r w:rsidR="00A44F0C" w:rsidRPr="00DC2F2C">
        <w:rPr>
          <w:sz w:val="22"/>
          <w:szCs w:val="22"/>
          <w:lang w:val="fr-FR"/>
        </w:rPr>
        <w:t xml:space="preserve"> </w:t>
      </w:r>
      <w:proofErr w:type="spellStart"/>
      <w:r w:rsidR="00A44F0C" w:rsidRPr="00DC2F2C">
        <w:rPr>
          <w:sz w:val="22"/>
          <w:szCs w:val="22"/>
          <w:lang w:val="fr-FR"/>
        </w:rPr>
        <w:t>soraf</w:t>
      </w:r>
      <w:r w:rsidR="00447C88" w:rsidRPr="00DC2F2C">
        <w:rPr>
          <w:sz w:val="22"/>
          <w:szCs w:val="22"/>
          <w:lang w:val="fr-FR"/>
        </w:rPr>
        <w:t>é</w:t>
      </w:r>
      <w:r w:rsidR="00A44F0C" w:rsidRPr="00DC2F2C">
        <w:rPr>
          <w:sz w:val="22"/>
          <w:szCs w:val="22"/>
          <w:lang w:val="fr-FR"/>
        </w:rPr>
        <w:t>nib</w:t>
      </w:r>
      <w:proofErr w:type="spellEnd"/>
      <w:r w:rsidR="00A44F0C" w:rsidRPr="00DC2F2C">
        <w:rPr>
          <w:sz w:val="22"/>
          <w:szCs w:val="22"/>
          <w:lang w:val="fr-FR"/>
        </w:rPr>
        <w:t xml:space="preserve"> (HR</w:t>
      </w:r>
      <w:r w:rsidR="00447C88" w:rsidRPr="00DC2F2C">
        <w:rPr>
          <w:sz w:val="22"/>
          <w:szCs w:val="22"/>
          <w:lang w:val="fr-FR"/>
        </w:rPr>
        <w:t> </w:t>
      </w:r>
      <w:r w:rsidR="00A44F0C" w:rsidRPr="00DC2F2C">
        <w:rPr>
          <w:sz w:val="22"/>
          <w:szCs w:val="22"/>
          <w:lang w:val="fr-FR"/>
        </w:rPr>
        <w:t>=</w:t>
      </w:r>
      <w:r w:rsidR="00447C88" w:rsidRPr="00DC2F2C">
        <w:rPr>
          <w:sz w:val="22"/>
          <w:szCs w:val="22"/>
          <w:lang w:val="fr-FR"/>
        </w:rPr>
        <w:t> 1,</w:t>
      </w:r>
      <w:r w:rsidR="00A44F0C" w:rsidRPr="00DC2F2C">
        <w:rPr>
          <w:sz w:val="22"/>
          <w:szCs w:val="22"/>
          <w:lang w:val="fr-FR"/>
        </w:rPr>
        <w:t>147, p</w:t>
      </w:r>
      <w:r w:rsidR="00447C88" w:rsidRPr="00DC2F2C">
        <w:rPr>
          <w:sz w:val="22"/>
          <w:szCs w:val="22"/>
          <w:lang w:val="fr-FR"/>
        </w:rPr>
        <w:t> </w:t>
      </w:r>
      <w:r w:rsidR="00A44F0C" w:rsidRPr="00DC2F2C">
        <w:rPr>
          <w:sz w:val="22"/>
          <w:szCs w:val="22"/>
          <w:lang w:val="fr-FR"/>
        </w:rPr>
        <w:t>=</w:t>
      </w:r>
      <w:r w:rsidR="00447C88" w:rsidRPr="00DC2F2C">
        <w:rPr>
          <w:sz w:val="22"/>
          <w:szCs w:val="22"/>
          <w:lang w:val="fr-FR"/>
        </w:rPr>
        <w:t> 0,</w:t>
      </w:r>
      <w:r w:rsidR="00A44F0C" w:rsidRPr="00DC2F2C">
        <w:rPr>
          <w:sz w:val="22"/>
          <w:szCs w:val="22"/>
          <w:lang w:val="fr-FR"/>
        </w:rPr>
        <w:t>276).</w:t>
      </w:r>
      <w:r w:rsidR="00CD77C4" w:rsidRPr="00DC2F2C">
        <w:rPr>
          <w:sz w:val="22"/>
          <w:szCs w:val="22"/>
          <w:lang w:val="fr-FR"/>
        </w:rPr>
        <w:t xml:space="preserve"> </w:t>
      </w:r>
    </w:p>
    <w:p w14:paraId="3A88F015" w14:textId="77777777" w:rsidR="0095272B" w:rsidRPr="00DC2F2C" w:rsidRDefault="0095272B" w:rsidP="00B60D15">
      <w:pPr>
        <w:ind w:right="550"/>
        <w:rPr>
          <w:i/>
          <w:szCs w:val="22"/>
          <w:lang w:val="fr-FR"/>
        </w:rPr>
      </w:pPr>
    </w:p>
    <w:p w14:paraId="326F3670" w14:textId="77777777" w:rsidR="000D0DA6" w:rsidRPr="00DC2F2C" w:rsidRDefault="00D32803" w:rsidP="000D0DA6">
      <w:pPr>
        <w:keepNext/>
        <w:keepLines/>
        <w:numPr>
          <w:ilvl w:val="12"/>
          <w:numId w:val="0"/>
        </w:numPr>
        <w:tabs>
          <w:tab w:val="clear" w:pos="567"/>
        </w:tabs>
        <w:ind w:right="550"/>
        <w:rPr>
          <w:i/>
          <w:szCs w:val="22"/>
          <w:lang w:val="fr-FR"/>
        </w:rPr>
      </w:pPr>
      <w:r w:rsidRPr="00DC2F2C">
        <w:rPr>
          <w:bCs/>
          <w:i/>
          <w:iCs/>
          <w:szCs w:val="22"/>
          <w:lang w:val="fr-FR"/>
        </w:rPr>
        <w:t>Patients âgés</w:t>
      </w:r>
    </w:p>
    <w:p w14:paraId="6F88343C" w14:textId="77777777" w:rsidR="000D0DA6" w:rsidRPr="00DC2F2C" w:rsidRDefault="00D32803" w:rsidP="000D6CFA">
      <w:pPr>
        <w:rPr>
          <w:bCs/>
          <w:szCs w:val="22"/>
          <w:lang w:val="fr-FR"/>
        </w:rPr>
      </w:pPr>
      <w:r w:rsidRPr="00DC2F2C">
        <w:rPr>
          <w:bCs/>
          <w:szCs w:val="22"/>
          <w:lang w:val="fr-FR"/>
        </w:rPr>
        <w:t>Dans une étude clinique contrô</w:t>
      </w:r>
      <w:r w:rsidR="00F33A8A" w:rsidRPr="00DC2F2C">
        <w:rPr>
          <w:bCs/>
          <w:szCs w:val="22"/>
          <w:lang w:val="fr-FR"/>
        </w:rPr>
        <w:t>lée</w:t>
      </w:r>
      <w:r w:rsidRPr="00DC2F2C">
        <w:rPr>
          <w:bCs/>
          <w:szCs w:val="22"/>
          <w:lang w:val="fr-FR"/>
        </w:rPr>
        <w:t xml:space="preserve"> (AV-951-09-</w:t>
      </w:r>
      <w:r w:rsidR="000D0DA6" w:rsidRPr="00DC2F2C">
        <w:rPr>
          <w:bCs/>
          <w:szCs w:val="22"/>
          <w:lang w:val="fr-FR"/>
        </w:rPr>
        <w:t xml:space="preserve">301), </w:t>
      </w:r>
      <w:r w:rsidRPr="00DC2F2C">
        <w:rPr>
          <w:bCs/>
          <w:szCs w:val="22"/>
          <w:lang w:val="fr-FR"/>
        </w:rPr>
        <w:t xml:space="preserve">dans laquelle </w:t>
      </w:r>
      <w:r w:rsidR="000D0DA6" w:rsidRPr="00DC2F2C">
        <w:rPr>
          <w:bCs/>
          <w:szCs w:val="22"/>
          <w:lang w:val="fr-FR"/>
        </w:rPr>
        <w:t>25</w:t>
      </w:r>
      <w:r w:rsidRPr="00DC2F2C">
        <w:rPr>
          <w:bCs/>
          <w:szCs w:val="22"/>
          <w:lang w:val="fr-FR"/>
        </w:rPr>
        <w:t> </w:t>
      </w:r>
      <w:r w:rsidR="000D0DA6" w:rsidRPr="00DC2F2C">
        <w:rPr>
          <w:bCs/>
          <w:szCs w:val="22"/>
          <w:lang w:val="fr-FR"/>
        </w:rPr>
        <w:t xml:space="preserve">% </w:t>
      </w:r>
      <w:r w:rsidRPr="00DC2F2C">
        <w:rPr>
          <w:bCs/>
          <w:szCs w:val="22"/>
          <w:lang w:val="fr-FR"/>
        </w:rPr>
        <w:t>des</w:t>
      </w:r>
      <w:r w:rsidR="000D0DA6" w:rsidRPr="00DC2F2C">
        <w:rPr>
          <w:bCs/>
          <w:szCs w:val="22"/>
          <w:lang w:val="fr-FR"/>
        </w:rPr>
        <w:t xml:space="preserve"> patients </w:t>
      </w:r>
      <w:r w:rsidRPr="00DC2F2C">
        <w:rPr>
          <w:bCs/>
          <w:szCs w:val="22"/>
          <w:lang w:val="fr-FR"/>
        </w:rPr>
        <w:t>recevant le</w:t>
      </w:r>
      <w:r w:rsidR="000D0DA6" w:rsidRPr="00DC2F2C">
        <w:rPr>
          <w:bCs/>
          <w:szCs w:val="22"/>
          <w:lang w:val="fr-FR"/>
        </w:rPr>
        <w:t xml:space="preserve"> </w:t>
      </w:r>
      <w:proofErr w:type="spellStart"/>
      <w:r w:rsidR="00D5057C" w:rsidRPr="00DC2F2C">
        <w:rPr>
          <w:bCs/>
          <w:szCs w:val="22"/>
          <w:lang w:val="fr-FR"/>
        </w:rPr>
        <w:t>tivozanib</w:t>
      </w:r>
      <w:proofErr w:type="spellEnd"/>
      <w:r w:rsidR="000D0DA6" w:rsidRPr="00DC2F2C">
        <w:rPr>
          <w:bCs/>
          <w:szCs w:val="22"/>
          <w:lang w:val="fr-FR"/>
        </w:rPr>
        <w:t xml:space="preserve"> </w:t>
      </w:r>
      <w:r w:rsidRPr="00DC2F2C">
        <w:rPr>
          <w:bCs/>
          <w:szCs w:val="22"/>
          <w:lang w:val="fr-FR"/>
        </w:rPr>
        <w:t>avaient ≥</w:t>
      </w:r>
      <w:r w:rsidR="000D0DA6" w:rsidRPr="00DC2F2C">
        <w:rPr>
          <w:bCs/>
          <w:szCs w:val="22"/>
          <w:lang w:val="fr-FR"/>
        </w:rPr>
        <w:t xml:space="preserve">65 </w:t>
      </w:r>
      <w:r w:rsidRPr="00DC2F2C">
        <w:rPr>
          <w:bCs/>
          <w:szCs w:val="22"/>
          <w:lang w:val="fr-FR"/>
        </w:rPr>
        <w:t>ans</w:t>
      </w:r>
      <w:r w:rsidR="000D0DA6" w:rsidRPr="00DC2F2C">
        <w:rPr>
          <w:bCs/>
          <w:szCs w:val="22"/>
          <w:lang w:val="fr-FR"/>
        </w:rPr>
        <w:t xml:space="preserve">, </w:t>
      </w:r>
      <w:r w:rsidRPr="00DC2F2C">
        <w:rPr>
          <w:bCs/>
          <w:szCs w:val="22"/>
          <w:lang w:val="fr-FR"/>
        </w:rPr>
        <w:t>aucune différence globale n’a été observée en termes d’efficacité entre les patients âgés et plus jeunes</w:t>
      </w:r>
      <w:r w:rsidR="000D0DA6" w:rsidRPr="00DC2F2C">
        <w:rPr>
          <w:bCs/>
          <w:szCs w:val="22"/>
          <w:lang w:val="fr-FR"/>
        </w:rPr>
        <w:t xml:space="preserve"> (</w:t>
      </w:r>
      <w:r w:rsidR="002D6EE5" w:rsidRPr="00DC2F2C">
        <w:rPr>
          <w:szCs w:val="22"/>
          <w:lang w:val="fr-FR"/>
        </w:rPr>
        <w:t xml:space="preserve">voir rubrique </w:t>
      </w:r>
      <w:r w:rsidR="000D0DA6" w:rsidRPr="00DC2F2C">
        <w:rPr>
          <w:bCs/>
          <w:szCs w:val="22"/>
          <w:lang w:val="fr-FR"/>
        </w:rPr>
        <w:t xml:space="preserve">4.2). </w:t>
      </w:r>
    </w:p>
    <w:p w14:paraId="5748E1EC" w14:textId="77777777" w:rsidR="000D0DA6" w:rsidRPr="00DC2F2C" w:rsidRDefault="00D32803" w:rsidP="000D0DA6">
      <w:pPr>
        <w:pStyle w:val="C-BodyText"/>
        <w:spacing w:before="0" w:after="0" w:line="240" w:lineRule="auto"/>
        <w:ind w:right="549"/>
        <w:rPr>
          <w:szCs w:val="22"/>
          <w:lang w:val="fr-FR"/>
        </w:rPr>
      </w:pPr>
      <w:r w:rsidRPr="00DC2F2C">
        <w:rPr>
          <w:bCs/>
          <w:sz w:val="22"/>
          <w:szCs w:val="22"/>
          <w:lang w:val="fr-FR"/>
        </w:rPr>
        <w:t>Dans les études principales portant sur le CCR</w:t>
      </w:r>
      <w:r w:rsidR="004C2D33" w:rsidRPr="00DC2F2C">
        <w:rPr>
          <w:bCs/>
          <w:sz w:val="22"/>
          <w:szCs w:val="22"/>
          <w:lang w:val="fr-FR"/>
        </w:rPr>
        <w:t>, certains effets indésirables sont survenus plus fréquemment chez les patients âgés</w:t>
      </w:r>
      <w:r w:rsidR="000D0DA6" w:rsidRPr="00DC2F2C">
        <w:rPr>
          <w:bCs/>
          <w:sz w:val="22"/>
          <w:szCs w:val="22"/>
          <w:lang w:val="fr-FR"/>
        </w:rPr>
        <w:t xml:space="preserve"> (</w:t>
      </w:r>
      <w:r w:rsidR="002D6EE5" w:rsidRPr="00DC2F2C">
        <w:rPr>
          <w:sz w:val="22"/>
          <w:szCs w:val="22"/>
          <w:lang w:val="fr-FR"/>
        </w:rPr>
        <w:t xml:space="preserve">voir rubrique </w:t>
      </w:r>
      <w:r w:rsidR="000D0DA6" w:rsidRPr="00DC2F2C">
        <w:rPr>
          <w:bCs/>
          <w:sz w:val="22"/>
          <w:szCs w:val="22"/>
          <w:lang w:val="fr-FR"/>
        </w:rPr>
        <w:t>4.</w:t>
      </w:r>
      <w:r w:rsidR="00B163CE" w:rsidRPr="00DC2F2C">
        <w:rPr>
          <w:bCs/>
          <w:sz w:val="22"/>
          <w:szCs w:val="22"/>
          <w:lang w:val="fr-FR"/>
        </w:rPr>
        <w:t>4</w:t>
      </w:r>
      <w:r w:rsidR="000D0DA6" w:rsidRPr="00DC2F2C">
        <w:rPr>
          <w:bCs/>
          <w:sz w:val="22"/>
          <w:szCs w:val="22"/>
          <w:lang w:val="fr-FR"/>
        </w:rPr>
        <w:t>).</w:t>
      </w:r>
    </w:p>
    <w:p w14:paraId="22100BF4" w14:textId="77777777" w:rsidR="000C1BA5" w:rsidRPr="00DC2F2C" w:rsidRDefault="000C1BA5" w:rsidP="009D43DC">
      <w:pPr>
        <w:numPr>
          <w:ilvl w:val="12"/>
          <w:numId w:val="0"/>
        </w:numPr>
        <w:tabs>
          <w:tab w:val="clear" w:pos="567"/>
        </w:tabs>
        <w:ind w:right="549"/>
        <w:rPr>
          <w:szCs w:val="22"/>
          <w:u w:val="single"/>
          <w:lang w:val="fr-FR"/>
        </w:rPr>
      </w:pPr>
    </w:p>
    <w:p w14:paraId="5CA754B9" w14:textId="77777777" w:rsidR="002E4F57" w:rsidRPr="00DC2F2C" w:rsidRDefault="0082271B" w:rsidP="003F7D38">
      <w:pPr>
        <w:keepNext/>
        <w:numPr>
          <w:ilvl w:val="12"/>
          <w:numId w:val="0"/>
        </w:numPr>
        <w:tabs>
          <w:tab w:val="clear" w:pos="567"/>
        </w:tabs>
        <w:ind w:right="550"/>
        <w:rPr>
          <w:szCs w:val="22"/>
          <w:u w:val="single"/>
          <w:lang w:val="fr-FR"/>
        </w:rPr>
      </w:pPr>
      <w:r w:rsidRPr="00DC2F2C">
        <w:rPr>
          <w:u w:val="single"/>
          <w:lang w:val="fr-FR"/>
        </w:rPr>
        <w:t>Effets pharmacodynamiques</w:t>
      </w:r>
    </w:p>
    <w:p w14:paraId="1A6A292E" w14:textId="77777777" w:rsidR="002E4F57" w:rsidRPr="00DC2F2C" w:rsidRDefault="004C2D33" w:rsidP="000D6CFA">
      <w:pPr>
        <w:rPr>
          <w:szCs w:val="22"/>
          <w:lang w:val="fr-FR"/>
        </w:rPr>
      </w:pPr>
      <w:r w:rsidRPr="00DC2F2C">
        <w:rPr>
          <w:szCs w:val="22"/>
          <w:lang w:val="fr-FR"/>
        </w:rPr>
        <w:t>Dans une étude portant sur la sécurité cardiaque conduite chez 50 </w:t>
      </w:r>
      <w:r w:rsidR="002170F5" w:rsidRPr="00DC2F2C">
        <w:rPr>
          <w:szCs w:val="22"/>
          <w:lang w:val="fr-FR"/>
        </w:rPr>
        <w:t xml:space="preserve">patients </w:t>
      </w:r>
      <w:r w:rsidRPr="00DC2F2C">
        <w:rPr>
          <w:szCs w:val="22"/>
          <w:lang w:val="fr-FR"/>
        </w:rPr>
        <w:t>atteints de tumeurs solides avancées et traités par</w:t>
      </w:r>
      <w:r w:rsidR="002170F5" w:rsidRPr="00DC2F2C">
        <w:rPr>
          <w:szCs w:val="22"/>
          <w:lang w:val="fr-FR"/>
        </w:rPr>
        <w:t xml:space="preserve"> </w:t>
      </w:r>
      <w:proofErr w:type="spellStart"/>
      <w:r w:rsidR="00D5057C" w:rsidRPr="00DC2F2C">
        <w:rPr>
          <w:szCs w:val="22"/>
          <w:lang w:val="fr-FR"/>
        </w:rPr>
        <w:t>tivozanib</w:t>
      </w:r>
      <w:proofErr w:type="spellEnd"/>
      <w:r w:rsidR="002170F5" w:rsidRPr="00DC2F2C">
        <w:rPr>
          <w:szCs w:val="22"/>
          <w:lang w:val="fr-FR"/>
        </w:rPr>
        <w:t xml:space="preserve"> </w:t>
      </w:r>
      <w:r w:rsidRPr="00DC2F2C">
        <w:rPr>
          <w:szCs w:val="22"/>
          <w:lang w:val="fr-FR"/>
        </w:rPr>
        <w:t>à raison de</w:t>
      </w:r>
      <w:r w:rsidR="002170F5" w:rsidRPr="00DC2F2C">
        <w:rPr>
          <w:szCs w:val="22"/>
          <w:lang w:val="fr-FR"/>
        </w:rPr>
        <w:t xml:space="preserve"> 1</w:t>
      </w:r>
      <w:r w:rsidRPr="00DC2F2C">
        <w:rPr>
          <w:szCs w:val="22"/>
          <w:lang w:val="fr-FR"/>
        </w:rPr>
        <w:t> </w:t>
      </w:r>
      <w:r w:rsidR="00D5057C" w:rsidRPr="00DC2F2C">
        <w:rPr>
          <w:szCs w:val="22"/>
          <w:lang w:val="fr-FR"/>
        </w:rPr>
        <w:t>340</w:t>
      </w:r>
      <w:r w:rsidR="002170F5" w:rsidRPr="00DC2F2C">
        <w:rPr>
          <w:szCs w:val="22"/>
          <w:lang w:val="fr-FR"/>
        </w:rPr>
        <w:t> m</w:t>
      </w:r>
      <w:r w:rsidR="00D5057C" w:rsidRPr="00DC2F2C">
        <w:rPr>
          <w:szCs w:val="22"/>
          <w:lang w:val="fr-FR"/>
        </w:rPr>
        <w:t>icro</w:t>
      </w:r>
      <w:r w:rsidR="002170F5" w:rsidRPr="00DC2F2C">
        <w:rPr>
          <w:szCs w:val="22"/>
          <w:lang w:val="fr-FR"/>
        </w:rPr>
        <w:t>g</w:t>
      </w:r>
      <w:r w:rsidR="00D5057C" w:rsidRPr="00DC2F2C">
        <w:rPr>
          <w:szCs w:val="22"/>
          <w:lang w:val="fr-FR"/>
        </w:rPr>
        <w:t>ram</w:t>
      </w:r>
      <w:r w:rsidRPr="00DC2F2C">
        <w:rPr>
          <w:szCs w:val="22"/>
          <w:lang w:val="fr-FR"/>
        </w:rPr>
        <w:t>mes par jour pendant 21 jours</w:t>
      </w:r>
      <w:r w:rsidR="002170F5" w:rsidRPr="00DC2F2C">
        <w:rPr>
          <w:szCs w:val="22"/>
          <w:lang w:val="fr-FR"/>
        </w:rPr>
        <w:t xml:space="preserve">, </w:t>
      </w:r>
      <w:r w:rsidRPr="00DC2F2C">
        <w:rPr>
          <w:szCs w:val="22"/>
          <w:lang w:val="fr-FR"/>
        </w:rPr>
        <w:t>la variation moyenne du</w:t>
      </w:r>
      <w:r w:rsidR="002E4F57" w:rsidRPr="00DC2F2C">
        <w:rPr>
          <w:szCs w:val="22"/>
          <w:lang w:val="fr-FR"/>
        </w:rPr>
        <w:t xml:space="preserve"> </w:t>
      </w:r>
      <w:proofErr w:type="spellStart"/>
      <w:r w:rsidRPr="00DC2F2C">
        <w:rPr>
          <w:szCs w:val="22"/>
          <w:lang w:val="fr-FR"/>
        </w:rPr>
        <w:t>QTcF</w:t>
      </w:r>
      <w:proofErr w:type="spellEnd"/>
      <w:r w:rsidRPr="00DC2F2C">
        <w:rPr>
          <w:szCs w:val="22"/>
          <w:lang w:val="fr-FR"/>
        </w:rPr>
        <w:t xml:space="preserve"> par rapport à l’inclusion était de 6,</w:t>
      </w:r>
      <w:r w:rsidR="002E4F57" w:rsidRPr="00DC2F2C">
        <w:rPr>
          <w:szCs w:val="22"/>
          <w:lang w:val="fr-FR"/>
        </w:rPr>
        <w:t xml:space="preserve">8 ms </w:t>
      </w:r>
      <w:r w:rsidRPr="00DC2F2C">
        <w:rPr>
          <w:szCs w:val="22"/>
          <w:lang w:val="fr-FR"/>
        </w:rPr>
        <w:t>le jour </w:t>
      </w:r>
      <w:r w:rsidR="002E4F57" w:rsidRPr="00DC2F2C">
        <w:rPr>
          <w:szCs w:val="22"/>
          <w:lang w:val="fr-FR"/>
        </w:rPr>
        <w:t>21</w:t>
      </w:r>
      <w:r w:rsidRPr="00DC2F2C">
        <w:rPr>
          <w:szCs w:val="22"/>
          <w:lang w:val="fr-FR"/>
        </w:rPr>
        <w:t xml:space="preserve"> du traitement</w:t>
      </w:r>
      <w:r w:rsidR="002170F5" w:rsidRPr="00DC2F2C">
        <w:rPr>
          <w:szCs w:val="22"/>
          <w:lang w:val="fr-FR"/>
        </w:rPr>
        <w:t>.</w:t>
      </w:r>
      <w:r w:rsidR="002E4F57" w:rsidRPr="00DC2F2C">
        <w:rPr>
          <w:szCs w:val="22"/>
          <w:lang w:val="fr-FR"/>
        </w:rPr>
        <w:t xml:space="preserve"> </w:t>
      </w:r>
      <w:r w:rsidRPr="00DC2F2C">
        <w:rPr>
          <w:szCs w:val="22"/>
          <w:lang w:val="fr-FR"/>
        </w:rPr>
        <w:t>La variation maximale du</w:t>
      </w:r>
      <w:r w:rsidR="002E4F57" w:rsidRPr="00DC2F2C">
        <w:rPr>
          <w:szCs w:val="22"/>
          <w:lang w:val="fr-FR"/>
        </w:rPr>
        <w:t xml:space="preserve"> </w:t>
      </w:r>
      <w:proofErr w:type="spellStart"/>
      <w:r w:rsidR="002E4F57" w:rsidRPr="00DC2F2C">
        <w:rPr>
          <w:szCs w:val="22"/>
          <w:lang w:val="fr-FR"/>
        </w:rPr>
        <w:t>QTcF</w:t>
      </w:r>
      <w:proofErr w:type="spellEnd"/>
      <w:r w:rsidR="002E4F57" w:rsidRPr="00DC2F2C">
        <w:rPr>
          <w:szCs w:val="22"/>
          <w:lang w:val="fr-FR"/>
        </w:rPr>
        <w:t xml:space="preserve"> </w:t>
      </w:r>
      <w:r w:rsidRPr="00DC2F2C">
        <w:rPr>
          <w:szCs w:val="22"/>
          <w:lang w:val="fr-FR"/>
        </w:rPr>
        <w:t>par rapport à l’inclusion était de 9,</w:t>
      </w:r>
      <w:r w:rsidR="002E4F57" w:rsidRPr="00DC2F2C">
        <w:rPr>
          <w:szCs w:val="22"/>
          <w:lang w:val="fr-FR"/>
        </w:rPr>
        <w:t>3 ms (</w:t>
      </w:r>
      <w:r w:rsidRPr="00DC2F2C">
        <w:rPr>
          <w:szCs w:val="22"/>
          <w:lang w:val="fr-FR"/>
        </w:rPr>
        <w:t xml:space="preserve">IC </w:t>
      </w:r>
      <w:r w:rsidR="002E4F57" w:rsidRPr="00DC2F2C">
        <w:rPr>
          <w:szCs w:val="22"/>
          <w:lang w:val="fr-FR"/>
        </w:rPr>
        <w:t>90</w:t>
      </w:r>
      <w:r w:rsidRPr="00DC2F2C">
        <w:rPr>
          <w:szCs w:val="22"/>
          <w:lang w:val="fr-FR"/>
        </w:rPr>
        <w:t> </w:t>
      </w:r>
      <w:r w:rsidR="002E4F57" w:rsidRPr="00DC2F2C">
        <w:rPr>
          <w:szCs w:val="22"/>
          <w:lang w:val="fr-FR"/>
        </w:rPr>
        <w:t>%</w:t>
      </w:r>
      <w:r w:rsidRPr="00DC2F2C">
        <w:rPr>
          <w:szCs w:val="22"/>
          <w:lang w:val="fr-FR"/>
        </w:rPr>
        <w:t> : 5, 13,6), survenue 2,</w:t>
      </w:r>
      <w:r w:rsidR="002E4F57" w:rsidRPr="00DC2F2C">
        <w:rPr>
          <w:szCs w:val="22"/>
          <w:lang w:val="fr-FR"/>
        </w:rPr>
        <w:t>5</w:t>
      </w:r>
      <w:r w:rsidR="00DF6F93" w:rsidRPr="00DC2F2C">
        <w:rPr>
          <w:szCs w:val="22"/>
          <w:lang w:val="fr-FR"/>
        </w:rPr>
        <w:t> </w:t>
      </w:r>
      <w:r w:rsidRPr="00DC2F2C">
        <w:rPr>
          <w:szCs w:val="22"/>
          <w:lang w:val="fr-FR"/>
        </w:rPr>
        <w:t>heures après l’administration le jour</w:t>
      </w:r>
      <w:r w:rsidR="00DF6F93" w:rsidRPr="00DC2F2C">
        <w:rPr>
          <w:szCs w:val="22"/>
          <w:lang w:val="fr-FR"/>
        </w:rPr>
        <w:t> </w:t>
      </w:r>
      <w:r w:rsidR="002E4F57" w:rsidRPr="00DC2F2C">
        <w:rPr>
          <w:szCs w:val="22"/>
          <w:lang w:val="fr-FR"/>
        </w:rPr>
        <w:t xml:space="preserve">21. </w:t>
      </w:r>
      <w:r w:rsidRPr="00DC2F2C">
        <w:rPr>
          <w:szCs w:val="22"/>
          <w:lang w:val="fr-FR"/>
        </w:rPr>
        <w:t>La variation de la tendance centrale</w:t>
      </w:r>
      <w:r w:rsidR="002E4F57" w:rsidRPr="00DC2F2C">
        <w:rPr>
          <w:szCs w:val="22"/>
          <w:lang w:val="fr-FR"/>
        </w:rPr>
        <w:t xml:space="preserve"> </w:t>
      </w:r>
      <w:r w:rsidRPr="00DC2F2C">
        <w:rPr>
          <w:szCs w:val="22"/>
          <w:lang w:val="fr-FR"/>
        </w:rPr>
        <w:t xml:space="preserve">pour tous les jours mesurés et </w:t>
      </w:r>
      <w:r w:rsidR="00343683" w:rsidRPr="00DC2F2C">
        <w:rPr>
          <w:szCs w:val="22"/>
          <w:lang w:val="fr-FR"/>
        </w:rPr>
        <w:t>sur toutes les échéances était de</w:t>
      </w:r>
      <w:r w:rsidR="002E4F57" w:rsidRPr="00DC2F2C">
        <w:rPr>
          <w:szCs w:val="22"/>
          <w:lang w:val="fr-FR"/>
        </w:rPr>
        <w:t xml:space="preserve"> </w:t>
      </w:r>
      <w:r w:rsidR="00343683" w:rsidRPr="00DC2F2C">
        <w:rPr>
          <w:szCs w:val="22"/>
          <w:lang w:val="fr-FR"/>
        </w:rPr>
        <w:t>2,</w:t>
      </w:r>
      <w:r w:rsidR="002E4F57" w:rsidRPr="00DC2F2C">
        <w:rPr>
          <w:szCs w:val="22"/>
          <w:lang w:val="fr-FR"/>
        </w:rPr>
        <w:t xml:space="preserve">2 ms. </w:t>
      </w:r>
      <w:r w:rsidR="00350D66" w:rsidRPr="00DC2F2C">
        <w:rPr>
          <w:szCs w:val="22"/>
          <w:lang w:val="fr-FR"/>
        </w:rPr>
        <w:t xml:space="preserve">Aucun </w:t>
      </w:r>
      <w:r w:rsidR="00E81A11" w:rsidRPr="00DC2F2C">
        <w:rPr>
          <w:szCs w:val="22"/>
          <w:lang w:val="fr-FR"/>
        </w:rPr>
        <w:t>patient</w:t>
      </w:r>
      <w:r w:rsidR="00350D66" w:rsidRPr="00DC2F2C">
        <w:rPr>
          <w:szCs w:val="22"/>
          <w:lang w:val="fr-FR"/>
        </w:rPr>
        <w:t xml:space="preserve"> n’a présenté de nouvelle variation </w:t>
      </w:r>
      <w:r w:rsidR="002E4F57" w:rsidRPr="00DC2F2C">
        <w:rPr>
          <w:szCs w:val="22"/>
          <w:lang w:val="fr-FR"/>
        </w:rPr>
        <w:t xml:space="preserve">&gt;500 ms </w:t>
      </w:r>
      <w:r w:rsidR="00350D66" w:rsidRPr="00DC2F2C">
        <w:rPr>
          <w:szCs w:val="22"/>
          <w:lang w:val="fr-FR"/>
        </w:rPr>
        <w:t>du</w:t>
      </w:r>
      <w:r w:rsidR="002E4F57" w:rsidRPr="00DC2F2C">
        <w:rPr>
          <w:szCs w:val="22"/>
          <w:lang w:val="fr-FR"/>
        </w:rPr>
        <w:t xml:space="preserve"> </w:t>
      </w:r>
      <w:proofErr w:type="spellStart"/>
      <w:r w:rsidR="002E4F57" w:rsidRPr="00DC2F2C">
        <w:rPr>
          <w:szCs w:val="22"/>
          <w:lang w:val="fr-FR"/>
        </w:rPr>
        <w:t>QTcF</w:t>
      </w:r>
      <w:proofErr w:type="spellEnd"/>
      <w:r w:rsidR="00350D66" w:rsidRPr="00DC2F2C">
        <w:rPr>
          <w:szCs w:val="22"/>
          <w:lang w:val="fr-FR"/>
        </w:rPr>
        <w:t> </w:t>
      </w:r>
      <w:r w:rsidR="002170F5" w:rsidRPr="00DC2F2C">
        <w:rPr>
          <w:szCs w:val="22"/>
          <w:lang w:val="fr-FR"/>
        </w:rPr>
        <w:t>;</w:t>
      </w:r>
      <w:r w:rsidR="002E4F57" w:rsidRPr="00DC2F2C">
        <w:rPr>
          <w:szCs w:val="22"/>
          <w:lang w:val="fr-FR"/>
        </w:rPr>
        <w:t xml:space="preserve"> 2</w:t>
      </w:r>
      <w:r w:rsidR="00DF6F93" w:rsidRPr="00DC2F2C">
        <w:rPr>
          <w:szCs w:val="22"/>
          <w:lang w:val="fr-FR"/>
        </w:rPr>
        <w:t> </w:t>
      </w:r>
      <w:r w:rsidR="002E4F57" w:rsidRPr="00DC2F2C">
        <w:rPr>
          <w:szCs w:val="22"/>
          <w:lang w:val="fr-FR"/>
        </w:rPr>
        <w:t>patients (4</w:t>
      </w:r>
      <w:r w:rsidR="00350D66" w:rsidRPr="00DC2F2C">
        <w:rPr>
          <w:szCs w:val="22"/>
          <w:lang w:val="fr-FR"/>
        </w:rPr>
        <w:t> </w:t>
      </w:r>
      <w:r w:rsidR="002E4F57" w:rsidRPr="00DC2F2C">
        <w:rPr>
          <w:szCs w:val="22"/>
          <w:lang w:val="fr-FR"/>
        </w:rPr>
        <w:t xml:space="preserve">%) </w:t>
      </w:r>
      <w:r w:rsidR="00350D66" w:rsidRPr="00DC2F2C">
        <w:rPr>
          <w:szCs w:val="22"/>
          <w:lang w:val="fr-FR"/>
        </w:rPr>
        <w:t>ont présenté des valeurs de</w:t>
      </w:r>
      <w:r w:rsidR="002E4F57" w:rsidRPr="00DC2F2C">
        <w:rPr>
          <w:szCs w:val="22"/>
          <w:lang w:val="fr-FR"/>
        </w:rPr>
        <w:t xml:space="preserve"> </w:t>
      </w:r>
      <w:proofErr w:type="spellStart"/>
      <w:r w:rsidR="002E4F57" w:rsidRPr="00DC2F2C">
        <w:rPr>
          <w:szCs w:val="22"/>
          <w:lang w:val="fr-FR"/>
        </w:rPr>
        <w:t>QTcF</w:t>
      </w:r>
      <w:proofErr w:type="spellEnd"/>
      <w:r w:rsidR="002E4F57" w:rsidRPr="00DC2F2C">
        <w:rPr>
          <w:szCs w:val="22"/>
          <w:lang w:val="fr-FR"/>
        </w:rPr>
        <w:t xml:space="preserve"> &gt;480 ms. </w:t>
      </w:r>
      <w:r w:rsidR="00350D66" w:rsidRPr="00DC2F2C">
        <w:rPr>
          <w:szCs w:val="22"/>
          <w:lang w:val="fr-FR"/>
        </w:rPr>
        <w:t xml:space="preserve">Un </w:t>
      </w:r>
      <w:r w:rsidR="00E81A11" w:rsidRPr="00DC2F2C">
        <w:rPr>
          <w:szCs w:val="22"/>
          <w:lang w:val="fr-FR"/>
        </w:rPr>
        <w:t>patient</w:t>
      </w:r>
      <w:r w:rsidR="002E4F57" w:rsidRPr="00DC2F2C">
        <w:rPr>
          <w:szCs w:val="22"/>
          <w:lang w:val="fr-FR"/>
        </w:rPr>
        <w:t xml:space="preserve"> (2</w:t>
      </w:r>
      <w:r w:rsidR="00350D66" w:rsidRPr="00DC2F2C">
        <w:rPr>
          <w:szCs w:val="22"/>
          <w:lang w:val="fr-FR"/>
        </w:rPr>
        <w:t> </w:t>
      </w:r>
      <w:r w:rsidR="002E4F57" w:rsidRPr="00DC2F2C">
        <w:rPr>
          <w:szCs w:val="22"/>
          <w:lang w:val="fr-FR"/>
        </w:rPr>
        <w:t xml:space="preserve">%) </w:t>
      </w:r>
      <w:r w:rsidR="00350D66" w:rsidRPr="00DC2F2C">
        <w:rPr>
          <w:szCs w:val="22"/>
          <w:lang w:val="fr-FR"/>
        </w:rPr>
        <w:t>a présenté une variation du</w:t>
      </w:r>
      <w:r w:rsidR="002E4F57" w:rsidRPr="00DC2F2C">
        <w:rPr>
          <w:szCs w:val="22"/>
          <w:lang w:val="fr-FR"/>
        </w:rPr>
        <w:t xml:space="preserve"> </w:t>
      </w:r>
      <w:proofErr w:type="spellStart"/>
      <w:r w:rsidR="00350D66" w:rsidRPr="00DC2F2C">
        <w:rPr>
          <w:szCs w:val="22"/>
          <w:lang w:val="fr-FR"/>
        </w:rPr>
        <w:t>QTcF</w:t>
      </w:r>
      <w:proofErr w:type="spellEnd"/>
      <w:r w:rsidR="00350D66" w:rsidRPr="00DC2F2C">
        <w:rPr>
          <w:szCs w:val="22"/>
          <w:lang w:val="fr-FR"/>
        </w:rPr>
        <w:t xml:space="preserve"> </w:t>
      </w:r>
      <w:r w:rsidR="002E4F57" w:rsidRPr="00DC2F2C">
        <w:rPr>
          <w:szCs w:val="22"/>
          <w:lang w:val="fr-FR"/>
        </w:rPr>
        <w:t>&gt;</w:t>
      </w:r>
      <w:r w:rsidR="002E4F57" w:rsidRPr="00DC2F2C">
        <w:rPr>
          <w:lang w:val="fr-FR"/>
        </w:rPr>
        <w:t>60 ms</w:t>
      </w:r>
      <w:r w:rsidR="002E4F57" w:rsidRPr="00DC2F2C">
        <w:rPr>
          <w:szCs w:val="22"/>
          <w:lang w:val="fr-FR"/>
        </w:rPr>
        <w:t xml:space="preserve"> </w:t>
      </w:r>
      <w:r w:rsidR="00350D66" w:rsidRPr="00DC2F2C">
        <w:rPr>
          <w:szCs w:val="22"/>
          <w:lang w:val="fr-FR"/>
        </w:rPr>
        <w:t xml:space="preserve">par rapport à l’inclusion et </w:t>
      </w:r>
      <w:r w:rsidR="002E4F57" w:rsidRPr="00DC2F2C">
        <w:rPr>
          <w:szCs w:val="22"/>
          <w:lang w:val="fr-FR"/>
        </w:rPr>
        <w:t>6</w:t>
      </w:r>
      <w:r w:rsidR="00DF6F93" w:rsidRPr="00DC2F2C">
        <w:rPr>
          <w:szCs w:val="22"/>
          <w:lang w:val="fr-FR"/>
        </w:rPr>
        <w:t> </w:t>
      </w:r>
      <w:r w:rsidR="00E81A11" w:rsidRPr="00DC2F2C">
        <w:rPr>
          <w:szCs w:val="22"/>
          <w:lang w:val="fr-FR"/>
        </w:rPr>
        <w:t>patients</w:t>
      </w:r>
      <w:r w:rsidR="002E4F57" w:rsidRPr="00DC2F2C">
        <w:rPr>
          <w:szCs w:val="22"/>
          <w:lang w:val="fr-FR"/>
        </w:rPr>
        <w:t xml:space="preserve"> (12</w:t>
      </w:r>
      <w:r w:rsidR="00350D66" w:rsidRPr="00DC2F2C">
        <w:rPr>
          <w:szCs w:val="22"/>
          <w:lang w:val="fr-FR"/>
        </w:rPr>
        <w:t> </w:t>
      </w:r>
      <w:r w:rsidR="002E4F57" w:rsidRPr="00DC2F2C">
        <w:rPr>
          <w:szCs w:val="22"/>
          <w:lang w:val="fr-FR"/>
        </w:rPr>
        <w:t xml:space="preserve">%) </w:t>
      </w:r>
      <w:r w:rsidR="00350D66" w:rsidRPr="00DC2F2C">
        <w:rPr>
          <w:szCs w:val="22"/>
          <w:lang w:val="fr-FR"/>
        </w:rPr>
        <w:t>ont présenté une variation de</w:t>
      </w:r>
      <w:r w:rsidR="002E4F57" w:rsidRPr="00DC2F2C">
        <w:rPr>
          <w:szCs w:val="22"/>
          <w:lang w:val="fr-FR"/>
        </w:rPr>
        <w:t xml:space="preserve"> 30 ms </w:t>
      </w:r>
      <w:r w:rsidR="00350D66" w:rsidRPr="00DC2F2C">
        <w:rPr>
          <w:szCs w:val="22"/>
          <w:lang w:val="fr-FR"/>
        </w:rPr>
        <w:t>à</w:t>
      </w:r>
      <w:r w:rsidR="002E4F57" w:rsidRPr="00DC2F2C">
        <w:rPr>
          <w:szCs w:val="22"/>
          <w:lang w:val="fr-FR"/>
        </w:rPr>
        <w:t xml:space="preserve"> 60 ms </w:t>
      </w:r>
      <w:r w:rsidR="00350D66" w:rsidRPr="00DC2F2C">
        <w:rPr>
          <w:szCs w:val="22"/>
          <w:lang w:val="fr-FR"/>
        </w:rPr>
        <w:t>par rapport à l’inclusion</w:t>
      </w:r>
      <w:r w:rsidR="002170F5" w:rsidRPr="00DC2F2C">
        <w:rPr>
          <w:szCs w:val="22"/>
          <w:lang w:val="fr-FR"/>
        </w:rPr>
        <w:t xml:space="preserve"> (</w:t>
      </w:r>
      <w:r w:rsidR="002D6EE5" w:rsidRPr="00DC2F2C">
        <w:rPr>
          <w:szCs w:val="22"/>
          <w:lang w:val="fr-FR"/>
        </w:rPr>
        <w:t xml:space="preserve">voir rubrique </w:t>
      </w:r>
      <w:r w:rsidR="002170F5" w:rsidRPr="00DC2F2C">
        <w:rPr>
          <w:szCs w:val="22"/>
          <w:lang w:val="fr-FR"/>
        </w:rPr>
        <w:t xml:space="preserve">4.4 </w:t>
      </w:r>
      <w:r w:rsidR="002D6EE5" w:rsidRPr="00DC2F2C">
        <w:rPr>
          <w:szCs w:val="22"/>
          <w:lang w:val="fr-FR"/>
        </w:rPr>
        <w:t>et rubrique</w:t>
      </w:r>
      <w:r w:rsidR="002170F5" w:rsidRPr="00DC2F2C">
        <w:rPr>
          <w:szCs w:val="22"/>
          <w:lang w:val="fr-FR"/>
        </w:rPr>
        <w:t xml:space="preserve"> 4.8)</w:t>
      </w:r>
      <w:r w:rsidR="007A3B9E" w:rsidRPr="00DC2F2C">
        <w:rPr>
          <w:szCs w:val="22"/>
          <w:lang w:val="fr-FR"/>
        </w:rPr>
        <w:t>.</w:t>
      </w:r>
      <w:r w:rsidR="002E4F57" w:rsidRPr="00DC2F2C">
        <w:rPr>
          <w:szCs w:val="22"/>
          <w:lang w:val="fr-FR"/>
        </w:rPr>
        <w:t xml:space="preserve"> </w:t>
      </w:r>
    </w:p>
    <w:p w14:paraId="75BA99BB" w14:textId="77777777" w:rsidR="000D0DA6" w:rsidRPr="00DC2F2C" w:rsidRDefault="000D0DA6" w:rsidP="009D43DC">
      <w:pPr>
        <w:numPr>
          <w:ilvl w:val="12"/>
          <w:numId w:val="0"/>
        </w:numPr>
        <w:tabs>
          <w:tab w:val="clear" w:pos="567"/>
        </w:tabs>
        <w:ind w:right="549"/>
        <w:rPr>
          <w:szCs w:val="22"/>
          <w:lang w:val="fr-FR"/>
        </w:rPr>
      </w:pPr>
    </w:p>
    <w:p w14:paraId="12A89AD7" w14:textId="77777777" w:rsidR="00812D16" w:rsidRPr="00DC2F2C" w:rsidRDefault="0082271B" w:rsidP="009D43DC">
      <w:pPr>
        <w:keepNext/>
        <w:keepLines/>
        <w:ind w:right="550"/>
        <w:rPr>
          <w:bCs/>
          <w:iCs/>
          <w:szCs w:val="22"/>
          <w:u w:val="single"/>
          <w:lang w:val="fr-FR"/>
        </w:rPr>
      </w:pPr>
      <w:r w:rsidRPr="00DC2F2C">
        <w:rPr>
          <w:u w:val="single"/>
          <w:lang w:val="fr-FR"/>
        </w:rPr>
        <w:lastRenderedPageBreak/>
        <w:t>Population pédiatrique</w:t>
      </w:r>
    </w:p>
    <w:p w14:paraId="6948DFFA" w14:textId="77777777" w:rsidR="008D6BE8" w:rsidRPr="00DC2F2C" w:rsidRDefault="0082271B" w:rsidP="000D6CFA">
      <w:pPr>
        <w:rPr>
          <w:szCs w:val="22"/>
          <w:lang w:val="fr-FR"/>
        </w:rPr>
      </w:pPr>
      <w:r w:rsidRPr="00DC2F2C">
        <w:rPr>
          <w:lang w:val="fr-FR"/>
        </w:rPr>
        <w:t xml:space="preserve">L’Agence européenne des médicaments a accordé une dérogation à l’obligation de soumettre les résultats d’études réalisées avec le </w:t>
      </w:r>
      <w:proofErr w:type="spellStart"/>
      <w:r w:rsidR="00D5057C" w:rsidRPr="00DC2F2C">
        <w:rPr>
          <w:szCs w:val="22"/>
          <w:lang w:val="fr-FR"/>
        </w:rPr>
        <w:t>tivozanib</w:t>
      </w:r>
      <w:proofErr w:type="spellEnd"/>
      <w:r w:rsidR="00311E81" w:rsidRPr="00DC2F2C">
        <w:rPr>
          <w:szCs w:val="22"/>
          <w:lang w:val="fr-FR"/>
        </w:rPr>
        <w:t xml:space="preserve"> </w:t>
      </w:r>
      <w:r w:rsidRPr="00DC2F2C">
        <w:rPr>
          <w:lang w:val="fr-FR"/>
        </w:rPr>
        <w:t>dans tous les sous-groupes de la population pédiatrique</w:t>
      </w:r>
      <w:r w:rsidRPr="00DC2F2C">
        <w:rPr>
          <w:szCs w:val="22"/>
          <w:lang w:val="fr-FR"/>
        </w:rPr>
        <w:t xml:space="preserve"> dans</w:t>
      </w:r>
      <w:r w:rsidR="00812D16" w:rsidRPr="00DC2F2C">
        <w:rPr>
          <w:szCs w:val="22"/>
          <w:lang w:val="fr-FR"/>
        </w:rPr>
        <w:t xml:space="preserve"> </w:t>
      </w:r>
      <w:r w:rsidR="00B82A5A" w:rsidRPr="00DC2F2C">
        <w:rPr>
          <w:szCs w:val="22"/>
          <w:lang w:val="fr-FR"/>
        </w:rPr>
        <w:t xml:space="preserve">le carcinome </w:t>
      </w:r>
      <w:r w:rsidR="00442C9D" w:rsidRPr="00DC2F2C">
        <w:rPr>
          <w:szCs w:val="22"/>
          <w:lang w:val="fr-FR"/>
        </w:rPr>
        <w:t>à cellules rénales avancé</w:t>
      </w:r>
      <w:r w:rsidR="00812D16" w:rsidRPr="00DC2F2C">
        <w:rPr>
          <w:szCs w:val="22"/>
          <w:lang w:val="fr-FR"/>
        </w:rPr>
        <w:t xml:space="preserve"> (</w:t>
      </w:r>
      <w:r w:rsidRPr="00DC2F2C">
        <w:rPr>
          <w:lang w:val="fr-FR"/>
        </w:rPr>
        <w:t>voir rubrique 4.2 pour les informations concernant l’usage pédiatrique</w:t>
      </w:r>
      <w:r w:rsidR="006023D4" w:rsidRPr="00DC2F2C">
        <w:rPr>
          <w:szCs w:val="22"/>
          <w:lang w:val="fr-FR"/>
        </w:rPr>
        <w:t xml:space="preserve">). </w:t>
      </w:r>
    </w:p>
    <w:p w14:paraId="2BC56AAA" w14:textId="77777777" w:rsidR="00812D16" w:rsidRPr="00DC2F2C" w:rsidRDefault="00812D16" w:rsidP="009D43DC">
      <w:pPr>
        <w:numPr>
          <w:ilvl w:val="12"/>
          <w:numId w:val="0"/>
        </w:numPr>
        <w:tabs>
          <w:tab w:val="clear" w:pos="567"/>
        </w:tabs>
        <w:ind w:right="549"/>
        <w:rPr>
          <w:szCs w:val="22"/>
          <w:lang w:val="fr-FR"/>
        </w:rPr>
      </w:pPr>
    </w:p>
    <w:p w14:paraId="4F99C45D" w14:textId="77777777" w:rsidR="00812D16" w:rsidRPr="00DC2F2C" w:rsidRDefault="00812D16" w:rsidP="00073C28">
      <w:pPr>
        <w:keepNext/>
        <w:keepLines/>
        <w:suppressLineNumbers/>
        <w:ind w:right="550"/>
        <w:rPr>
          <w:b/>
          <w:szCs w:val="22"/>
          <w:lang w:val="fr-FR"/>
        </w:rPr>
      </w:pPr>
      <w:r w:rsidRPr="00DC2F2C">
        <w:rPr>
          <w:b/>
          <w:szCs w:val="22"/>
          <w:lang w:val="fr-FR"/>
        </w:rPr>
        <w:t>5.2</w:t>
      </w:r>
      <w:r w:rsidRPr="00DC2F2C">
        <w:rPr>
          <w:b/>
          <w:szCs w:val="22"/>
          <w:lang w:val="fr-FR"/>
        </w:rPr>
        <w:tab/>
      </w:r>
      <w:r w:rsidR="00664298" w:rsidRPr="00DC2F2C">
        <w:rPr>
          <w:b/>
          <w:lang w:val="fr-FR"/>
        </w:rPr>
        <w:t>Propriétés pharmacocinétiques</w:t>
      </w:r>
    </w:p>
    <w:p w14:paraId="590EFDFF" w14:textId="77777777" w:rsidR="00C0381E" w:rsidRPr="00DC2F2C" w:rsidRDefault="00C0381E" w:rsidP="009D43DC">
      <w:pPr>
        <w:keepNext/>
        <w:keepLines/>
        <w:ind w:right="550"/>
        <w:rPr>
          <w:szCs w:val="22"/>
          <w:lang w:val="fr-FR"/>
        </w:rPr>
      </w:pPr>
    </w:p>
    <w:p w14:paraId="2F331427" w14:textId="77777777" w:rsidR="00536C88" w:rsidRPr="00DC2F2C" w:rsidRDefault="00A70EFA" w:rsidP="009D43DC">
      <w:pPr>
        <w:keepNext/>
        <w:keepLines/>
        <w:ind w:right="550"/>
        <w:rPr>
          <w:szCs w:val="22"/>
          <w:lang w:val="fr-FR"/>
        </w:rPr>
      </w:pPr>
      <w:r w:rsidRPr="00DC2F2C">
        <w:rPr>
          <w:szCs w:val="22"/>
          <w:u w:val="single"/>
          <w:lang w:val="fr-FR"/>
        </w:rPr>
        <w:t>Absorption</w:t>
      </w:r>
    </w:p>
    <w:p w14:paraId="5598E0F3" w14:textId="77777777" w:rsidR="00B10744" w:rsidRPr="00DC2F2C" w:rsidRDefault="00013A12" w:rsidP="000D6CFA">
      <w:pPr>
        <w:rPr>
          <w:szCs w:val="22"/>
          <w:lang w:val="fr-FR"/>
        </w:rPr>
      </w:pPr>
      <w:r w:rsidRPr="00DC2F2C">
        <w:rPr>
          <w:szCs w:val="22"/>
          <w:lang w:val="fr-FR"/>
        </w:rPr>
        <w:t xml:space="preserve">Après une administration de </w:t>
      </w:r>
      <w:proofErr w:type="spellStart"/>
      <w:r w:rsidRPr="00DC2F2C">
        <w:rPr>
          <w:szCs w:val="22"/>
          <w:lang w:val="fr-FR"/>
        </w:rPr>
        <w:t>tivozanib</w:t>
      </w:r>
      <w:proofErr w:type="spellEnd"/>
      <w:r w:rsidRPr="00DC2F2C">
        <w:rPr>
          <w:szCs w:val="22"/>
          <w:lang w:val="fr-FR"/>
        </w:rPr>
        <w:t xml:space="preserve"> par voie orale</w:t>
      </w:r>
      <w:r w:rsidR="00710B46" w:rsidRPr="00DC2F2C">
        <w:rPr>
          <w:szCs w:val="22"/>
          <w:lang w:val="fr-FR"/>
        </w:rPr>
        <w:t xml:space="preserve">, </w:t>
      </w:r>
      <w:r w:rsidRPr="00DC2F2C">
        <w:rPr>
          <w:szCs w:val="22"/>
          <w:lang w:val="fr-FR"/>
        </w:rPr>
        <w:t xml:space="preserve">les concentrations sériques maximales sont atteintes après environ </w:t>
      </w:r>
      <w:r w:rsidR="00710B46" w:rsidRPr="00DC2F2C">
        <w:rPr>
          <w:szCs w:val="22"/>
          <w:lang w:val="fr-FR"/>
        </w:rPr>
        <w:t>2</w:t>
      </w:r>
      <w:r w:rsidR="00DF6F93" w:rsidRPr="00DC2F2C">
        <w:rPr>
          <w:szCs w:val="22"/>
          <w:lang w:val="fr-FR"/>
        </w:rPr>
        <w:t> </w:t>
      </w:r>
      <w:r w:rsidRPr="00DC2F2C">
        <w:rPr>
          <w:szCs w:val="22"/>
          <w:lang w:val="fr-FR"/>
        </w:rPr>
        <w:t>à</w:t>
      </w:r>
      <w:r w:rsidR="00710B46" w:rsidRPr="00DC2F2C">
        <w:rPr>
          <w:szCs w:val="22"/>
          <w:lang w:val="fr-FR"/>
        </w:rPr>
        <w:t xml:space="preserve"> 24</w:t>
      </w:r>
      <w:r w:rsidR="00DF6F93" w:rsidRPr="00DC2F2C">
        <w:rPr>
          <w:szCs w:val="22"/>
          <w:lang w:val="fr-FR"/>
        </w:rPr>
        <w:t> </w:t>
      </w:r>
      <w:r w:rsidRPr="00DC2F2C">
        <w:rPr>
          <w:szCs w:val="22"/>
          <w:lang w:val="fr-FR"/>
        </w:rPr>
        <w:t>heures</w:t>
      </w:r>
      <w:r w:rsidR="00710B46" w:rsidRPr="00DC2F2C">
        <w:rPr>
          <w:szCs w:val="22"/>
          <w:lang w:val="fr-FR"/>
        </w:rPr>
        <w:t xml:space="preserve">. </w:t>
      </w:r>
      <w:r w:rsidRPr="00DC2F2C">
        <w:rPr>
          <w:szCs w:val="22"/>
          <w:lang w:val="fr-FR"/>
        </w:rPr>
        <w:t>Après une dose unique de</w:t>
      </w:r>
      <w:r w:rsidR="00710B46" w:rsidRPr="00DC2F2C">
        <w:rPr>
          <w:szCs w:val="22"/>
          <w:lang w:val="fr-FR"/>
        </w:rPr>
        <w:t xml:space="preserve"> 1</w:t>
      </w:r>
      <w:r w:rsidRPr="00DC2F2C">
        <w:rPr>
          <w:szCs w:val="22"/>
          <w:lang w:val="fr-FR"/>
        </w:rPr>
        <w:t> </w:t>
      </w:r>
      <w:r w:rsidR="00D5057C" w:rsidRPr="00DC2F2C">
        <w:rPr>
          <w:szCs w:val="22"/>
          <w:lang w:val="fr-FR"/>
        </w:rPr>
        <w:t>340</w:t>
      </w:r>
      <w:r w:rsidR="00147B89" w:rsidRPr="00DC2F2C">
        <w:rPr>
          <w:szCs w:val="22"/>
          <w:lang w:val="fr-FR"/>
        </w:rPr>
        <w:t> </w:t>
      </w:r>
      <w:r w:rsidR="00710B46" w:rsidRPr="00DC2F2C">
        <w:rPr>
          <w:szCs w:val="22"/>
          <w:lang w:val="fr-FR"/>
        </w:rPr>
        <w:t>m</w:t>
      </w:r>
      <w:r w:rsidR="00D5057C" w:rsidRPr="00DC2F2C">
        <w:rPr>
          <w:szCs w:val="22"/>
          <w:lang w:val="fr-FR"/>
        </w:rPr>
        <w:t>icro</w:t>
      </w:r>
      <w:r w:rsidR="00710B46" w:rsidRPr="00DC2F2C">
        <w:rPr>
          <w:szCs w:val="22"/>
          <w:lang w:val="fr-FR"/>
        </w:rPr>
        <w:t>g</w:t>
      </w:r>
      <w:r w:rsidR="00D5057C" w:rsidRPr="00DC2F2C">
        <w:rPr>
          <w:szCs w:val="22"/>
          <w:lang w:val="fr-FR"/>
        </w:rPr>
        <w:t>ram</w:t>
      </w:r>
      <w:r w:rsidRPr="00DC2F2C">
        <w:rPr>
          <w:szCs w:val="22"/>
          <w:lang w:val="fr-FR"/>
        </w:rPr>
        <w:t>mes</w:t>
      </w:r>
      <w:r w:rsidR="00710B46" w:rsidRPr="00DC2F2C">
        <w:rPr>
          <w:szCs w:val="22"/>
          <w:lang w:val="fr-FR"/>
        </w:rPr>
        <w:t xml:space="preserve">, </w:t>
      </w:r>
      <w:r w:rsidRPr="00DC2F2C">
        <w:rPr>
          <w:szCs w:val="22"/>
          <w:lang w:val="fr-FR"/>
        </w:rPr>
        <w:t>la</w:t>
      </w:r>
      <w:r w:rsidR="00710B46" w:rsidRPr="00DC2F2C">
        <w:rPr>
          <w:szCs w:val="22"/>
          <w:lang w:val="fr-FR"/>
        </w:rPr>
        <w:t xml:space="preserve"> C</w:t>
      </w:r>
      <w:r w:rsidR="00710B46" w:rsidRPr="00DC2F2C">
        <w:rPr>
          <w:szCs w:val="22"/>
          <w:vertAlign w:val="subscript"/>
          <w:lang w:val="fr-FR"/>
        </w:rPr>
        <w:t>max</w:t>
      </w:r>
      <w:r w:rsidR="00710B46" w:rsidRPr="00DC2F2C">
        <w:rPr>
          <w:szCs w:val="22"/>
          <w:lang w:val="fr-FR"/>
        </w:rPr>
        <w:t xml:space="preserve"> </w:t>
      </w:r>
      <w:r w:rsidRPr="00DC2F2C">
        <w:rPr>
          <w:szCs w:val="22"/>
          <w:lang w:val="fr-FR"/>
        </w:rPr>
        <w:t>moyenne était de 10,</w:t>
      </w:r>
      <w:r w:rsidR="00710B46" w:rsidRPr="00DC2F2C">
        <w:rPr>
          <w:szCs w:val="22"/>
          <w:lang w:val="fr-FR"/>
        </w:rPr>
        <w:t>2</w:t>
      </w:r>
      <w:r w:rsidR="007F042A" w:rsidRPr="00DC2F2C">
        <w:rPr>
          <w:szCs w:val="22"/>
          <w:lang w:val="fr-FR"/>
        </w:rPr>
        <w:t> </w:t>
      </w:r>
      <w:r w:rsidRPr="00DC2F2C">
        <w:rPr>
          <w:szCs w:val="22"/>
          <w:lang w:val="fr-FR"/>
        </w:rPr>
        <w:t>à 25,</w:t>
      </w:r>
      <w:r w:rsidR="00710B46" w:rsidRPr="00DC2F2C">
        <w:rPr>
          <w:szCs w:val="22"/>
          <w:lang w:val="fr-FR"/>
        </w:rPr>
        <w:t>2</w:t>
      </w:r>
      <w:r w:rsidR="00147B89" w:rsidRPr="00DC2F2C">
        <w:rPr>
          <w:szCs w:val="22"/>
          <w:lang w:val="fr-FR"/>
        </w:rPr>
        <w:t> </w:t>
      </w:r>
      <w:proofErr w:type="spellStart"/>
      <w:r w:rsidR="00710B46" w:rsidRPr="00DC2F2C">
        <w:rPr>
          <w:szCs w:val="22"/>
          <w:lang w:val="fr-FR"/>
        </w:rPr>
        <w:t>ng</w:t>
      </w:r>
      <w:proofErr w:type="spellEnd"/>
      <w:r w:rsidR="00710B46" w:rsidRPr="00DC2F2C">
        <w:rPr>
          <w:szCs w:val="22"/>
          <w:lang w:val="fr-FR"/>
        </w:rPr>
        <w:t>/</w:t>
      </w:r>
      <w:proofErr w:type="spellStart"/>
      <w:r w:rsidR="00710B46" w:rsidRPr="00DC2F2C">
        <w:rPr>
          <w:szCs w:val="22"/>
          <w:lang w:val="fr-FR"/>
        </w:rPr>
        <w:t>mL</w:t>
      </w:r>
      <w:proofErr w:type="spellEnd"/>
      <w:r w:rsidR="00710B46" w:rsidRPr="00DC2F2C">
        <w:rPr>
          <w:szCs w:val="22"/>
          <w:lang w:val="fr-FR"/>
        </w:rPr>
        <w:t xml:space="preserve"> </w:t>
      </w:r>
      <w:r w:rsidRPr="00DC2F2C">
        <w:rPr>
          <w:szCs w:val="22"/>
          <w:lang w:val="fr-FR"/>
        </w:rPr>
        <w:t>sur l’ensemble des études conduites chez des sujets sains et des patients</w:t>
      </w:r>
      <w:r w:rsidR="00710B46" w:rsidRPr="00DC2F2C">
        <w:rPr>
          <w:szCs w:val="22"/>
          <w:lang w:val="fr-FR"/>
        </w:rPr>
        <w:t xml:space="preserve">. </w:t>
      </w:r>
      <w:r w:rsidRPr="00DC2F2C">
        <w:rPr>
          <w:szCs w:val="22"/>
          <w:lang w:val="fr-FR"/>
        </w:rPr>
        <w:t>L’AS</w:t>
      </w:r>
      <w:r w:rsidR="00710B46" w:rsidRPr="00DC2F2C">
        <w:rPr>
          <w:szCs w:val="22"/>
          <w:lang w:val="fr-FR"/>
        </w:rPr>
        <w:t>C</w:t>
      </w:r>
      <w:r w:rsidR="00710B46" w:rsidRPr="00DC2F2C">
        <w:rPr>
          <w:szCs w:val="22"/>
          <w:vertAlign w:val="subscript"/>
          <w:lang w:val="fr-FR"/>
        </w:rPr>
        <w:t>0</w:t>
      </w:r>
      <w:r w:rsidRPr="00DC2F2C">
        <w:rPr>
          <w:szCs w:val="22"/>
          <w:vertAlign w:val="subscript"/>
          <w:lang w:val="fr-FR"/>
        </w:rPr>
        <w:t>-</w:t>
      </w:r>
      <w:r w:rsidR="00710B46" w:rsidRPr="00DC2F2C">
        <w:rPr>
          <w:szCs w:val="22"/>
          <w:vertAlign w:val="subscript"/>
          <w:lang w:val="fr-FR"/>
        </w:rPr>
        <w:t>inf</w:t>
      </w:r>
      <w:r w:rsidR="00710B46" w:rsidRPr="00DC2F2C">
        <w:rPr>
          <w:szCs w:val="22"/>
          <w:lang w:val="fr-FR"/>
        </w:rPr>
        <w:t xml:space="preserve"> </w:t>
      </w:r>
      <w:r w:rsidRPr="00DC2F2C">
        <w:rPr>
          <w:rFonts w:eastAsia="Calibri"/>
          <w:szCs w:val="22"/>
          <w:lang w:val="fr-FR"/>
        </w:rPr>
        <w:t xml:space="preserve">après administration unique </w:t>
      </w:r>
      <w:r w:rsidRPr="00DC2F2C">
        <w:rPr>
          <w:szCs w:val="22"/>
          <w:lang w:val="fr-FR"/>
        </w:rPr>
        <w:t>pour les sujets sains ayant reçu</w:t>
      </w:r>
      <w:r w:rsidR="00710B46" w:rsidRPr="00DC2F2C">
        <w:rPr>
          <w:szCs w:val="22"/>
          <w:lang w:val="fr-FR"/>
        </w:rPr>
        <w:t xml:space="preserve"> 1</w:t>
      </w:r>
      <w:r w:rsidRPr="00DC2F2C">
        <w:rPr>
          <w:szCs w:val="22"/>
          <w:lang w:val="fr-FR"/>
        </w:rPr>
        <w:t> </w:t>
      </w:r>
      <w:r w:rsidR="00D5057C" w:rsidRPr="00DC2F2C">
        <w:rPr>
          <w:szCs w:val="22"/>
          <w:lang w:val="fr-FR"/>
        </w:rPr>
        <w:t>340</w:t>
      </w:r>
      <w:r w:rsidR="00147B89" w:rsidRPr="00DC2F2C">
        <w:rPr>
          <w:szCs w:val="22"/>
          <w:lang w:val="fr-FR"/>
        </w:rPr>
        <w:t> </w:t>
      </w:r>
      <w:r w:rsidR="00710B46" w:rsidRPr="00DC2F2C">
        <w:rPr>
          <w:szCs w:val="22"/>
          <w:lang w:val="fr-FR"/>
        </w:rPr>
        <w:t>m</w:t>
      </w:r>
      <w:r w:rsidR="00D5057C" w:rsidRPr="00DC2F2C">
        <w:rPr>
          <w:szCs w:val="22"/>
          <w:lang w:val="fr-FR"/>
        </w:rPr>
        <w:t>icro</w:t>
      </w:r>
      <w:r w:rsidR="00710B46" w:rsidRPr="00DC2F2C">
        <w:rPr>
          <w:szCs w:val="22"/>
          <w:lang w:val="fr-FR"/>
        </w:rPr>
        <w:t>g</w:t>
      </w:r>
      <w:r w:rsidR="00D5057C" w:rsidRPr="00DC2F2C">
        <w:rPr>
          <w:szCs w:val="22"/>
          <w:lang w:val="fr-FR"/>
        </w:rPr>
        <w:t>ram</w:t>
      </w:r>
      <w:r w:rsidRPr="00DC2F2C">
        <w:rPr>
          <w:szCs w:val="22"/>
          <w:lang w:val="fr-FR"/>
        </w:rPr>
        <w:t>mes de</w:t>
      </w:r>
      <w:r w:rsidR="00710B46" w:rsidRPr="00DC2F2C">
        <w:rPr>
          <w:szCs w:val="22"/>
          <w:lang w:val="fr-FR"/>
        </w:rPr>
        <w:t xml:space="preserve"> </w:t>
      </w:r>
      <w:proofErr w:type="spellStart"/>
      <w:r w:rsidR="00D5057C" w:rsidRPr="00DC2F2C">
        <w:rPr>
          <w:szCs w:val="22"/>
          <w:lang w:val="fr-FR"/>
        </w:rPr>
        <w:t>tivozanib</w:t>
      </w:r>
      <w:proofErr w:type="spellEnd"/>
      <w:r w:rsidR="00AF4571" w:rsidRPr="00DC2F2C">
        <w:rPr>
          <w:szCs w:val="22"/>
          <w:lang w:val="fr-FR"/>
        </w:rPr>
        <w:t xml:space="preserve"> </w:t>
      </w:r>
      <w:r w:rsidRPr="00DC2F2C">
        <w:rPr>
          <w:szCs w:val="22"/>
          <w:lang w:val="fr-FR"/>
        </w:rPr>
        <w:t>était de</w:t>
      </w:r>
      <w:r w:rsidR="00710B46" w:rsidRPr="00DC2F2C">
        <w:rPr>
          <w:szCs w:val="22"/>
          <w:lang w:val="fr-FR"/>
        </w:rPr>
        <w:t xml:space="preserve"> 1</w:t>
      </w:r>
      <w:r w:rsidRPr="00DC2F2C">
        <w:rPr>
          <w:szCs w:val="22"/>
          <w:lang w:val="fr-FR"/>
        </w:rPr>
        <w:t> </w:t>
      </w:r>
      <w:r w:rsidR="00710B46" w:rsidRPr="00DC2F2C">
        <w:rPr>
          <w:szCs w:val="22"/>
          <w:lang w:val="fr-FR"/>
        </w:rPr>
        <w:t xml:space="preserve">950 </w:t>
      </w:r>
      <w:r w:rsidRPr="00DC2F2C">
        <w:rPr>
          <w:szCs w:val="22"/>
          <w:lang w:val="fr-FR"/>
        </w:rPr>
        <w:t>à</w:t>
      </w:r>
      <w:r w:rsidR="00710B46" w:rsidRPr="00DC2F2C">
        <w:rPr>
          <w:szCs w:val="22"/>
          <w:lang w:val="fr-FR"/>
        </w:rPr>
        <w:t xml:space="preserve"> 2</w:t>
      </w:r>
      <w:r w:rsidRPr="00DC2F2C">
        <w:rPr>
          <w:szCs w:val="22"/>
          <w:lang w:val="fr-FR"/>
        </w:rPr>
        <w:t> </w:t>
      </w:r>
      <w:r w:rsidR="00710B46" w:rsidRPr="00DC2F2C">
        <w:rPr>
          <w:szCs w:val="22"/>
          <w:lang w:val="fr-FR"/>
        </w:rPr>
        <w:t>491</w:t>
      </w:r>
      <w:r w:rsidR="00147B89" w:rsidRPr="00DC2F2C">
        <w:rPr>
          <w:szCs w:val="22"/>
          <w:lang w:val="fr-FR"/>
        </w:rPr>
        <w:t> </w:t>
      </w:r>
      <w:r w:rsidR="00710B46" w:rsidRPr="00DC2F2C">
        <w:rPr>
          <w:szCs w:val="22"/>
          <w:lang w:val="fr-FR"/>
        </w:rPr>
        <w:t>ng</w:t>
      </w:r>
      <w:r w:rsidR="002170F5" w:rsidRPr="00DC2F2C">
        <w:rPr>
          <w:szCs w:val="22"/>
          <w:lang w:val="fr-FR"/>
        </w:rPr>
        <w:t>.</w:t>
      </w:r>
      <w:r w:rsidR="00710B46" w:rsidRPr="00DC2F2C">
        <w:rPr>
          <w:szCs w:val="22"/>
          <w:lang w:val="fr-FR"/>
        </w:rPr>
        <w:t>hr/</w:t>
      </w:r>
      <w:proofErr w:type="spellStart"/>
      <w:r w:rsidR="00710B46" w:rsidRPr="00DC2F2C">
        <w:rPr>
          <w:szCs w:val="22"/>
          <w:lang w:val="fr-FR"/>
        </w:rPr>
        <w:t>mL</w:t>
      </w:r>
      <w:proofErr w:type="spellEnd"/>
      <w:r w:rsidR="00710B46" w:rsidRPr="00DC2F2C">
        <w:rPr>
          <w:szCs w:val="22"/>
          <w:lang w:val="fr-FR"/>
        </w:rPr>
        <w:t xml:space="preserve">. </w:t>
      </w:r>
      <w:r w:rsidRPr="00DC2F2C">
        <w:rPr>
          <w:szCs w:val="22"/>
          <w:lang w:val="fr-FR"/>
        </w:rPr>
        <w:t>Après l’administration de</w:t>
      </w:r>
      <w:r w:rsidR="00731E06" w:rsidRPr="00DC2F2C">
        <w:rPr>
          <w:szCs w:val="22"/>
          <w:lang w:val="fr-FR"/>
        </w:rPr>
        <w:t xml:space="preserve"> 1</w:t>
      </w:r>
      <w:r w:rsidRPr="00DC2F2C">
        <w:rPr>
          <w:szCs w:val="22"/>
          <w:lang w:val="fr-FR"/>
        </w:rPr>
        <w:t> </w:t>
      </w:r>
      <w:r w:rsidR="00D5057C" w:rsidRPr="00DC2F2C">
        <w:rPr>
          <w:szCs w:val="22"/>
          <w:lang w:val="fr-FR"/>
        </w:rPr>
        <w:t>340</w:t>
      </w:r>
      <w:r w:rsidR="00147B89" w:rsidRPr="00DC2F2C">
        <w:rPr>
          <w:szCs w:val="22"/>
          <w:lang w:val="fr-FR"/>
        </w:rPr>
        <w:t> </w:t>
      </w:r>
      <w:r w:rsidR="00731E06" w:rsidRPr="00DC2F2C">
        <w:rPr>
          <w:szCs w:val="22"/>
          <w:lang w:val="fr-FR"/>
        </w:rPr>
        <w:t>m</w:t>
      </w:r>
      <w:r w:rsidR="00D5057C" w:rsidRPr="00DC2F2C">
        <w:rPr>
          <w:szCs w:val="22"/>
          <w:lang w:val="fr-FR"/>
        </w:rPr>
        <w:t>icro</w:t>
      </w:r>
      <w:r w:rsidR="00731E06" w:rsidRPr="00DC2F2C">
        <w:rPr>
          <w:szCs w:val="22"/>
          <w:lang w:val="fr-FR"/>
        </w:rPr>
        <w:t>g</w:t>
      </w:r>
      <w:r w:rsidR="00D5057C" w:rsidRPr="00DC2F2C">
        <w:rPr>
          <w:szCs w:val="22"/>
          <w:lang w:val="fr-FR"/>
        </w:rPr>
        <w:t>ram</w:t>
      </w:r>
      <w:r w:rsidRPr="00DC2F2C">
        <w:rPr>
          <w:szCs w:val="22"/>
          <w:lang w:val="fr-FR"/>
        </w:rPr>
        <w:t>mes de</w:t>
      </w:r>
      <w:r w:rsidR="00731E06" w:rsidRPr="00DC2F2C">
        <w:rPr>
          <w:szCs w:val="22"/>
          <w:lang w:val="fr-FR"/>
        </w:rPr>
        <w:t xml:space="preserve"> </w:t>
      </w:r>
      <w:proofErr w:type="spellStart"/>
      <w:r w:rsidR="00D5057C" w:rsidRPr="00DC2F2C">
        <w:rPr>
          <w:szCs w:val="22"/>
          <w:lang w:val="fr-FR"/>
        </w:rPr>
        <w:t>tivozanib</w:t>
      </w:r>
      <w:proofErr w:type="spellEnd"/>
      <w:r w:rsidR="00731E06" w:rsidRPr="00DC2F2C">
        <w:rPr>
          <w:szCs w:val="22"/>
          <w:lang w:val="fr-FR"/>
        </w:rPr>
        <w:t xml:space="preserve"> </w:t>
      </w:r>
      <w:r w:rsidRPr="00DC2F2C">
        <w:rPr>
          <w:szCs w:val="22"/>
          <w:lang w:val="fr-FR"/>
        </w:rPr>
        <w:t xml:space="preserve">1 fois par jour pendant </w:t>
      </w:r>
      <w:r w:rsidR="00731E06" w:rsidRPr="00DC2F2C">
        <w:rPr>
          <w:szCs w:val="22"/>
          <w:lang w:val="fr-FR"/>
        </w:rPr>
        <w:t xml:space="preserve">21 </w:t>
      </w:r>
      <w:r w:rsidRPr="00DC2F2C">
        <w:rPr>
          <w:szCs w:val="22"/>
          <w:lang w:val="fr-FR"/>
        </w:rPr>
        <w:t>ou</w:t>
      </w:r>
      <w:r w:rsidR="00731E06" w:rsidRPr="00DC2F2C">
        <w:rPr>
          <w:szCs w:val="22"/>
          <w:lang w:val="fr-FR"/>
        </w:rPr>
        <w:t xml:space="preserve"> 28</w:t>
      </w:r>
      <w:r w:rsidR="00DF6F93" w:rsidRPr="00DC2F2C">
        <w:rPr>
          <w:szCs w:val="22"/>
          <w:lang w:val="fr-FR"/>
        </w:rPr>
        <w:t> </w:t>
      </w:r>
      <w:r w:rsidRPr="00DC2F2C">
        <w:rPr>
          <w:szCs w:val="22"/>
          <w:lang w:val="fr-FR"/>
        </w:rPr>
        <w:t>jours chez des patients atteints d’un CCR</w:t>
      </w:r>
      <w:r w:rsidR="00731E06" w:rsidRPr="00DC2F2C">
        <w:rPr>
          <w:szCs w:val="22"/>
          <w:lang w:val="fr-FR"/>
        </w:rPr>
        <w:t>,</w:t>
      </w:r>
      <w:r w:rsidRPr="00DC2F2C">
        <w:rPr>
          <w:szCs w:val="22"/>
          <w:lang w:val="fr-FR"/>
        </w:rPr>
        <w:t xml:space="preserve"> la</w:t>
      </w:r>
      <w:r w:rsidR="00731E06" w:rsidRPr="00DC2F2C">
        <w:rPr>
          <w:szCs w:val="22"/>
          <w:lang w:val="fr-FR"/>
        </w:rPr>
        <w:t xml:space="preserve"> C</w:t>
      </w:r>
      <w:r w:rsidR="00731E06" w:rsidRPr="00DC2F2C">
        <w:rPr>
          <w:szCs w:val="22"/>
          <w:vertAlign w:val="subscript"/>
          <w:lang w:val="fr-FR"/>
        </w:rPr>
        <w:t>max</w:t>
      </w:r>
      <w:r w:rsidR="00731E06" w:rsidRPr="00DC2F2C">
        <w:rPr>
          <w:szCs w:val="22"/>
          <w:lang w:val="fr-FR"/>
        </w:rPr>
        <w:t xml:space="preserve"> </w:t>
      </w:r>
      <w:r w:rsidRPr="00DC2F2C">
        <w:rPr>
          <w:szCs w:val="22"/>
          <w:lang w:val="fr-FR"/>
        </w:rPr>
        <w:t>était de 67,</w:t>
      </w:r>
      <w:r w:rsidR="00731E06" w:rsidRPr="00DC2F2C">
        <w:rPr>
          <w:szCs w:val="22"/>
          <w:lang w:val="fr-FR"/>
        </w:rPr>
        <w:t xml:space="preserve">5 </w:t>
      </w:r>
      <w:r w:rsidRPr="00DC2F2C">
        <w:rPr>
          <w:szCs w:val="22"/>
          <w:lang w:val="fr-FR"/>
        </w:rPr>
        <w:t>à 94,</w:t>
      </w:r>
      <w:r w:rsidR="00731E06" w:rsidRPr="00DC2F2C">
        <w:rPr>
          <w:szCs w:val="22"/>
          <w:lang w:val="fr-FR"/>
        </w:rPr>
        <w:t>3</w:t>
      </w:r>
      <w:r w:rsidR="00147B89" w:rsidRPr="00DC2F2C">
        <w:rPr>
          <w:szCs w:val="22"/>
          <w:lang w:val="fr-FR"/>
        </w:rPr>
        <w:t> </w:t>
      </w:r>
      <w:proofErr w:type="spellStart"/>
      <w:r w:rsidR="00731E06" w:rsidRPr="00DC2F2C">
        <w:rPr>
          <w:szCs w:val="22"/>
          <w:lang w:val="fr-FR"/>
        </w:rPr>
        <w:t>ng</w:t>
      </w:r>
      <w:proofErr w:type="spellEnd"/>
      <w:r w:rsidR="00731E06" w:rsidRPr="00DC2F2C">
        <w:rPr>
          <w:szCs w:val="22"/>
          <w:lang w:val="fr-FR"/>
        </w:rPr>
        <w:t>/</w:t>
      </w:r>
      <w:proofErr w:type="spellStart"/>
      <w:r w:rsidR="00731E06" w:rsidRPr="00DC2F2C">
        <w:rPr>
          <w:szCs w:val="22"/>
          <w:lang w:val="fr-FR"/>
        </w:rPr>
        <w:t>mL</w:t>
      </w:r>
      <w:proofErr w:type="spellEnd"/>
      <w:r w:rsidR="00731E06" w:rsidRPr="00DC2F2C">
        <w:rPr>
          <w:szCs w:val="22"/>
          <w:lang w:val="fr-FR"/>
        </w:rPr>
        <w:t xml:space="preserve"> </w:t>
      </w:r>
      <w:r w:rsidRPr="00DC2F2C">
        <w:rPr>
          <w:szCs w:val="22"/>
          <w:lang w:val="fr-FR"/>
        </w:rPr>
        <w:t>et l’ASC</w:t>
      </w:r>
      <w:r w:rsidR="00731E06" w:rsidRPr="00DC2F2C">
        <w:rPr>
          <w:szCs w:val="22"/>
          <w:vertAlign w:val="subscript"/>
          <w:lang w:val="fr-FR"/>
        </w:rPr>
        <w:t>0</w:t>
      </w:r>
      <w:r w:rsidRPr="00DC2F2C">
        <w:rPr>
          <w:szCs w:val="22"/>
          <w:vertAlign w:val="subscript"/>
          <w:lang w:val="fr-FR"/>
        </w:rPr>
        <w:t>-</w:t>
      </w:r>
      <w:r w:rsidR="00731E06" w:rsidRPr="00DC2F2C">
        <w:rPr>
          <w:szCs w:val="22"/>
          <w:vertAlign w:val="subscript"/>
          <w:lang w:val="fr-FR"/>
        </w:rPr>
        <w:t>24</w:t>
      </w:r>
      <w:r w:rsidR="009C1EE1" w:rsidRPr="00DC2F2C">
        <w:rPr>
          <w:szCs w:val="22"/>
          <w:lang w:val="fr-FR"/>
        </w:rPr>
        <w:t xml:space="preserve"> </w:t>
      </w:r>
      <w:r w:rsidRPr="00DC2F2C">
        <w:rPr>
          <w:szCs w:val="22"/>
          <w:lang w:val="fr-FR"/>
        </w:rPr>
        <w:t>était de</w:t>
      </w:r>
      <w:r w:rsidR="009C1EE1" w:rsidRPr="00DC2F2C">
        <w:rPr>
          <w:szCs w:val="22"/>
          <w:lang w:val="fr-FR"/>
        </w:rPr>
        <w:t xml:space="preserve"> 1</w:t>
      </w:r>
      <w:r w:rsidRPr="00DC2F2C">
        <w:rPr>
          <w:szCs w:val="22"/>
          <w:lang w:val="fr-FR"/>
        </w:rPr>
        <w:t> </w:t>
      </w:r>
      <w:r w:rsidR="00731E06" w:rsidRPr="00DC2F2C">
        <w:rPr>
          <w:szCs w:val="22"/>
          <w:lang w:val="fr-FR"/>
        </w:rPr>
        <w:t xml:space="preserve">180 </w:t>
      </w:r>
      <w:r w:rsidRPr="00DC2F2C">
        <w:rPr>
          <w:szCs w:val="22"/>
          <w:lang w:val="fr-FR"/>
        </w:rPr>
        <w:t>à</w:t>
      </w:r>
      <w:r w:rsidR="00731E06" w:rsidRPr="00DC2F2C">
        <w:rPr>
          <w:szCs w:val="22"/>
          <w:lang w:val="fr-FR"/>
        </w:rPr>
        <w:t xml:space="preserve"> 1</w:t>
      </w:r>
      <w:r w:rsidRPr="00DC2F2C">
        <w:rPr>
          <w:szCs w:val="22"/>
          <w:lang w:val="fr-FR"/>
        </w:rPr>
        <w:t> </w:t>
      </w:r>
      <w:r w:rsidR="00731E06" w:rsidRPr="00DC2F2C">
        <w:rPr>
          <w:szCs w:val="22"/>
          <w:lang w:val="fr-FR"/>
        </w:rPr>
        <w:t>641</w:t>
      </w:r>
      <w:r w:rsidR="00147B89" w:rsidRPr="00DC2F2C">
        <w:rPr>
          <w:szCs w:val="22"/>
          <w:lang w:val="fr-FR"/>
        </w:rPr>
        <w:t> </w:t>
      </w:r>
      <w:r w:rsidR="00731E06" w:rsidRPr="00DC2F2C">
        <w:rPr>
          <w:szCs w:val="22"/>
          <w:lang w:val="fr-FR"/>
        </w:rPr>
        <w:t>ng</w:t>
      </w:r>
      <w:r w:rsidR="002170F5" w:rsidRPr="00DC2F2C">
        <w:rPr>
          <w:szCs w:val="22"/>
          <w:lang w:val="fr-FR"/>
        </w:rPr>
        <w:t>.</w:t>
      </w:r>
      <w:r w:rsidR="00731E06" w:rsidRPr="00DC2F2C">
        <w:rPr>
          <w:szCs w:val="22"/>
          <w:lang w:val="fr-FR"/>
        </w:rPr>
        <w:t>hr/</w:t>
      </w:r>
      <w:proofErr w:type="spellStart"/>
      <w:r w:rsidR="00731E06" w:rsidRPr="00DC2F2C">
        <w:rPr>
          <w:szCs w:val="22"/>
          <w:lang w:val="fr-FR"/>
        </w:rPr>
        <w:t>mL</w:t>
      </w:r>
      <w:proofErr w:type="spellEnd"/>
      <w:r w:rsidR="00731E06" w:rsidRPr="00DC2F2C">
        <w:rPr>
          <w:szCs w:val="22"/>
          <w:lang w:val="fr-FR"/>
        </w:rPr>
        <w:t xml:space="preserve">. </w:t>
      </w:r>
      <w:r w:rsidRPr="00DC2F2C">
        <w:rPr>
          <w:szCs w:val="22"/>
          <w:lang w:val="fr-FR"/>
        </w:rPr>
        <w:t>L’exposition est proportionnelle à la dose entre</w:t>
      </w:r>
      <w:r w:rsidR="00731E06" w:rsidRPr="00DC2F2C">
        <w:rPr>
          <w:szCs w:val="22"/>
          <w:lang w:val="fr-FR"/>
        </w:rPr>
        <w:t xml:space="preserve"> </w:t>
      </w:r>
      <w:r w:rsidR="00D5057C" w:rsidRPr="00DC2F2C">
        <w:rPr>
          <w:szCs w:val="22"/>
          <w:lang w:val="fr-FR"/>
        </w:rPr>
        <w:t>89</w:t>
      </w:r>
      <w:r w:rsidR="00731E06" w:rsidRPr="00DC2F2C">
        <w:rPr>
          <w:szCs w:val="22"/>
          <w:lang w:val="fr-FR"/>
        </w:rPr>
        <w:t xml:space="preserve">0 </w:t>
      </w:r>
      <w:r w:rsidRPr="00DC2F2C">
        <w:rPr>
          <w:szCs w:val="22"/>
          <w:lang w:val="fr-FR"/>
        </w:rPr>
        <w:t>et</w:t>
      </w:r>
      <w:r w:rsidR="00731E06" w:rsidRPr="00DC2F2C">
        <w:rPr>
          <w:szCs w:val="22"/>
          <w:lang w:val="fr-FR"/>
        </w:rPr>
        <w:t xml:space="preserve"> 1</w:t>
      </w:r>
      <w:r w:rsidRPr="00DC2F2C">
        <w:rPr>
          <w:szCs w:val="22"/>
          <w:lang w:val="fr-FR"/>
        </w:rPr>
        <w:t> </w:t>
      </w:r>
      <w:r w:rsidR="00D5057C" w:rsidRPr="00DC2F2C">
        <w:rPr>
          <w:szCs w:val="22"/>
          <w:lang w:val="fr-FR"/>
        </w:rPr>
        <w:t>340</w:t>
      </w:r>
      <w:r w:rsidR="00147B89" w:rsidRPr="00DC2F2C">
        <w:rPr>
          <w:szCs w:val="22"/>
          <w:lang w:val="fr-FR"/>
        </w:rPr>
        <w:t> </w:t>
      </w:r>
      <w:r w:rsidR="00731E06" w:rsidRPr="00DC2F2C">
        <w:rPr>
          <w:szCs w:val="22"/>
          <w:lang w:val="fr-FR"/>
        </w:rPr>
        <w:t>m</w:t>
      </w:r>
      <w:r w:rsidR="00D5057C" w:rsidRPr="00DC2F2C">
        <w:rPr>
          <w:szCs w:val="22"/>
          <w:lang w:val="fr-FR"/>
        </w:rPr>
        <w:t>icro</w:t>
      </w:r>
      <w:r w:rsidR="00731E06" w:rsidRPr="00DC2F2C">
        <w:rPr>
          <w:szCs w:val="22"/>
          <w:lang w:val="fr-FR"/>
        </w:rPr>
        <w:t>g</w:t>
      </w:r>
      <w:r w:rsidR="00D5057C" w:rsidRPr="00DC2F2C">
        <w:rPr>
          <w:szCs w:val="22"/>
          <w:lang w:val="fr-FR"/>
        </w:rPr>
        <w:t>ram</w:t>
      </w:r>
      <w:r w:rsidRPr="00DC2F2C">
        <w:rPr>
          <w:szCs w:val="22"/>
          <w:lang w:val="fr-FR"/>
        </w:rPr>
        <w:t>mes et elle est liée à la dose sur l’intervalle plus large allant de</w:t>
      </w:r>
      <w:r w:rsidR="002170F5" w:rsidRPr="00DC2F2C">
        <w:rPr>
          <w:szCs w:val="22"/>
          <w:lang w:val="fr-FR"/>
        </w:rPr>
        <w:t xml:space="preserve"> </w:t>
      </w:r>
      <w:r w:rsidR="007F042A" w:rsidRPr="00DC2F2C">
        <w:rPr>
          <w:szCs w:val="22"/>
          <w:lang w:val="fr-FR"/>
        </w:rPr>
        <w:t>4</w:t>
      </w:r>
      <w:r w:rsidR="002170F5" w:rsidRPr="00DC2F2C">
        <w:rPr>
          <w:szCs w:val="22"/>
          <w:lang w:val="fr-FR"/>
        </w:rPr>
        <w:t>5</w:t>
      </w:r>
      <w:r w:rsidR="00D5057C" w:rsidRPr="00DC2F2C">
        <w:rPr>
          <w:szCs w:val="22"/>
          <w:lang w:val="fr-FR"/>
        </w:rPr>
        <w:t>0</w:t>
      </w:r>
      <w:r w:rsidR="00DF6F93" w:rsidRPr="00DC2F2C">
        <w:rPr>
          <w:szCs w:val="22"/>
          <w:lang w:val="fr-FR"/>
        </w:rPr>
        <w:t> </w:t>
      </w:r>
      <w:r w:rsidR="002170F5" w:rsidRPr="00DC2F2C">
        <w:rPr>
          <w:szCs w:val="22"/>
          <w:lang w:val="fr-FR"/>
        </w:rPr>
        <w:t xml:space="preserve">mg </w:t>
      </w:r>
      <w:r w:rsidRPr="00DC2F2C">
        <w:rPr>
          <w:szCs w:val="22"/>
          <w:lang w:val="fr-FR"/>
        </w:rPr>
        <w:t>à</w:t>
      </w:r>
      <w:r w:rsidR="002170F5" w:rsidRPr="00DC2F2C">
        <w:rPr>
          <w:szCs w:val="22"/>
          <w:lang w:val="fr-FR"/>
        </w:rPr>
        <w:t xml:space="preserve"> </w:t>
      </w:r>
      <w:r w:rsidR="00D5057C" w:rsidRPr="00DC2F2C">
        <w:rPr>
          <w:szCs w:val="22"/>
          <w:lang w:val="fr-FR"/>
        </w:rPr>
        <w:t>1</w:t>
      </w:r>
      <w:r w:rsidRPr="00DC2F2C">
        <w:rPr>
          <w:szCs w:val="22"/>
          <w:lang w:val="fr-FR"/>
        </w:rPr>
        <w:t> </w:t>
      </w:r>
      <w:r w:rsidR="00D5057C" w:rsidRPr="00DC2F2C">
        <w:rPr>
          <w:szCs w:val="22"/>
          <w:lang w:val="fr-FR"/>
        </w:rPr>
        <w:t>790</w:t>
      </w:r>
      <w:r w:rsidR="00DF6F93" w:rsidRPr="00DC2F2C">
        <w:rPr>
          <w:szCs w:val="22"/>
          <w:lang w:val="fr-FR"/>
        </w:rPr>
        <w:t> </w:t>
      </w:r>
      <w:r w:rsidR="002170F5" w:rsidRPr="00DC2F2C">
        <w:rPr>
          <w:szCs w:val="22"/>
          <w:lang w:val="fr-FR"/>
        </w:rPr>
        <w:t>m</w:t>
      </w:r>
      <w:r w:rsidR="00D5057C" w:rsidRPr="00DC2F2C">
        <w:rPr>
          <w:szCs w:val="22"/>
          <w:lang w:val="fr-FR"/>
        </w:rPr>
        <w:t>icro</w:t>
      </w:r>
      <w:r w:rsidR="002170F5" w:rsidRPr="00DC2F2C">
        <w:rPr>
          <w:szCs w:val="22"/>
          <w:lang w:val="fr-FR"/>
        </w:rPr>
        <w:t>g</w:t>
      </w:r>
      <w:r w:rsidR="00D5057C" w:rsidRPr="00DC2F2C">
        <w:rPr>
          <w:szCs w:val="22"/>
          <w:lang w:val="fr-FR"/>
        </w:rPr>
        <w:t>ram</w:t>
      </w:r>
      <w:r w:rsidRPr="00DC2F2C">
        <w:rPr>
          <w:szCs w:val="22"/>
          <w:lang w:val="fr-FR"/>
        </w:rPr>
        <w:t>mes</w:t>
      </w:r>
      <w:r w:rsidR="00731E06" w:rsidRPr="00DC2F2C">
        <w:rPr>
          <w:szCs w:val="22"/>
          <w:lang w:val="fr-FR"/>
        </w:rPr>
        <w:t>.</w:t>
      </w:r>
      <w:r w:rsidR="00D5057C" w:rsidRPr="00DC2F2C">
        <w:rPr>
          <w:color w:val="000000"/>
          <w:szCs w:val="22"/>
          <w:lang w:val="fr-FR" w:eastAsia="en-GB"/>
        </w:rPr>
        <w:t xml:space="preserve"> </w:t>
      </w:r>
      <w:r w:rsidR="00E97B98" w:rsidRPr="00DC2F2C">
        <w:rPr>
          <w:color w:val="000000"/>
          <w:szCs w:val="22"/>
          <w:lang w:val="fr-FR" w:eastAsia="en-GB"/>
        </w:rPr>
        <w:t>L’a</w:t>
      </w:r>
      <w:r w:rsidR="00D5057C" w:rsidRPr="00DC2F2C">
        <w:rPr>
          <w:color w:val="000000"/>
          <w:szCs w:val="22"/>
          <w:lang w:val="fr-FR" w:eastAsia="en-GB"/>
        </w:rPr>
        <w:t xml:space="preserve">ccumulation </w:t>
      </w:r>
      <w:r w:rsidR="00E97B98" w:rsidRPr="00DC2F2C">
        <w:rPr>
          <w:color w:val="000000"/>
          <w:szCs w:val="22"/>
          <w:lang w:val="fr-FR" w:eastAsia="en-GB"/>
        </w:rPr>
        <w:t>à l’état d’équilibre</w:t>
      </w:r>
      <w:r w:rsidR="00D5057C" w:rsidRPr="00DC2F2C">
        <w:rPr>
          <w:color w:val="000000"/>
          <w:szCs w:val="22"/>
          <w:lang w:val="fr-FR" w:eastAsia="en-GB"/>
        </w:rPr>
        <w:t xml:space="preserve"> </w:t>
      </w:r>
      <w:r w:rsidR="00E97B98" w:rsidRPr="00DC2F2C">
        <w:rPr>
          <w:color w:val="000000"/>
          <w:szCs w:val="22"/>
          <w:lang w:val="fr-FR" w:eastAsia="en-GB"/>
        </w:rPr>
        <w:t>correspond à environ</w:t>
      </w:r>
      <w:r w:rsidR="00D5057C" w:rsidRPr="00DC2F2C">
        <w:rPr>
          <w:color w:val="000000"/>
          <w:szCs w:val="22"/>
          <w:lang w:val="fr-FR" w:eastAsia="en-GB"/>
        </w:rPr>
        <w:t xml:space="preserve"> 6</w:t>
      </w:r>
      <w:r w:rsidR="00E97B98" w:rsidRPr="00DC2F2C">
        <w:rPr>
          <w:color w:val="000000"/>
          <w:szCs w:val="22"/>
          <w:lang w:val="fr-FR" w:eastAsia="en-GB"/>
        </w:rPr>
        <w:t xml:space="preserve"> à</w:t>
      </w:r>
      <w:r w:rsidR="00D5057C" w:rsidRPr="00DC2F2C">
        <w:rPr>
          <w:color w:val="000000"/>
          <w:szCs w:val="22"/>
          <w:lang w:val="fr-FR" w:eastAsia="en-GB"/>
        </w:rPr>
        <w:t xml:space="preserve"> 7</w:t>
      </w:r>
      <w:r w:rsidR="00E97B98" w:rsidRPr="00DC2F2C">
        <w:rPr>
          <w:color w:val="000000"/>
          <w:szCs w:val="22"/>
          <w:lang w:val="fr-FR" w:eastAsia="en-GB"/>
        </w:rPr>
        <w:t xml:space="preserve"> fois l’exposition observée aux concentrations atteintes après administration unique</w:t>
      </w:r>
      <w:r w:rsidR="00D5057C" w:rsidRPr="00DC2F2C">
        <w:rPr>
          <w:color w:val="000000"/>
          <w:szCs w:val="22"/>
          <w:lang w:val="fr-FR" w:eastAsia="en-GB"/>
        </w:rPr>
        <w:t xml:space="preserve">. </w:t>
      </w:r>
      <w:r w:rsidR="006D3299" w:rsidRPr="00DC2F2C">
        <w:rPr>
          <w:color w:val="000000"/>
          <w:szCs w:val="22"/>
          <w:lang w:val="fr-FR" w:eastAsia="en-GB"/>
        </w:rPr>
        <w:t>La clairance est similaire entre un traitement aigu et chronique, ce qui montre une absence de variation PK en fonction du temps</w:t>
      </w:r>
      <w:r w:rsidR="00D5057C" w:rsidRPr="00DC2F2C">
        <w:rPr>
          <w:color w:val="000000"/>
          <w:szCs w:val="22"/>
          <w:lang w:val="fr-FR" w:eastAsia="en-GB"/>
        </w:rPr>
        <w:t xml:space="preserve">. </w:t>
      </w:r>
    </w:p>
    <w:p w14:paraId="64FAC0BD" w14:textId="77777777" w:rsidR="00B10744" w:rsidRPr="00DC2F2C" w:rsidRDefault="00B10744" w:rsidP="009D43DC">
      <w:pPr>
        <w:widowControl w:val="0"/>
        <w:autoSpaceDE w:val="0"/>
        <w:autoSpaceDN w:val="0"/>
        <w:adjustRightInd w:val="0"/>
        <w:ind w:right="549"/>
        <w:rPr>
          <w:szCs w:val="22"/>
          <w:lang w:val="fr-FR"/>
        </w:rPr>
      </w:pPr>
    </w:p>
    <w:p w14:paraId="02C0F32C" w14:textId="77777777" w:rsidR="00710B46" w:rsidRPr="00DC2F2C" w:rsidRDefault="001F0AAC" w:rsidP="000D6CFA">
      <w:pPr>
        <w:rPr>
          <w:szCs w:val="22"/>
          <w:lang w:val="fr-FR"/>
        </w:rPr>
      </w:pPr>
      <w:r w:rsidRPr="00DC2F2C">
        <w:rPr>
          <w:szCs w:val="22"/>
          <w:lang w:val="fr-FR"/>
        </w:rPr>
        <w:t>Lorsque le</w:t>
      </w:r>
      <w:r w:rsidR="00710B46" w:rsidRPr="00DC2F2C">
        <w:rPr>
          <w:szCs w:val="22"/>
          <w:lang w:val="fr-FR"/>
        </w:rPr>
        <w:t xml:space="preserve"> </w:t>
      </w:r>
      <w:proofErr w:type="spellStart"/>
      <w:r w:rsidR="00D5057C" w:rsidRPr="00DC2F2C">
        <w:rPr>
          <w:szCs w:val="22"/>
          <w:lang w:val="fr-FR"/>
        </w:rPr>
        <w:t>tivozanib</w:t>
      </w:r>
      <w:proofErr w:type="spellEnd"/>
      <w:r w:rsidR="00AF4571" w:rsidRPr="00DC2F2C">
        <w:rPr>
          <w:szCs w:val="22"/>
          <w:lang w:val="fr-FR"/>
        </w:rPr>
        <w:t xml:space="preserve"> </w:t>
      </w:r>
      <w:r w:rsidRPr="00DC2F2C">
        <w:rPr>
          <w:szCs w:val="22"/>
          <w:lang w:val="fr-FR"/>
        </w:rPr>
        <w:t xml:space="preserve">a été évalué dans le cadre d’une étude sur l’effet </w:t>
      </w:r>
      <w:r w:rsidR="0018295B" w:rsidRPr="00DC2F2C">
        <w:rPr>
          <w:szCs w:val="22"/>
          <w:lang w:val="fr-FR"/>
        </w:rPr>
        <w:t>de la nourriture</w:t>
      </w:r>
      <w:r w:rsidRPr="00DC2F2C">
        <w:rPr>
          <w:szCs w:val="22"/>
          <w:lang w:val="fr-FR"/>
        </w:rPr>
        <w:t xml:space="preserve"> conduite chez des sujets sains</w:t>
      </w:r>
      <w:r w:rsidR="00710B46" w:rsidRPr="00DC2F2C">
        <w:rPr>
          <w:szCs w:val="22"/>
          <w:lang w:val="fr-FR"/>
        </w:rPr>
        <w:t xml:space="preserve">, </w:t>
      </w:r>
      <w:r w:rsidRPr="00DC2F2C">
        <w:rPr>
          <w:szCs w:val="22"/>
          <w:lang w:val="fr-FR"/>
        </w:rPr>
        <w:t>un repas riche en graisses a réduit les concentrations sériques maximales</w:t>
      </w:r>
      <w:r w:rsidR="00710B46" w:rsidRPr="00DC2F2C">
        <w:rPr>
          <w:szCs w:val="22"/>
          <w:lang w:val="fr-FR"/>
        </w:rPr>
        <w:t xml:space="preserve"> (C</w:t>
      </w:r>
      <w:r w:rsidR="00710B46" w:rsidRPr="00DC2F2C">
        <w:rPr>
          <w:szCs w:val="22"/>
          <w:vertAlign w:val="subscript"/>
          <w:lang w:val="fr-FR"/>
        </w:rPr>
        <w:t>max</w:t>
      </w:r>
      <w:r w:rsidR="00710B46" w:rsidRPr="00DC2F2C">
        <w:rPr>
          <w:szCs w:val="22"/>
          <w:lang w:val="fr-FR"/>
        </w:rPr>
        <w:t xml:space="preserve">) </w:t>
      </w:r>
      <w:r w:rsidRPr="00DC2F2C">
        <w:rPr>
          <w:szCs w:val="22"/>
          <w:lang w:val="fr-FR"/>
        </w:rPr>
        <w:t>de</w:t>
      </w:r>
      <w:r w:rsidR="00710B46" w:rsidRPr="00DC2F2C">
        <w:rPr>
          <w:szCs w:val="22"/>
          <w:lang w:val="fr-FR"/>
        </w:rPr>
        <w:t xml:space="preserve"> 23</w:t>
      </w:r>
      <w:r w:rsidRPr="00DC2F2C">
        <w:rPr>
          <w:szCs w:val="22"/>
          <w:lang w:val="fr-FR"/>
        </w:rPr>
        <w:t>,</w:t>
      </w:r>
      <w:r w:rsidR="00710B46" w:rsidRPr="00DC2F2C">
        <w:rPr>
          <w:szCs w:val="22"/>
          <w:lang w:val="fr-FR"/>
        </w:rPr>
        <w:t>4</w:t>
      </w:r>
      <w:r w:rsidRPr="00DC2F2C">
        <w:rPr>
          <w:szCs w:val="22"/>
          <w:lang w:val="fr-FR"/>
        </w:rPr>
        <w:t> </w:t>
      </w:r>
      <w:r w:rsidR="00710B46" w:rsidRPr="00DC2F2C">
        <w:rPr>
          <w:szCs w:val="22"/>
          <w:lang w:val="fr-FR"/>
        </w:rPr>
        <w:t xml:space="preserve">% </w:t>
      </w:r>
      <w:r w:rsidRPr="00DC2F2C">
        <w:rPr>
          <w:szCs w:val="22"/>
          <w:lang w:val="fr-FR"/>
        </w:rPr>
        <w:t>par rapport à l’état à jeun</w:t>
      </w:r>
      <w:r w:rsidR="00710B46" w:rsidRPr="00DC2F2C">
        <w:rPr>
          <w:szCs w:val="22"/>
          <w:lang w:val="fr-FR"/>
        </w:rPr>
        <w:t xml:space="preserve">. </w:t>
      </w:r>
      <w:r w:rsidRPr="00DC2F2C">
        <w:rPr>
          <w:szCs w:val="22"/>
          <w:lang w:val="fr-FR"/>
        </w:rPr>
        <w:t xml:space="preserve">Il n’y a eu aucun effet </w:t>
      </w:r>
      <w:r w:rsidR="0018295B" w:rsidRPr="00DC2F2C">
        <w:rPr>
          <w:szCs w:val="22"/>
          <w:lang w:val="fr-FR"/>
        </w:rPr>
        <w:t>de la nourriture</w:t>
      </w:r>
      <w:r w:rsidRPr="00DC2F2C">
        <w:rPr>
          <w:szCs w:val="22"/>
          <w:lang w:val="fr-FR"/>
        </w:rPr>
        <w:t xml:space="preserve"> sur l’exposition globale</w:t>
      </w:r>
      <w:r w:rsidR="00710B46" w:rsidRPr="00DC2F2C">
        <w:rPr>
          <w:szCs w:val="22"/>
          <w:lang w:val="fr-FR"/>
        </w:rPr>
        <w:t xml:space="preserve"> (</w:t>
      </w:r>
      <w:r w:rsidRPr="00DC2F2C">
        <w:rPr>
          <w:szCs w:val="22"/>
          <w:lang w:val="fr-FR"/>
        </w:rPr>
        <w:t>ASC</w:t>
      </w:r>
      <w:r w:rsidR="00710B46" w:rsidRPr="00DC2F2C">
        <w:rPr>
          <w:szCs w:val="22"/>
          <w:lang w:val="fr-FR"/>
        </w:rPr>
        <w:t xml:space="preserve">). </w:t>
      </w:r>
      <w:r w:rsidR="00C905EE" w:rsidRPr="00DC2F2C">
        <w:rPr>
          <w:szCs w:val="22"/>
          <w:lang w:val="fr-FR"/>
        </w:rPr>
        <w:t>D’après ces données</w:t>
      </w:r>
      <w:r w:rsidR="00C0381E" w:rsidRPr="00DC2F2C">
        <w:rPr>
          <w:szCs w:val="22"/>
          <w:lang w:val="fr-FR"/>
        </w:rPr>
        <w:t>,</w:t>
      </w:r>
      <w:r w:rsidR="00710B46" w:rsidRPr="00DC2F2C">
        <w:rPr>
          <w:szCs w:val="22"/>
          <w:lang w:val="fr-FR"/>
        </w:rPr>
        <w:t xml:space="preserve"> </w:t>
      </w:r>
      <w:r w:rsidR="00C905EE" w:rsidRPr="00DC2F2C">
        <w:rPr>
          <w:szCs w:val="22"/>
          <w:lang w:val="fr-FR"/>
        </w:rPr>
        <w:t xml:space="preserve">le </w:t>
      </w:r>
      <w:proofErr w:type="spellStart"/>
      <w:r w:rsidR="00D5057C" w:rsidRPr="00DC2F2C">
        <w:rPr>
          <w:szCs w:val="22"/>
          <w:lang w:val="fr-FR"/>
        </w:rPr>
        <w:t>tivozanib</w:t>
      </w:r>
      <w:proofErr w:type="spellEnd"/>
      <w:r w:rsidR="00D93171" w:rsidRPr="00DC2F2C">
        <w:rPr>
          <w:szCs w:val="22"/>
          <w:lang w:val="fr-FR"/>
        </w:rPr>
        <w:t xml:space="preserve"> </w:t>
      </w:r>
      <w:r w:rsidR="00C905EE" w:rsidRPr="00DC2F2C">
        <w:rPr>
          <w:szCs w:val="22"/>
          <w:lang w:val="fr-FR"/>
        </w:rPr>
        <w:t>peut être administré avec ou sans</w:t>
      </w:r>
      <w:r w:rsidR="00710B46" w:rsidRPr="00DC2F2C">
        <w:rPr>
          <w:szCs w:val="22"/>
          <w:lang w:val="fr-FR"/>
        </w:rPr>
        <w:t xml:space="preserve"> </w:t>
      </w:r>
      <w:r w:rsidR="00C905EE" w:rsidRPr="00DC2F2C">
        <w:rPr>
          <w:szCs w:val="22"/>
          <w:lang w:val="fr-FR"/>
        </w:rPr>
        <w:t>nourriture</w:t>
      </w:r>
      <w:r w:rsidR="00710B46" w:rsidRPr="00DC2F2C">
        <w:rPr>
          <w:szCs w:val="22"/>
          <w:lang w:val="fr-FR"/>
        </w:rPr>
        <w:t xml:space="preserve"> (</w:t>
      </w:r>
      <w:r w:rsidR="002D6EE5" w:rsidRPr="00DC2F2C">
        <w:rPr>
          <w:szCs w:val="22"/>
          <w:lang w:val="fr-FR"/>
        </w:rPr>
        <w:t xml:space="preserve">voir rubrique </w:t>
      </w:r>
      <w:r w:rsidR="00710B46" w:rsidRPr="00DC2F2C">
        <w:rPr>
          <w:szCs w:val="22"/>
          <w:lang w:val="fr-FR"/>
        </w:rPr>
        <w:t xml:space="preserve">4.2). </w:t>
      </w:r>
    </w:p>
    <w:p w14:paraId="3F3D90AA" w14:textId="77777777" w:rsidR="00C0381E" w:rsidRPr="00DC2F2C" w:rsidRDefault="00C0381E" w:rsidP="009D43DC">
      <w:pPr>
        <w:ind w:right="549"/>
        <w:rPr>
          <w:szCs w:val="22"/>
          <w:lang w:val="fr-FR"/>
        </w:rPr>
      </w:pPr>
    </w:p>
    <w:p w14:paraId="37E38DA5" w14:textId="77777777" w:rsidR="00536C88" w:rsidRPr="00DC2F2C" w:rsidRDefault="00A70EFA" w:rsidP="009D43DC">
      <w:pPr>
        <w:keepNext/>
        <w:keepLines/>
        <w:tabs>
          <w:tab w:val="clear" w:pos="567"/>
        </w:tabs>
        <w:ind w:right="550"/>
        <w:rPr>
          <w:szCs w:val="22"/>
          <w:lang w:val="fr-FR"/>
        </w:rPr>
      </w:pPr>
      <w:r w:rsidRPr="00DC2F2C">
        <w:rPr>
          <w:szCs w:val="22"/>
          <w:u w:val="single"/>
          <w:lang w:val="fr-FR"/>
        </w:rPr>
        <w:t>Distribution</w:t>
      </w:r>
    </w:p>
    <w:p w14:paraId="2FBDD327" w14:textId="77777777" w:rsidR="00A70EFA" w:rsidRPr="00DC2F2C" w:rsidRDefault="00FB3387" w:rsidP="000D6CFA">
      <w:pPr>
        <w:rPr>
          <w:szCs w:val="22"/>
          <w:lang w:val="fr-FR"/>
        </w:rPr>
      </w:pPr>
      <w:r w:rsidRPr="00DC2F2C">
        <w:rPr>
          <w:szCs w:val="22"/>
          <w:lang w:val="fr-FR"/>
        </w:rPr>
        <w:t>Des études de liaison aux protéines</w:t>
      </w:r>
      <w:r w:rsidRPr="00DC2F2C">
        <w:rPr>
          <w:i/>
          <w:szCs w:val="22"/>
          <w:lang w:val="fr-FR"/>
        </w:rPr>
        <w:t xml:space="preserve"> i</w:t>
      </w:r>
      <w:r w:rsidR="00A70EFA" w:rsidRPr="00DC2F2C">
        <w:rPr>
          <w:i/>
          <w:szCs w:val="22"/>
          <w:lang w:val="fr-FR"/>
        </w:rPr>
        <w:t>n vitro</w:t>
      </w:r>
      <w:r w:rsidR="00A70EFA" w:rsidRPr="00DC2F2C">
        <w:rPr>
          <w:szCs w:val="22"/>
          <w:lang w:val="fr-FR"/>
        </w:rPr>
        <w:t xml:space="preserve"> </w:t>
      </w:r>
      <w:r w:rsidRPr="00DC2F2C">
        <w:rPr>
          <w:szCs w:val="22"/>
          <w:lang w:val="fr-FR"/>
        </w:rPr>
        <w:t>ont montré que le</w:t>
      </w:r>
      <w:r w:rsidR="00A70EFA" w:rsidRPr="00DC2F2C">
        <w:rPr>
          <w:szCs w:val="22"/>
          <w:lang w:val="fr-FR"/>
        </w:rPr>
        <w:t xml:space="preserve"> </w:t>
      </w:r>
      <w:proofErr w:type="spellStart"/>
      <w:r w:rsidR="00395005" w:rsidRPr="00DC2F2C">
        <w:rPr>
          <w:szCs w:val="22"/>
          <w:lang w:val="fr-FR"/>
        </w:rPr>
        <w:t>tivozanib</w:t>
      </w:r>
      <w:proofErr w:type="spellEnd"/>
      <w:r w:rsidR="00A70EFA" w:rsidRPr="00DC2F2C">
        <w:rPr>
          <w:szCs w:val="22"/>
          <w:lang w:val="fr-FR"/>
        </w:rPr>
        <w:t xml:space="preserve"> </w:t>
      </w:r>
      <w:r w:rsidRPr="00DC2F2C">
        <w:rPr>
          <w:szCs w:val="22"/>
          <w:lang w:val="fr-FR"/>
        </w:rPr>
        <w:t>est lié à</w:t>
      </w:r>
      <w:r w:rsidR="00A70EFA" w:rsidRPr="00DC2F2C">
        <w:rPr>
          <w:szCs w:val="22"/>
          <w:lang w:val="fr-FR"/>
        </w:rPr>
        <w:t xml:space="preserve"> &gt;99</w:t>
      </w:r>
      <w:r w:rsidRPr="00DC2F2C">
        <w:rPr>
          <w:szCs w:val="22"/>
          <w:lang w:val="fr-FR"/>
        </w:rPr>
        <w:t> </w:t>
      </w:r>
      <w:r w:rsidR="00A70EFA" w:rsidRPr="00DC2F2C">
        <w:rPr>
          <w:szCs w:val="22"/>
          <w:lang w:val="fr-FR"/>
        </w:rPr>
        <w:t xml:space="preserve">% </w:t>
      </w:r>
      <w:r w:rsidRPr="00DC2F2C">
        <w:rPr>
          <w:szCs w:val="22"/>
          <w:lang w:val="fr-FR"/>
        </w:rPr>
        <w:t>aux protéines plasmatiques</w:t>
      </w:r>
      <w:r w:rsidR="00A70EFA" w:rsidRPr="00DC2F2C">
        <w:rPr>
          <w:szCs w:val="22"/>
          <w:lang w:val="fr-FR"/>
        </w:rPr>
        <w:t xml:space="preserve">. </w:t>
      </w:r>
      <w:r w:rsidR="00CD3BC3" w:rsidRPr="00DC2F2C">
        <w:rPr>
          <w:szCs w:val="22"/>
          <w:lang w:val="fr-FR"/>
        </w:rPr>
        <w:t>La liaison aux protéines plasmatiques n’a pas été dépendante de la concentration</w:t>
      </w:r>
      <w:r w:rsidR="00A70EFA" w:rsidRPr="00DC2F2C">
        <w:rPr>
          <w:szCs w:val="22"/>
          <w:lang w:val="fr-FR"/>
        </w:rPr>
        <w:t xml:space="preserve"> </w:t>
      </w:r>
      <w:r w:rsidR="00CD3BC3" w:rsidRPr="00DC2F2C">
        <w:rPr>
          <w:szCs w:val="22"/>
          <w:lang w:val="fr-FR"/>
        </w:rPr>
        <w:t>sur l’intervalle de</w:t>
      </w:r>
      <w:r w:rsidR="00A70EFA" w:rsidRPr="00DC2F2C">
        <w:rPr>
          <w:szCs w:val="22"/>
          <w:lang w:val="fr-FR"/>
        </w:rPr>
        <w:t xml:space="preserve"> </w:t>
      </w:r>
      <w:r w:rsidR="00CD3BC3" w:rsidRPr="00DC2F2C">
        <w:rPr>
          <w:szCs w:val="22"/>
          <w:lang w:val="fr-FR"/>
        </w:rPr>
        <w:t>0,</w:t>
      </w:r>
      <w:r w:rsidR="00A70EFA" w:rsidRPr="00DC2F2C">
        <w:rPr>
          <w:szCs w:val="22"/>
          <w:lang w:val="fr-FR"/>
        </w:rPr>
        <w:t xml:space="preserve">1 </w:t>
      </w:r>
      <w:r w:rsidR="00CD3BC3" w:rsidRPr="00DC2F2C">
        <w:rPr>
          <w:szCs w:val="22"/>
          <w:lang w:val="fr-FR"/>
        </w:rPr>
        <w:t>à</w:t>
      </w:r>
      <w:r w:rsidR="00A70EFA" w:rsidRPr="00DC2F2C">
        <w:rPr>
          <w:szCs w:val="22"/>
          <w:lang w:val="fr-FR"/>
        </w:rPr>
        <w:t xml:space="preserve"> 5 µ</w:t>
      </w:r>
      <w:r w:rsidR="00FA08DD" w:rsidRPr="00DC2F2C">
        <w:rPr>
          <w:szCs w:val="22"/>
          <w:lang w:val="fr-FR"/>
        </w:rPr>
        <w:t>mol/L</w:t>
      </w:r>
      <w:r w:rsidR="00093128" w:rsidRPr="00DC2F2C">
        <w:rPr>
          <w:szCs w:val="22"/>
          <w:lang w:val="fr-FR"/>
        </w:rPr>
        <w:t xml:space="preserve"> </w:t>
      </w:r>
      <w:r w:rsidR="00CD3BC3" w:rsidRPr="00DC2F2C">
        <w:rPr>
          <w:szCs w:val="22"/>
          <w:lang w:val="fr-FR"/>
        </w:rPr>
        <w:t xml:space="preserve">de </w:t>
      </w:r>
      <w:proofErr w:type="spellStart"/>
      <w:r w:rsidR="00A70EFA" w:rsidRPr="00DC2F2C">
        <w:rPr>
          <w:szCs w:val="22"/>
          <w:lang w:val="fr-FR"/>
        </w:rPr>
        <w:t>tivozanib</w:t>
      </w:r>
      <w:proofErr w:type="spellEnd"/>
      <w:r w:rsidR="00A70EFA" w:rsidRPr="00DC2F2C">
        <w:rPr>
          <w:szCs w:val="22"/>
          <w:lang w:val="fr-FR"/>
        </w:rPr>
        <w:t xml:space="preserve">. </w:t>
      </w:r>
      <w:r w:rsidR="000B2C13" w:rsidRPr="00DC2F2C">
        <w:rPr>
          <w:szCs w:val="22"/>
          <w:lang w:val="fr-FR"/>
        </w:rPr>
        <w:t>L’a</w:t>
      </w:r>
      <w:r w:rsidR="00A70EFA" w:rsidRPr="00DC2F2C">
        <w:rPr>
          <w:szCs w:val="22"/>
          <w:lang w:val="fr-FR"/>
        </w:rPr>
        <w:t>lbumin</w:t>
      </w:r>
      <w:r w:rsidR="000B2C13" w:rsidRPr="00DC2F2C">
        <w:rPr>
          <w:szCs w:val="22"/>
          <w:lang w:val="fr-FR"/>
        </w:rPr>
        <w:t>e</w:t>
      </w:r>
      <w:r w:rsidR="00A70EFA" w:rsidRPr="00DC2F2C">
        <w:rPr>
          <w:szCs w:val="22"/>
          <w:lang w:val="fr-FR"/>
        </w:rPr>
        <w:t xml:space="preserve"> </w:t>
      </w:r>
      <w:r w:rsidR="000B2C13" w:rsidRPr="00DC2F2C">
        <w:rPr>
          <w:szCs w:val="22"/>
          <w:lang w:val="fr-FR"/>
        </w:rPr>
        <w:t xml:space="preserve">est </w:t>
      </w:r>
      <w:r w:rsidR="005464A6" w:rsidRPr="00DC2F2C">
        <w:rPr>
          <w:szCs w:val="22"/>
          <w:lang w:val="fr-FR"/>
        </w:rPr>
        <w:t>le principal élément de</w:t>
      </w:r>
      <w:r w:rsidR="000B2C13" w:rsidRPr="00DC2F2C">
        <w:rPr>
          <w:szCs w:val="22"/>
          <w:lang w:val="fr-FR"/>
        </w:rPr>
        <w:t xml:space="preserve"> liaison du</w:t>
      </w:r>
      <w:r w:rsidR="00A70EFA" w:rsidRPr="00DC2F2C">
        <w:rPr>
          <w:szCs w:val="22"/>
          <w:lang w:val="fr-FR"/>
        </w:rPr>
        <w:t xml:space="preserve"> </w:t>
      </w:r>
      <w:proofErr w:type="spellStart"/>
      <w:r w:rsidR="00A70EFA" w:rsidRPr="00DC2F2C">
        <w:rPr>
          <w:szCs w:val="22"/>
          <w:lang w:val="fr-FR"/>
        </w:rPr>
        <w:t>tivozanib</w:t>
      </w:r>
      <w:proofErr w:type="spellEnd"/>
      <w:r w:rsidR="00A70EFA" w:rsidRPr="00DC2F2C">
        <w:rPr>
          <w:szCs w:val="22"/>
          <w:lang w:val="fr-FR"/>
        </w:rPr>
        <w:t xml:space="preserve"> </w:t>
      </w:r>
      <w:r w:rsidR="000B2C13" w:rsidRPr="00DC2F2C">
        <w:rPr>
          <w:szCs w:val="22"/>
          <w:lang w:val="fr-FR"/>
        </w:rPr>
        <w:t>dans le plasma humain</w:t>
      </w:r>
      <w:r w:rsidR="00A70EFA" w:rsidRPr="00DC2F2C">
        <w:rPr>
          <w:szCs w:val="22"/>
          <w:lang w:val="fr-FR"/>
        </w:rPr>
        <w:t>.</w:t>
      </w:r>
      <w:r w:rsidR="000B2C13" w:rsidRPr="00DC2F2C">
        <w:rPr>
          <w:szCs w:val="22"/>
          <w:lang w:val="fr-FR"/>
        </w:rPr>
        <w:t xml:space="preserve"> </w:t>
      </w:r>
      <w:r w:rsidR="00B80AF3" w:rsidRPr="00DC2F2C">
        <w:rPr>
          <w:szCs w:val="22"/>
          <w:lang w:val="fr-FR"/>
        </w:rPr>
        <w:t>Des</w:t>
      </w:r>
      <w:r w:rsidR="000B2C13" w:rsidRPr="00DC2F2C">
        <w:rPr>
          <w:szCs w:val="22"/>
          <w:lang w:val="fr-FR"/>
        </w:rPr>
        <w:t xml:space="preserve"> études </w:t>
      </w:r>
      <w:r w:rsidR="000B2C13" w:rsidRPr="00DC2F2C">
        <w:rPr>
          <w:i/>
          <w:szCs w:val="22"/>
          <w:lang w:val="fr-FR"/>
        </w:rPr>
        <w:t>i</w:t>
      </w:r>
      <w:r w:rsidR="00A70EFA" w:rsidRPr="00DC2F2C">
        <w:rPr>
          <w:i/>
          <w:szCs w:val="22"/>
          <w:lang w:val="fr-FR"/>
        </w:rPr>
        <w:t xml:space="preserve">n vitro </w:t>
      </w:r>
      <w:r w:rsidR="000B2C13" w:rsidRPr="00DC2F2C">
        <w:rPr>
          <w:szCs w:val="22"/>
          <w:lang w:val="fr-FR"/>
        </w:rPr>
        <w:t>ont montré que le</w:t>
      </w:r>
      <w:r w:rsidR="00A70EFA" w:rsidRPr="00DC2F2C">
        <w:rPr>
          <w:szCs w:val="22"/>
          <w:lang w:val="fr-FR"/>
        </w:rPr>
        <w:t xml:space="preserve"> </w:t>
      </w:r>
      <w:proofErr w:type="spellStart"/>
      <w:r w:rsidR="00A70EFA" w:rsidRPr="00DC2F2C">
        <w:rPr>
          <w:szCs w:val="22"/>
          <w:lang w:val="fr-FR"/>
        </w:rPr>
        <w:t>tivozanib</w:t>
      </w:r>
      <w:proofErr w:type="spellEnd"/>
      <w:r w:rsidR="00A70EFA" w:rsidRPr="00DC2F2C">
        <w:rPr>
          <w:szCs w:val="22"/>
          <w:lang w:val="fr-FR"/>
        </w:rPr>
        <w:t xml:space="preserve"> </w:t>
      </w:r>
      <w:r w:rsidR="000B2C13" w:rsidRPr="00DC2F2C">
        <w:rPr>
          <w:szCs w:val="22"/>
          <w:lang w:val="fr-FR"/>
        </w:rPr>
        <w:t>n’est ni un substrat ni un inhibiteur de la</w:t>
      </w:r>
      <w:r w:rsidR="00FF111E" w:rsidRPr="00DC2F2C">
        <w:rPr>
          <w:szCs w:val="22"/>
          <w:lang w:val="fr-FR"/>
        </w:rPr>
        <w:t xml:space="preserve"> </w:t>
      </w:r>
      <w:r w:rsidR="004E25DA" w:rsidRPr="00DC2F2C">
        <w:rPr>
          <w:szCs w:val="22"/>
          <w:lang w:val="fr-FR"/>
        </w:rPr>
        <w:t>pompe à efflux associée à une multirésistance, la</w:t>
      </w:r>
      <w:r w:rsidR="00A70EFA" w:rsidRPr="00DC2F2C">
        <w:rPr>
          <w:szCs w:val="22"/>
          <w:lang w:val="fr-FR"/>
        </w:rPr>
        <w:t xml:space="preserve"> P</w:t>
      </w:r>
      <w:r w:rsidR="004E25DA" w:rsidRPr="00DC2F2C">
        <w:rPr>
          <w:szCs w:val="22"/>
          <w:lang w:val="fr-FR"/>
        </w:rPr>
        <w:t>-</w:t>
      </w:r>
      <w:r w:rsidR="00A70EFA" w:rsidRPr="00DC2F2C">
        <w:rPr>
          <w:szCs w:val="22"/>
          <w:lang w:val="fr-FR"/>
        </w:rPr>
        <w:t>glycoprot</w:t>
      </w:r>
      <w:r w:rsidR="004E25DA" w:rsidRPr="00DC2F2C">
        <w:rPr>
          <w:szCs w:val="22"/>
          <w:lang w:val="fr-FR"/>
        </w:rPr>
        <w:t>é</w:t>
      </w:r>
      <w:r w:rsidR="00A70EFA" w:rsidRPr="00DC2F2C">
        <w:rPr>
          <w:szCs w:val="22"/>
          <w:lang w:val="fr-FR"/>
        </w:rPr>
        <w:t>in</w:t>
      </w:r>
      <w:r w:rsidR="004E25DA" w:rsidRPr="00DC2F2C">
        <w:rPr>
          <w:szCs w:val="22"/>
          <w:lang w:val="fr-FR"/>
        </w:rPr>
        <w:t>e</w:t>
      </w:r>
      <w:r w:rsidR="00A70EFA" w:rsidRPr="00DC2F2C">
        <w:rPr>
          <w:szCs w:val="22"/>
          <w:lang w:val="fr-FR"/>
        </w:rPr>
        <w:t xml:space="preserve">. </w:t>
      </w:r>
      <w:r w:rsidR="00C920AD" w:rsidRPr="00DC2F2C">
        <w:rPr>
          <w:szCs w:val="22"/>
          <w:lang w:val="fr-FR"/>
        </w:rPr>
        <w:t xml:space="preserve">Les études </w:t>
      </w:r>
      <w:r w:rsidR="00C920AD" w:rsidRPr="00DC2F2C">
        <w:rPr>
          <w:i/>
          <w:szCs w:val="22"/>
          <w:lang w:val="fr-FR"/>
        </w:rPr>
        <w:t xml:space="preserve">in vitro </w:t>
      </w:r>
      <w:r w:rsidR="00C920AD" w:rsidRPr="00DC2F2C">
        <w:rPr>
          <w:szCs w:val="22"/>
          <w:lang w:val="fr-FR"/>
        </w:rPr>
        <w:t>semblent indiquer que le</w:t>
      </w:r>
      <w:r w:rsidR="00D5057C" w:rsidRPr="00DC2F2C">
        <w:rPr>
          <w:szCs w:val="22"/>
          <w:lang w:val="fr-FR"/>
        </w:rPr>
        <w:t xml:space="preserve"> </w:t>
      </w:r>
      <w:proofErr w:type="spellStart"/>
      <w:r w:rsidR="00D5057C" w:rsidRPr="00DC2F2C">
        <w:rPr>
          <w:szCs w:val="22"/>
          <w:lang w:val="fr-FR"/>
        </w:rPr>
        <w:t>tivozanib</w:t>
      </w:r>
      <w:proofErr w:type="spellEnd"/>
      <w:r w:rsidR="00D5057C" w:rsidRPr="00DC2F2C">
        <w:rPr>
          <w:szCs w:val="22"/>
          <w:lang w:val="fr-FR"/>
        </w:rPr>
        <w:t xml:space="preserve"> </w:t>
      </w:r>
      <w:r w:rsidR="00C920AD" w:rsidRPr="00DC2F2C">
        <w:rPr>
          <w:szCs w:val="22"/>
          <w:lang w:val="fr-FR"/>
        </w:rPr>
        <w:t>est un inhibiteur de la</w:t>
      </w:r>
      <w:r w:rsidR="00D5057C" w:rsidRPr="00DC2F2C">
        <w:rPr>
          <w:szCs w:val="22"/>
          <w:lang w:val="fr-FR"/>
        </w:rPr>
        <w:t xml:space="preserve"> BCRP</w:t>
      </w:r>
      <w:r w:rsidR="00C920AD" w:rsidRPr="00DC2F2C">
        <w:rPr>
          <w:szCs w:val="22"/>
          <w:lang w:val="fr-FR"/>
        </w:rPr>
        <w:t xml:space="preserve"> intestinale</w:t>
      </w:r>
      <w:r w:rsidR="00D5057C" w:rsidRPr="00DC2F2C">
        <w:rPr>
          <w:szCs w:val="22"/>
          <w:lang w:val="fr-FR"/>
        </w:rPr>
        <w:t>.</w:t>
      </w:r>
    </w:p>
    <w:p w14:paraId="205A3B56" w14:textId="77777777" w:rsidR="006F0458" w:rsidRPr="00DC2F2C" w:rsidRDefault="006F0458" w:rsidP="009D43DC">
      <w:pPr>
        <w:ind w:right="549"/>
        <w:rPr>
          <w:szCs w:val="22"/>
          <w:lang w:val="fr-FR"/>
        </w:rPr>
      </w:pPr>
    </w:p>
    <w:p w14:paraId="40A3269D" w14:textId="77777777" w:rsidR="00536C88" w:rsidRPr="00DC2F2C" w:rsidRDefault="00B141CC" w:rsidP="009D43DC">
      <w:pPr>
        <w:keepNext/>
        <w:keepLines/>
        <w:tabs>
          <w:tab w:val="clear" w:pos="567"/>
        </w:tabs>
        <w:ind w:right="550"/>
        <w:rPr>
          <w:szCs w:val="22"/>
          <w:lang w:val="fr-FR"/>
        </w:rPr>
      </w:pPr>
      <w:r w:rsidRPr="00DC2F2C">
        <w:rPr>
          <w:szCs w:val="22"/>
          <w:u w:val="single"/>
          <w:lang w:val="fr-FR"/>
        </w:rPr>
        <w:t>Biotransformation</w:t>
      </w:r>
    </w:p>
    <w:p w14:paraId="4E0D1CBE" w14:textId="77777777" w:rsidR="00A70EFA" w:rsidRPr="00DC2F2C" w:rsidRDefault="00C920AD" w:rsidP="000D6CFA">
      <w:pPr>
        <w:rPr>
          <w:szCs w:val="22"/>
          <w:lang w:val="fr-FR"/>
        </w:rPr>
      </w:pPr>
      <w:r w:rsidRPr="00DC2F2C">
        <w:rPr>
          <w:szCs w:val="22"/>
          <w:lang w:val="fr-FR"/>
        </w:rPr>
        <w:t xml:space="preserve">Des études de métabolisme </w:t>
      </w:r>
      <w:r w:rsidRPr="00DC2F2C">
        <w:rPr>
          <w:i/>
          <w:szCs w:val="22"/>
          <w:lang w:val="fr-FR"/>
        </w:rPr>
        <w:t>i</w:t>
      </w:r>
      <w:r w:rsidR="00A70EFA" w:rsidRPr="00DC2F2C">
        <w:rPr>
          <w:i/>
          <w:szCs w:val="22"/>
          <w:lang w:val="fr-FR"/>
        </w:rPr>
        <w:t>n vitro</w:t>
      </w:r>
      <w:r w:rsidR="00A70EFA" w:rsidRPr="00DC2F2C">
        <w:rPr>
          <w:szCs w:val="22"/>
          <w:lang w:val="fr-FR"/>
        </w:rPr>
        <w:t xml:space="preserve"> </w:t>
      </w:r>
      <w:r w:rsidRPr="00DC2F2C">
        <w:rPr>
          <w:szCs w:val="22"/>
          <w:lang w:val="fr-FR"/>
        </w:rPr>
        <w:t>ont montré que le</w:t>
      </w:r>
      <w:r w:rsidR="00A70EFA" w:rsidRPr="00DC2F2C">
        <w:rPr>
          <w:szCs w:val="22"/>
          <w:lang w:val="fr-FR"/>
        </w:rPr>
        <w:t xml:space="preserve"> CYP3A4 </w:t>
      </w:r>
      <w:r w:rsidRPr="00DC2F2C">
        <w:rPr>
          <w:szCs w:val="22"/>
          <w:lang w:val="fr-FR"/>
        </w:rPr>
        <w:t>et le</w:t>
      </w:r>
      <w:r w:rsidR="00A70EFA" w:rsidRPr="00DC2F2C">
        <w:rPr>
          <w:szCs w:val="22"/>
          <w:lang w:val="fr-FR"/>
        </w:rPr>
        <w:t xml:space="preserve"> CYP1A1 </w:t>
      </w:r>
      <w:r w:rsidRPr="00DC2F2C">
        <w:rPr>
          <w:szCs w:val="22"/>
          <w:lang w:val="fr-FR"/>
        </w:rPr>
        <w:t>sont</w:t>
      </w:r>
      <w:r w:rsidR="00A70EFA" w:rsidRPr="00DC2F2C">
        <w:rPr>
          <w:szCs w:val="22"/>
          <w:lang w:val="fr-FR"/>
        </w:rPr>
        <w:t xml:space="preserve"> capable</w:t>
      </w:r>
      <w:r w:rsidRPr="00DC2F2C">
        <w:rPr>
          <w:szCs w:val="22"/>
          <w:lang w:val="fr-FR"/>
        </w:rPr>
        <w:t>s</w:t>
      </w:r>
      <w:r w:rsidR="00A70EFA" w:rsidRPr="00DC2F2C">
        <w:rPr>
          <w:szCs w:val="22"/>
          <w:lang w:val="fr-FR"/>
        </w:rPr>
        <w:t xml:space="preserve"> </w:t>
      </w:r>
      <w:r w:rsidRPr="00DC2F2C">
        <w:rPr>
          <w:szCs w:val="22"/>
          <w:lang w:val="fr-FR"/>
        </w:rPr>
        <w:t>de</w:t>
      </w:r>
      <w:r w:rsidR="00A70EFA" w:rsidRPr="00DC2F2C">
        <w:rPr>
          <w:szCs w:val="22"/>
          <w:lang w:val="fr-FR"/>
        </w:rPr>
        <w:t xml:space="preserve"> </w:t>
      </w:r>
      <w:r w:rsidRPr="00DC2F2C">
        <w:rPr>
          <w:szCs w:val="22"/>
          <w:lang w:val="fr-FR"/>
        </w:rPr>
        <w:t>métaboliser le</w:t>
      </w:r>
      <w:r w:rsidR="00A70EFA" w:rsidRPr="00DC2F2C">
        <w:rPr>
          <w:szCs w:val="22"/>
          <w:lang w:val="fr-FR"/>
        </w:rPr>
        <w:t xml:space="preserve"> </w:t>
      </w:r>
      <w:proofErr w:type="spellStart"/>
      <w:r w:rsidR="00A70EFA" w:rsidRPr="00DC2F2C">
        <w:rPr>
          <w:szCs w:val="22"/>
          <w:lang w:val="fr-FR"/>
        </w:rPr>
        <w:t>tivozanib</w:t>
      </w:r>
      <w:proofErr w:type="spellEnd"/>
      <w:r w:rsidR="00A70EFA" w:rsidRPr="00DC2F2C">
        <w:rPr>
          <w:szCs w:val="22"/>
          <w:lang w:val="fr-FR"/>
        </w:rPr>
        <w:t xml:space="preserve">. </w:t>
      </w:r>
      <w:r w:rsidRPr="00DC2F2C">
        <w:rPr>
          <w:szCs w:val="22"/>
          <w:lang w:val="fr-FR"/>
        </w:rPr>
        <w:t>Le</w:t>
      </w:r>
      <w:r w:rsidR="00A70EFA" w:rsidRPr="00DC2F2C">
        <w:rPr>
          <w:szCs w:val="22"/>
          <w:lang w:val="fr-FR"/>
        </w:rPr>
        <w:t xml:space="preserve"> </w:t>
      </w:r>
      <w:proofErr w:type="spellStart"/>
      <w:r w:rsidR="00A70EFA" w:rsidRPr="00DC2F2C">
        <w:rPr>
          <w:szCs w:val="22"/>
          <w:lang w:val="fr-FR"/>
        </w:rPr>
        <w:t>tivozanib</w:t>
      </w:r>
      <w:proofErr w:type="spellEnd"/>
      <w:r w:rsidRPr="00DC2F2C">
        <w:rPr>
          <w:szCs w:val="22"/>
          <w:lang w:val="fr-FR"/>
        </w:rPr>
        <w:t xml:space="preserve"> inchangé est la principale forme circulante de la molécule</w:t>
      </w:r>
      <w:r w:rsidR="00A70EFA" w:rsidRPr="00DC2F2C">
        <w:rPr>
          <w:szCs w:val="22"/>
          <w:lang w:val="fr-FR"/>
        </w:rPr>
        <w:t xml:space="preserve">, </w:t>
      </w:r>
      <w:r w:rsidRPr="00DC2F2C">
        <w:rPr>
          <w:szCs w:val="22"/>
          <w:lang w:val="fr-FR"/>
        </w:rPr>
        <w:t xml:space="preserve">et aucun métabolite majeur n’a été détecté dans le sérum </w:t>
      </w:r>
      <w:r w:rsidR="00BC4837" w:rsidRPr="00DC2F2C">
        <w:rPr>
          <w:szCs w:val="22"/>
          <w:lang w:val="fr-FR"/>
        </w:rPr>
        <w:t xml:space="preserve">à </w:t>
      </w:r>
      <w:r w:rsidR="0094151C" w:rsidRPr="00DC2F2C">
        <w:rPr>
          <w:szCs w:val="22"/>
          <w:lang w:val="fr-FR"/>
        </w:rPr>
        <w:t>une</w:t>
      </w:r>
      <w:r w:rsidRPr="00DC2F2C">
        <w:rPr>
          <w:szCs w:val="22"/>
          <w:lang w:val="fr-FR"/>
        </w:rPr>
        <w:t xml:space="preserve"> exposition égale ou supérieure à</w:t>
      </w:r>
      <w:r w:rsidR="00A70EFA" w:rsidRPr="00DC2F2C">
        <w:rPr>
          <w:szCs w:val="22"/>
          <w:lang w:val="fr-FR"/>
        </w:rPr>
        <w:t xml:space="preserve"> 10</w:t>
      </w:r>
      <w:r w:rsidRPr="00DC2F2C">
        <w:rPr>
          <w:szCs w:val="22"/>
          <w:lang w:val="fr-FR"/>
        </w:rPr>
        <w:t> </w:t>
      </w:r>
      <w:r w:rsidR="00A70EFA" w:rsidRPr="00DC2F2C">
        <w:rPr>
          <w:szCs w:val="22"/>
          <w:lang w:val="fr-FR"/>
        </w:rPr>
        <w:t xml:space="preserve">% </w:t>
      </w:r>
      <w:r w:rsidRPr="00DC2F2C">
        <w:rPr>
          <w:szCs w:val="22"/>
          <w:lang w:val="fr-FR"/>
        </w:rPr>
        <w:t>de l’exposition à la radioactivité totale</w:t>
      </w:r>
      <w:r w:rsidR="00A70EFA" w:rsidRPr="00DC2F2C">
        <w:rPr>
          <w:szCs w:val="22"/>
          <w:lang w:val="fr-FR"/>
        </w:rPr>
        <w:t>.</w:t>
      </w:r>
      <w:r w:rsidR="005A66AE" w:rsidRPr="00DC2F2C">
        <w:rPr>
          <w:szCs w:val="22"/>
          <w:lang w:val="fr-FR"/>
        </w:rPr>
        <w:t xml:space="preserve"> </w:t>
      </w:r>
      <w:r w:rsidRPr="00DC2F2C">
        <w:rPr>
          <w:lang w:val="fr-FR"/>
        </w:rPr>
        <w:t>Comme le</w:t>
      </w:r>
      <w:r w:rsidR="005A66AE" w:rsidRPr="00DC2F2C">
        <w:rPr>
          <w:lang w:val="fr-FR"/>
        </w:rPr>
        <w:t xml:space="preserve"> CYP1A1 </w:t>
      </w:r>
      <w:r w:rsidRPr="00DC2F2C">
        <w:rPr>
          <w:lang w:val="fr-FR"/>
        </w:rPr>
        <w:t>est principalement exprimé dans les tissus</w:t>
      </w:r>
      <w:r w:rsidR="005A66AE" w:rsidRPr="00DC2F2C">
        <w:rPr>
          <w:lang w:val="fr-FR"/>
        </w:rPr>
        <w:t xml:space="preserve"> </w:t>
      </w:r>
      <w:proofErr w:type="spellStart"/>
      <w:r w:rsidR="005A66AE" w:rsidRPr="00DC2F2C">
        <w:rPr>
          <w:lang w:val="fr-FR"/>
        </w:rPr>
        <w:t>extrah</w:t>
      </w:r>
      <w:r w:rsidRPr="00DC2F2C">
        <w:rPr>
          <w:lang w:val="fr-FR"/>
        </w:rPr>
        <w:t>é</w:t>
      </w:r>
      <w:r w:rsidR="005A66AE" w:rsidRPr="00DC2F2C">
        <w:rPr>
          <w:lang w:val="fr-FR"/>
        </w:rPr>
        <w:t>pati</w:t>
      </w:r>
      <w:r w:rsidRPr="00DC2F2C">
        <w:rPr>
          <w:lang w:val="fr-FR"/>
        </w:rPr>
        <w:t>ques</w:t>
      </w:r>
      <w:proofErr w:type="spellEnd"/>
      <w:r w:rsidR="005A66AE" w:rsidRPr="00DC2F2C">
        <w:rPr>
          <w:lang w:val="fr-FR"/>
        </w:rPr>
        <w:t xml:space="preserve"> </w:t>
      </w:r>
      <w:r w:rsidRPr="00DC2F2C">
        <w:rPr>
          <w:lang w:val="fr-FR"/>
        </w:rPr>
        <w:t>tels que les poumons et les intestins</w:t>
      </w:r>
      <w:r w:rsidR="005A66AE" w:rsidRPr="00DC2F2C">
        <w:rPr>
          <w:lang w:val="fr-FR"/>
        </w:rPr>
        <w:t xml:space="preserve">, </w:t>
      </w:r>
      <w:r w:rsidRPr="00DC2F2C">
        <w:rPr>
          <w:lang w:val="fr-FR"/>
        </w:rPr>
        <w:t xml:space="preserve">il a été considéré qu’il était peu probable que cette isoforme soit </w:t>
      </w:r>
      <w:r w:rsidR="001C200B" w:rsidRPr="00DC2F2C">
        <w:rPr>
          <w:lang w:val="fr-FR"/>
        </w:rPr>
        <w:t>largement</w:t>
      </w:r>
      <w:r w:rsidRPr="00DC2F2C">
        <w:rPr>
          <w:lang w:val="fr-FR"/>
        </w:rPr>
        <w:t xml:space="preserve"> impliquée</w:t>
      </w:r>
      <w:r w:rsidR="005A66AE" w:rsidRPr="00DC2F2C">
        <w:rPr>
          <w:lang w:val="fr-FR"/>
        </w:rPr>
        <w:t xml:space="preserve"> </w:t>
      </w:r>
      <w:r w:rsidRPr="00DC2F2C">
        <w:rPr>
          <w:lang w:val="fr-FR"/>
        </w:rPr>
        <w:t>dans le métabolisme hépatique</w:t>
      </w:r>
      <w:r w:rsidR="005A66AE" w:rsidRPr="00DC2F2C">
        <w:rPr>
          <w:lang w:val="fr-FR"/>
        </w:rPr>
        <w:t>.</w:t>
      </w:r>
    </w:p>
    <w:p w14:paraId="68147857" w14:textId="77777777" w:rsidR="00A70EFA" w:rsidRPr="00DC2F2C" w:rsidRDefault="00A70EFA" w:rsidP="009D43DC">
      <w:pPr>
        <w:autoSpaceDE w:val="0"/>
        <w:autoSpaceDN w:val="0"/>
        <w:adjustRightInd w:val="0"/>
        <w:ind w:right="549"/>
        <w:rPr>
          <w:szCs w:val="22"/>
          <w:lang w:val="fr-FR"/>
        </w:rPr>
      </w:pPr>
    </w:p>
    <w:p w14:paraId="7459A135" w14:textId="77777777" w:rsidR="00A70EFA" w:rsidRPr="00DC2F2C" w:rsidRDefault="00BC5A66" w:rsidP="000D6CFA">
      <w:pPr>
        <w:rPr>
          <w:szCs w:val="22"/>
          <w:lang w:val="fr-FR"/>
        </w:rPr>
      </w:pPr>
      <w:r w:rsidRPr="00DC2F2C">
        <w:rPr>
          <w:szCs w:val="22"/>
          <w:lang w:val="fr-FR"/>
        </w:rPr>
        <w:t xml:space="preserve">Les études </w:t>
      </w:r>
      <w:r w:rsidRPr="00DC2F2C">
        <w:rPr>
          <w:i/>
          <w:szCs w:val="22"/>
          <w:lang w:val="fr-FR"/>
        </w:rPr>
        <w:t xml:space="preserve">in vitro </w:t>
      </w:r>
      <w:r w:rsidRPr="00DC2F2C">
        <w:rPr>
          <w:szCs w:val="22"/>
          <w:lang w:val="fr-FR"/>
        </w:rPr>
        <w:t>ont montré que les méta</w:t>
      </w:r>
      <w:r w:rsidR="00A70EFA" w:rsidRPr="00DC2F2C">
        <w:rPr>
          <w:szCs w:val="22"/>
          <w:lang w:val="fr-FR"/>
        </w:rPr>
        <w:t xml:space="preserve">bolites </w:t>
      </w:r>
      <w:r w:rsidRPr="00DC2F2C">
        <w:rPr>
          <w:szCs w:val="22"/>
          <w:lang w:val="fr-FR"/>
        </w:rPr>
        <w:t>du</w:t>
      </w:r>
      <w:r w:rsidR="00A70EFA" w:rsidRPr="00DC2F2C">
        <w:rPr>
          <w:szCs w:val="22"/>
          <w:lang w:val="fr-FR"/>
        </w:rPr>
        <w:t xml:space="preserve"> </w:t>
      </w:r>
      <w:proofErr w:type="spellStart"/>
      <w:r w:rsidR="00395005" w:rsidRPr="00DC2F2C">
        <w:rPr>
          <w:szCs w:val="22"/>
          <w:lang w:val="fr-FR"/>
        </w:rPr>
        <w:t>tivozanib</w:t>
      </w:r>
      <w:proofErr w:type="spellEnd"/>
      <w:r w:rsidR="00A70EFA" w:rsidRPr="00DC2F2C">
        <w:rPr>
          <w:szCs w:val="22"/>
          <w:lang w:val="fr-FR"/>
        </w:rPr>
        <w:t xml:space="preserve"> </w:t>
      </w:r>
      <w:r w:rsidR="00991B04" w:rsidRPr="00DC2F2C">
        <w:rPr>
          <w:szCs w:val="22"/>
          <w:lang w:val="fr-FR"/>
        </w:rPr>
        <w:t>peuvent subir une biotransformation médiée par</w:t>
      </w:r>
      <w:r w:rsidR="00A70EFA" w:rsidRPr="00DC2F2C">
        <w:rPr>
          <w:szCs w:val="22"/>
          <w:lang w:val="fr-FR"/>
        </w:rPr>
        <w:t xml:space="preserve"> </w:t>
      </w:r>
      <w:r w:rsidR="009C6B39" w:rsidRPr="00DC2F2C">
        <w:rPr>
          <w:szCs w:val="22"/>
          <w:lang w:val="fr-FR"/>
        </w:rPr>
        <w:t xml:space="preserve">les </w:t>
      </w:r>
      <w:r w:rsidR="00A70EFA" w:rsidRPr="00DC2F2C">
        <w:rPr>
          <w:szCs w:val="22"/>
          <w:lang w:val="fr-FR"/>
        </w:rPr>
        <w:t xml:space="preserve">UGT via </w:t>
      </w:r>
      <w:r w:rsidR="003D2E7B" w:rsidRPr="00DC2F2C">
        <w:rPr>
          <w:szCs w:val="22"/>
          <w:lang w:val="fr-FR"/>
        </w:rPr>
        <w:t>les voies</w:t>
      </w:r>
      <w:r w:rsidR="00A70EFA" w:rsidRPr="00DC2F2C">
        <w:rPr>
          <w:szCs w:val="22"/>
          <w:lang w:val="fr-FR"/>
        </w:rPr>
        <w:t xml:space="preserve"> UGT1A1, UGT1A3, UGT1A7, UGT1A8, UGT1A9</w:t>
      </w:r>
      <w:r w:rsidR="003D2E7B" w:rsidRPr="00DC2F2C">
        <w:rPr>
          <w:szCs w:val="22"/>
          <w:lang w:val="fr-FR"/>
        </w:rPr>
        <w:t xml:space="preserve"> et</w:t>
      </w:r>
      <w:r w:rsidR="00A70EFA" w:rsidRPr="00DC2F2C">
        <w:rPr>
          <w:szCs w:val="22"/>
          <w:lang w:val="fr-FR"/>
        </w:rPr>
        <w:t xml:space="preserve"> UGT1A10.</w:t>
      </w:r>
      <w:r w:rsidR="002170F5" w:rsidRPr="00DC2F2C">
        <w:rPr>
          <w:szCs w:val="22"/>
          <w:lang w:val="fr-FR"/>
        </w:rPr>
        <w:t xml:space="preserve"> </w:t>
      </w:r>
      <w:r w:rsidR="003D2E7B" w:rsidRPr="00DC2F2C">
        <w:rPr>
          <w:szCs w:val="22"/>
          <w:lang w:val="fr-FR"/>
        </w:rPr>
        <w:t>La N-glucu</w:t>
      </w:r>
      <w:r w:rsidR="002170F5" w:rsidRPr="00DC2F2C">
        <w:rPr>
          <w:szCs w:val="22"/>
          <w:lang w:val="fr-FR"/>
        </w:rPr>
        <w:t>ron</w:t>
      </w:r>
      <w:r w:rsidR="003D2E7B" w:rsidRPr="00DC2F2C">
        <w:rPr>
          <w:szCs w:val="22"/>
          <w:lang w:val="fr-FR"/>
        </w:rPr>
        <w:t>oconjugaison</w:t>
      </w:r>
      <w:r w:rsidR="002170F5" w:rsidRPr="00DC2F2C">
        <w:rPr>
          <w:szCs w:val="22"/>
          <w:lang w:val="fr-FR"/>
        </w:rPr>
        <w:t xml:space="preserve"> </w:t>
      </w:r>
      <w:r w:rsidR="003D2E7B" w:rsidRPr="00DC2F2C">
        <w:rPr>
          <w:szCs w:val="22"/>
          <w:lang w:val="fr-FR"/>
        </w:rPr>
        <w:t xml:space="preserve">directe du </w:t>
      </w:r>
      <w:proofErr w:type="spellStart"/>
      <w:r w:rsidR="002170F5" w:rsidRPr="00DC2F2C">
        <w:rPr>
          <w:szCs w:val="22"/>
          <w:lang w:val="fr-FR"/>
        </w:rPr>
        <w:t>tivozanib</w:t>
      </w:r>
      <w:proofErr w:type="spellEnd"/>
      <w:r w:rsidR="002170F5" w:rsidRPr="00DC2F2C">
        <w:rPr>
          <w:szCs w:val="22"/>
          <w:lang w:val="fr-FR"/>
        </w:rPr>
        <w:t xml:space="preserve"> </w:t>
      </w:r>
      <w:r w:rsidR="003D2E7B" w:rsidRPr="00DC2F2C">
        <w:rPr>
          <w:szCs w:val="22"/>
          <w:lang w:val="fr-FR"/>
        </w:rPr>
        <w:t xml:space="preserve">était une voie mineure de métabolisme </w:t>
      </w:r>
      <w:r w:rsidR="002170F5" w:rsidRPr="00DC2F2C">
        <w:rPr>
          <w:i/>
          <w:szCs w:val="22"/>
          <w:lang w:val="fr-FR"/>
        </w:rPr>
        <w:t>in</w:t>
      </w:r>
      <w:r w:rsidR="000D0DA6" w:rsidRPr="00DC2F2C">
        <w:rPr>
          <w:i/>
          <w:szCs w:val="22"/>
          <w:lang w:val="fr-FR"/>
        </w:rPr>
        <w:t> </w:t>
      </w:r>
      <w:r w:rsidR="002170F5" w:rsidRPr="00DC2F2C">
        <w:rPr>
          <w:i/>
          <w:szCs w:val="22"/>
          <w:lang w:val="fr-FR"/>
        </w:rPr>
        <w:t>vitro</w:t>
      </w:r>
      <w:r w:rsidR="002170F5" w:rsidRPr="00DC2F2C">
        <w:rPr>
          <w:szCs w:val="22"/>
          <w:lang w:val="fr-FR"/>
        </w:rPr>
        <w:t>.</w:t>
      </w:r>
    </w:p>
    <w:p w14:paraId="2D8A54E8" w14:textId="77777777" w:rsidR="00A70EFA" w:rsidRPr="00DC2F2C" w:rsidRDefault="00A70EFA" w:rsidP="009D43DC">
      <w:pPr>
        <w:autoSpaceDE w:val="0"/>
        <w:autoSpaceDN w:val="0"/>
        <w:adjustRightInd w:val="0"/>
        <w:ind w:right="549"/>
        <w:rPr>
          <w:szCs w:val="22"/>
          <w:lang w:val="fr-FR"/>
        </w:rPr>
      </w:pPr>
    </w:p>
    <w:p w14:paraId="2EE81C6D" w14:textId="77777777" w:rsidR="00536C88" w:rsidRPr="00DC2F2C" w:rsidRDefault="00664298" w:rsidP="009D43DC">
      <w:pPr>
        <w:keepNext/>
        <w:keepLines/>
        <w:numPr>
          <w:ilvl w:val="12"/>
          <w:numId w:val="0"/>
        </w:numPr>
        <w:tabs>
          <w:tab w:val="clear" w:pos="567"/>
        </w:tabs>
        <w:ind w:right="550"/>
        <w:rPr>
          <w:szCs w:val="22"/>
          <w:lang w:val="fr-FR"/>
        </w:rPr>
      </w:pPr>
      <w:r w:rsidRPr="00DC2F2C">
        <w:rPr>
          <w:szCs w:val="22"/>
          <w:u w:val="single"/>
          <w:lang w:val="fr-FR"/>
        </w:rPr>
        <w:t>É</w:t>
      </w:r>
      <w:r w:rsidR="00A70EFA" w:rsidRPr="00DC2F2C">
        <w:rPr>
          <w:szCs w:val="22"/>
          <w:u w:val="single"/>
          <w:lang w:val="fr-FR"/>
        </w:rPr>
        <w:t>limination</w:t>
      </w:r>
    </w:p>
    <w:p w14:paraId="19975AC4" w14:textId="77777777" w:rsidR="00F44249" w:rsidRPr="00DC2F2C" w:rsidRDefault="003D2E7B" w:rsidP="009D43DC">
      <w:pPr>
        <w:pStyle w:val="CommentText"/>
        <w:rPr>
          <w:sz w:val="22"/>
          <w:szCs w:val="22"/>
          <w:lang w:val="fr-FR"/>
        </w:rPr>
      </w:pPr>
      <w:r w:rsidRPr="00DC2F2C">
        <w:rPr>
          <w:sz w:val="22"/>
          <w:szCs w:val="22"/>
          <w:lang w:val="fr-FR"/>
        </w:rPr>
        <w:t>Après une administration chronique de</w:t>
      </w:r>
      <w:r w:rsidR="00AF4571" w:rsidRPr="00DC2F2C">
        <w:rPr>
          <w:sz w:val="22"/>
          <w:szCs w:val="22"/>
          <w:lang w:val="fr-FR"/>
        </w:rPr>
        <w:t xml:space="preserve"> </w:t>
      </w:r>
      <w:proofErr w:type="spellStart"/>
      <w:r w:rsidR="00E555A7" w:rsidRPr="00DC2F2C">
        <w:rPr>
          <w:sz w:val="22"/>
          <w:szCs w:val="22"/>
          <w:lang w:val="fr-FR"/>
        </w:rPr>
        <w:t>tivozanib</w:t>
      </w:r>
      <w:proofErr w:type="spellEnd"/>
      <w:r w:rsidR="00987B5A" w:rsidRPr="00DC2F2C">
        <w:rPr>
          <w:sz w:val="22"/>
          <w:szCs w:val="22"/>
          <w:lang w:val="fr-FR"/>
        </w:rPr>
        <w:t xml:space="preserve"> </w:t>
      </w:r>
      <w:r w:rsidRPr="00DC2F2C">
        <w:rPr>
          <w:sz w:val="22"/>
          <w:szCs w:val="22"/>
          <w:lang w:val="fr-FR"/>
        </w:rPr>
        <w:t>chez des patients atteints d’un CCR pendant</w:t>
      </w:r>
      <w:r w:rsidR="00F44249" w:rsidRPr="00DC2F2C">
        <w:rPr>
          <w:sz w:val="22"/>
          <w:szCs w:val="22"/>
          <w:lang w:val="fr-FR"/>
        </w:rPr>
        <w:t xml:space="preserve"> </w:t>
      </w:r>
      <w:r w:rsidR="00153AFD" w:rsidRPr="00DC2F2C">
        <w:rPr>
          <w:sz w:val="22"/>
          <w:szCs w:val="22"/>
          <w:lang w:val="fr-FR"/>
        </w:rPr>
        <w:t>21</w:t>
      </w:r>
      <w:r w:rsidR="00DF6F93" w:rsidRPr="00DC2F2C">
        <w:rPr>
          <w:sz w:val="22"/>
          <w:szCs w:val="22"/>
          <w:lang w:val="fr-FR"/>
        </w:rPr>
        <w:t> </w:t>
      </w:r>
      <w:r w:rsidRPr="00DC2F2C">
        <w:rPr>
          <w:sz w:val="22"/>
          <w:szCs w:val="22"/>
          <w:lang w:val="fr-FR"/>
        </w:rPr>
        <w:t xml:space="preserve">jours suivis de </w:t>
      </w:r>
      <w:r w:rsidR="00153AFD" w:rsidRPr="00DC2F2C">
        <w:rPr>
          <w:sz w:val="22"/>
          <w:szCs w:val="22"/>
          <w:lang w:val="fr-FR"/>
        </w:rPr>
        <w:t>7</w:t>
      </w:r>
      <w:r w:rsidR="00DF6F93" w:rsidRPr="00DC2F2C">
        <w:rPr>
          <w:sz w:val="22"/>
          <w:szCs w:val="22"/>
          <w:lang w:val="fr-FR"/>
        </w:rPr>
        <w:t> </w:t>
      </w:r>
      <w:r w:rsidRPr="00DC2F2C">
        <w:rPr>
          <w:sz w:val="22"/>
          <w:szCs w:val="22"/>
          <w:lang w:val="fr-FR"/>
        </w:rPr>
        <w:t xml:space="preserve">jours sans </w:t>
      </w:r>
      <w:r w:rsidR="00EC443A" w:rsidRPr="00DC2F2C">
        <w:rPr>
          <w:sz w:val="22"/>
          <w:szCs w:val="22"/>
          <w:lang w:val="fr-FR"/>
        </w:rPr>
        <w:t xml:space="preserve">administration </w:t>
      </w:r>
      <w:r w:rsidRPr="00DC2F2C">
        <w:rPr>
          <w:sz w:val="22"/>
          <w:szCs w:val="22"/>
          <w:lang w:val="fr-FR"/>
        </w:rPr>
        <w:t>de</w:t>
      </w:r>
      <w:r w:rsidR="00F44249" w:rsidRPr="00DC2F2C">
        <w:rPr>
          <w:sz w:val="22"/>
          <w:szCs w:val="22"/>
          <w:lang w:val="fr-FR"/>
        </w:rPr>
        <w:t xml:space="preserve"> </w:t>
      </w:r>
      <w:proofErr w:type="spellStart"/>
      <w:r w:rsidR="00E555A7" w:rsidRPr="00DC2F2C">
        <w:rPr>
          <w:sz w:val="22"/>
          <w:szCs w:val="22"/>
          <w:lang w:val="fr-FR"/>
        </w:rPr>
        <w:t>tivozanib</w:t>
      </w:r>
      <w:proofErr w:type="spellEnd"/>
      <w:r w:rsidR="00F44249" w:rsidRPr="00DC2F2C">
        <w:rPr>
          <w:sz w:val="22"/>
          <w:szCs w:val="22"/>
          <w:lang w:val="fr-FR"/>
        </w:rPr>
        <w:t xml:space="preserve">, </w:t>
      </w:r>
      <w:r w:rsidRPr="00DC2F2C">
        <w:rPr>
          <w:sz w:val="22"/>
          <w:szCs w:val="22"/>
          <w:lang w:val="fr-FR"/>
        </w:rPr>
        <w:t>la</w:t>
      </w:r>
      <w:r w:rsidR="00AF4571" w:rsidRPr="00DC2F2C">
        <w:rPr>
          <w:sz w:val="22"/>
          <w:szCs w:val="22"/>
          <w:lang w:val="fr-FR"/>
        </w:rPr>
        <w:t xml:space="preserve"> </w:t>
      </w:r>
      <w:proofErr w:type="spellStart"/>
      <w:r w:rsidR="00F44249" w:rsidRPr="00DC2F2C">
        <w:rPr>
          <w:sz w:val="22"/>
          <w:szCs w:val="22"/>
          <w:lang w:val="fr-FR"/>
        </w:rPr>
        <w:t>C</w:t>
      </w:r>
      <w:r w:rsidR="00F44249" w:rsidRPr="00DC2F2C">
        <w:rPr>
          <w:sz w:val="22"/>
          <w:szCs w:val="22"/>
          <w:vertAlign w:val="subscript"/>
          <w:lang w:val="fr-FR"/>
        </w:rPr>
        <w:t>min</w:t>
      </w:r>
      <w:proofErr w:type="spellEnd"/>
      <w:r w:rsidR="00F44249" w:rsidRPr="00DC2F2C">
        <w:rPr>
          <w:sz w:val="22"/>
          <w:szCs w:val="22"/>
          <w:lang w:val="fr-FR"/>
        </w:rPr>
        <w:t xml:space="preserve"> </w:t>
      </w:r>
      <w:r w:rsidRPr="00DC2F2C">
        <w:rPr>
          <w:sz w:val="22"/>
          <w:szCs w:val="22"/>
          <w:lang w:val="fr-FR"/>
        </w:rPr>
        <w:t xml:space="preserve">du </w:t>
      </w:r>
      <w:proofErr w:type="spellStart"/>
      <w:r w:rsidRPr="00DC2F2C">
        <w:rPr>
          <w:sz w:val="22"/>
          <w:szCs w:val="22"/>
          <w:lang w:val="fr-FR"/>
        </w:rPr>
        <w:t>tivozanib</w:t>
      </w:r>
      <w:proofErr w:type="spellEnd"/>
      <w:r w:rsidRPr="00DC2F2C">
        <w:rPr>
          <w:sz w:val="22"/>
          <w:szCs w:val="22"/>
          <w:lang w:val="fr-FR"/>
        </w:rPr>
        <w:t xml:space="preserve"> est d’environ 16,</w:t>
      </w:r>
      <w:r w:rsidR="00F44249" w:rsidRPr="00DC2F2C">
        <w:rPr>
          <w:sz w:val="22"/>
          <w:szCs w:val="22"/>
          <w:lang w:val="fr-FR"/>
        </w:rPr>
        <w:t xml:space="preserve">0 </w:t>
      </w:r>
      <w:r w:rsidRPr="00DC2F2C">
        <w:rPr>
          <w:sz w:val="22"/>
          <w:szCs w:val="22"/>
          <w:lang w:val="fr-FR"/>
        </w:rPr>
        <w:t>à 30,</w:t>
      </w:r>
      <w:r w:rsidR="00F44249" w:rsidRPr="00DC2F2C">
        <w:rPr>
          <w:sz w:val="22"/>
          <w:szCs w:val="22"/>
          <w:lang w:val="fr-FR"/>
        </w:rPr>
        <w:t>9</w:t>
      </w:r>
      <w:r w:rsidR="00147B89" w:rsidRPr="00DC2F2C">
        <w:rPr>
          <w:sz w:val="22"/>
          <w:szCs w:val="22"/>
          <w:lang w:val="fr-FR"/>
        </w:rPr>
        <w:t> </w:t>
      </w:r>
      <w:proofErr w:type="spellStart"/>
      <w:r w:rsidR="00F44249" w:rsidRPr="00DC2F2C">
        <w:rPr>
          <w:sz w:val="22"/>
          <w:szCs w:val="22"/>
          <w:lang w:val="fr-FR"/>
        </w:rPr>
        <w:t>ng</w:t>
      </w:r>
      <w:proofErr w:type="spellEnd"/>
      <w:r w:rsidR="00F44249" w:rsidRPr="00DC2F2C">
        <w:rPr>
          <w:sz w:val="22"/>
          <w:szCs w:val="22"/>
          <w:lang w:val="fr-FR"/>
        </w:rPr>
        <w:t>/</w:t>
      </w:r>
      <w:proofErr w:type="spellStart"/>
      <w:r w:rsidR="00F44249" w:rsidRPr="00DC2F2C">
        <w:rPr>
          <w:sz w:val="22"/>
          <w:szCs w:val="22"/>
          <w:lang w:val="fr-FR"/>
        </w:rPr>
        <w:t>mL</w:t>
      </w:r>
      <w:proofErr w:type="spellEnd"/>
      <w:r w:rsidR="00F44249" w:rsidRPr="00DC2F2C">
        <w:rPr>
          <w:sz w:val="22"/>
          <w:szCs w:val="22"/>
          <w:lang w:val="fr-FR"/>
        </w:rPr>
        <w:t>.</w:t>
      </w:r>
    </w:p>
    <w:p w14:paraId="5E81CA86" w14:textId="77777777" w:rsidR="00F44249" w:rsidRPr="00DC2F2C" w:rsidRDefault="003D2E7B" w:rsidP="000D6CFA">
      <w:pPr>
        <w:rPr>
          <w:szCs w:val="22"/>
          <w:lang w:val="fr-FR"/>
        </w:rPr>
      </w:pPr>
      <w:r w:rsidRPr="00DC2F2C">
        <w:rPr>
          <w:szCs w:val="22"/>
          <w:lang w:val="fr-FR"/>
        </w:rPr>
        <w:t>Dans les études ayant évalué la phase d’élimination terminale</w:t>
      </w:r>
      <w:r w:rsidR="00FA4CE2" w:rsidRPr="00DC2F2C">
        <w:rPr>
          <w:szCs w:val="22"/>
          <w:lang w:val="fr-FR"/>
        </w:rPr>
        <w:t xml:space="preserve">, </w:t>
      </w:r>
      <w:r w:rsidRPr="00DC2F2C">
        <w:rPr>
          <w:szCs w:val="22"/>
          <w:lang w:val="fr-FR"/>
        </w:rPr>
        <w:t xml:space="preserve">le </w:t>
      </w:r>
      <w:proofErr w:type="spellStart"/>
      <w:r w:rsidR="00FA4CE2" w:rsidRPr="00DC2F2C">
        <w:rPr>
          <w:szCs w:val="22"/>
          <w:lang w:val="fr-FR"/>
        </w:rPr>
        <w:t>tivozanib</w:t>
      </w:r>
      <w:proofErr w:type="spellEnd"/>
      <w:r w:rsidR="00FA4CE2" w:rsidRPr="00DC2F2C">
        <w:rPr>
          <w:szCs w:val="22"/>
          <w:lang w:val="fr-FR"/>
        </w:rPr>
        <w:t xml:space="preserve"> </w:t>
      </w:r>
      <w:r w:rsidRPr="00DC2F2C">
        <w:rPr>
          <w:szCs w:val="22"/>
          <w:lang w:val="fr-FR"/>
        </w:rPr>
        <w:t>avait une</w:t>
      </w:r>
      <w:r w:rsidR="00FA4CE2" w:rsidRPr="00DC2F2C">
        <w:rPr>
          <w:szCs w:val="22"/>
          <w:lang w:val="fr-FR"/>
        </w:rPr>
        <w:t xml:space="preserve"> t</w:t>
      </w:r>
      <w:r w:rsidR="00A25DD4" w:rsidRPr="00DC2F2C">
        <w:rPr>
          <w:szCs w:val="22"/>
          <w:vertAlign w:val="subscript"/>
          <w:lang w:val="fr-FR"/>
        </w:rPr>
        <w:t>½</w:t>
      </w:r>
      <w:r w:rsidR="00987B5A" w:rsidRPr="00DC2F2C">
        <w:rPr>
          <w:szCs w:val="22"/>
          <w:vertAlign w:val="subscript"/>
          <w:lang w:val="fr-FR"/>
        </w:rPr>
        <w:t xml:space="preserve"> </w:t>
      </w:r>
      <w:r w:rsidRPr="00DC2F2C">
        <w:rPr>
          <w:szCs w:val="22"/>
          <w:lang w:val="fr-FR"/>
        </w:rPr>
        <w:t>moyenne de 4,5 à 5,</w:t>
      </w:r>
      <w:r w:rsidR="00FA4CE2" w:rsidRPr="00DC2F2C">
        <w:rPr>
          <w:szCs w:val="22"/>
          <w:lang w:val="fr-FR"/>
        </w:rPr>
        <w:t>1</w:t>
      </w:r>
      <w:r w:rsidR="00DF6F93" w:rsidRPr="00DC2F2C">
        <w:rPr>
          <w:szCs w:val="22"/>
          <w:lang w:val="fr-FR"/>
        </w:rPr>
        <w:t> </w:t>
      </w:r>
      <w:r w:rsidRPr="00DC2F2C">
        <w:rPr>
          <w:szCs w:val="22"/>
          <w:lang w:val="fr-FR"/>
        </w:rPr>
        <w:t>jours</w:t>
      </w:r>
      <w:r w:rsidR="00FA4CE2" w:rsidRPr="00DC2F2C">
        <w:rPr>
          <w:szCs w:val="22"/>
          <w:lang w:val="fr-FR"/>
        </w:rPr>
        <w:t xml:space="preserve">. </w:t>
      </w:r>
      <w:r w:rsidRPr="00DC2F2C">
        <w:rPr>
          <w:szCs w:val="22"/>
          <w:lang w:val="fr-FR"/>
        </w:rPr>
        <w:t>Après l’administration par voie orale d’une dose unique de</w:t>
      </w:r>
      <w:r w:rsidR="00DC73F2" w:rsidRPr="00DC2F2C">
        <w:rPr>
          <w:szCs w:val="22"/>
          <w:lang w:val="fr-FR"/>
        </w:rPr>
        <w:t xml:space="preserve"> [</w:t>
      </w:r>
      <w:r w:rsidR="00DC73F2" w:rsidRPr="00DC2F2C">
        <w:rPr>
          <w:szCs w:val="22"/>
          <w:vertAlign w:val="superscript"/>
          <w:lang w:val="fr-FR"/>
        </w:rPr>
        <w:t>14</w:t>
      </w:r>
      <w:r w:rsidR="00C0381E" w:rsidRPr="00DC2F2C">
        <w:rPr>
          <w:szCs w:val="22"/>
          <w:lang w:val="fr-FR"/>
        </w:rPr>
        <w:t>C]</w:t>
      </w:r>
      <w:r w:rsidR="00DC73F2" w:rsidRPr="00DC2F2C">
        <w:rPr>
          <w:szCs w:val="22"/>
          <w:lang w:val="fr-FR"/>
        </w:rPr>
        <w:t xml:space="preserve"> </w:t>
      </w:r>
      <w:proofErr w:type="spellStart"/>
      <w:r w:rsidR="00C0381E" w:rsidRPr="00DC2F2C">
        <w:rPr>
          <w:szCs w:val="22"/>
          <w:lang w:val="fr-FR"/>
        </w:rPr>
        <w:t>tivozanib</w:t>
      </w:r>
      <w:proofErr w:type="spellEnd"/>
      <w:r w:rsidR="00DC73F2" w:rsidRPr="00DC2F2C">
        <w:rPr>
          <w:szCs w:val="22"/>
          <w:lang w:val="fr-FR"/>
        </w:rPr>
        <w:t xml:space="preserve">, </w:t>
      </w:r>
      <w:r w:rsidRPr="00DC2F2C">
        <w:rPr>
          <w:szCs w:val="22"/>
          <w:lang w:val="fr-FR"/>
        </w:rPr>
        <w:t>environ</w:t>
      </w:r>
      <w:r w:rsidR="00DC73F2" w:rsidRPr="00DC2F2C">
        <w:rPr>
          <w:szCs w:val="22"/>
          <w:lang w:val="fr-FR"/>
        </w:rPr>
        <w:t xml:space="preserve"> 79</w:t>
      </w:r>
      <w:r w:rsidRPr="00DC2F2C">
        <w:rPr>
          <w:szCs w:val="22"/>
          <w:lang w:val="fr-FR"/>
        </w:rPr>
        <w:t> </w:t>
      </w:r>
      <w:r w:rsidR="00DC73F2" w:rsidRPr="00DC2F2C">
        <w:rPr>
          <w:szCs w:val="22"/>
          <w:lang w:val="fr-FR"/>
        </w:rPr>
        <w:t xml:space="preserve">% </w:t>
      </w:r>
      <w:r w:rsidRPr="00DC2F2C">
        <w:rPr>
          <w:szCs w:val="22"/>
          <w:lang w:val="fr-FR"/>
        </w:rPr>
        <w:t>de la radi</w:t>
      </w:r>
      <w:r w:rsidR="004F6C91" w:rsidRPr="00DC2F2C">
        <w:rPr>
          <w:szCs w:val="22"/>
          <w:lang w:val="fr-FR"/>
        </w:rPr>
        <w:t>o</w:t>
      </w:r>
      <w:r w:rsidRPr="00DC2F2C">
        <w:rPr>
          <w:szCs w:val="22"/>
          <w:lang w:val="fr-FR"/>
        </w:rPr>
        <w:t>activité était retrouvée dans les fèces et environ</w:t>
      </w:r>
      <w:r w:rsidR="00DC73F2" w:rsidRPr="00DC2F2C">
        <w:rPr>
          <w:szCs w:val="22"/>
          <w:lang w:val="fr-FR"/>
        </w:rPr>
        <w:t xml:space="preserve"> 12</w:t>
      </w:r>
      <w:r w:rsidRPr="00DC2F2C">
        <w:rPr>
          <w:szCs w:val="22"/>
          <w:lang w:val="fr-FR"/>
        </w:rPr>
        <w:t> </w:t>
      </w:r>
      <w:r w:rsidR="00DC73F2" w:rsidRPr="00DC2F2C">
        <w:rPr>
          <w:szCs w:val="22"/>
          <w:lang w:val="fr-FR"/>
        </w:rPr>
        <w:t xml:space="preserve">% </w:t>
      </w:r>
      <w:r w:rsidRPr="00DC2F2C">
        <w:rPr>
          <w:szCs w:val="22"/>
          <w:lang w:val="fr-FR"/>
        </w:rPr>
        <w:t>dans les urines sous forme de</w:t>
      </w:r>
      <w:r w:rsidR="00DC73F2" w:rsidRPr="00DC2F2C">
        <w:rPr>
          <w:szCs w:val="22"/>
          <w:lang w:val="fr-FR"/>
        </w:rPr>
        <w:t xml:space="preserve"> m</w:t>
      </w:r>
      <w:r w:rsidRPr="00DC2F2C">
        <w:rPr>
          <w:szCs w:val="22"/>
          <w:lang w:val="fr-FR"/>
        </w:rPr>
        <w:t>é</w:t>
      </w:r>
      <w:r w:rsidR="00DC73F2" w:rsidRPr="00DC2F2C">
        <w:rPr>
          <w:szCs w:val="22"/>
          <w:lang w:val="fr-FR"/>
        </w:rPr>
        <w:t xml:space="preserve">tabolites. </w:t>
      </w:r>
      <w:r w:rsidR="00286F4F" w:rsidRPr="00DC2F2C">
        <w:rPr>
          <w:szCs w:val="22"/>
          <w:lang w:val="fr-FR"/>
        </w:rPr>
        <w:t>On n’a pas retrouvé de</w:t>
      </w:r>
      <w:r w:rsidR="00DC73F2" w:rsidRPr="00DC2F2C">
        <w:rPr>
          <w:szCs w:val="22"/>
          <w:lang w:val="fr-FR"/>
        </w:rPr>
        <w:t xml:space="preserve"> </w:t>
      </w:r>
      <w:proofErr w:type="spellStart"/>
      <w:r w:rsidR="00C0381E" w:rsidRPr="00DC2F2C">
        <w:rPr>
          <w:szCs w:val="22"/>
          <w:lang w:val="fr-FR"/>
        </w:rPr>
        <w:t>tivozanib</w:t>
      </w:r>
      <w:proofErr w:type="spellEnd"/>
      <w:r w:rsidR="00286F4F" w:rsidRPr="00DC2F2C">
        <w:rPr>
          <w:szCs w:val="22"/>
          <w:lang w:val="fr-FR"/>
        </w:rPr>
        <w:t xml:space="preserve"> sous forme</w:t>
      </w:r>
      <w:r w:rsidR="00C0381E" w:rsidRPr="00DC2F2C">
        <w:rPr>
          <w:szCs w:val="22"/>
          <w:lang w:val="fr-FR"/>
        </w:rPr>
        <w:t xml:space="preserve"> </w:t>
      </w:r>
      <w:r w:rsidR="00F62C72" w:rsidRPr="00DC2F2C">
        <w:rPr>
          <w:szCs w:val="22"/>
          <w:lang w:val="fr-FR"/>
        </w:rPr>
        <w:t>inchangé</w:t>
      </w:r>
      <w:r w:rsidR="00286F4F" w:rsidRPr="00DC2F2C">
        <w:rPr>
          <w:szCs w:val="22"/>
          <w:lang w:val="fr-FR"/>
        </w:rPr>
        <w:t>e</w:t>
      </w:r>
      <w:r w:rsidR="00F62C72" w:rsidRPr="00DC2F2C">
        <w:rPr>
          <w:szCs w:val="22"/>
          <w:lang w:val="fr-FR"/>
        </w:rPr>
        <w:t xml:space="preserve"> dans les urines, ce qui indique que le</w:t>
      </w:r>
      <w:r w:rsidR="00DC73F2" w:rsidRPr="00DC2F2C">
        <w:rPr>
          <w:szCs w:val="22"/>
          <w:lang w:val="fr-FR"/>
        </w:rPr>
        <w:t xml:space="preserve"> </w:t>
      </w:r>
      <w:proofErr w:type="spellStart"/>
      <w:r w:rsidR="00DC73F2" w:rsidRPr="00DC2F2C">
        <w:rPr>
          <w:szCs w:val="22"/>
          <w:lang w:val="fr-FR"/>
        </w:rPr>
        <w:t>tivozanib</w:t>
      </w:r>
      <w:proofErr w:type="spellEnd"/>
      <w:r w:rsidR="00DC73F2" w:rsidRPr="00DC2F2C">
        <w:rPr>
          <w:szCs w:val="22"/>
          <w:lang w:val="fr-FR"/>
        </w:rPr>
        <w:t xml:space="preserve"> </w:t>
      </w:r>
      <w:r w:rsidR="00F62C72" w:rsidRPr="00DC2F2C">
        <w:rPr>
          <w:szCs w:val="22"/>
          <w:lang w:val="fr-FR"/>
        </w:rPr>
        <w:t>ne subit pas d’excrétion rénale</w:t>
      </w:r>
      <w:r w:rsidR="00DC73F2" w:rsidRPr="00DC2F2C">
        <w:rPr>
          <w:szCs w:val="22"/>
          <w:lang w:val="fr-FR"/>
        </w:rPr>
        <w:t>.</w:t>
      </w:r>
      <w:r w:rsidR="00E555A7" w:rsidRPr="00DC2F2C">
        <w:rPr>
          <w:szCs w:val="22"/>
          <w:lang w:val="fr-FR"/>
        </w:rPr>
        <w:t xml:space="preserve"> </w:t>
      </w:r>
      <w:r w:rsidR="00286F4F" w:rsidRPr="00DC2F2C">
        <w:rPr>
          <w:szCs w:val="22"/>
          <w:lang w:val="fr-FR"/>
        </w:rPr>
        <w:t>Le</w:t>
      </w:r>
      <w:r w:rsidR="00E555A7" w:rsidRPr="00DC2F2C">
        <w:rPr>
          <w:szCs w:val="22"/>
          <w:lang w:val="fr-FR"/>
        </w:rPr>
        <w:t xml:space="preserve"> [</w:t>
      </w:r>
      <w:r w:rsidR="00E555A7" w:rsidRPr="00DC2F2C">
        <w:rPr>
          <w:szCs w:val="22"/>
          <w:vertAlign w:val="superscript"/>
          <w:lang w:val="fr-FR"/>
        </w:rPr>
        <w:t>14</w:t>
      </w:r>
      <w:r w:rsidR="00286F4F" w:rsidRPr="00DC2F2C">
        <w:rPr>
          <w:szCs w:val="22"/>
          <w:lang w:val="fr-FR"/>
        </w:rPr>
        <w:t xml:space="preserve">C] </w:t>
      </w:r>
      <w:proofErr w:type="spellStart"/>
      <w:r w:rsidR="00286F4F" w:rsidRPr="00DC2F2C">
        <w:rPr>
          <w:szCs w:val="22"/>
          <w:lang w:val="fr-FR"/>
        </w:rPr>
        <w:t>t</w:t>
      </w:r>
      <w:r w:rsidR="00E555A7" w:rsidRPr="00DC2F2C">
        <w:rPr>
          <w:szCs w:val="22"/>
          <w:lang w:val="fr-FR"/>
        </w:rPr>
        <w:t>ivozanib</w:t>
      </w:r>
      <w:proofErr w:type="spellEnd"/>
      <w:r w:rsidR="00E555A7" w:rsidRPr="00DC2F2C">
        <w:rPr>
          <w:szCs w:val="22"/>
          <w:lang w:val="fr-FR"/>
        </w:rPr>
        <w:t xml:space="preserve"> </w:t>
      </w:r>
      <w:r w:rsidR="00286F4F" w:rsidRPr="00DC2F2C">
        <w:rPr>
          <w:szCs w:val="22"/>
          <w:lang w:val="fr-FR"/>
        </w:rPr>
        <w:t xml:space="preserve">était </w:t>
      </w:r>
      <w:r w:rsidR="004F6C91" w:rsidRPr="00DC2F2C">
        <w:rPr>
          <w:szCs w:val="22"/>
          <w:lang w:val="fr-FR"/>
        </w:rPr>
        <w:t>le</w:t>
      </w:r>
      <w:r w:rsidR="00286F4F" w:rsidRPr="00DC2F2C">
        <w:rPr>
          <w:szCs w:val="22"/>
          <w:lang w:val="fr-FR"/>
        </w:rPr>
        <w:t xml:space="preserve"> principal </w:t>
      </w:r>
      <w:r w:rsidR="004F6C91" w:rsidRPr="00DC2F2C">
        <w:rPr>
          <w:szCs w:val="22"/>
          <w:lang w:val="fr-FR"/>
        </w:rPr>
        <w:t>élément</w:t>
      </w:r>
      <w:r w:rsidR="00286F4F" w:rsidRPr="00DC2F2C">
        <w:rPr>
          <w:szCs w:val="22"/>
          <w:lang w:val="fr-FR"/>
        </w:rPr>
        <w:t xml:space="preserve"> lié au </w:t>
      </w:r>
      <w:r w:rsidR="00286F4F" w:rsidRPr="00DC2F2C">
        <w:rPr>
          <w:szCs w:val="22"/>
          <w:lang w:val="fr-FR"/>
        </w:rPr>
        <w:lastRenderedPageBreak/>
        <w:t>médicament retrouvé dans les fèces</w:t>
      </w:r>
      <w:r w:rsidR="00E555A7" w:rsidRPr="00DC2F2C">
        <w:rPr>
          <w:szCs w:val="22"/>
          <w:lang w:val="fr-FR"/>
        </w:rPr>
        <w:t xml:space="preserve">. </w:t>
      </w:r>
      <w:r w:rsidR="00286F4F" w:rsidRPr="00DC2F2C">
        <w:rPr>
          <w:szCs w:val="22"/>
          <w:lang w:val="fr-FR"/>
        </w:rPr>
        <w:t>Il n’y avait pas de métabolite contenant du</w:t>
      </w:r>
      <w:r w:rsidR="00E555A7" w:rsidRPr="00DC2F2C">
        <w:rPr>
          <w:szCs w:val="22"/>
          <w:lang w:val="fr-FR"/>
        </w:rPr>
        <w:t xml:space="preserve"> [</w:t>
      </w:r>
      <w:r w:rsidR="00E555A7" w:rsidRPr="00DC2F2C">
        <w:rPr>
          <w:szCs w:val="22"/>
          <w:vertAlign w:val="superscript"/>
          <w:lang w:val="fr-FR"/>
        </w:rPr>
        <w:t>14</w:t>
      </w:r>
      <w:r w:rsidR="00E555A7" w:rsidRPr="00DC2F2C">
        <w:rPr>
          <w:szCs w:val="22"/>
          <w:lang w:val="fr-FR"/>
        </w:rPr>
        <w:t>C]</w:t>
      </w:r>
      <w:r w:rsidR="00286F4F" w:rsidRPr="00DC2F2C">
        <w:rPr>
          <w:szCs w:val="22"/>
          <w:lang w:val="fr-FR"/>
        </w:rPr>
        <w:t xml:space="preserve"> dans les fèces en une quantité correspondant à plus de</w:t>
      </w:r>
      <w:r w:rsidR="00E555A7" w:rsidRPr="00DC2F2C">
        <w:rPr>
          <w:szCs w:val="22"/>
          <w:lang w:val="fr-FR"/>
        </w:rPr>
        <w:t xml:space="preserve"> 10</w:t>
      </w:r>
      <w:r w:rsidR="00286F4F" w:rsidRPr="00DC2F2C">
        <w:rPr>
          <w:szCs w:val="22"/>
          <w:lang w:val="fr-FR"/>
        </w:rPr>
        <w:t> </w:t>
      </w:r>
      <w:r w:rsidR="00E555A7" w:rsidRPr="00DC2F2C">
        <w:rPr>
          <w:szCs w:val="22"/>
          <w:lang w:val="fr-FR"/>
        </w:rPr>
        <w:t xml:space="preserve">% </w:t>
      </w:r>
      <w:r w:rsidR="00286F4F" w:rsidRPr="00DC2F2C">
        <w:rPr>
          <w:szCs w:val="22"/>
          <w:lang w:val="fr-FR"/>
        </w:rPr>
        <w:t>de la</w:t>
      </w:r>
      <w:r w:rsidR="00E555A7" w:rsidRPr="00DC2F2C">
        <w:rPr>
          <w:szCs w:val="22"/>
          <w:lang w:val="fr-FR"/>
        </w:rPr>
        <w:t xml:space="preserve"> dose.</w:t>
      </w:r>
    </w:p>
    <w:p w14:paraId="34434ECC" w14:textId="77777777" w:rsidR="004072F2" w:rsidRPr="00DC2F2C" w:rsidRDefault="004072F2" w:rsidP="009D43DC">
      <w:pPr>
        <w:numPr>
          <w:ilvl w:val="12"/>
          <w:numId w:val="0"/>
        </w:numPr>
        <w:tabs>
          <w:tab w:val="clear" w:pos="567"/>
        </w:tabs>
        <w:ind w:right="549"/>
        <w:rPr>
          <w:szCs w:val="22"/>
          <w:lang w:val="fr-FR"/>
        </w:rPr>
      </w:pPr>
    </w:p>
    <w:p w14:paraId="1532B2F7" w14:textId="77777777" w:rsidR="00EC443A" w:rsidRPr="00DC2F2C" w:rsidRDefault="00E60AA2" w:rsidP="009D43DC">
      <w:pPr>
        <w:keepNext/>
        <w:keepLines/>
        <w:ind w:right="550"/>
        <w:rPr>
          <w:szCs w:val="22"/>
          <w:u w:val="single"/>
          <w:lang w:val="fr-FR"/>
        </w:rPr>
      </w:pPr>
      <w:r w:rsidRPr="00DC2F2C">
        <w:rPr>
          <w:szCs w:val="22"/>
          <w:u w:val="single"/>
          <w:lang w:val="fr-FR"/>
        </w:rPr>
        <w:t>Populations particulières</w:t>
      </w:r>
    </w:p>
    <w:p w14:paraId="550872D0" w14:textId="77777777" w:rsidR="00A25DD4" w:rsidRPr="00DC2F2C" w:rsidRDefault="00A25DD4" w:rsidP="009D43DC">
      <w:pPr>
        <w:keepNext/>
        <w:keepLines/>
        <w:ind w:right="550"/>
        <w:rPr>
          <w:bCs/>
          <w:iCs/>
          <w:szCs w:val="22"/>
          <w:u w:val="single"/>
          <w:lang w:val="fr-FR"/>
        </w:rPr>
      </w:pPr>
    </w:p>
    <w:p w14:paraId="40298189" w14:textId="77777777" w:rsidR="00205DB2" w:rsidRPr="00DC2F2C" w:rsidRDefault="00E60AA2" w:rsidP="00A45F91">
      <w:pPr>
        <w:keepNext/>
        <w:numPr>
          <w:ilvl w:val="12"/>
          <w:numId w:val="0"/>
        </w:numPr>
        <w:rPr>
          <w:i/>
          <w:iCs/>
          <w:u w:val="single"/>
          <w:lang w:val="fr-FR"/>
        </w:rPr>
      </w:pPr>
      <w:r w:rsidRPr="00DC2F2C">
        <w:rPr>
          <w:i/>
          <w:iCs/>
          <w:u w:val="single"/>
          <w:lang w:val="fr-FR"/>
        </w:rPr>
        <w:t>Â</w:t>
      </w:r>
      <w:r w:rsidR="00205DB2" w:rsidRPr="00DC2F2C">
        <w:rPr>
          <w:i/>
          <w:iCs/>
          <w:u w:val="single"/>
          <w:lang w:val="fr-FR"/>
        </w:rPr>
        <w:t xml:space="preserve">ge, </w:t>
      </w:r>
      <w:r w:rsidRPr="00DC2F2C">
        <w:rPr>
          <w:i/>
          <w:iCs/>
          <w:u w:val="single"/>
          <w:lang w:val="fr-FR"/>
        </w:rPr>
        <w:t>sexe et origine ethnique</w:t>
      </w:r>
    </w:p>
    <w:p w14:paraId="135B34CC" w14:textId="77777777" w:rsidR="00205DB2" w:rsidRPr="00DC2F2C" w:rsidRDefault="00C346B5" w:rsidP="000D6CFA">
      <w:pPr>
        <w:rPr>
          <w:lang w:val="fr-FR"/>
        </w:rPr>
      </w:pPr>
      <w:r w:rsidRPr="00DC2F2C">
        <w:rPr>
          <w:lang w:val="fr-FR"/>
        </w:rPr>
        <w:t>D’après l’analyse pharmacocinétique de population</w:t>
      </w:r>
      <w:r w:rsidR="00205DB2" w:rsidRPr="00DC2F2C">
        <w:rPr>
          <w:lang w:val="fr-FR"/>
        </w:rPr>
        <w:t xml:space="preserve">, </w:t>
      </w:r>
      <w:r w:rsidRPr="00DC2F2C">
        <w:rPr>
          <w:lang w:val="fr-FR"/>
        </w:rPr>
        <w:t>il n’y a pas d’effet cliniquement pertinent de l’âge, du sexe ou de l’origine ethnique sur la</w:t>
      </w:r>
      <w:r w:rsidR="00205DB2" w:rsidRPr="00DC2F2C">
        <w:rPr>
          <w:lang w:val="fr-FR"/>
        </w:rPr>
        <w:t xml:space="preserve"> pharmaco</w:t>
      </w:r>
      <w:r w:rsidRPr="00DC2F2C">
        <w:rPr>
          <w:lang w:val="fr-FR"/>
        </w:rPr>
        <w:t>cinétique du</w:t>
      </w:r>
      <w:r w:rsidR="00205DB2" w:rsidRPr="00DC2F2C">
        <w:rPr>
          <w:lang w:val="fr-FR"/>
        </w:rPr>
        <w:t xml:space="preserve"> </w:t>
      </w:r>
      <w:proofErr w:type="spellStart"/>
      <w:r w:rsidR="00205DB2" w:rsidRPr="00DC2F2C">
        <w:rPr>
          <w:lang w:val="fr-FR"/>
        </w:rPr>
        <w:t>tivozanib</w:t>
      </w:r>
      <w:proofErr w:type="spellEnd"/>
      <w:r w:rsidR="00205DB2" w:rsidRPr="00DC2F2C">
        <w:rPr>
          <w:lang w:val="fr-FR"/>
        </w:rPr>
        <w:t>.</w:t>
      </w:r>
    </w:p>
    <w:p w14:paraId="2D052949" w14:textId="77777777" w:rsidR="00205DB2" w:rsidRPr="00DC2F2C" w:rsidRDefault="00205DB2" w:rsidP="00A45F91">
      <w:pPr>
        <w:ind w:right="550"/>
        <w:rPr>
          <w:bCs/>
          <w:iCs/>
          <w:szCs w:val="22"/>
          <w:u w:val="single"/>
          <w:lang w:val="fr-FR"/>
        </w:rPr>
      </w:pPr>
    </w:p>
    <w:p w14:paraId="3A0DB1AF" w14:textId="77777777" w:rsidR="00536C88" w:rsidRPr="00DC2F2C" w:rsidRDefault="00E81A11" w:rsidP="009D43DC">
      <w:pPr>
        <w:keepNext/>
        <w:keepLines/>
        <w:numPr>
          <w:ilvl w:val="12"/>
          <w:numId w:val="0"/>
        </w:numPr>
        <w:tabs>
          <w:tab w:val="clear" w:pos="567"/>
        </w:tabs>
        <w:ind w:right="550"/>
        <w:rPr>
          <w:szCs w:val="22"/>
          <w:lang w:val="fr-FR"/>
        </w:rPr>
      </w:pPr>
      <w:r w:rsidRPr="00DC2F2C">
        <w:rPr>
          <w:i/>
          <w:szCs w:val="22"/>
          <w:u w:val="single"/>
          <w:lang w:val="fr-FR"/>
        </w:rPr>
        <w:t>Insuffisance hépatique</w:t>
      </w:r>
    </w:p>
    <w:p w14:paraId="3A664A16" w14:textId="77777777" w:rsidR="00395005" w:rsidRPr="00DC2F2C" w:rsidRDefault="00E81A11" w:rsidP="000D6CFA">
      <w:pPr>
        <w:rPr>
          <w:szCs w:val="22"/>
          <w:lang w:val="fr-FR"/>
        </w:rPr>
      </w:pPr>
      <w:r w:rsidRPr="00DC2F2C">
        <w:rPr>
          <w:szCs w:val="22"/>
          <w:lang w:val="fr-FR"/>
        </w:rPr>
        <w:t>Les résultats d’une étude en administration unique</w:t>
      </w:r>
      <w:r w:rsidR="005110FA" w:rsidRPr="00DC2F2C">
        <w:rPr>
          <w:szCs w:val="22"/>
          <w:lang w:val="fr-FR"/>
        </w:rPr>
        <w:t xml:space="preserve"> </w:t>
      </w:r>
      <w:r w:rsidRPr="00DC2F2C">
        <w:rPr>
          <w:szCs w:val="22"/>
          <w:lang w:val="fr-FR"/>
        </w:rPr>
        <w:t>visant à évaluer la pharmacocinétique, la sécurité d’emploi et la tolérance du</w:t>
      </w:r>
      <w:r w:rsidR="005110FA" w:rsidRPr="00DC2F2C">
        <w:rPr>
          <w:szCs w:val="22"/>
          <w:lang w:val="fr-FR"/>
        </w:rPr>
        <w:t xml:space="preserve"> </w:t>
      </w:r>
      <w:proofErr w:type="spellStart"/>
      <w:r w:rsidR="005110FA" w:rsidRPr="00DC2F2C">
        <w:rPr>
          <w:lang w:val="fr-FR"/>
        </w:rPr>
        <w:t>tivozanib</w:t>
      </w:r>
      <w:proofErr w:type="spellEnd"/>
      <w:r w:rsidR="005110FA" w:rsidRPr="00DC2F2C">
        <w:rPr>
          <w:lang w:val="fr-FR"/>
        </w:rPr>
        <w:t xml:space="preserve"> </w:t>
      </w:r>
      <w:r w:rsidR="00B50565" w:rsidRPr="00DC2F2C">
        <w:rPr>
          <w:lang w:val="fr-FR"/>
        </w:rPr>
        <w:t>chez des patients atteint</w:t>
      </w:r>
      <w:r w:rsidRPr="00DC2F2C">
        <w:rPr>
          <w:lang w:val="fr-FR"/>
        </w:rPr>
        <w:t>s d’insuffisance hépatique</w:t>
      </w:r>
      <w:r w:rsidR="005110FA" w:rsidRPr="00DC2F2C">
        <w:rPr>
          <w:lang w:val="fr-FR"/>
        </w:rPr>
        <w:t xml:space="preserve"> </w:t>
      </w:r>
      <w:r w:rsidRPr="00DC2F2C">
        <w:rPr>
          <w:lang w:val="fr-FR"/>
        </w:rPr>
        <w:t>montre</w:t>
      </w:r>
      <w:r w:rsidR="00B50565" w:rsidRPr="00DC2F2C">
        <w:rPr>
          <w:lang w:val="fr-FR"/>
        </w:rPr>
        <w:t>nt</w:t>
      </w:r>
      <w:r w:rsidRPr="00DC2F2C">
        <w:rPr>
          <w:lang w:val="fr-FR"/>
        </w:rPr>
        <w:t xml:space="preserve"> que sur l’ensemble de la période de mesure</w:t>
      </w:r>
      <w:r w:rsidR="002A4574" w:rsidRPr="00DC2F2C">
        <w:rPr>
          <w:lang w:val="fr-FR"/>
        </w:rPr>
        <w:t xml:space="preserve">, </w:t>
      </w:r>
      <w:r w:rsidRPr="00DC2F2C">
        <w:rPr>
          <w:lang w:val="fr-FR"/>
        </w:rPr>
        <w:t xml:space="preserve">le </w:t>
      </w:r>
      <w:proofErr w:type="spellStart"/>
      <w:r w:rsidR="002A4574" w:rsidRPr="00DC2F2C">
        <w:rPr>
          <w:lang w:val="fr-FR"/>
        </w:rPr>
        <w:t>tivozanib</w:t>
      </w:r>
      <w:proofErr w:type="spellEnd"/>
      <w:r w:rsidR="002A4574" w:rsidRPr="00DC2F2C">
        <w:rPr>
          <w:lang w:val="fr-FR"/>
        </w:rPr>
        <w:t xml:space="preserve"> </w:t>
      </w:r>
      <w:r w:rsidRPr="00DC2F2C">
        <w:rPr>
          <w:lang w:val="fr-FR"/>
        </w:rPr>
        <w:t xml:space="preserve">a été éliminé plus lentement chez les patients atteints d’insuffisance hépatique modérée </w:t>
      </w:r>
      <w:r w:rsidR="00603E4A" w:rsidRPr="00DC2F2C">
        <w:rPr>
          <w:lang w:val="fr-FR"/>
        </w:rPr>
        <w:t>(classe B de Child-</w:t>
      </w:r>
      <w:proofErr w:type="spellStart"/>
      <w:r w:rsidR="00603E4A" w:rsidRPr="00DC2F2C">
        <w:rPr>
          <w:lang w:val="fr-FR"/>
        </w:rPr>
        <w:t>Pugh</w:t>
      </w:r>
      <w:proofErr w:type="spellEnd"/>
      <w:r w:rsidR="00603E4A" w:rsidRPr="00DC2F2C">
        <w:rPr>
          <w:lang w:val="fr-FR"/>
        </w:rPr>
        <w:t xml:space="preserve">) </w:t>
      </w:r>
      <w:r w:rsidRPr="00DC2F2C">
        <w:rPr>
          <w:lang w:val="fr-FR"/>
        </w:rPr>
        <w:t>ou sévère</w:t>
      </w:r>
      <w:r w:rsidR="000A5BB2">
        <w:rPr>
          <w:lang w:val="fr-FR"/>
        </w:rPr>
        <w:t xml:space="preserve"> (classe C de Child</w:t>
      </w:r>
      <w:r w:rsidR="000A5BB2">
        <w:rPr>
          <w:lang w:val="fr-FR"/>
        </w:rPr>
        <w:noBreakHyphen/>
      </w:r>
      <w:proofErr w:type="spellStart"/>
      <w:r w:rsidR="00603E4A" w:rsidRPr="00DC2F2C">
        <w:rPr>
          <w:lang w:val="fr-FR"/>
        </w:rPr>
        <w:t>Pugh</w:t>
      </w:r>
      <w:proofErr w:type="spellEnd"/>
      <w:r w:rsidR="00603E4A" w:rsidRPr="00DC2F2C">
        <w:rPr>
          <w:lang w:val="fr-FR"/>
        </w:rPr>
        <w:t>)</w:t>
      </w:r>
      <w:r w:rsidR="002170F5" w:rsidRPr="00DC2F2C">
        <w:rPr>
          <w:lang w:val="fr-FR"/>
        </w:rPr>
        <w:t>.</w:t>
      </w:r>
      <w:r w:rsidR="002A4574" w:rsidRPr="00DC2F2C">
        <w:rPr>
          <w:lang w:val="fr-FR"/>
        </w:rPr>
        <w:t xml:space="preserve"> </w:t>
      </w:r>
      <w:r w:rsidR="00131E95" w:rsidRPr="00DC2F2C">
        <w:rPr>
          <w:lang w:val="fr-FR"/>
        </w:rPr>
        <w:t xml:space="preserve">L’exposition au </w:t>
      </w:r>
      <w:proofErr w:type="spellStart"/>
      <w:r w:rsidR="00131E95" w:rsidRPr="00DC2F2C">
        <w:rPr>
          <w:lang w:val="fr-FR"/>
        </w:rPr>
        <w:t>t</w:t>
      </w:r>
      <w:r w:rsidR="002170F5" w:rsidRPr="00DC2F2C">
        <w:rPr>
          <w:lang w:val="fr-FR"/>
        </w:rPr>
        <w:t>ivozanib</w:t>
      </w:r>
      <w:proofErr w:type="spellEnd"/>
      <w:r w:rsidR="002170F5" w:rsidRPr="00DC2F2C">
        <w:rPr>
          <w:lang w:val="fr-FR"/>
        </w:rPr>
        <w:t xml:space="preserve"> </w:t>
      </w:r>
      <w:r w:rsidR="00131E95" w:rsidRPr="00DC2F2C">
        <w:rPr>
          <w:lang w:val="fr-FR"/>
        </w:rPr>
        <w:t>était accrue chez les patients atteints d’insuffisance hépatique sévère</w:t>
      </w:r>
      <w:r w:rsidR="002170F5" w:rsidRPr="00DC2F2C">
        <w:rPr>
          <w:lang w:val="fr-FR"/>
        </w:rPr>
        <w:t xml:space="preserve"> </w:t>
      </w:r>
      <w:r w:rsidR="00131E95" w:rsidRPr="00DC2F2C">
        <w:rPr>
          <w:lang w:val="fr-FR"/>
        </w:rPr>
        <w:t>(AS</w:t>
      </w:r>
      <w:r w:rsidR="002170F5" w:rsidRPr="00DC2F2C">
        <w:rPr>
          <w:lang w:val="fr-FR"/>
        </w:rPr>
        <w:t>C</w:t>
      </w:r>
      <w:r w:rsidR="00131E95" w:rsidRPr="00DC2F2C">
        <w:rPr>
          <w:vertAlign w:val="subscript"/>
          <w:lang w:val="fr-FR"/>
        </w:rPr>
        <w:t>0-</w:t>
      </w:r>
      <w:r w:rsidR="002170F5" w:rsidRPr="00DC2F2C">
        <w:rPr>
          <w:vertAlign w:val="subscript"/>
          <w:lang w:val="fr-FR"/>
        </w:rPr>
        <w:t>∞</w:t>
      </w:r>
      <w:r w:rsidR="000D0DA6" w:rsidRPr="00DC2F2C">
        <w:rPr>
          <w:vertAlign w:val="subscript"/>
          <w:lang w:val="fr-FR"/>
        </w:rPr>
        <w:t> </w:t>
      </w:r>
      <w:r w:rsidR="00131E95" w:rsidRPr="00DC2F2C">
        <w:rPr>
          <w:lang w:val="fr-FR"/>
        </w:rPr>
        <w:t>moyenne multipliée par 4</w:t>
      </w:r>
      <w:r w:rsidR="002170F5" w:rsidRPr="00DC2F2C">
        <w:rPr>
          <w:lang w:val="fr-FR"/>
        </w:rPr>
        <w:t xml:space="preserve">) </w:t>
      </w:r>
      <w:r w:rsidR="00131E95" w:rsidRPr="00DC2F2C">
        <w:rPr>
          <w:lang w:val="fr-FR"/>
        </w:rPr>
        <w:t>et chez les patients atteints d’insuffisance hépatique modérée</w:t>
      </w:r>
      <w:r w:rsidR="002170F5" w:rsidRPr="00DC2F2C">
        <w:rPr>
          <w:lang w:val="fr-FR"/>
        </w:rPr>
        <w:t xml:space="preserve"> (</w:t>
      </w:r>
      <w:r w:rsidR="00131E95" w:rsidRPr="00DC2F2C">
        <w:rPr>
          <w:lang w:val="fr-FR"/>
        </w:rPr>
        <w:t>ASC</w:t>
      </w:r>
      <w:r w:rsidR="00131E95" w:rsidRPr="00DC2F2C">
        <w:rPr>
          <w:vertAlign w:val="subscript"/>
          <w:lang w:val="fr-FR"/>
        </w:rPr>
        <w:t>0-∞ </w:t>
      </w:r>
      <w:r w:rsidR="00131E95" w:rsidRPr="00DC2F2C">
        <w:rPr>
          <w:lang w:val="fr-FR"/>
        </w:rPr>
        <w:t>moyenne multipliée par 2,</w:t>
      </w:r>
      <w:r w:rsidR="002170F5" w:rsidRPr="00DC2F2C">
        <w:rPr>
          <w:lang w:val="fr-FR"/>
        </w:rPr>
        <w:t xml:space="preserve">6). </w:t>
      </w:r>
      <w:r w:rsidR="00D15768" w:rsidRPr="00DC2F2C">
        <w:rPr>
          <w:lang w:val="fr-FR"/>
        </w:rPr>
        <w:t xml:space="preserve">Aucune augmentation significative de l’exposition n’a été </w:t>
      </w:r>
      <w:r w:rsidR="00355A0C" w:rsidRPr="00DC2F2C">
        <w:rPr>
          <w:lang w:val="fr-FR"/>
        </w:rPr>
        <w:t>observée chez les patients atteints d’insuffisance hépatique légère</w:t>
      </w:r>
      <w:r w:rsidR="002170F5" w:rsidRPr="00DC2F2C">
        <w:rPr>
          <w:lang w:val="fr-FR"/>
        </w:rPr>
        <w:t xml:space="preserve"> </w:t>
      </w:r>
      <w:r w:rsidR="00603E4A" w:rsidRPr="00DC2F2C">
        <w:rPr>
          <w:lang w:val="fr-FR"/>
        </w:rPr>
        <w:t>(classe A de Child-</w:t>
      </w:r>
      <w:proofErr w:type="spellStart"/>
      <w:r w:rsidR="00603E4A" w:rsidRPr="00DC2F2C">
        <w:rPr>
          <w:lang w:val="fr-FR"/>
        </w:rPr>
        <w:t>Pugh</w:t>
      </w:r>
      <w:proofErr w:type="spellEnd"/>
      <w:r w:rsidR="00603E4A" w:rsidRPr="00DC2F2C">
        <w:rPr>
          <w:lang w:val="fr-FR"/>
        </w:rPr>
        <w:t xml:space="preserve">) </w:t>
      </w:r>
      <w:r w:rsidR="002170F5" w:rsidRPr="00DC2F2C">
        <w:rPr>
          <w:lang w:val="fr-FR"/>
        </w:rPr>
        <w:t>(</w:t>
      </w:r>
      <w:r w:rsidR="00355A0C" w:rsidRPr="00DC2F2C">
        <w:rPr>
          <w:lang w:val="fr-FR"/>
        </w:rPr>
        <w:t>ASC</w:t>
      </w:r>
      <w:r w:rsidR="000A5BB2">
        <w:rPr>
          <w:vertAlign w:val="subscript"/>
          <w:lang w:val="fr-FR"/>
        </w:rPr>
        <w:t>0</w:t>
      </w:r>
      <w:r w:rsidR="000A5BB2">
        <w:rPr>
          <w:vertAlign w:val="subscript"/>
          <w:lang w:val="fr-FR"/>
        </w:rPr>
        <w:noBreakHyphen/>
      </w:r>
      <w:r w:rsidR="00355A0C" w:rsidRPr="00DC2F2C">
        <w:rPr>
          <w:vertAlign w:val="subscript"/>
          <w:lang w:val="fr-FR"/>
        </w:rPr>
        <w:t>∞ </w:t>
      </w:r>
      <w:r w:rsidR="00355A0C" w:rsidRPr="00DC2F2C">
        <w:rPr>
          <w:lang w:val="fr-FR"/>
        </w:rPr>
        <w:t xml:space="preserve">moyenne multipliée par </w:t>
      </w:r>
      <w:r w:rsidR="002170F5" w:rsidRPr="00DC2F2C">
        <w:rPr>
          <w:lang w:val="fr-FR"/>
        </w:rPr>
        <w:t>1</w:t>
      </w:r>
      <w:r w:rsidR="00355A0C" w:rsidRPr="00DC2F2C">
        <w:rPr>
          <w:lang w:val="fr-FR"/>
        </w:rPr>
        <w:t>,</w:t>
      </w:r>
      <w:r w:rsidR="002170F5" w:rsidRPr="00DC2F2C">
        <w:rPr>
          <w:lang w:val="fr-FR"/>
        </w:rPr>
        <w:t xml:space="preserve">2). </w:t>
      </w:r>
      <w:r w:rsidR="00B62E94" w:rsidRPr="00DC2F2C">
        <w:rPr>
          <w:lang w:val="fr-FR"/>
        </w:rPr>
        <w:t xml:space="preserve">Le </w:t>
      </w:r>
      <w:proofErr w:type="spellStart"/>
      <w:r w:rsidR="00B62E94" w:rsidRPr="00DC2F2C">
        <w:rPr>
          <w:lang w:val="fr-FR"/>
        </w:rPr>
        <w:t>t</w:t>
      </w:r>
      <w:r w:rsidR="002170F5" w:rsidRPr="00DC2F2C">
        <w:rPr>
          <w:lang w:val="fr-FR"/>
        </w:rPr>
        <w:t>ivozanib</w:t>
      </w:r>
      <w:proofErr w:type="spellEnd"/>
      <w:r w:rsidR="002170F5" w:rsidRPr="00DC2F2C">
        <w:rPr>
          <w:lang w:val="fr-FR"/>
        </w:rPr>
        <w:t xml:space="preserve"> </w:t>
      </w:r>
      <w:r w:rsidR="00B62E94" w:rsidRPr="00DC2F2C">
        <w:rPr>
          <w:lang w:val="fr-FR"/>
        </w:rPr>
        <w:t>doit être utilisé avec précaution chez les patien</w:t>
      </w:r>
      <w:r w:rsidR="00711573" w:rsidRPr="00DC2F2C">
        <w:rPr>
          <w:lang w:val="fr-FR"/>
        </w:rPr>
        <w:t>t</w:t>
      </w:r>
      <w:r w:rsidR="00B62E94" w:rsidRPr="00DC2F2C">
        <w:rPr>
          <w:lang w:val="fr-FR"/>
        </w:rPr>
        <w:t>s atteints d’insuffisance hépatique modérée et la dose réduite à</w:t>
      </w:r>
      <w:r w:rsidR="002170F5" w:rsidRPr="00DC2F2C">
        <w:rPr>
          <w:lang w:val="fr-FR"/>
        </w:rPr>
        <w:t xml:space="preserve"> </w:t>
      </w:r>
      <w:r w:rsidR="00B62E94" w:rsidRPr="00DC2F2C">
        <w:rPr>
          <w:lang w:val="fr-FR"/>
        </w:rPr>
        <w:t>une gélule à</w:t>
      </w:r>
      <w:r w:rsidR="002170F5" w:rsidRPr="00DC2F2C">
        <w:rPr>
          <w:lang w:val="fr-FR"/>
        </w:rPr>
        <w:t xml:space="preserve"> 1</w:t>
      </w:r>
      <w:r w:rsidR="00B62E94" w:rsidRPr="00DC2F2C">
        <w:rPr>
          <w:lang w:val="fr-FR"/>
        </w:rPr>
        <w:t> </w:t>
      </w:r>
      <w:r w:rsidR="00E555A7" w:rsidRPr="00DC2F2C">
        <w:rPr>
          <w:lang w:val="fr-FR"/>
        </w:rPr>
        <w:t>340</w:t>
      </w:r>
      <w:r w:rsidR="002170F5" w:rsidRPr="00DC2F2C">
        <w:rPr>
          <w:lang w:val="fr-FR"/>
        </w:rPr>
        <w:t> m</w:t>
      </w:r>
      <w:r w:rsidR="00E555A7" w:rsidRPr="00DC2F2C">
        <w:rPr>
          <w:lang w:val="fr-FR"/>
        </w:rPr>
        <w:t>icro</w:t>
      </w:r>
      <w:r w:rsidR="002170F5" w:rsidRPr="00DC2F2C">
        <w:rPr>
          <w:lang w:val="fr-FR"/>
        </w:rPr>
        <w:t>g</w:t>
      </w:r>
      <w:r w:rsidR="00E555A7" w:rsidRPr="00DC2F2C">
        <w:rPr>
          <w:lang w:val="fr-FR"/>
        </w:rPr>
        <w:t>ram</w:t>
      </w:r>
      <w:r w:rsidR="00B62E94" w:rsidRPr="00DC2F2C">
        <w:rPr>
          <w:lang w:val="fr-FR"/>
        </w:rPr>
        <w:t xml:space="preserve">mes 1 jour sur 2. Le </w:t>
      </w:r>
      <w:proofErr w:type="spellStart"/>
      <w:r w:rsidR="00B62E94" w:rsidRPr="00DC2F2C">
        <w:rPr>
          <w:lang w:val="fr-FR"/>
        </w:rPr>
        <w:t>t</w:t>
      </w:r>
      <w:r w:rsidR="002170F5" w:rsidRPr="00DC2F2C">
        <w:rPr>
          <w:lang w:val="fr-FR"/>
        </w:rPr>
        <w:t>ivozanib</w:t>
      </w:r>
      <w:proofErr w:type="spellEnd"/>
      <w:r w:rsidR="002170F5" w:rsidRPr="00DC2F2C">
        <w:rPr>
          <w:lang w:val="fr-FR"/>
        </w:rPr>
        <w:t xml:space="preserve"> </w:t>
      </w:r>
      <w:r w:rsidR="00B62E94" w:rsidRPr="00DC2F2C">
        <w:rPr>
          <w:lang w:val="fr-FR"/>
        </w:rPr>
        <w:t xml:space="preserve">ne doit pas être utilisé chez les </w:t>
      </w:r>
      <w:r w:rsidR="002170F5" w:rsidRPr="00DC2F2C">
        <w:rPr>
          <w:lang w:val="fr-FR"/>
        </w:rPr>
        <w:t xml:space="preserve">patients </w:t>
      </w:r>
      <w:r w:rsidR="00B50565" w:rsidRPr="00DC2F2C">
        <w:rPr>
          <w:lang w:val="fr-FR"/>
        </w:rPr>
        <w:t>atteint</w:t>
      </w:r>
      <w:r w:rsidR="00B62E94" w:rsidRPr="00DC2F2C">
        <w:rPr>
          <w:lang w:val="fr-FR"/>
        </w:rPr>
        <w:t>s d’insuffisance hépatique sévère</w:t>
      </w:r>
      <w:r w:rsidR="002170F5" w:rsidRPr="00DC2F2C">
        <w:rPr>
          <w:lang w:val="fr-FR"/>
        </w:rPr>
        <w:t xml:space="preserve"> (</w:t>
      </w:r>
      <w:r w:rsidR="002D6EE5" w:rsidRPr="00DC2F2C">
        <w:rPr>
          <w:szCs w:val="22"/>
          <w:lang w:val="fr-FR"/>
        </w:rPr>
        <w:t xml:space="preserve">voir rubrique </w:t>
      </w:r>
      <w:r w:rsidR="002170F5" w:rsidRPr="00DC2F2C">
        <w:rPr>
          <w:lang w:val="fr-FR"/>
        </w:rPr>
        <w:t xml:space="preserve">4.2 </w:t>
      </w:r>
      <w:r w:rsidR="002D6EE5" w:rsidRPr="00DC2F2C">
        <w:rPr>
          <w:lang w:val="fr-FR"/>
        </w:rPr>
        <w:t>et rubrique</w:t>
      </w:r>
      <w:r w:rsidR="002170F5" w:rsidRPr="00DC2F2C">
        <w:rPr>
          <w:lang w:val="fr-FR"/>
        </w:rPr>
        <w:t xml:space="preserve"> 4.4)</w:t>
      </w:r>
      <w:r w:rsidR="002A4574" w:rsidRPr="00DC2F2C">
        <w:rPr>
          <w:lang w:val="fr-FR"/>
        </w:rPr>
        <w:t>.</w:t>
      </w:r>
      <w:r w:rsidR="00880402" w:rsidRPr="00DC2F2C">
        <w:rPr>
          <w:lang w:val="fr-FR"/>
        </w:rPr>
        <w:t xml:space="preserve"> </w:t>
      </w:r>
    </w:p>
    <w:p w14:paraId="0134FAB9" w14:textId="77777777" w:rsidR="00395005" w:rsidRPr="00DC2F2C" w:rsidRDefault="00395005" w:rsidP="009D43DC">
      <w:pPr>
        <w:numPr>
          <w:ilvl w:val="12"/>
          <w:numId w:val="0"/>
        </w:numPr>
        <w:tabs>
          <w:tab w:val="clear" w:pos="567"/>
        </w:tabs>
        <w:ind w:right="549"/>
        <w:rPr>
          <w:szCs w:val="22"/>
          <w:lang w:val="fr-FR"/>
        </w:rPr>
      </w:pPr>
    </w:p>
    <w:p w14:paraId="68833EAE" w14:textId="77777777" w:rsidR="00536C88" w:rsidRPr="00DC2F2C" w:rsidRDefault="002B4E5B" w:rsidP="009D43DC">
      <w:pPr>
        <w:keepNext/>
        <w:keepLines/>
        <w:numPr>
          <w:ilvl w:val="12"/>
          <w:numId w:val="0"/>
        </w:numPr>
        <w:tabs>
          <w:tab w:val="clear" w:pos="567"/>
        </w:tabs>
        <w:ind w:right="550"/>
        <w:rPr>
          <w:szCs w:val="22"/>
          <w:lang w:val="fr-FR"/>
        </w:rPr>
      </w:pPr>
      <w:r w:rsidRPr="00DC2F2C">
        <w:rPr>
          <w:i/>
          <w:szCs w:val="22"/>
          <w:u w:val="single"/>
          <w:lang w:val="fr-FR"/>
        </w:rPr>
        <w:t>Insuffisance rénale</w:t>
      </w:r>
    </w:p>
    <w:p w14:paraId="0E089140" w14:textId="77777777" w:rsidR="00C0381E" w:rsidRPr="00DC2F2C" w:rsidRDefault="002B4E5B" w:rsidP="000D6CFA">
      <w:pPr>
        <w:rPr>
          <w:bCs/>
          <w:szCs w:val="22"/>
          <w:lang w:val="fr-FR"/>
        </w:rPr>
      </w:pPr>
      <w:r w:rsidRPr="00DC2F2C">
        <w:rPr>
          <w:szCs w:val="22"/>
          <w:lang w:val="fr-FR"/>
        </w:rPr>
        <w:t xml:space="preserve">Des études cliniques sur le </w:t>
      </w:r>
      <w:proofErr w:type="spellStart"/>
      <w:r w:rsidR="00E555A7" w:rsidRPr="00DC2F2C">
        <w:rPr>
          <w:szCs w:val="22"/>
          <w:lang w:val="fr-FR"/>
        </w:rPr>
        <w:t>tivozanib</w:t>
      </w:r>
      <w:proofErr w:type="spellEnd"/>
      <w:r w:rsidR="007C32BD" w:rsidRPr="00DC2F2C">
        <w:rPr>
          <w:szCs w:val="22"/>
          <w:lang w:val="fr-FR"/>
        </w:rPr>
        <w:t xml:space="preserve"> </w:t>
      </w:r>
      <w:r w:rsidRPr="00DC2F2C">
        <w:rPr>
          <w:szCs w:val="22"/>
          <w:lang w:val="fr-FR"/>
        </w:rPr>
        <w:t>ont été conduites chez des patients atteints d’un CCR et présentant une concentration de créati</w:t>
      </w:r>
      <w:r w:rsidR="001C7BA2" w:rsidRPr="00DC2F2C">
        <w:rPr>
          <w:szCs w:val="22"/>
          <w:lang w:val="fr-FR"/>
        </w:rPr>
        <w:t>ni</w:t>
      </w:r>
      <w:r w:rsidRPr="00DC2F2C">
        <w:rPr>
          <w:szCs w:val="22"/>
          <w:lang w:val="fr-FR"/>
        </w:rPr>
        <w:t>ne sérique</w:t>
      </w:r>
      <w:r w:rsidR="00C0381E" w:rsidRPr="00DC2F2C">
        <w:rPr>
          <w:szCs w:val="22"/>
          <w:lang w:val="fr-FR"/>
        </w:rPr>
        <w:t xml:space="preserve"> ≤2 </w:t>
      </w:r>
      <w:r w:rsidRPr="00DC2F2C">
        <w:rPr>
          <w:szCs w:val="22"/>
          <w:lang w:val="fr-FR"/>
        </w:rPr>
        <w:t>fois la limite supérieure de la normale</w:t>
      </w:r>
      <w:r w:rsidR="00C0381E" w:rsidRPr="00DC2F2C">
        <w:rPr>
          <w:szCs w:val="22"/>
          <w:lang w:val="fr-FR"/>
        </w:rPr>
        <w:t xml:space="preserve">, </w:t>
      </w:r>
      <w:r w:rsidRPr="00DC2F2C">
        <w:rPr>
          <w:szCs w:val="22"/>
          <w:lang w:val="fr-FR"/>
        </w:rPr>
        <w:t>y compris des patients pouvant avoir subi une</w:t>
      </w:r>
      <w:r w:rsidR="00C0381E" w:rsidRPr="00DC2F2C">
        <w:rPr>
          <w:szCs w:val="22"/>
          <w:lang w:val="fr-FR"/>
        </w:rPr>
        <w:t xml:space="preserve"> n</w:t>
      </w:r>
      <w:r w:rsidRPr="00DC2F2C">
        <w:rPr>
          <w:szCs w:val="22"/>
          <w:lang w:val="fr-FR"/>
        </w:rPr>
        <w:t>é</w:t>
      </w:r>
      <w:r w:rsidR="00C0381E" w:rsidRPr="00DC2F2C">
        <w:rPr>
          <w:szCs w:val="22"/>
          <w:lang w:val="fr-FR"/>
        </w:rPr>
        <w:t>phrectom</w:t>
      </w:r>
      <w:r w:rsidRPr="00DC2F2C">
        <w:rPr>
          <w:szCs w:val="22"/>
          <w:lang w:val="fr-FR"/>
        </w:rPr>
        <w:t>ie</w:t>
      </w:r>
      <w:r w:rsidR="00C0381E" w:rsidRPr="00DC2F2C">
        <w:rPr>
          <w:szCs w:val="22"/>
          <w:lang w:val="fr-FR"/>
        </w:rPr>
        <w:t xml:space="preserve">. </w:t>
      </w:r>
      <w:r w:rsidRPr="00DC2F2C">
        <w:rPr>
          <w:iCs/>
          <w:szCs w:val="22"/>
          <w:lang w:val="fr-FR"/>
        </w:rPr>
        <w:t>Même si l’</w:t>
      </w:r>
      <w:r w:rsidR="00C0381E" w:rsidRPr="00DC2F2C">
        <w:rPr>
          <w:iCs/>
          <w:szCs w:val="22"/>
          <w:lang w:val="fr-FR"/>
        </w:rPr>
        <w:t xml:space="preserve">impact </w:t>
      </w:r>
      <w:r w:rsidRPr="00DC2F2C">
        <w:rPr>
          <w:iCs/>
          <w:szCs w:val="22"/>
          <w:lang w:val="fr-FR"/>
        </w:rPr>
        <w:t xml:space="preserve">d’une altération supplémentaire de la fonction rénale sur l’élimination globale du </w:t>
      </w:r>
      <w:proofErr w:type="spellStart"/>
      <w:r w:rsidR="00C0381E" w:rsidRPr="00DC2F2C">
        <w:rPr>
          <w:iCs/>
          <w:szCs w:val="22"/>
          <w:lang w:val="fr-FR"/>
        </w:rPr>
        <w:t>tivozanib</w:t>
      </w:r>
      <w:proofErr w:type="spellEnd"/>
      <w:r w:rsidR="00C0381E" w:rsidRPr="00DC2F2C">
        <w:rPr>
          <w:iCs/>
          <w:szCs w:val="22"/>
          <w:lang w:val="fr-FR"/>
        </w:rPr>
        <w:t xml:space="preserve"> </w:t>
      </w:r>
      <w:r w:rsidRPr="00DC2F2C">
        <w:rPr>
          <w:iCs/>
          <w:szCs w:val="22"/>
          <w:lang w:val="fr-FR"/>
        </w:rPr>
        <w:t>est inconnu</w:t>
      </w:r>
      <w:r w:rsidR="00181849" w:rsidRPr="00DC2F2C">
        <w:rPr>
          <w:iCs/>
          <w:szCs w:val="22"/>
          <w:lang w:val="fr-FR"/>
        </w:rPr>
        <w:t>,</w:t>
      </w:r>
      <w:r w:rsidR="00C0381E" w:rsidRPr="00DC2F2C">
        <w:rPr>
          <w:iCs/>
          <w:szCs w:val="22"/>
          <w:lang w:val="fr-FR"/>
        </w:rPr>
        <w:t xml:space="preserve"> </w:t>
      </w:r>
      <w:r w:rsidRPr="00DC2F2C">
        <w:rPr>
          <w:iCs/>
          <w:szCs w:val="22"/>
          <w:lang w:val="fr-FR"/>
        </w:rPr>
        <w:t>une étude clinique a montré qu’il n’y avait pas de</w:t>
      </w:r>
      <w:r w:rsidR="00C0381E" w:rsidRPr="00DC2F2C">
        <w:rPr>
          <w:iCs/>
          <w:szCs w:val="22"/>
          <w:lang w:val="fr-FR"/>
        </w:rPr>
        <w:t xml:space="preserve"> </w:t>
      </w:r>
      <w:proofErr w:type="spellStart"/>
      <w:r w:rsidR="00C0381E" w:rsidRPr="00DC2F2C">
        <w:rPr>
          <w:szCs w:val="22"/>
          <w:lang w:val="fr-FR"/>
        </w:rPr>
        <w:t>tivozanib</w:t>
      </w:r>
      <w:proofErr w:type="spellEnd"/>
      <w:r w:rsidR="00C0381E" w:rsidRPr="00DC2F2C">
        <w:rPr>
          <w:szCs w:val="22"/>
          <w:lang w:val="fr-FR"/>
        </w:rPr>
        <w:t xml:space="preserve"> </w:t>
      </w:r>
      <w:r w:rsidRPr="00DC2F2C">
        <w:rPr>
          <w:szCs w:val="22"/>
          <w:lang w:val="fr-FR"/>
        </w:rPr>
        <w:t xml:space="preserve">sous forme inchangée dans les urines, ce qui indique que le </w:t>
      </w:r>
      <w:proofErr w:type="spellStart"/>
      <w:r w:rsidRPr="00DC2F2C">
        <w:rPr>
          <w:szCs w:val="22"/>
          <w:lang w:val="fr-FR"/>
        </w:rPr>
        <w:t>tivozanib</w:t>
      </w:r>
      <w:proofErr w:type="spellEnd"/>
      <w:r w:rsidRPr="00DC2F2C">
        <w:rPr>
          <w:szCs w:val="22"/>
          <w:lang w:val="fr-FR"/>
        </w:rPr>
        <w:t xml:space="preserve"> ne subit pas d’excrétion rénale</w:t>
      </w:r>
      <w:r w:rsidR="00606897" w:rsidRPr="00DC2F2C">
        <w:rPr>
          <w:bCs/>
          <w:szCs w:val="22"/>
          <w:lang w:val="fr-FR"/>
        </w:rPr>
        <w:t>.</w:t>
      </w:r>
      <w:r w:rsidR="00E555A7" w:rsidRPr="00DC2F2C">
        <w:rPr>
          <w:szCs w:val="22"/>
          <w:lang w:val="fr-FR"/>
        </w:rPr>
        <w:t xml:space="preserve"> </w:t>
      </w:r>
      <w:r w:rsidRPr="00DC2F2C">
        <w:rPr>
          <w:lang w:val="fr-FR"/>
        </w:rPr>
        <w:t>D’après l’analyse pharmacocinétique de population</w:t>
      </w:r>
      <w:r w:rsidR="00E555A7" w:rsidRPr="00DC2F2C">
        <w:rPr>
          <w:szCs w:val="22"/>
          <w:lang w:val="fr-FR"/>
        </w:rPr>
        <w:t xml:space="preserve"> </w:t>
      </w:r>
      <w:r w:rsidRPr="00DC2F2C">
        <w:rPr>
          <w:szCs w:val="22"/>
          <w:lang w:val="fr-FR"/>
        </w:rPr>
        <w:t>sur l’exposition au</w:t>
      </w:r>
      <w:r w:rsidR="00E555A7" w:rsidRPr="00DC2F2C">
        <w:rPr>
          <w:szCs w:val="22"/>
          <w:lang w:val="fr-FR"/>
        </w:rPr>
        <w:t xml:space="preserve"> </w:t>
      </w:r>
      <w:proofErr w:type="spellStart"/>
      <w:r w:rsidR="00E555A7" w:rsidRPr="00DC2F2C">
        <w:rPr>
          <w:szCs w:val="22"/>
          <w:lang w:val="fr-FR"/>
        </w:rPr>
        <w:t>tivozanib</w:t>
      </w:r>
      <w:proofErr w:type="spellEnd"/>
      <w:r w:rsidR="00E555A7" w:rsidRPr="00DC2F2C">
        <w:rPr>
          <w:szCs w:val="22"/>
          <w:lang w:val="fr-FR"/>
        </w:rPr>
        <w:t xml:space="preserve">, </w:t>
      </w:r>
      <w:r w:rsidRPr="00DC2F2C">
        <w:rPr>
          <w:szCs w:val="22"/>
          <w:lang w:val="fr-FR"/>
        </w:rPr>
        <w:t>aucun</w:t>
      </w:r>
      <w:r w:rsidR="00E555A7" w:rsidRPr="00DC2F2C">
        <w:rPr>
          <w:szCs w:val="22"/>
          <w:lang w:val="fr-FR"/>
        </w:rPr>
        <w:t xml:space="preserve"> </w:t>
      </w:r>
      <w:r w:rsidRPr="00DC2F2C">
        <w:rPr>
          <w:szCs w:val="22"/>
          <w:lang w:val="fr-FR"/>
        </w:rPr>
        <w:t xml:space="preserve">ajustement posologique n’est requis chez les patients </w:t>
      </w:r>
      <w:r w:rsidRPr="00DC2F2C">
        <w:rPr>
          <w:bCs/>
          <w:iCs/>
          <w:szCs w:val="22"/>
          <w:lang w:val="fr-FR"/>
        </w:rPr>
        <w:t>atteints d’insuffisance rénale légère ou modérée</w:t>
      </w:r>
      <w:r w:rsidR="00E555A7" w:rsidRPr="00DC2F2C">
        <w:rPr>
          <w:szCs w:val="22"/>
          <w:lang w:val="fr-FR"/>
        </w:rPr>
        <w:t xml:space="preserve">. </w:t>
      </w:r>
      <w:r w:rsidRPr="00DC2F2C">
        <w:rPr>
          <w:szCs w:val="22"/>
          <w:lang w:val="fr-FR"/>
        </w:rPr>
        <w:t>L’e</w:t>
      </w:r>
      <w:r w:rsidR="00E555A7" w:rsidRPr="00DC2F2C">
        <w:rPr>
          <w:szCs w:val="22"/>
          <w:lang w:val="fr-FR"/>
        </w:rPr>
        <w:t>xp</w:t>
      </w:r>
      <w:r w:rsidRPr="00DC2F2C">
        <w:rPr>
          <w:szCs w:val="22"/>
          <w:lang w:val="fr-FR"/>
        </w:rPr>
        <w:t>é</w:t>
      </w:r>
      <w:r w:rsidR="00E555A7" w:rsidRPr="00DC2F2C">
        <w:rPr>
          <w:szCs w:val="22"/>
          <w:lang w:val="fr-FR"/>
        </w:rPr>
        <w:t xml:space="preserve">rience </w:t>
      </w:r>
      <w:r w:rsidRPr="00DC2F2C">
        <w:rPr>
          <w:szCs w:val="22"/>
          <w:lang w:val="fr-FR"/>
        </w:rPr>
        <w:t>concernant l’utilisation du</w:t>
      </w:r>
      <w:r w:rsidR="00E555A7" w:rsidRPr="00DC2F2C">
        <w:rPr>
          <w:szCs w:val="22"/>
          <w:lang w:val="fr-FR"/>
        </w:rPr>
        <w:t xml:space="preserve"> </w:t>
      </w:r>
      <w:proofErr w:type="spellStart"/>
      <w:r w:rsidR="00E555A7" w:rsidRPr="00DC2F2C">
        <w:rPr>
          <w:szCs w:val="22"/>
          <w:lang w:val="fr-FR"/>
        </w:rPr>
        <w:t>tivozanib</w:t>
      </w:r>
      <w:proofErr w:type="spellEnd"/>
      <w:r w:rsidR="00E555A7" w:rsidRPr="00DC2F2C">
        <w:rPr>
          <w:szCs w:val="22"/>
          <w:lang w:val="fr-FR"/>
        </w:rPr>
        <w:t xml:space="preserve"> </w:t>
      </w:r>
      <w:r w:rsidRPr="00DC2F2C">
        <w:rPr>
          <w:szCs w:val="22"/>
          <w:lang w:val="fr-FR"/>
        </w:rPr>
        <w:t xml:space="preserve">chez des patients atteints d’insuffisance rénale sévère est limitée et </w:t>
      </w:r>
      <w:r w:rsidR="00E26CB0" w:rsidRPr="00DC2F2C">
        <w:rPr>
          <w:szCs w:val="22"/>
          <w:lang w:val="fr-FR"/>
        </w:rPr>
        <w:t>il est donc conseillé de faire preuve de prudence</w:t>
      </w:r>
      <w:r w:rsidR="00E555A7" w:rsidRPr="00DC2F2C">
        <w:rPr>
          <w:szCs w:val="22"/>
          <w:lang w:val="fr-FR"/>
        </w:rPr>
        <w:t xml:space="preserve">. </w:t>
      </w:r>
    </w:p>
    <w:p w14:paraId="79B902BD" w14:textId="77777777" w:rsidR="00D22FE8" w:rsidRPr="00DC2F2C" w:rsidRDefault="00D22FE8" w:rsidP="009D43DC">
      <w:pPr>
        <w:numPr>
          <w:ilvl w:val="12"/>
          <w:numId w:val="0"/>
        </w:numPr>
        <w:tabs>
          <w:tab w:val="clear" w:pos="567"/>
        </w:tabs>
        <w:ind w:right="549"/>
        <w:rPr>
          <w:bCs/>
          <w:szCs w:val="22"/>
          <w:lang w:val="fr-FR"/>
        </w:rPr>
      </w:pPr>
    </w:p>
    <w:p w14:paraId="49AAF93B" w14:textId="77777777" w:rsidR="00D22FE8" w:rsidRPr="00DC2F2C" w:rsidRDefault="009C6B39" w:rsidP="00D22FE8">
      <w:pPr>
        <w:keepNext/>
        <w:keepLines/>
        <w:suppressLineNumbers/>
        <w:tabs>
          <w:tab w:val="clear" w:pos="567"/>
        </w:tabs>
        <w:ind w:right="550"/>
        <w:rPr>
          <w:bCs/>
          <w:i/>
          <w:iCs/>
          <w:szCs w:val="22"/>
          <w:u w:val="single"/>
          <w:lang w:val="fr-FR"/>
        </w:rPr>
      </w:pPr>
      <w:r w:rsidRPr="00DC2F2C">
        <w:rPr>
          <w:i/>
          <w:szCs w:val="22"/>
          <w:u w:val="single"/>
          <w:lang w:val="fr-FR"/>
        </w:rPr>
        <w:t xml:space="preserve">Études </w:t>
      </w:r>
      <w:r w:rsidRPr="00DC2F2C">
        <w:rPr>
          <w:szCs w:val="22"/>
          <w:u w:val="single"/>
          <w:lang w:val="fr-FR"/>
        </w:rPr>
        <w:t>in vitro</w:t>
      </w:r>
      <w:r w:rsidRPr="00DC2F2C">
        <w:rPr>
          <w:i/>
          <w:szCs w:val="22"/>
          <w:u w:val="single"/>
          <w:lang w:val="fr-FR"/>
        </w:rPr>
        <w:t xml:space="preserve"> sur les </w:t>
      </w:r>
      <w:r w:rsidR="00D22FE8" w:rsidRPr="00DC2F2C">
        <w:rPr>
          <w:i/>
          <w:szCs w:val="22"/>
          <w:u w:val="single"/>
          <w:lang w:val="fr-FR"/>
        </w:rPr>
        <w:t>CYP</w:t>
      </w:r>
      <w:r w:rsidR="00E555A7" w:rsidRPr="00DC2F2C">
        <w:rPr>
          <w:i/>
          <w:szCs w:val="22"/>
          <w:u w:val="single"/>
          <w:lang w:val="fr-FR"/>
        </w:rPr>
        <w:t xml:space="preserve"> </w:t>
      </w:r>
      <w:r w:rsidRPr="00DC2F2C">
        <w:rPr>
          <w:i/>
          <w:szCs w:val="22"/>
          <w:u w:val="single"/>
          <w:lang w:val="fr-FR"/>
        </w:rPr>
        <w:t>et les</w:t>
      </w:r>
      <w:r w:rsidR="00D22FE8" w:rsidRPr="00DC2F2C">
        <w:rPr>
          <w:i/>
          <w:szCs w:val="22"/>
          <w:u w:val="single"/>
          <w:lang w:val="fr-FR"/>
        </w:rPr>
        <w:t xml:space="preserve"> UGT </w:t>
      </w:r>
    </w:p>
    <w:p w14:paraId="3F282DEA" w14:textId="6B50D0A3" w:rsidR="00D22FE8" w:rsidRPr="00DC2F2C" w:rsidRDefault="009C6B39" w:rsidP="000D6CFA">
      <w:pPr>
        <w:rPr>
          <w:bCs/>
          <w:szCs w:val="22"/>
          <w:lang w:val="fr-FR"/>
        </w:rPr>
      </w:pPr>
      <w:r w:rsidRPr="00DC2F2C">
        <w:rPr>
          <w:bCs/>
          <w:szCs w:val="22"/>
          <w:lang w:val="fr-FR"/>
        </w:rPr>
        <w:t>Des études</w:t>
      </w:r>
      <w:r w:rsidRPr="00DC2F2C">
        <w:rPr>
          <w:bCs/>
          <w:i/>
          <w:szCs w:val="22"/>
          <w:lang w:val="fr-FR"/>
        </w:rPr>
        <w:t xml:space="preserve"> i</w:t>
      </w:r>
      <w:r w:rsidR="00D22FE8" w:rsidRPr="00DC2F2C">
        <w:rPr>
          <w:bCs/>
          <w:i/>
          <w:szCs w:val="22"/>
          <w:lang w:val="fr-FR"/>
        </w:rPr>
        <w:t>n vitro</w:t>
      </w:r>
      <w:r w:rsidR="00D22FE8" w:rsidRPr="00DC2F2C">
        <w:rPr>
          <w:bCs/>
          <w:szCs w:val="22"/>
          <w:lang w:val="fr-FR"/>
        </w:rPr>
        <w:t xml:space="preserve"> </w:t>
      </w:r>
      <w:r w:rsidR="00E35A40">
        <w:rPr>
          <w:bCs/>
          <w:szCs w:val="22"/>
          <w:lang w:val="fr-FR"/>
        </w:rPr>
        <w:t>effectuées avec</w:t>
      </w:r>
      <w:r w:rsidR="00E35A40" w:rsidRPr="00DC2F2C">
        <w:rPr>
          <w:bCs/>
          <w:szCs w:val="22"/>
          <w:lang w:val="fr-FR"/>
        </w:rPr>
        <w:t xml:space="preserve"> </w:t>
      </w:r>
      <w:r w:rsidRPr="00DC2F2C">
        <w:rPr>
          <w:bCs/>
          <w:szCs w:val="22"/>
          <w:lang w:val="fr-FR"/>
        </w:rPr>
        <w:t>le</w:t>
      </w:r>
      <w:r w:rsidR="00D22FE8" w:rsidRPr="00DC2F2C">
        <w:rPr>
          <w:bCs/>
          <w:szCs w:val="22"/>
          <w:lang w:val="fr-FR"/>
        </w:rPr>
        <w:t xml:space="preserve"> </w:t>
      </w:r>
      <w:proofErr w:type="spellStart"/>
      <w:r w:rsidR="00D22FE8" w:rsidRPr="00DC2F2C">
        <w:rPr>
          <w:bCs/>
          <w:szCs w:val="22"/>
          <w:lang w:val="fr-FR"/>
        </w:rPr>
        <w:t>tivozanib</w:t>
      </w:r>
      <w:proofErr w:type="spellEnd"/>
      <w:r w:rsidR="00D22FE8" w:rsidRPr="00DC2F2C">
        <w:rPr>
          <w:bCs/>
          <w:szCs w:val="22"/>
          <w:lang w:val="fr-FR"/>
        </w:rPr>
        <w:t xml:space="preserve"> </w:t>
      </w:r>
      <w:r w:rsidRPr="00DC2F2C">
        <w:rPr>
          <w:bCs/>
          <w:szCs w:val="22"/>
          <w:lang w:val="fr-FR"/>
        </w:rPr>
        <w:t xml:space="preserve">indiquent qu’il ne s’agit pas d’un inducteur des enzymes </w:t>
      </w:r>
      <w:r w:rsidR="00D22FE8" w:rsidRPr="00DC2F2C">
        <w:rPr>
          <w:bCs/>
          <w:szCs w:val="22"/>
          <w:lang w:val="fr-FR"/>
        </w:rPr>
        <w:t xml:space="preserve">CYP. </w:t>
      </w:r>
      <w:r w:rsidRPr="00DC2F2C">
        <w:rPr>
          <w:bCs/>
          <w:szCs w:val="22"/>
          <w:lang w:val="fr-FR"/>
        </w:rPr>
        <w:t xml:space="preserve">Des études </w:t>
      </w:r>
      <w:r w:rsidRPr="00DC2F2C">
        <w:rPr>
          <w:bCs/>
          <w:i/>
          <w:szCs w:val="22"/>
          <w:lang w:val="fr-FR"/>
        </w:rPr>
        <w:t>i</w:t>
      </w:r>
      <w:r w:rsidR="00D22FE8" w:rsidRPr="00DC2F2C">
        <w:rPr>
          <w:bCs/>
          <w:i/>
          <w:szCs w:val="22"/>
          <w:lang w:val="fr-FR"/>
        </w:rPr>
        <w:t>n vitro</w:t>
      </w:r>
      <w:r w:rsidR="00D22FE8" w:rsidRPr="00DC2F2C">
        <w:rPr>
          <w:bCs/>
          <w:szCs w:val="22"/>
          <w:lang w:val="fr-FR"/>
        </w:rPr>
        <w:t xml:space="preserve"> </w:t>
      </w:r>
      <w:r w:rsidRPr="00DC2F2C">
        <w:rPr>
          <w:bCs/>
          <w:szCs w:val="22"/>
          <w:lang w:val="fr-FR"/>
        </w:rPr>
        <w:t xml:space="preserve">conduites </w:t>
      </w:r>
      <w:r w:rsidR="00224BC7">
        <w:rPr>
          <w:bCs/>
          <w:szCs w:val="22"/>
          <w:lang w:val="fr-FR"/>
        </w:rPr>
        <w:t>sur</w:t>
      </w:r>
      <w:r w:rsidR="00224BC7" w:rsidRPr="00DC2F2C">
        <w:rPr>
          <w:bCs/>
          <w:szCs w:val="22"/>
          <w:lang w:val="fr-FR"/>
        </w:rPr>
        <w:t xml:space="preserve"> </w:t>
      </w:r>
      <w:r w:rsidRPr="00DC2F2C">
        <w:rPr>
          <w:bCs/>
          <w:szCs w:val="22"/>
          <w:lang w:val="fr-FR"/>
        </w:rPr>
        <w:t>des hépatocytes et des microsomes hépatiques humains</w:t>
      </w:r>
      <w:r w:rsidR="00D22FE8" w:rsidRPr="00DC2F2C">
        <w:rPr>
          <w:bCs/>
          <w:szCs w:val="22"/>
          <w:lang w:val="fr-FR"/>
        </w:rPr>
        <w:t xml:space="preserve"> </w:t>
      </w:r>
      <w:r w:rsidR="004D0C7A" w:rsidRPr="00DC2F2C">
        <w:rPr>
          <w:bCs/>
          <w:szCs w:val="22"/>
          <w:lang w:val="fr-FR"/>
        </w:rPr>
        <w:t>évaluant l’activité des</w:t>
      </w:r>
      <w:r w:rsidR="00D22FE8" w:rsidRPr="00DC2F2C">
        <w:rPr>
          <w:bCs/>
          <w:szCs w:val="22"/>
          <w:lang w:val="fr-FR"/>
        </w:rPr>
        <w:t xml:space="preserve"> CYP1A2, CYP2B6, CYP2A6, </w:t>
      </w:r>
      <w:r w:rsidR="00E555A7" w:rsidRPr="00DC2F2C">
        <w:rPr>
          <w:bCs/>
          <w:szCs w:val="22"/>
          <w:lang w:val="fr-FR"/>
        </w:rPr>
        <w:t xml:space="preserve">CYP2C8, </w:t>
      </w:r>
      <w:r w:rsidR="00D22FE8" w:rsidRPr="00DC2F2C">
        <w:rPr>
          <w:bCs/>
          <w:szCs w:val="22"/>
          <w:lang w:val="fr-FR"/>
        </w:rPr>
        <w:t xml:space="preserve">CYP2C9, CYP2C19, CYP2D6 </w:t>
      </w:r>
      <w:r w:rsidR="004D0C7A" w:rsidRPr="00DC2F2C">
        <w:rPr>
          <w:bCs/>
          <w:szCs w:val="22"/>
          <w:lang w:val="fr-FR"/>
        </w:rPr>
        <w:t>et</w:t>
      </w:r>
      <w:r w:rsidR="00D22FE8" w:rsidRPr="00DC2F2C">
        <w:rPr>
          <w:bCs/>
          <w:szCs w:val="22"/>
          <w:lang w:val="fr-FR"/>
        </w:rPr>
        <w:t xml:space="preserve"> CYP3A4 </w:t>
      </w:r>
      <w:r w:rsidR="00463F7B" w:rsidRPr="00DC2F2C">
        <w:rPr>
          <w:bCs/>
          <w:szCs w:val="22"/>
          <w:lang w:val="fr-FR"/>
        </w:rPr>
        <w:t>semblent indiquer que le</w:t>
      </w:r>
      <w:r w:rsidR="00D22FE8" w:rsidRPr="00DC2F2C">
        <w:rPr>
          <w:bCs/>
          <w:szCs w:val="22"/>
          <w:lang w:val="fr-FR"/>
        </w:rPr>
        <w:t xml:space="preserve"> </w:t>
      </w:r>
      <w:proofErr w:type="spellStart"/>
      <w:r w:rsidR="00D22FE8" w:rsidRPr="00DC2F2C">
        <w:rPr>
          <w:bCs/>
          <w:szCs w:val="22"/>
          <w:lang w:val="fr-FR"/>
        </w:rPr>
        <w:t>tivozanib</w:t>
      </w:r>
      <w:proofErr w:type="spellEnd"/>
      <w:r w:rsidR="00D22FE8" w:rsidRPr="00DC2F2C">
        <w:rPr>
          <w:bCs/>
          <w:szCs w:val="22"/>
          <w:lang w:val="fr-FR"/>
        </w:rPr>
        <w:t xml:space="preserve"> </w:t>
      </w:r>
      <w:r w:rsidR="00463F7B" w:rsidRPr="00DC2F2C">
        <w:rPr>
          <w:bCs/>
          <w:szCs w:val="22"/>
          <w:lang w:val="fr-FR"/>
        </w:rPr>
        <w:t>est un inhib</w:t>
      </w:r>
      <w:r w:rsidR="00711573" w:rsidRPr="00DC2F2C">
        <w:rPr>
          <w:bCs/>
          <w:szCs w:val="22"/>
          <w:lang w:val="fr-FR"/>
        </w:rPr>
        <w:t>i</w:t>
      </w:r>
      <w:r w:rsidR="00463F7B" w:rsidRPr="00DC2F2C">
        <w:rPr>
          <w:bCs/>
          <w:szCs w:val="22"/>
          <w:lang w:val="fr-FR"/>
        </w:rPr>
        <w:t>teur faible du</w:t>
      </w:r>
      <w:r w:rsidR="00E555A7" w:rsidRPr="00DC2F2C">
        <w:rPr>
          <w:rFonts w:eastAsia="Calibri"/>
          <w:bCs/>
          <w:szCs w:val="22"/>
          <w:lang w:val="fr-FR"/>
        </w:rPr>
        <w:t xml:space="preserve"> CYP2B6 </w:t>
      </w:r>
      <w:r w:rsidR="00463F7B" w:rsidRPr="00DC2F2C">
        <w:rPr>
          <w:rFonts w:eastAsia="Calibri"/>
          <w:bCs/>
          <w:szCs w:val="22"/>
          <w:lang w:val="fr-FR"/>
        </w:rPr>
        <w:t>et du</w:t>
      </w:r>
      <w:r w:rsidR="0027406B" w:rsidRPr="00DC2F2C">
        <w:rPr>
          <w:rFonts w:eastAsia="Calibri"/>
          <w:bCs/>
          <w:szCs w:val="22"/>
          <w:lang w:val="fr-FR"/>
        </w:rPr>
        <w:t xml:space="preserve"> CYP2C8. </w:t>
      </w:r>
      <w:r w:rsidR="00463F7B" w:rsidRPr="00DC2F2C">
        <w:rPr>
          <w:rFonts w:eastAsia="Calibri"/>
          <w:bCs/>
          <w:szCs w:val="22"/>
          <w:lang w:val="fr-FR"/>
        </w:rPr>
        <w:t>D’après la</w:t>
      </w:r>
      <w:r w:rsidR="00E555A7" w:rsidRPr="00DC2F2C">
        <w:rPr>
          <w:rFonts w:eastAsia="Calibri"/>
          <w:bCs/>
          <w:szCs w:val="22"/>
          <w:lang w:val="fr-FR"/>
        </w:rPr>
        <w:t xml:space="preserve"> </w:t>
      </w:r>
      <w:r w:rsidR="00463F7B" w:rsidRPr="00DC2F2C">
        <w:rPr>
          <w:rFonts w:eastAsia="Calibri"/>
          <w:bCs/>
          <w:szCs w:val="22"/>
          <w:lang w:val="fr-FR"/>
        </w:rPr>
        <w:t>CI</w:t>
      </w:r>
      <w:r w:rsidR="00463F7B" w:rsidRPr="00DC2F2C">
        <w:rPr>
          <w:rFonts w:eastAsia="Calibri"/>
          <w:bCs/>
          <w:szCs w:val="22"/>
          <w:vertAlign w:val="subscript"/>
          <w:lang w:val="fr-FR"/>
        </w:rPr>
        <w:t xml:space="preserve">50 </w:t>
      </w:r>
      <w:r w:rsidR="00E555A7" w:rsidRPr="00DC2F2C">
        <w:rPr>
          <w:rFonts w:eastAsia="Calibri"/>
          <w:bCs/>
          <w:i/>
          <w:szCs w:val="22"/>
          <w:lang w:val="fr-FR"/>
        </w:rPr>
        <w:t>in vitro</w:t>
      </w:r>
      <w:r w:rsidR="00E555A7" w:rsidRPr="00DC2F2C">
        <w:rPr>
          <w:rFonts w:eastAsia="Calibri"/>
          <w:bCs/>
          <w:szCs w:val="22"/>
          <w:lang w:val="fr-FR"/>
        </w:rPr>
        <w:t xml:space="preserve"> </w:t>
      </w:r>
      <w:r w:rsidR="00463F7B" w:rsidRPr="00DC2F2C">
        <w:rPr>
          <w:rFonts w:eastAsia="Calibri"/>
          <w:bCs/>
          <w:szCs w:val="22"/>
          <w:lang w:val="fr-FR"/>
        </w:rPr>
        <w:t>et</w:t>
      </w:r>
      <w:r w:rsidR="00E555A7" w:rsidRPr="00DC2F2C">
        <w:rPr>
          <w:rFonts w:eastAsia="Calibri"/>
          <w:bCs/>
          <w:szCs w:val="22"/>
          <w:lang w:val="fr-FR"/>
        </w:rPr>
        <w:t xml:space="preserve"> </w:t>
      </w:r>
      <w:r w:rsidR="00463F7B" w:rsidRPr="00DC2F2C">
        <w:rPr>
          <w:rFonts w:eastAsia="Calibri"/>
          <w:bCs/>
          <w:szCs w:val="22"/>
          <w:lang w:val="fr-FR"/>
        </w:rPr>
        <w:t>la C</w:t>
      </w:r>
      <w:r w:rsidR="00463F7B" w:rsidRPr="00DC2F2C">
        <w:rPr>
          <w:rFonts w:eastAsia="Calibri"/>
          <w:bCs/>
          <w:szCs w:val="22"/>
          <w:vertAlign w:val="subscript"/>
          <w:lang w:val="fr-FR"/>
        </w:rPr>
        <w:t>max</w:t>
      </w:r>
      <w:r w:rsidR="00463F7B" w:rsidRPr="00DC2F2C">
        <w:rPr>
          <w:rFonts w:eastAsia="Calibri"/>
          <w:bCs/>
          <w:i/>
          <w:szCs w:val="22"/>
          <w:lang w:val="fr-FR"/>
        </w:rPr>
        <w:t xml:space="preserve"> </w:t>
      </w:r>
      <w:r w:rsidR="00CE6CC2">
        <w:rPr>
          <w:rFonts w:eastAsia="Calibri"/>
          <w:bCs/>
          <w:szCs w:val="22"/>
          <w:lang w:val="fr-FR"/>
        </w:rPr>
        <w:t xml:space="preserve">du médicament </w:t>
      </w:r>
      <w:r w:rsidR="00463F7B" w:rsidRPr="00DC2F2C">
        <w:rPr>
          <w:rFonts w:eastAsia="Calibri"/>
          <w:bCs/>
          <w:szCs w:val="22"/>
          <w:lang w:val="fr-FR"/>
        </w:rPr>
        <w:t>non lié</w:t>
      </w:r>
      <w:r w:rsidR="00463F7B" w:rsidRPr="00DC2F2C">
        <w:rPr>
          <w:rFonts w:eastAsia="Calibri"/>
          <w:bCs/>
          <w:i/>
          <w:szCs w:val="22"/>
          <w:lang w:val="fr-FR"/>
        </w:rPr>
        <w:t xml:space="preserve"> </w:t>
      </w:r>
      <w:r w:rsidR="00E555A7" w:rsidRPr="00DC2F2C">
        <w:rPr>
          <w:rFonts w:eastAsia="Calibri"/>
          <w:bCs/>
          <w:i/>
          <w:szCs w:val="22"/>
          <w:lang w:val="fr-FR"/>
        </w:rPr>
        <w:t>in vivo</w:t>
      </w:r>
      <w:r w:rsidR="00E555A7" w:rsidRPr="00DC2F2C">
        <w:rPr>
          <w:rFonts w:eastAsia="Calibri"/>
          <w:bCs/>
          <w:szCs w:val="22"/>
          <w:lang w:val="fr-FR"/>
        </w:rPr>
        <w:t xml:space="preserve">, </w:t>
      </w:r>
      <w:r w:rsidR="00463F7B" w:rsidRPr="00DC2F2C">
        <w:rPr>
          <w:rFonts w:eastAsia="Calibri"/>
          <w:bCs/>
          <w:szCs w:val="22"/>
          <w:lang w:val="fr-FR"/>
        </w:rPr>
        <w:t xml:space="preserve">le </w:t>
      </w:r>
      <w:proofErr w:type="spellStart"/>
      <w:r w:rsidR="00E555A7" w:rsidRPr="00DC2F2C">
        <w:rPr>
          <w:rFonts w:eastAsia="Calibri"/>
          <w:bCs/>
          <w:szCs w:val="22"/>
          <w:lang w:val="fr-FR"/>
        </w:rPr>
        <w:t>tivozanib</w:t>
      </w:r>
      <w:proofErr w:type="spellEnd"/>
      <w:r w:rsidR="00E555A7" w:rsidRPr="00DC2F2C">
        <w:rPr>
          <w:rFonts w:eastAsia="Calibri"/>
          <w:bCs/>
          <w:szCs w:val="22"/>
          <w:lang w:val="fr-FR"/>
        </w:rPr>
        <w:t xml:space="preserve"> </w:t>
      </w:r>
      <w:r w:rsidR="00463F7B" w:rsidRPr="00DC2F2C">
        <w:rPr>
          <w:rFonts w:eastAsia="Calibri"/>
          <w:bCs/>
          <w:szCs w:val="22"/>
          <w:lang w:val="fr-FR"/>
        </w:rPr>
        <w:t>était peu susceptible d’interagir de manière cliniquement pertinente avec des substances actives métabolis</w:t>
      </w:r>
      <w:r w:rsidR="00790765" w:rsidRPr="00DC2F2C">
        <w:rPr>
          <w:rFonts w:eastAsia="Calibri"/>
          <w:bCs/>
          <w:szCs w:val="22"/>
          <w:lang w:val="fr-FR"/>
        </w:rPr>
        <w:t>é</w:t>
      </w:r>
      <w:r w:rsidR="00463F7B" w:rsidRPr="00DC2F2C">
        <w:rPr>
          <w:rFonts w:eastAsia="Calibri"/>
          <w:bCs/>
          <w:szCs w:val="22"/>
          <w:lang w:val="fr-FR"/>
        </w:rPr>
        <w:t>es par ces voies enzymatiques</w:t>
      </w:r>
      <w:r w:rsidR="00D22FE8" w:rsidRPr="00DC2F2C">
        <w:rPr>
          <w:bCs/>
          <w:szCs w:val="22"/>
          <w:lang w:val="fr-FR"/>
        </w:rPr>
        <w:t xml:space="preserve">. </w:t>
      </w:r>
    </w:p>
    <w:p w14:paraId="03764FEA" w14:textId="77777777" w:rsidR="00D22FE8" w:rsidRPr="00DC2F2C" w:rsidRDefault="00D22FE8" w:rsidP="00D22FE8">
      <w:pPr>
        <w:autoSpaceDE w:val="0"/>
        <w:autoSpaceDN w:val="0"/>
        <w:adjustRightInd w:val="0"/>
        <w:ind w:right="549"/>
        <w:rPr>
          <w:bCs/>
          <w:szCs w:val="22"/>
          <w:lang w:val="fr-FR"/>
        </w:rPr>
      </w:pPr>
    </w:p>
    <w:p w14:paraId="6CE478AE" w14:textId="77777777" w:rsidR="00D22FE8" w:rsidRPr="00DC2F2C" w:rsidRDefault="00B80AF3" w:rsidP="000D6CFA">
      <w:pPr>
        <w:rPr>
          <w:bCs/>
          <w:szCs w:val="22"/>
          <w:lang w:val="fr-FR"/>
        </w:rPr>
      </w:pPr>
      <w:r w:rsidRPr="00DC2F2C">
        <w:rPr>
          <w:bCs/>
          <w:szCs w:val="22"/>
          <w:lang w:val="fr-FR"/>
        </w:rPr>
        <w:t>Les études conduites</w:t>
      </w:r>
      <w:r w:rsidR="00D22FE8" w:rsidRPr="00DC2F2C">
        <w:rPr>
          <w:bCs/>
          <w:szCs w:val="22"/>
          <w:lang w:val="fr-FR"/>
        </w:rPr>
        <w:t xml:space="preserve"> </w:t>
      </w:r>
      <w:r w:rsidR="00D22FE8" w:rsidRPr="00DC2F2C">
        <w:rPr>
          <w:bCs/>
          <w:i/>
          <w:szCs w:val="22"/>
          <w:lang w:val="fr-FR"/>
        </w:rPr>
        <w:t>in vitro</w:t>
      </w:r>
      <w:r w:rsidR="00D22FE8" w:rsidRPr="00DC2F2C">
        <w:rPr>
          <w:bCs/>
          <w:i/>
          <w:szCs w:val="22"/>
          <w:vertAlign w:val="superscript"/>
          <w:lang w:val="fr-FR"/>
        </w:rPr>
        <w:t xml:space="preserve"> </w:t>
      </w:r>
      <w:r w:rsidRPr="00DC2F2C">
        <w:rPr>
          <w:bCs/>
          <w:szCs w:val="22"/>
          <w:lang w:val="fr-FR"/>
        </w:rPr>
        <w:t>ont montré que le</w:t>
      </w:r>
      <w:r w:rsidR="00D22FE8" w:rsidRPr="00DC2F2C">
        <w:rPr>
          <w:bCs/>
          <w:szCs w:val="22"/>
          <w:lang w:val="fr-FR"/>
        </w:rPr>
        <w:t xml:space="preserve"> </w:t>
      </w:r>
      <w:proofErr w:type="spellStart"/>
      <w:r w:rsidR="00D22FE8" w:rsidRPr="00DC2F2C">
        <w:rPr>
          <w:bCs/>
          <w:szCs w:val="22"/>
          <w:lang w:val="fr-FR"/>
        </w:rPr>
        <w:t>tivozanib</w:t>
      </w:r>
      <w:proofErr w:type="spellEnd"/>
      <w:r w:rsidR="00D22FE8" w:rsidRPr="00DC2F2C">
        <w:rPr>
          <w:bCs/>
          <w:szCs w:val="22"/>
          <w:lang w:val="fr-FR"/>
        </w:rPr>
        <w:t xml:space="preserve"> </w:t>
      </w:r>
      <w:r w:rsidRPr="00DC2F2C">
        <w:rPr>
          <w:bCs/>
          <w:szCs w:val="22"/>
          <w:lang w:val="fr-FR"/>
        </w:rPr>
        <w:t>n’est pas un inhibiteur puissant des activités métaboliques des UGT (UDP-</w:t>
      </w:r>
      <w:proofErr w:type="spellStart"/>
      <w:r w:rsidR="00D22FE8" w:rsidRPr="00DC2F2C">
        <w:rPr>
          <w:bCs/>
          <w:szCs w:val="22"/>
          <w:lang w:val="fr-FR"/>
        </w:rPr>
        <w:t>glucuronosyltransf</w:t>
      </w:r>
      <w:r w:rsidRPr="00DC2F2C">
        <w:rPr>
          <w:bCs/>
          <w:szCs w:val="22"/>
          <w:lang w:val="fr-FR"/>
        </w:rPr>
        <w:t>é</w:t>
      </w:r>
      <w:r w:rsidR="00D22FE8" w:rsidRPr="00DC2F2C">
        <w:rPr>
          <w:bCs/>
          <w:szCs w:val="22"/>
          <w:lang w:val="fr-FR"/>
        </w:rPr>
        <w:t>rase</w:t>
      </w:r>
      <w:r w:rsidR="00794FF0" w:rsidRPr="00DC2F2C">
        <w:rPr>
          <w:bCs/>
          <w:szCs w:val="22"/>
          <w:lang w:val="fr-FR"/>
        </w:rPr>
        <w:t>s</w:t>
      </w:r>
      <w:proofErr w:type="spellEnd"/>
      <w:r w:rsidR="00D22FE8" w:rsidRPr="00DC2F2C">
        <w:rPr>
          <w:bCs/>
          <w:szCs w:val="22"/>
          <w:lang w:val="fr-FR"/>
        </w:rPr>
        <w:t xml:space="preserve">) </w:t>
      </w:r>
      <w:r w:rsidRPr="00DC2F2C">
        <w:rPr>
          <w:bCs/>
          <w:szCs w:val="22"/>
          <w:lang w:val="fr-FR"/>
        </w:rPr>
        <w:t>et des interactions cliniquement pertinentes sont peu probables avec des médicaments métabolisés par ces voies</w:t>
      </w:r>
      <w:r w:rsidR="00D22FE8" w:rsidRPr="00DC2F2C">
        <w:rPr>
          <w:bCs/>
          <w:szCs w:val="22"/>
          <w:lang w:val="fr-FR"/>
        </w:rPr>
        <w:t>.</w:t>
      </w:r>
    </w:p>
    <w:p w14:paraId="13F69FA7" w14:textId="77777777" w:rsidR="00D22FE8" w:rsidRPr="00DC2F2C" w:rsidRDefault="00D22FE8" w:rsidP="00D22FE8">
      <w:pPr>
        <w:numPr>
          <w:ilvl w:val="12"/>
          <w:numId w:val="0"/>
        </w:numPr>
        <w:tabs>
          <w:tab w:val="clear" w:pos="567"/>
        </w:tabs>
        <w:ind w:right="549"/>
        <w:rPr>
          <w:bCs/>
          <w:szCs w:val="22"/>
          <w:lang w:val="fr-FR"/>
        </w:rPr>
      </w:pPr>
    </w:p>
    <w:p w14:paraId="775787A1" w14:textId="77777777" w:rsidR="00FD219E" w:rsidRPr="00DC2F2C" w:rsidRDefault="00B80AF3" w:rsidP="00D22FE8">
      <w:pPr>
        <w:numPr>
          <w:ilvl w:val="12"/>
          <w:numId w:val="0"/>
        </w:numPr>
        <w:tabs>
          <w:tab w:val="clear" w:pos="567"/>
        </w:tabs>
        <w:ind w:right="549"/>
        <w:rPr>
          <w:bCs/>
          <w:i/>
          <w:szCs w:val="22"/>
          <w:u w:val="single"/>
          <w:lang w:val="fr-FR"/>
        </w:rPr>
      </w:pPr>
      <w:r w:rsidRPr="00DC2F2C">
        <w:rPr>
          <w:bCs/>
          <w:i/>
          <w:szCs w:val="22"/>
          <w:u w:val="single"/>
          <w:lang w:val="fr-FR"/>
        </w:rPr>
        <w:t xml:space="preserve">Études </w:t>
      </w:r>
      <w:r w:rsidR="00FD219E" w:rsidRPr="00DC2F2C">
        <w:rPr>
          <w:bCs/>
          <w:szCs w:val="22"/>
          <w:u w:val="single"/>
          <w:lang w:val="fr-FR"/>
        </w:rPr>
        <w:t>in vitro</w:t>
      </w:r>
      <w:r w:rsidR="00FD219E" w:rsidRPr="00DC2F2C">
        <w:rPr>
          <w:bCs/>
          <w:i/>
          <w:szCs w:val="22"/>
          <w:u w:val="single"/>
          <w:lang w:val="fr-FR"/>
        </w:rPr>
        <w:t xml:space="preserve"> </w:t>
      </w:r>
      <w:r w:rsidRPr="00DC2F2C">
        <w:rPr>
          <w:bCs/>
          <w:i/>
          <w:szCs w:val="22"/>
          <w:u w:val="single"/>
          <w:lang w:val="fr-FR"/>
        </w:rPr>
        <w:t>sur les transporteurs</w:t>
      </w:r>
    </w:p>
    <w:p w14:paraId="73FB3401" w14:textId="1DADF43F" w:rsidR="00D22FE8" w:rsidRDefault="00B80AF3" w:rsidP="000D6CFA">
      <w:pPr>
        <w:rPr>
          <w:szCs w:val="22"/>
          <w:lang w:val="fr-FR"/>
        </w:rPr>
      </w:pPr>
      <w:r w:rsidRPr="00DC2F2C">
        <w:rPr>
          <w:bCs/>
          <w:szCs w:val="22"/>
          <w:lang w:val="fr-FR"/>
        </w:rPr>
        <w:t>Des études</w:t>
      </w:r>
      <w:r w:rsidRPr="00DC2F2C">
        <w:rPr>
          <w:bCs/>
          <w:i/>
          <w:szCs w:val="22"/>
          <w:lang w:val="fr-FR"/>
        </w:rPr>
        <w:t xml:space="preserve"> in vitro</w:t>
      </w:r>
      <w:r w:rsidRPr="00DC2F2C">
        <w:rPr>
          <w:bCs/>
          <w:szCs w:val="22"/>
          <w:lang w:val="fr-FR"/>
        </w:rPr>
        <w:t xml:space="preserve"> </w:t>
      </w:r>
      <w:r w:rsidRPr="00DC2F2C">
        <w:rPr>
          <w:szCs w:val="22"/>
          <w:lang w:val="fr-FR"/>
        </w:rPr>
        <w:t xml:space="preserve">ont montré que le </w:t>
      </w:r>
      <w:proofErr w:type="spellStart"/>
      <w:r w:rsidRPr="00DC2F2C">
        <w:rPr>
          <w:szCs w:val="22"/>
          <w:lang w:val="fr-FR"/>
        </w:rPr>
        <w:t>tivozanib</w:t>
      </w:r>
      <w:proofErr w:type="spellEnd"/>
      <w:r w:rsidRPr="00DC2F2C">
        <w:rPr>
          <w:szCs w:val="22"/>
          <w:lang w:val="fr-FR"/>
        </w:rPr>
        <w:t xml:space="preserve"> n’est ni un substrat ni un inhibiteur </w:t>
      </w:r>
      <w:r w:rsidR="00E71450">
        <w:rPr>
          <w:lang w:val="fr-FR"/>
        </w:rPr>
        <w:t xml:space="preserve">des </w:t>
      </w:r>
      <w:r w:rsidR="00A7467B">
        <w:rPr>
          <w:lang w:val="fr-FR"/>
        </w:rPr>
        <w:t>protéines de transport</w:t>
      </w:r>
      <w:r w:rsidR="00E71450" w:rsidRPr="0008029F">
        <w:rPr>
          <w:lang w:val="fr-FR"/>
        </w:rPr>
        <w:t xml:space="preserve"> MDR1 (P-gp), OCT1, OATP1B1, OATP1B3 </w:t>
      </w:r>
      <w:r w:rsidR="00486B56">
        <w:rPr>
          <w:lang w:val="fr-FR"/>
        </w:rPr>
        <w:t>et</w:t>
      </w:r>
      <w:r w:rsidR="00E71450" w:rsidRPr="0008029F">
        <w:rPr>
          <w:lang w:val="fr-FR"/>
        </w:rPr>
        <w:t xml:space="preserve"> BSEP. </w:t>
      </w:r>
      <w:r w:rsidR="00486B56">
        <w:rPr>
          <w:lang w:val="fr-FR"/>
        </w:rPr>
        <w:t>De plus</w:t>
      </w:r>
      <w:r w:rsidR="00E71450" w:rsidRPr="0008029F">
        <w:rPr>
          <w:lang w:val="fr-FR"/>
        </w:rPr>
        <w:t xml:space="preserve">, </w:t>
      </w:r>
      <w:r w:rsidR="00486B56">
        <w:rPr>
          <w:lang w:val="fr-FR"/>
        </w:rPr>
        <w:t xml:space="preserve">le </w:t>
      </w:r>
      <w:proofErr w:type="spellStart"/>
      <w:r w:rsidR="00E71450" w:rsidRPr="0008029F">
        <w:rPr>
          <w:lang w:val="fr-FR"/>
        </w:rPr>
        <w:t>tivozanib</w:t>
      </w:r>
      <w:proofErr w:type="spellEnd"/>
      <w:r w:rsidR="00E71450" w:rsidRPr="0008029F">
        <w:rPr>
          <w:lang w:val="fr-FR"/>
        </w:rPr>
        <w:t xml:space="preserve"> </w:t>
      </w:r>
      <w:r w:rsidR="00053308">
        <w:rPr>
          <w:lang w:val="fr-FR"/>
        </w:rPr>
        <w:t>n’a pas</w:t>
      </w:r>
      <w:r w:rsidR="00B35224">
        <w:rPr>
          <w:lang w:val="fr-FR"/>
        </w:rPr>
        <w:t xml:space="preserve"> été un inhibiteur d’</w:t>
      </w:r>
      <w:r w:rsidR="00E71450" w:rsidRPr="0008029F">
        <w:rPr>
          <w:lang w:val="fr-FR"/>
        </w:rPr>
        <w:t xml:space="preserve">OAT1, OAT3, OCT2, MATE1 </w:t>
      </w:r>
      <w:r w:rsidR="00053308">
        <w:rPr>
          <w:lang w:val="fr-FR"/>
        </w:rPr>
        <w:t>et</w:t>
      </w:r>
      <w:r w:rsidR="00E71450" w:rsidRPr="0008029F">
        <w:rPr>
          <w:lang w:val="fr-FR"/>
        </w:rPr>
        <w:t xml:space="preserve"> MATE2-K</w:t>
      </w:r>
      <w:r w:rsidR="00B35224">
        <w:rPr>
          <w:lang w:val="fr-FR"/>
        </w:rPr>
        <w:t xml:space="preserve"> ni un substrat</w:t>
      </w:r>
      <w:r w:rsidR="00053308">
        <w:rPr>
          <w:lang w:val="fr-FR"/>
        </w:rPr>
        <w:t xml:space="preserve"> de </w:t>
      </w:r>
      <w:r w:rsidR="00E71450" w:rsidRPr="0008029F">
        <w:rPr>
          <w:lang w:val="fr-FR"/>
        </w:rPr>
        <w:t xml:space="preserve">MRP2 </w:t>
      </w:r>
      <w:r w:rsidR="00053308">
        <w:rPr>
          <w:lang w:val="fr-FR"/>
        </w:rPr>
        <w:t>et</w:t>
      </w:r>
      <w:r w:rsidR="00E71450" w:rsidRPr="0008029F">
        <w:rPr>
          <w:lang w:val="fr-FR"/>
        </w:rPr>
        <w:t xml:space="preserve"> BCRP</w:t>
      </w:r>
      <w:r w:rsidR="00053308">
        <w:rPr>
          <w:lang w:val="fr-FR"/>
        </w:rPr>
        <w:t xml:space="preserve"> </w:t>
      </w:r>
      <w:r w:rsidR="00053308" w:rsidRPr="00053308">
        <w:rPr>
          <w:i/>
          <w:lang w:val="fr-FR"/>
        </w:rPr>
        <w:t>in vitro</w:t>
      </w:r>
      <w:r w:rsidR="00053308">
        <w:rPr>
          <w:lang w:val="fr-FR"/>
        </w:rPr>
        <w:t>.</w:t>
      </w:r>
    </w:p>
    <w:p w14:paraId="33E83187" w14:textId="77777777" w:rsidR="00FD219E" w:rsidRPr="00DC2F2C" w:rsidRDefault="005703A0" w:rsidP="002043D6">
      <w:pPr>
        <w:rPr>
          <w:rFonts w:eastAsia="Calibri"/>
          <w:szCs w:val="22"/>
          <w:lang w:val="fr-FR"/>
        </w:rPr>
      </w:pPr>
      <w:r w:rsidRPr="00DC2F2C">
        <w:rPr>
          <w:rFonts w:eastAsia="Calibri"/>
          <w:lang w:val="fr-FR"/>
        </w:rPr>
        <w:t xml:space="preserve">Le </w:t>
      </w:r>
      <w:proofErr w:type="spellStart"/>
      <w:r w:rsidRPr="00DC2F2C">
        <w:rPr>
          <w:rFonts w:eastAsia="Calibri"/>
          <w:lang w:val="fr-FR"/>
        </w:rPr>
        <w:t>tivozanib</w:t>
      </w:r>
      <w:proofErr w:type="spellEnd"/>
      <w:r w:rsidRPr="00DC2F2C">
        <w:rPr>
          <w:rFonts w:eastAsia="Calibri"/>
          <w:lang w:val="fr-FR"/>
        </w:rPr>
        <w:t xml:space="preserve"> inhibe la protéine de transport BCRP </w:t>
      </w:r>
      <w:r w:rsidRPr="00DC2F2C">
        <w:rPr>
          <w:rFonts w:eastAsia="Calibri"/>
          <w:i/>
          <w:lang w:val="fr-FR"/>
        </w:rPr>
        <w:t>in vitro</w:t>
      </w:r>
      <w:r w:rsidR="00FD219E" w:rsidRPr="00DC2F2C">
        <w:rPr>
          <w:rFonts w:eastAsia="Calibri"/>
          <w:szCs w:val="22"/>
          <w:lang w:val="fr-FR"/>
        </w:rPr>
        <w:t xml:space="preserve">, </w:t>
      </w:r>
      <w:r w:rsidRPr="00DC2F2C">
        <w:rPr>
          <w:rFonts w:eastAsia="Calibri"/>
          <w:szCs w:val="22"/>
          <w:lang w:val="fr-FR"/>
        </w:rPr>
        <w:t>à des</w:t>
      </w:r>
      <w:r w:rsidR="00FD219E" w:rsidRPr="00DC2F2C">
        <w:rPr>
          <w:rFonts w:eastAsia="Calibri"/>
          <w:szCs w:val="22"/>
          <w:lang w:val="fr-FR"/>
        </w:rPr>
        <w:t xml:space="preserve"> concentrations </w:t>
      </w:r>
      <w:r w:rsidRPr="00DC2F2C">
        <w:rPr>
          <w:rFonts w:eastAsia="Calibri"/>
          <w:szCs w:val="22"/>
          <w:lang w:val="fr-FR"/>
        </w:rPr>
        <w:t>susceptibles de limiter l’effet de l’activité de la</w:t>
      </w:r>
      <w:r w:rsidR="00FD219E" w:rsidRPr="00DC2F2C">
        <w:rPr>
          <w:rFonts w:eastAsia="Calibri"/>
          <w:szCs w:val="22"/>
          <w:lang w:val="fr-FR"/>
        </w:rPr>
        <w:t xml:space="preserve"> BCRP </w:t>
      </w:r>
      <w:r w:rsidRPr="00DC2F2C">
        <w:rPr>
          <w:rFonts w:eastAsia="Calibri"/>
          <w:szCs w:val="22"/>
          <w:lang w:val="fr-FR"/>
        </w:rPr>
        <w:t>intestinale</w:t>
      </w:r>
      <w:r w:rsidR="00FD219E" w:rsidRPr="00DC2F2C">
        <w:rPr>
          <w:rFonts w:eastAsia="Calibri"/>
          <w:szCs w:val="22"/>
          <w:lang w:val="fr-FR"/>
        </w:rPr>
        <w:t xml:space="preserve"> </w:t>
      </w:r>
      <w:r w:rsidR="00FD219E" w:rsidRPr="00DC2F2C">
        <w:rPr>
          <w:rFonts w:eastAsia="Calibri"/>
          <w:i/>
          <w:szCs w:val="22"/>
          <w:lang w:val="fr-FR"/>
        </w:rPr>
        <w:t>in vivo</w:t>
      </w:r>
      <w:r w:rsidR="00FD219E" w:rsidRPr="00DC2F2C">
        <w:rPr>
          <w:rFonts w:eastAsia="Calibri"/>
          <w:szCs w:val="22"/>
          <w:lang w:val="fr-FR"/>
        </w:rPr>
        <w:t xml:space="preserve">.  </w:t>
      </w:r>
    </w:p>
    <w:p w14:paraId="1A339D76" w14:textId="77777777" w:rsidR="00F80D5D" w:rsidRPr="00DC2F2C" w:rsidRDefault="00F80D5D" w:rsidP="00FD219E">
      <w:pPr>
        <w:tabs>
          <w:tab w:val="clear" w:pos="567"/>
        </w:tabs>
        <w:rPr>
          <w:rFonts w:eastAsia="Calibri"/>
          <w:szCs w:val="22"/>
          <w:lang w:val="fr-FR"/>
        </w:rPr>
      </w:pPr>
    </w:p>
    <w:p w14:paraId="492C6580" w14:textId="77777777" w:rsidR="001D6E6C" w:rsidRPr="00DC2F2C" w:rsidRDefault="00812D16" w:rsidP="00073C28">
      <w:pPr>
        <w:keepNext/>
        <w:keepLines/>
        <w:suppressLineNumbers/>
        <w:ind w:right="550"/>
        <w:rPr>
          <w:b/>
          <w:szCs w:val="22"/>
          <w:lang w:val="fr-FR"/>
        </w:rPr>
      </w:pPr>
      <w:r w:rsidRPr="00DC2F2C">
        <w:rPr>
          <w:b/>
          <w:szCs w:val="22"/>
          <w:lang w:val="fr-FR"/>
        </w:rPr>
        <w:lastRenderedPageBreak/>
        <w:t>5.3</w:t>
      </w:r>
      <w:r w:rsidRPr="00DC2F2C">
        <w:rPr>
          <w:b/>
          <w:szCs w:val="22"/>
          <w:lang w:val="fr-FR"/>
        </w:rPr>
        <w:tab/>
      </w:r>
      <w:r w:rsidR="00664298" w:rsidRPr="00DC2F2C">
        <w:rPr>
          <w:b/>
          <w:lang w:val="fr-FR"/>
        </w:rPr>
        <w:t>Données de sécurité préclinique</w:t>
      </w:r>
    </w:p>
    <w:p w14:paraId="473EAABA" w14:textId="77777777" w:rsidR="002170F5" w:rsidRPr="00DC2F2C" w:rsidRDefault="002170F5" w:rsidP="002170F5">
      <w:pPr>
        <w:keepNext/>
        <w:keepLines/>
        <w:numPr>
          <w:ilvl w:val="12"/>
          <w:numId w:val="0"/>
        </w:numPr>
        <w:ind w:right="550"/>
        <w:rPr>
          <w:szCs w:val="22"/>
          <w:lang w:val="fr-FR"/>
        </w:rPr>
      </w:pPr>
    </w:p>
    <w:p w14:paraId="4A28897F" w14:textId="77777777" w:rsidR="002170F5" w:rsidRPr="00DC2F2C" w:rsidRDefault="00B54FD1" w:rsidP="000A5BB2">
      <w:pPr>
        <w:rPr>
          <w:szCs w:val="22"/>
          <w:lang w:val="fr-FR"/>
        </w:rPr>
      </w:pPr>
      <w:r w:rsidRPr="00DC2F2C">
        <w:rPr>
          <w:lang w:val="fr-FR"/>
        </w:rPr>
        <w:t xml:space="preserve">Les effets indésirables suivants n’ont pas été observés dans les études cliniques, mais ont été constatés chez des animaux soumis à des niveaux d’exposition semblables à ceux utilisés </w:t>
      </w:r>
      <w:r w:rsidR="00F84CDC" w:rsidRPr="00DC2F2C">
        <w:rPr>
          <w:lang w:val="fr-FR"/>
        </w:rPr>
        <w:t xml:space="preserve">chez l’Homme </w:t>
      </w:r>
      <w:r w:rsidRPr="00DC2F2C">
        <w:rPr>
          <w:lang w:val="fr-FR"/>
        </w:rPr>
        <w:t>et pourraient avoir une signification clinique</w:t>
      </w:r>
      <w:r w:rsidR="002170F5" w:rsidRPr="00DC2F2C">
        <w:rPr>
          <w:szCs w:val="22"/>
          <w:lang w:val="fr-FR"/>
        </w:rPr>
        <w:t>.</w:t>
      </w:r>
    </w:p>
    <w:p w14:paraId="102FA482" w14:textId="77777777" w:rsidR="005E5D42" w:rsidRPr="00DC2F2C" w:rsidRDefault="005E5D42" w:rsidP="005E5D42">
      <w:pPr>
        <w:numPr>
          <w:ilvl w:val="12"/>
          <w:numId w:val="0"/>
        </w:numPr>
        <w:ind w:right="550"/>
        <w:rPr>
          <w:szCs w:val="22"/>
          <w:lang w:val="fr-FR"/>
        </w:rPr>
      </w:pPr>
    </w:p>
    <w:p w14:paraId="0EC6BAC3" w14:textId="77777777" w:rsidR="005E5D42" w:rsidRPr="00DC2F2C" w:rsidRDefault="007E513D" w:rsidP="000A5BB2">
      <w:pPr>
        <w:rPr>
          <w:lang w:val="fr-FR"/>
        </w:rPr>
      </w:pPr>
      <w:r w:rsidRPr="00DC2F2C">
        <w:rPr>
          <w:lang w:val="fr-FR"/>
        </w:rPr>
        <w:t>Dans des études de toxicité</w:t>
      </w:r>
      <w:r w:rsidR="005E5D42" w:rsidRPr="00DC2F2C">
        <w:rPr>
          <w:lang w:val="fr-FR"/>
        </w:rPr>
        <w:t xml:space="preserve"> </w:t>
      </w:r>
      <w:r w:rsidRPr="00DC2F2C">
        <w:rPr>
          <w:lang w:val="fr-FR"/>
        </w:rPr>
        <w:t>en administration répétée conduites chez le rat</w:t>
      </w:r>
      <w:r w:rsidR="005E5D42" w:rsidRPr="00DC2F2C">
        <w:rPr>
          <w:lang w:val="fr-FR"/>
        </w:rPr>
        <w:t xml:space="preserve">, </w:t>
      </w:r>
      <w:r w:rsidR="00BE1CD6" w:rsidRPr="00DC2F2C">
        <w:rPr>
          <w:lang w:val="fr-FR"/>
        </w:rPr>
        <w:t>des anomalies ont été observées au niveau des incisives en cours de croissance</w:t>
      </w:r>
      <w:r w:rsidR="005E5D42" w:rsidRPr="00DC2F2C">
        <w:rPr>
          <w:lang w:val="fr-FR"/>
        </w:rPr>
        <w:t xml:space="preserve"> (</w:t>
      </w:r>
      <w:r w:rsidR="00BE1CD6" w:rsidRPr="00DC2F2C">
        <w:rPr>
          <w:lang w:val="fr-FR"/>
        </w:rPr>
        <w:t>dents fines et fragiles, pertes de dents</w:t>
      </w:r>
      <w:r w:rsidR="005E5D42" w:rsidRPr="00DC2F2C">
        <w:rPr>
          <w:lang w:val="fr-FR"/>
        </w:rPr>
        <w:t xml:space="preserve">, malocclusions) </w:t>
      </w:r>
      <w:r w:rsidR="00BE1CD6" w:rsidRPr="00DC2F2C">
        <w:rPr>
          <w:lang w:val="fr-FR"/>
        </w:rPr>
        <w:t>à des</w:t>
      </w:r>
      <w:r w:rsidR="005E5D42" w:rsidRPr="00DC2F2C">
        <w:rPr>
          <w:lang w:val="fr-FR"/>
        </w:rPr>
        <w:t xml:space="preserve"> doses </w:t>
      </w:r>
      <w:r w:rsidR="00BE1CD6" w:rsidRPr="00DC2F2C">
        <w:rPr>
          <w:lang w:val="fr-FR"/>
        </w:rPr>
        <w:t xml:space="preserve">environ 2 fois </w:t>
      </w:r>
      <w:r w:rsidR="00655BD7" w:rsidRPr="00DC2F2C">
        <w:rPr>
          <w:lang w:val="fr-FR"/>
        </w:rPr>
        <w:t>supérieures à</w:t>
      </w:r>
      <w:r w:rsidR="00BE1CD6" w:rsidRPr="00DC2F2C">
        <w:rPr>
          <w:lang w:val="fr-FR"/>
        </w:rPr>
        <w:t xml:space="preserve"> la dose équivalente calculée pour l’</w:t>
      </w:r>
      <w:r w:rsidR="00F84CDC" w:rsidRPr="00DC2F2C">
        <w:rPr>
          <w:lang w:val="fr-FR"/>
        </w:rPr>
        <w:t>H</w:t>
      </w:r>
      <w:r w:rsidR="00BE1CD6" w:rsidRPr="00DC2F2C">
        <w:rPr>
          <w:lang w:val="fr-FR"/>
        </w:rPr>
        <w:t>omme, et une hypertrophie du cartilage de croissance a été observée à des doses environ 0,</w:t>
      </w:r>
      <w:r w:rsidR="005E5D42" w:rsidRPr="00DC2F2C">
        <w:rPr>
          <w:lang w:val="fr-FR"/>
        </w:rPr>
        <w:t>7</w:t>
      </w:r>
      <w:r w:rsidR="00BE1CD6" w:rsidRPr="00DC2F2C">
        <w:rPr>
          <w:lang w:val="fr-FR"/>
        </w:rPr>
        <w:t xml:space="preserve"> à</w:t>
      </w:r>
      <w:r w:rsidR="005E5D42" w:rsidRPr="00DC2F2C">
        <w:rPr>
          <w:lang w:val="fr-FR"/>
        </w:rPr>
        <w:t xml:space="preserve"> 7</w:t>
      </w:r>
      <w:r w:rsidR="00BE1CD6" w:rsidRPr="00DC2F2C">
        <w:rPr>
          <w:lang w:val="fr-FR"/>
        </w:rPr>
        <w:t xml:space="preserve"> fois </w:t>
      </w:r>
      <w:r w:rsidR="00655BD7" w:rsidRPr="00DC2F2C">
        <w:rPr>
          <w:lang w:val="fr-FR"/>
        </w:rPr>
        <w:t>supérieures à</w:t>
      </w:r>
      <w:r w:rsidR="00BE1CD6" w:rsidRPr="00DC2F2C">
        <w:rPr>
          <w:lang w:val="fr-FR"/>
        </w:rPr>
        <w:t xml:space="preserve"> la dose équivalente calculée pour l’</w:t>
      </w:r>
      <w:r w:rsidR="00F84CDC" w:rsidRPr="00DC2F2C">
        <w:rPr>
          <w:lang w:val="fr-FR"/>
        </w:rPr>
        <w:t>H</w:t>
      </w:r>
      <w:r w:rsidR="00BE1CD6" w:rsidRPr="00DC2F2C">
        <w:rPr>
          <w:lang w:val="fr-FR"/>
        </w:rPr>
        <w:t>omme</w:t>
      </w:r>
      <w:r w:rsidR="005E5D42" w:rsidRPr="00DC2F2C">
        <w:rPr>
          <w:lang w:val="fr-FR"/>
        </w:rPr>
        <w:t xml:space="preserve">. </w:t>
      </w:r>
      <w:r w:rsidR="00BE1CD6" w:rsidRPr="00DC2F2C">
        <w:rPr>
          <w:lang w:val="fr-FR"/>
        </w:rPr>
        <w:t xml:space="preserve">Il a été montré que le </w:t>
      </w:r>
      <w:proofErr w:type="spellStart"/>
      <w:r w:rsidR="00BE1CD6" w:rsidRPr="00DC2F2C">
        <w:rPr>
          <w:lang w:val="fr-FR"/>
        </w:rPr>
        <w:t>t</w:t>
      </w:r>
      <w:r w:rsidR="005E5D42" w:rsidRPr="00DC2F2C">
        <w:rPr>
          <w:lang w:val="fr-FR"/>
        </w:rPr>
        <w:t>ivozanib</w:t>
      </w:r>
      <w:proofErr w:type="spellEnd"/>
      <w:r w:rsidR="005E5D42" w:rsidRPr="00DC2F2C">
        <w:rPr>
          <w:lang w:val="fr-FR"/>
        </w:rPr>
        <w:t xml:space="preserve"> </w:t>
      </w:r>
      <w:r w:rsidR="00E8698B" w:rsidRPr="00DC2F2C">
        <w:rPr>
          <w:lang w:val="fr-FR"/>
        </w:rPr>
        <w:t>entraîne une</w:t>
      </w:r>
      <w:r w:rsidR="005E5D42" w:rsidRPr="00DC2F2C">
        <w:rPr>
          <w:lang w:val="fr-FR"/>
        </w:rPr>
        <w:t xml:space="preserve"> </w:t>
      </w:r>
      <w:r w:rsidR="00E8698B" w:rsidRPr="00DC2F2C">
        <w:rPr>
          <w:lang w:val="fr-FR"/>
        </w:rPr>
        <w:t>hypertrophie du cartilage de croissance</w:t>
      </w:r>
      <w:r w:rsidR="005E5D42" w:rsidRPr="00DC2F2C">
        <w:rPr>
          <w:lang w:val="fr-FR"/>
        </w:rPr>
        <w:t xml:space="preserve">, </w:t>
      </w:r>
      <w:r w:rsidR="00E8698B" w:rsidRPr="00DC2F2C">
        <w:rPr>
          <w:lang w:val="fr-FR"/>
        </w:rPr>
        <w:t xml:space="preserve">une </w:t>
      </w:r>
      <w:r w:rsidR="005E5D42" w:rsidRPr="00DC2F2C">
        <w:rPr>
          <w:lang w:val="fr-FR"/>
        </w:rPr>
        <w:t xml:space="preserve">absence </w:t>
      </w:r>
      <w:r w:rsidR="00E8698B" w:rsidRPr="00DC2F2C">
        <w:rPr>
          <w:lang w:val="fr-FR"/>
        </w:rPr>
        <w:t>de corps jaune actif et de</w:t>
      </w:r>
      <w:r w:rsidR="005E5D42" w:rsidRPr="00DC2F2C">
        <w:rPr>
          <w:lang w:val="fr-FR"/>
        </w:rPr>
        <w:t xml:space="preserve"> follic</w:t>
      </w:r>
      <w:r w:rsidR="00E8698B" w:rsidRPr="00DC2F2C">
        <w:rPr>
          <w:lang w:val="fr-FR"/>
        </w:rPr>
        <w:t>u</w:t>
      </w:r>
      <w:r w:rsidR="005E5D42" w:rsidRPr="00DC2F2C">
        <w:rPr>
          <w:lang w:val="fr-FR"/>
        </w:rPr>
        <w:t>les</w:t>
      </w:r>
      <w:r w:rsidR="00E8698B" w:rsidRPr="00DC2F2C">
        <w:rPr>
          <w:lang w:val="fr-FR"/>
        </w:rPr>
        <w:t xml:space="preserve"> en cours de maturation</w:t>
      </w:r>
      <w:r w:rsidR="005E5D42" w:rsidRPr="00DC2F2C">
        <w:rPr>
          <w:lang w:val="fr-FR"/>
        </w:rPr>
        <w:t xml:space="preserve"> </w:t>
      </w:r>
      <w:r w:rsidR="00E8698B" w:rsidRPr="00DC2F2C">
        <w:rPr>
          <w:lang w:val="fr-FR"/>
        </w:rPr>
        <w:t>chez le</w:t>
      </w:r>
      <w:r w:rsidR="005E5D42" w:rsidRPr="00DC2F2C">
        <w:rPr>
          <w:lang w:val="fr-FR"/>
        </w:rPr>
        <w:t xml:space="preserve"> </w:t>
      </w:r>
      <w:r w:rsidR="00025E3B" w:rsidRPr="00DC2F2C">
        <w:rPr>
          <w:lang w:val="fr-FR"/>
        </w:rPr>
        <w:t xml:space="preserve">singe </w:t>
      </w:r>
      <w:proofErr w:type="spellStart"/>
      <w:r w:rsidR="005E5D42" w:rsidRPr="00DC2F2C">
        <w:rPr>
          <w:lang w:val="fr-FR"/>
        </w:rPr>
        <w:t>cynomolgus</w:t>
      </w:r>
      <w:proofErr w:type="spellEnd"/>
      <w:r w:rsidR="005E5D42" w:rsidRPr="00DC2F2C">
        <w:rPr>
          <w:lang w:val="fr-FR"/>
        </w:rPr>
        <w:t xml:space="preserve"> </w:t>
      </w:r>
      <w:r w:rsidR="00025E3B" w:rsidRPr="00DC2F2C">
        <w:rPr>
          <w:lang w:val="fr-FR"/>
        </w:rPr>
        <w:t>aux niveaux de dose</w:t>
      </w:r>
      <w:r w:rsidR="00EE16B1" w:rsidRPr="00DC2F2C">
        <w:rPr>
          <w:lang w:val="fr-FR"/>
        </w:rPr>
        <w:t xml:space="preserve"> ayant produit des expositions é</w:t>
      </w:r>
      <w:r w:rsidR="00025E3B" w:rsidRPr="00DC2F2C">
        <w:rPr>
          <w:lang w:val="fr-FR"/>
        </w:rPr>
        <w:t>quivalentes à celles observées à la dose clinique recommandée</w:t>
      </w:r>
      <w:r w:rsidR="005E5D42" w:rsidRPr="00DC2F2C">
        <w:rPr>
          <w:lang w:val="fr-FR"/>
        </w:rPr>
        <w:t xml:space="preserve">. </w:t>
      </w:r>
    </w:p>
    <w:p w14:paraId="78F792C5" w14:textId="77777777" w:rsidR="00812D16" w:rsidRPr="00DC2F2C" w:rsidRDefault="00812D16" w:rsidP="009D43DC">
      <w:pPr>
        <w:keepNext/>
        <w:keepLines/>
        <w:numPr>
          <w:ilvl w:val="12"/>
          <w:numId w:val="0"/>
        </w:numPr>
        <w:tabs>
          <w:tab w:val="clear" w:pos="567"/>
        </w:tabs>
        <w:ind w:right="550"/>
        <w:rPr>
          <w:szCs w:val="22"/>
          <w:lang w:val="fr-FR"/>
        </w:rPr>
      </w:pPr>
    </w:p>
    <w:p w14:paraId="4CC677CB" w14:textId="77777777" w:rsidR="00FD78B6" w:rsidRPr="00DC2F2C" w:rsidRDefault="00FD78B6" w:rsidP="009D43DC">
      <w:pPr>
        <w:keepNext/>
        <w:keepLines/>
        <w:ind w:right="550"/>
        <w:rPr>
          <w:iCs/>
          <w:szCs w:val="22"/>
          <w:u w:val="single"/>
          <w:lang w:val="fr-FR"/>
        </w:rPr>
      </w:pPr>
      <w:r w:rsidRPr="00DC2F2C">
        <w:rPr>
          <w:iCs/>
          <w:szCs w:val="22"/>
          <w:u w:val="single"/>
          <w:lang w:val="fr-FR"/>
        </w:rPr>
        <w:t>Reproduction, mutag</w:t>
      </w:r>
      <w:r w:rsidR="005D5817" w:rsidRPr="00DC2F2C">
        <w:rPr>
          <w:iCs/>
          <w:szCs w:val="22"/>
          <w:u w:val="single"/>
          <w:lang w:val="fr-FR"/>
        </w:rPr>
        <w:t>é</w:t>
      </w:r>
      <w:r w:rsidRPr="00DC2F2C">
        <w:rPr>
          <w:iCs/>
          <w:szCs w:val="22"/>
          <w:u w:val="single"/>
          <w:lang w:val="fr-FR"/>
        </w:rPr>
        <w:t>n</w:t>
      </w:r>
      <w:r w:rsidR="005D5817" w:rsidRPr="00DC2F2C">
        <w:rPr>
          <w:iCs/>
          <w:szCs w:val="22"/>
          <w:u w:val="single"/>
          <w:lang w:val="fr-FR"/>
        </w:rPr>
        <w:t>èse</w:t>
      </w:r>
      <w:r w:rsidRPr="00DC2F2C">
        <w:rPr>
          <w:iCs/>
          <w:szCs w:val="22"/>
          <w:u w:val="single"/>
          <w:lang w:val="fr-FR"/>
        </w:rPr>
        <w:t xml:space="preserve">, </w:t>
      </w:r>
      <w:r w:rsidR="005D5817" w:rsidRPr="00DC2F2C">
        <w:rPr>
          <w:iCs/>
          <w:szCs w:val="22"/>
          <w:u w:val="single"/>
          <w:lang w:val="fr-FR"/>
        </w:rPr>
        <w:t>altération de la fertilité</w:t>
      </w:r>
      <w:r w:rsidRPr="00DC2F2C">
        <w:rPr>
          <w:iCs/>
          <w:szCs w:val="22"/>
          <w:u w:val="single"/>
          <w:lang w:val="fr-FR"/>
        </w:rPr>
        <w:t xml:space="preserve"> </w:t>
      </w:r>
    </w:p>
    <w:p w14:paraId="74EE73B2" w14:textId="77777777" w:rsidR="003723EA" w:rsidRPr="00DC2F2C" w:rsidRDefault="005D5817" w:rsidP="000A5BB2">
      <w:pPr>
        <w:rPr>
          <w:lang w:val="fr-FR"/>
        </w:rPr>
      </w:pPr>
      <w:r w:rsidRPr="00DC2F2C">
        <w:rPr>
          <w:lang w:val="fr-FR"/>
        </w:rPr>
        <w:t xml:space="preserve">Le </w:t>
      </w:r>
      <w:proofErr w:type="spellStart"/>
      <w:r w:rsidRPr="00DC2F2C">
        <w:rPr>
          <w:lang w:val="fr-FR"/>
        </w:rPr>
        <w:t>t</w:t>
      </w:r>
      <w:r w:rsidR="003723EA" w:rsidRPr="00DC2F2C">
        <w:rPr>
          <w:lang w:val="fr-FR"/>
        </w:rPr>
        <w:t>ivozanib</w:t>
      </w:r>
      <w:proofErr w:type="spellEnd"/>
      <w:r w:rsidR="003723EA" w:rsidRPr="00DC2F2C">
        <w:rPr>
          <w:lang w:val="fr-FR"/>
        </w:rPr>
        <w:t xml:space="preserve"> </w:t>
      </w:r>
      <w:r w:rsidRPr="00DC2F2C">
        <w:rPr>
          <w:lang w:val="fr-FR"/>
        </w:rPr>
        <w:t>est susceptible d’altérer la fertilité humaine</w:t>
      </w:r>
      <w:r w:rsidR="003723EA" w:rsidRPr="00DC2F2C">
        <w:rPr>
          <w:lang w:val="fr-FR"/>
        </w:rPr>
        <w:t xml:space="preserve">. </w:t>
      </w:r>
      <w:r w:rsidRPr="00DC2F2C">
        <w:rPr>
          <w:lang w:val="fr-FR"/>
        </w:rPr>
        <w:t xml:space="preserve">Dans des études non cliniques évaluant </w:t>
      </w:r>
      <w:r w:rsidR="00B00FF6" w:rsidRPr="00DC2F2C">
        <w:rPr>
          <w:lang w:val="fr-FR"/>
        </w:rPr>
        <w:t>les</w:t>
      </w:r>
      <w:r w:rsidRPr="00DC2F2C">
        <w:rPr>
          <w:lang w:val="fr-FR"/>
        </w:rPr>
        <w:t xml:space="preserve"> paramètres d’accouplement et de fertilité</w:t>
      </w:r>
      <w:r w:rsidR="003723EA" w:rsidRPr="00DC2F2C">
        <w:rPr>
          <w:lang w:val="fr-FR"/>
        </w:rPr>
        <w:t xml:space="preserve"> </w:t>
      </w:r>
      <w:r w:rsidRPr="00DC2F2C">
        <w:rPr>
          <w:lang w:val="fr-FR"/>
        </w:rPr>
        <w:t>chez des rats mâles</w:t>
      </w:r>
      <w:r w:rsidR="003723EA" w:rsidRPr="00DC2F2C">
        <w:rPr>
          <w:lang w:val="fr-FR"/>
        </w:rPr>
        <w:t xml:space="preserve">, </w:t>
      </w:r>
      <w:r w:rsidRPr="00DC2F2C">
        <w:rPr>
          <w:lang w:val="fr-FR"/>
        </w:rPr>
        <w:t xml:space="preserve">des </w:t>
      </w:r>
      <w:r w:rsidR="003723EA" w:rsidRPr="00DC2F2C">
        <w:rPr>
          <w:lang w:val="fr-FR"/>
        </w:rPr>
        <w:t>doses &gt;2</w:t>
      </w:r>
      <w:r w:rsidRPr="00DC2F2C">
        <w:rPr>
          <w:lang w:val="fr-FR"/>
        </w:rPr>
        <w:t> fois supérieures à la dose clinique recommandée ont produit une augmentation du poids des é</w:t>
      </w:r>
      <w:r w:rsidR="003723EA" w:rsidRPr="00DC2F2C">
        <w:rPr>
          <w:lang w:val="fr-FR"/>
        </w:rPr>
        <w:t>pididym</w:t>
      </w:r>
      <w:r w:rsidRPr="00DC2F2C">
        <w:rPr>
          <w:lang w:val="fr-FR"/>
        </w:rPr>
        <w:t>es et des testicules associée à une infertilité</w:t>
      </w:r>
      <w:r w:rsidR="003723EA" w:rsidRPr="00DC2F2C">
        <w:rPr>
          <w:lang w:val="fr-FR"/>
        </w:rPr>
        <w:t xml:space="preserve">. </w:t>
      </w:r>
      <w:r w:rsidRPr="00DC2F2C">
        <w:rPr>
          <w:rFonts w:eastAsia="SimSun"/>
          <w:lang w:val="fr-FR" w:eastAsia="zh-CN"/>
        </w:rPr>
        <w:t>Les augmentations de poids des testicules ont été observées à une dose</w:t>
      </w:r>
      <w:r w:rsidR="003723EA" w:rsidRPr="00DC2F2C">
        <w:rPr>
          <w:rFonts w:eastAsia="SimSun"/>
          <w:lang w:val="fr-FR" w:eastAsia="zh-CN"/>
        </w:rPr>
        <w:t xml:space="preserve"> 7</w:t>
      </w:r>
      <w:r w:rsidRPr="00DC2F2C">
        <w:rPr>
          <w:rFonts w:eastAsia="SimSun"/>
          <w:lang w:val="fr-FR" w:eastAsia="zh-CN"/>
        </w:rPr>
        <w:t> fois supérieure à la dose clinique recommandée</w:t>
      </w:r>
      <w:r w:rsidR="003723EA" w:rsidRPr="00DC2F2C">
        <w:rPr>
          <w:rFonts w:eastAsia="SimSun"/>
          <w:lang w:val="fr-FR" w:eastAsia="zh-CN"/>
        </w:rPr>
        <w:t>.</w:t>
      </w:r>
      <w:r w:rsidRPr="00DC2F2C">
        <w:rPr>
          <w:lang w:val="fr-FR"/>
        </w:rPr>
        <w:t xml:space="preserve"> Chez la rate</w:t>
      </w:r>
      <w:r w:rsidR="003723EA" w:rsidRPr="00DC2F2C">
        <w:rPr>
          <w:lang w:val="fr-FR"/>
        </w:rPr>
        <w:t xml:space="preserve">, </w:t>
      </w:r>
      <w:r w:rsidR="00DE2B2F" w:rsidRPr="00DC2F2C">
        <w:rPr>
          <w:lang w:val="fr-FR"/>
        </w:rPr>
        <w:t>une augmentation du nombre de fœtus non viables a été observée à une dose</w:t>
      </w:r>
      <w:r w:rsidR="003723EA" w:rsidRPr="00DC2F2C">
        <w:rPr>
          <w:lang w:val="fr-FR"/>
        </w:rPr>
        <w:t xml:space="preserve"> </w:t>
      </w:r>
      <w:r w:rsidR="00DE2B2F" w:rsidRPr="00DC2F2C">
        <w:rPr>
          <w:lang w:val="fr-FR"/>
        </w:rPr>
        <w:t>0,</w:t>
      </w:r>
      <w:r w:rsidR="003723EA" w:rsidRPr="00DC2F2C">
        <w:rPr>
          <w:lang w:val="fr-FR"/>
        </w:rPr>
        <w:t>7</w:t>
      </w:r>
      <w:r w:rsidR="00DE2B2F" w:rsidRPr="00DC2F2C">
        <w:rPr>
          <w:lang w:val="fr-FR"/>
        </w:rPr>
        <w:t> fois supérieure à la dose clinique recommandée</w:t>
      </w:r>
      <w:r w:rsidR="003723EA" w:rsidRPr="00DC2F2C">
        <w:rPr>
          <w:lang w:val="fr-FR"/>
        </w:rPr>
        <w:t xml:space="preserve">, </w:t>
      </w:r>
      <w:r w:rsidR="00DE2B2F" w:rsidRPr="00DC2F2C">
        <w:rPr>
          <w:lang w:val="fr-FR"/>
        </w:rPr>
        <w:t xml:space="preserve">et </w:t>
      </w:r>
      <w:r w:rsidR="0005315D" w:rsidRPr="00DC2F2C">
        <w:rPr>
          <w:lang w:val="fr-FR"/>
        </w:rPr>
        <w:t>d</w:t>
      </w:r>
      <w:r w:rsidR="00DE2B2F" w:rsidRPr="00DC2F2C">
        <w:rPr>
          <w:lang w:val="fr-FR"/>
        </w:rPr>
        <w:t>es niveaux de dose</w:t>
      </w:r>
      <w:r w:rsidR="003723EA" w:rsidRPr="00DC2F2C">
        <w:rPr>
          <w:lang w:val="fr-FR"/>
        </w:rPr>
        <w:t xml:space="preserve"> ≥2 f</w:t>
      </w:r>
      <w:r w:rsidR="00DE2B2F" w:rsidRPr="00DC2F2C">
        <w:rPr>
          <w:lang w:val="fr-FR"/>
        </w:rPr>
        <w:t>ois supérieurs à la dose clinique recommandée ont produit une infertilité</w:t>
      </w:r>
      <w:r w:rsidR="003723EA" w:rsidRPr="00DC2F2C">
        <w:rPr>
          <w:lang w:val="fr-FR"/>
        </w:rPr>
        <w:t>.</w:t>
      </w:r>
    </w:p>
    <w:p w14:paraId="7AD96268" w14:textId="77777777" w:rsidR="003723EA" w:rsidRPr="00DC2F2C" w:rsidRDefault="003723EA" w:rsidP="003723EA">
      <w:pPr>
        <w:rPr>
          <w:szCs w:val="22"/>
          <w:lang w:val="fr-FR"/>
        </w:rPr>
      </w:pPr>
    </w:p>
    <w:p w14:paraId="00A11B9B" w14:textId="77777777" w:rsidR="00FD78B6" w:rsidRPr="00DC2F2C" w:rsidRDefault="0051379B" w:rsidP="000A5BB2">
      <w:pPr>
        <w:rPr>
          <w:lang w:val="fr-FR"/>
        </w:rPr>
      </w:pPr>
      <w:r w:rsidRPr="00DC2F2C">
        <w:rPr>
          <w:lang w:val="fr-FR"/>
        </w:rPr>
        <w:t xml:space="preserve">Le </w:t>
      </w:r>
      <w:proofErr w:type="spellStart"/>
      <w:r w:rsidRPr="00DC2F2C">
        <w:rPr>
          <w:lang w:val="fr-FR"/>
        </w:rPr>
        <w:t>t</w:t>
      </w:r>
      <w:r w:rsidR="00FD78B6" w:rsidRPr="00DC2F2C">
        <w:rPr>
          <w:lang w:val="fr-FR"/>
        </w:rPr>
        <w:t>ivozanib</w:t>
      </w:r>
      <w:proofErr w:type="spellEnd"/>
      <w:r w:rsidR="00FD78B6" w:rsidRPr="00DC2F2C">
        <w:rPr>
          <w:lang w:val="fr-FR"/>
        </w:rPr>
        <w:t xml:space="preserve"> </w:t>
      </w:r>
      <w:r w:rsidRPr="00DC2F2C">
        <w:rPr>
          <w:lang w:val="fr-FR"/>
        </w:rPr>
        <w:t>s’est avéré tératogène, embryotoxique</w:t>
      </w:r>
      <w:r w:rsidR="00FD78B6" w:rsidRPr="00DC2F2C">
        <w:rPr>
          <w:lang w:val="fr-FR"/>
        </w:rPr>
        <w:t xml:space="preserve"> </w:t>
      </w:r>
      <w:r w:rsidRPr="00DC2F2C">
        <w:rPr>
          <w:lang w:val="fr-FR"/>
        </w:rPr>
        <w:t>et</w:t>
      </w:r>
      <w:r w:rsidR="00FD78B6" w:rsidRPr="00DC2F2C">
        <w:rPr>
          <w:lang w:val="fr-FR"/>
        </w:rPr>
        <w:t xml:space="preserve"> </w:t>
      </w:r>
      <w:proofErr w:type="spellStart"/>
      <w:r w:rsidRPr="00DC2F2C">
        <w:rPr>
          <w:lang w:val="fr-FR"/>
        </w:rPr>
        <w:t>fœtotoxique</w:t>
      </w:r>
      <w:proofErr w:type="spellEnd"/>
      <w:r w:rsidR="00FD78B6" w:rsidRPr="00DC2F2C">
        <w:rPr>
          <w:lang w:val="fr-FR"/>
        </w:rPr>
        <w:t xml:space="preserve"> </w:t>
      </w:r>
      <w:r w:rsidRPr="00DC2F2C">
        <w:rPr>
          <w:lang w:val="fr-FR"/>
        </w:rPr>
        <w:t>chez la rate gravide</w:t>
      </w:r>
      <w:r w:rsidR="00FD78B6" w:rsidRPr="00DC2F2C">
        <w:rPr>
          <w:lang w:val="fr-FR"/>
        </w:rPr>
        <w:t xml:space="preserve"> </w:t>
      </w:r>
      <w:r w:rsidRPr="00DC2F2C">
        <w:rPr>
          <w:lang w:val="fr-FR"/>
        </w:rPr>
        <w:t>à des niveaux de</w:t>
      </w:r>
      <w:r w:rsidR="00FD78B6" w:rsidRPr="00DC2F2C">
        <w:rPr>
          <w:lang w:val="fr-FR"/>
        </w:rPr>
        <w:t xml:space="preserve"> dose 5</w:t>
      </w:r>
      <w:r w:rsidR="00B6654F" w:rsidRPr="00DC2F2C">
        <w:rPr>
          <w:lang w:val="fr-FR"/>
        </w:rPr>
        <w:t> </w:t>
      </w:r>
      <w:r w:rsidRPr="00DC2F2C">
        <w:rPr>
          <w:lang w:val="fr-FR"/>
        </w:rPr>
        <w:t>fois inférieurs à la dose clinique recommandée</w:t>
      </w:r>
      <w:r w:rsidR="00FD78B6" w:rsidRPr="00DC2F2C">
        <w:rPr>
          <w:lang w:val="fr-FR"/>
        </w:rPr>
        <w:t xml:space="preserve"> (</w:t>
      </w:r>
      <w:r w:rsidRPr="00DC2F2C">
        <w:rPr>
          <w:lang w:val="fr-FR"/>
        </w:rPr>
        <w:t xml:space="preserve">basée sur un </w:t>
      </w:r>
      <w:r w:rsidR="00F84CDC" w:rsidRPr="00DC2F2C">
        <w:rPr>
          <w:lang w:val="fr-FR"/>
        </w:rPr>
        <w:t xml:space="preserve">Homme </w:t>
      </w:r>
      <w:r w:rsidRPr="00DC2F2C">
        <w:rPr>
          <w:lang w:val="fr-FR"/>
        </w:rPr>
        <w:t>de</w:t>
      </w:r>
      <w:r w:rsidR="00FD78B6" w:rsidRPr="00DC2F2C">
        <w:rPr>
          <w:lang w:val="fr-FR"/>
        </w:rPr>
        <w:t xml:space="preserve"> 60</w:t>
      </w:r>
      <w:r w:rsidR="00A25DD4" w:rsidRPr="00DC2F2C">
        <w:rPr>
          <w:lang w:val="fr-FR"/>
        </w:rPr>
        <w:t> </w:t>
      </w:r>
      <w:r w:rsidR="00FD78B6" w:rsidRPr="00DC2F2C">
        <w:rPr>
          <w:lang w:val="fr-FR"/>
        </w:rPr>
        <w:t xml:space="preserve">kg). </w:t>
      </w:r>
      <w:r w:rsidRPr="00DC2F2C">
        <w:rPr>
          <w:lang w:val="fr-FR"/>
        </w:rPr>
        <w:t xml:space="preserve">Les études conduites chez la lapine gravide n’ont montré aucun effet sur la santé de la mère ou le développement </w:t>
      </w:r>
      <w:proofErr w:type="spellStart"/>
      <w:r w:rsidRPr="00DC2F2C">
        <w:rPr>
          <w:lang w:val="fr-FR"/>
        </w:rPr>
        <w:t>embryo</w:t>
      </w:r>
      <w:proofErr w:type="spellEnd"/>
      <w:r w:rsidRPr="00DC2F2C">
        <w:rPr>
          <w:lang w:val="fr-FR"/>
        </w:rPr>
        <w:t>-fœtal à des doses correspondant à environ 0,</w:t>
      </w:r>
      <w:r w:rsidR="00FD78B6" w:rsidRPr="00DC2F2C">
        <w:rPr>
          <w:lang w:val="fr-FR"/>
        </w:rPr>
        <w:t>6</w:t>
      </w:r>
      <w:r w:rsidR="00B6654F" w:rsidRPr="00DC2F2C">
        <w:rPr>
          <w:lang w:val="fr-FR"/>
        </w:rPr>
        <w:t> </w:t>
      </w:r>
      <w:r w:rsidRPr="00DC2F2C">
        <w:rPr>
          <w:lang w:val="fr-FR"/>
        </w:rPr>
        <w:t xml:space="preserve">fois l’exposition </w:t>
      </w:r>
      <w:r w:rsidR="00F84CDC" w:rsidRPr="00DC2F2C">
        <w:rPr>
          <w:lang w:val="fr-FR"/>
        </w:rPr>
        <w:t xml:space="preserve">humaine </w:t>
      </w:r>
      <w:r w:rsidRPr="00DC2F2C">
        <w:rPr>
          <w:lang w:val="fr-FR"/>
        </w:rPr>
        <w:t>à la dose recommandée</w:t>
      </w:r>
      <w:r w:rsidR="00FD78B6" w:rsidRPr="00DC2F2C">
        <w:rPr>
          <w:lang w:val="fr-FR"/>
        </w:rPr>
        <w:t>.</w:t>
      </w:r>
    </w:p>
    <w:p w14:paraId="3FACCB78" w14:textId="77777777" w:rsidR="00FD78B6" w:rsidRPr="00DC2F2C" w:rsidRDefault="00FD78B6" w:rsidP="003723EA">
      <w:pPr>
        <w:pStyle w:val="C-BodyText"/>
        <w:spacing w:before="0" w:after="0" w:line="240" w:lineRule="auto"/>
        <w:rPr>
          <w:szCs w:val="22"/>
          <w:lang w:val="fr-FR"/>
        </w:rPr>
      </w:pPr>
    </w:p>
    <w:p w14:paraId="6306A358" w14:textId="77777777" w:rsidR="00FD78B6" w:rsidRPr="00DC2F2C" w:rsidRDefault="00FD78B6" w:rsidP="009D43DC">
      <w:pPr>
        <w:keepNext/>
        <w:keepLines/>
        <w:ind w:right="550"/>
        <w:rPr>
          <w:iCs/>
          <w:szCs w:val="22"/>
          <w:u w:val="single"/>
          <w:lang w:val="fr-FR"/>
        </w:rPr>
      </w:pPr>
      <w:r w:rsidRPr="00DC2F2C">
        <w:rPr>
          <w:iCs/>
          <w:szCs w:val="22"/>
          <w:u w:val="single"/>
          <w:lang w:val="fr-FR"/>
        </w:rPr>
        <w:t>Carcinog</w:t>
      </w:r>
      <w:r w:rsidR="00CD5D33" w:rsidRPr="00DC2F2C">
        <w:rPr>
          <w:iCs/>
          <w:szCs w:val="22"/>
          <w:u w:val="single"/>
          <w:lang w:val="fr-FR"/>
        </w:rPr>
        <w:t>énè</w:t>
      </w:r>
      <w:r w:rsidRPr="00DC2F2C">
        <w:rPr>
          <w:iCs/>
          <w:szCs w:val="22"/>
          <w:u w:val="single"/>
          <w:lang w:val="fr-FR"/>
        </w:rPr>
        <w:t>s</w:t>
      </w:r>
      <w:r w:rsidR="00CD5D33" w:rsidRPr="00DC2F2C">
        <w:rPr>
          <w:iCs/>
          <w:szCs w:val="22"/>
          <w:u w:val="single"/>
          <w:lang w:val="fr-FR"/>
        </w:rPr>
        <w:t>e</w:t>
      </w:r>
    </w:p>
    <w:p w14:paraId="10B549BA" w14:textId="77777777" w:rsidR="00FD78B6" w:rsidRPr="00DC2F2C" w:rsidRDefault="00CD5D33" w:rsidP="000A5BB2">
      <w:pPr>
        <w:rPr>
          <w:lang w:val="fr-FR"/>
        </w:rPr>
      </w:pPr>
      <w:r w:rsidRPr="00DC2F2C">
        <w:rPr>
          <w:lang w:val="fr-FR"/>
        </w:rPr>
        <w:t>Aucune étude de c</w:t>
      </w:r>
      <w:r w:rsidR="00FD78B6" w:rsidRPr="00DC2F2C">
        <w:rPr>
          <w:lang w:val="fr-FR"/>
        </w:rPr>
        <w:t>arcinog</w:t>
      </w:r>
      <w:r w:rsidRPr="00DC2F2C">
        <w:rPr>
          <w:lang w:val="fr-FR"/>
        </w:rPr>
        <w:t>énicité</w:t>
      </w:r>
      <w:r w:rsidR="00FD78B6" w:rsidRPr="00DC2F2C">
        <w:rPr>
          <w:lang w:val="fr-FR"/>
        </w:rPr>
        <w:t xml:space="preserve"> </w:t>
      </w:r>
      <w:r w:rsidRPr="00DC2F2C">
        <w:rPr>
          <w:lang w:val="fr-FR"/>
        </w:rPr>
        <w:t>n’a été réalisée avec le</w:t>
      </w:r>
      <w:r w:rsidR="00FD78B6" w:rsidRPr="00DC2F2C">
        <w:rPr>
          <w:lang w:val="fr-FR"/>
        </w:rPr>
        <w:t xml:space="preserve"> </w:t>
      </w:r>
      <w:proofErr w:type="spellStart"/>
      <w:r w:rsidR="00FD78B6" w:rsidRPr="00DC2F2C">
        <w:rPr>
          <w:lang w:val="fr-FR"/>
        </w:rPr>
        <w:t>tivozanib</w:t>
      </w:r>
      <w:proofErr w:type="spellEnd"/>
      <w:r w:rsidR="00FD78B6" w:rsidRPr="00DC2F2C">
        <w:rPr>
          <w:lang w:val="fr-FR"/>
        </w:rPr>
        <w:t xml:space="preserve">. </w:t>
      </w:r>
    </w:p>
    <w:p w14:paraId="15DA277C" w14:textId="77777777" w:rsidR="009D339A" w:rsidRPr="00DC2F2C" w:rsidRDefault="009D339A" w:rsidP="009D43DC">
      <w:pPr>
        <w:numPr>
          <w:ilvl w:val="12"/>
          <w:numId w:val="0"/>
        </w:numPr>
        <w:tabs>
          <w:tab w:val="clear" w:pos="567"/>
        </w:tabs>
        <w:ind w:right="549"/>
        <w:rPr>
          <w:szCs w:val="22"/>
          <w:lang w:val="fr-FR"/>
        </w:rPr>
      </w:pPr>
    </w:p>
    <w:p w14:paraId="6D297B63" w14:textId="77777777" w:rsidR="00A02D8B" w:rsidRPr="00DC2F2C" w:rsidRDefault="00A02D8B" w:rsidP="009D43DC">
      <w:pPr>
        <w:numPr>
          <w:ilvl w:val="12"/>
          <w:numId w:val="0"/>
        </w:numPr>
        <w:tabs>
          <w:tab w:val="clear" w:pos="567"/>
        </w:tabs>
        <w:ind w:right="549"/>
        <w:rPr>
          <w:szCs w:val="22"/>
          <w:lang w:val="fr-FR"/>
        </w:rPr>
      </w:pPr>
    </w:p>
    <w:p w14:paraId="6B6F7FC5" w14:textId="77777777" w:rsidR="00812D16" w:rsidRPr="00DC2F2C" w:rsidRDefault="00812D16" w:rsidP="00073C28">
      <w:pPr>
        <w:keepNext/>
        <w:keepLines/>
        <w:suppressLineNumbers/>
        <w:ind w:right="550"/>
        <w:rPr>
          <w:b/>
          <w:szCs w:val="22"/>
          <w:lang w:val="fr-FR"/>
        </w:rPr>
      </w:pPr>
      <w:r w:rsidRPr="00DC2F2C">
        <w:rPr>
          <w:b/>
          <w:szCs w:val="22"/>
          <w:lang w:val="fr-FR"/>
        </w:rPr>
        <w:t>6.</w:t>
      </w:r>
      <w:r w:rsidRPr="00DC2F2C">
        <w:rPr>
          <w:b/>
          <w:szCs w:val="22"/>
          <w:lang w:val="fr-FR"/>
        </w:rPr>
        <w:tab/>
      </w:r>
      <w:r w:rsidR="00D94ECA" w:rsidRPr="00DC2F2C">
        <w:rPr>
          <w:b/>
          <w:lang w:val="fr-FR"/>
        </w:rPr>
        <w:t>DONNÉES PHARMACEUTIQUES</w:t>
      </w:r>
    </w:p>
    <w:p w14:paraId="2F859DAE" w14:textId="77777777" w:rsidR="00812D16" w:rsidRPr="00DC2F2C" w:rsidRDefault="00812D16" w:rsidP="009D43DC">
      <w:pPr>
        <w:keepNext/>
        <w:keepLines/>
        <w:numPr>
          <w:ilvl w:val="12"/>
          <w:numId w:val="0"/>
        </w:numPr>
        <w:tabs>
          <w:tab w:val="clear" w:pos="567"/>
        </w:tabs>
        <w:ind w:right="550"/>
        <w:rPr>
          <w:szCs w:val="22"/>
          <w:lang w:val="fr-FR"/>
        </w:rPr>
      </w:pPr>
    </w:p>
    <w:p w14:paraId="33FEF274" w14:textId="77777777" w:rsidR="00812D16" w:rsidRPr="00DC2F2C" w:rsidRDefault="00812D16" w:rsidP="00073C28">
      <w:pPr>
        <w:keepNext/>
        <w:keepLines/>
        <w:suppressLineNumbers/>
        <w:ind w:right="550"/>
        <w:rPr>
          <w:szCs w:val="22"/>
          <w:lang w:val="fr-FR"/>
        </w:rPr>
      </w:pPr>
      <w:r w:rsidRPr="00DC2F2C">
        <w:rPr>
          <w:b/>
          <w:szCs w:val="22"/>
          <w:lang w:val="fr-FR"/>
        </w:rPr>
        <w:t>6.1</w:t>
      </w:r>
      <w:r w:rsidRPr="00DC2F2C">
        <w:rPr>
          <w:b/>
          <w:szCs w:val="22"/>
          <w:lang w:val="fr-FR"/>
        </w:rPr>
        <w:tab/>
        <w:t>List</w:t>
      </w:r>
      <w:r w:rsidR="00D94ECA" w:rsidRPr="00DC2F2C">
        <w:rPr>
          <w:b/>
          <w:szCs w:val="22"/>
          <w:lang w:val="fr-FR"/>
        </w:rPr>
        <w:t>e des</w:t>
      </w:r>
      <w:r w:rsidRPr="00DC2F2C">
        <w:rPr>
          <w:b/>
          <w:szCs w:val="22"/>
          <w:lang w:val="fr-FR"/>
        </w:rPr>
        <w:t xml:space="preserve"> excipients</w:t>
      </w:r>
    </w:p>
    <w:p w14:paraId="56A8289A" w14:textId="77777777" w:rsidR="00812D16" w:rsidRPr="00DC2F2C" w:rsidRDefault="00812D16" w:rsidP="009D43DC">
      <w:pPr>
        <w:keepNext/>
        <w:keepLines/>
        <w:numPr>
          <w:ilvl w:val="12"/>
          <w:numId w:val="0"/>
        </w:numPr>
        <w:tabs>
          <w:tab w:val="clear" w:pos="567"/>
        </w:tabs>
        <w:ind w:right="550"/>
        <w:rPr>
          <w:szCs w:val="22"/>
          <w:lang w:val="fr-FR"/>
        </w:rPr>
      </w:pPr>
    </w:p>
    <w:p w14:paraId="0C2A7B55" w14:textId="77777777" w:rsidR="00A25DD4" w:rsidRPr="00DC2F2C" w:rsidRDefault="00A25DD4" w:rsidP="009D43DC">
      <w:pPr>
        <w:keepNext/>
        <w:keepLines/>
        <w:tabs>
          <w:tab w:val="clear" w:pos="567"/>
        </w:tabs>
        <w:ind w:right="550"/>
        <w:rPr>
          <w:szCs w:val="22"/>
          <w:u w:val="single"/>
          <w:lang w:val="fr-FR"/>
        </w:rPr>
      </w:pPr>
      <w:r w:rsidRPr="00DC2F2C">
        <w:rPr>
          <w:szCs w:val="22"/>
          <w:u w:val="single"/>
          <w:lang w:val="fr-FR"/>
        </w:rPr>
        <w:t xml:space="preserve">Fotivda </w:t>
      </w:r>
      <w:r w:rsidR="00FD219E" w:rsidRPr="00DC2F2C">
        <w:rPr>
          <w:szCs w:val="22"/>
          <w:u w:val="single"/>
          <w:lang w:val="fr-FR"/>
        </w:rPr>
        <w:t>890</w:t>
      </w:r>
      <w:r w:rsidRPr="00DC2F2C">
        <w:rPr>
          <w:szCs w:val="22"/>
          <w:u w:val="single"/>
          <w:lang w:val="fr-FR"/>
        </w:rPr>
        <w:t> m</w:t>
      </w:r>
      <w:r w:rsidR="00FD219E" w:rsidRPr="00DC2F2C">
        <w:rPr>
          <w:szCs w:val="22"/>
          <w:u w:val="single"/>
          <w:lang w:val="fr-FR"/>
        </w:rPr>
        <w:t>icro</w:t>
      </w:r>
      <w:r w:rsidRPr="00DC2F2C">
        <w:rPr>
          <w:szCs w:val="22"/>
          <w:u w:val="single"/>
          <w:lang w:val="fr-FR"/>
        </w:rPr>
        <w:t>g</w:t>
      </w:r>
      <w:r w:rsidR="00FD219E" w:rsidRPr="00DC2F2C">
        <w:rPr>
          <w:szCs w:val="22"/>
          <w:u w:val="single"/>
          <w:lang w:val="fr-FR"/>
        </w:rPr>
        <w:t>ram</w:t>
      </w:r>
      <w:r w:rsidR="006D5ADB" w:rsidRPr="00DC2F2C">
        <w:rPr>
          <w:szCs w:val="22"/>
          <w:u w:val="single"/>
          <w:lang w:val="fr-FR"/>
        </w:rPr>
        <w:t>mes, gélule</w:t>
      </w:r>
    </w:p>
    <w:p w14:paraId="54CA281F" w14:textId="77777777" w:rsidR="00A25DD4" w:rsidRPr="00DC2F2C" w:rsidRDefault="00A25DD4" w:rsidP="009D43DC">
      <w:pPr>
        <w:keepNext/>
        <w:keepLines/>
        <w:numPr>
          <w:ilvl w:val="12"/>
          <w:numId w:val="0"/>
        </w:numPr>
        <w:tabs>
          <w:tab w:val="clear" w:pos="567"/>
        </w:tabs>
        <w:ind w:right="550"/>
        <w:rPr>
          <w:szCs w:val="22"/>
          <w:lang w:val="fr-FR"/>
        </w:rPr>
      </w:pPr>
    </w:p>
    <w:p w14:paraId="6A720899" w14:textId="77777777" w:rsidR="00E17B8F" w:rsidRPr="00DC2F2C" w:rsidRDefault="00CC22D5" w:rsidP="009D43DC">
      <w:pPr>
        <w:keepNext/>
        <w:keepLines/>
        <w:tabs>
          <w:tab w:val="clear" w:pos="567"/>
        </w:tabs>
        <w:ind w:right="550"/>
        <w:rPr>
          <w:i/>
          <w:szCs w:val="22"/>
          <w:shd w:val="pct15" w:color="auto" w:fill="FFFFFF"/>
          <w:lang w:val="fr-FR"/>
        </w:rPr>
      </w:pPr>
      <w:r w:rsidRPr="00DC2F2C">
        <w:rPr>
          <w:i/>
          <w:szCs w:val="22"/>
          <w:lang w:val="fr-FR"/>
        </w:rPr>
        <w:t>Contenu de la gélule</w:t>
      </w:r>
    </w:p>
    <w:p w14:paraId="33C0BF88" w14:textId="77777777" w:rsidR="00E17B8F" w:rsidRPr="00DC2F2C" w:rsidRDefault="009D43DC" w:rsidP="009D43DC">
      <w:pPr>
        <w:tabs>
          <w:tab w:val="clear" w:pos="567"/>
        </w:tabs>
        <w:ind w:right="549"/>
        <w:rPr>
          <w:szCs w:val="22"/>
          <w:shd w:val="pct15" w:color="auto" w:fill="FFFFFF"/>
          <w:lang w:val="fr-FR"/>
        </w:rPr>
      </w:pPr>
      <w:r w:rsidRPr="00DC2F2C">
        <w:rPr>
          <w:szCs w:val="22"/>
          <w:lang w:val="fr-FR"/>
        </w:rPr>
        <w:t>Mannitol</w:t>
      </w:r>
    </w:p>
    <w:p w14:paraId="0480981B" w14:textId="77777777" w:rsidR="00E17B8F" w:rsidRPr="00DC2F2C" w:rsidRDefault="00911A2F" w:rsidP="009D43DC">
      <w:pPr>
        <w:tabs>
          <w:tab w:val="clear" w:pos="567"/>
        </w:tabs>
        <w:ind w:right="549"/>
        <w:rPr>
          <w:szCs w:val="22"/>
          <w:shd w:val="pct15" w:color="auto" w:fill="FFFFFF"/>
          <w:lang w:val="fr-FR"/>
        </w:rPr>
      </w:pPr>
      <w:r w:rsidRPr="00DC2F2C">
        <w:rPr>
          <w:szCs w:val="22"/>
          <w:lang w:val="fr-FR"/>
        </w:rPr>
        <w:t>Stéarate de magnésium</w:t>
      </w:r>
    </w:p>
    <w:p w14:paraId="5457F32A" w14:textId="77777777" w:rsidR="00E17B8F" w:rsidRPr="00DC2F2C" w:rsidRDefault="00E17B8F" w:rsidP="009D43DC">
      <w:pPr>
        <w:tabs>
          <w:tab w:val="clear" w:pos="567"/>
        </w:tabs>
        <w:ind w:right="549"/>
        <w:rPr>
          <w:szCs w:val="22"/>
          <w:shd w:val="pct15" w:color="auto" w:fill="FFFFFF"/>
          <w:lang w:val="fr-FR"/>
        </w:rPr>
      </w:pPr>
    </w:p>
    <w:p w14:paraId="4D18644E" w14:textId="77777777" w:rsidR="00E17B8F" w:rsidRPr="00DC2F2C" w:rsidRDefault="0083650C" w:rsidP="00D16C6F">
      <w:pPr>
        <w:keepNext/>
        <w:keepLines/>
        <w:tabs>
          <w:tab w:val="clear" w:pos="567"/>
        </w:tabs>
        <w:ind w:right="550"/>
        <w:rPr>
          <w:i/>
          <w:szCs w:val="22"/>
          <w:shd w:val="pct15" w:color="auto" w:fill="FFFFFF"/>
          <w:lang w:val="fr-FR"/>
        </w:rPr>
      </w:pPr>
      <w:r w:rsidRPr="00DC2F2C">
        <w:rPr>
          <w:i/>
          <w:szCs w:val="22"/>
          <w:lang w:val="fr-FR"/>
        </w:rPr>
        <w:t>Enveloppe de la gélule</w:t>
      </w:r>
    </w:p>
    <w:p w14:paraId="3BCCDA34" w14:textId="77777777" w:rsidR="00E17B8F" w:rsidRPr="00DC2F2C" w:rsidRDefault="009D43DC" w:rsidP="00D16C6F">
      <w:pPr>
        <w:keepNext/>
        <w:keepLines/>
        <w:tabs>
          <w:tab w:val="clear" w:pos="567"/>
        </w:tabs>
        <w:ind w:right="549"/>
        <w:rPr>
          <w:szCs w:val="22"/>
          <w:shd w:val="pct15" w:color="auto" w:fill="FFFFFF"/>
          <w:lang w:val="fr-FR"/>
        </w:rPr>
      </w:pPr>
      <w:r w:rsidRPr="00DC2F2C">
        <w:rPr>
          <w:szCs w:val="22"/>
          <w:lang w:val="fr-FR"/>
        </w:rPr>
        <w:t>G</w:t>
      </w:r>
      <w:r w:rsidR="00AA3D80" w:rsidRPr="00DC2F2C">
        <w:rPr>
          <w:szCs w:val="22"/>
          <w:lang w:val="fr-FR"/>
        </w:rPr>
        <w:t>é</w:t>
      </w:r>
      <w:r w:rsidRPr="00DC2F2C">
        <w:rPr>
          <w:szCs w:val="22"/>
          <w:lang w:val="fr-FR"/>
        </w:rPr>
        <w:t>latin</w:t>
      </w:r>
      <w:r w:rsidR="00AA3D80" w:rsidRPr="00DC2F2C">
        <w:rPr>
          <w:szCs w:val="22"/>
          <w:lang w:val="fr-FR"/>
        </w:rPr>
        <w:t>e</w:t>
      </w:r>
    </w:p>
    <w:p w14:paraId="3CDBDCE0" w14:textId="77777777" w:rsidR="00E17B8F" w:rsidRPr="00DC2F2C" w:rsidRDefault="001157AF" w:rsidP="00D16C6F">
      <w:pPr>
        <w:keepNext/>
        <w:keepLines/>
        <w:tabs>
          <w:tab w:val="clear" w:pos="567"/>
        </w:tabs>
        <w:ind w:right="549"/>
        <w:rPr>
          <w:szCs w:val="22"/>
          <w:shd w:val="pct15" w:color="auto" w:fill="FFFFFF"/>
          <w:lang w:val="fr-FR"/>
        </w:rPr>
      </w:pPr>
      <w:r w:rsidRPr="00DC2F2C">
        <w:rPr>
          <w:szCs w:val="22"/>
          <w:lang w:val="fr-FR"/>
        </w:rPr>
        <w:t xml:space="preserve">Dioxyde de titane </w:t>
      </w:r>
      <w:r w:rsidR="009D43DC" w:rsidRPr="00DC2F2C">
        <w:rPr>
          <w:szCs w:val="22"/>
          <w:lang w:val="fr-FR"/>
        </w:rPr>
        <w:t>(E171)</w:t>
      </w:r>
    </w:p>
    <w:p w14:paraId="59B54B00" w14:textId="77777777" w:rsidR="00E17B8F" w:rsidRPr="00DC2F2C" w:rsidRDefault="006E351C" w:rsidP="00D16C6F">
      <w:pPr>
        <w:keepNext/>
        <w:keepLines/>
        <w:tabs>
          <w:tab w:val="clear" w:pos="567"/>
        </w:tabs>
        <w:ind w:right="549"/>
        <w:rPr>
          <w:szCs w:val="22"/>
          <w:shd w:val="pct15" w:color="auto" w:fill="FFFFFF"/>
          <w:lang w:val="fr-FR"/>
        </w:rPr>
      </w:pPr>
      <w:r w:rsidRPr="00DC2F2C">
        <w:rPr>
          <w:szCs w:val="22"/>
          <w:lang w:val="fr-FR"/>
        </w:rPr>
        <w:t>Carmin d’indigo</w:t>
      </w:r>
      <w:r w:rsidR="00DF3B40" w:rsidRPr="00DC2F2C">
        <w:rPr>
          <w:szCs w:val="22"/>
          <w:lang w:val="fr-FR"/>
        </w:rPr>
        <w:t xml:space="preserve"> </w:t>
      </w:r>
      <w:r w:rsidR="009D43DC" w:rsidRPr="00DC2F2C">
        <w:rPr>
          <w:szCs w:val="22"/>
          <w:lang w:val="fr-FR"/>
        </w:rPr>
        <w:t>(E132)</w:t>
      </w:r>
    </w:p>
    <w:p w14:paraId="1B0B1FBC" w14:textId="77777777" w:rsidR="00E17B8F" w:rsidRPr="00DC2F2C" w:rsidRDefault="003D59BA" w:rsidP="00D16C6F">
      <w:pPr>
        <w:keepNext/>
        <w:keepLines/>
        <w:numPr>
          <w:ilvl w:val="12"/>
          <w:numId w:val="0"/>
        </w:numPr>
        <w:tabs>
          <w:tab w:val="clear" w:pos="567"/>
        </w:tabs>
        <w:ind w:right="549"/>
        <w:rPr>
          <w:szCs w:val="22"/>
          <w:shd w:val="pct15" w:color="auto" w:fill="FFFFFF"/>
          <w:lang w:val="fr-FR"/>
        </w:rPr>
      </w:pPr>
      <w:r w:rsidRPr="00DC2F2C">
        <w:rPr>
          <w:szCs w:val="22"/>
          <w:lang w:val="fr-FR"/>
        </w:rPr>
        <w:t>Oxyde de fer jaune</w:t>
      </w:r>
      <w:r w:rsidR="009D43DC" w:rsidRPr="00DC2F2C">
        <w:rPr>
          <w:szCs w:val="22"/>
          <w:lang w:val="fr-FR"/>
        </w:rPr>
        <w:t xml:space="preserve"> (E172)</w:t>
      </w:r>
    </w:p>
    <w:p w14:paraId="14CD35E2" w14:textId="77777777" w:rsidR="000F0D0C" w:rsidRPr="00DC2F2C" w:rsidRDefault="000F0D0C" w:rsidP="009D43DC">
      <w:pPr>
        <w:numPr>
          <w:ilvl w:val="12"/>
          <w:numId w:val="0"/>
        </w:numPr>
        <w:tabs>
          <w:tab w:val="clear" w:pos="567"/>
        </w:tabs>
        <w:ind w:right="549"/>
        <w:rPr>
          <w:szCs w:val="22"/>
          <w:lang w:val="fr-FR"/>
        </w:rPr>
      </w:pPr>
    </w:p>
    <w:p w14:paraId="1F98D6A0" w14:textId="77777777" w:rsidR="00E17B8F" w:rsidRPr="00DC2F2C" w:rsidRDefault="00EC5941" w:rsidP="003928E9">
      <w:pPr>
        <w:keepNext/>
        <w:keepLines/>
        <w:numPr>
          <w:ilvl w:val="12"/>
          <w:numId w:val="0"/>
        </w:numPr>
        <w:tabs>
          <w:tab w:val="clear" w:pos="567"/>
        </w:tabs>
        <w:ind w:right="550"/>
        <w:rPr>
          <w:i/>
          <w:szCs w:val="22"/>
          <w:shd w:val="pct15" w:color="auto" w:fill="FFFFFF"/>
          <w:lang w:val="fr-FR"/>
        </w:rPr>
      </w:pPr>
      <w:r w:rsidRPr="00DC2F2C">
        <w:rPr>
          <w:i/>
          <w:szCs w:val="22"/>
          <w:lang w:val="fr-FR"/>
        </w:rPr>
        <w:t>Encre d’impression</w:t>
      </w:r>
      <w:r w:rsidR="00E17B8F" w:rsidRPr="00DC2F2C">
        <w:rPr>
          <w:i/>
          <w:szCs w:val="22"/>
          <w:lang w:val="fr-FR"/>
        </w:rPr>
        <w:t xml:space="preserve"> (</w:t>
      </w:r>
      <w:r w:rsidRPr="00DC2F2C">
        <w:rPr>
          <w:i/>
          <w:szCs w:val="22"/>
          <w:lang w:val="fr-FR"/>
        </w:rPr>
        <w:t>jaune</w:t>
      </w:r>
      <w:r w:rsidR="00E17B8F" w:rsidRPr="00DC2F2C">
        <w:rPr>
          <w:i/>
          <w:szCs w:val="22"/>
          <w:lang w:val="fr-FR"/>
        </w:rPr>
        <w:t>)</w:t>
      </w:r>
    </w:p>
    <w:p w14:paraId="456E8274" w14:textId="77777777" w:rsidR="00F84CDC" w:rsidRPr="00DC2F2C" w:rsidRDefault="00F84CDC" w:rsidP="003928E9">
      <w:pPr>
        <w:keepNext/>
        <w:keepLines/>
        <w:tabs>
          <w:tab w:val="clear" w:pos="567"/>
        </w:tabs>
        <w:ind w:right="549"/>
        <w:rPr>
          <w:szCs w:val="22"/>
          <w:shd w:val="pct15" w:color="auto" w:fill="FFFFFF"/>
          <w:lang w:val="fr-FR"/>
        </w:rPr>
      </w:pPr>
      <w:r w:rsidRPr="00DC2F2C">
        <w:rPr>
          <w:szCs w:val="22"/>
          <w:lang w:val="fr-FR"/>
        </w:rPr>
        <w:t>Gomme laque</w:t>
      </w:r>
    </w:p>
    <w:p w14:paraId="3B8F7D2C" w14:textId="77777777" w:rsidR="00E17B8F" w:rsidRPr="00DC2F2C" w:rsidRDefault="00E17B8F" w:rsidP="003928E9">
      <w:pPr>
        <w:keepNext/>
        <w:keepLines/>
        <w:tabs>
          <w:tab w:val="clear" w:pos="567"/>
        </w:tabs>
        <w:ind w:right="549"/>
        <w:rPr>
          <w:szCs w:val="22"/>
          <w:shd w:val="pct15" w:color="auto" w:fill="FFFFFF"/>
          <w:lang w:val="fr-FR"/>
        </w:rPr>
      </w:pPr>
      <w:r w:rsidRPr="00DC2F2C">
        <w:rPr>
          <w:szCs w:val="22"/>
          <w:lang w:val="fr-FR"/>
        </w:rPr>
        <w:t>Propyl</w:t>
      </w:r>
      <w:r w:rsidR="00F93C34" w:rsidRPr="00DC2F2C">
        <w:rPr>
          <w:szCs w:val="22"/>
          <w:lang w:val="fr-FR"/>
        </w:rPr>
        <w:t>è</w:t>
      </w:r>
      <w:r w:rsidRPr="00DC2F2C">
        <w:rPr>
          <w:szCs w:val="22"/>
          <w:lang w:val="fr-FR"/>
        </w:rPr>
        <w:t xml:space="preserve">ne glycol </w:t>
      </w:r>
    </w:p>
    <w:p w14:paraId="0AC1E372" w14:textId="77777777" w:rsidR="00E17B8F" w:rsidRPr="00DC2F2C" w:rsidRDefault="004E515E" w:rsidP="003928E9">
      <w:pPr>
        <w:keepNext/>
        <w:keepLines/>
        <w:tabs>
          <w:tab w:val="clear" w:pos="567"/>
        </w:tabs>
        <w:ind w:right="549"/>
        <w:rPr>
          <w:szCs w:val="22"/>
          <w:shd w:val="pct15" w:color="auto" w:fill="FFFFFF"/>
          <w:lang w:val="fr-FR"/>
        </w:rPr>
      </w:pPr>
      <w:r w:rsidRPr="00DC2F2C">
        <w:rPr>
          <w:szCs w:val="22"/>
          <w:lang w:val="fr-FR"/>
        </w:rPr>
        <w:t>Solution forte d’ammoniaque</w:t>
      </w:r>
    </w:p>
    <w:p w14:paraId="4B3F3374" w14:textId="77777777" w:rsidR="00E17B8F" w:rsidRPr="00DC2F2C" w:rsidRDefault="001157AF" w:rsidP="003928E9">
      <w:pPr>
        <w:keepNext/>
        <w:keepLines/>
        <w:tabs>
          <w:tab w:val="clear" w:pos="567"/>
        </w:tabs>
        <w:ind w:right="549"/>
        <w:rPr>
          <w:szCs w:val="22"/>
          <w:shd w:val="pct15" w:color="auto" w:fill="FFFFFF"/>
          <w:lang w:val="fr-FR"/>
        </w:rPr>
      </w:pPr>
      <w:r w:rsidRPr="00DC2F2C">
        <w:rPr>
          <w:szCs w:val="22"/>
          <w:lang w:val="fr-FR"/>
        </w:rPr>
        <w:t xml:space="preserve">Dioxyde de titane </w:t>
      </w:r>
      <w:r w:rsidR="00E17B8F" w:rsidRPr="00DC2F2C">
        <w:rPr>
          <w:szCs w:val="22"/>
          <w:lang w:val="fr-FR"/>
        </w:rPr>
        <w:t>(E171)</w:t>
      </w:r>
    </w:p>
    <w:p w14:paraId="52A5B4F8" w14:textId="77777777" w:rsidR="00E17B8F" w:rsidRPr="00DC2F2C" w:rsidRDefault="00015FD2" w:rsidP="009D43DC">
      <w:pPr>
        <w:tabs>
          <w:tab w:val="clear" w:pos="567"/>
        </w:tabs>
        <w:ind w:right="549"/>
        <w:rPr>
          <w:szCs w:val="22"/>
          <w:lang w:val="fr-FR"/>
        </w:rPr>
      </w:pPr>
      <w:r w:rsidRPr="00DC2F2C">
        <w:rPr>
          <w:szCs w:val="22"/>
          <w:lang w:val="fr-FR"/>
        </w:rPr>
        <w:t>Laque aluminique de t</w:t>
      </w:r>
      <w:r w:rsidR="009D43DC" w:rsidRPr="00DC2F2C">
        <w:rPr>
          <w:szCs w:val="22"/>
          <w:lang w:val="fr-FR"/>
        </w:rPr>
        <w:t>artrazine (E102)</w:t>
      </w:r>
    </w:p>
    <w:p w14:paraId="3A1C610A" w14:textId="77777777" w:rsidR="00E17B8F" w:rsidRPr="00DC2F2C" w:rsidRDefault="00E17B8F" w:rsidP="009D43DC">
      <w:pPr>
        <w:tabs>
          <w:tab w:val="clear" w:pos="567"/>
        </w:tabs>
        <w:ind w:left="720" w:right="549"/>
        <w:rPr>
          <w:szCs w:val="22"/>
          <w:lang w:val="fr-FR"/>
        </w:rPr>
      </w:pPr>
    </w:p>
    <w:p w14:paraId="6DC39964" w14:textId="77777777" w:rsidR="00E17B8F" w:rsidRPr="00DC2F2C" w:rsidRDefault="00D8329C" w:rsidP="009D43DC">
      <w:pPr>
        <w:keepNext/>
        <w:keepLines/>
        <w:numPr>
          <w:ilvl w:val="12"/>
          <w:numId w:val="0"/>
        </w:numPr>
        <w:tabs>
          <w:tab w:val="clear" w:pos="567"/>
        </w:tabs>
        <w:ind w:right="550"/>
        <w:rPr>
          <w:i/>
          <w:szCs w:val="22"/>
          <w:shd w:val="pct15" w:color="auto" w:fill="FFFFFF"/>
          <w:lang w:val="fr-FR"/>
        </w:rPr>
      </w:pPr>
      <w:r w:rsidRPr="00DC2F2C">
        <w:rPr>
          <w:i/>
          <w:szCs w:val="22"/>
          <w:lang w:val="fr-FR"/>
        </w:rPr>
        <w:lastRenderedPageBreak/>
        <w:t>Encre d’impression</w:t>
      </w:r>
      <w:r w:rsidR="00E17B8F" w:rsidRPr="00DC2F2C">
        <w:rPr>
          <w:i/>
          <w:szCs w:val="22"/>
          <w:lang w:val="fr-FR"/>
        </w:rPr>
        <w:t xml:space="preserve"> (</w:t>
      </w:r>
      <w:r w:rsidRPr="00DC2F2C">
        <w:rPr>
          <w:i/>
          <w:szCs w:val="22"/>
          <w:lang w:val="fr-FR"/>
        </w:rPr>
        <w:t>bleue</w:t>
      </w:r>
      <w:r w:rsidR="00E17B8F" w:rsidRPr="00DC2F2C">
        <w:rPr>
          <w:i/>
          <w:szCs w:val="22"/>
          <w:lang w:val="fr-FR"/>
        </w:rPr>
        <w:t>)</w:t>
      </w:r>
    </w:p>
    <w:p w14:paraId="03E08C97" w14:textId="77777777" w:rsidR="00F84CDC" w:rsidRPr="00DC2F2C" w:rsidRDefault="00F84CDC" w:rsidP="000A5BB2">
      <w:pPr>
        <w:rPr>
          <w:shd w:val="pct15" w:color="auto" w:fill="FFFFFF"/>
          <w:lang w:val="fr-FR"/>
        </w:rPr>
      </w:pPr>
      <w:r w:rsidRPr="00DC2F2C">
        <w:rPr>
          <w:lang w:val="fr-FR"/>
        </w:rPr>
        <w:t>Gomme laque</w:t>
      </w:r>
    </w:p>
    <w:p w14:paraId="587E28B0" w14:textId="77777777" w:rsidR="00E17B8F" w:rsidRPr="00DC2F2C" w:rsidRDefault="00F93C34" w:rsidP="000A5BB2">
      <w:pPr>
        <w:rPr>
          <w:shd w:val="pct15" w:color="auto" w:fill="FFFFFF"/>
          <w:lang w:val="fr-FR"/>
        </w:rPr>
      </w:pPr>
      <w:r w:rsidRPr="00DC2F2C">
        <w:rPr>
          <w:lang w:val="fr-FR"/>
        </w:rPr>
        <w:t>Propylè</w:t>
      </w:r>
      <w:r w:rsidR="009D43DC" w:rsidRPr="00DC2F2C">
        <w:rPr>
          <w:lang w:val="fr-FR"/>
        </w:rPr>
        <w:t>ne glycol</w:t>
      </w:r>
    </w:p>
    <w:p w14:paraId="7AEBCBBD" w14:textId="77777777" w:rsidR="00E17B8F" w:rsidRPr="00DC2F2C" w:rsidRDefault="004E515E" w:rsidP="000A5BB2">
      <w:pPr>
        <w:rPr>
          <w:shd w:val="pct15" w:color="auto" w:fill="FFFFFF"/>
          <w:lang w:val="fr-FR"/>
        </w:rPr>
      </w:pPr>
      <w:r w:rsidRPr="00DC2F2C">
        <w:rPr>
          <w:lang w:val="fr-FR"/>
        </w:rPr>
        <w:t>Solution forte d’ammoniaque</w:t>
      </w:r>
    </w:p>
    <w:p w14:paraId="42F40FC4" w14:textId="77777777" w:rsidR="00E17B8F" w:rsidRPr="00DC2F2C" w:rsidRDefault="00015FD2" w:rsidP="000A5BB2">
      <w:pPr>
        <w:rPr>
          <w:lang w:val="fr-FR"/>
        </w:rPr>
      </w:pPr>
      <w:r w:rsidRPr="00DC2F2C">
        <w:rPr>
          <w:lang w:val="fr-FR"/>
        </w:rPr>
        <w:t>Laque aluminique de carmin d’in</w:t>
      </w:r>
      <w:r w:rsidR="00E17B8F" w:rsidRPr="00DC2F2C">
        <w:rPr>
          <w:lang w:val="fr-FR"/>
        </w:rPr>
        <w:t>digo (E132)</w:t>
      </w:r>
    </w:p>
    <w:p w14:paraId="280DA0A8" w14:textId="77777777" w:rsidR="00E17B8F" w:rsidRPr="00DC2F2C" w:rsidRDefault="00E17B8F" w:rsidP="009D43DC">
      <w:pPr>
        <w:numPr>
          <w:ilvl w:val="12"/>
          <w:numId w:val="0"/>
        </w:numPr>
        <w:tabs>
          <w:tab w:val="clear" w:pos="567"/>
        </w:tabs>
        <w:ind w:right="549"/>
        <w:rPr>
          <w:szCs w:val="22"/>
          <w:lang w:val="fr-FR"/>
        </w:rPr>
      </w:pPr>
    </w:p>
    <w:p w14:paraId="2DD90754" w14:textId="77777777" w:rsidR="00AB1B95" w:rsidRPr="00DC2F2C" w:rsidRDefault="00AB1B95" w:rsidP="00AB1B95">
      <w:pPr>
        <w:keepNext/>
        <w:keepLines/>
        <w:tabs>
          <w:tab w:val="clear" w:pos="567"/>
        </w:tabs>
        <w:ind w:right="550"/>
        <w:rPr>
          <w:szCs w:val="22"/>
          <w:u w:val="single"/>
          <w:lang w:val="fr-FR"/>
        </w:rPr>
      </w:pPr>
      <w:r w:rsidRPr="00DC2F2C">
        <w:rPr>
          <w:szCs w:val="22"/>
          <w:u w:val="single"/>
          <w:lang w:val="fr-FR"/>
        </w:rPr>
        <w:t>Fotivda 1</w:t>
      </w:r>
      <w:r w:rsidR="006D5ADB" w:rsidRPr="00DC2F2C">
        <w:rPr>
          <w:szCs w:val="22"/>
          <w:u w:val="single"/>
          <w:lang w:val="fr-FR"/>
        </w:rPr>
        <w:t> </w:t>
      </w:r>
      <w:r w:rsidR="00FD219E" w:rsidRPr="00DC2F2C">
        <w:rPr>
          <w:szCs w:val="22"/>
          <w:u w:val="single"/>
          <w:lang w:val="fr-FR"/>
        </w:rPr>
        <w:t>340</w:t>
      </w:r>
      <w:r w:rsidRPr="00DC2F2C">
        <w:rPr>
          <w:szCs w:val="22"/>
          <w:u w:val="single"/>
          <w:lang w:val="fr-FR"/>
        </w:rPr>
        <w:t> m</w:t>
      </w:r>
      <w:r w:rsidR="00FD219E" w:rsidRPr="00DC2F2C">
        <w:rPr>
          <w:szCs w:val="22"/>
          <w:u w:val="single"/>
          <w:lang w:val="fr-FR"/>
        </w:rPr>
        <w:t>icro</w:t>
      </w:r>
      <w:r w:rsidRPr="00DC2F2C">
        <w:rPr>
          <w:szCs w:val="22"/>
          <w:u w:val="single"/>
          <w:lang w:val="fr-FR"/>
        </w:rPr>
        <w:t>g</w:t>
      </w:r>
      <w:r w:rsidR="00FD219E" w:rsidRPr="00DC2F2C">
        <w:rPr>
          <w:szCs w:val="22"/>
          <w:u w:val="single"/>
          <w:lang w:val="fr-FR"/>
        </w:rPr>
        <w:t>ram</w:t>
      </w:r>
      <w:r w:rsidR="006D5ADB" w:rsidRPr="00DC2F2C">
        <w:rPr>
          <w:szCs w:val="22"/>
          <w:u w:val="single"/>
          <w:lang w:val="fr-FR"/>
        </w:rPr>
        <w:t>mes, gélule</w:t>
      </w:r>
    </w:p>
    <w:p w14:paraId="79FAE120" w14:textId="77777777" w:rsidR="00AB1B95" w:rsidRPr="00DC2F2C" w:rsidRDefault="00AB1B95" w:rsidP="00AB1B95">
      <w:pPr>
        <w:keepNext/>
        <w:keepLines/>
        <w:numPr>
          <w:ilvl w:val="12"/>
          <w:numId w:val="0"/>
        </w:numPr>
        <w:tabs>
          <w:tab w:val="clear" w:pos="567"/>
        </w:tabs>
        <w:ind w:right="550"/>
        <w:rPr>
          <w:szCs w:val="22"/>
          <w:lang w:val="fr-FR"/>
        </w:rPr>
      </w:pPr>
    </w:p>
    <w:p w14:paraId="289B90FF" w14:textId="77777777" w:rsidR="00AB1B95" w:rsidRPr="00DC2F2C" w:rsidRDefault="00CC22D5" w:rsidP="00AB1B95">
      <w:pPr>
        <w:keepNext/>
        <w:keepLines/>
        <w:ind w:right="550"/>
        <w:rPr>
          <w:i/>
          <w:szCs w:val="22"/>
          <w:lang w:val="fr-FR"/>
        </w:rPr>
      </w:pPr>
      <w:r w:rsidRPr="00DC2F2C">
        <w:rPr>
          <w:i/>
          <w:szCs w:val="22"/>
          <w:lang w:val="fr-FR"/>
        </w:rPr>
        <w:t>Contenu de la gélule</w:t>
      </w:r>
    </w:p>
    <w:p w14:paraId="73165097" w14:textId="77777777" w:rsidR="00AB1B95" w:rsidRPr="00DC2F2C" w:rsidRDefault="00AB1B95" w:rsidP="000A5BB2">
      <w:pPr>
        <w:rPr>
          <w:lang w:val="fr-FR"/>
        </w:rPr>
      </w:pPr>
      <w:r w:rsidRPr="00DC2F2C">
        <w:rPr>
          <w:lang w:val="fr-FR"/>
        </w:rPr>
        <w:t>Mannitol</w:t>
      </w:r>
    </w:p>
    <w:p w14:paraId="3A1E9569" w14:textId="77777777" w:rsidR="00AB1B95" w:rsidRPr="00DC2F2C" w:rsidRDefault="00911A2F" w:rsidP="000A5BB2">
      <w:pPr>
        <w:rPr>
          <w:lang w:val="fr-FR"/>
        </w:rPr>
      </w:pPr>
      <w:r w:rsidRPr="00DC2F2C">
        <w:rPr>
          <w:lang w:val="fr-FR"/>
        </w:rPr>
        <w:t>Stéarate de magnésium</w:t>
      </w:r>
    </w:p>
    <w:p w14:paraId="4256ADFE" w14:textId="77777777" w:rsidR="00AB1B95" w:rsidRPr="00DC2F2C" w:rsidRDefault="00AB1B95" w:rsidP="00AB1B95">
      <w:pPr>
        <w:tabs>
          <w:tab w:val="clear" w:pos="567"/>
        </w:tabs>
        <w:ind w:right="549"/>
        <w:rPr>
          <w:szCs w:val="22"/>
          <w:lang w:val="fr-FR"/>
        </w:rPr>
      </w:pPr>
    </w:p>
    <w:p w14:paraId="125DC2BE" w14:textId="77777777" w:rsidR="00AB1B95" w:rsidRPr="00DC2F2C" w:rsidRDefault="00652985" w:rsidP="00AB1B95">
      <w:pPr>
        <w:keepNext/>
        <w:keepLines/>
        <w:tabs>
          <w:tab w:val="clear" w:pos="567"/>
        </w:tabs>
        <w:ind w:right="550"/>
        <w:rPr>
          <w:i/>
          <w:szCs w:val="22"/>
          <w:lang w:val="fr-FR"/>
        </w:rPr>
      </w:pPr>
      <w:r w:rsidRPr="00DC2F2C">
        <w:rPr>
          <w:i/>
          <w:szCs w:val="22"/>
          <w:lang w:val="fr-FR"/>
        </w:rPr>
        <w:t>Enveloppe de la gélule</w:t>
      </w:r>
    </w:p>
    <w:p w14:paraId="3204A1DB" w14:textId="77777777" w:rsidR="00AB1B95" w:rsidRPr="00DC2F2C" w:rsidRDefault="00AB1B95" w:rsidP="000A5BB2">
      <w:pPr>
        <w:rPr>
          <w:lang w:val="fr-FR"/>
        </w:rPr>
      </w:pPr>
      <w:r w:rsidRPr="00DC2F2C">
        <w:rPr>
          <w:lang w:val="fr-FR"/>
        </w:rPr>
        <w:t>G</w:t>
      </w:r>
      <w:r w:rsidR="00AA3D80" w:rsidRPr="00DC2F2C">
        <w:rPr>
          <w:lang w:val="fr-FR"/>
        </w:rPr>
        <w:t>é</w:t>
      </w:r>
      <w:r w:rsidRPr="00DC2F2C">
        <w:rPr>
          <w:lang w:val="fr-FR"/>
        </w:rPr>
        <w:t>latin</w:t>
      </w:r>
      <w:r w:rsidR="00AA3D80" w:rsidRPr="00DC2F2C">
        <w:rPr>
          <w:lang w:val="fr-FR"/>
        </w:rPr>
        <w:t>e</w:t>
      </w:r>
    </w:p>
    <w:p w14:paraId="76C21630" w14:textId="77777777" w:rsidR="00AB1B95" w:rsidRPr="00DC2F2C" w:rsidRDefault="005E57F2" w:rsidP="000A5BB2">
      <w:pPr>
        <w:rPr>
          <w:lang w:val="fr-FR"/>
        </w:rPr>
      </w:pPr>
      <w:r w:rsidRPr="00DC2F2C">
        <w:rPr>
          <w:lang w:val="fr-FR"/>
        </w:rPr>
        <w:t>Dioxyde de titane</w:t>
      </w:r>
      <w:r w:rsidR="00AB1B95" w:rsidRPr="00DC2F2C">
        <w:rPr>
          <w:lang w:val="fr-FR"/>
        </w:rPr>
        <w:t xml:space="preserve"> (E171)</w:t>
      </w:r>
    </w:p>
    <w:p w14:paraId="0EDA2228" w14:textId="77777777" w:rsidR="00AB1B95" w:rsidRPr="00DC2F2C" w:rsidRDefault="003D59BA" w:rsidP="000A5BB2">
      <w:pPr>
        <w:rPr>
          <w:lang w:val="fr-FR"/>
        </w:rPr>
      </w:pPr>
      <w:r w:rsidRPr="00DC2F2C">
        <w:rPr>
          <w:lang w:val="fr-FR"/>
        </w:rPr>
        <w:t xml:space="preserve">Oxyde de fer jaune </w:t>
      </w:r>
      <w:r w:rsidR="00AB1B95" w:rsidRPr="00DC2F2C">
        <w:rPr>
          <w:lang w:val="fr-FR"/>
        </w:rPr>
        <w:t>(E172)</w:t>
      </w:r>
    </w:p>
    <w:p w14:paraId="615D0F9A" w14:textId="77777777" w:rsidR="00AB1B95" w:rsidRPr="00DC2F2C" w:rsidRDefault="00AB1B95" w:rsidP="00AB1B95">
      <w:pPr>
        <w:tabs>
          <w:tab w:val="clear" w:pos="567"/>
        </w:tabs>
        <w:ind w:right="549"/>
        <w:rPr>
          <w:szCs w:val="22"/>
          <w:lang w:val="fr-FR"/>
        </w:rPr>
      </w:pPr>
    </w:p>
    <w:p w14:paraId="4A2C7431" w14:textId="77777777" w:rsidR="00AB1B95" w:rsidRPr="00DC2F2C" w:rsidRDefault="00D8329C" w:rsidP="00AB1B95">
      <w:pPr>
        <w:keepNext/>
        <w:keepLines/>
        <w:tabs>
          <w:tab w:val="clear" w:pos="567"/>
        </w:tabs>
        <w:ind w:right="550"/>
        <w:rPr>
          <w:i/>
          <w:szCs w:val="22"/>
          <w:lang w:val="fr-FR"/>
        </w:rPr>
      </w:pPr>
      <w:r w:rsidRPr="00DC2F2C">
        <w:rPr>
          <w:i/>
          <w:szCs w:val="22"/>
          <w:lang w:val="fr-FR"/>
        </w:rPr>
        <w:t>Encre d’impression</w:t>
      </w:r>
      <w:r w:rsidR="00AB1B95" w:rsidRPr="00DC2F2C">
        <w:rPr>
          <w:i/>
          <w:szCs w:val="22"/>
          <w:lang w:val="fr-FR"/>
        </w:rPr>
        <w:t xml:space="preserve"> (</w:t>
      </w:r>
      <w:r w:rsidRPr="00DC2F2C">
        <w:rPr>
          <w:i/>
          <w:szCs w:val="22"/>
          <w:lang w:val="fr-FR"/>
        </w:rPr>
        <w:t>bleue</w:t>
      </w:r>
      <w:r w:rsidR="00AB1B95" w:rsidRPr="00DC2F2C">
        <w:rPr>
          <w:i/>
          <w:szCs w:val="22"/>
          <w:lang w:val="fr-FR"/>
        </w:rPr>
        <w:t xml:space="preserve">) </w:t>
      </w:r>
    </w:p>
    <w:p w14:paraId="26724F33" w14:textId="77777777" w:rsidR="00F84CDC" w:rsidRPr="00D55438" w:rsidRDefault="00F84CDC" w:rsidP="000A5BB2">
      <w:pPr>
        <w:rPr>
          <w:shd w:val="pct15" w:color="auto" w:fill="FFFFFF"/>
          <w:lang w:val="fr-FR"/>
        </w:rPr>
      </w:pPr>
      <w:r w:rsidRPr="00DC2F2C">
        <w:rPr>
          <w:lang w:val="fr-FR"/>
        </w:rPr>
        <w:t>Gomme laque</w:t>
      </w:r>
    </w:p>
    <w:p w14:paraId="0A551160" w14:textId="77777777" w:rsidR="00AB1B95" w:rsidRPr="00DC2F2C" w:rsidRDefault="00F93C34" w:rsidP="000A5BB2">
      <w:pPr>
        <w:rPr>
          <w:lang w:val="fr-FR"/>
        </w:rPr>
      </w:pPr>
      <w:r w:rsidRPr="00DC2F2C">
        <w:rPr>
          <w:lang w:val="fr-FR"/>
        </w:rPr>
        <w:t>Propylè</w:t>
      </w:r>
      <w:r w:rsidR="00AB1B95" w:rsidRPr="00DC2F2C">
        <w:rPr>
          <w:lang w:val="fr-FR"/>
        </w:rPr>
        <w:t>ne glycol</w:t>
      </w:r>
    </w:p>
    <w:p w14:paraId="7C884C0A" w14:textId="77777777" w:rsidR="00AB1B95" w:rsidRPr="00DC2F2C" w:rsidRDefault="004E515E" w:rsidP="000A5BB2">
      <w:pPr>
        <w:rPr>
          <w:lang w:val="fr-FR"/>
        </w:rPr>
      </w:pPr>
      <w:r w:rsidRPr="00DC2F2C">
        <w:rPr>
          <w:lang w:val="fr-FR"/>
        </w:rPr>
        <w:t>Solution forte d’ammoniaque</w:t>
      </w:r>
    </w:p>
    <w:p w14:paraId="13DA165E" w14:textId="77777777" w:rsidR="00AB1B95" w:rsidRPr="00DC2F2C" w:rsidRDefault="00015FD2" w:rsidP="000A5BB2">
      <w:pPr>
        <w:rPr>
          <w:lang w:val="fr-FR"/>
        </w:rPr>
      </w:pPr>
      <w:r w:rsidRPr="00DC2F2C">
        <w:rPr>
          <w:lang w:val="fr-FR"/>
        </w:rPr>
        <w:t>Laque aluminique de carmin d’i</w:t>
      </w:r>
      <w:r w:rsidR="00AB1B95" w:rsidRPr="00DC2F2C">
        <w:rPr>
          <w:lang w:val="fr-FR"/>
        </w:rPr>
        <w:t>ndigo (E132)</w:t>
      </w:r>
    </w:p>
    <w:p w14:paraId="3098DC02" w14:textId="77777777" w:rsidR="00AB1B95" w:rsidRPr="00DC2F2C" w:rsidRDefault="00AB1B95" w:rsidP="009D43DC">
      <w:pPr>
        <w:numPr>
          <w:ilvl w:val="12"/>
          <w:numId w:val="0"/>
        </w:numPr>
        <w:tabs>
          <w:tab w:val="clear" w:pos="567"/>
        </w:tabs>
        <w:ind w:right="549"/>
        <w:rPr>
          <w:szCs w:val="22"/>
          <w:lang w:val="fr-FR"/>
        </w:rPr>
      </w:pPr>
    </w:p>
    <w:p w14:paraId="733CF39E" w14:textId="77777777" w:rsidR="00812D16" w:rsidRPr="00DC2F2C" w:rsidRDefault="00D94ECA" w:rsidP="00073C28">
      <w:pPr>
        <w:keepNext/>
        <w:keepLines/>
        <w:suppressLineNumbers/>
        <w:ind w:right="550"/>
        <w:rPr>
          <w:szCs w:val="22"/>
          <w:lang w:val="fr-FR"/>
        </w:rPr>
      </w:pPr>
      <w:r w:rsidRPr="00DC2F2C">
        <w:rPr>
          <w:b/>
          <w:szCs w:val="22"/>
          <w:lang w:val="fr-FR"/>
        </w:rPr>
        <w:t>6.2</w:t>
      </w:r>
      <w:r w:rsidRPr="00DC2F2C">
        <w:rPr>
          <w:b/>
          <w:szCs w:val="22"/>
          <w:lang w:val="fr-FR"/>
        </w:rPr>
        <w:tab/>
        <w:t>Incompatibilité</w:t>
      </w:r>
      <w:r w:rsidR="00812D16" w:rsidRPr="00DC2F2C">
        <w:rPr>
          <w:b/>
          <w:szCs w:val="22"/>
          <w:lang w:val="fr-FR"/>
        </w:rPr>
        <w:t>s</w:t>
      </w:r>
    </w:p>
    <w:p w14:paraId="045AEBC3" w14:textId="77777777" w:rsidR="00812D16" w:rsidRPr="00DC2F2C" w:rsidRDefault="00812D16" w:rsidP="009D43DC">
      <w:pPr>
        <w:keepNext/>
        <w:keepLines/>
        <w:numPr>
          <w:ilvl w:val="12"/>
          <w:numId w:val="0"/>
        </w:numPr>
        <w:tabs>
          <w:tab w:val="clear" w:pos="567"/>
        </w:tabs>
        <w:ind w:right="550"/>
        <w:rPr>
          <w:szCs w:val="22"/>
          <w:lang w:val="fr-FR"/>
        </w:rPr>
      </w:pPr>
    </w:p>
    <w:p w14:paraId="2F1358F4" w14:textId="77777777" w:rsidR="00035DF9" w:rsidRPr="00DC2F2C" w:rsidRDefault="00D94ECA" w:rsidP="009D43DC">
      <w:pPr>
        <w:numPr>
          <w:ilvl w:val="12"/>
          <w:numId w:val="0"/>
        </w:numPr>
        <w:tabs>
          <w:tab w:val="clear" w:pos="567"/>
        </w:tabs>
        <w:ind w:right="549"/>
        <w:rPr>
          <w:szCs w:val="22"/>
          <w:lang w:val="fr-FR"/>
        </w:rPr>
      </w:pPr>
      <w:r w:rsidRPr="00DC2F2C">
        <w:rPr>
          <w:lang w:val="fr-FR"/>
        </w:rPr>
        <w:t>Sans objet</w:t>
      </w:r>
      <w:r w:rsidR="00035DF9" w:rsidRPr="00DC2F2C">
        <w:rPr>
          <w:szCs w:val="22"/>
          <w:lang w:val="fr-FR"/>
        </w:rPr>
        <w:t xml:space="preserve">. </w:t>
      </w:r>
    </w:p>
    <w:p w14:paraId="14485C90" w14:textId="77777777" w:rsidR="00812D16" w:rsidRPr="00DC2F2C" w:rsidRDefault="00812D16" w:rsidP="009D43DC">
      <w:pPr>
        <w:numPr>
          <w:ilvl w:val="12"/>
          <w:numId w:val="0"/>
        </w:numPr>
        <w:tabs>
          <w:tab w:val="clear" w:pos="567"/>
        </w:tabs>
        <w:ind w:right="549"/>
        <w:rPr>
          <w:szCs w:val="22"/>
          <w:lang w:val="fr-FR"/>
        </w:rPr>
      </w:pPr>
    </w:p>
    <w:p w14:paraId="3713C493" w14:textId="77777777" w:rsidR="00812D16" w:rsidRPr="00DC2F2C" w:rsidRDefault="00812D16" w:rsidP="00073C28">
      <w:pPr>
        <w:keepNext/>
        <w:keepLines/>
        <w:suppressLineNumbers/>
        <w:ind w:right="550"/>
        <w:rPr>
          <w:szCs w:val="22"/>
          <w:lang w:val="fr-FR"/>
        </w:rPr>
      </w:pPr>
      <w:r w:rsidRPr="00DC2F2C">
        <w:rPr>
          <w:b/>
          <w:szCs w:val="22"/>
          <w:lang w:val="fr-FR"/>
        </w:rPr>
        <w:t>6.3</w:t>
      </w:r>
      <w:r w:rsidRPr="00DC2F2C">
        <w:rPr>
          <w:b/>
          <w:szCs w:val="22"/>
          <w:lang w:val="fr-FR"/>
        </w:rPr>
        <w:tab/>
      </w:r>
      <w:r w:rsidR="00D94ECA" w:rsidRPr="00DC2F2C">
        <w:rPr>
          <w:b/>
          <w:lang w:val="fr-FR"/>
        </w:rPr>
        <w:t>Durée de conservation</w:t>
      </w:r>
    </w:p>
    <w:p w14:paraId="0C690117" w14:textId="77777777" w:rsidR="00812D16" w:rsidRPr="00DC2F2C" w:rsidRDefault="00812D16" w:rsidP="009D43DC">
      <w:pPr>
        <w:keepNext/>
        <w:keepLines/>
        <w:numPr>
          <w:ilvl w:val="12"/>
          <w:numId w:val="0"/>
        </w:numPr>
        <w:tabs>
          <w:tab w:val="clear" w:pos="567"/>
        </w:tabs>
        <w:ind w:right="550"/>
        <w:rPr>
          <w:szCs w:val="22"/>
          <w:lang w:val="fr-FR"/>
        </w:rPr>
      </w:pPr>
    </w:p>
    <w:p w14:paraId="335B7FFC" w14:textId="77777777" w:rsidR="00520F21" w:rsidRPr="00DC2F2C" w:rsidRDefault="00A02D8B" w:rsidP="009D43DC">
      <w:pPr>
        <w:numPr>
          <w:ilvl w:val="12"/>
          <w:numId w:val="0"/>
        </w:numPr>
        <w:tabs>
          <w:tab w:val="clear" w:pos="567"/>
        </w:tabs>
        <w:ind w:right="549"/>
        <w:rPr>
          <w:szCs w:val="22"/>
          <w:lang w:val="fr-FR"/>
        </w:rPr>
      </w:pPr>
      <w:r w:rsidRPr="00DC2F2C">
        <w:rPr>
          <w:szCs w:val="22"/>
          <w:lang w:val="fr-FR"/>
        </w:rPr>
        <w:t xml:space="preserve">5 </w:t>
      </w:r>
      <w:r w:rsidR="00D94ECA" w:rsidRPr="00DC2F2C">
        <w:rPr>
          <w:szCs w:val="22"/>
          <w:lang w:val="fr-FR"/>
        </w:rPr>
        <w:t>ans</w:t>
      </w:r>
      <w:r w:rsidR="001A50E7" w:rsidRPr="00DC2F2C">
        <w:rPr>
          <w:szCs w:val="22"/>
          <w:lang w:val="fr-FR"/>
        </w:rPr>
        <w:t>.</w:t>
      </w:r>
    </w:p>
    <w:p w14:paraId="5849BBF7" w14:textId="77777777" w:rsidR="00A02D8B" w:rsidRPr="00DC2F2C" w:rsidRDefault="00A02D8B" w:rsidP="009D43DC">
      <w:pPr>
        <w:numPr>
          <w:ilvl w:val="12"/>
          <w:numId w:val="0"/>
        </w:numPr>
        <w:tabs>
          <w:tab w:val="clear" w:pos="567"/>
        </w:tabs>
        <w:ind w:right="549"/>
        <w:rPr>
          <w:szCs w:val="22"/>
          <w:lang w:val="fr-FR"/>
        </w:rPr>
      </w:pPr>
    </w:p>
    <w:p w14:paraId="1FBCCF45" w14:textId="77777777" w:rsidR="00812D16" w:rsidRPr="00DC2F2C" w:rsidRDefault="00812D16" w:rsidP="00073C28">
      <w:pPr>
        <w:keepNext/>
        <w:keepLines/>
        <w:suppressLineNumbers/>
        <w:ind w:right="550"/>
        <w:rPr>
          <w:b/>
          <w:szCs w:val="22"/>
          <w:lang w:val="fr-FR"/>
        </w:rPr>
      </w:pPr>
      <w:r w:rsidRPr="00DC2F2C">
        <w:rPr>
          <w:b/>
          <w:szCs w:val="22"/>
          <w:lang w:val="fr-FR"/>
        </w:rPr>
        <w:t>6.4</w:t>
      </w:r>
      <w:r w:rsidRPr="00DC2F2C">
        <w:rPr>
          <w:b/>
          <w:szCs w:val="22"/>
          <w:lang w:val="fr-FR"/>
        </w:rPr>
        <w:tab/>
      </w:r>
      <w:r w:rsidR="00D94ECA" w:rsidRPr="00DC2F2C">
        <w:rPr>
          <w:b/>
          <w:lang w:val="fr-FR"/>
        </w:rPr>
        <w:t>Précautions particulières de conservation</w:t>
      </w:r>
    </w:p>
    <w:p w14:paraId="29684A0F" w14:textId="77777777" w:rsidR="00AC7B9E" w:rsidRPr="00DC2F2C" w:rsidRDefault="00AC7B9E" w:rsidP="009D43DC">
      <w:pPr>
        <w:keepNext/>
        <w:keepLines/>
        <w:numPr>
          <w:ilvl w:val="12"/>
          <w:numId w:val="0"/>
        </w:numPr>
        <w:tabs>
          <w:tab w:val="clear" w:pos="567"/>
        </w:tabs>
        <w:ind w:right="550"/>
        <w:rPr>
          <w:szCs w:val="22"/>
          <w:lang w:val="fr-FR"/>
        </w:rPr>
      </w:pPr>
    </w:p>
    <w:p w14:paraId="20EDD993" w14:textId="77777777" w:rsidR="00A25DD4" w:rsidRPr="00DC2F2C" w:rsidRDefault="00253955" w:rsidP="00AB1B95">
      <w:pPr>
        <w:tabs>
          <w:tab w:val="clear" w:pos="567"/>
          <w:tab w:val="left" w:pos="0"/>
        </w:tabs>
        <w:rPr>
          <w:lang w:val="fr-FR"/>
        </w:rPr>
      </w:pPr>
      <w:r w:rsidRPr="00DC2F2C">
        <w:rPr>
          <w:szCs w:val="22"/>
          <w:lang w:val="fr-FR"/>
        </w:rPr>
        <w:t>Conserver le flacon soigneusement fermé à l’abri de l’humidité</w:t>
      </w:r>
      <w:r w:rsidR="00A25DD4" w:rsidRPr="00DC2F2C">
        <w:rPr>
          <w:szCs w:val="22"/>
          <w:lang w:val="fr-FR"/>
        </w:rPr>
        <w:t>.</w:t>
      </w:r>
      <w:r w:rsidR="003F6BAC" w:rsidRPr="00DC2F2C">
        <w:rPr>
          <w:szCs w:val="22"/>
          <w:lang w:val="fr-FR"/>
        </w:rPr>
        <w:t xml:space="preserve"> </w:t>
      </w:r>
    </w:p>
    <w:p w14:paraId="5FC091C0" w14:textId="77777777" w:rsidR="00B74B25" w:rsidRPr="00DC2F2C" w:rsidRDefault="00B74B25" w:rsidP="009D43DC">
      <w:pPr>
        <w:numPr>
          <w:ilvl w:val="12"/>
          <w:numId w:val="0"/>
        </w:numPr>
        <w:tabs>
          <w:tab w:val="clear" w:pos="567"/>
        </w:tabs>
        <w:ind w:right="549"/>
        <w:rPr>
          <w:szCs w:val="22"/>
          <w:lang w:val="fr-FR"/>
        </w:rPr>
      </w:pPr>
    </w:p>
    <w:p w14:paraId="79A4592C" w14:textId="77777777" w:rsidR="00AC7A1B" w:rsidRPr="00DC2F2C" w:rsidRDefault="00F9016F" w:rsidP="00073C28">
      <w:pPr>
        <w:keepNext/>
        <w:keepLines/>
        <w:suppressLineNumbers/>
        <w:ind w:right="550"/>
        <w:rPr>
          <w:b/>
          <w:szCs w:val="22"/>
          <w:lang w:val="fr-FR"/>
        </w:rPr>
      </w:pPr>
      <w:r w:rsidRPr="00DC2F2C">
        <w:rPr>
          <w:b/>
          <w:szCs w:val="22"/>
          <w:lang w:val="fr-FR"/>
        </w:rPr>
        <w:t>6.5</w:t>
      </w:r>
      <w:r w:rsidRPr="00DC2F2C">
        <w:rPr>
          <w:b/>
          <w:szCs w:val="22"/>
          <w:lang w:val="fr-FR"/>
        </w:rPr>
        <w:tab/>
      </w:r>
      <w:r w:rsidR="00E67D11" w:rsidRPr="00DC2F2C">
        <w:rPr>
          <w:b/>
          <w:lang w:val="fr-FR"/>
        </w:rPr>
        <w:t>Nature et contenu de l’emballage extérieur</w:t>
      </w:r>
    </w:p>
    <w:p w14:paraId="30FDF8CD" w14:textId="77777777" w:rsidR="00AC7A1B" w:rsidRPr="00DC2F2C" w:rsidRDefault="00AC7A1B" w:rsidP="009D43DC">
      <w:pPr>
        <w:keepNext/>
        <w:keepLines/>
        <w:numPr>
          <w:ilvl w:val="12"/>
          <w:numId w:val="0"/>
        </w:numPr>
        <w:tabs>
          <w:tab w:val="clear" w:pos="567"/>
        </w:tabs>
        <w:ind w:right="550"/>
        <w:rPr>
          <w:szCs w:val="22"/>
          <w:lang w:val="fr-FR"/>
        </w:rPr>
      </w:pPr>
    </w:p>
    <w:p w14:paraId="1A3EA837" w14:textId="77777777" w:rsidR="00E17B8F" w:rsidRPr="00DC2F2C" w:rsidRDefault="00E22A2E" w:rsidP="00A45F91">
      <w:pPr>
        <w:keepNext/>
        <w:numPr>
          <w:ilvl w:val="12"/>
          <w:numId w:val="0"/>
        </w:numPr>
        <w:tabs>
          <w:tab w:val="clear" w:pos="567"/>
        </w:tabs>
        <w:ind w:right="550"/>
        <w:rPr>
          <w:szCs w:val="22"/>
          <w:lang w:val="fr-FR"/>
        </w:rPr>
      </w:pPr>
      <w:r w:rsidRPr="00DC2F2C">
        <w:rPr>
          <w:szCs w:val="22"/>
          <w:lang w:val="fr-FR"/>
        </w:rPr>
        <w:t xml:space="preserve">Flacon en PEHD blanc muni d’une fermeture </w:t>
      </w:r>
      <w:r w:rsidR="000858C3" w:rsidRPr="00DC2F2C">
        <w:rPr>
          <w:szCs w:val="22"/>
          <w:lang w:val="fr-FR"/>
        </w:rPr>
        <w:t>de</w:t>
      </w:r>
      <w:r w:rsidRPr="00DC2F2C">
        <w:rPr>
          <w:szCs w:val="22"/>
          <w:lang w:val="fr-FR"/>
        </w:rPr>
        <w:t xml:space="preserve"> sécurité enfant</w:t>
      </w:r>
      <w:r w:rsidR="00A02D8B" w:rsidRPr="00DC2F2C">
        <w:rPr>
          <w:szCs w:val="22"/>
          <w:lang w:val="fr-FR"/>
        </w:rPr>
        <w:t xml:space="preserve"> </w:t>
      </w:r>
      <w:r w:rsidR="000874F7" w:rsidRPr="00DC2F2C">
        <w:rPr>
          <w:szCs w:val="22"/>
          <w:lang w:val="fr-FR"/>
        </w:rPr>
        <w:t>contenant</w:t>
      </w:r>
      <w:r w:rsidR="00B143B7" w:rsidRPr="00DC2F2C">
        <w:rPr>
          <w:szCs w:val="22"/>
          <w:lang w:val="fr-FR"/>
        </w:rPr>
        <w:t xml:space="preserve"> 21 </w:t>
      </w:r>
      <w:r w:rsidR="006D5ADB" w:rsidRPr="00DC2F2C">
        <w:rPr>
          <w:szCs w:val="22"/>
          <w:lang w:val="fr-FR"/>
        </w:rPr>
        <w:t>gélules</w:t>
      </w:r>
      <w:r w:rsidR="00A02D8B" w:rsidRPr="00DC2F2C">
        <w:rPr>
          <w:szCs w:val="22"/>
          <w:lang w:val="fr-FR"/>
        </w:rPr>
        <w:t>.</w:t>
      </w:r>
    </w:p>
    <w:p w14:paraId="70C8145A" w14:textId="77777777" w:rsidR="00E17B8F" w:rsidRPr="00DC2F2C" w:rsidRDefault="00277B98" w:rsidP="009D43DC">
      <w:pPr>
        <w:numPr>
          <w:ilvl w:val="12"/>
          <w:numId w:val="0"/>
        </w:numPr>
        <w:tabs>
          <w:tab w:val="clear" w:pos="567"/>
        </w:tabs>
        <w:ind w:right="549"/>
        <w:rPr>
          <w:szCs w:val="22"/>
          <w:lang w:val="fr-FR"/>
        </w:rPr>
      </w:pPr>
      <w:r w:rsidRPr="00DC2F2C">
        <w:rPr>
          <w:szCs w:val="22"/>
          <w:lang w:val="fr-FR"/>
        </w:rPr>
        <w:t>Chaque boîte contient 1 flacon</w:t>
      </w:r>
      <w:r w:rsidR="00E17B8F" w:rsidRPr="00DC2F2C">
        <w:rPr>
          <w:szCs w:val="22"/>
          <w:lang w:val="fr-FR"/>
        </w:rPr>
        <w:t xml:space="preserve">. </w:t>
      </w:r>
    </w:p>
    <w:p w14:paraId="46C1C0BF" w14:textId="77777777" w:rsidR="003062E8" w:rsidRPr="00DC2F2C" w:rsidRDefault="003062E8" w:rsidP="009D43DC">
      <w:pPr>
        <w:numPr>
          <w:ilvl w:val="12"/>
          <w:numId w:val="0"/>
        </w:numPr>
        <w:tabs>
          <w:tab w:val="clear" w:pos="567"/>
        </w:tabs>
        <w:ind w:right="549"/>
        <w:rPr>
          <w:szCs w:val="22"/>
          <w:lang w:val="fr-FR"/>
        </w:rPr>
      </w:pPr>
    </w:p>
    <w:p w14:paraId="120C4990" w14:textId="77777777" w:rsidR="00812D16" w:rsidRPr="00DC2F2C" w:rsidRDefault="00812D16" w:rsidP="00073C28">
      <w:pPr>
        <w:keepNext/>
        <w:keepLines/>
        <w:suppressLineNumbers/>
        <w:ind w:right="550"/>
        <w:rPr>
          <w:szCs w:val="22"/>
          <w:lang w:val="fr-FR"/>
        </w:rPr>
      </w:pPr>
      <w:r w:rsidRPr="00DC2F2C">
        <w:rPr>
          <w:b/>
          <w:szCs w:val="22"/>
          <w:lang w:val="fr-FR"/>
        </w:rPr>
        <w:t>6.6</w:t>
      </w:r>
      <w:r w:rsidRPr="00DC2F2C">
        <w:rPr>
          <w:b/>
          <w:szCs w:val="22"/>
          <w:lang w:val="fr-FR"/>
        </w:rPr>
        <w:tab/>
      </w:r>
      <w:r w:rsidR="004764C0" w:rsidRPr="00DC2F2C">
        <w:rPr>
          <w:b/>
          <w:lang w:val="fr-FR"/>
        </w:rPr>
        <w:t>Précautions particulières d’élimination</w:t>
      </w:r>
    </w:p>
    <w:p w14:paraId="7C6EDB8C" w14:textId="77777777" w:rsidR="00812D16" w:rsidRPr="00DC2F2C" w:rsidRDefault="00812D16" w:rsidP="009D43DC">
      <w:pPr>
        <w:keepNext/>
        <w:keepLines/>
        <w:numPr>
          <w:ilvl w:val="12"/>
          <w:numId w:val="0"/>
        </w:numPr>
        <w:tabs>
          <w:tab w:val="clear" w:pos="567"/>
        </w:tabs>
        <w:ind w:right="550"/>
        <w:rPr>
          <w:szCs w:val="22"/>
          <w:lang w:val="fr-FR"/>
        </w:rPr>
      </w:pPr>
    </w:p>
    <w:p w14:paraId="43E97994" w14:textId="77777777" w:rsidR="003F1800" w:rsidRPr="00DC2F2C" w:rsidRDefault="004764C0" w:rsidP="009D43DC">
      <w:pPr>
        <w:numPr>
          <w:ilvl w:val="12"/>
          <w:numId w:val="0"/>
        </w:numPr>
        <w:tabs>
          <w:tab w:val="clear" w:pos="567"/>
        </w:tabs>
        <w:ind w:right="549"/>
        <w:rPr>
          <w:szCs w:val="22"/>
          <w:lang w:val="fr-FR"/>
        </w:rPr>
      </w:pPr>
      <w:r w:rsidRPr="00DC2F2C">
        <w:rPr>
          <w:lang w:val="fr-FR"/>
        </w:rPr>
        <w:t>Tout médicament non utilisé ou déchet doit être éliminé conformément à la réglementation en vigueur</w:t>
      </w:r>
      <w:r w:rsidR="003F1800" w:rsidRPr="00DC2F2C">
        <w:rPr>
          <w:szCs w:val="22"/>
          <w:lang w:val="fr-FR"/>
        </w:rPr>
        <w:t xml:space="preserve">. </w:t>
      </w:r>
    </w:p>
    <w:p w14:paraId="6EE9F602" w14:textId="77777777" w:rsidR="003F1800" w:rsidRPr="00DC2F2C" w:rsidRDefault="003F1800" w:rsidP="009D43DC">
      <w:pPr>
        <w:numPr>
          <w:ilvl w:val="12"/>
          <w:numId w:val="0"/>
        </w:numPr>
        <w:tabs>
          <w:tab w:val="clear" w:pos="567"/>
        </w:tabs>
        <w:ind w:right="549"/>
        <w:rPr>
          <w:szCs w:val="22"/>
          <w:lang w:val="fr-FR"/>
        </w:rPr>
      </w:pPr>
    </w:p>
    <w:p w14:paraId="208FA35D" w14:textId="77777777" w:rsidR="0038476F" w:rsidRPr="00DC2F2C" w:rsidRDefault="0038476F" w:rsidP="009D43DC">
      <w:pPr>
        <w:numPr>
          <w:ilvl w:val="12"/>
          <w:numId w:val="0"/>
        </w:numPr>
        <w:tabs>
          <w:tab w:val="clear" w:pos="567"/>
        </w:tabs>
        <w:ind w:right="549"/>
        <w:rPr>
          <w:szCs w:val="22"/>
          <w:lang w:val="fr-FR"/>
        </w:rPr>
      </w:pPr>
    </w:p>
    <w:p w14:paraId="417AEB58" w14:textId="77777777" w:rsidR="00812D16" w:rsidRPr="00DC2F2C" w:rsidRDefault="00812D16" w:rsidP="000F0D0C">
      <w:pPr>
        <w:keepNext/>
        <w:keepLines/>
        <w:suppressLineNumbers/>
        <w:ind w:right="550"/>
        <w:rPr>
          <w:szCs w:val="22"/>
          <w:lang w:val="fr-FR"/>
        </w:rPr>
      </w:pPr>
      <w:r w:rsidRPr="00DC2F2C">
        <w:rPr>
          <w:b/>
          <w:szCs w:val="22"/>
          <w:lang w:val="fr-FR"/>
        </w:rPr>
        <w:t>7.</w:t>
      </w:r>
      <w:r w:rsidRPr="00DC2F2C">
        <w:rPr>
          <w:b/>
          <w:szCs w:val="22"/>
          <w:lang w:val="fr-FR"/>
        </w:rPr>
        <w:tab/>
      </w:r>
      <w:r w:rsidR="00277B98" w:rsidRPr="00DC2F2C">
        <w:rPr>
          <w:b/>
          <w:szCs w:val="22"/>
          <w:lang w:val="fr-FR"/>
        </w:rPr>
        <w:t>T</w:t>
      </w:r>
      <w:r w:rsidR="004764C0" w:rsidRPr="00DC2F2C">
        <w:rPr>
          <w:b/>
          <w:lang w:val="fr-FR"/>
        </w:rPr>
        <w:t>ITULAIRE DE L’AUTORISATION DE MISE SUR LE MARCHÉ</w:t>
      </w:r>
    </w:p>
    <w:p w14:paraId="23A37087" w14:textId="77777777" w:rsidR="00812D16" w:rsidRPr="00DC2F2C" w:rsidRDefault="00812D16" w:rsidP="000F0D0C">
      <w:pPr>
        <w:keepNext/>
        <w:keepLines/>
        <w:numPr>
          <w:ilvl w:val="12"/>
          <w:numId w:val="0"/>
        </w:numPr>
        <w:tabs>
          <w:tab w:val="clear" w:pos="567"/>
        </w:tabs>
        <w:ind w:right="550"/>
        <w:rPr>
          <w:szCs w:val="22"/>
          <w:lang w:val="fr-FR"/>
        </w:rPr>
      </w:pPr>
    </w:p>
    <w:p w14:paraId="70265229" w14:textId="77777777" w:rsidR="00B25949" w:rsidRPr="00CA0EC1" w:rsidRDefault="00B25949" w:rsidP="00B25949">
      <w:pPr>
        <w:rPr>
          <w:szCs w:val="22"/>
          <w:lang w:val="fr-FR"/>
        </w:rPr>
      </w:pPr>
      <w:r w:rsidRPr="00B25949">
        <w:rPr>
          <w:color w:val="000000"/>
          <w:szCs w:val="22"/>
          <w:lang w:val="de-DE"/>
        </w:rPr>
        <w:t>EUSA Pharma (Netherlands) B.V.</w:t>
      </w:r>
    </w:p>
    <w:p w14:paraId="6044DA70" w14:textId="77777777" w:rsidR="0071224E" w:rsidRPr="000C72E8" w:rsidRDefault="0071224E" w:rsidP="0071224E">
      <w:pPr>
        <w:rPr>
          <w:color w:val="000000"/>
          <w:szCs w:val="22"/>
          <w:lang w:val="fr-FR"/>
        </w:rPr>
      </w:pPr>
      <w:proofErr w:type="spellStart"/>
      <w:r w:rsidRPr="000C72E8">
        <w:rPr>
          <w:color w:val="000000"/>
          <w:szCs w:val="22"/>
          <w:lang w:val="fr-FR"/>
        </w:rPr>
        <w:t>Beechavenue</w:t>
      </w:r>
      <w:proofErr w:type="spellEnd"/>
      <w:r w:rsidRPr="000C72E8">
        <w:rPr>
          <w:color w:val="000000"/>
          <w:szCs w:val="22"/>
          <w:lang w:val="fr-FR"/>
        </w:rPr>
        <w:t xml:space="preserve"> 54, </w:t>
      </w:r>
    </w:p>
    <w:p w14:paraId="4F043109" w14:textId="6786FEF0" w:rsidR="00227807" w:rsidRPr="00CA0EC1" w:rsidRDefault="0071224E" w:rsidP="00B25949">
      <w:pPr>
        <w:rPr>
          <w:szCs w:val="22"/>
          <w:lang w:val="fr-FR"/>
        </w:rPr>
      </w:pPr>
      <w:r w:rsidRPr="000C72E8">
        <w:rPr>
          <w:color w:val="000000"/>
          <w:szCs w:val="22"/>
          <w:lang w:val="fr-FR"/>
        </w:rPr>
        <w:t>1119PW Schiphol-</w:t>
      </w:r>
      <w:proofErr w:type="spellStart"/>
      <w:r w:rsidRPr="000C72E8">
        <w:rPr>
          <w:color w:val="000000"/>
          <w:szCs w:val="22"/>
          <w:lang w:val="fr-FR"/>
        </w:rPr>
        <w:t>Rijk</w:t>
      </w:r>
      <w:proofErr w:type="spellEnd"/>
    </w:p>
    <w:p w14:paraId="4972EC01" w14:textId="5861C7DA" w:rsidR="009D43DC" w:rsidRPr="00B25949" w:rsidRDefault="00B25949" w:rsidP="000F0D0C">
      <w:pPr>
        <w:keepNext/>
        <w:keepLines/>
        <w:numPr>
          <w:ilvl w:val="12"/>
          <w:numId w:val="0"/>
        </w:numPr>
        <w:tabs>
          <w:tab w:val="clear" w:pos="567"/>
        </w:tabs>
        <w:ind w:right="549"/>
        <w:rPr>
          <w:szCs w:val="22"/>
          <w:lang w:val="fr-FR"/>
        </w:rPr>
      </w:pPr>
      <w:r w:rsidRPr="00CA0EC1">
        <w:rPr>
          <w:rFonts w:eastAsia="SimSun"/>
          <w:szCs w:val="22"/>
          <w:lang w:val="fr-FR" w:eastAsia="fr-FR"/>
        </w:rPr>
        <w:t>Pays-Bas</w:t>
      </w:r>
    </w:p>
    <w:p w14:paraId="58D4C45E" w14:textId="77777777" w:rsidR="00812D16" w:rsidRPr="00DC2F2C" w:rsidRDefault="00812D16" w:rsidP="000F0D0C">
      <w:pPr>
        <w:numPr>
          <w:ilvl w:val="12"/>
          <w:numId w:val="0"/>
        </w:numPr>
        <w:tabs>
          <w:tab w:val="clear" w:pos="567"/>
        </w:tabs>
        <w:ind w:right="550"/>
        <w:rPr>
          <w:szCs w:val="22"/>
          <w:lang w:val="fr-FR"/>
        </w:rPr>
      </w:pPr>
    </w:p>
    <w:p w14:paraId="757E3A77" w14:textId="77777777" w:rsidR="00812D16" w:rsidRPr="00DC2F2C" w:rsidRDefault="00812D16" w:rsidP="00073C28">
      <w:pPr>
        <w:keepNext/>
        <w:keepLines/>
        <w:suppressLineNumbers/>
        <w:ind w:right="550"/>
        <w:rPr>
          <w:b/>
          <w:szCs w:val="22"/>
          <w:lang w:val="fr-FR"/>
        </w:rPr>
      </w:pPr>
      <w:r w:rsidRPr="00DC2F2C">
        <w:rPr>
          <w:b/>
          <w:szCs w:val="22"/>
          <w:lang w:val="fr-FR"/>
        </w:rPr>
        <w:t>8.</w:t>
      </w:r>
      <w:r w:rsidRPr="00DC2F2C">
        <w:rPr>
          <w:b/>
          <w:szCs w:val="22"/>
          <w:lang w:val="fr-FR"/>
        </w:rPr>
        <w:tab/>
      </w:r>
      <w:r w:rsidR="009A1490" w:rsidRPr="00DC2F2C">
        <w:rPr>
          <w:b/>
          <w:lang w:val="fr-FR"/>
        </w:rPr>
        <w:t>NUMÉRO(S) D’AUTORISATION DE MISE SUR LE MARCHÉ</w:t>
      </w:r>
    </w:p>
    <w:p w14:paraId="0695CBCA" w14:textId="77777777" w:rsidR="00812D16" w:rsidRPr="00DC2F2C" w:rsidRDefault="00812D16" w:rsidP="00A45F91">
      <w:pPr>
        <w:keepNext/>
        <w:numPr>
          <w:ilvl w:val="12"/>
          <w:numId w:val="0"/>
        </w:numPr>
        <w:tabs>
          <w:tab w:val="clear" w:pos="567"/>
        </w:tabs>
        <w:ind w:right="550"/>
        <w:rPr>
          <w:szCs w:val="22"/>
          <w:lang w:val="fr-FR"/>
        </w:rPr>
      </w:pPr>
    </w:p>
    <w:p w14:paraId="3BB7AEDE" w14:textId="77777777" w:rsidR="00A25DD4" w:rsidRPr="00DC2F2C" w:rsidRDefault="00A25DD4" w:rsidP="009D43DC">
      <w:pPr>
        <w:keepNext/>
        <w:keepLines/>
        <w:numPr>
          <w:ilvl w:val="12"/>
          <w:numId w:val="0"/>
        </w:numPr>
        <w:tabs>
          <w:tab w:val="clear" w:pos="567"/>
        </w:tabs>
        <w:ind w:right="550"/>
        <w:rPr>
          <w:szCs w:val="22"/>
          <w:u w:val="single"/>
          <w:lang w:val="fr-FR"/>
        </w:rPr>
      </w:pPr>
      <w:r w:rsidRPr="00DC2F2C">
        <w:rPr>
          <w:szCs w:val="22"/>
          <w:u w:val="single"/>
          <w:lang w:val="fr-FR"/>
        </w:rPr>
        <w:t xml:space="preserve">Fotivda </w:t>
      </w:r>
      <w:r w:rsidR="00FD219E" w:rsidRPr="00DC2F2C">
        <w:rPr>
          <w:szCs w:val="22"/>
          <w:u w:val="single"/>
          <w:lang w:val="fr-FR"/>
        </w:rPr>
        <w:t>890</w:t>
      </w:r>
      <w:r w:rsidRPr="00DC2F2C">
        <w:rPr>
          <w:szCs w:val="22"/>
          <w:u w:val="single"/>
          <w:lang w:val="fr-FR"/>
        </w:rPr>
        <w:t> m</w:t>
      </w:r>
      <w:r w:rsidR="00FD219E" w:rsidRPr="00DC2F2C">
        <w:rPr>
          <w:szCs w:val="22"/>
          <w:u w:val="single"/>
          <w:lang w:val="fr-FR"/>
        </w:rPr>
        <w:t>icro</w:t>
      </w:r>
      <w:r w:rsidRPr="00DC2F2C">
        <w:rPr>
          <w:szCs w:val="22"/>
          <w:u w:val="single"/>
          <w:lang w:val="fr-FR"/>
        </w:rPr>
        <w:t>g</w:t>
      </w:r>
      <w:r w:rsidR="00FD219E" w:rsidRPr="00DC2F2C">
        <w:rPr>
          <w:szCs w:val="22"/>
          <w:u w:val="single"/>
          <w:lang w:val="fr-FR"/>
        </w:rPr>
        <w:t>ram</w:t>
      </w:r>
      <w:r w:rsidR="006D5ADB" w:rsidRPr="00DC2F2C">
        <w:rPr>
          <w:szCs w:val="22"/>
          <w:u w:val="single"/>
          <w:lang w:val="fr-FR"/>
        </w:rPr>
        <w:t>mes, gélule</w:t>
      </w:r>
    </w:p>
    <w:p w14:paraId="10BC541E" w14:textId="77777777" w:rsidR="00A25DD4" w:rsidRPr="00DC2F2C" w:rsidRDefault="00BB5D8F" w:rsidP="002731C6">
      <w:pPr>
        <w:numPr>
          <w:ilvl w:val="12"/>
          <w:numId w:val="0"/>
        </w:numPr>
        <w:suppressLineNumbers/>
        <w:ind w:right="549"/>
        <w:rPr>
          <w:szCs w:val="22"/>
          <w:lang w:val="fr-FR"/>
        </w:rPr>
      </w:pPr>
      <w:r w:rsidRPr="00DC2F2C">
        <w:rPr>
          <w:szCs w:val="22"/>
          <w:lang w:val="fr-FR"/>
        </w:rPr>
        <w:t>EU/1/17/1215/001</w:t>
      </w:r>
    </w:p>
    <w:p w14:paraId="23F3B1BB" w14:textId="77777777" w:rsidR="00A25DD4" w:rsidRPr="00DC2F2C" w:rsidRDefault="00A25DD4" w:rsidP="009D43DC">
      <w:pPr>
        <w:numPr>
          <w:ilvl w:val="12"/>
          <w:numId w:val="0"/>
        </w:numPr>
        <w:tabs>
          <w:tab w:val="clear" w:pos="567"/>
        </w:tabs>
        <w:ind w:right="549"/>
        <w:rPr>
          <w:szCs w:val="22"/>
          <w:lang w:val="fr-FR"/>
        </w:rPr>
      </w:pPr>
    </w:p>
    <w:p w14:paraId="56F61A90" w14:textId="77777777" w:rsidR="00AB1B95" w:rsidRPr="00DC2F2C" w:rsidRDefault="00AB1B95" w:rsidP="00AB1B95">
      <w:pPr>
        <w:keepNext/>
        <w:keepLines/>
        <w:numPr>
          <w:ilvl w:val="12"/>
          <w:numId w:val="0"/>
        </w:numPr>
        <w:tabs>
          <w:tab w:val="clear" w:pos="567"/>
        </w:tabs>
        <w:ind w:right="550"/>
        <w:rPr>
          <w:szCs w:val="22"/>
          <w:u w:val="single"/>
          <w:lang w:val="fr-FR"/>
        </w:rPr>
      </w:pPr>
      <w:r w:rsidRPr="00DC2F2C">
        <w:rPr>
          <w:szCs w:val="22"/>
          <w:u w:val="single"/>
          <w:lang w:val="fr-FR"/>
        </w:rPr>
        <w:t>Fotivda 1</w:t>
      </w:r>
      <w:r w:rsidR="006D5ADB" w:rsidRPr="00DC2F2C">
        <w:rPr>
          <w:szCs w:val="22"/>
          <w:u w:val="single"/>
          <w:lang w:val="fr-FR"/>
        </w:rPr>
        <w:t> </w:t>
      </w:r>
      <w:r w:rsidR="00FD219E" w:rsidRPr="00DC2F2C">
        <w:rPr>
          <w:szCs w:val="22"/>
          <w:u w:val="single"/>
          <w:lang w:val="fr-FR"/>
        </w:rPr>
        <w:t>340</w:t>
      </w:r>
      <w:r w:rsidRPr="00DC2F2C">
        <w:rPr>
          <w:szCs w:val="22"/>
          <w:u w:val="single"/>
          <w:lang w:val="fr-FR"/>
        </w:rPr>
        <w:t> m</w:t>
      </w:r>
      <w:r w:rsidR="00FD219E" w:rsidRPr="00DC2F2C">
        <w:rPr>
          <w:szCs w:val="22"/>
          <w:u w:val="single"/>
          <w:lang w:val="fr-FR"/>
        </w:rPr>
        <w:t>icro</w:t>
      </w:r>
      <w:r w:rsidRPr="00DC2F2C">
        <w:rPr>
          <w:szCs w:val="22"/>
          <w:u w:val="single"/>
          <w:lang w:val="fr-FR"/>
        </w:rPr>
        <w:t>g</w:t>
      </w:r>
      <w:r w:rsidR="00FD219E" w:rsidRPr="00DC2F2C">
        <w:rPr>
          <w:szCs w:val="22"/>
          <w:u w:val="single"/>
          <w:lang w:val="fr-FR"/>
        </w:rPr>
        <w:t>ram</w:t>
      </w:r>
      <w:r w:rsidR="006D5ADB" w:rsidRPr="00DC2F2C">
        <w:rPr>
          <w:szCs w:val="22"/>
          <w:u w:val="single"/>
          <w:lang w:val="fr-FR"/>
        </w:rPr>
        <w:t>mes, gélule</w:t>
      </w:r>
    </w:p>
    <w:p w14:paraId="3A65F907" w14:textId="77777777" w:rsidR="00AB1B95" w:rsidRPr="00DC2F2C" w:rsidRDefault="00BB5D8F" w:rsidP="002731C6">
      <w:pPr>
        <w:numPr>
          <w:ilvl w:val="12"/>
          <w:numId w:val="0"/>
        </w:numPr>
        <w:suppressLineNumbers/>
        <w:ind w:right="549"/>
        <w:rPr>
          <w:szCs w:val="22"/>
          <w:lang w:val="fr-FR"/>
        </w:rPr>
      </w:pPr>
      <w:r w:rsidRPr="00DC2F2C">
        <w:rPr>
          <w:szCs w:val="22"/>
          <w:lang w:val="fr-FR"/>
        </w:rPr>
        <w:t>EU/1/17/1215/002</w:t>
      </w:r>
    </w:p>
    <w:p w14:paraId="750F5EE7" w14:textId="77777777" w:rsidR="00AB1B95" w:rsidRPr="00DC2F2C" w:rsidRDefault="00AB1B95" w:rsidP="009D43DC">
      <w:pPr>
        <w:numPr>
          <w:ilvl w:val="12"/>
          <w:numId w:val="0"/>
        </w:numPr>
        <w:tabs>
          <w:tab w:val="clear" w:pos="567"/>
        </w:tabs>
        <w:ind w:right="549"/>
        <w:rPr>
          <w:szCs w:val="22"/>
          <w:lang w:val="fr-FR"/>
        </w:rPr>
      </w:pPr>
    </w:p>
    <w:p w14:paraId="69B8AA31" w14:textId="77777777" w:rsidR="00A90A01" w:rsidRPr="00DC2F2C" w:rsidRDefault="00A90A01" w:rsidP="009D43DC">
      <w:pPr>
        <w:numPr>
          <w:ilvl w:val="12"/>
          <w:numId w:val="0"/>
        </w:numPr>
        <w:tabs>
          <w:tab w:val="clear" w:pos="567"/>
        </w:tabs>
        <w:ind w:right="549"/>
        <w:rPr>
          <w:szCs w:val="22"/>
          <w:lang w:val="fr-FR"/>
        </w:rPr>
      </w:pPr>
    </w:p>
    <w:p w14:paraId="6C6617C1" w14:textId="77777777" w:rsidR="00812D16" w:rsidRPr="00DC2F2C" w:rsidRDefault="00812D16" w:rsidP="00073C28">
      <w:pPr>
        <w:keepNext/>
        <w:keepLines/>
        <w:suppressLineNumbers/>
        <w:ind w:left="567" w:right="550" w:hanging="567"/>
        <w:rPr>
          <w:szCs w:val="22"/>
          <w:lang w:val="fr-FR"/>
        </w:rPr>
      </w:pPr>
      <w:r w:rsidRPr="00DC2F2C">
        <w:rPr>
          <w:b/>
          <w:szCs w:val="22"/>
          <w:lang w:val="fr-FR"/>
        </w:rPr>
        <w:t>9.</w:t>
      </w:r>
      <w:r w:rsidRPr="00DC2F2C">
        <w:rPr>
          <w:b/>
          <w:szCs w:val="22"/>
          <w:lang w:val="fr-FR"/>
        </w:rPr>
        <w:tab/>
      </w:r>
      <w:r w:rsidR="009A1490" w:rsidRPr="00DC2F2C">
        <w:rPr>
          <w:b/>
          <w:lang w:val="fr-FR"/>
        </w:rPr>
        <w:t>DATE DE PREMIÈRE AUTORISATION/DE RENOUVELLEMENT DE L’AUTORISATION</w:t>
      </w:r>
    </w:p>
    <w:p w14:paraId="23AA2DEB" w14:textId="77777777" w:rsidR="00812D16" w:rsidRPr="00DC2F2C" w:rsidRDefault="00812D16" w:rsidP="00A45F91">
      <w:pPr>
        <w:keepNext/>
        <w:numPr>
          <w:ilvl w:val="12"/>
          <w:numId w:val="0"/>
        </w:numPr>
        <w:tabs>
          <w:tab w:val="clear" w:pos="567"/>
        </w:tabs>
        <w:ind w:right="550"/>
        <w:rPr>
          <w:szCs w:val="22"/>
          <w:lang w:val="fr-FR"/>
        </w:rPr>
      </w:pPr>
    </w:p>
    <w:p w14:paraId="52B04BF0" w14:textId="0A050D27" w:rsidR="00A02D8B" w:rsidRPr="00CA0EC1" w:rsidRDefault="00AC4F89" w:rsidP="009D43DC">
      <w:pPr>
        <w:numPr>
          <w:ilvl w:val="12"/>
          <w:numId w:val="0"/>
        </w:numPr>
        <w:tabs>
          <w:tab w:val="clear" w:pos="567"/>
        </w:tabs>
        <w:ind w:right="549"/>
        <w:rPr>
          <w:szCs w:val="22"/>
          <w:lang w:val="fr-FR"/>
        </w:rPr>
      </w:pPr>
      <w:r w:rsidRPr="00B0160F">
        <w:rPr>
          <w:noProof/>
          <w:szCs w:val="22"/>
        </w:rPr>
        <w:t>Date de première autorisation</w:t>
      </w:r>
      <w:r>
        <w:rPr>
          <w:noProof/>
          <w:szCs w:val="22"/>
        </w:rPr>
        <w:t> </w:t>
      </w:r>
      <w:r>
        <w:rPr>
          <w:szCs w:val="22"/>
          <w:lang w:val="fr-FR"/>
        </w:rPr>
        <w:t xml:space="preserve">: </w:t>
      </w:r>
      <w:r w:rsidR="003927B0" w:rsidRPr="00CA0EC1">
        <w:rPr>
          <w:szCs w:val="22"/>
          <w:lang w:val="fr-FR"/>
        </w:rPr>
        <w:t>24/08/2017</w:t>
      </w:r>
    </w:p>
    <w:p w14:paraId="28D13B0A" w14:textId="38039339" w:rsidR="003927B0" w:rsidRPr="00CA0EC1" w:rsidRDefault="003927B0" w:rsidP="009D43DC">
      <w:pPr>
        <w:numPr>
          <w:ilvl w:val="12"/>
          <w:numId w:val="0"/>
        </w:numPr>
        <w:tabs>
          <w:tab w:val="clear" w:pos="567"/>
        </w:tabs>
        <w:ind w:right="549"/>
        <w:rPr>
          <w:szCs w:val="22"/>
          <w:lang w:val="fr-FR"/>
        </w:rPr>
      </w:pPr>
    </w:p>
    <w:p w14:paraId="4E8CA4C8" w14:textId="77777777" w:rsidR="003927B0" w:rsidRPr="00DC2F2C" w:rsidRDefault="003927B0" w:rsidP="009D43DC">
      <w:pPr>
        <w:numPr>
          <w:ilvl w:val="12"/>
          <w:numId w:val="0"/>
        </w:numPr>
        <w:tabs>
          <w:tab w:val="clear" w:pos="567"/>
        </w:tabs>
        <w:ind w:right="549"/>
        <w:rPr>
          <w:szCs w:val="22"/>
          <w:lang w:val="fr-FR"/>
        </w:rPr>
      </w:pPr>
    </w:p>
    <w:p w14:paraId="505E1F89" w14:textId="77777777" w:rsidR="00812D16" w:rsidRPr="00DC2F2C" w:rsidRDefault="00812D16" w:rsidP="00073C28">
      <w:pPr>
        <w:rPr>
          <w:b/>
          <w:szCs w:val="22"/>
          <w:lang w:val="fr-FR"/>
        </w:rPr>
      </w:pPr>
      <w:r w:rsidRPr="00DC2F2C">
        <w:rPr>
          <w:b/>
          <w:szCs w:val="22"/>
          <w:lang w:val="fr-FR"/>
        </w:rPr>
        <w:t>10.</w:t>
      </w:r>
      <w:r w:rsidRPr="00DC2F2C">
        <w:rPr>
          <w:b/>
          <w:szCs w:val="22"/>
          <w:lang w:val="fr-FR"/>
        </w:rPr>
        <w:tab/>
      </w:r>
      <w:r w:rsidR="009A1490" w:rsidRPr="00DC2F2C">
        <w:rPr>
          <w:b/>
          <w:lang w:val="fr-FR"/>
        </w:rPr>
        <w:t>DATE DE MISE À JOUR DU TEXTE</w:t>
      </w:r>
    </w:p>
    <w:p w14:paraId="45ECB372" w14:textId="5D983B16" w:rsidR="00812D16" w:rsidRDefault="00812D16" w:rsidP="009D43DC">
      <w:pPr>
        <w:numPr>
          <w:ilvl w:val="12"/>
          <w:numId w:val="0"/>
        </w:numPr>
        <w:tabs>
          <w:tab w:val="clear" w:pos="567"/>
        </w:tabs>
        <w:ind w:right="549"/>
        <w:rPr>
          <w:szCs w:val="22"/>
          <w:lang w:val="fr-FR"/>
        </w:rPr>
      </w:pPr>
    </w:p>
    <w:p w14:paraId="24ACECBD" w14:textId="2F0019EC" w:rsidR="00B448F1" w:rsidRPr="00DC2F2C" w:rsidRDefault="00AC4F89" w:rsidP="009D43DC">
      <w:pPr>
        <w:numPr>
          <w:ilvl w:val="12"/>
          <w:numId w:val="0"/>
        </w:numPr>
        <w:tabs>
          <w:tab w:val="clear" w:pos="567"/>
        </w:tabs>
        <w:ind w:right="549"/>
        <w:rPr>
          <w:szCs w:val="22"/>
          <w:lang w:val="fr-FR"/>
        </w:rPr>
      </w:pPr>
      <w:r>
        <w:rPr>
          <w:szCs w:val="22"/>
          <w:lang w:val="fr-FR"/>
        </w:rPr>
        <w:t>02/2022</w:t>
      </w:r>
    </w:p>
    <w:p w14:paraId="1902DDB6" w14:textId="77777777" w:rsidR="00812D16" w:rsidRPr="00DC2F2C" w:rsidRDefault="009A1490" w:rsidP="000A5BB2">
      <w:pPr>
        <w:rPr>
          <w:szCs w:val="22"/>
          <w:lang w:val="fr-FR"/>
        </w:rPr>
      </w:pPr>
      <w:r w:rsidRPr="00DC2F2C">
        <w:rPr>
          <w:lang w:val="fr-FR"/>
        </w:rPr>
        <w:t xml:space="preserve">Des informations détaillées sur ce médicament sont disponibles sur le site internet de l’Agence européenne des médicaments </w:t>
      </w:r>
      <w:hyperlink r:id="rId18" w:history="1">
        <w:r w:rsidR="00812D16" w:rsidRPr="00DC2F2C">
          <w:rPr>
            <w:rStyle w:val="Hyperlink"/>
            <w:color w:val="auto"/>
            <w:szCs w:val="22"/>
            <w:lang w:val="fr-FR"/>
          </w:rPr>
          <w:t>http://www.ema.europa.eu</w:t>
        </w:r>
      </w:hyperlink>
      <w:r w:rsidR="00F9016F" w:rsidRPr="00DC2F2C">
        <w:rPr>
          <w:szCs w:val="22"/>
          <w:lang w:val="fr-FR"/>
        </w:rPr>
        <w:t>.</w:t>
      </w:r>
    </w:p>
    <w:p w14:paraId="05EA3309" w14:textId="5F370A6F" w:rsidR="00A02D8B" w:rsidRPr="00DC2F2C" w:rsidRDefault="00A02D8B" w:rsidP="003928E9">
      <w:pPr>
        <w:rPr>
          <w:szCs w:val="22"/>
          <w:lang w:val="fr-FR"/>
        </w:rPr>
      </w:pPr>
    </w:p>
    <w:sectPr w:rsidR="00A02D8B" w:rsidRPr="00DC2F2C" w:rsidSect="00BD5D8B">
      <w:footerReference w:type="default" r:id="rId19"/>
      <w:footerReference w:type="first" r:id="rId20"/>
      <w:endnotePr>
        <w:numFmt w:val="decimal"/>
      </w:endnotePr>
      <w:pgSz w:w="11907" w:h="16840" w:code="9"/>
      <w:pgMar w:top="1134" w:right="1418" w:bottom="1134" w:left="1418" w:header="737"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A8A82" w14:textId="77777777" w:rsidR="00190F18" w:rsidRDefault="00190F18">
      <w:r>
        <w:separator/>
      </w:r>
    </w:p>
  </w:endnote>
  <w:endnote w:type="continuationSeparator" w:id="0">
    <w:p w14:paraId="674407A9" w14:textId="77777777" w:rsidR="00190F18" w:rsidRDefault="00190F18">
      <w:r>
        <w:continuationSeparator/>
      </w:r>
    </w:p>
  </w:endnote>
  <w:endnote w:type="continuationNotice" w:id="1">
    <w:p w14:paraId="2E3E6D88" w14:textId="77777777" w:rsidR="00190F18" w:rsidRDefault="00190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AAA3" w14:textId="6BA6F96C" w:rsidR="00190F18" w:rsidRDefault="00190F18" w:rsidP="00475A46">
    <w:pPr>
      <w:pStyle w:val="Footer"/>
      <w:tabs>
        <w:tab w:val="right" w:pos="8931"/>
      </w:tabs>
      <w:ind w:right="96"/>
    </w:pPr>
    <w:r>
      <w:fldChar w:fldCharType="begin"/>
    </w:r>
    <w:r>
      <w:instrText xml:space="preserve"> EQ </w:instrText>
    </w:r>
    <w:r>
      <w:fldChar w:fldCharType="end"/>
    </w:r>
    <w:r w:rsidR="00475A46" w:rsidRPr="00475A46">
      <w:rPr>
        <w:noProof w:val="0"/>
      </w:rPr>
      <w:t xml:space="preserve"> </w:t>
    </w:r>
    <w:r w:rsidR="00475A46" w:rsidRPr="00DF54F6">
      <w:rPr>
        <w:noProof w:val="0"/>
      </w:rPr>
      <w:t>SPC/FOT/FR/773/</w:t>
    </w:r>
    <w:r w:rsidR="00035C0C">
      <w:rPr>
        <w:noProof w:val="0"/>
      </w:rPr>
      <w:t>10</w:t>
    </w:r>
    <w:r w:rsidR="00475A46">
      <w:rPr>
        <w:noProof w:val="0"/>
      </w:rPr>
      <w:tab/>
    </w:r>
    <w:r w:rsidR="00475A46">
      <w:rPr>
        <w:noProof w:val="0"/>
      </w:rPr>
      <w:tab/>
    </w:r>
    <w:r w:rsidR="00475A46">
      <w:rPr>
        <w:noProof w:val="0"/>
      </w:rPr>
      <w:tab/>
    </w: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rPr>
      <w:t>41</w:t>
    </w:r>
    <w:r>
      <w:rPr>
        <w:rStyle w:val="PageNumbe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970025407"/>
      <w:docPartObj>
        <w:docPartGallery w:val="Page Numbers (Bottom of Page)"/>
        <w:docPartUnique/>
      </w:docPartObj>
    </w:sdtPr>
    <w:sdtEndPr>
      <w:rPr>
        <w:noProof/>
      </w:rPr>
    </w:sdtEndPr>
    <w:sdtContent>
      <w:p w14:paraId="2779F55C" w14:textId="54C0B6AE" w:rsidR="00821E34" w:rsidRDefault="00821E34" w:rsidP="00821E34">
        <w:pPr>
          <w:pStyle w:val="Footer"/>
          <w:rPr>
            <w:noProof w:val="0"/>
          </w:rPr>
        </w:pPr>
        <w:r w:rsidRPr="00DF54F6">
          <w:rPr>
            <w:noProof w:val="0"/>
          </w:rPr>
          <w:t>SPC/FOT/FR/773/</w:t>
        </w:r>
        <w:r w:rsidR="00035C0C">
          <w:rPr>
            <w:noProof w:val="0"/>
          </w:rPr>
          <w:t>10</w:t>
        </w:r>
        <w:r>
          <w:rPr>
            <w:noProof w:val="0"/>
          </w:rPr>
          <w:tab/>
        </w:r>
        <w:r>
          <w:rPr>
            <w:noProof w:val="0"/>
          </w:rPr>
          <w:tab/>
        </w:r>
        <w:r>
          <w:rPr>
            <w:noProof w:val="0"/>
          </w:rPr>
          <w:fldChar w:fldCharType="begin"/>
        </w:r>
        <w:r>
          <w:instrText xml:space="preserve"> PAGE   \* MERGEFORMAT </w:instrText>
        </w:r>
        <w:r>
          <w:rPr>
            <w:noProof w:val="0"/>
          </w:rPr>
          <w:fldChar w:fldCharType="separate"/>
        </w:r>
        <w:r>
          <w:t>1</w:t>
        </w:r>
        <w:r>
          <w:fldChar w:fldCharType="end"/>
        </w:r>
      </w:p>
    </w:sdtContent>
  </w:sdt>
  <w:p w14:paraId="382C2B9F" w14:textId="5F3F47AD" w:rsidR="00190F18" w:rsidRDefault="00190F18">
    <w:pPr>
      <w:pStyle w:val="Footer"/>
      <w:tabs>
        <w:tab w:val="right" w:pos="8931"/>
      </w:tabs>
      <w:ind w:right="9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4DB11" w14:textId="77777777" w:rsidR="00190F18" w:rsidRDefault="00190F18">
      <w:r>
        <w:separator/>
      </w:r>
    </w:p>
  </w:footnote>
  <w:footnote w:type="continuationSeparator" w:id="0">
    <w:p w14:paraId="49214C0D" w14:textId="77777777" w:rsidR="00190F18" w:rsidRDefault="00190F18">
      <w:r>
        <w:continuationSeparator/>
      </w:r>
    </w:p>
  </w:footnote>
  <w:footnote w:type="continuationNotice" w:id="1">
    <w:p w14:paraId="580AD6F7" w14:textId="77777777" w:rsidR="00190F18" w:rsidRDefault="00190F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3in;height:3in" o:bullet="t"/>
    </w:pict>
  </w:numPicBullet>
  <w:abstractNum w:abstractNumId="0" w15:restartNumberingAfterBreak="0">
    <w:nsid w:val="FFFFFF1D"/>
    <w:multiLevelType w:val="multilevel"/>
    <w:tmpl w:val="657CE4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00662A"/>
    <w:multiLevelType w:val="hybridMultilevel"/>
    <w:tmpl w:val="532AF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F336A"/>
    <w:multiLevelType w:val="hybridMultilevel"/>
    <w:tmpl w:val="518849F8"/>
    <w:lvl w:ilvl="0" w:tplc="87B21EFE">
      <w:start w:val="1"/>
      <w:numFmt w:val="upperLetter"/>
      <w:lvlText w:val="%1."/>
      <w:lvlJc w:val="left"/>
      <w:pPr>
        <w:ind w:left="0" w:hanging="72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 w15:restartNumberingAfterBreak="0">
    <w:nsid w:val="23967091"/>
    <w:multiLevelType w:val="hybridMultilevel"/>
    <w:tmpl w:val="EBAEFE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174595A"/>
    <w:multiLevelType w:val="hybridMultilevel"/>
    <w:tmpl w:val="5936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15245F"/>
    <w:multiLevelType w:val="hybridMultilevel"/>
    <w:tmpl w:val="366E6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DC7C5F"/>
    <w:multiLevelType w:val="hybridMultilevel"/>
    <w:tmpl w:val="296E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97004"/>
    <w:multiLevelType w:val="hybridMultilevel"/>
    <w:tmpl w:val="2294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673E4"/>
    <w:multiLevelType w:val="hybridMultilevel"/>
    <w:tmpl w:val="940C041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28630C"/>
    <w:multiLevelType w:val="hybridMultilevel"/>
    <w:tmpl w:val="A9444B12"/>
    <w:lvl w:ilvl="0" w:tplc="8228C402">
      <w:start w:val="1"/>
      <w:numFmt w:val="bullet"/>
      <w:pStyle w:val="NoSpacing1"/>
      <w:lvlText w:val=""/>
      <w:lvlJc w:val="left"/>
      <w:pPr>
        <w:ind w:left="360" w:hanging="360"/>
      </w:pPr>
      <w:rPr>
        <w:rFonts w:ascii="Symbol" w:hAnsi="Symbol" w:hint="default"/>
        <w:sz w:val="22"/>
      </w:rPr>
    </w:lvl>
    <w:lvl w:ilvl="1" w:tplc="50880ADC">
      <w:numFmt w:val="bullet"/>
      <w:lvlText w:val="-"/>
      <w:lvlJc w:val="left"/>
      <w:pPr>
        <w:tabs>
          <w:tab w:val="num" w:pos="1080"/>
        </w:tabs>
        <w:ind w:left="1080" w:hanging="360"/>
      </w:pPr>
      <w:rPr>
        <w:rFonts w:ascii="Times New Roman" w:eastAsia="Times New Roman" w:hAnsi="Times New Roman" w:hint="default"/>
        <w:b w:val="0"/>
        <w:sz w:val="22"/>
      </w:rPr>
    </w:lvl>
    <w:lvl w:ilvl="2" w:tplc="04090005" w:tentative="1">
      <w:start w:val="1"/>
      <w:numFmt w:val="bullet"/>
      <w:lvlText w:val=""/>
      <w:lvlJc w:val="left"/>
      <w:pPr>
        <w:ind w:left="1800" w:hanging="360"/>
      </w:pPr>
      <w:rPr>
        <w:rFonts w:ascii="Webdings" w:hAnsi="Web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ebdings" w:hAnsi="Web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ebdings" w:hAnsi="Webdings" w:hint="default"/>
      </w:rPr>
    </w:lvl>
  </w:abstractNum>
  <w:abstractNum w:abstractNumId="10" w15:restartNumberingAfterBreak="0">
    <w:nsid w:val="48436B57"/>
    <w:multiLevelType w:val="hybridMultilevel"/>
    <w:tmpl w:val="75D6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D7100E"/>
    <w:multiLevelType w:val="hybridMultilevel"/>
    <w:tmpl w:val="54DC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280F5D"/>
    <w:multiLevelType w:val="hybridMultilevel"/>
    <w:tmpl w:val="22125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4184A"/>
    <w:multiLevelType w:val="hybridMultilevel"/>
    <w:tmpl w:val="B7360900"/>
    <w:lvl w:ilvl="0" w:tplc="E3D2B18A">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E168A1"/>
    <w:multiLevelType w:val="hybridMultilevel"/>
    <w:tmpl w:val="49E6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337D0"/>
    <w:multiLevelType w:val="multilevel"/>
    <w:tmpl w:val="00000051"/>
    <w:lvl w:ilvl="0">
      <w:start w:val="1"/>
      <w:numFmt w:val="bullet"/>
      <w:lvlText w:val=""/>
      <w:lvlJc w:val="left"/>
      <w:pPr>
        <w:tabs>
          <w:tab w:val="num" w:pos="468"/>
        </w:tabs>
        <w:ind w:left="828" w:hanging="360"/>
      </w:pPr>
      <w:rPr>
        <w:rFonts w:ascii="Symbol" w:hAnsi="Symbol" w:cs="Symbol"/>
        <w:color w:val="000000"/>
        <w:sz w:val="24"/>
        <w:szCs w:val="24"/>
      </w:rPr>
    </w:lvl>
    <w:lvl w:ilvl="1">
      <w:start w:val="1"/>
      <w:numFmt w:val="bullet"/>
      <w:lvlText w:val="o"/>
      <w:lvlJc w:val="left"/>
      <w:pPr>
        <w:tabs>
          <w:tab w:val="num" w:pos="1548"/>
        </w:tabs>
        <w:ind w:left="1548" w:hanging="360"/>
      </w:pPr>
      <w:rPr>
        <w:rFonts w:ascii="Courier New" w:hAnsi="Courier New" w:cs="Courier New"/>
        <w:color w:val="000000"/>
        <w:sz w:val="24"/>
        <w:szCs w:val="24"/>
      </w:rPr>
    </w:lvl>
    <w:lvl w:ilvl="2">
      <w:start w:val="1"/>
      <w:numFmt w:val="bullet"/>
      <w:lvlText w:val=""/>
      <w:lvlJc w:val="left"/>
      <w:pPr>
        <w:tabs>
          <w:tab w:val="num" w:pos="2268"/>
        </w:tabs>
        <w:ind w:left="2268" w:hanging="360"/>
      </w:pPr>
      <w:rPr>
        <w:rFonts w:ascii="Arial" w:hAnsi="Arial" w:cs="Arial"/>
        <w:color w:val="000000"/>
        <w:sz w:val="24"/>
        <w:szCs w:val="24"/>
      </w:rPr>
    </w:lvl>
    <w:lvl w:ilvl="3">
      <w:start w:val="1"/>
      <w:numFmt w:val="bullet"/>
      <w:lvlText w:val=""/>
      <w:lvlJc w:val="left"/>
      <w:pPr>
        <w:tabs>
          <w:tab w:val="num" w:pos="2988"/>
        </w:tabs>
        <w:ind w:left="2988" w:hanging="360"/>
      </w:pPr>
      <w:rPr>
        <w:rFonts w:ascii="Symbol" w:hAnsi="Symbol" w:cs="Symbol"/>
        <w:color w:val="000000"/>
        <w:sz w:val="24"/>
        <w:szCs w:val="24"/>
      </w:rPr>
    </w:lvl>
    <w:lvl w:ilvl="4">
      <w:start w:val="1"/>
      <w:numFmt w:val="bullet"/>
      <w:lvlText w:val="o"/>
      <w:lvlJc w:val="left"/>
      <w:pPr>
        <w:tabs>
          <w:tab w:val="num" w:pos="3708"/>
        </w:tabs>
        <w:ind w:left="3708" w:hanging="360"/>
      </w:pPr>
      <w:rPr>
        <w:rFonts w:ascii="Courier New" w:hAnsi="Courier New" w:cs="Courier New"/>
        <w:color w:val="000000"/>
        <w:sz w:val="24"/>
        <w:szCs w:val="24"/>
      </w:rPr>
    </w:lvl>
    <w:lvl w:ilvl="5">
      <w:start w:val="1"/>
      <w:numFmt w:val="bullet"/>
      <w:lvlText w:val=""/>
      <w:lvlJc w:val="left"/>
      <w:pPr>
        <w:tabs>
          <w:tab w:val="num" w:pos="4428"/>
        </w:tabs>
        <w:ind w:left="4428" w:hanging="360"/>
      </w:pPr>
      <w:rPr>
        <w:rFonts w:ascii="Arial" w:hAnsi="Arial" w:cs="Arial"/>
        <w:color w:val="000000"/>
        <w:sz w:val="24"/>
        <w:szCs w:val="24"/>
      </w:rPr>
    </w:lvl>
    <w:lvl w:ilvl="6">
      <w:start w:val="1"/>
      <w:numFmt w:val="bullet"/>
      <w:lvlText w:val=""/>
      <w:lvlJc w:val="left"/>
      <w:pPr>
        <w:tabs>
          <w:tab w:val="num" w:pos="5148"/>
        </w:tabs>
        <w:ind w:left="5148" w:hanging="360"/>
      </w:pPr>
      <w:rPr>
        <w:rFonts w:ascii="Symbol" w:hAnsi="Symbol" w:cs="Symbol"/>
        <w:color w:val="000000"/>
        <w:sz w:val="24"/>
        <w:szCs w:val="24"/>
      </w:rPr>
    </w:lvl>
    <w:lvl w:ilvl="7">
      <w:start w:val="1"/>
      <w:numFmt w:val="bullet"/>
      <w:lvlText w:val="o"/>
      <w:lvlJc w:val="left"/>
      <w:pPr>
        <w:tabs>
          <w:tab w:val="num" w:pos="5868"/>
        </w:tabs>
        <w:ind w:left="5868" w:hanging="360"/>
      </w:pPr>
      <w:rPr>
        <w:rFonts w:ascii="Courier New" w:hAnsi="Courier New" w:cs="Courier New"/>
        <w:color w:val="000000"/>
        <w:sz w:val="24"/>
        <w:szCs w:val="24"/>
      </w:rPr>
    </w:lvl>
    <w:lvl w:ilvl="8">
      <w:start w:val="1"/>
      <w:numFmt w:val="bullet"/>
      <w:lvlText w:val=""/>
      <w:lvlJc w:val="left"/>
      <w:pPr>
        <w:tabs>
          <w:tab w:val="num" w:pos="6588"/>
        </w:tabs>
        <w:ind w:left="6588" w:hanging="360"/>
      </w:pPr>
      <w:rPr>
        <w:rFonts w:ascii="Arial" w:hAnsi="Arial" w:cs="Arial"/>
        <w:color w:val="000000"/>
        <w:sz w:val="24"/>
        <w:szCs w:val="24"/>
      </w:rPr>
    </w:lvl>
  </w:abstractNum>
  <w:abstractNum w:abstractNumId="16" w15:restartNumberingAfterBreak="0">
    <w:nsid w:val="75771BC6"/>
    <w:multiLevelType w:val="hybridMultilevel"/>
    <w:tmpl w:val="B936FD78"/>
    <w:lvl w:ilvl="0" w:tplc="7B18C7CE">
      <w:start w:val="1"/>
      <w:numFmt w:val="bullet"/>
      <w:pStyle w:val="10Bullet"/>
      <w:lvlText w:val="●"/>
      <w:lvlJc w:val="left"/>
      <w:pPr>
        <w:tabs>
          <w:tab w:val="num" w:pos="425"/>
        </w:tabs>
        <w:ind w:left="425" w:hanging="425"/>
      </w:pPr>
      <w:rPr>
        <w:rFonts w:ascii="Times New Roman" w:hAnsi="Times New Roman" w:cs="Times New Roman" w:hint="default"/>
      </w:rPr>
    </w:lvl>
    <w:lvl w:ilvl="1" w:tplc="A240163C" w:tentative="1">
      <w:start w:val="1"/>
      <w:numFmt w:val="bullet"/>
      <w:lvlText w:val="o"/>
      <w:lvlJc w:val="left"/>
      <w:pPr>
        <w:tabs>
          <w:tab w:val="num" w:pos="1440"/>
        </w:tabs>
        <w:ind w:left="1440" w:hanging="360"/>
      </w:pPr>
      <w:rPr>
        <w:rFonts w:ascii="Courier New" w:hAnsi="Courier New" w:cs="Courier New" w:hint="default"/>
      </w:rPr>
    </w:lvl>
    <w:lvl w:ilvl="2" w:tplc="7E3E9A8A">
      <w:start w:val="1"/>
      <w:numFmt w:val="bullet"/>
      <w:lvlText w:val=""/>
      <w:lvlJc w:val="left"/>
      <w:pPr>
        <w:tabs>
          <w:tab w:val="num" w:pos="2160"/>
        </w:tabs>
        <w:ind w:left="2160" w:hanging="360"/>
      </w:pPr>
      <w:rPr>
        <w:rFonts w:ascii="Wingdings" w:hAnsi="Wingdings" w:hint="default"/>
      </w:rPr>
    </w:lvl>
    <w:lvl w:ilvl="3" w:tplc="304AF07A" w:tentative="1">
      <w:start w:val="1"/>
      <w:numFmt w:val="bullet"/>
      <w:lvlText w:val=""/>
      <w:lvlJc w:val="left"/>
      <w:pPr>
        <w:tabs>
          <w:tab w:val="num" w:pos="2880"/>
        </w:tabs>
        <w:ind w:left="2880" w:hanging="360"/>
      </w:pPr>
      <w:rPr>
        <w:rFonts w:ascii="Symbol" w:hAnsi="Symbol" w:hint="default"/>
      </w:rPr>
    </w:lvl>
    <w:lvl w:ilvl="4" w:tplc="23E8E5EA" w:tentative="1">
      <w:start w:val="1"/>
      <w:numFmt w:val="bullet"/>
      <w:lvlText w:val="o"/>
      <w:lvlJc w:val="left"/>
      <w:pPr>
        <w:tabs>
          <w:tab w:val="num" w:pos="3600"/>
        </w:tabs>
        <w:ind w:left="3600" w:hanging="360"/>
      </w:pPr>
      <w:rPr>
        <w:rFonts w:ascii="Courier New" w:hAnsi="Courier New" w:cs="Courier New" w:hint="default"/>
      </w:rPr>
    </w:lvl>
    <w:lvl w:ilvl="5" w:tplc="DAF45C38" w:tentative="1">
      <w:start w:val="1"/>
      <w:numFmt w:val="bullet"/>
      <w:lvlText w:val=""/>
      <w:lvlJc w:val="left"/>
      <w:pPr>
        <w:tabs>
          <w:tab w:val="num" w:pos="4320"/>
        </w:tabs>
        <w:ind w:left="4320" w:hanging="360"/>
      </w:pPr>
      <w:rPr>
        <w:rFonts w:ascii="Wingdings" w:hAnsi="Wingdings" w:hint="default"/>
      </w:rPr>
    </w:lvl>
    <w:lvl w:ilvl="6" w:tplc="631C8046" w:tentative="1">
      <w:start w:val="1"/>
      <w:numFmt w:val="bullet"/>
      <w:lvlText w:val=""/>
      <w:lvlJc w:val="left"/>
      <w:pPr>
        <w:tabs>
          <w:tab w:val="num" w:pos="5040"/>
        </w:tabs>
        <w:ind w:left="5040" w:hanging="360"/>
      </w:pPr>
      <w:rPr>
        <w:rFonts w:ascii="Symbol" w:hAnsi="Symbol" w:hint="default"/>
      </w:rPr>
    </w:lvl>
    <w:lvl w:ilvl="7" w:tplc="9A54FD9A" w:tentative="1">
      <w:start w:val="1"/>
      <w:numFmt w:val="bullet"/>
      <w:lvlText w:val="o"/>
      <w:lvlJc w:val="left"/>
      <w:pPr>
        <w:tabs>
          <w:tab w:val="num" w:pos="5760"/>
        </w:tabs>
        <w:ind w:left="5760" w:hanging="360"/>
      </w:pPr>
      <w:rPr>
        <w:rFonts w:ascii="Courier New" w:hAnsi="Courier New" w:cs="Courier New" w:hint="default"/>
      </w:rPr>
    </w:lvl>
    <w:lvl w:ilvl="8" w:tplc="BD18E3D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A50041"/>
    <w:multiLevelType w:val="hybridMultilevel"/>
    <w:tmpl w:val="DB98E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4B3558"/>
    <w:multiLevelType w:val="hybridMultilevel"/>
    <w:tmpl w:val="3E06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8E4FC4"/>
    <w:multiLevelType w:val="hybridMultilevel"/>
    <w:tmpl w:val="D488E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0"/>
  </w:num>
  <w:num w:numId="4">
    <w:abstractNumId w:val="11"/>
  </w:num>
  <w:num w:numId="5">
    <w:abstractNumId w:val="9"/>
  </w:num>
  <w:num w:numId="6">
    <w:abstractNumId w:val="14"/>
  </w:num>
  <w:num w:numId="7">
    <w:abstractNumId w:val="16"/>
  </w:num>
  <w:num w:numId="8">
    <w:abstractNumId w:val="12"/>
  </w:num>
  <w:num w:numId="9">
    <w:abstractNumId w:val="17"/>
  </w:num>
  <w:num w:numId="10">
    <w:abstractNumId w:val="18"/>
  </w:num>
  <w:num w:numId="11">
    <w:abstractNumId w:val="1"/>
  </w:num>
  <w:num w:numId="12">
    <w:abstractNumId w:val="4"/>
  </w:num>
  <w:num w:numId="13">
    <w:abstractNumId w:val="19"/>
  </w:num>
  <w:num w:numId="14">
    <w:abstractNumId w:val="7"/>
  </w:num>
  <w:num w:numId="15">
    <w:abstractNumId w:val="5"/>
  </w:num>
  <w:num w:numId="16">
    <w:abstractNumId w:val="0"/>
  </w:num>
  <w:num w:numId="17">
    <w:abstractNumId w:val="3"/>
  </w:num>
  <w:num w:numId="18">
    <w:abstractNumId w:val="8"/>
  </w:num>
  <w:num w:numId="19">
    <w:abstractNumId w:val="15"/>
  </w:num>
  <w:num w:numId="20">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gistered" w:val="-1"/>
    <w:docVar w:name="Version" w:val="0"/>
  </w:docVars>
  <w:rsids>
    <w:rsidRoot w:val="00812D16"/>
    <w:rsid w:val="00000D62"/>
    <w:rsid w:val="00001587"/>
    <w:rsid w:val="00001A31"/>
    <w:rsid w:val="00002578"/>
    <w:rsid w:val="00002951"/>
    <w:rsid w:val="00003392"/>
    <w:rsid w:val="0000362A"/>
    <w:rsid w:val="00005462"/>
    <w:rsid w:val="000056A1"/>
    <w:rsid w:val="00005701"/>
    <w:rsid w:val="00006603"/>
    <w:rsid w:val="00006B81"/>
    <w:rsid w:val="00007528"/>
    <w:rsid w:val="00011580"/>
    <w:rsid w:val="0001164F"/>
    <w:rsid w:val="00013A12"/>
    <w:rsid w:val="000143D5"/>
    <w:rsid w:val="000145FA"/>
    <w:rsid w:val="00014869"/>
    <w:rsid w:val="000150D3"/>
    <w:rsid w:val="00015FD2"/>
    <w:rsid w:val="000166C1"/>
    <w:rsid w:val="0001684E"/>
    <w:rsid w:val="0002006B"/>
    <w:rsid w:val="00020AE8"/>
    <w:rsid w:val="000214A9"/>
    <w:rsid w:val="00022074"/>
    <w:rsid w:val="000231F8"/>
    <w:rsid w:val="00023C85"/>
    <w:rsid w:val="00024AFD"/>
    <w:rsid w:val="0002539B"/>
    <w:rsid w:val="00025622"/>
    <w:rsid w:val="000256FE"/>
    <w:rsid w:val="00025E3B"/>
    <w:rsid w:val="00025E6C"/>
    <w:rsid w:val="00025EBE"/>
    <w:rsid w:val="00026BF2"/>
    <w:rsid w:val="000271F6"/>
    <w:rsid w:val="0002725F"/>
    <w:rsid w:val="00030445"/>
    <w:rsid w:val="000318C7"/>
    <w:rsid w:val="00032554"/>
    <w:rsid w:val="00032863"/>
    <w:rsid w:val="00033A76"/>
    <w:rsid w:val="00033ADB"/>
    <w:rsid w:val="00033F82"/>
    <w:rsid w:val="00033FDB"/>
    <w:rsid w:val="000344F6"/>
    <w:rsid w:val="00034825"/>
    <w:rsid w:val="00034895"/>
    <w:rsid w:val="00035C0C"/>
    <w:rsid w:val="00035DF9"/>
    <w:rsid w:val="000360FC"/>
    <w:rsid w:val="00036EF2"/>
    <w:rsid w:val="00037022"/>
    <w:rsid w:val="00040DAB"/>
    <w:rsid w:val="0004166D"/>
    <w:rsid w:val="00041851"/>
    <w:rsid w:val="000421C8"/>
    <w:rsid w:val="00042263"/>
    <w:rsid w:val="00042B5A"/>
    <w:rsid w:val="00043505"/>
    <w:rsid w:val="00044042"/>
    <w:rsid w:val="0004433D"/>
    <w:rsid w:val="00044D4A"/>
    <w:rsid w:val="000453DF"/>
    <w:rsid w:val="000456B6"/>
    <w:rsid w:val="00046428"/>
    <w:rsid w:val="000474D2"/>
    <w:rsid w:val="000479C5"/>
    <w:rsid w:val="00050823"/>
    <w:rsid w:val="00050DFD"/>
    <w:rsid w:val="000515C1"/>
    <w:rsid w:val="00052B6D"/>
    <w:rsid w:val="00052FB6"/>
    <w:rsid w:val="0005306C"/>
    <w:rsid w:val="0005315D"/>
    <w:rsid w:val="00053308"/>
    <w:rsid w:val="00053374"/>
    <w:rsid w:val="00053809"/>
    <w:rsid w:val="00053914"/>
    <w:rsid w:val="00054756"/>
    <w:rsid w:val="00054D65"/>
    <w:rsid w:val="000560C5"/>
    <w:rsid w:val="000566CA"/>
    <w:rsid w:val="00056C49"/>
    <w:rsid w:val="00056FE0"/>
    <w:rsid w:val="00057184"/>
    <w:rsid w:val="0005768E"/>
    <w:rsid w:val="0005790D"/>
    <w:rsid w:val="000603C8"/>
    <w:rsid w:val="000608A4"/>
    <w:rsid w:val="00060AA1"/>
    <w:rsid w:val="00061F82"/>
    <w:rsid w:val="000620E4"/>
    <w:rsid w:val="000631FD"/>
    <w:rsid w:val="00065F3F"/>
    <w:rsid w:val="00067828"/>
    <w:rsid w:val="00067F40"/>
    <w:rsid w:val="00070586"/>
    <w:rsid w:val="00071F8A"/>
    <w:rsid w:val="00073057"/>
    <w:rsid w:val="0007318E"/>
    <w:rsid w:val="000734D6"/>
    <w:rsid w:val="00073A8C"/>
    <w:rsid w:val="00073BF2"/>
    <w:rsid w:val="00073C28"/>
    <w:rsid w:val="00073E04"/>
    <w:rsid w:val="00074EFA"/>
    <w:rsid w:val="0007621E"/>
    <w:rsid w:val="0007628D"/>
    <w:rsid w:val="00076567"/>
    <w:rsid w:val="00077AE3"/>
    <w:rsid w:val="00077E85"/>
    <w:rsid w:val="00081DAB"/>
    <w:rsid w:val="00082E4D"/>
    <w:rsid w:val="0008481B"/>
    <w:rsid w:val="00084948"/>
    <w:rsid w:val="000854CD"/>
    <w:rsid w:val="000858C3"/>
    <w:rsid w:val="00085F23"/>
    <w:rsid w:val="000874F7"/>
    <w:rsid w:val="00091A0F"/>
    <w:rsid w:val="00092C8D"/>
    <w:rsid w:val="00093128"/>
    <w:rsid w:val="0009351E"/>
    <w:rsid w:val="0009479A"/>
    <w:rsid w:val="0009509C"/>
    <w:rsid w:val="00095E44"/>
    <w:rsid w:val="00096339"/>
    <w:rsid w:val="000968F4"/>
    <w:rsid w:val="00096D8D"/>
    <w:rsid w:val="0009724F"/>
    <w:rsid w:val="000974FC"/>
    <w:rsid w:val="0009755A"/>
    <w:rsid w:val="000A0F49"/>
    <w:rsid w:val="000A1232"/>
    <w:rsid w:val="000A1608"/>
    <w:rsid w:val="000A18C5"/>
    <w:rsid w:val="000A3520"/>
    <w:rsid w:val="000A49AD"/>
    <w:rsid w:val="000A5BB2"/>
    <w:rsid w:val="000A608B"/>
    <w:rsid w:val="000A6CC1"/>
    <w:rsid w:val="000A7863"/>
    <w:rsid w:val="000A7F6F"/>
    <w:rsid w:val="000B0097"/>
    <w:rsid w:val="000B07E9"/>
    <w:rsid w:val="000B0BFE"/>
    <w:rsid w:val="000B101F"/>
    <w:rsid w:val="000B1BCC"/>
    <w:rsid w:val="000B1F4B"/>
    <w:rsid w:val="000B2C13"/>
    <w:rsid w:val="000B2F27"/>
    <w:rsid w:val="000B2F58"/>
    <w:rsid w:val="000B37A8"/>
    <w:rsid w:val="000B4A78"/>
    <w:rsid w:val="000B51D9"/>
    <w:rsid w:val="000B5B9D"/>
    <w:rsid w:val="000B66BA"/>
    <w:rsid w:val="000B7996"/>
    <w:rsid w:val="000B7BDE"/>
    <w:rsid w:val="000C05E6"/>
    <w:rsid w:val="000C154E"/>
    <w:rsid w:val="000C1BA5"/>
    <w:rsid w:val="000C20DA"/>
    <w:rsid w:val="000C308F"/>
    <w:rsid w:val="000C53AA"/>
    <w:rsid w:val="000C58B2"/>
    <w:rsid w:val="000C5A4E"/>
    <w:rsid w:val="000C5F66"/>
    <w:rsid w:val="000C6096"/>
    <w:rsid w:val="000C635D"/>
    <w:rsid w:val="000C654E"/>
    <w:rsid w:val="000C72E8"/>
    <w:rsid w:val="000C7F49"/>
    <w:rsid w:val="000D0DA6"/>
    <w:rsid w:val="000D19D3"/>
    <w:rsid w:val="000D1AEE"/>
    <w:rsid w:val="000D1F4F"/>
    <w:rsid w:val="000D261A"/>
    <w:rsid w:val="000D2937"/>
    <w:rsid w:val="000D31F5"/>
    <w:rsid w:val="000D344A"/>
    <w:rsid w:val="000D3C03"/>
    <w:rsid w:val="000D418B"/>
    <w:rsid w:val="000D432A"/>
    <w:rsid w:val="000D46F1"/>
    <w:rsid w:val="000D47D4"/>
    <w:rsid w:val="000D47EF"/>
    <w:rsid w:val="000D48B8"/>
    <w:rsid w:val="000D4D07"/>
    <w:rsid w:val="000D5329"/>
    <w:rsid w:val="000D54FC"/>
    <w:rsid w:val="000D5A29"/>
    <w:rsid w:val="000D6CFA"/>
    <w:rsid w:val="000D7535"/>
    <w:rsid w:val="000D7A23"/>
    <w:rsid w:val="000D7AEF"/>
    <w:rsid w:val="000E02ED"/>
    <w:rsid w:val="000E165D"/>
    <w:rsid w:val="000E1BAF"/>
    <w:rsid w:val="000E223E"/>
    <w:rsid w:val="000E2491"/>
    <w:rsid w:val="000E2EA9"/>
    <w:rsid w:val="000E325C"/>
    <w:rsid w:val="000E33F5"/>
    <w:rsid w:val="000E3556"/>
    <w:rsid w:val="000E3740"/>
    <w:rsid w:val="000E4429"/>
    <w:rsid w:val="000E46A3"/>
    <w:rsid w:val="000E47DA"/>
    <w:rsid w:val="000E49E1"/>
    <w:rsid w:val="000E4E88"/>
    <w:rsid w:val="000E5726"/>
    <w:rsid w:val="000E5C50"/>
    <w:rsid w:val="000E66CC"/>
    <w:rsid w:val="000E6A02"/>
    <w:rsid w:val="000E6C94"/>
    <w:rsid w:val="000E7E64"/>
    <w:rsid w:val="000F0040"/>
    <w:rsid w:val="000F080A"/>
    <w:rsid w:val="000F0D0C"/>
    <w:rsid w:val="000F0E5B"/>
    <w:rsid w:val="000F1BB2"/>
    <w:rsid w:val="000F1F4E"/>
    <w:rsid w:val="000F2769"/>
    <w:rsid w:val="000F3F94"/>
    <w:rsid w:val="000F5419"/>
    <w:rsid w:val="000F5BC1"/>
    <w:rsid w:val="000F69C6"/>
    <w:rsid w:val="000F7EC8"/>
    <w:rsid w:val="0010119B"/>
    <w:rsid w:val="0010122C"/>
    <w:rsid w:val="00102733"/>
    <w:rsid w:val="00103501"/>
    <w:rsid w:val="0010370D"/>
    <w:rsid w:val="00103B29"/>
    <w:rsid w:val="00103B2D"/>
    <w:rsid w:val="00103CD2"/>
    <w:rsid w:val="00104061"/>
    <w:rsid w:val="0010485C"/>
    <w:rsid w:val="00105CE2"/>
    <w:rsid w:val="00106200"/>
    <w:rsid w:val="00106C03"/>
    <w:rsid w:val="00106CCB"/>
    <w:rsid w:val="00107236"/>
    <w:rsid w:val="001101A2"/>
    <w:rsid w:val="001102A1"/>
    <w:rsid w:val="001106F7"/>
    <w:rsid w:val="001108A9"/>
    <w:rsid w:val="00111526"/>
    <w:rsid w:val="00111761"/>
    <w:rsid w:val="00112EDA"/>
    <w:rsid w:val="001136B4"/>
    <w:rsid w:val="00114174"/>
    <w:rsid w:val="00114468"/>
    <w:rsid w:val="00115446"/>
    <w:rsid w:val="001157AF"/>
    <w:rsid w:val="00115CF8"/>
    <w:rsid w:val="00117C1D"/>
    <w:rsid w:val="001206DC"/>
    <w:rsid w:val="00120829"/>
    <w:rsid w:val="001209B3"/>
    <w:rsid w:val="001212BE"/>
    <w:rsid w:val="00122312"/>
    <w:rsid w:val="00123688"/>
    <w:rsid w:val="00125DAB"/>
    <w:rsid w:val="001261BF"/>
    <w:rsid w:val="00126475"/>
    <w:rsid w:val="00127046"/>
    <w:rsid w:val="00127343"/>
    <w:rsid w:val="00127F47"/>
    <w:rsid w:val="00131E95"/>
    <w:rsid w:val="00132BE8"/>
    <w:rsid w:val="00133572"/>
    <w:rsid w:val="001347F3"/>
    <w:rsid w:val="00135216"/>
    <w:rsid w:val="001354F8"/>
    <w:rsid w:val="00136D7A"/>
    <w:rsid w:val="00137A9B"/>
    <w:rsid w:val="00137B39"/>
    <w:rsid w:val="00141470"/>
    <w:rsid w:val="00141540"/>
    <w:rsid w:val="001417E8"/>
    <w:rsid w:val="00142943"/>
    <w:rsid w:val="00142BCF"/>
    <w:rsid w:val="00142F14"/>
    <w:rsid w:val="001430C9"/>
    <w:rsid w:val="0014340A"/>
    <w:rsid w:val="001449DF"/>
    <w:rsid w:val="0014512F"/>
    <w:rsid w:val="0014569B"/>
    <w:rsid w:val="00145FBE"/>
    <w:rsid w:val="001470E0"/>
    <w:rsid w:val="00147B89"/>
    <w:rsid w:val="00147CC4"/>
    <w:rsid w:val="00150060"/>
    <w:rsid w:val="00150FAD"/>
    <w:rsid w:val="00151314"/>
    <w:rsid w:val="0015181A"/>
    <w:rsid w:val="00153167"/>
    <w:rsid w:val="00153370"/>
    <w:rsid w:val="00153837"/>
    <w:rsid w:val="00153AFD"/>
    <w:rsid w:val="00153E5E"/>
    <w:rsid w:val="001547F9"/>
    <w:rsid w:val="00154C69"/>
    <w:rsid w:val="00155EB1"/>
    <w:rsid w:val="0015704C"/>
    <w:rsid w:val="00157192"/>
    <w:rsid w:val="00160CAD"/>
    <w:rsid w:val="00161701"/>
    <w:rsid w:val="00161784"/>
    <w:rsid w:val="00161E87"/>
    <w:rsid w:val="00162C01"/>
    <w:rsid w:val="001633EC"/>
    <w:rsid w:val="0016566C"/>
    <w:rsid w:val="001703D3"/>
    <w:rsid w:val="00170903"/>
    <w:rsid w:val="001711AF"/>
    <w:rsid w:val="0017190F"/>
    <w:rsid w:val="0017202B"/>
    <w:rsid w:val="001727F0"/>
    <w:rsid w:val="00172B06"/>
    <w:rsid w:val="00172CD4"/>
    <w:rsid w:val="0017347E"/>
    <w:rsid w:val="001752D8"/>
    <w:rsid w:val="0017542B"/>
    <w:rsid w:val="00175614"/>
    <w:rsid w:val="001758BA"/>
    <w:rsid w:val="00175931"/>
    <w:rsid w:val="0017638D"/>
    <w:rsid w:val="0017650D"/>
    <w:rsid w:val="0017651E"/>
    <w:rsid w:val="00176B25"/>
    <w:rsid w:val="00176B3E"/>
    <w:rsid w:val="00176EA7"/>
    <w:rsid w:val="0017749C"/>
    <w:rsid w:val="001779D8"/>
    <w:rsid w:val="001815BA"/>
    <w:rsid w:val="00181849"/>
    <w:rsid w:val="0018238B"/>
    <w:rsid w:val="0018295B"/>
    <w:rsid w:val="00183419"/>
    <w:rsid w:val="0018394A"/>
    <w:rsid w:val="00183F3C"/>
    <w:rsid w:val="00184DCC"/>
    <w:rsid w:val="001867D5"/>
    <w:rsid w:val="00186A9D"/>
    <w:rsid w:val="001874A6"/>
    <w:rsid w:val="0018765B"/>
    <w:rsid w:val="00187DDF"/>
    <w:rsid w:val="00190913"/>
    <w:rsid w:val="00190F18"/>
    <w:rsid w:val="00192352"/>
    <w:rsid w:val="001928EC"/>
    <w:rsid w:val="00193D77"/>
    <w:rsid w:val="00193DD3"/>
    <w:rsid w:val="00193E0B"/>
    <w:rsid w:val="00194962"/>
    <w:rsid w:val="00194EB3"/>
    <w:rsid w:val="00195D5C"/>
    <w:rsid w:val="00195F65"/>
    <w:rsid w:val="00197335"/>
    <w:rsid w:val="001A07E2"/>
    <w:rsid w:val="001A16A6"/>
    <w:rsid w:val="001A18E1"/>
    <w:rsid w:val="001A2018"/>
    <w:rsid w:val="001A2F33"/>
    <w:rsid w:val="001A50E7"/>
    <w:rsid w:val="001A56E7"/>
    <w:rsid w:val="001A56F1"/>
    <w:rsid w:val="001A5EBD"/>
    <w:rsid w:val="001A6972"/>
    <w:rsid w:val="001A7B64"/>
    <w:rsid w:val="001B01C8"/>
    <w:rsid w:val="001B0B52"/>
    <w:rsid w:val="001B1155"/>
    <w:rsid w:val="001B12F7"/>
    <w:rsid w:val="001B13F6"/>
    <w:rsid w:val="001B1734"/>
    <w:rsid w:val="001B1747"/>
    <w:rsid w:val="001B2118"/>
    <w:rsid w:val="001B23A5"/>
    <w:rsid w:val="001B25B3"/>
    <w:rsid w:val="001B2759"/>
    <w:rsid w:val="001B28D1"/>
    <w:rsid w:val="001B2D44"/>
    <w:rsid w:val="001B421B"/>
    <w:rsid w:val="001B460F"/>
    <w:rsid w:val="001B64A3"/>
    <w:rsid w:val="001B6897"/>
    <w:rsid w:val="001B752A"/>
    <w:rsid w:val="001C0A43"/>
    <w:rsid w:val="001C12FB"/>
    <w:rsid w:val="001C200B"/>
    <w:rsid w:val="001C28E5"/>
    <w:rsid w:val="001C2BA4"/>
    <w:rsid w:val="001C2EF5"/>
    <w:rsid w:val="001C35E9"/>
    <w:rsid w:val="001C36BD"/>
    <w:rsid w:val="001C3733"/>
    <w:rsid w:val="001C4239"/>
    <w:rsid w:val="001C49B3"/>
    <w:rsid w:val="001C5357"/>
    <w:rsid w:val="001C5B30"/>
    <w:rsid w:val="001C605A"/>
    <w:rsid w:val="001C62B3"/>
    <w:rsid w:val="001C73DF"/>
    <w:rsid w:val="001C7BA2"/>
    <w:rsid w:val="001C7E63"/>
    <w:rsid w:val="001D04C6"/>
    <w:rsid w:val="001D0524"/>
    <w:rsid w:val="001D1366"/>
    <w:rsid w:val="001D163D"/>
    <w:rsid w:val="001D18F7"/>
    <w:rsid w:val="001D3259"/>
    <w:rsid w:val="001D362C"/>
    <w:rsid w:val="001D3C05"/>
    <w:rsid w:val="001D41DC"/>
    <w:rsid w:val="001D4A7E"/>
    <w:rsid w:val="001D534E"/>
    <w:rsid w:val="001D683C"/>
    <w:rsid w:val="001D6AF4"/>
    <w:rsid w:val="001D6E6C"/>
    <w:rsid w:val="001D789B"/>
    <w:rsid w:val="001E0CA7"/>
    <w:rsid w:val="001E0CC1"/>
    <w:rsid w:val="001E11FB"/>
    <w:rsid w:val="001E1C10"/>
    <w:rsid w:val="001E2324"/>
    <w:rsid w:val="001E2733"/>
    <w:rsid w:val="001E3CC0"/>
    <w:rsid w:val="001E3EAA"/>
    <w:rsid w:val="001E4550"/>
    <w:rsid w:val="001E58AA"/>
    <w:rsid w:val="001E5C58"/>
    <w:rsid w:val="001E5D50"/>
    <w:rsid w:val="001E76D6"/>
    <w:rsid w:val="001E77C3"/>
    <w:rsid w:val="001E7897"/>
    <w:rsid w:val="001E7913"/>
    <w:rsid w:val="001F090B"/>
    <w:rsid w:val="001F0AAC"/>
    <w:rsid w:val="001F180A"/>
    <w:rsid w:val="001F1A28"/>
    <w:rsid w:val="001F1AD0"/>
    <w:rsid w:val="001F2C85"/>
    <w:rsid w:val="001F32F6"/>
    <w:rsid w:val="001F35E8"/>
    <w:rsid w:val="001F3D6E"/>
    <w:rsid w:val="001F3F98"/>
    <w:rsid w:val="001F4014"/>
    <w:rsid w:val="001F445E"/>
    <w:rsid w:val="001F48FC"/>
    <w:rsid w:val="001F77B6"/>
    <w:rsid w:val="001F7F6B"/>
    <w:rsid w:val="00201213"/>
    <w:rsid w:val="0020165E"/>
    <w:rsid w:val="00201F2C"/>
    <w:rsid w:val="00202E50"/>
    <w:rsid w:val="00202F5E"/>
    <w:rsid w:val="00203230"/>
    <w:rsid w:val="002043D6"/>
    <w:rsid w:val="00205180"/>
    <w:rsid w:val="00205285"/>
    <w:rsid w:val="00205C1E"/>
    <w:rsid w:val="00205DB2"/>
    <w:rsid w:val="00206947"/>
    <w:rsid w:val="00207F81"/>
    <w:rsid w:val="002109F4"/>
    <w:rsid w:val="00211A15"/>
    <w:rsid w:val="00211FDA"/>
    <w:rsid w:val="00212C4F"/>
    <w:rsid w:val="00212E6D"/>
    <w:rsid w:val="00213F4E"/>
    <w:rsid w:val="002160C2"/>
    <w:rsid w:val="00216210"/>
    <w:rsid w:val="002170F5"/>
    <w:rsid w:val="002210BD"/>
    <w:rsid w:val="00221380"/>
    <w:rsid w:val="00222699"/>
    <w:rsid w:val="00222B0F"/>
    <w:rsid w:val="00222BB9"/>
    <w:rsid w:val="00224656"/>
    <w:rsid w:val="00224BC7"/>
    <w:rsid w:val="002258D6"/>
    <w:rsid w:val="0022598B"/>
    <w:rsid w:val="00226D51"/>
    <w:rsid w:val="002270F9"/>
    <w:rsid w:val="002274FB"/>
    <w:rsid w:val="00227807"/>
    <w:rsid w:val="002309D2"/>
    <w:rsid w:val="002320FA"/>
    <w:rsid w:val="0023315B"/>
    <w:rsid w:val="002338B6"/>
    <w:rsid w:val="00233ABD"/>
    <w:rsid w:val="00233BD2"/>
    <w:rsid w:val="002347FE"/>
    <w:rsid w:val="00234BFF"/>
    <w:rsid w:val="00235FB5"/>
    <w:rsid w:val="0023617F"/>
    <w:rsid w:val="00240277"/>
    <w:rsid w:val="002414D1"/>
    <w:rsid w:val="00241770"/>
    <w:rsid w:val="0024178D"/>
    <w:rsid w:val="002429EB"/>
    <w:rsid w:val="00242E88"/>
    <w:rsid w:val="0024392B"/>
    <w:rsid w:val="00244365"/>
    <w:rsid w:val="002450C6"/>
    <w:rsid w:val="00245DCF"/>
    <w:rsid w:val="002460DB"/>
    <w:rsid w:val="00246132"/>
    <w:rsid w:val="00246C1B"/>
    <w:rsid w:val="00246C65"/>
    <w:rsid w:val="00247531"/>
    <w:rsid w:val="00250DBC"/>
    <w:rsid w:val="00251289"/>
    <w:rsid w:val="002516D4"/>
    <w:rsid w:val="00253752"/>
    <w:rsid w:val="00253955"/>
    <w:rsid w:val="00253EC6"/>
    <w:rsid w:val="002542A8"/>
    <w:rsid w:val="00255A83"/>
    <w:rsid w:val="00256C04"/>
    <w:rsid w:val="00256E2F"/>
    <w:rsid w:val="002605B1"/>
    <w:rsid w:val="00260A11"/>
    <w:rsid w:val="0026169A"/>
    <w:rsid w:val="00261707"/>
    <w:rsid w:val="00261A64"/>
    <w:rsid w:val="00261F5B"/>
    <w:rsid w:val="00262763"/>
    <w:rsid w:val="00264617"/>
    <w:rsid w:val="00264BEA"/>
    <w:rsid w:val="00265C46"/>
    <w:rsid w:val="00267BD8"/>
    <w:rsid w:val="00270D88"/>
    <w:rsid w:val="00271032"/>
    <w:rsid w:val="002714B6"/>
    <w:rsid w:val="00271B8E"/>
    <w:rsid w:val="00271C17"/>
    <w:rsid w:val="00272CDA"/>
    <w:rsid w:val="00273075"/>
    <w:rsid w:val="002731C6"/>
    <w:rsid w:val="0027345B"/>
    <w:rsid w:val="002736E0"/>
    <w:rsid w:val="00273ACA"/>
    <w:rsid w:val="00273BF4"/>
    <w:rsid w:val="00273CE6"/>
    <w:rsid w:val="00273E3E"/>
    <w:rsid w:val="0027406B"/>
    <w:rsid w:val="00274147"/>
    <w:rsid w:val="002744C6"/>
    <w:rsid w:val="002747EE"/>
    <w:rsid w:val="0027494A"/>
    <w:rsid w:val="00275189"/>
    <w:rsid w:val="0027530F"/>
    <w:rsid w:val="002755A6"/>
    <w:rsid w:val="002756DC"/>
    <w:rsid w:val="00276437"/>
    <w:rsid w:val="00276FAF"/>
    <w:rsid w:val="00277B98"/>
    <w:rsid w:val="0028044F"/>
    <w:rsid w:val="0028063F"/>
    <w:rsid w:val="00280740"/>
    <w:rsid w:val="00280785"/>
    <w:rsid w:val="002807D8"/>
    <w:rsid w:val="00281FAF"/>
    <w:rsid w:val="0028294E"/>
    <w:rsid w:val="002830CE"/>
    <w:rsid w:val="00283B02"/>
    <w:rsid w:val="00283C5D"/>
    <w:rsid w:val="00283E42"/>
    <w:rsid w:val="002844B0"/>
    <w:rsid w:val="00286322"/>
    <w:rsid w:val="00286D7C"/>
    <w:rsid w:val="00286F4F"/>
    <w:rsid w:val="002900F0"/>
    <w:rsid w:val="00290692"/>
    <w:rsid w:val="00290B80"/>
    <w:rsid w:val="00291CE8"/>
    <w:rsid w:val="002923C8"/>
    <w:rsid w:val="002928BE"/>
    <w:rsid w:val="00294A13"/>
    <w:rsid w:val="00294AA3"/>
    <w:rsid w:val="00294DDD"/>
    <w:rsid w:val="00295B9A"/>
    <w:rsid w:val="002964FF"/>
    <w:rsid w:val="00296C1F"/>
    <w:rsid w:val="00296CB5"/>
    <w:rsid w:val="00297E0B"/>
    <w:rsid w:val="002A01BF"/>
    <w:rsid w:val="002A0C1A"/>
    <w:rsid w:val="002A1C3E"/>
    <w:rsid w:val="002A21B8"/>
    <w:rsid w:val="002A2A7C"/>
    <w:rsid w:val="002A3155"/>
    <w:rsid w:val="002A3C06"/>
    <w:rsid w:val="002A41E6"/>
    <w:rsid w:val="002A44C8"/>
    <w:rsid w:val="002A44DE"/>
    <w:rsid w:val="002A4574"/>
    <w:rsid w:val="002A5E48"/>
    <w:rsid w:val="002A767B"/>
    <w:rsid w:val="002B0455"/>
    <w:rsid w:val="002B0B67"/>
    <w:rsid w:val="002B1277"/>
    <w:rsid w:val="002B2AD8"/>
    <w:rsid w:val="002B2BEE"/>
    <w:rsid w:val="002B2D5C"/>
    <w:rsid w:val="002B2E8E"/>
    <w:rsid w:val="002B348E"/>
    <w:rsid w:val="002B35C5"/>
    <w:rsid w:val="002B3935"/>
    <w:rsid w:val="002B39E7"/>
    <w:rsid w:val="002B406A"/>
    <w:rsid w:val="002B41D4"/>
    <w:rsid w:val="002B439D"/>
    <w:rsid w:val="002B4E5B"/>
    <w:rsid w:val="002B543F"/>
    <w:rsid w:val="002B72F1"/>
    <w:rsid w:val="002B7A69"/>
    <w:rsid w:val="002B7D73"/>
    <w:rsid w:val="002C06E3"/>
    <w:rsid w:val="002C0801"/>
    <w:rsid w:val="002C19FE"/>
    <w:rsid w:val="002C2D08"/>
    <w:rsid w:val="002C3375"/>
    <w:rsid w:val="002C33B3"/>
    <w:rsid w:val="002C3489"/>
    <w:rsid w:val="002C44B0"/>
    <w:rsid w:val="002C459E"/>
    <w:rsid w:val="002C4E07"/>
    <w:rsid w:val="002C5B98"/>
    <w:rsid w:val="002C68BD"/>
    <w:rsid w:val="002D0586"/>
    <w:rsid w:val="002D1023"/>
    <w:rsid w:val="002D1459"/>
    <w:rsid w:val="002D1470"/>
    <w:rsid w:val="002D21CF"/>
    <w:rsid w:val="002D3BEF"/>
    <w:rsid w:val="002D4705"/>
    <w:rsid w:val="002D4DE2"/>
    <w:rsid w:val="002D51B7"/>
    <w:rsid w:val="002D5428"/>
    <w:rsid w:val="002D5B65"/>
    <w:rsid w:val="002D6396"/>
    <w:rsid w:val="002D673E"/>
    <w:rsid w:val="002D6847"/>
    <w:rsid w:val="002D69D3"/>
    <w:rsid w:val="002D6EE5"/>
    <w:rsid w:val="002D7E5E"/>
    <w:rsid w:val="002E070E"/>
    <w:rsid w:val="002E07EF"/>
    <w:rsid w:val="002E0D06"/>
    <w:rsid w:val="002E1810"/>
    <w:rsid w:val="002E2202"/>
    <w:rsid w:val="002E3530"/>
    <w:rsid w:val="002E41FE"/>
    <w:rsid w:val="002E4E94"/>
    <w:rsid w:val="002E4F57"/>
    <w:rsid w:val="002E534D"/>
    <w:rsid w:val="002F1464"/>
    <w:rsid w:val="002F1D03"/>
    <w:rsid w:val="002F1F28"/>
    <w:rsid w:val="002F21B6"/>
    <w:rsid w:val="002F24EB"/>
    <w:rsid w:val="002F2DDC"/>
    <w:rsid w:val="002F43CA"/>
    <w:rsid w:val="002F4671"/>
    <w:rsid w:val="002F48C4"/>
    <w:rsid w:val="002F53AB"/>
    <w:rsid w:val="002F57AA"/>
    <w:rsid w:val="002F5D8F"/>
    <w:rsid w:val="002F63D0"/>
    <w:rsid w:val="002F714C"/>
    <w:rsid w:val="002F7158"/>
    <w:rsid w:val="002F77BF"/>
    <w:rsid w:val="002F7A2E"/>
    <w:rsid w:val="003004A2"/>
    <w:rsid w:val="00302C48"/>
    <w:rsid w:val="00303492"/>
    <w:rsid w:val="00303DD5"/>
    <w:rsid w:val="003062E8"/>
    <w:rsid w:val="00306503"/>
    <w:rsid w:val="00307B74"/>
    <w:rsid w:val="00310764"/>
    <w:rsid w:val="00310814"/>
    <w:rsid w:val="00311599"/>
    <w:rsid w:val="00311E81"/>
    <w:rsid w:val="00312420"/>
    <w:rsid w:val="003124E7"/>
    <w:rsid w:val="00314A2C"/>
    <w:rsid w:val="00314AEE"/>
    <w:rsid w:val="003157DB"/>
    <w:rsid w:val="00317D11"/>
    <w:rsid w:val="00317ECF"/>
    <w:rsid w:val="00320203"/>
    <w:rsid w:val="0032047A"/>
    <w:rsid w:val="003208ED"/>
    <w:rsid w:val="00320DB7"/>
    <w:rsid w:val="00322002"/>
    <w:rsid w:val="00322CDE"/>
    <w:rsid w:val="003243E2"/>
    <w:rsid w:val="003247B0"/>
    <w:rsid w:val="00324A05"/>
    <w:rsid w:val="003252CC"/>
    <w:rsid w:val="00325D7B"/>
    <w:rsid w:val="00325E81"/>
    <w:rsid w:val="0032617D"/>
    <w:rsid w:val="003263D5"/>
    <w:rsid w:val="00326948"/>
    <w:rsid w:val="00326A84"/>
    <w:rsid w:val="00326C53"/>
    <w:rsid w:val="00327507"/>
    <w:rsid w:val="00327581"/>
    <w:rsid w:val="00327E75"/>
    <w:rsid w:val="003306F7"/>
    <w:rsid w:val="0033074C"/>
    <w:rsid w:val="00330919"/>
    <w:rsid w:val="00332D26"/>
    <w:rsid w:val="0033481F"/>
    <w:rsid w:val="0033486D"/>
    <w:rsid w:val="00335317"/>
    <w:rsid w:val="003357F2"/>
    <w:rsid w:val="003362EF"/>
    <w:rsid w:val="00336574"/>
    <w:rsid w:val="00336670"/>
    <w:rsid w:val="003367C4"/>
    <w:rsid w:val="00336D8E"/>
    <w:rsid w:val="0033713B"/>
    <w:rsid w:val="003373BC"/>
    <w:rsid w:val="003376B3"/>
    <w:rsid w:val="00337A94"/>
    <w:rsid w:val="003407C9"/>
    <w:rsid w:val="003419AA"/>
    <w:rsid w:val="00342BC7"/>
    <w:rsid w:val="00343683"/>
    <w:rsid w:val="0034409D"/>
    <w:rsid w:val="00344B53"/>
    <w:rsid w:val="00345017"/>
    <w:rsid w:val="003452B4"/>
    <w:rsid w:val="00345F9C"/>
    <w:rsid w:val="003474C5"/>
    <w:rsid w:val="00347776"/>
    <w:rsid w:val="00347CEB"/>
    <w:rsid w:val="00350143"/>
    <w:rsid w:val="003506AD"/>
    <w:rsid w:val="00350D66"/>
    <w:rsid w:val="00351A91"/>
    <w:rsid w:val="003520C4"/>
    <w:rsid w:val="00352DB4"/>
    <w:rsid w:val="003533AE"/>
    <w:rsid w:val="00353644"/>
    <w:rsid w:val="0035370E"/>
    <w:rsid w:val="00354D73"/>
    <w:rsid w:val="00355A0C"/>
    <w:rsid w:val="00355E14"/>
    <w:rsid w:val="00356AC4"/>
    <w:rsid w:val="0035725F"/>
    <w:rsid w:val="00357CC6"/>
    <w:rsid w:val="0036061D"/>
    <w:rsid w:val="00361280"/>
    <w:rsid w:val="003615F1"/>
    <w:rsid w:val="00361A6E"/>
    <w:rsid w:val="00361B96"/>
    <w:rsid w:val="003626FF"/>
    <w:rsid w:val="003627EA"/>
    <w:rsid w:val="00363D7F"/>
    <w:rsid w:val="003644C6"/>
    <w:rsid w:val="003647DF"/>
    <w:rsid w:val="00364AC5"/>
    <w:rsid w:val="00364E2D"/>
    <w:rsid w:val="00366047"/>
    <w:rsid w:val="00367C66"/>
    <w:rsid w:val="003700B2"/>
    <w:rsid w:val="00370E9A"/>
    <w:rsid w:val="003715A2"/>
    <w:rsid w:val="0037188C"/>
    <w:rsid w:val="0037233D"/>
    <w:rsid w:val="003723EA"/>
    <w:rsid w:val="00373223"/>
    <w:rsid w:val="00373584"/>
    <w:rsid w:val="003736EF"/>
    <w:rsid w:val="00373721"/>
    <w:rsid w:val="003737E3"/>
    <w:rsid w:val="003742EE"/>
    <w:rsid w:val="00374343"/>
    <w:rsid w:val="00374741"/>
    <w:rsid w:val="00375B20"/>
    <w:rsid w:val="0037641D"/>
    <w:rsid w:val="00377488"/>
    <w:rsid w:val="00377A11"/>
    <w:rsid w:val="003802A6"/>
    <w:rsid w:val="00380A1A"/>
    <w:rsid w:val="00380C1F"/>
    <w:rsid w:val="00380D80"/>
    <w:rsid w:val="0038131F"/>
    <w:rsid w:val="00381CBC"/>
    <w:rsid w:val="003833B8"/>
    <w:rsid w:val="0038367E"/>
    <w:rsid w:val="003836C4"/>
    <w:rsid w:val="00384670"/>
    <w:rsid w:val="0038476F"/>
    <w:rsid w:val="00385026"/>
    <w:rsid w:val="0038761D"/>
    <w:rsid w:val="00387DD2"/>
    <w:rsid w:val="003906F8"/>
    <w:rsid w:val="0039176D"/>
    <w:rsid w:val="00391D91"/>
    <w:rsid w:val="00391EC6"/>
    <w:rsid w:val="00392163"/>
    <w:rsid w:val="003927B0"/>
    <w:rsid w:val="003928E9"/>
    <w:rsid w:val="00392999"/>
    <w:rsid w:val="00392A55"/>
    <w:rsid w:val="003935EE"/>
    <w:rsid w:val="00393D54"/>
    <w:rsid w:val="00393F2B"/>
    <w:rsid w:val="0039408A"/>
    <w:rsid w:val="00394BB7"/>
    <w:rsid w:val="00395005"/>
    <w:rsid w:val="00395A1D"/>
    <w:rsid w:val="00395F1D"/>
    <w:rsid w:val="0039641A"/>
    <w:rsid w:val="0039673D"/>
    <w:rsid w:val="003975DA"/>
    <w:rsid w:val="00397700"/>
    <w:rsid w:val="00397893"/>
    <w:rsid w:val="003A1BFC"/>
    <w:rsid w:val="003A2407"/>
    <w:rsid w:val="003A2CF0"/>
    <w:rsid w:val="003A33D3"/>
    <w:rsid w:val="003A3485"/>
    <w:rsid w:val="003A3779"/>
    <w:rsid w:val="003A3880"/>
    <w:rsid w:val="003A3942"/>
    <w:rsid w:val="003A4309"/>
    <w:rsid w:val="003A4C54"/>
    <w:rsid w:val="003A5BC5"/>
    <w:rsid w:val="003A5D55"/>
    <w:rsid w:val="003A75E6"/>
    <w:rsid w:val="003A788A"/>
    <w:rsid w:val="003B055B"/>
    <w:rsid w:val="003B1ADB"/>
    <w:rsid w:val="003B2491"/>
    <w:rsid w:val="003B255B"/>
    <w:rsid w:val="003B259E"/>
    <w:rsid w:val="003B2CF5"/>
    <w:rsid w:val="003B316F"/>
    <w:rsid w:val="003B3317"/>
    <w:rsid w:val="003B33C4"/>
    <w:rsid w:val="003B3ECE"/>
    <w:rsid w:val="003B40B2"/>
    <w:rsid w:val="003B52D4"/>
    <w:rsid w:val="003B6FAC"/>
    <w:rsid w:val="003B7DEC"/>
    <w:rsid w:val="003C1CA5"/>
    <w:rsid w:val="003C1EC7"/>
    <w:rsid w:val="003C22FE"/>
    <w:rsid w:val="003C3D8E"/>
    <w:rsid w:val="003C4F09"/>
    <w:rsid w:val="003C4F1E"/>
    <w:rsid w:val="003C4F3D"/>
    <w:rsid w:val="003C64A0"/>
    <w:rsid w:val="003C6F0B"/>
    <w:rsid w:val="003C7377"/>
    <w:rsid w:val="003C7BA3"/>
    <w:rsid w:val="003C7E54"/>
    <w:rsid w:val="003D1E75"/>
    <w:rsid w:val="003D26FE"/>
    <w:rsid w:val="003D271D"/>
    <w:rsid w:val="003D2E7B"/>
    <w:rsid w:val="003D3121"/>
    <w:rsid w:val="003D31D3"/>
    <w:rsid w:val="003D34C9"/>
    <w:rsid w:val="003D387F"/>
    <w:rsid w:val="003D4E9C"/>
    <w:rsid w:val="003D59BA"/>
    <w:rsid w:val="003D627A"/>
    <w:rsid w:val="003D6C5E"/>
    <w:rsid w:val="003D71B5"/>
    <w:rsid w:val="003E0D78"/>
    <w:rsid w:val="003E0EE0"/>
    <w:rsid w:val="003E0F52"/>
    <w:rsid w:val="003E1CB1"/>
    <w:rsid w:val="003E1FFD"/>
    <w:rsid w:val="003E3A1D"/>
    <w:rsid w:val="003E4229"/>
    <w:rsid w:val="003E42B1"/>
    <w:rsid w:val="003E59B9"/>
    <w:rsid w:val="003E6313"/>
    <w:rsid w:val="003E6CA0"/>
    <w:rsid w:val="003F0326"/>
    <w:rsid w:val="003F05D9"/>
    <w:rsid w:val="003F1800"/>
    <w:rsid w:val="003F1A99"/>
    <w:rsid w:val="003F2509"/>
    <w:rsid w:val="003F2834"/>
    <w:rsid w:val="003F2F3F"/>
    <w:rsid w:val="003F2FDE"/>
    <w:rsid w:val="003F330B"/>
    <w:rsid w:val="003F38BC"/>
    <w:rsid w:val="003F5594"/>
    <w:rsid w:val="003F5F26"/>
    <w:rsid w:val="003F6BAC"/>
    <w:rsid w:val="003F6FDF"/>
    <w:rsid w:val="003F72E4"/>
    <w:rsid w:val="003F741A"/>
    <w:rsid w:val="003F749D"/>
    <w:rsid w:val="003F7C75"/>
    <w:rsid w:val="003F7D38"/>
    <w:rsid w:val="003F7FCF"/>
    <w:rsid w:val="004002AD"/>
    <w:rsid w:val="004005E5"/>
    <w:rsid w:val="00400BA4"/>
    <w:rsid w:val="004016F5"/>
    <w:rsid w:val="00402110"/>
    <w:rsid w:val="0040239A"/>
    <w:rsid w:val="0040246D"/>
    <w:rsid w:val="00403BF8"/>
    <w:rsid w:val="004045AA"/>
    <w:rsid w:val="004047E7"/>
    <w:rsid w:val="0040549A"/>
    <w:rsid w:val="0040576C"/>
    <w:rsid w:val="00405CC9"/>
    <w:rsid w:val="004072F2"/>
    <w:rsid w:val="00407D67"/>
    <w:rsid w:val="004138DE"/>
    <w:rsid w:val="00414B2F"/>
    <w:rsid w:val="00415BEA"/>
    <w:rsid w:val="00415C71"/>
    <w:rsid w:val="00415E58"/>
    <w:rsid w:val="00416231"/>
    <w:rsid w:val="004168C0"/>
    <w:rsid w:val="00416C11"/>
    <w:rsid w:val="0041710F"/>
    <w:rsid w:val="0041750B"/>
    <w:rsid w:val="00417842"/>
    <w:rsid w:val="00420613"/>
    <w:rsid w:val="004208AB"/>
    <w:rsid w:val="00420E94"/>
    <w:rsid w:val="004219EF"/>
    <w:rsid w:val="00421AE2"/>
    <w:rsid w:val="00422482"/>
    <w:rsid w:val="004228B3"/>
    <w:rsid w:val="00424213"/>
    <w:rsid w:val="00424441"/>
    <w:rsid w:val="004246B8"/>
    <w:rsid w:val="00424892"/>
    <w:rsid w:val="0042666E"/>
    <w:rsid w:val="00426CD9"/>
    <w:rsid w:val="00427978"/>
    <w:rsid w:val="00430FEB"/>
    <w:rsid w:val="004310EE"/>
    <w:rsid w:val="00431DA2"/>
    <w:rsid w:val="00433677"/>
    <w:rsid w:val="00433ABB"/>
    <w:rsid w:val="00433DE7"/>
    <w:rsid w:val="00433F7A"/>
    <w:rsid w:val="004340D5"/>
    <w:rsid w:val="00434880"/>
    <w:rsid w:val="0043526D"/>
    <w:rsid w:val="00435D29"/>
    <w:rsid w:val="00437BF0"/>
    <w:rsid w:val="00437EC0"/>
    <w:rsid w:val="00442C9D"/>
    <w:rsid w:val="00443436"/>
    <w:rsid w:val="0044510A"/>
    <w:rsid w:val="004451B6"/>
    <w:rsid w:val="004460E9"/>
    <w:rsid w:val="00447B6F"/>
    <w:rsid w:val="00447C88"/>
    <w:rsid w:val="004501CE"/>
    <w:rsid w:val="00450EC2"/>
    <w:rsid w:val="004510A9"/>
    <w:rsid w:val="004514FA"/>
    <w:rsid w:val="00453C11"/>
    <w:rsid w:val="0045407A"/>
    <w:rsid w:val="00454FA4"/>
    <w:rsid w:val="004557B0"/>
    <w:rsid w:val="004557BB"/>
    <w:rsid w:val="00456309"/>
    <w:rsid w:val="00457946"/>
    <w:rsid w:val="00457D8B"/>
    <w:rsid w:val="00460A17"/>
    <w:rsid w:val="0046157D"/>
    <w:rsid w:val="00462D89"/>
    <w:rsid w:val="0046310E"/>
    <w:rsid w:val="00463174"/>
    <w:rsid w:val="00463BFB"/>
    <w:rsid w:val="00463ECE"/>
    <w:rsid w:val="00463F7B"/>
    <w:rsid w:val="0046495A"/>
    <w:rsid w:val="004654A6"/>
    <w:rsid w:val="00465AA4"/>
    <w:rsid w:val="0046608E"/>
    <w:rsid w:val="00466295"/>
    <w:rsid w:val="00466B9C"/>
    <w:rsid w:val="00470166"/>
    <w:rsid w:val="00470CB5"/>
    <w:rsid w:val="00471EAB"/>
    <w:rsid w:val="004723EE"/>
    <w:rsid w:val="00472BF9"/>
    <w:rsid w:val="00472CEA"/>
    <w:rsid w:val="004754DA"/>
    <w:rsid w:val="004754EC"/>
    <w:rsid w:val="00475979"/>
    <w:rsid w:val="00475A46"/>
    <w:rsid w:val="00475A92"/>
    <w:rsid w:val="004762AE"/>
    <w:rsid w:val="004764C0"/>
    <w:rsid w:val="00476D1A"/>
    <w:rsid w:val="00477BB9"/>
    <w:rsid w:val="00477BEB"/>
    <w:rsid w:val="00480092"/>
    <w:rsid w:val="00480AA6"/>
    <w:rsid w:val="00481E15"/>
    <w:rsid w:val="00483203"/>
    <w:rsid w:val="0048431F"/>
    <w:rsid w:val="00484788"/>
    <w:rsid w:val="00484AB6"/>
    <w:rsid w:val="00486B56"/>
    <w:rsid w:val="00486F25"/>
    <w:rsid w:val="00486F3A"/>
    <w:rsid w:val="00487366"/>
    <w:rsid w:val="0048739E"/>
    <w:rsid w:val="004873E4"/>
    <w:rsid w:val="0049072C"/>
    <w:rsid w:val="00490FD1"/>
    <w:rsid w:val="00491AD2"/>
    <w:rsid w:val="00491B3C"/>
    <w:rsid w:val="00491DC7"/>
    <w:rsid w:val="004921AC"/>
    <w:rsid w:val="00492B06"/>
    <w:rsid w:val="004935C0"/>
    <w:rsid w:val="00493B43"/>
    <w:rsid w:val="004945A8"/>
    <w:rsid w:val="004945BB"/>
    <w:rsid w:val="00494EB1"/>
    <w:rsid w:val="004954BC"/>
    <w:rsid w:val="004956A2"/>
    <w:rsid w:val="0049599B"/>
    <w:rsid w:val="00496414"/>
    <w:rsid w:val="004971D0"/>
    <w:rsid w:val="00497232"/>
    <w:rsid w:val="00497A38"/>
    <w:rsid w:val="004A0261"/>
    <w:rsid w:val="004A05E6"/>
    <w:rsid w:val="004A11E7"/>
    <w:rsid w:val="004A3ADE"/>
    <w:rsid w:val="004A45BD"/>
    <w:rsid w:val="004A4656"/>
    <w:rsid w:val="004A46B1"/>
    <w:rsid w:val="004A578D"/>
    <w:rsid w:val="004A5990"/>
    <w:rsid w:val="004A76F9"/>
    <w:rsid w:val="004A77B0"/>
    <w:rsid w:val="004B021E"/>
    <w:rsid w:val="004B1CED"/>
    <w:rsid w:val="004B2DC9"/>
    <w:rsid w:val="004B34A7"/>
    <w:rsid w:val="004B35D6"/>
    <w:rsid w:val="004B3B06"/>
    <w:rsid w:val="004B43E7"/>
    <w:rsid w:val="004B4643"/>
    <w:rsid w:val="004B5126"/>
    <w:rsid w:val="004B5C25"/>
    <w:rsid w:val="004B5DB7"/>
    <w:rsid w:val="004B6091"/>
    <w:rsid w:val="004B6F2B"/>
    <w:rsid w:val="004B7307"/>
    <w:rsid w:val="004B7F67"/>
    <w:rsid w:val="004C0375"/>
    <w:rsid w:val="004C0C6F"/>
    <w:rsid w:val="004C16F4"/>
    <w:rsid w:val="004C1994"/>
    <w:rsid w:val="004C2D33"/>
    <w:rsid w:val="004C3572"/>
    <w:rsid w:val="004C53C2"/>
    <w:rsid w:val="004C5CE5"/>
    <w:rsid w:val="004C63A8"/>
    <w:rsid w:val="004C6C53"/>
    <w:rsid w:val="004C7160"/>
    <w:rsid w:val="004C7452"/>
    <w:rsid w:val="004D004B"/>
    <w:rsid w:val="004D08AA"/>
    <w:rsid w:val="004D0C7A"/>
    <w:rsid w:val="004D0F72"/>
    <w:rsid w:val="004D176A"/>
    <w:rsid w:val="004D3B50"/>
    <w:rsid w:val="004D3C3D"/>
    <w:rsid w:val="004D4076"/>
    <w:rsid w:val="004D4080"/>
    <w:rsid w:val="004D7027"/>
    <w:rsid w:val="004D708E"/>
    <w:rsid w:val="004E05FD"/>
    <w:rsid w:val="004E09F7"/>
    <w:rsid w:val="004E1A0D"/>
    <w:rsid w:val="004E1BAD"/>
    <w:rsid w:val="004E23F5"/>
    <w:rsid w:val="004E25DA"/>
    <w:rsid w:val="004E2B04"/>
    <w:rsid w:val="004E33B1"/>
    <w:rsid w:val="004E3812"/>
    <w:rsid w:val="004E3A4A"/>
    <w:rsid w:val="004E50B1"/>
    <w:rsid w:val="004E515E"/>
    <w:rsid w:val="004E5673"/>
    <w:rsid w:val="004E608A"/>
    <w:rsid w:val="004E63E5"/>
    <w:rsid w:val="004E6B76"/>
    <w:rsid w:val="004E729D"/>
    <w:rsid w:val="004E7DDE"/>
    <w:rsid w:val="004F144C"/>
    <w:rsid w:val="004F14E4"/>
    <w:rsid w:val="004F158F"/>
    <w:rsid w:val="004F1F11"/>
    <w:rsid w:val="004F34BD"/>
    <w:rsid w:val="004F3522"/>
    <w:rsid w:val="004F3540"/>
    <w:rsid w:val="004F3A25"/>
    <w:rsid w:val="004F4F11"/>
    <w:rsid w:val="004F52DB"/>
    <w:rsid w:val="004F5624"/>
    <w:rsid w:val="004F5DA4"/>
    <w:rsid w:val="004F62B2"/>
    <w:rsid w:val="004F640F"/>
    <w:rsid w:val="004F6424"/>
    <w:rsid w:val="004F66F3"/>
    <w:rsid w:val="004F6C91"/>
    <w:rsid w:val="004F77E3"/>
    <w:rsid w:val="004F7ADC"/>
    <w:rsid w:val="00500B11"/>
    <w:rsid w:val="005029A3"/>
    <w:rsid w:val="00503277"/>
    <w:rsid w:val="00503316"/>
    <w:rsid w:val="0050369B"/>
    <w:rsid w:val="0050381C"/>
    <w:rsid w:val="005040CD"/>
    <w:rsid w:val="00504BBB"/>
    <w:rsid w:val="00504FC6"/>
    <w:rsid w:val="00505229"/>
    <w:rsid w:val="005066FB"/>
    <w:rsid w:val="00506755"/>
    <w:rsid w:val="00507F98"/>
    <w:rsid w:val="005108A3"/>
    <w:rsid w:val="00510F6E"/>
    <w:rsid w:val="005110FA"/>
    <w:rsid w:val="005118AE"/>
    <w:rsid w:val="00511DE1"/>
    <w:rsid w:val="00511E03"/>
    <w:rsid w:val="00512C0C"/>
    <w:rsid w:val="0051379B"/>
    <w:rsid w:val="005149BB"/>
    <w:rsid w:val="005153BA"/>
    <w:rsid w:val="00515739"/>
    <w:rsid w:val="0051587A"/>
    <w:rsid w:val="005158FA"/>
    <w:rsid w:val="005169AD"/>
    <w:rsid w:val="00516EFF"/>
    <w:rsid w:val="00516F95"/>
    <w:rsid w:val="005208B9"/>
    <w:rsid w:val="00520C4B"/>
    <w:rsid w:val="00520F21"/>
    <w:rsid w:val="005221F0"/>
    <w:rsid w:val="00522F15"/>
    <w:rsid w:val="00524612"/>
    <w:rsid w:val="00524807"/>
    <w:rsid w:val="00524C89"/>
    <w:rsid w:val="00525FF9"/>
    <w:rsid w:val="005263EF"/>
    <w:rsid w:val="00531B10"/>
    <w:rsid w:val="00531BDD"/>
    <w:rsid w:val="005325EB"/>
    <w:rsid w:val="00532C41"/>
    <w:rsid w:val="00532D3F"/>
    <w:rsid w:val="005332F5"/>
    <w:rsid w:val="0053363D"/>
    <w:rsid w:val="0053386D"/>
    <w:rsid w:val="00534578"/>
    <w:rsid w:val="00534700"/>
    <w:rsid w:val="005349CF"/>
    <w:rsid w:val="00535957"/>
    <w:rsid w:val="00535B64"/>
    <w:rsid w:val="00536C88"/>
    <w:rsid w:val="0053791F"/>
    <w:rsid w:val="005401B2"/>
    <w:rsid w:val="00540513"/>
    <w:rsid w:val="0054059B"/>
    <w:rsid w:val="005407C7"/>
    <w:rsid w:val="00540E5F"/>
    <w:rsid w:val="00541816"/>
    <w:rsid w:val="00543CFA"/>
    <w:rsid w:val="00543D81"/>
    <w:rsid w:val="00543E36"/>
    <w:rsid w:val="005447EB"/>
    <w:rsid w:val="00544A91"/>
    <w:rsid w:val="00544DF6"/>
    <w:rsid w:val="005464A6"/>
    <w:rsid w:val="00546586"/>
    <w:rsid w:val="00547485"/>
    <w:rsid w:val="00547538"/>
    <w:rsid w:val="00550609"/>
    <w:rsid w:val="00550A70"/>
    <w:rsid w:val="00550CC0"/>
    <w:rsid w:val="005510FD"/>
    <w:rsid w:val="00551252"/>
    <w:rsid w:val="005512E6"/>
    <w:rsid w:val="00551723"/>
    <w:rsid w:val="00551DDF"/>
    <w:rsid w:val="005523C0"/>
    <w:rsid w:val="00552CB2"/>
    <w:rsid w:val="00552E2B"/>
    <w:rsid w:val="00553789"/>
    <w:rsid w:val="00553A0E"/>
    <w:rsid w:val="00553BFA"/>
    <w:rsid w:val="00554D05"/>
    <w:rsid w:val="00554E15"/>
    <w:rsid w:val="00555E20"/>
    <w:rsid w:val="0056077E"/>
    <w:rsid w:val="00560EDA"/>
    <w:rsid w:val="005629EE"/>
    <w:rsid w:val="00564156"/>
    <w:rsid w:val="005642A4"/>
    <w:rsid w:val="005648FA"/>
    <w:rsid w:val="0056490A"/>
    <w:rsid w:val="00564D50"/>
    <w:rsid w:val="005660F4"/>
    <w:rsid w:val="00567290"/>
    <w:rsid w:val="00567346"/>
    <w:rsid w:val="00567436"/>
    <w:rsid w:val="00567B9E"/>
    <w:rsid w:val="0057003A"/>
    <w:rsid w:val="005703A0"/>
    <w:rsid w:val="005705D9"/>
    <w:rsid w:val="005712A1"/>
    <w:rsid w:val="00571CE4"/>
    <w:rsid w:val="005728F1"/>
    <w:rsid w:val="00573311"/>
    <w:rsid w:val="0057371B"/>
    <w:rsid w:val="00573930"/>
    <w:rsid w:val="00574693"/>
    <w:rsid w:val="0057514A"/>
    <w:rsid w:val="00575EB8"/>
    <w:rsid w:val="00576746"/>
    <w:rsid w:val="00576FCE"/>
    <w:rsid w:val="00581EF8"/>
    <w:rsid w:val="00582196"/>
    <w:rsid w:val="00582A9B"/>
    <w:rsid w:val="00582E57"/>
    <w:rsid w:val="005832AB"/>
    <w:rsid w:val="005841AA"/>
    <w:rsid w:val="0058437C"/>
    <w:rsid w:val="005844D1"/>
    <w:rsid w:val="005855BE"/>
    <w:rsid w:val="0058624A"/>
    <w:rsid w:val="005865DB"/>
    <w:rsid w:val="00591135"/>
    <w:rsid w:val="00591240"/>
    <w:rsid w:val="00591604"/>
    <w:rsid w:val="005933DC"/>
    <w:rsid w:val="005935F4"/>
    <w:rsid w:val="00593E0A"/>
    <w:rsid w:val="00594636"/>
    <w:rsid w:val="00594EEA"/>
    <w:rsid w:val="00597101"/>
    <w:rsid w:val="0059722A"/>
    <w:rsid w:val="005A0191"/>
    <w:rsid w:val="005A0BE9"/>
    <w:rsid w:val="005A167F"/>
    <w:rsid w:val="005A16E7"/>
    <w:rsid w:val="005A1870"/>
    <w:rsid w:val="005A2932"/>
    <w:rsid w:val="005A346E"/>
    <w:rsid w:val="005A37B3"/>
    <w:rsid w:val="005A3C82"/>
    <w:rsid w:val="005A3CEA"/>
    <w:rsid w:val="005A5525"/>
    <w:rsid w:val="005A66AE"/>
    <w:rsid w:val="005A73CF"/>
    <w:rsid w:val="005A7875"/>
    <w:rsid w:val="005B3358"/>
    <w:rsid w:val="005B3F6F"/>
    <w:rsid w:val="005B4D02"/>
    <w:rsid w:val="005B566E"/>
    <w:rsid w:val="005B6B39"/>
    <w:rsid w:val="005B6F9B"/>
    <w:rsid w:val="005B798B"/>
    <w:rsid w:val="005B7B3D"/>
    <w:rsid w:val="005C0080"/>
    <w:rsid w:val="005C0EB6"/>
    <w:rsid w:val="005C100F"/>
    <w:rsid w:val="005C1FAE"/>
    <w:rsid w:val="005C308A"/>
    <w:rsid w:val="005C346D"/>
    <w:rsid w:val="005C39E8"/>
    <w:rsid w:val="005C4DA8"/>
    <w:rsid w:val="005C5660"/>
    <w:rsid w:val="005C58F8"/>
    <w:rsid w:val="005C5BF9"/>
    <w:rsid w:val="005C5D50"/>
    <w:rsid w:val="005C6F45"/>
    <w:rsid w:val="005D1F13"/>
    <w:rsid w:val="005D2805"/>
    <w:rsid w:val="005D4145"/>
    <w:rsid w:val="005D4488"/>
    <w:rsid w:val="005D4B68"/>
    <w:rsid w:val="005D5817"/>
    <w:rsid w:val="005D7E4E"/>
    <w:rsid w:val="005E11C1"/>
    <w:rsid w:val="005E231E"/>
    <w:rsid w:val="005E2563"/>
    <w:rsid w:val="005E2C62"/>
    <w:rsid w:val="005E394C"/>
    <w:rsid w:val="005E42BF"/>
    <w:rsid w:val="005E4E70"/>
    <w:rsid w:val="005E57F2"/>
    <w:rsid w:val="005E5CC3"/>
    <w:rsid w:val="005E5D42"/>
    <w:rsid w:val="005E65BB"/>
    <w:rsid w:val="005E716E"/>
    <w:rsid w:val="005F0DA0"/>
    <w:rsid w:val="005F1A07"/>
    <w:rsid w:val="005F3908"/>
    <w:rsid w:val="005F4914"/>
    <w:rsid w:val="005F4D84"/>
    <w:rsid w:val="005F547D"/>
    <w:rsid w:val="005F58D7"/>
    <w:rsid w:val="005F59ED"/>
    <w:rsid w:val="005F62B7"/>
    <w:rsid w:val="005F6869"/>
    <w:rsid w:val="005F6BB9"/>
    <w:rsid w:val="005F7081"/>
    <w:rsid w:val="00602083"/>
    <w:rsid w:val="006023D4"/>
    <w:rsid w:val="00603148"/>
    <w:rsid w:val="00603E4A"/>
    <w:rsid w:val="00603F6C"/>
    <w:rsid w:val="0060520D"/>
    <w:rsid w:val="0060595B"/>
    <w:rsid w:val="00606897"/>
    <w:rsid w:val="00606C3A"/>
    <w:rsid w:val="00606D92"/>
    <w:rsid w:val="00606FC7"/>
    <w:rsid w:val="006073E0"/>
    <w:rsid w:val="00607B9A"/>
    <w:rsid w:val="00610456"/>
    <w:rsid w:val="0061049C"/>
    <w:rsid w:val="00610E73"/>
    <w:rsid w:val="00611473"/>
    <w:rsid w:val="00611B36"/>
    <w:rsid w:val="00612991"/>
    <w:rsid w:val="006135DC"/>
    <w:rsid w:val="006136E8"/>
    <w:rsid w:val="00613A34"/>
    <w:rsid w:val="006148A8"/>
    <w:rsid w:val="00614E79"/>
    <w:rsid w:val="0061515E"/>
    <w:rsid w:val="00615ADA"/>
    <w:rsid w:val="00615C5F"/>
    <w:rsid w:val="00617CD9"/>
    <w:rsid w:val="00621760"/>
    <w:rsid w:val="00621FE4"/>
    <w:rsid w:val="006221CD"/>
    <w:rsid w:val="00622F77"/>
    <w:rsid w:val="00623045"/>
    <w:rsid w:val="006232FD"/>
    <w:rsid w:val="00623673"/>
    <w:rsid w:val="00623BDA"/>
    <w:rsid w:val="0062408E"/>
    <w:rsid w:val="006247A4"/>
    <w:rsid w:val="00624A42"/>
    <w:rsid w:val="006266A9"/>
    <w:rsid w:val="0062760E"/>
    <w:rsid w:val="00630426"/>
    <w:rsid w:val="00630E78"/>
    <w:rsid w:val="006316C1"/>
    <w:rsid w:val="0063193E"/>
    <w:rsid w:val="00631ED4"/>
    <w:rsid w:val="00632027"/>
    <w:rsid w:val="00633BC7"/>
    <w:rsid w:val="006348C9"/>
    <w:rsid w:val="00635E9C"/>
    <w:rsid w:val="00636974"/>
    <w:rsid w:val="00636FE9"/>
    <w:rsid w:val="00637579"/>
    <w:rsid w:val="0063774C"/>
    <w:rsid w:val="00637B41"/>
    <w:rsid w:val="00640451"/>
    <w:rsid w:val="006414EE"/>
    <w:rsid w:val="00642524"/>
    <w:rsid w:val="00642D0A"/>
    <w:rsid w:val="00644CD9"/>
    <w:rsid w:val="00645B92"/>
    <w:rsid w:val="00645BAC"/>
    <w:rsid w:val="00645F28"/>
    <w:rsid w:val="006461B5"/>
    <w:rsid w:val="00646674"/>
    <w:rsid w:val="00646FE1"/>
    <w:rsid w:val="0064730E"/>
    <w:rsid w:val="00647E1D"/>
    <w:rsid w:val="006503A8"/>
    <w:rsid w:val="00651BC5"/>
    <w:rsid w:val="00652566"/>
    <w:rsid w:val="00652985"/>
    <w:rsid w:val="00652B47"/>
    <w:rsid w:val="00654671"/>
    <w:rsid w:val="00655BD7"/>
    <w:rsid w:val="00655C2F"/>
    <w:rsid w:val="00655EB7"/>
    <w:rsid w:val="00656122"/>
    <w:rsid w:val="00657510"/>
    <w:rsid w:val="006579B9"/>
    <w:rsid w:val="00661140"/>
    <w:rsid w:val="006630A1"/>
    <w:rsid w:val="006635E9"/>
    <w:rsid w:val="006638A9"/>
    <w:rsid w:val="00664298"/>
    <w:rsid w:val="00664B2D"/>
    <w:rsid w:val="0066696B"/>
    <w:rsid w:val="00666DF6"/>
    <w:rsid w:val="006710DD"/>
    <w:rsid w:val="00671991"/>
    <w:rsid w:val="00672C21"/>
    <w:rsid w:val="00672C94"/>
    <w:rsid w:val="00673200"/>
    <w:rsid w:val="006740BD"/>
    <w:rsid w:val="00674A9A"/>
    <w:rsid w:val="0067501E"/>
    <w:rsid w:val="00676E3D"/>
    <w:rsid w:val="006770FF"/>
    <w:rsid w:val="006773D2"/>
    <w:rsid w:val="00680581"/>
    <w:rsid w:val="00681A41"/>
    <w:rsid w:val="00681EC7"/>
    <w:rsid w:val="006821B2"/>
    <w:rsid w:val="006831BE"/>
    <w:rsid w:val="006838C0"/>
    <w:rsid w:val="00683EFE"/>
    <w:rsid w:val="00684B75"/>
    <w:rsid w:val="00685136"/>
    <w:rsid w:val="00685901"/>
    <w:rsid w:val="00685BB9"/>
    <w:rsid w:val="00686750"/>
    <w:rsid w:val="006867EB"/>
    <w:rsid w:val="00687239"/>
    <w:rsid w:val="006872AA"/>
    <w:rsid w:val="00687DCF"/>
    <w:rsid w:val="00690127"/>
    <w:rsid w:val="00690707"/>
    <w:rsid w:val="0069099F"/>
    <w:rsid w:val="00691852"/>
    <w:rsid w:val="00691BFF"/>
    <w:rsid w:val="0069392E"/>
    <w:rsid w:val="00694829"/>
    <w:rsid w:val="006953C1"/>
    <w:rsid w:val="006956AE"/>
    <w:rsid w:val="00695CDD"/>
    <w:rsid w:val="006962D4"/>
    <w:rsid w:val="006969B5"/>
    <w:rsid w:val="00696EB2"/>
    <w:rsid w:val="00696F9C"/>
    <w:rsid w:val="006978DF"/>
    <w:rsid w:val="006A16E9"/>
    <w:rsid w:val="006A17F9"/>
    <w:rsid w:val="006A1F1E"/>
    <w:rsid w:val="006A25D4"/>
    <w:rsid w:val="006A2FF7"/>
    <w:rsid w:val="006A357D"/>
    <w:rsid w:val="006A3704"/>
    <w:rsid w:val="006A5450"/>
    <w:rsid w:val="006B0199"/>
    <w:rsid w:val="006B0A32"/>
    <w:rsid w:val="006B0BD8"/>
    <w:rsid w:val="006B0CF8"/>
    <w:rsid w:val="006B0F4F"/>
    <w:rsid w:val="006B11FC"/>
    <w:rsid w:val="006B1295"/>
    <w:rsid w:val="006B160D"/>
    <w:rsid w:val="006B1D77"/>
    <w:rsid w:val="006B383E"/>
    <w:rsid w:val="006B3A01"/>
    <w:rsid w:val="006B4D01"/>
    <w:rsid w:val="006B4D64"/>
    <w:rsid w:val="006B6302"/>
    <w:rsid w:val="006B70F7"/>
    <w:rsid w:val="006B7115"/>
    <w:rsid w:val="006C0251"/>
    <w:rsid w:val="006C23CD"/>
    <w:rsid w:val="006C2555"/>
    <w:rsid w:val="006C2B9A"/>
    <w:rsid w:val="006C2E34"/>
    <w:rsid w:val="006C39BB"/>
    <w:rsid w:val="006C432B"/>
    <w:rsid w:val="006C4502"/>
    <w:rsid w:val="006C4714"/>
    <w:rsid w:val="006C4B15"/>
    <w:rsid w:val="006C515B"/>
    <w:rsid w:val="006C592C"/>
    <w:rsid w:val="006C6B6B"/>
    <w:rsid w:val="006C725C"/>
    <w:rsid w:val="006D0C49"/>
    <w:rsid w:val="006D0F6E"/>
    <w:rsid w:val="006D196B"/>
    <w:rsid w:val="006D289A"/>
    <w:rsid w:val="006D3299"/>
    <w:rsid w:val="006D5ADB"/>
    <w:rsid w:val="006D5BD9"/>
    <w:rsid w:val="006D5E91"/>
    <w:rsid w:val="006D5EC9"/>
    <w:rsid w:val="006D6CD5"/>
    <w:rsid w:val="006D6F7C"/>
    <w:rsid w:val="006D76C8"/>
    <w:rsid w:val="006E14E6"/>
    <w:rsid w:val="006E1AEE"/>
    <w:rsid w:val="006E1EC4"/>
    <w:rsid w:val="006E351C"/>
    <w:rsid w:val="006E3B9C"/>
    <w:rsid w:val="006E4CDD"/>
    <w:rsid w:val="006E51A2"/>
    <w:rsid w:val="006E6D07"/>
    <w:rsid w:val="006E79B5"/>
    <w:rsid w:val="006E7A1C"/>
    <w:rsid w:val="006E7CDE"/>
    <w:rsid w:val="006F0458"/>
    <w:rsid w:val="006F0DE2"/>
    <w:rsid w:val="006F134B"/>
    <w:rsid w:val="006F1933"/>
    <w:rsid w:val="006F1D9B"/>
    <w:rsid w:val="006F23A8"/>
    <w:rsid w:val="006F2649"/>
    <w:rsid w:val="006F33C2"/>
    <w:rsid w:val="006F3495"/>
    <w:rsid w:val="006F383F"/>
    <w:rsid w:val="006F3D22"/>
    <w:rsid w:val="006F417D"/>
    <w:rsid w:val="006F4FB5"/>
    <w:rsid w:val="006F58A5"/>
    <w:rsid w:val="006F5C83"/>
    <w:rsid w:val="006F61AD"/>
    <w:rsid w:val="006F637B"/>
    <w:rsid w:val="006F65A5"/>
    <w:rsid w:val="006F67CC"/>
    <w:rsid w:val="006F73C2"/>
    <w:rsid w:val="006F75F8"/>
    <w:rsid w:val="006F7A52"/>
    <w:rsid w:val="007005D9"/>
    <w:rsid w:val="00700808"/>
    <w:rsid w:val="00701626"/>
    <w:rsid w:val="00701C2D"/>
    <w:rsid w:val="00701C46"/>
    <w:rsid w:val="00701E45"/>
    <w:rsid w:val="00702162"/>
    <w:rsid w:val="0070310E"/>
    <w:rsid w:val="0070336E"/>
    <w:rsid w:val="0070347F"/>
    <w:rsid w:val="00703930"/>
    <w:rsid w:val="0070610E"/>
    <w:rsid w:val="00707759"/>
    <w:rsid w:val="00710081"/>
    <w:rsid w:val="00710AA4"/>
    <w:rsid w:val="00710B0D"/>
    <w:rsid w:val="00710B46"/>
    <w:rsid w:val="00711573"/>
    <w:rsid w:val="0071224E"/>
    <w:rsid w:val="00713CB5"/>
    <w:rsid w:val="0071558B"/>
    <w:rsid w:val="00715E0D"/>
    <w:rsid w:val="00716066"/>
    <w:rsid w:val="00716248"/>
    <w:rsid w:val="0071682E"/>
    <w:rsid w:val="00716F3A"/>
    <w:rsid w:val="007173B7"/>
    <w:rsid w:val="0071755F"/>
    <w:rsid w:val="0071780A"/>
    <w:rsid w:val="00721189"/>
    <w:rsid w:val="00721450"/>
    <w:rsid w:val="007221C3"/>
    <w:rsid w:val="00722F2C"/>
    <w:rsid w:val="00723A9B"/>
    <w:rsid w:val="00723F97"/>
    <w:rsid w:val="00724406"/>
    <w:rsid w:val="007254D1"/>
    <w:rsid w:val="00725B32"/>
    <w:rsid w:val="00725B3C"/>
    <w:rsid w:val="00726A37"/>
    <w:rsid w:val="00726B13"/>
    <w:rsid w:val="007308D1"/>
    <w:rsid w:val="00731E06"/>
    <w:rsid w:val="00732175"/>
    <w:rsid w:val="007330AA"/>
    <w:rsid w:val="0073327C"/>
    <w:rsid w:val="007332FB"/>
    <w:rsid w:val="007335DF"/>
    <w:rsid w:val="00733D54"/>
    <w:rsid w:val="00733F3D"/>
    <w:rsid w:val="0073446A"/>
    <w:rsid w:val="00735483"/>
    <w:rsid w:val="00736A4F"/>
    <w:rsid w:val="00737753"/>
    <w:rsid w:val="00740560"/>
    <w:rsid w:val="00740CE9"/>
    <w:rsid w:val="007428E3"/>
    <w:rsid w:val="00742AC2"/>
    <w:rsid w:val="00742CD8"/>
    <w:rsid w:val="00743931"/>
    <w:rsid w:val="0074394E"/>
    <w:rsid w:val="00743DA8"/>
    <w:rsid w:val="00744307"/>
    <w:rsid w:val="00744AFF"/>
    <w:rsid w:val="00746198"/>
    <w:rsid w:val="00747B4B"/>
    <w:rsid w:val="00750C9B"/>
    <w:rsid w:val="00750D0A"/>
    <w:rsid w:val="00750F76"/>
    <w:rsid w:val="00751957"/>
    <w:rsid w:val="00751D93"/>
    <w:rsid w:val="00752088"/>
    <w:rsid w:val="00752300"/>
    <w:rsid w:val="007526A0"/>
    <w:rsid w:val="00752BAA"/>
    <w:rsid w:val="007546F8"/>
    <w:rsid w:val="00755BAB"/>
    <w:rsid w:val="00757004"/>
    <w:rsid w:val="00757F51"/>
    <w:rsid w:val="0076080E"/>
    <w:rsid w:val="0076132A"/>
    <w:rsid w:val="00761694"/>
    <w:rsid w:val="00762FC1"/>
    <w:rsid w:val="0076313B"/>
    <w:rsid w:val="0076411D"/>
    <w:rsid w:val="00765930"/>
    <w:rsid w:val="00766F6D"/>
    <w:rsid w:val="007670F8"/>
    <w:rsid w:val="007671D4"/>
    <w:rsid w:val="007673D0"/>
    <w:rsid w:val="00767406"/>
    <w:rsid w:val="0077008B"/>
    <w:rsid w:val="00770A85"/>
    <w:rsid w:val="00771E41"/>
    <w:rsid w:val="007737E9"/>
    <w:rsid w:val="00773CB7"/>
    <w:rsid w:val="00773DC9"/>
    <w:rsid w:val="0077572E"/>
    <w:rsid w:val="00775F8E"/>
    <w:rsid w:val="0077778D"/>
    <w:rsid w:val="007778B3"/>
    <w:rsid w:val="0078031B"/>
    <w:rsid w:val="0078096C"/>
    <w:rsid w:val="0078284D"/>
    <w:rsid w:val="00782B27"/>
    <w:rsid w:val="00784F44"/>
    <w:rsid w:val="00785580"/>
    <w:rsid w:val="00786672"/>
    <w:rsid w:val="00786BC8"/>
    <w:rsid w:val="00786C9A"/>
    <w:rsid w:val="007872CF"/>
    <w:rsid w:val="00790765"/>
    <w:rsid w:val="0079101A"/>
    <w:rsid w:val="007910BC"/>
    <w:rsid w:val="0079201C"/>
    <w:rsid w:val="00792165"/>
    <w:rsid w:val="00792429"/>
    <w:rsid w:val="0079307F"/>
    <w:rsid w:val="007934F5"/>
    <w:rsid w:val="007940C5"/>
    <w:rsid w:val="007946EA"/>
    <w:rsid w:val="007947C4"/>
    <w:rsid w:val="00794FF0"/>
    <w:rsid w:val="00795A18"/>
    <w:rsid w:val="00795CE1"/>
    <w:rsid w:val="00797E08"/>
    <w:rsid w:val="007A02E9"/>
    <w:rsid w:val="007A048D"/>
    <w:rsid w:val="007A06AC"/>
    <w:rsid w:val="007A086F"/>
    <w:rsid w:val="007A1750"/>
    <w:rsid w:val="007A252A"/>
    <w:rsid w:val="007A3B9E"/>
    <w:rsid w:val="007A4C98"/>
    <w:rsid w:val="007A4FB8"/>
    <w:rsid w:val="007A51F0"/>
    <w:rsid w:val="007A5502"/>
    <w:rsid w:val="007A61CC"/>
    <w:rsid w:val="007A74A9"/>
    <w:rsid w:val="007A7C7C"/>
    <w:rsid w:val="007B028A"/>
    <w:rsid w:val="007B1014"/>
    <w:rsid w:val="007B103F"/>
    <w:rsid w:val="007B1484"/>
    <w:rsid w:val="007B1A10"/>
    <w:rsid w:val="007B2EC0"/>
    <w:rsid w:val="007B309B"/>
    <w:rsid w:val="007B3230"/>
    <w:rsid w:val="007B3881"/>
    <w:rsid w:val="007B450D"/>
    <w:rsid w:val="007B501D"/>
    <w:rsid w:val="007B52C0"/>
    <w:rsid w:val="007B5839"/>
    <w:rsid w:val="007B6659"/>
    <w:rsid w:val="007B6994"/>
    <w:rsid w:val="007B76AB"/>
    <w:rsid w:val="007B7DBD"/>
    <w:rsid w:val="007C0F71"/>
    <w:rsid w:val="007C22AC"/>
    <w:rsid w:val="007C268E"/>
    <w:rsid w:val="007C3124"/>
    <w:rsid w:val="007C32BD"/>
    <w:rsid w:val="007C39A9"/>
    <w:rsid w:val="007C3CBA"/>
    <w:rsid w:val="007C45D3"/>
    <w:rsid w:val="007C4F77"/>
    <w:rsid w:val="007C597B"/>
    <w:rsid w:val="007C760C"/>
    <w:rsid w:val="007C7800"/>
    <w:rsid w:val="007D08FD"/>
    <w:rsid w:val="007D0CF2"/>
    <w:rsid w:val="007D1584"/>
    <w:rsid w:val="007D2044"/>
    <w:rsid w:val="007D3225"/>
    <w:rsid w:val="007D368E"/>
    <w:rsid w:val="007D3A23"/>
    <w:rsid w:val="007D4520"/>
    <w:rsid w:val="007D458F"/>
    <w:rsid w:val="007D4C48"/>
    <w:rsid w:val="007D4F33"/>
    <w:rsid w:val="007D5250"/>
    <w:rsid w:val="007D65C7"/>
    <w:rsid w:val="007D702D"/>
    <w:rsid w:val="007D74D2"/>
    <w:rsid w:val="007D79B5"/>
    <w:rsid w:val="007E0B52"/>
    <w:rsid w:val="007E0CA9"/>
    <w:rsid w:val="007E2334"/>
    <w:rsid w:val="007E23CE"/>
    <w:rsid w:val="007E2CE7"/>
    <w:rsid w:val="007E3611"/>
    <w:rsid w:val="007E43D0"/>
    <w:rsid w:val="007E4F00"/>
    <w:rsid w:val="007E513D"/>
    <w:rsid w:val="007E54F8"/>
    <w:rsid w:val="007E5615"/>
    <w:rsid w:val="007E5987"/>
    <w:rsid w:val="007E5BD8"/>
    <w:rsid w:val="007E7373"/>
    <w:rsid w:val="007E7BF9"/>
    <w:rsid w:val="007F02BC"/>
    <w:rsid w:val="007F042A"/>
    <w:rsid w:val="007F08D7"/>
    <w:rsid w:val="007F1411"/>
    <w:rsid w:val="007F1D17"/>
    <w:rsid w:val="007F25BB"/>
    <w:rsid w:val="007F2E65"/>
    <w:rsid w:val="007F43BA"/>
    <w:rsid w:val="007F45D1"/>
    <w:rsid w:val="007F64BE"/>
    <w:rsid w:val="007F6DC3"/>
    <w:rsid w:val="007F74C3"/>
    <w:rsid w:val="008006B4"/>
    <w:rsid w:val="008015B6"/>
    <w:rsid w:val="00801E22"/>
    <w:rsid w:val="00802DE6"/>
    <w:rsid w:val="00802F62"/>
    <w:rsid w:val="00802F8A"/>
    <w:rsid w:val="00803F12"/>
    <w:rsid w:val="00803FD4"/>
    <w:rsid w:val="0080481C"/>
    <w:rsid w:val="00804C54"/>
    <w:rsid w:val="008056DD"/>
    <w:rsid w:val="00806057"/>
    <w:rsid w:val="008062E4"/>
    <w:rsid w:val="00806428"/>
    <w:rsid w:val="00806B55"/>
    <w:rsid w:val="00806C90"/>
    <w:rsid w:val="00806E93"/>
    <w:rsid w:val="00807BF2"/>
    <w:rsid w:val="0081104C"/>
    <w:rsid w:val="0081113E"/>
    <w:rsid w:val="008127CF"/>
    <w:rsid w:val="00812C1B"/>
    <w:rsid w:val="00812C5D"/>
    <w:rsid w:val="00812D16"/>
    <w:rsid w:val="00812DBF"/>
    <w:rsid w:val="00812FF4"/>
    <w:rsid w:val="00813727"/>
    <w:rsid w:val="0081372B"/>
    <w:rsid w:val="00813E31"/>
    <w:rsid w:val="0081474F"/>
    <w:rsid w:val="0081671E"/>
    <w:rsid w:val="00816949"/>
    <w:rsid w:val="00816E5A"/>
    <w:rsid w:val="0082020C"/>
    <w:rsid w:val="008211BA"/>
    <w:rsid w:val="008211E1"/>
    <w:rsid w:val="00821810"/>
    <w:rsid w:val="00821865"/>
    <w:rsid w:val="00821E34"/>
    <w:rsid w:val="0082271B"/>
    <w:rsid w:val="00822A2E"/>
    <w:rsid w:val="0082327D"/>
    <w:rsid w:val="0082356C"/>
    <w:rsid w:val="0082433D"/>
    <w:rsid w:val="00825944"/>
    <w:rsid w:val="00825F06"/>
    <w:rsid w:val="0082640C"/>
    <w:rsid w:val="00826509"/>
    <w:rsid w:val="00826AA3"/>
    <w:rsid w:val="008270A8"/>
    <w:rsid w:val="0082785E"/>
    <w:rsid w:val="008306EA"/>
    <w:rsid w:val="00830B8F"/>
    <w:rsid w:val="00831AC1"/>
    <w:rsid w:val="00832A6D"/>
    <w:rsid w:val="00832DEF"/>
    <w:rsid w:val="0083354D"/>
    <w:rsid w:val="008337E2"/>
    <w:rsid w:val="008338DC"/>
    <w:rsid w:val="008342EF"/>
    <w:rsid w:val="00834924"/>
    <w:rsid w:val="008352AE"/>
    <w:rsid w:val="0083561B"/>
    <w:rsid w:val="0083625E"/>
    <w:rsid w:val="0083650C"/>
    <w:rsid w:val="00837256"/>
    <w:rsid w:val="0083736B"/>
    <w:rsid w:val="00837D78"/>
    <w:rsid w:val="00840D79"/>
    <w:rsid w:val="00842A21"/>
    <w:rsid w:val="00842D61"/>
    <w:rsid w:val="00843975"/>
    <w:rsid w:val="00843B55"/>
    <w:rsid w:val="008445C4"/>
    <w:rsid w:val="00844DE1"/>
    <w:rsid w:val="00845DAD"/>
    <w:rsid w:val="008469EE"/>
    <w:rsid w:val="00847815"/>
    <w:rsid w:val="0084792B"/>
    <w:rsid w:val="00847F6C"/>
    <w:rsid w:val="00850480"/>
    <w:rsid w:val="008504CF"/>
    <w:rsid w:val="008505DC"/>
    <w:rsid w:val="008511C1"/>
    <w:rsid w:val="00853679"/>
    <w:rsid w:val="00854B2F"/>
    <w:rsid w:val="0085505D"/>
    <w:rsid w:val="00855481"/>
    <w:rsid w:val="00856328"/>
    <w:rsid w:val="00856354"/>
    <w:rsid w:val="008568E1"/>
    <w:rsid w:val="0085694E"/>
    <w:rsid w:val="00856BE9"/>
    <w:rsid w:val="00856FB5"/>
    <w:rsid w:val="008578F8"/>
    <w:rsid w:val="008579AE"/>
    <w:rsid w:val="00857A62"/>
    <w:rsid w:val="00857C7D"/>
    <w:rsid w:val="00860566"/>
    <w:rsid w:val="0086165C"/>
    <w:rsid w:val="008617B4"/>
    <w:rsid w:val="00861974"/>
    <w:rsid w:val="00861B26"/>
    <w:rsid w:val="008629E8"/>
    <w:rsid w:val="00862EED"/>
    <w:rsid w:val="008643FC"/>
    <w:rsid w:val="008645A2"/>
    <w:rsid w:val="008649B9"/>
    <w:rsid w:val="008655D1"/>
    <w:rsid w:val="00866E47"/>
    <w:rsid w:val="0086784F"/>
    <w:rsid w:val="00870394"/>
    <w:rsid w:val="00870708"/>
    <w:rsid w:val="0087073B"/>
    <w:rsid w:val="00870F6C"/>
    <w:rsid w:val="008713D0"/>
    <w:rsid w:val="008720BA"/>
    <w:rsid w:val="008768B5"/>
    <w:rsid w:val="008770D4"/>
    <w:rsid w:val="00880402"/>
    <w:rsid w:val="00880A4F"/>
    <w:rsid w:val="0088127F"/>
    <w:rsid w:val="008815EF"/>
    <w:rsid w:val="008818B7"/>
    <w:rsid w:val="00881D99"/>
    <w:rsid w:val="00882089"/>
    <w:rsid w:val="008842AD"/>
    <w:rsid w:val="008848F2"/>
    <w:rsid w:val="00885273"/>
    <w:rsid w:val="00885F2C"/>
    <w:rsid w:val="00886386"/>
    <w:rsid w:val="008864A2"/>
    <w:rsid w:val="0088701C"/>
    <w:rsid w:val="00892AA5"/>
    <w:rsid w:val="0089499B"/>
    <w:rsid w:val="00894ACA"/>
    <w:rsid w:val="00894EC5"/>
    <w:rsid w:val="00894ED1"/>
    <w:rsid w:val="008961CD"/>
    <w:rsid w:val="00896658"/>
    <w:rsid w:val="008967B5"/>
    <w:rsid w:val="008A01FC"/>
    <w:rsid w:val="008A03AC"/>
    <w:rsid w:val="008A12C3"/>
    <w:rsid w:val="008A1983"/>
    <w:rsid w:val="008A345A"/>
    <w:rsid w:val="008A3D9A"/>
    <w:rsid w:val="008A3DB9"/>
    <w:rsid w:val="008A452A"/>
    <w:rsid w:val="008A5C67"/>
    <w:rsid w:val="008A5E96"/>
    <w:rsid w:val="008A6A5C"/>
    <w:rsid w:val="008A7316"/>
    <w:rsid w:val="008B0191"/>
    <w:rsid w:val="008B2863"/>
    <w:rsid w:val="008B2C9F"/>
    <w:rsid w:val="008B2CB4"/>
    <w:rsid w:val="008B2F40"/>
    <w:rsid w:val="008B38AA"/>
    <w:rsid w:val="008B4DA5"/>
    <w:rsid w:val="008B500A"/>
    <w:rsid w:val="008B5B8F"/>
    <w:rsid w:val="008B6193"/>
    <w:rsid w:val="008B6306"/>
    <w:rsid w:val="008B6AD7"/>
    <w:rsid w:val="008B6E58"/>
    <w:rsid w:val="008C0604"/>
    <w:rsid w:val="008C1610"/>
    <w:rsid w:val="008C2F1E"/>
    <w:rsid w:val="008C30E5"/>
    <w:rsid w:val="008C3B5B"/>
    <w:rsid w:val="008C409F"/>
    <w:rsid w:val="008C602D"/>
    <w:rsid w:val="008C665C"/>
    <w:rsid w:val="008C6BCC"/>
    <w:rsid w:val="008C6F36"/>
    <w:rsid w:val="008D00BD"/>
    <w:rsid w:val="008D016B"/>
    <w:rsid w:val="008D098D"/>
    <w:rsid w:val="008D135A"/>
    <w:rsid w:val="008D2205"/>
    <w:rsid w:val="008D2331"/>
    <w:rsid w:val="008D283F"/>
    <w:rsid w:val="008D3059"/>
    <w:rsid w:val="008D3481"/>
    <w:rsid w:val="008D36CD"/>
    <w:rsid w:val="008D4380"/>
    <w:rsid w:val="008D48D1"/>
    <w:rsid w:val="008D506F"/>
    <w:rsid w:val="008D59AB"/>
    <w:rsid w:val="008D6BE8"/>
    <w:rsid w:val="008E45A0"/>
    <w:rsid w:val="008E7081"/>
    <w:rsid w:val="008E7833"/>
    <w:rsid w:val="008E78E4"/>
    <w:rsid w:val="008F0073"/>
    <w:rsid w:val="008F1EAA"/>
    <w:rsid w:val="008F2C49"/>
    <w:rsid w:val="008F2DBA"/>
    <w:rsid w:val="008F3364"/>
    <w:rsid w:val="008F36F0"/>
    <w:rsid w:val="008F3827"/>
    <w:rsid w:val="008F3E8D"/>
    <w:rsid w:val="008F5D5D"/>
    <w:rsid w:val="008F6FB0"/>
    <w:rsid w:val="008F76F2"/>
    <w:rsid w:val="008F7CFF"/>
    <w:rsid w:val="008F7ED1"/>
    <w:rsid w:val="00900AB7"/>
    <w:rsid w:val="00900EFF"/>
    <w:rsid w:val="00901C8D"/>
    <w:rsid w:val="00902561"/>
    <w:rsid w:val="00903F66"/>
    <w:rsid w:val="00904A4D"/>
    <w:rsid w:val="0090527D"/>
    <w:rsid w:val="00905EE9"/>
    <w:rsid w:val="009064BE"/>
    <w:rsid w:val="009065F4"/>
    <w:rsid w:val="0090663B"/>
    <w:rsid w:val="00906C15"/>
    <w:rsid w:val="009075A7"/>
    <w:rsid w:val="00907A12"/>
    <w:rsid w:val="00910149"/>
    <w:rsid w:val="00910E6B"/>
    <w:rsid w:val="00910FBA"/>
    <w:rsid w:val="009113DC"/>
    <w:rsid w:val="00911A2F"/>
    <w:rsid w:val="00911D39"/>
    <w:rsid w:val="0091245B"/>
    <w:rsid w:val="00912B9F"/>
    <w:rsid w:val="009134E4"/>
    <w:rsid w:val="009141A2"/>
    <w:rsid w:val="009162C3"/>
    <w:rsid w:val="0091709E"/>
    <w:rsid w:val="00917C0F"/>
    <w:rsid w:val="0092040E"/>
    <w:rsid w:val="00920C6C"/>
    <w:rsid w:val="00920E79"/>
    <w:rsid w:val="0092139A"/>
    <w:rsid w:val="0092147C"/>
    <w:rsid w:val="0092160F"/>
    <w:rsid w:val="00921C6D"/>
    <w:rsid w:val="0092203A"/>
    <w:rsid w:val="009227D9"/>
    <w:rsid w:val="00923835"/>
    <w:rsid w:val="00923C44"/>
    <w:rsid w:val="009249A4"/>
    <w:rsid w:val="00926123"/>
    <w:rsid w:val="009264AC"/>
    <w:rsid w:val="00927525"/>
    <w:rsid w:val="0092765D"/>
    <w:rsid w:val="00927791"/>
    <w:rsid w:val="00930607"/>
    <w:rsid w:val="00930D0A"/>
    <w:rsid w:val="00931075"/>
    <w:rsid w:val="00931327"/>
    <w:rsid w:val="0093173B"/>
    <w:rsid w:val="009321AC"/>
    <w:rsid w:val="009329BA"/>
    <w:rsid w:val="0093304D"/>
    <w:rsid w:val="00936359"/>
    <w:rsid w:val="00936939"/>
    <w:rsid w:val="009402C7"/>
    <w:rsid w:val="0094053B"/>
    <w:rsid w:val="00940587"/>
    <w:rsid w:val="0094151C"/>
    <w:rsid w:val="009417BA"/>
    <w:rsid w:val="00942040"/>
    <w:rsid w:val="009428E8"/>
    <w:rsid w:val="00942C9F"/>
    <w:rsid w:val="00942F4A"/>
    <w:rsid w:val="00943E96"/>
    <w:rsid w:val="009442A4"/>
    <w:rsid w:val="00945631"/>
    <w:rsid w:val="00947549"/>
    <w:rsid w:val="00947BF8"/>
    <w:rsid w:val="0095272B"/>
    <w:rsid w:val="00952D66"/>
    <w:rsid w:val="00954C60"/>
    <w:rsid w:val="009558B3"/>
    <w:rsid w:val="00956150"/>
    <w:rsid w:val="0095646A"/>
    <w:rsid w:val="0095793C"/>
    <w:rsid w:val="009600BA"/>
    <w:rsid w:val="0096111E"/>
    <w:rsid w:val="00961125"/>
    <w:rsid w:val="00963362"/>
    <w:rsid w:val="0096375B"/>
    <w:rsid w:val="00963BD1"/>
    <w:rsid w:val="00963BFB"/>
    <w:rsid w:val="00965FDC"/>
    <w:rsid w:val="009665E4"/>
    <w:rsid w:val="00966B1F"/>
    <w:rsid w:val="0096732D"/>
    <w:rsid w:val="00967E4D"/>
    <w:rsid w:val="00970324"/>
    <w:rsid w:val="0097042F"/>
    <w:rsid w:val="00970746"/>
    <w:rsid w:val="0097116E"/>
    <w:rsid w:val="00974518"/>
    <w:rsid w:val="00974A41"/>
    <w:rsid w:val="00974DF1"/>
    <w:rsid w:val="0097508E"/>
    <w:rsid w:val="009758E1"/>
    <w:rsid w:val="00977B2E"/>
    <w:rsid w:val="00980306"/>
    <w:rsid w:val="00980FE0"/>
    <w:rsid w:val="00981CB1"/>
    <w:rsid w:val="00982079"/>
    <w:rsid w:val="0098226C"/>
    <w:rsid w:val="00984001"/>
    <w:rsid w:val="00984B70"/>
    <w:rsid w:val="00985197"/>
    <w:rsid w:val="0098703D"/>
    <w:rsid w:val="0098760A"/>
    <w:rsid w:val="00987B5A"/>
    <w:rsid w:val="00987EC8"/>
    <w:rsid w:val="00990C3B"/>
    <w:rsid w:val="00991B04"/>
    <w:rsid w:val="00992250"/>
    <w:rsid w:val="009923C8"/>
    <w:rsid w:val="009928B7"/>
    <w:rsid w:val="0099321A"/>
    <w:rsid w:val="00995681"/>
    <w:rsid w:val="009960B7"/>
    <w:rsid w:val="00996241"/>
    <w:rsid w:val="00996A50"/>
    <w:rsid w:val="00996DA7"/>
    <w:rsid w:val="00997104"/>
    <w:rsid w:val="00997208"/>
    <w:rsid w:val="009972FE"/>
    <w:rsid w:val="009A090D"/>
    <w:rsid w:val="009A0C91"/>
    <w:rsid w:val="009A1490"/>
    <w:rsid w:val="009A1A88"/>
    <w:rsid w:val="009A2A81"/>
    <w:rsid w:val="009A30C3"/>
    <w:rsid w:val="009A3229"/>
    <w:rsid w:val="009A59F1"/>
    <w:rsid w:val="009A71DF"/>
    <w:rsid w:val="009B0C14"/>
    <w:rsid w:val="009B22B7"/>
    <w:rsid w:val="009B2D74"/>
    <w:rsid w:val="009B31CD"/>
    <w:rsid w:val="009B37A1"/>
    <w:rsid w:val="009B39CA"/>
    <w:rsid w:val="009B3FE8"/>
    <w:rsid w:val="009B4DA3"/>
    <w:rsid w:val="009B536C"/>
    <w:rsid w:val="009B5783"/>
    <w:rsid w:val="009B6496"/>
    <w:rsid w:val="009B7E4A"/>
    <w:rsid w:val="009C01D9"/>
    <w:rsid w:val="009C01DA"/>
    <w:rsid w:val="009C12C5"/>
    <w:rsid w:val="009C1528"/>
    <w:rsid w:val="009C175D"/>
    <w:rsid w:val="009C1EE1"/>
    <w:rsid w:val="009C20CC"/>
    <w:rsid w:val="009C3547"/>
    <w:rsid w:val="009C3558"/>
    <w:rsid w:val="009C4C81"/>
    <w:rsid w:val="009C562E"/>
    <w:rsid w:val="009C5B81"/>
    <w:rsid w:val="009C6003"/>
    <w:rsid w:val="009C6B39"/>
    <w:rsid w:val="009C72AF"/>
    <w:rsid w:val="009C7531"/>
    <w:rsid w:val="009D04D9"/>
    <w:rsid w:val="009D0D17"/>
    <w:rsid w:val="009D220C"/>
    <w:rsid w:val="009D221F"/>
    <w:rsid w:val="009D339A"/>
    <w:rsid w:val="009D43DC"/>
    <w:rsid w:val="009D4910"/>
    <w:rsid w:val="009D5AD0"/>
    <w:rsid w:val="009D5EB5"/>
    <w:rsid w:val="009D6445"/>
    <w:rsid w:val="009D75BE"/>
    <w:rsid w:val="009E09F0"/>
    <w:rsid w:val="009E1141"/>
    <w:rsid w:val="009E12C2"/>
    <w:rsid w:val="009E187E"/>
    <w:rsid w:val="009E19E8"/>
    <w:rsid w:val="009E1D5E"/>
    <w:rsid w:val="009E21DE"/>
    <w:rsid w:val="009E28F7"/>
    <w:rsid w:val="009E2DC1"/>
    <w:rsid w:val="009E377C"/>
    <w:rsid w:val="009E39FE"/>
    <w:rsid w:val="009E411C"/>
    <w:rsid w:val="009E4133"/>
    <w:rsid w:val="009E458A"/>
    <w:rsid w:val="009E5316"/>
    <w:rsid w:val="009E5D7C"/>
    <w:rsid w:val="009E5DFC"/>
    <w:rsid w:val="009E64B8"/>
    <w:rsid w:val="009F0238"/>
    <w:rsid w:val="009F1789"/>
    <w:rsid w:val="009F2A01"/>
    <w:rsid w:val="009F2E3B"/>
    <w:rsid w:val="009F2E80"/>
    <w:rsid w:val="009F34BB"/>
    <w:rsid w:val="009F36D2"/>
    <w:rsid w:val="009F3B6B"/>
    <w:rsid w:val="009F3FA9"/>
    <w:rsid w:val="009F3FFA"/>
    <w:rsid w:val="009F40B9"/>
    <w:rsid w:val="009F42F8"/>
    <w:rsid w:val="009F4504"/>
    <w:rsid w:val="009F502C"/>
    <w:rsid w:val="009F5611"/>
    <w:rsid w:val="009F571B"/>
    <w:rsid w:val="009F603B"/>
    <w:rsid w:val="009F6987"/>
    <w:rsid w:val="009F6C4B"/>
    <w:rsid w:val="009F6CCC"/>
    <w:rsid w:val="009F720F"/>
    <w:rsid w:val="009F7717"/>
    <w:rsid w:val="009F7BC9"/>
    <w:rsid w:val="00A006D7"/>
    <w:rsid w:val="00A010E7"/>
    <w:rsid w:val="00A0131B"/>
    <w:rsid w:val="00A01770"/>
    <w:rsid w:val="00A01A17"/>
    <w:rsid w:val="00A01A60"/>
    <w:rsid w:val="00A0258F"/>
    <w:rsid w:val="00A02D8B"/>
    <w:rsid w:val="00A04194"/>
    <w:rsid w:val="00A04B3A"/>
    <w:rsid w:val="00A04FCF"/>
    <w:rsid w:val="00A05C99"/>
    <w:rsid w:val="00A061D6"/>
    <w:rsid w:val="00A07265"/>
    <w:rsid w:val="00A0745B"/>
    <w:rsid w:val="00A07689"/>
    <w:rsid w:val="00A076F9"/>
    <w:rsid w:val="00A07997"/>
    <w:rsid w:val="00A07ACF"/>
    <w:rsid w:val="00A07F87"/>
    <w:rsid w:val="00A11097"/>
    <w:rsid w:val="00A114EF"/>
    <w:rsid w:val="00A12030"/>
    <w:rsid w:val="00A12B3F"/>
    <w:rsid w:val="00A12D29"/>
    <w:rsid w:val="00A15451"/>
    <w:rsid w:val="00A1596D"/>
    <w:rsid w:val="00A15AE3"/>
    <w:rsid w:val="00A16BA7"/>
    <w:rsid w:val="00A16C23"/>
    <w:rsid w:val="00A177C5"/>
    <w:rsid w:val="00A20673"/>
    <w:rsid w:val="00A206ED"/>
    <w:rsid w:val="00A20806"/>
    <w:rsid w:val="00A20C7F"/>
    <w:rsid w:val="00A20D5B"/>
    <w:rsid w:val="00A22DBA"/>
    <w:rsid w:val="00A237E2"/>
    <w:rsid w:val="00A23CAA"/>
    <w:rsid w:val="00A25867"/>
    <w:rsid w:val="00A25BFF"/>
    <w:rsid w:val="00A25DD4"/>
    <w:rsid w:val="00A26CD3"/>
    <w:rsid w:val="00A27522"/>
    <w:rsid w:val="00A31958"/>
    <w:rsid w:val="00A3203A"/>
    <w:rsid w:val="00A32BDD"/>
    <w:rsid w:val="00A33515"/>
    <w:rsid w:val="00A34556"/>
    <w:rsid w:val="00A34D0C"/>
    <w:rsid w:val="00A34D76"/>
    <w:rsid w:val="00A35E2C"/>
    <w:rsid w:val="00A3613B"/>
    <w:rsid w:val="00A365D0"/>
    <w:rsid w:val="00A400E6"/>
    <w:rsid w:val="00A402B8"/>
    <w:rsid w:val="00A413DB"/>
    <w:rsid w:val="00A443A6"/>
    <w:rsid w:val="00A44F0C"/>
    <w:rsid w:val="00A45A1A"/>
    <w:rsid w:val="00A45E61"/>
    <w:rsid w:val="00A45F91"/>
    <w:rsid w:val="00A45FC7"/>
    <w:rsid w:val="00A47AD7"/>
    <w:rsid w:val="00A47E7F"/>
    <w:rsid w:val="00A47F32"/>
    <w:rsid w:val="00A50049"/>
    <w:rsid w:val="00A507AA"/>
    <w:rsid w:val="00A51436"/>
    <w:rsid w:val="00A51541"/>
    <w:rsid w:val="00A5242A"/>
    <w:rsid w:val="00A5242E"/>
    <w:rsid w:val="00A53220"/>
    <w:rsid w:val="00A538E6"/>
    <w:rsid w:val="00A5433A"/>
    <w:rsid w:val="00A55414"/>
    <w:rsid w:val="00A55AD7"/>
    <w:rsid w:val="00A56102"/>
    <w:rsid w:val="00A56800"/>
    <w:rsid w:val="00A56D7E"/>
    <w:rsid w:val="00A56E3B"/>
    <w:rsid w:val="00A56F7A"/>
    <w:rsid w:val="00A57404"/>
    <w:rsid w:val="00A575BD"/>
    <w:rsid w:val="00A60D2C"/>
    <w:rsid w:val="00A60EEC"/>
    <w:rsid w:val="00A6122A"/>
    <w:rsid w:val="00A61403"/>
    <w:rsid w:val="00A6181A"/>
    <w:rsid w:val="00A61A93"/>
    <w:rsid w:val="00A62235"/>
    <w:rsid w:val="00A62CCA"/>
    <w:rsid w:val="00A630EA"/>
    <w:rsid w:val="00A63444"/>
    <w:rsid w:val="00A63732"/>
    <w:rsid w:val="00A645E9"/>
    <w:rsid w:val="00A656FC"/>
    <w:rsid w:val="00A65BD9"/>
    <w:rsid w:val="00A66718"/>
    <w:rsid w:val="00A66E50"/>
    <w:rsid w:val="00A66F33"/>
    <w:rsid w:val="00A676A2"/>
    <w:rsid w:val="00A67A35"/>
    <w:rsid w:val="00A70210"/>
    <w:rsid w:val="00A7072B"/>
    <w:rsid w:val="00A70AEE"/>
    <w:rsid w:val="00A70B31"/>
    <w:rsid w:val="00A70EFA"/>
    <w:rsid w:val="00A7229D"/>
    <w:rsid w:val="00A73A74"/>
    <w:rsid w:val="00A7467B"/>
    <w:rsid w:val="00A74806"/>
    <w:rsid w:val="00A74A40"/>
    <w:rsid w:val="00A74EA8"/>
    <w:rsid w:val="00A759FE"/>
    <w:rsid w:val="00A76124"/>
    <w:rsid w:val="00A76D67"/>
    <w:rsid w:val="00A776B8"/>
    <w:rsid w:val="00A81861"/>
    <w:rsid w:val="00A81EB6"/>
    <w:rsid w:val="00A821E8"/>
    <w:rsid w:val="00A8230B"/>
    <w:rsid w:val="00A83285"/>
    <w:rsid w:val="00A837FE"/>
    <w:rsid w:val="00A846D6"/>
    <w:rsid w:val="00A848A6"/>
    <w:rsid w:val="00A84CB8"/>
    <w:rsid w:val="00A85354"/>
    <w:rsid w:val="00A85357"/>
    <w:rsid w:val="00A86B99"/>
    <w:rsid w:val="00A875D4"/>
    <w:rsid w:val="00A902DD"/>
    <w:rsid w:val="00A90A01"/>
    <w:rsid w:val="00A90DFD"/>
    <w:rsid w:val="00A91617"/>
    <w:rsid w:val="00A920D1"/>
    <w:rsid w:val="00A93602"/>
    <w:rsid w:val="00A939EF"/>
    <w:rsid w:val="00A940A6"/>
    <w:rsid w:val="00A94C63"/>
    <w:rsid w:val="00A95770"/>
    <w:rsid w:val="00A957F9"/>
    <w:rsid w:val="00A95E06"/>
    <w:rsid w:val="00A9640B"/>
    <w:rsid w:val="00A9655F"/>
    <w:rsid w:val="00A96963"/>
    <w:rsid w:val="00A96FA8"/>
    <w:rsid w:val="00A9770A"/>
    <w:rsid w:val="00AA0A43"/>
    <w:rsid w:val="00AA0DD3"/>
    <w:rsid w:val="00AA150B"/>
    <w:rsid w:val="00AA1C07"/>
    <w:rsid w:val="00AA3688"/>
    <w:rsid w:val="00AA3C53"/>
    <w:rsid w:val="00AA3D80"/>
    <w:rsid w:val="00AA5887"/>
    <w:rsid w:val="00AA7581"/>
    <w:rsid w:val="00AA78D7"/>
    <w:rsid w:val="00AB0107"/>
    <w:rsid w:val="00AB075F"/>
    <w:rsid w:val="00AB120A"/>
    <w:rsid w:val="00AB13A7"/>
    <w:rsid w:val="00AB16A8"/>
    <w:rsid w:val="00AB19F8"/>
    <w:rsid w:val="00AB1B95"/>
    <w:rsid w:val="00AB254F"/>
    <w:rsid w:val="00AB2A61"/>
    <w:rsid w:val="00AB2BFA"/>
    <w:rsid w:val="00AB2FB7"/>
    <w:rsid w:val="00AB3A12"/>
    <w:rsid w:val="00AB3AEE"/>
    <w:rsid w:val="00AB503E"/>
    <w:rsid w:val="00AB5118"/>
    <w:rsid w:val="00AB5A8D"/>
    <w:rsid w:val="00AB6642"/>
    <w:rsid w:val="00AB6962"/>
    <w:rsid w:val="00AB6D51"/>
    <w:rsid w:val="00AB7925"/>
    <w:rsid w:val="00AC108A"/>
    <w:rsid w:val="00AC1D83"/>
    <w:rsid w:val="00AC2EFE"/>
    <w:rsid w:val="00AC3032"/>
    <w:rsid w:val="00AC3930"/>
    <w:rsid w:val="00AC3AB1"/>
    <w:rsid w:val="00AC3C20"/>
    <w:rsid w:val="00AC3DB6"/>
    <w:rsid w:val="00AC4F89"/>
    <w:rsid w:val="00AC5DD7"/>
    <w:rsid w:val="00AC627D"/>
    <w:rsid w:val="00AC6392"/>
    <w:rsid w:val="00AC68C6"/>
    <w:rsid w:val="00AC771D"/>
    <w:rsid w:val="00AC79C1"/>
    <w:rsid w:val="00AC7A1B"/>
    <w:rsid w:val="00AC7B9E"/>
    <w:rsid w:val="00AC7CA4"/>
    <w:rsid w:val="00AD0FC6"/>
    <w:rsid w:val="00AD1DF0"/>
    <w:rsid w:val="00AD3B39"/>
    <w:rsid w:val="00AD43EC"/>
    <w:rsid w:val="00AD4A64"/>
    <w:rsid w:val="00AD598F"/>
    <w:rsid w:val="00AD5C01"/>
    <w:rsid w:val="00AD646F"/>
    <w:rsid w:val="00AD6BB2"/>
    <w:rsid w:val="00AD6D09"/>
    <w:rsid w:val="00AD7249"/>
    <w:rsid w:val="00AE07DA"/>
    <w:rsid w:val="00AE098E"/>
    <w:rsid w:val="00AE0BBA"/>
    <w:rsid w:val="00AE156B"/>
    <w:rsid w:val="00AE15A8"/>
    <w:rsid w:val="00AE164B"/>
    <w:rsid w:val="00AE2291"/>
    <w:rsid w:val="00AE2500"/>
    <w:rsid w:val="00AE25C8"/>
    <w:rsid w:val="00AE3BC8"/>
    <w:rsid w:val="00AE4113"/>
    <w:rsid w:val="00AE4380"/>
    <w:rsid w:val="00AE5015"/>
    <w:rsid w:val="00AE5525"/>
    <w:rsid w:val="00AE6381"/>
    <w:rsid w:val="00AE656F"/>
    <w:rsid w:val="00AE7837"/>
    <w:rsid w:val="00AE7D78"/>
    <w:rsid w:val="00AE7F26"/>
    <w:rsid w:val="00AF37EF"/>
    <w:rsid w:val="00AF406E"/>
    <w:rsid w:val="00AF41F6"/>
    <w:rsid w:val="00AF438E"/>
    <w:rsid w:val="00AF4571"/>
    <w:rsid w:val="00AF45CA"/>
    <w:rsid w:val="00AF5CEE"/>
    <w:rsid w:val="00AF5D5D"/>
    <w:rsid w:val="00AF7506"/>
    <w:rsid w:val="00AF7928"/>
    <w:rsid w:val="00B007DD"/>
    <w:rsid w:val="00B0098A"/>
    <w:rsid w:val="00B00BAB"/>
    <w:rsid w:val="00B00E48"/>
    <w:rsid w:val="00B00FF6"/>
    <w:rsid w:val="00B01016"/>
    <w:rsid w:val="00B0145C"/>
    <w:rsid w:val="00B0146E"/>
    <w:rsid w:val="00B01B8D"/>
    <w:rsid w:val="00B01FFD"/>
    <w:rsid w:val="00B0202A"/>
    <w:rsid w:val="00B02160"/>
    <w:rsid w:val="00B027CB"/>
    <w:rsid w:val="00B0352B"/>
    <w:rsid w:val="00B049D2"/>
    <w:rsid w:val="00B04E4E"/>
    <w:rsid w:val="00B04FE9"/>
    <w:rsid w:val="00B059A9"/>
    <w:rsid w:val="00B063F0"/>
    <w:rsid w:val="00B073E6"/>
    <w:rsid w:val="00B074F8"/>
    <w:rsid w:val="00B075AA"/>
    <w:rsid w:val="00B10744"/>
    <w:rsid w:val="00B1196C"/>
    <w:rsid w:val="00B121B0"/>
    <w:rsid w:val="00B1402A"/>
    <w:rsid w:val="00B141CC"/>
    <w:rsid w:val="00B143B7"/>
    <w:rsid w:val="00B15324"/>
    <w:rsid w:val="00B15621"/>
    <w:rsid w:val="00B159AF"/>
    <w:rsid w:val="00B159D1"/>
    <w:rsid w:val="00B15A9B"/>
    <w:rsid w:val="00B163CE"/>
    <w:rsid w:val="00B1798E"/>
    <w:rsid w:val="00B17FAB"/>
    <w:rsid w:val="00B20A95"/>
    <w:rsid w:val="00B22C5F"/>
    <w:rsid w:val="00B22E36"/>
    <w:rsid w:val="00B23687"/>
    <w:rsid w:val="00B242DC"/>
    <w:rsid w:val="00B24ADF"/>
    <w:rsid w:val="00B25334"/>
    <w:rsid w:val="00B25710"/>
    <w:rsid w:val="00B25949"/>
    <w:rsid w:val="00B26379"/>
    <w:rsid w:val="00B26903"/>
    <w:rsid w:val="00B26CC4"/>
    <w:rsid w:val="00B26D80"/>
    <w:rsid w:val="00B27B03"/>
    <w:rsid w:val="00B30336"/>
    <w:rsid w:val="00B30609"/>
    <w:rsid w:val="00B30668"/>
    <w:rsid w:val="00B30B16"/>
    <w:rsid w:val="00B317C2"/>
    <w:rsid w:val="00B3190A"/>
    <w:rsid w:val="00B31B62"/>
    <w:rsid w:val="00B32103"/>
    <w:rsid w:val="00B322FF"/>
    <w:rsid w:val="00B33711"/>
    <w:rsid w:val="00B33C80"/>
    <w:rsid w:val="00B34889"/>
    <w:rsid w:val="00B348D3"/>
    <w:rsid w:val="00B35224"/>
    <w:rsid w:val="00B35251"/>
    <w:rsid w:val="00B36224"/>
    <w:rsid w:val="00B364D5"/>
    <w:rsid w:val="00B36904"/>
    <w:rsid w:val="00B370A0"/>
    <w:rsid w:val="00B37550"/>
    <w:rsid w:val="00B3774A"/>
    <w:rsid w:val="00B377B5"/>
    <w:rsid w:val="00B402C6"/>
    <w:rsid w:val="00B406F8"/>
    <w:rsid w:val="00B40D32"/>
    <w:rsid w:val="00B415B8"/>
    <w:rsid w:val="00B41DC1"/>
    <w:rsid w:val="00B41DF6"/>
    <w:rsid w:val="00B43500"/>
    <w:rsid w:val="00B43DB8"/>
    <w:rsid w:val="00B442DF"/>
    <w:rsid w:val="00B443A1"/>
    <w:rsid w:val="00B448F1"/>
    <w:rsid w:val="00B4667D"/>
    <w:rsid w:val="00B46EC7"/>
    <w:rsid w:val="00B47EEA"/>
    <w:rsid w:val="00B50565"/>
    <w:rsid w:val="00B50A91"/>
    <w:rsid w:val="00B512D5"/>
    <w:rsid w:val="00B51761"/>
    <w:rsid w:val="00B51A49"/>
    <w:rsid w:val="00B52022"/>
    <w:rsid w:val="00B52187"/>
    <w:rsid w:val="00B52BCC"/>
    <w:rsid w:val="00B54691"/>
    <w:rsid w:val="00B54C59"/>
    <w:rsid w:val="00B54D0D"/>
    <w:rsid w:val="00B54FD1"/>
    <w:rsid w:val="00B562DD"/>
    <w:rsid w:val="00B60208"/>
    <w:rsid w:val="00B60CCD"/>
    <w:rsid w:val="00B60D15"/>
    <w:rsid w:val="00B62854"/>
    <w:rsid w:val="00B62E94"/>
    <w:rsid w:val="00B62EF1"/>
    <w:rsid w:val="00B63DDD"/>
    <w:rsid w:val="00B640CC"/>
    <w:rsid w:val="00B6414F"/>
    <w:rsid w:val="00B645B6"/>
    <w:rsid w:val="00B64919"/>
    <w:rsid w:val="00B64B2F"/>
    <w:rsid w:val="00B65F72"/>
    <w:rsid w:val="00B6654F"/>
    <w:rsid w:val="00B667BF"/>
    <w:rsid w:val="00B673DB"/>
    <w:rsid w:val="00B6782A"/>
    <w:rsid w:val="00B6797D"/>
    <w:rsid w:val="00B704DF"/>
    <w:rsid w:val="00B735B8"/>
    <w:rsid w:val="00B73D69"/>
    <w:rsid w:val="00B73F69"/>
    <w:rsid w:val="00B7401F"/>
    <w:rsid w:val="00B74858"/>
    <w:rsid w:val="00B749EA"/>
    <w:rsid w:val="00B74B25"/>
    <w:rsid w:val="00B752EB"/>
    <w:rsid w:val="00B76B22"/>
    <w:rsid w:val="00B7705C"/>
    <w:rsid w:val="00B77BE4"/>
    <w:rsid w:val="00B80AF3"/>
    <w:rsid w:val="00B80EA3"/>
    <w:rsid w:val="00B81192"/>
    <w:rsid w:val="00B812BE"/>
    <w:rsid w:val="00B8150E"/>
    <w:rsid w:val="00B816B1"/>
    <w:rsid w:val="00B82A5A"/>
    <w:rsid w:val="00B835FC"/>
    <w:rsid w:val="00B84509"/>
    <w:rsid w:val="00B855A4"/>
    <w:rsid w:val="00B86608"/>
    <w:rsid w:val="00B86C82"/>
    <w:rsid w:val="00B86ECE"/>
    <w:rsid w:val="00B87847"/>
    <w:rsid w:val="00B90477"/>
    <w:rsid w:val="00B91492"/>
    <w:rsid w:val="00B92593"/>
    <w:rsid w:val="00B92AA5"/>
    <w:rsid w:val="00B94967"/>
    <w:rsid w:val="00B94D4B"/>
    <w:rsid w:val="00B955FE"/>
    <w:rsid w:val="00B95E40"/>
    <w:rsid w:val="00B96744"/>
    <w:rsid w:val="00B97592"/>
    <w:rsid w:val="00BA053C"/>
    <w:rsid w:val="00BA0B9F"/>
    <w:rsid w:val="00BA0D18"/>
    <w:rsid w:val="00BA1628"/>
    <w:rsid w:val="00BA30F6"/>
    <w:rsid w:val="00BA3B99"/>
    <w:rsid w:val="00BA6419"/>
    <w:rsid w:val="00BA6550"/>
    <w:rsid w:val="00BB0029"/>
    <w:rsid w:val="00BB3203"/>
    <w:rsid w:val="00BB3642"/>
    <w:rsid w:val="00BB5D8F"/>
    <w:rsid w:val="00BB66AB"/>
    <w:rsid w:val="00BB733A"/>
    <w:rsid w:val="00BC069B"/>
    <w:rsid w:val="00BC0AD6"/>
    <w:rsid w:val="00BC110D"/>
    <w:rsid w:val="00BC122E"/>
    <w:rsid w:val="00BC31FA"/>
    <w:rsid w:val="00BC3584"/>
    <w:rsid w:val="00BC3778"/>
    <w:rsid w:val="00BC4837"/>
    <w:rsid w:val="00BC4C4D"/>
    <w:rsid w:val="00BC4CF5"/>
    <w:rsid w:val="00BC4F5F"/>
    <w:rsid w:val="00BC52FF"/>
    <w:rsid w:val="00BC5379"/>
    <w:rsid w:val="00BC5A66"/>
    <w:rsid w:val="00BC6D7F"/>
    <w:rsid w:val="00BC78D4"/>
    <w:rsid w:val="00BC7997"/>
    <w:rsid w:val="00BD0F1B"/>
    <w:rsid w:val="00BD29FF"/>
    <w:rsid w:val="00BD32D1"/>
    <w:rsid w:val="00BD374D"/>
    <w:rsid w:val="00BD5D8B"/>
    <w:rsid w:val="00BD6D22"/>
    <w:rsid w:val="00BD789E"/>
    <w:rsid w:val="00BE02D6"/>
    <w:rsid w:val="00BE0CC1"/>
    <w:rsid w:val="00BE1A1B"/>
    <w:rsid w:val="00BE1CD6"/>
    <w:rsid w:val="00BE28C9"/>
    <w:rsid w:val="00BE4B67"/>
    <w:rsid w:val="00BE4ED6"/>
    <w:rsid w:val="00BE54F3"/>
    <w:rsid w:val="00BE5F67"/>
    <w:rsid w:val="00BE5FC4"/>
    <w:rsid w:val="00BE63DE"/>
    <w:rsid w:val="00BE6F73"/>
    <w:rsid w:val="00BE76AB"/>
    <w:rsid w:val="00BE7920"/>
    <w:rsid w:val="00BF0225"/>
    <w:rsid w:val="00BF039A"/>
    <w:rsid w:val="00BF0A58"/>
    <w:rsid w:val="00BF0CE7"/>
    <w:rsid w:val="00BF0E4D"/>
    <w:rsid w:val="00BF1E46"/>
    <w:rsid w:val="00BF1F91"/>
    <w:rsid w:val="00BF27D4"/>
    <w:rsid w:val="00BF2CD1"/>
    <w:rsid w:val="00BF30A2"/>
    <w:rsid w:val="00BF37A5"/>
    <w:rsid w:val="00BF4B6A"/>
    <w:rsid w:val="00BF5135"/>
    <w:rsid w:val="00BF7762"/>
    <w:rsid w:val="00BF792B"/>
    <w:rsid w:val="00BF79C0"/>
    <w:rsid w:val="00BF7A82"/>
    <w:rsid w:val="00BF7EE8"/>
    <w:rsid w:val="00C009F5"/>
    <w:rsid w:val="00C00B35"/>
    <w:rsid w:val="00C01129"/>
    <w:rsid w:val="00C01E04"/>
    <w:rsid w:val="00C02239"/>
    <w:rsid w:val="00C022E1"/>
    <w:rsid w:val="00C0237A"/>
    <w:rsid w:val="00C02789"/>
    <w:rsid w:val="00C02965"/>
    <w:rsid w:val="00C037AC"/>
    <w:rsid w:val="00C0381E"/>
    <w:rsid w:val="00C0398D"/>
    <w:rsid w:val="00C05B8F"/>
    <w:rsid w:val="00C07C0B"/>
    <w:rsid w:val="00C112D2"/>
    <w:rsid w:val="00C11DDD"/>
    <w:rsid w:val="00C11E4C"/>
    <w:rsid w:val="00C127C4"/>
    <w:rsid w:val="00C13C84"/>
    <w:rsid w:val="00C13DDB"/>
    <w:rsid w:val="00C14146"/>
    <w:rsid w:val="00C147B5"/>
    <w:rsid w:val="00C14954"/>
    <w:rsid w:val="00C14A58"/>
    <w:rsid w:val="00C14A62"/>
    <w:rsid w:val="00C14D6D"/>
    <w:rsid w:val="00C16644"/>
    <w:rsid w:val="00C167C2"/>
    <w:rsid w:val="00C16E47"/>
    <w:rsid w:val="00C17052"/>
    <w:rsid w:val="00C179B0"/>
    <w:rsid w:val="00C17B37"/>
    <w:rsid w:val="00C17F32"/>
    <w:rsid w:val="00C20756"/>
    <w:rsid w:val="00C20C87"/>
    <w:rsid w:val="00C20CA6"/>
    <w:rsid w:val="00C21255"/>
    <w:rsid w:val="00C221BD"/>
    <w:rsid w:val="00C226F9"/>
    <w:rsid w:val="00C23398"/>
    <w:rsid w:val="00C23769"/>
    <w:rsid w:val="00C23B23"/>
    <w:rsid w:val="00C241BD"/>
    <w:rsid w:val="00C2487C"/>
    <w:rsid w:val="00C2508D"/>
    <w:rsid w:val="00C26484"/>
    <w:rsid w:val="00C26C22"/>
    <w:rsid w:val="00C27B03"/>
    <w:rsid w:val="00C303D2"/>
    <w:rsid w:val="00C3089B"/>
    <w:rsid w:val="00C31524"/>
    <w:rsid w:val="00C324EF"/>
    <w:rsid w:val="00C342D4"/>
    <w:rsid w:val="00C346B5"/>
    <w:rsid w:val="00C34B40"/>
    <w:rsid w:val="00C34C02"/>
    <w:rsid w:val="00C34CB1"/>
    <w:rsid w:val="00C34DD5"/>
    <w:rsid w:val="00C34F81"/>
    <w:rsid w:val="00C35836"/>
    <w:rsid w:val="00C3608C"/>
    <w:rsid w:val="00C363DE"/>
    <w:rsid w:val="00C36486"/>
    <w:rsid w:val="00C40D07"/>
    <w:rsid w:val="00C4102F"/>
    <w:rsid w:val="00C416BC"/>
    <w:rsid w:val="00C41CD3"/>
    <w:rsid w:val="00C43438"/>
    <w:rsid w:val="00C43BDD"/>
    <w:rsid w:val="00C44264"/>
    <w:rsid w:val="00C44A1E"/>
    <w:rsid w:val="00C44F09"/>
    <w:rsid w:val="00C46251"/>
    <w:rsid w:val="00C4633D"/>
    <w:rsid w:val="00C46552"/>
    <w:rsid w:val="00C467EB"/>
    <w:rsid w:val="00C47221"/>
    <w:rsid w:val="00C4790F"/>
    <w:rsid w:val="00C47FC0"/>
    <w:rsid w:val="00C47FE5"/>
    <w:rsid w:val="00C50188"/>
    <w:rsid w:val="00C51AE3"/>
    <w:rsid w:val="00C52344"/>
    <w:rsid w:val="00C528CC"/>
    <w:rsid w:val="00C529DB"/>
    <w:rsid w:val="00C53215"/>
    <w:rsid w:val="00C53ABD"/>
    <w:rsid w:val="00C53AD3"/>
    <w:rsid w:val="00C53C94"/>
    <w:rsid w:val="00C551F6"/>
    <w:rsid w:val="00C56051"/>
    <w:rsid w:val="00C575C6"/>
    <w:rsid w:val="00C57741"/>
    <w:rsid w:val="00C57746"/>
    <w:rsid w:val="00C6074F"/>
    <w:rsid w:val="00C61AB2"/>
    <w:rsid w:val="00C61F7F"/>
    <w:rsid w:val="00C62568"/>
    <w:rsid w:val="00C63308"/>
    <w:rsid w:val="00C63B0E"/>
    <w:rsid w:val="00C64143"/>
    <w:rsid w:val="00C6434D"/>
    <w:rsid w:val="00C646F4"/>
    <w:rsid w:val="00C652E5"/>
    <w:rsid w:val="00C657A4"/>
    <w:rsid w:val="00C67197"/>
    <w:rsid w:val="00C67446"/>
    <w:rsid w:val="00C710B8"/>
    <w:rsid w:val="00C71DEE"/>
    <w:rsid w:val="00C72489"/>
    <w:rsid w:val="00C7252A"/>
    <w:rsid w:val="00C72F1A"/>
    <w:rsid w:val="00C7384A"/>
    <w:rsid w:val="00C738AE"/>
    <w:rsid w:val="00C74D88"/>
    <w:rsid w:val="00C75370"/>
    <w:rsid w:val="00C76445"/>
    <w:rsid w:val="00C7697F"/>
    <w:rsid w:val="00C76F02"/>
    <w:rsid w:val="00C770F7"/>
    <w:rsid w:val="00C77424"/>
    <w:rsid w:val="00C7742C"/>
    <w:rsid w:val="00C81120"/>
    <w:rsid w:val="00C8136C"/>
    <w:rsid w:val="00C82B13"/>
    <w:rsid w:val="00C82FFA"/>
    <w:rsid w:val="00C836BF"/>
    <w:rsid w:val="00C85521"/>
    <w:rsid w:val="00C8587C"/>
    <w:rsid w:val="00C863EE"/>
    <w:rsid w:val="00C900D1"/>
    <w:rsid w:val="00C905EE"/>
    <w:rsid w:val="00C9145D"/>
    <w:rsid w:val="00C9173E"/>
    <w:rsid w:val="00C920AD"/>
    <w:rsid w:val="00C92646"/>
    <w:rsid w:val="00C928AD"/>
    <w:rsid w:val="00C9316A"/>
    <w:rsid w:val="00C93B5E"/>
    <w:rsid w:val="00C9456A"/>
    <w:rsid w:val="00C950CF"/>
    <w:rsid w:val="00C95D8D"/>
    <w:rsid w:val="00C96F42"/>
    <w:rsid w:val="00C97C7F"/>
    <w:rsid w:val="00C97E44"/>
    <w:rsid w:val="00CA0EC1"/>
    <w:rsid w:val="00CA1D64"/>
    <w:rsid w:val="00CA2283"/>
    <w:rsid w:val="00CA2AEF"/>
    <w:rsid w:val="00CA325F"/>
    <w:rsid w:val="00CA33B8"/>
    <w:rsid w:val="00CA3A35"/>
    <w:rsid w:val="00CA3D8C"/>
    <w:rsid w:val="00CB01DD"/>
    <w:rsid w:val="00CB1582"/>
    <w:rsid w:val="00CB1F45"/>
    <w:rsid w:val="00CB22B7"/>
    <w:rsid w:val="00CB3A83"/>
    <w:rsid w:val="00CB4BF6"/>
    <w:rsid w:val="00CB5032"/>
    <w:rsid w:val="00CB56B7"/>
    <w:rsid w:val="00CB7BE7"/>
    <w:rsid w:val="00CB7DF6"/>
    <w:rsid w:val="00CC0042"/>
    <w:rsid w:val="00CC0827"/>
    <w:rsid w:val="00CC0CCB"/>
    <w:rsid w:val="00CC1234"/>
    <w:rsid w:val="00CC20F3"/>
    <w:rsid w:val="00CC22D5"/>
    <w:rsid w:val="00CC2334"/>
    <w:rsid w:val="00CC2756"/>
    <w:rsid w:val="00CC303F"/>
    <w:rsid w:val="00CC3C96"/>
    <w:rsid w:val="00CC499C"/>
    <w:rsid w:val="00CC4ECB"/>
    <w:rsid w:val="00CC5A30"/>
    <w:rsid w:val="00CD0496"/>
    <w:rsid w:val="00CD04B7"/>
    <w:rsid w:val="00CD067E"/>
    <w:rsid w:val="00CD077C"/>
    <w:rsid w:val="00CD0E5A"/>
    <w:rsid w:val="00CD15F7"/>
    <w:rsid w:val="00CD1838"/>
    <w:rsid w:val="00CD33E2"/>
    <w:rsid w:val="00CD342A"/>
    <w:rsid w:val="00CD3940"/>
    <w:rsid w:val="00CD3BC3"/>
    <w:rsid w:val="00CD3ECD"/>
    <w:rsid w:val="00CD422A"/>
    <w:rsid w:val="00CD5BFA"/>
    <w:rsid w:val="00CD5C20"/>
    <w:rsid w:val="00CD5C6E"/>
    <w:rsid w:val="00CD5D33"/>
    <w:rsid w:val="00CD6090"/>
    <w:rsid w:val="00CD626F"/>
    <w:rsid w:val="00CD7538"/>
    <w:rsid w:val="00CD77C4"/>
    <w:rsid w:val="00CD7A9F"/>
    <w:rsid w:val="00CE09B3"/>
    <w:rsid w:val="00CE0A9E"/>
    <w:rsid w:val="00CE1295"/>
    <w:rsid w:val="00CE12B1"/>
    <w:rsid w:val="00CE17D1"/>
    <w:rsid w:val="00CE1C17"/>
    <w:rsid w:val="00CE2817"/>
    <w:rsid w:val="00CE2B84"/>
    <w:rsid w:val="00CE2C42"/>
    <w:rsid w:val="00CE3899"/>
    <w:rsid w:val="00CE3CAE"/>
    <w:rsid w:val="00CE56E8"/>
    <w:rsid w:val="00CE5913"/>
    <w:rsid w:val="00CE5C42"/>
    <w:rsid w:val="00CE6617"/>
    <w:rsid w:val="00CE6A0B"/>
    <w:rsid w:val="00CE6CC2"/>
    <w:rsid w:val="00CE6E4C"/>
    <w:rsid w:val="00CE6F27"/>
    <w:rsid w:val="00CE7B2C"/>
    <w:rsid w:val="00CF084F"/>
    <w:rsid w:val="00CF0950"/>
    <w:rsid w:val="00CF0BBD"/>
    <w:rsid w:val="00CF112F"/>
    <w:rsid w:val="00CF3A89"/>
    <w:rsid w:val="00CF3B07"/>
    <w:rsid w:val="00CF427A"/>
    <w:rsid w:val="00CF4C13"/>
    <w:rsid w:val="00CF55C7"/>
    <w:rsid w:val="00CF5D7F"/>
    <w:rsid w:val="00CF6384"/>
    <w:rsid w:val="00CF6667"/>
    <w:rsid w:val="00CF6902"/>
    <w:rsid w:val="00CF6EDC"/>
    <w:rsid w:val="00CF7BB0"/>
    <w:rsid w:val="00D00440"/>
    <w:rsid w:val="00D013F7"/>
    <w:rsid w:val="00D02531"/>
    <w:rsid w:val="00D03022"/>
    <w:rsid w:val="00D03297"/>
    <w:rsid w:val="00D03E90"/>
    <w:rsid w:val="00D04581"/>
    <w:rsid w:val="00D0531E"/>
    <w:rsid w:val="00D05459"/>
    <w:rsid w:val="00D05BD5"/>
    <w:rsid w:val="00D066FC"/>
    <w:rsid w:val="00D06858"/>
    <w:rsid w:val="00D06E88"/>
    <w:rsid w:val="00D06F54"/>
    <w:rsid w:val="00D071B2"/>
    <w:rsid w:val="00D1001A"/>
    <w:rsid w:val="00D1049F"/>
    <w:rsid w:val="00D1118B"/>
    <w:rsid w:val="00D11F90"/>
    <w:rsid w:val="00D12133"/>
    <w:rsid w:val="00D125C0"/>
    <w:rsid w:val="00D12782"/>
    <w:rsid w:val="00D12DCE"/>
    <w:rsid w:val="00D13527"/>
    <w:rsid w:val="00D1367C"/>
    <w:rsid w:val="00D15768"/>
    <w:rsid w:val="00D15E4E"/>
    <w:rsid w:val="00D16A15"/>
    <w:rsid w:val="00D16C6F"/>
    <w:rsid w:val="00D16CF7"/>
    <w:rsid w:val="00D17601"/>
    <w:rsid w:val="00D176D5"/>
    <w:rsid w:val="00D17742"/>
    <w:rsid w:val="00D20D6E"/>
    <w:rsid w:val="00D20FC6"/>
    <w:rsid w:val="00D21300"/>
    <w:rsid w:val="00D2229B"/>
    <w:rsid w:val="00D22E57"/>
    <w:rsid w:val="00D22F7B"/>
    <w:rsid w:val="00D22FE8"/>
    <w:rsid w:val="00D230DC"/>
    <w:rsid w:val="00D238ED"/>
    <w:rsid w:val="00D24352"/>
    <w:rsid w:val="00D26C9A"/>
    <w:rsid w:val="00D278FF"/>
    <w:rsid w:val="00D27F28"/>
    <w:rsid w:val="00D303E8"/>
    <w:rsid w:val="00D316D6"/>
    <w:rsid w:val="00D31BA6"/>
    <w:rsid w:val="00D31E25"/>
    <w:rsid w:val="00D325CB"/>
    <w:rsid w:val="00D32803"/>
    <w:rsid w:val="00D335E1"/>
    <w:rsid w:val="00D34055"/>
    <w:rsid w:val="00D34598"/>
    <w:rsid w:val="00D34883"/>
    <w:rsid w:val="00D3545E"/>
    <w:rsid w:val="00D3587C"/>
    <w:rsid w:val="00D35FEA"/>
    <w:rsid w:val="00D366E4"/>
    <w:rsid w:val="00D4204F"/>
    <w:rsid w:val="00D423AC"/>
    <w:rsid w:val="00D42965"/>
    <w:rsid w:val="00D42D51"/>
    <w:rsid w:val="00D42DFD"/>
    <w:rsid w:val="00D431EC"/>
    <w:rsid w:val="00D43978"/>
    <w:rsid w:val="00D43EE3"/>
    <w:rsid w:val="00D44DC6"/>
    <w:rsid w:val="00D45E4C"/>
    <w:rsid w:val="00D460DC"/>
    <w:rsid w:val="00D46FDB"/>
    <w:rsid w:val="00D476EE"/>
    <w:rsid w:val="00D50147"/>
    <w:rsid w:val="00D5057C"/>
    <w:rsid w:val="00D51280"/>
    <w:rsid w:val="00D514E5"/>
    <w:rsid w:val="00D519AB"/>
    <w:rsid w:val="00D51A63"/>
    <w:rsid w:val="00D51A7B"/>
    <w:rsid w:val="00D52FA4"/>
    <w:rsid w:val="00D531B8"/>
    <w:rsid w:val="00D532E9"/>
    <w:rsid w:val="00D53589"/>
    <w:rsid w:val="00D539D5"/>
    <w:rsid w:val="00D544D5"/>
    <w:rsid w:val="00D55438"/>
    <w:rsid w:val="00D55764"/>
    <w:rsid w:val="00D55908"/>
    <w:rsid w:val="00D55A27"/>
    <w:rsid w:val="00D5718C"/>
    <w:rsid w:val="00D602DE"/>
    <w:rsid w:val="00D6036A"/>
    <w:rsid w:val="00D6096A"/>
    <w:rsid w:val="00D6097E"/>
    <w:rsid w:val="00D60ABE"/>
    <w:rsid w:val="00D60CE5"/>
    <w:rsid w:val="00D61476"/>
    <w:rsid w:val="00D61811"/>
    <w:rsid w:val="00D62F16"/>
    <w:rsid w:val="00D63F9F"/>
    <w:rsid w:val="00D646D3"/>
    <w:rsid w:val="00D6495C"/>
    <w:rsid w:val="00D64B49"/>
    <w:rsid w:val="00D64C63"/>
    <w:rsid w:val="00D64C76"/>
    <w:rsid w:val="00D65D5F"/>
    <w:rsid w:val="00D662B1"/>
    <w:rsid w:val="00D662F2"/>
    <w:rsid w:val="00D665F1"/>
    <w:rsid w:val="00D66D6C"/>
    <w:rsid w:val="00D670B4"/>
    <w:rsid w:val="00D6711E"/>
    <w:rsid w:val="00D672C7"/>
    <w:rsid w:val="00D67419"/>
    <w:rsid w:val="00D67946"/>
    <w:rsid w:val="00D67E61"/>
    <w:rsid w:val="00D70E70"/>
    <w:rsid w:val="00D71E69"/>
    <w:rsid w:val="00D72C2E"/>
    <w:rsid w:val="00D72E24"/>
    <w:rsid w:val="00D73B08"/>
    <w:rsid w:val="00D75C3B"/>
    <w:rsid w:val="00D75CEB"/>
    <w:rsid w:val="00D762CF"/>
    <w:rsid w:val="00D76496"/>
    <w:rsid w:val="00D76FDB"/>
    <w:rsid w:val="00D77559"/>
    <w:rsid w:val="00D80127"/>
    <w:rsid w:val="00D803FF"/>
    <w:rsid w:val="00D805D1"/>
    <w:rsid w:val="00D815B3"/>
    <w:rsid w:val="00D816BC"/>
    <w:rsid w:val="00D82ECF"/>
    <w:rsid w:val="00D82FD7"/>
    <w:rsid w:val="00D8329C"/>
    <w:rsid w:val="00D83433"/>
    <w:rsid w:val="00D83B5D"/>
    <w:rsid w:val="00D84FA6"/>
    <w:rsid w:val="00D85C5F"/>
    <w:rsid w:val="00D85ECC"/>
    <w:rsid w:val="00D864C7"/>
    <w:rsid w:val="00D86CE8"/>
    <w:rsid w:val="00D86EB7"/>
    <w:rsid w:val="00D86F9F"/>
    <w:rsid w:val="00D9102C"/>
    <w:rsid w:val="00D9136A"/>
    <w:rsid w:val="00D914E1"/>
    <w:rsid w:val="00D916CE"/>
    <w:rsid w:val="00D92B5E"/>
    <w:rsid w:val="00D93171"/>
    <w:rsid w:val="00D93388"/>
    <w:rsid w:val="00D937E1"/>
    <w:rsid w:val="00D94BEC"/>
    <w:rsid w:val="00D94E4A"/>
    <w:rsid w:val="00D94ECA"/>
    <w:rsid w:val="00D95457"/>
    <w:rsid w:val="00D95A2F"/>
    <w:rsid w:val="00D96505"/>
    <w:rsid w:val="00D96E9C"/>
    <w:rsid w:val="00D970AD"/>
    <w:rsid w:val="00D9743B"/>
    <w:rsid w:val="00D97778"/>
    <w:rsid w:val="00D97A7B"/>
    <w:rsid w:val="00D97FB0"/>
    <w:rsid w:val="00DA09C1"/>
    <w:rsid w:val="00DA1259"/>
    <w:rsid w:val="00DA148C"/>
    <w:rsid w:val="00DA17F5"/>
    <w:rsid w:val="00DA1AAD"/>
    <w:rsid w:val="00DA1E08"/>
    <w:rsid w:val="00DA3988"/>
    <w:rsid w:val="00DA4249"/>
    <w:rsid w:val="00DA475F"/>
    <w:rsid w:val="00DA4A52"/>
    <w:rsid w:val="00DA4FBC"/>
    <w:rsid w:val="00DA5488"/>
    <w:rsid w:val="00DA69E4"/>
    <w:rsid w:val="00DA7457"/>
    <w:rsid w:val="00DA7FE5"/>
    <w:rsid w:val="00DB0589"/>
    <w:rsid w:val="00DB098A"/>
    <w:rsid w:val="00DB1083"/>
    <w:rsid w:val="00DB1089"/>
    <w:rsid w:val="00DB1A7E"/>
    <w:rsid w:val="00DB2995"/>
    <w:rsid w:val="00DB2DF2"/>
    <w:rsid w:val="00DB2ED0"/>
    <w:rsid w:val="00DB38F0"/>
    <w:rsid w:val="00DB3908"/>
    <w:rsid w:val="00DB3EE8"/>
    <w:rsid w:val="00DB4701"/>
    <w:rsid w:val="00DB59C0"/>
    <w:rsid w:val="00DC0146"/>
    <w:rsid w:val="00DC03EE"/>
    <w:rsid w:val="00DC1BF3"/>
    <w:rsid w:val="00DC298F"/>
    <w:rsid w:val="00DC2B22"/>
    <w:rsid w:val="00DC2F2C"/>
    <w:rsid w:val="00DC36B8"/>
    <w:rsid w:val="00DC403F"/>
    <w:rsid w:val="00DC42C6"/>
    <w:rsid w:val="00DC53F2"/>
    <w:rsid w:val="00DC5DBE"/>
    <w:rsid w:val="00DC6B01"/>
    <w:rsid w:val="00DC6BD7"/>
    <w:rsid w:val="00DC73F2"/>
    <w:rsid w:val="00DC7797"/>
    <w:rsid w:val="00DD078A"/>
    <w:rsid w:val="00DD089B"/>
    <w:rsid w:val="00DD0D8C"/>
    <w:rsid w:val="00DD1737"/>
    <w:rsid w:val="00DD2FCB"/>
    <w:rsid w:val="00DD34E1"/>
    <w:rsid w:val="00DD3609"/>
    <w:rsid w:val="00DD442B"/>
    <w:rsid w:val="00DD46AC"/>
    <w:rsid w:val="00DD4822"/>
    <w:rsid w:val="00DD504B"/>
    <w:rsid w:val="00DD54A9"/>
    <w:rsid w:val="00DD682F"/>
    <w:rsid w:val="00DD69A7"/>
    <w:rsid w:val="00DD7667"/>
    <w:rsid w:val="00DD777C"/>
    <w:rsid w:val="00DD7C25"/>
    <w:rsid w:val="00DE0D2F"/>
    <w:rsid w:val="00DE0D75"/>
    <w:rsid w:val="00DE131C"/>
    <w:rsid w:val="00DE17F8"/>
    <w:rsid w:val="00DE19EB"/>
    <w:rsid w:val="00DE1AA5"/>
    <w:rsid w:val="00DE24FD"/>
    <w:rsid w:val="00DE2A7F"/>
    <w:rsid w:val="00DE2B2F"/>
    <w:rsid w:val="00DE30CF"/>
    <w:rsid w:val="00DE3520"/>
    <w:rsid w:val="00DE5748"/>
    <w:rsid w:val="00DE5B0F"/>
    <w:rsid w:val="00DE60FC"/>
    <w:rsid w:val="00DF0D85"/>
    <w:rsid w:val="00DF0FE3"/>
    <w:rsid w:val="00DF17D7"/>
    <w:rsid w:val="00DF2CB1"/>
    <w:rsid w:val="00DF2DED"/>
    <w:rsid w:val="00DF3B40"/>
    <w:rsid w:val="00DF4C2B"/>
    <w:rsid w:val="00DF51CA"/>
    <w:rsid w:val="00DF5E9D"/>
    <w:rsid w:val="00DF69F9"/>
    <w:rsid w:val="00DF6F93"/>
    <w:rsid w:val="00E008BF"/>
    <w:rsid w:val="00E00C84"/>
    <w:rsid w:val="00E00FA7"/>
    <w:rsid w:val="00E01D43"/>
    <w:rsid w:val="00E02B50"/>
    <w:rsid w:val="00E035B2"/>
    <w:rsid w:val="00E040ED"/>
    <w:rsid w:val="00E042A6"/>
    <w:rsid w:val="00E04B3F"/>
    <w:rsid w:val="00E05B78"/>
    <w:rsid w:val="00E060C1"/>
    <w:rsid w:val="00E06855"/>
    <w:rsid w:val="00E06B1E"/>
    <w:rsid w:val="00E06EC4"/>
    <w:rsid w:val="00E07787"/>
    <w:rsid w:val="00E10156"/>
    <w:rsid w:val="00E10AAF"/>
    <w:rsid w:val="00E11A76"/>
    <w:rsid w:val="00E133E0"/>
    <w:rsid w:val="00E147D5"/>
    <w:rsid w:val="00E14C0E"/>
    <w:rsid w:val="00E1501E"/>
    <w:rsid w:val="00E15064"/>
    <w:rsid w:val="00E1530D"/>
    <w:rsid w:val="00E15FEA"/>
    <w:rsid w:val="00E16642"/>
    <w:rsid w:val="00E1787C"/>
    <w:rsid w:val="00E17A07"/>
    <w:rsid w:val="00E17B8F"/>
    <w:rsid w:val="00E211E4"/>
    <w:rsid w:val="00E2249E"/>
    <w:rsid w:val="00E22586"/>
    <w:rsid w:val="00E2295A"/>
    <w:rsid w:val="00E22A2E"/>
    <w:rsid w:val="00E22AE4"/>
    <w:rsid w:val="00E22B76"/>
    <w:rsid w:val="00E23163"/>
    <w:rsid w:val="00E234F1"/>
    <w:rsid w:val="00E238CA"/>
    <w:rsid w:val="00E24879"/>
    <w:rsid w:val="00E24A82"/>
    <w:rsid w:val="00E24AB0"/>
    <w:rsid w:val="00E25AF8"/>
    <w:rsid w:val="00E26C55"/>
    <w:rsid w:val="00E26CB0"/>
    <w:rsid w:val="00E26F6C"/>
    <w:rsid w:val="00E270E1"/>
    <w:rsid w:val="00E273F0"/>
    <w:rsid w:val="00E32075"/>
    <w:rsid w:val="00E324F0"/>
    <w:rsid w:val="00E3315E"/>
    <w:rsid w:val="00E3448C"/>
    <w:rsid w:val="00E34CA3"/>
    <w:rsid w:val="00E35004"/>
    <w:rsid w:val="00E35233"/>
    <w:rsid w:val="00E35A40"/>
    <w:rsid w:val="00E367C0"/>
    <w:rsid w:val="00E36D0A"/>
    <w:rsid w:val="00E37291"/>
    <w:rsid w:val="00E37DA6"/>
    <w:rsid w:val="00E37FE3"/>
    <w:rsid w:val="00E4014B"/>
    <w:rsid w:val="00E40A3F"/>
    <w:rsid w:val="00E422D7"/>
    <w:rsid w:val="00E4299B"/>
    <w:rsid w:val="00E43AAA"/>
    <w:rsid w:val="00E43CF9"/>
    <w:rsid w:val="00E44557"/>
    <w:rsid w:val="00E44C62"/>
    <w:rsid w:val="00E44EFC"/>
    <w:rsid w:val="00E451D9"/>
    <w:rsid w:val="00E45477"/>
    <w:rsid w:val="00E459DE"/>
    <w:rsid w:val="00E47D2B"/>
    <w:rsid w:val="00E50055"/>
    <w:rsid w:val="00E51FD7"/>
    <w:rsid w:val="00E5419D"/>
    <w:rsid w:val="00E54EF2"/>
    <w:rsid w:val="00E54F0E"/>
    <w:rsid w:val="00E555A7"/>
    <w:rsid w:val="00E556EA"/>
    <w:rsid w:val="00E601B7"/>
    <w:rsid w:val="00E604EA"/>
    <w:rsid w:val="00E60AA2"/>
    <w:rsid w:val="00E60DC5"/>
    <w:rsid w:val="00E618BE"/>
    <w:rsid w:val="00E619DF"/>
    <w:rsid w:val="00E61D06"/>
    <w:rsid w:val="00E61E61"/>
    <w:rsid w:val="00E629D9"/>
    <w:rsid w:val="00E63559"/>
    <w:rsid w:val="00E63615"/>
    <w:rsid w:val="00E651B5"/>
    <w:rsid w:val="00E6704F"/>
    <w:rsid w:val="00E67180"/>
    <w:rsid w:val="00E676E2"/>
    <w:rsid w:val="00E67AC8"/>
    <w:rsid w:val="00E67D11"/>
    <w:rsid w:val="00E713EE"/>
    <w:rsid w:val="00E71450"/>
    <w:rsid w:val="00E71A55"/>
    <w:rsid w:val="00E72078"/>
    <w:rsid w:val="00E721D4"/>
    <w:rsid w:val="00E728A1"/>
    <w:rsid w:val="00E736CE"/>
    <w:rsid w:val="00E73E48"/>
    <w:rsid w:val="00E74FA5"/>
    <w:rsid w:val="00E75040"/>
    <w:rsid w:val="00E756A8"/>
    <w:rsid w:val="00E76032"/>
    <w:rsid w:val="00E761E5"/>
    <w:rsid w:val="00E768F2"/>
    <w:rsid w:val="00E76F3E"/>
    <w:rsid w:val="00E77E9E"/>
    <w:rsid w:val="00E80776"/>
    <w:rsid w:val="00E80971"/>
    <w:rsid w:val="00E80BAE"/>
    <w:rsid w:val="00E81343"/>
    <w:rsid w:val="00E81A11"/>
    <w:rsid w:val="00E81DED"/>
    <w:rsid w:val="00E82316"/>
    <w:rsid w:val="00E825B3"/>
    <w:rsid w:val="00E82C49"/>
    <w:rsid w:val="00E834AF"/>
    <w:rsid w:val="00E836F5"/>
    <w:rsid w:val="00E8399B"/>
    <w:rsid w:val="00E84555"/>
    <w:rsid w:val="00E849DE"/>
    <w:rsid w:val="00E8516B"/>
    <w:rsid w:val="00E8557A"/>
    <w:rsid w:val="00E85803"/>
    <w:rsid w:val="00E85948"/>
    <w:rsid w:val="00E860D7"/>
    <w:rsid w:val="00E86536"/>
    <w:rsid w:val="00E8698B"/>
    <w:rsid w:val="00E910A2"/>
    <w:rsid w:val="00E9167E"/>
    <w:rsid w:val="00E91B74"/>
    <w:rsid w:val="00E921D0"/>
    <w:rsid w:val="00E9223C"/>
    <w:rsid w:val="00E922A4"/>
    <w:rsid w:val="00E925CE"/>
    <w:rsid w:val="00E93F3F"/>
    <w:rsid w:val="00E95CEF"/>
    <w:rsid w:val="00E9740C"/>
    <w:rsid w:val="00E97B98"/>
    <w:rsid w:val="00EA05D9"/>
    <w:rsid w:val="00EA0E1D"/>
    <w:rsid w:val="00EA10B0"/>
    <w:rsid w:val="00EA1104"/>
    <w:rsid w:val="00EA42FE"/>
    <w:rsid w:val="00EA4B61"/>
    <w:rsid w:val="00EA5257"/>
    <w:rsid w:val="00EA59B6"/>
    <w:rsid w:val="00EA7BFA"/>
    <w:rsid w:val="00EB0433"/>
    <w:rsid w:val="00EB0FFD"/>
    <w:rsid w:val="00EB1619"/>
    <w:rsid w:val="00EB1B8B"/>
    <w:rsid w:val="00EB1FAE"/>
    <w:rsid w:val="00EB27A8"/>
    <w:rsid w:val="00EB28A5"/>
    <w:rsid w:val="00EB29DE"/>
    <w:rsid w:val="00EB3106"/>
    <w:rsid w:val="00EB3285"/>
    <w:rsid w:val="00EB3A87"/>
    <w:rsid w:val="00EB3C54"/>
    <w:rsid w:val="00EB41C8"/>
    <w:rsid w:val="00EB42F5"/>
    <w:rsid w:val="00EB4625"/>
    <w:rsid w:val="00EB4951"/>
    <w:rsid w:val="00EB59B1"/>
    <w:rsid w:val="00EB6860"/>
    <w:rsid w:val="00EB750A"/>
    <w:rsid w:val="00EC0185"/>
    <w:rsid w:val="00EC02A5"/>
    <w:rsid w:val="00EC098E"/>
    <w:rsid w:val="00EC0B58"/>
    <w:rsid w:val="00EC0BCB"/>
    <w:rsid w:val="00EC0E71"/>
    <w:rsid w:val="00EC105D"/>
    <w:rsid w:val="00EC388A"/>
    <w:rsid w:val="00EC3FB6"/>
    <w:rsid w:val="00EC443A"/>
    <w:rsid w:val="00EC52FD"/>
    <w:rsid w:val="00EC5941"/>
    <w:rsid w:val="00EC6526"/>
    <w:rsid w:val="00EC6AF1"/>
    <w:rsid w:val="00EC6B95"/>
    <w:rsid w:val="00EC7CA3"/>
    <w:rsid w:val="00ED0A23"/>
    <w:rsid w:val="00ED15FB"/>
    <w:rsid w:val="00ED2532"/>
    <w:rsid w:val="00ED271B"/>
    <w:rsid w:val="00ED613A"/>
    <w:rsid w:val="00ED6C98"/>
    <w:rsid w:val="00ED6CFA"/>
    <w:rsid w:val="00ED6D53"/>
    <w:rsid w:val="00ED6EBD"/>
    <w:rsid w:val="00ED75AD"/>
    <w:rsid w:val="00ED7756"/>
    <w:rsid w:val="00ED7880"/>
    <w:rsid w:val="00ED7F07"/>
    <w:rsid w:val="00EE16B1"/>
    <w:rsid w:val="00EE1855"/>
    <w:rsid w:val="00EE25FB"/>
    <w:rsid w:val="00EE2B68"/>
    <w:rsid w:val="00EE2EE4"/>
    <w:rsid w:val="00EE52E7"/>
    <w:rsid w:val="00EE53DD"/>
    <w:rsid w:val="00EE5F6A"/>
    <w:rsid w:val="00EE6D70"/>
    <w:rsid w:val="00EE7BB1"/>
    <w:rsid w:val="00EF1386"/>
    <w:rsid w:val="00EF2491"/>
    <w:rsid w:val="00EF256B"/>
    <w:rsid w:val="00EF3E6E"/>
    <w:rsid w:val="00EF4BF0"/>
    <w:rsid w:val="00EF4D6A"/>
    <w:rsid w:val="00EF5277"/>
    <w:rsid w:val="00EF53F1"/>
    <w:rsid w:val="00EF5647"/>
    <w:rsid w:val="00EF5CAD"/>
    <w:rsid w:val="00EF611F"/>
    <w:rsid w:val="00EF757C"/>
    <w:rsid w:val="00EF76E1"/>
    <w:rsid w:val="00EF7847"/>
    <w:rsid w:val="00F0021A"/>
    <w:rsid w:val="00F004DF"/>
    <w:rsid w:val="00F0143F"/>
    <w:rsid w:val="00F018AC"/>
    <w:rsid w:val="00F02367"/>
    <w:rsid w:val="00F025F1"/>
    <w:rsid w:val="00F0260B"/>
    <w:rsid w:val="00F02BF5"/>
    <w:rsid w:val="00F05B3F"/>
    <w:rsid w:val="00F06CCC"/>
    <w:rsid w:val="00F07AA5"/>
    <w:rsid w:val="00F1030E"/>
    <w:rsid w:val="00F10925"/>
    <w:rsid w:val="00F113CC"/>
    <w:rsid w:val="00F1167D"/>
    <w:rsid w:val="00F12F6C"/>
    <w:rsid w:val="00F13054"/>
    <w:rsid w:val="00F13DAE"/>
    <w:rsid w:val="00F14ECC"/>
    <w:rsid w:val="00F14FC8"/>
    <w:rsid w:val="00F157D8"/>
    <w:rsid w:val="00F169A8"/>
    <w:rsid w:val="00F17A11"/>
    <w:rsid w:val="00F17AA7"/>
    <w:rsid w:val="00F2000B"/>
    <w:rsid w:val="00F201AD"/>
    <w:rsid w:val="00F20E3B"/>
    <w:rsid w:val="00F21481"/>
    <w:rsid w:val="00F21B21"/>
    <w:rsid w:val="00F222BB"/>
    <w:rsid w:val="00F23088"/>
    <w:rsid w:val="00F23678"/>
    <w:rsid w:val="00F2439F"/>
    <w:rsid w:val="00F2491A"/>
    <w:rsid w:val="00F24EF6"/>
    <w:rsid w:val="00F254E4"/>
    <w:rsid w:val="00F265D1"/>
    <w:rsid w:val="00F26B76"/>
    <w:rsid w:val="00F26E1D"/>
    <w:rsid w:val="00F2732F"/>
    <w:rsid w:val="00F27787"/>
    <w:rsid w:val="00F30442"/>
    <w:rsid w:val="00F3111D"/>
    <w:rsid w:val="00F3271F"/>
    <w:rsid w:val="00F32B6B"/>
    <w:rsid w:val="00F33183"/>
    <w:rsid w:val="00F332AE"/>
    <w:rsid w:val="00F333E3"/>
    <w:rsid w:val="00F33A8A"/>
    <w:rsid w:val="00F33CD7"/>
    <w:rsid w:val="00F342C2"/>
    <w:rsid w:val="00F355B6"/>
    <w:rsid w:val="00F35D19"/>
    <w:rsid w:val="00F373A1"/>
    <w:rsid w:val="00F41269"/>
    <w:rsid w:val="00F412D7"/>
    <w:rsid w:val="00F41319"/>
    <w:rsid w:val="00F41CB9"/>
    <w:rsid w:val="00F42A70"/>
    <w:rsid w:val="00F44249"/>
    <w:rsid w:val="00F44B13"/>
    <w:rsid w:val="00F44D3B"/>
    <w:rsid w:val="00F45BE7"/>
    <w:rsid w:val="00F463D7"/>
    <w:rsid w:val="00F468EE"/>
    <w:rsid w:val="00F50163"/>
    <w:rsid w:val="00F510E2"/>
    <w:rsid w:val="00F515F1"/>
    <w:rsid w:val="00F5273A"/>
    <w:rsid w:val="00F52D6B"/>
    <w:rsid w:val="00F52E18"/>
    <w:rsid w:val="00F536C1"/>
    <w:rsid w:val="00F546FB"/>
    <w:rsid w:val="00F54720"/>
    <w:rsid w:val="00F54C5C"/>
    <w:rsid w:val="00F55335"/>
    <w:rsid w:val="00F56406"/>
    <w:rsid w:val="00F56755"/>
    <w:rsid w:val="00F568BC"/>
    <w:rsid w:val="00F56ED9"/>
    <w:rsid w:val="00F57D1C"/>
    <w:rsid w:val="00F57F6A"/>
    <w:rsid w:val="00F6086A"/>
    <w:rsid w:val="00F61D5D"/>
    <w:rsid w:val="00F62444"/>
    <w:rsid w:val="00F62609"/>
    <w:rsid w:val="00F62824"/>
    <w:rsid w:val="00F62C72"/>
    <w:rsid w:val="00F62D7C"/>
    <w:rsid w:val="00F62D8B"/>
    <w:rsid w:val="00F634C8"/>
    <w:rsid w:val="00F6402D"/>
    <w:rsid w:val="00F64A11"/>
    <w:rsid w:val="00F66F06"/>
    <w:rsid w:val="00F67008"/>
    <w:rsid w:val="00F67155"/>
    <w:rsid w:val="00F7058F"/>
    <w:rsid w:val="00F70D21"/>
    <w:rsid w:val="00F70FEF"/>
    <w:rsid w:val="00F71B78"/>
    <w:rsid w:val="00F732CB"/>
    <w:rsid w:val="00F73C6B"/>
    <w:rsid w:val="00F74F3A"/>
    <w:rsid w:val="00F757DB"/>
    <w:rsid w:val="00F75C02"/>
    <w:rsid w:val="00F76A26"/>
    <w:rsid w:val="00F77ECB"/>
    <w:rsid w:val="00F80D5D"/>
    <w:rsid w:val="00F81492"/>
    <w:rsid w:val="00F81BF7"/>
    <w:rsid w:val="00F81E47"/>
    <w:rsid w:val="00F81FB3"/>
    <w:rsid w:val="00F824EF"/>
    <w:rsid w:val="00F8260E"/>
    <w:rsid w:val="00F826DE"/>
    <w:rsid w:val="00F838FE"/>
    <w:rsid w:val="00F84CDC"/>
    <w:rsid w:val="00F85534"/>
    <w:rsid w:val="00F85C7F"/>
    <w:rsid w:val="00F86474"/>
    <w:rsid w:val="00F868B4"/>
    <w:rsid w:val="00F8730A"/>
    <w:rsid w:val="00F87E62"/>
    <w:rsid w:val="00F9016F"/>
    <w:rsid w:val="00F90601"/>
    <w:rsid w:val="00F91F84"/>
    <w:rsid w:val="00F9206E"/>
    <w:rsid w:val="00F921D2"/>
    <w:rsid w:val="00F92FC0"/>
    <w:rsid w:val="00F93C34"/>
    <w:rsid w:val="00F93FE2"/>
    <w:rsid w:val="00F948A0"/>
    <w:rsid w:val="00F97C94"/>
    <w:rsid w:val="00FA055B"/>
    <w:rsid w:val="00FA08DD"/>
    <w:rsid w:val="00FA1BA4"/>
    <w:rsid w:val="00FA22DC"/>
    <w:rsid w:val="00FA2AD7"/>
    <w:rsid w:val="00FA4098"/>
    <w:rsid w:val="00FA4CE2"/>
    <w:rsid w:val="00FA5260"/>
    <w:rsid w:val="00FA56A9"/>
    <w:rsid w:val="00FA6E20"/>
    <w:rsid w:val="00FA719A"/>
    <w:rsid w:val="00FA78FD"/>
    <w:rsid w:val="00FA7F86"/>
    <w:rsid w:val="00FB0AED"/>
    <w:rsid w:val="00FB11BE"/>
    <w:rsid w:val="00FB1357"/>
    <w:rsid w:val="00FB191E"/>
    <w:rsid w:val="00FB19BD"/>
    <w:rsid w:val="00FB19C9"/>
    <w:rsid w:val="00FB1B56"/>
    <w:rsid w:val="00FB1C15"/>
    <w:rsid w:val="00FB2296"/>
    <w:rsid w:val="00FB3387"/>
    <w:rsid w:val="00FB35EF"/>
    <w:rsid w:val="00FB3862"/>
    <w:rsid w:val="00FB4C6F"/>
    <w:rsid w:val="00FB4CA0"/>
    <w:rsid w:val="00FB542A"/>
    <w:rsid w:val="00FB7F57"/>
    <w:rsid w:val="00FC007C"/>
    <w:rsid w:val="00FC01BC"/>
    <w:rsid w:val="00FC089E"/>
    <w:rsid w:val="00FC0FCD"/>
    <w:rsid w:val="00FC3D3F"/>
    <w:rsid w:val="00FC486A"/>
    <w:rsid w:val="00FC4F9A"/>
    <w:rsid w:val="00FC55EE"/>
    <w:rsid w:val="00FC5E76"/>
    <w:rsid w:val="00FC667D"/>
    <w:rsid w:val="00FC69CF"/>
    <w:rsid w:val="00FC7214"/>
    <w:rsid w:val="00FD0390"/>
    <w:rsid w:val="00FD0B70"/>
    <w:rsid w:val="00FD11B8"/>
    <w:rsid w:val="00FD1440"/>
    <w:rsid w:val="00FD1489"/>
    <w:rsid w:val="00FD17D7"/>
    <w:rsid w:val="00FD219E"/>
    <w:rsid w:val="00FD22E7"/>
    <w:rsid w:val="00FD2DA9"/>
    <w:rsid w:val="00FD3FF5"/>
    <w:rsid w:val="00FD59F1"/>
    <w:rsid w:val="00FD5C26"/>
    <w:rsid w:val="00FD5D02"/>
    <w:rsid w:val="00FD6FE2"/>
    <w:rsid w:val="00FD7308"/>
    <w:rsid w:val="00FD74CB"/>
    <w:rsid w:val="00FD7543"/>
    <w:rsid w:val="00FD78B6"/>
    <w:rsid w:val="00FD7BF5"/>
    <w:rsid w:val="00FE0FD8"/>
    <w:rsid w:val="00FE1797"/>
    <w:rsid w:val="00FE185C"/>
    <w:rsid w:val="00FE1FC4"/>
    <w:rsid w:val="00FE32AE"/>
    <w:rsid w:val="00FE344C"/>
    <w:rsid w:val="00FE37FB"/>
    <w:rsid w:val="00FE3C5F"/>
    <w:rsid w:val="00FE3EED"/>
    <w:rsid w:val="00FE401B"/>
    <w:rsid w:val="00FE4705"/>
    <w:rsid w:val="00FE4CE8"/>
    <w:rsid w:val="00FE5401"/>
    <w:rsid w:val="00FE557C"/>
    <w:rsid w:val="00FE5EB1"/>
    <w:rsid w:val="00FE6332"/>
    <w:rsid w:val="00FE66CF"/>
    <w:rsid w:val="00FF1022"/>
    <w:rsid w:val="00FF111E"/>
    <w:rsid w:val="00FF1481"/>
    <w:rsid w:val="00FF2129"/>
    <w:rsid w:val="00FF2165"/>
    <w:rsid w:val="00FF283D"/>
    <w:rsid w:val="00FF3F6C"/>
    <w:rsid w:val="00FF441C"/>
    <w:rsid w:val="00FF4C3A"/>
    <w:rsid w:val="00FF56DF"/>
    <w:rsid w:val="00FF60D1"/>
    <w:rsid w:val="00FF62F4"/>
    <w:rsid w:val="00FF6519"/>
    <w:rsid w:val="00FF6C9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049FE8"/>
  <w15:docId w15:val="{3D72496B-AFB1-4839-946E-0BA2B637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64BE"/>
    <w:pPr>
      <w:tabs>
        <w:tab w:val="left" w:pos="567"/>
      </w:tabs>
    </w:pPr>
    <w:rPr>
      <w:rFonts w:eastAsia="Times New Roman"/>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4671"/>
    <w:pPr>
      <w:tabs>
        <w:tab w:val="center" w:pos="4536"/>
        <w:tab w:val="right" w:pos="8306"/>
      </w:tabs>
    </w:pPr>
    <w:rPr>
      <w:rFonts w:ascii="Arial" w:hAnsi="Arial"/>
      <w:noProof/>
      <w:sz w:val="16"/>
    </w:rPr>
  </w:style>
  <w:style w:type="paragraph" w:styleId="Header">
    <w:name w:val="header"/>
    <w:basedOn w:val="Normal"/>
    <w:rsid w:val="002F4671"/>
    <w:pPr>
      <w:tabs>
        <w:tab w:val="center" w:pos="4153"/>
        <w:tab w:val="right" w:pos="8306"/>
      </w:tabs>
    </w:pPr>
    <w:rPr>
      <w:rFonts w:ascii="Arial" w:hAnsi="Arial"/>
      <w:sz w:val="20"/>
    </w:rPr>
  </w:style>
  <w:style w:type="paragraph" w:customStyle="1" w:styleId="MemoHeaderStyle">
    <w:name w:val="MemoHeaderStyle"/>
    <w:basedOn w:val="Normal"/>
    <w:next w:val="Normal"/>
    <w:rsid w:val="002F4671"/>
    <w:pPr>
      <w:spacing w:line="120" w:lineRule="atLeast"/>
      <w:ind w:left="1418"/>
      <w:jc w:val="both"/>
    </w:pPr>
    <w:rPr>
      <w:rFonts w:ascii="Arial" w:hAnsi="Arial"/>
      <w:b/>
      <w:smallCaps/>
    </w:rPr>
  </w:style>
  <w:style w:type="character" w:styleId="PageNumber">
    <w:name w:val="page number"/>
    <w:basedOn w:val="DefaultParagraphFont"/>
    <w:rsid w:val="00812D16"/>
  </w:style>
  <w:style w:type="paragraph" w:styleId="BodyText">
    <w:name w:val="Body Text"/>
    <w:basedOn w:val="Normal"/>
    <w:rsid w:val="00812D16"/>
    <w:pPr>
      <w:tabs>
        <w:tab w:val="clear" w:pos="567"/>
      </w:tabs>
    </w:pPr>
    <w:rPr>
      <w:i/>
      <w:color w:val="008000"/>
    </w:rPr>
  </w:style>
  <w:style w:type="paragraph" w:styleId="CommentText">
    <w:name w:val="annotation text"/>
    <w:basedOn w:val="Normal"/>
    <w:link w:val="CommentTextChar"/>
    <w:uiPriority w:val="99"/>
    <w:rsid w:val="00812D16"/>
    <w:rPr>
      <w:sz w:val="20"/>
    </w:rPr>
  </w:style>
  <w:style w:type="character" w:styleId="Hyperlink">
    <w:name w:val="Hyperlink"/>
    <w:rsid w:val="00812D16"/>
    <w:rPr>
      <w:color w:val="0000FF"/>
      <w:u w:val="single"/>
    </w:rPr>
  </w:style>
  <w:style w:type="paragraph" w:customStyle="1" w:styleId="EMEAEnBodyText">
    <w:name w:val="EMEA En Body Text"/>
    <w:basedOn w:val="Normal"/>
    <w:rsid w:val="00812D16"/>
    <w:pPr>
      <w:tabs>
        <w:tab w:val="clear" w:pos="567"/>
      </w:tabs>
      <w:spacing w:before="120" w:after="120"/>
      <w:jc w:val="both"/>
    </w:pPr>
    <w:rPr>
      <w:lang w:val="en-US"/>
    </w:rPr>
  </w:style>
  <w:style w:type="paragraph" w:styleId="BalloonText">
    <w:name w:val="Balloon Text"/>
    <w:basedOn w:val="Normal"/>
    <w:semiHidden/>
    <w:rsid w:val="00A20C7F"/>
    <w:rPr>
      <w:rFonts w:ascii="Tahoma" w:hAnsi="Tahoma" w:cs="Tahoma"/>
      <w:sz w:val="16"/>
      <w:szCs w:val="16"/>
    </w:rPr>
  </w:style>
  <w:style w:type="paragraph" w:customStyle="1" w:styleId="BodytextAgency">
    <w:name w:val="Body text (Agency)"/>
    <w:basedOn w:val="Normal"/>
    <w:link w:val="BodytextAgencyChar"/>
    <w:qFormat/>
    <w:rsid w:val="00345F9C"/>
    <w:pPr>
      <w:tabs>
        <w:tab w:val="clear" w:pos="567"/>
      </w:tabs>
      <w:spacing w:after="140" w:line="280" w:lineRule="atLeast"/>
    </w:pPr>
    <w:rPr>
      <w:rFonts w:ascii="Verdana" w:eastAsia="Verdana" w:hAnsi="Verdana" w:cs="Verdana"/>
      <w:sz w:val="18"/>
      <w:szCs w:val="18"/>
      <w:lang w:eastAsia="en-GB"/>
    </w:rPr>
  </w:style>
  <w:style w:type="character" w:customStyle="1" w:styleId="BodytextAgencyChar">
    <w:name w:val="Body text (Agency) Char"/>
    <w:link w:val="BodytextAgency"/>
    <w:rsid w:val="00345F9C"/>
    <w:rPr>
      <w:rFonts w:ascii="Verdana" w:eastAsia="Verdana" w:hAnsi="Verdana" w:cs="Verdana"/>
      <w:sz w:val="18"/>
      <w:szCs w:val="18"/>
      <w:lang w:val="en-GB" w:eastAsia="en-GB" w:bidi="ar-SA"/>
    </w:rPr>
  </w:style>
  <w:style w:type="paragraph" w:customStyle="1" w:styleId="DraftingNotesAgency">
    <w:name w:val="Drafting Notes (Agency)"/>
    <w:basedOn w:val="Normal"/>
    <w:next w:val="BodytextAgency"/>
    <w:link w:val="DraftingNotesAgencyChar"/>
    <w:rsid w:val="00345F9C"/>
    <w:pPr>
      <w:tabs>
        <w:tab w:val="clear" w:pos="567"/>
      </w:tabs>
      <w:spacing w:after="140" w:line="280" w:lineRule="atLeast"/>
    </w:pPr>
    <w:rPr>
      <w:rFonts w:ascii="Courier New" w:eastAsia="Verdana" w:hAnsi="Courier New"/>
      <w:i/>
      <w:color w:val="339966"/>
      <w:szCs w:val="18"/>
      <w:lang w:eastAsia="en-GB"/>
    </w:rPr>
  </w:style>
  <w:style w:type="character" w:customStyle="1" w:styleId="DraftingNotesAgencyChar">
    <w:name w:val="Drafting Notes (Agency) Char"/>
    <w:link w:val="DraftingNotesAgency"/>
    <w:rsid w:val="00345F9C"/>
    <w:rPr>
      <w:rFonts w:ascii="Courier New" w:eastAsia="Verdana" w:hAnsi="Courier New"/>
      <w:i/>
      <w:color w:val="339966"/>
      <w:sz w:val="22"/>
      <w:szCs w:val="18"/>
      <w:lang w:val="en-GB" w:eastAsia="en-GB" w:bidi="ar-SA"/>
    </w:rPr>
  </w:style>
  <w:style w:type="paragraph" w:customStyle="1" w:styleId="NormalAgency">
    <w:name w:val="Normal (Agency)"/>
    <w:link w:val="NormalAgencyChar"/>
    <w:rsid w:val="00C179B0"/>
    <w:rPr>
      <w:rFonts w:ascii="Verdana" w:eastAsia="Verdana" w:hAnsi="Verdana" w:cs="Verdana"/>
      <w:sz w:val="18"/>
      <w:szCs w:val="18"/>
      <w:lang w:val="en-GB" w:eastAsia="en-GB"/>
    </w:rPr>
  </w:style>
  <w:style w:type="table" w:customStyle="1" w:styleId="TablegridAgencyblack">
    <w:name w:val="Table grid (Agency) black"/>
    <w:basedOn w:val="TableNormal"/>
    <w:semiHidden/>
    <w:rsid w:val="00C179B0"/>
    <w:rPr>
      <w:rFonts w:ascii="Verdana"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Wingdings" w:hAnsi="Wingdings"/>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rsid w:val="00C179B0"/>
    <w:pPr>
      <w:keepNext/>
    </w:pPr>
    <w:rPr>
      <w:rFonts w:eastAsia="Times New Roman"/>
      <w:b/>
    </w:rPr>
  </w:style>
  <w:style w:type="paragraph" w:customStyle="1" w:styleId="TabletextrowsAgency">
    <w:name w:val="Table text rows (Agency)"/>
    <w:basedOn w:val="Normal"/>
    <w:rsid w:val="00C179B0"/>
    <w:pPr>
      <w:tabs>
        <w:tab w:val="clear" w:pos="567"/>
      </w:tabs>
      <w:spacing w:line="280" w:lineRule="exact"/>
    </w:pPr>
    <w:rPr>
      <w:rFonts w:ascii="Verdana" w:hAnsi="Verdana" w:cs="Verdana"/>
      <w:sz w:val="18"/>
      <w:szCs w:val="18"/>
      <w:lang w:eastAsia="zh-CN"/>
    </w:rPr>
  </w:style>
  <w:style w:type="character" w:customStyle="1" w:styleId="NormalAgencyChar">
    <w:name w:val="Normal (Agency) Char"/>
    <w:link w:val="NormalAgency"/>
    <w:rsid w:val="00C179B0"/>
    <w:rPr>
      <w:rFonts w:ascii="Verdana" w:eastAsia="Verdana" w:hAnsi="Verdana" w:cs="Verdana"/>
      <w:sz w:val="18"/>
      <w:szCs w:val="18"/>
      <w:lang w:val="en-GB" w:eastAsia="en-GB" w:bidi="ar-SA"/>
    </w:rPr>
  </w:style>
  <w:style w:type="character" w:styleId="CommentReference">
    <w:name w:val="annotation reference"/>
    <w:uiPriority w:val="99"/>
    <w:unhideWhenUsed/>
    <w:rsid w:val="00CD422A"/>
    <w:rPr>
      <w:sz w:val="16"/>
      <w:szCs w:val="16"/>
    </w:rPr>
  </w:style>
  <w:style w:type="character" w:customStyle="1" w:styleId="apple-style-span">
    <w:name w:val="apple-style-span"/>
    <w:basedOn w:val="DefaultParagraphFont"/>
    <w:rsid w:val="00CD422A"/>
  </w:style>
  <w:style w:type="table" w:styleId="TableGrid">
    <w:name w:val="Table Grid"/>
    <w:basedOn w:val="TableNormal"/>
    <w:rsid w:val="00732175"/>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aliases w:val=" Char,Char,Caption-FUSA"/>
    <w:basedOn w:val="Normal"/>
    <w:next w:val="Normal"/>
    <w:link w:val="CaptionChar"/>
    <w:qFormat/>
    <w:rsid w:val="005066FB"/>
    <w:rPr>
      <w:b/>
      <w:bCs/>
      <w:sz w:val="20"/>
    </w:rPr>
  </w:style>
  <w:style w:type="paragraph" w:styleId="CommentSubject">
    <w:name w:val="annotation subject"/>
    <w:basedOn w:val="CommentText"/>
    <w:next w:val="CommentText"/>
    <w:link w:val="CommentSubjectChar"/>
    <w:rsid w:val="00AC3DB6"/>
    <w:rPr>
      <w:b/>
      <w:bCs/>
    </w:rPr>
  </w:style>
  <w:style w:type="character" w:customStyle="1" w:styleId="CommentTextChar">
    <w:name w:val="Comment Text Char"/>
    <w:link w:val="CommentText"/>
    <w:uiPriority w:val="99"/>
    <w:rsid w:val="00AC3DB6"/>
    <w:rPr>
      <w:rFonts w:eastAsia="Times New Roman"/>
      <w:lang w:val="en-GB" w:eastAsia="en-US"/>
    </w:rPr>
  </w:style>
  <w:style w:type="character" w:customStyle="1" w:styleId="CommentSubjectChar">
    <w:name w:val="Comment Subject Char"/>
    <w:basedOn w:val="CommentTextChar"/>
    <w:link w:val="CommentSubject"/>
    <w:rsid w:val="00AC3DB6"/>
    <w:rPr>
      <w:rFonts w:eastAsia="Times New Roman"/>
      <w:lang w:val="en-GB" w:eastAsia="en-US"/>
    </w:rPr>
  </w:style>
  <w:style w:type="paragraph" w:customStyle="1" w:styleId="00Paragraph">
    <w:name w:val="00Paragraph"/>
    <w:link w:val="00Paragraph0"/>
    <w:qFormat/>
    <w:rsid w:val="00CE1C17"/>
    <w:pPr>
      <w:spacing w:before="120" w:after="120" w:line="300" w:lineRule="atLeast"/>
    </w:pPr>
    <w:rPr>
      <w:rFonts w:eastAsia="MS Mincho"/>
      <w:sz w:val="24"/>
      <w:szCs w:val="24"/>
      <w:lang w:val="en-US" w:eastAsia="en-US"/>
    </w:rPr>
  </w:style>
  <w:style w:type="character" w:customStyle="1" w:styleId="00Paragraph0">
    <w:name w:val="00Paragraph (文字)"/>
    <w:link w:val="00Paragraph"/>
    <w:rsid w:val="00CE1C17"/>
    <w:rPr>
      <w:rFonts w:eastAsia="MS Mincho"/>
      <w:sz w:val="24"/>
      <w:szCs w:val="24"/>
      <w:lang w:val="en-US" w:eastAsia="en-US" w:bidi="ar-SA"/>
    </w:rPr>
  </w:style>
  <w:style w:type="paragraph" w:customStyle="1" w:styleId="Listefonce-Accent31">
    <w:name w:val="Liste foncée - Accent 31"/>
    <w:hidden/>
    <w:uiPriority w:val="99"/>
    <w:semiHidden/>
    <w:rsid w:val="008768B5"/>
    <w:rPr>
      <w:rFonts w:eastAsia="Times New Roman"/>
      <w:sz w:val="22"/>
      <w:lang w:val="en-GB" w:eastAsia="en-US"/>
    </w:rPr>
  </w:style>
  <w:style w:type="paragraph" w:customStyle="1" w:styleId="C-TableText">
    <w:name w:val="C-Table Text"/>
    <w:link w:val="C-TableTextChar"/>
    <w:rsid w:val="00F71B78"/>
    <w:pPr>
      <w:spacing w:before="60" w:after="60"/>
    </w:pPr>
    <w:rPr>
      <w:rFonts w:eastAsia="Times New Roman"/>
      <w:sz w:val="22"/>
      <w:lang w:val="en-US" w:eastAsia="en-US"/>
    </w:rPr>
  </w:style>
  <w:style w:type="character" w:customStyle="1" w:styleId="C-TableTextChar">
    <w:name w:val="C-Table Text Char"/>
    <w:link w:val="C-TableText"/>
    <w:rsid w:val="00F71B78"/>
    <w:rPr>
      <w:rFonts w:eastAsia="Times New Roman"/>
      <w:sz w:val="22"/>
      <w:lang w:val="en-US" w:eastAsia="en-US" w:bidi="ar-SA"/>
    </w:rPr>
  </w:style>
  <w:style w:type="character" w:customStyle="1" w:styleId="CaptionChar">
    <w:name w:val="Caption Char"/>
    <w:aliases w:val=" Char Char,Char Char,Caption-FUSA Char"/>
    <w:link w:val="Caption"/>
    <w:rsid w:val="00F71B78"/>
    <w:rPr>
      <w:rFonts w:eastAsia="Times New Roman"/>
      <w:b/>
      <w:bCs/>
      <w:lang w:val="en-GB" w:eastAsia="en-US"/>
    </w:rPr>
  </w:style>
  <w:style w:type="paragraph" w:customStyle="1" w:styleId="C-BodyText">
    <w:name w:val="C-Body Text"/>
    <w:link w:val="C-BodyTextChar"/>
    <w:rsid w:val="00910E6B"/>
    <w:pPr>
      <w:spacing w:before="120" w:after="120" w:line="280" w:lineRule="atLeast"/>
    </w:pPr>
    <w:rPr>
      <w:rFonts w:eastAsia="Times New Roman"/>
      <w:sz w:val="24"/>
      <w:lang w:val="en-US" w:eastAsia="en-US"/>
    </w:rPr>
  </w:style>
  <w:style w:type="character" w:customStyle="1" w:styleId="C-BodyTextChar">
    <w:name w:val="C-Body Text Char"/>
    <w:link w:val="C-BodyText"/>
    <w:rsid w:val="00910E6B"/>
    <w:rPr>
      <w:rFonts w:eastAsia="Times New Roman"/>
      <w:sz w:val="24"/>
      <w:lang w:val="en-US" w:eastAsia="en-US" w:bidi="ar-SA"/>
    </w:rPr>
  </w:style>
  <w:style w:type="paragraph" w:customStyle="1" w:styleId="Tramemoyenne1-Accent21">
    <w:name w:val="Trame moyenne 1 - Accent 21"/>
    <w:uiPriority w:val="1"/>
    <w:qFormat/>
    <w:rsid w:val="00857C7D"/>
    <w:rPr>
      <w:rFonts w:ascii="Calibri" w:eastAsia="MS Mincho" w:hAnsi="Calibri"/>
      <w:sz w:val="22"/>
      <w:szCs w:val="22"/>
      <w:lang w:val="en-US" w:eastAsia="zh-CN"/>
    </w:rPr>
  </w:style>
  <w:style w:type="paragraph" w:customStyle="1" w:styleId="Tramecouleur-Accent31">
    <w:name w:val="Trame couleur - Accent 31"/>
    <w:basedOn w:val="Normal"/>
    <w:uiPriority w:val="34"/>
    <w:qFormat/>
    <w:rsid w:val="009B3FE8"/>
    <w:pPr>
      <w:tabs>
        <w:tab w:val="clear" w:pos="567"/>
      </w:tabs>
      <w:spacing w:after="200" w:line="276" w:lineRule="auto"/>
      <w:ind w:left="720"/>
    </w:pPr>
    <w:rPr>
      <w:rFonts w:ascii="Calibri" w:eastAsia="MS Mincho" w:hAnsi="Calibri" w:cs="Calibri"/>
      <w:szCs w:val="22"/>
      <w:lang w:val="en-US" w:eastAsia="ja-JP"/>
    </w:rPr>
  </w:style>
  <w:style w:type="character" w:styleId="Emphasis">
    <w:name w:val="Emphasis"/>
    <w:qFormat/>
    <w:rsid w:val="00B94D4B"/>
    <w:rPr>
      <w:i/>
      <w:iCs/>
    </w:rPr>
  </w:style>
  <w:style w:type="paragraph" w:customStyle="1" w:styleId="Default">
    <w:name w:val="Default"/>
    <w:rsid w:val="00F025F1"/>
    <w:pPr>
      <w:autoSpaceDE w:val="0"/>
      <w:autoSpaceDN w:val="0"/>
      <w:adjustRightInd w:val="0"/>
    </w:pPr>
    <w:rPr>
      <w:color w:val="000000"/>
      <w:sz w:val="24"/>
      <w:szCs w:val="24"/>
      <w:lang w:val="en-US" w:eastAsia="en-US"/>
    </w:rPr>
  </w:style>
  <w:style w:type="paragraph" w:styleId="EndnoteText">
    <w:name w:val="endnote text"/>
    <w:basedOn w:val="Normal"/>
    <w:link w:val="EndnoteTextChar"/>
    <w:rsid w:val="00A25DD4"/>
  </w:style>
  <w:style w:type="character" w:customStyle="1" w:styleId="EndnoteTextChar">
    <w:name w:val="Endnote Text Char"/>
    <w:link w:val="EndnoteText"/>
    <w:rsid w:val="00A25DD4"/>
    <w:rPr>
      <w:rFonts w:eastAsia="Times New Roman"/>
      <w:sz w:val="22"/>
      <w:lang w:val="en-GB"/>
    </w:rPr>
  </w:style>
  <w:style w:type="paragraph" w:customStyle="1" w:styleId="NoSpacing1">
    <w:name w:val="No Spacing1"/>
    <w:aliases w:val="Bullet level 1,No Spacing2"/>
    <w:basedOn w:val="Default"/>
    <w:qFormat/>
    <w:rsid w:val="00322CDE"/>
    <w:pPr>
      <w:widowControl w:val="0"/>
      <w:numPr>
        <w:numId w:val="5"/>
      </w:numPr>
    </w:pPr>
    <w:rPr>
      <w:rFonts w:ascii="Times" w:eastAsia="Times New Roman" w:hAnsi="Times"/>
      <w:bCs/>
      <w:color w:val="auto"/>
      <w:sz w:val="22"/>
      <w:szCs w:val="22"/>
    </w:rPr>
  </w:style>
  <w:style w:type="paragraph" w:styleId="NormalWeb">
    <w:name w:val="Normal (Web)"/>
    <w:basedOn w:val="Normal"/>
    <w:uiPriority w:val="99"/>
    <w:unhideWhenUsed/>
    <w:rsid w:val="00BC52FF"/>
    <w:pPr>
      <w:tabs>
        <w:tab w:val="clear" w:pos="567"/>
      </w:tabs>
      <w:spacing w:before="100" w:beforeAutospacing="1" w:after="100" w:afterAutospacing="1"/>
    </w:pPr>
    <w:rPr>
      <w:sz w:val="24"/>
      <w:szCs w:val="24"/>
      <w:lang w:val="en-US"/>
    </w:rPr>
  </w:style>
  <w:style w:type="paragraph" w:customStyle="1" w:styleId="10Bullet">
    <w:name w:val="10Bullet"/>
    <w:link w:val="10BulletChar"/>
    <w:uiPriority w:val="99"/>
    <w:qFormat/>
    <w:rsid w:val="0070310E"/>
    <w:pPr>
      <w:keepLines/>
      <w:numPr>
        <w:numId w:val="7"/>
      </w:numPr>
      <w:spacing w:line="300" w:lineRule="atLeast"/>
    </w:pPr>
    <w:rPr>
      <w:rFonts w:eastAsia="MS Mincho"/>
      <w:sz w:val="24"/>
      <w:szCs w:val="24"/>
      <w:lang w:val="en-US" w:eastAsia="en-US"/>
    </w:rPr>
  </w:style>
  <w:style w:type="character" w:customStyle="1" w:styleId="10BulletChar">
    <w:name w:val="10Bullet Char"/>
    <w:link w:val="10Bullet"/>
    <w:uiPriority w:val="99"/>
    <w:locked/>
    <w:rsid w:val="0070310E"/>
    <w:rPr>
      <w:rFonts w:eastAsia="MS Mincho"/>
      <w:sz w:val="24"/>
      <w:szCs w:val="24"/>
    </w:rPr>
  </w:style>
  <w:style w:type="paragraph" w:customStyle="1" w:styleId="17TableEntries10ptleft">
    <w:name w:val="17Table Entries 10 pt left"/>
    <w:basedOn w:val="Normal"/>
    <w:qFormat/>
    <w:rsid w:val="003263D5"/>
    <w:pPr>
      <w:tabs>
        <w:tab w:val="clear" w:pos="567"/>
      </w:tabs>
      <w:spacing w:after="100"/>
    </w:pPr>
    <w:rPr>
      <w:rFonts w:eastAsia="MS Mincho"/>
      <w:sz w:val="20"/>
      <w:lang w:val="en-US"/>
    </w:rPr>
  </w:style>
  <w:style w:type="character" w:customStyle="1" w:styleId="DocumentTextChar">
    <w:name w:val="Document Text Char"/>
    <w:link w:val="DocumentText"/>
    <w:locked/>
    <w:rsid w:val="00A44F0C"/>
  </w:style>
  <w:style w:type="paragraph" w:customStyle="1" w:styleId="DocumentText">
    <w:name w:val="Document Text"/>
    <w:basedOn w:val="Normal"/>
    <w:link w:val="DocumentTextChar"/>
    <w:qFormat/>
    <w:rsid w:val="00A44F0C"/>
    <w:pPr>
      <w:tabs>
        <w:tab w:val="clear" w:pos="567"/>
      </w:tabs>
      <w:spacing w:after="240" w:line="300" w:lineRule="auto"/>
    </w:pPr>
    <w:rPr>
      <w:rFonts w:eastAsia="SimSun"/>
      <w:sz w:val="20"/>
      <w:lang w:val="en-US"/>
    </w:rPr>
  </w:style>
  <w:style w:type="paragraph" w:customStyle="1" w:styleId="FooterAgency">
    <w:name w:val="Footer (Agency)"/>
    <w:basedOn w:val="Normal"/>
    <w:link w:val="FooterAgencyCharChar"/>
    <w:rsid w:val="00500B11"/>
    <w:pPr>
      <w:tabs>
        <w:tab w:val="clear" w:pos="567"/>
      </w:tabs>
    </w:pPr>
    <w:rPr>
      <w:rFonts w:ascii="Verdana" w:eastAsia="Verdana" w:hAnsi="Verdana" w:cs="Verdana"/>
      <w:color w:val="6D6F71"/>
      <w:sz w:val="14"/>
      <w:szCs w:val="14"/>
      <w:lang w:eastAsia="en-GB"/>
    </w:rPr>
  </w:style>
  <w:style w:type="character" w:customStyle="1" w:styleId="FooterAgencyCharChar">
    <w:name w:val="Footer (Agency) Char Char"/>
    <w:link w:val="FooterAgency"/>
    <w:rsid w:val="00500B11"/>
    <w:rPr>
      <w:rFonts w:ascii="Verdana" w:eastAsia="Verdana" w:hAnsi="Verdana" w:cs="Verdana"/>
      <w:color w:val="6D6F71"/>
      <w:sz w:val="14"/>
      <w:szCs w:val="14"/>
    </w:rPr>
  </w:style>
  <w:style w:type="character" w:styleId="FootnoteReference">
    <w:name w:val="footnote reference"/>
    <w:rsid w:val="00DC2B22"/>
    <w:rPr>
      <w:rFonts w:ascii="Verdana" w:hAnsi="Verdana"/>
      <w:vertAlign w:val="superscript"/>
    </w:rPr>
  </w:style>
  <w:style w:type="paragraph" w:styleId="FootnoteText">
    <w:name w:val="footnote text"/>
    <w:basedOn w:val="Normal"/>
    <w:link w:val="FootnoteTextChar"/>
    <w:rsid w:val="004C2D33"/>
    <w:rPr>
      <w:sz w:val="24"/>
      <w:szCs w:val="24"/>
    </w:rPr>
  </w:style>
  <w:style w:type="character" w:customStyle="1" w:styleId="FootnoteTextChar">
    <w:name w:val="Footnote Text Char"/>
    <w:link w:val="FootnoteText"/>
    <w:rsid w:val="004C2D33"/>
    <w:rPr>
      <w:rFonts w:eastAsia="Times New Roman"/>
      <w:sz w:val="24"/>
      <w:szCs w:val="24"/>
      <w:lang w:val="en-GB" w:eastAsia="en-US"/>
    </w:rPr>
  </w:style>
  <w:style w:type="paragraph" w:styleId="Revision">
    <w:name w:val="Revision"/>
    <w:hidden/>
    <w:uiPriority w:val="99"/>
    <w:semiHidden/>
    <w:rsid w:val="00C34CB1"/>
    <w:rPr>
      <w:rFonts w:eastAsia="Times New Roman"/>
      <w:sz w:val="22"/>
      <w:lang w:val="en-GB" w:eastAsia="en-US"/>
    </w:rPr>
  </w:style>
  <w:style w:type="paragraph" w:styleId="ListParagraph">
    <w:name w:val="List Paragraph"/>
    <w:basedOn w:val="Normal"/>
    <w:uiPriority w:val="34"/>
    <w:qFormat/>
    <w:rsid w:val="00606C3A"/>
    <w:pPr>
      <w:ind w:left="720"/>
      <w:contextualSpacing/>
    </w:pPr>
  </w:style>
  <w:style w:type="paragraph" w:customStyle="1" w:styleId="18TableEntries11pt">
    <w:name w:val="18Table Entries 11 pt"/>
    <w:rsid w:val="00CA0EC1"/>
    <w:pPr>
      <w:keepNext/>
      <w:jc w:val="center"/>
    </w:pPr>
    <w:rPr>
      <w:rFonts w:eastAsia="MS Mincho"/>
      <w:sz w:val="22"/>
      <w:szCs w:val="22"/>
      <w:lang w:val="en-US" w:eastAsia="en-US"/>
    </w:rPr>
  </w:style>
  <w:style w:type="character" w:customStyle="1" w:styleId="FooterChar">
    <w:name w:val="Footer Char"/>
    <w:basedOn w:val="DefaultParagraphFont"/>
    <w:link w:val="Footer"/>
    <w:uiPriority w:val="99"/>
    <w:rsid w:val="00821E34"/>
    <w:rPr>
      <w:rFonts w:ascii="Arial" w:eastAsia="Times New Roman" w:hAnsi="Arial"/>
      <w:noProof/>
      <w:sz w:val="16"/>
      <w:lang w:val="en-GB" w:eastAsia="en-US"/>
    </w:rPr>
  </w:style>
  <w:style w:type="paragraph" w:customStyle="1" w:styleId="xmsonormal">
    <w:name w:val="x_msonormal"/>
    <w:basedOn w:val="Normal"/>
    <w:uiPriority w:val="99"/>
    <w:rsid w:val="00977B2E"/>
    <w:pPr>
      <w:tabs>
        <w:tab w:val="clear" w:pos="567"/>
      </w:tabs>
    </w:pPr>
    <w:rPr>
      <w:rFonts w:eastAsia="Calibri"/>
      <w:sz w:val="24"/>
      <w:szCs w:val="24"/>
      <w:lang w:eastAsia="en-GB"/>
    </w:rPr>
  </w:style>
  <w:style w:type="character" w:styleId="UnresolvedMention">
    <w:name w:val="Unresolved Mention"/>
    <w:basedOn w:val="DefaultParagraphFont"/>
    <w:uiPriority w:val="99"/>
    <w:semiHidden/>
    <w:unhideWhenUsed/>
    <w:rsid w:val="00862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508">
      <w:bodyDiv w:val="1"/>
      <w:marLeft w:val="0"/>
      <w:marRight w:val="0"/>
      <w:marTop w:val="0"/>
      <w:marBottom w:val="0"/>
      <w:divBdr>
        <w:top w:val="none" w:sz="0" w:space="0" w:color="auto"/>
        <w:left w:val="none" w:sz="0" w:space="0" w:color="auto"/>
        <w:bottom w:val="none" w:sz="0" w:space="0" w:color="auto"/>
        <w:right w:val="none" w:sz="0" w:space="0" w:color="auto"/>
      </w:divBdr>
    </w:div>
    <w:div w:id="103616042">
      <w:bodyDiv w:val="1"/>
      <w:marLeft w:val="0"/>
      <w:marRight w:val="0"/>
      <w:marTop w:val="0"/>
      <w:marBottom w:val="0"/>
      <w:divBdr>
        <w:top w:val="none" w:sz="0" w:space="0" w:color="auto"/>
        <w:left w:val="none" w:sz="0" w:space="0" w:color="auto"/>
        <w:bottom w:val="none" w:sz="0" w:space="0" w:color="auto"/>
        <w:right w:val="none" w:sz="0" w:space="0" w:color="auto"/>
      </w:divBdr>
    </w:div>
    <w:div w:id="166139818">
      <w:bodyDiv w:val="1"/>
      <w:marLeft w:val="0"/>
      <w:marRight w:val="0"/>
      <w:marTop w:val="0"/>
      <w:marBottom w:val="0"/>
      <w:divBdr>
        <w:top w:val="none" w:sz="0" w:space="0" w:color="auto"/>
        <w:left w:val="none" w:sz="0" w:space="0" w:color="auto"/>
        <w:bottom w:val="none" w:sz="0" w:space="0" w:color="auto"/>
        <w:right w:val="none" w:sz="0" w:space="0" w:color="auto"/>
      </w:divBdr>
    </w:div>
    <w:div w:id="227571380">
      <w:bodyDiv w:val="1"/>
      <w:marLeft w:val="0"/>
      <w:marRight w:val="0"/>
      <w:marTop w:val="0"/>
      <w:marBottom w:val="0"/>
      <w:divBdr>
        <w:top w:val="none" w:sz="0" w:space="0" w:color="auto"/>
        <w:left w:val="none" w:sz="0" w:space="0" w:color="auto"/>
        <w:bottom w:val="none" w:sz="0" w:space="0" w:color="auto"/>
        <w:right w:val="none" w:sz="0" w:space="0" w:color="auto"/>
      </w:divBdr>
    </w:div>
    <w:div w:id="264658617">
      <w:bodyDiv w:val="1"/>
      <w:marLeft w:val="0"/>
      <w:marRight w:val="0"/>
      <w:marTop w:val="0"/>
      <w:marBottom w:val="0"/>
      <w:divBdr>
        <w:top w:val="none" w:sz="0" w:space="0" w:color="auto"/>
        <w:left w:val="none" w:sz="0" w:space="0" w:color="auto"/>
        <w:bottom w:val="none" w:sz="0" w:space="0" w:color="auto"/>
        <w:right w:val="none" w:sz="0" w:space="0" w:color="auto"/>
      </w:divBdr>
    </w:div>
    <w:div w:id="387609134">
      <w:bodyDiv w:val="1"/>
      <w:marLeft w:val="0"/>
      <w:marRight w:val="0"/>
      <w:marTop w:val="0"/>
      <w:marBottom w:val="0"/>
      <w:divBdr>
        <w:top w:val="none" w:sz="0" w:space="0" w:color="auto"/>
        <w:left w:val="none" w:sz="0" w:space="0" w:color="auto"/>
        <w:bottom w:val="none" w:sz="0" w:space="0" w:color="auto"/>
        <w:right w:val="none" w:sz="0" w:space="0" w:color="auto"/>
      </w:divBdr>
    </w:div>
    <w:div w:id="486089675">
      <w:bodyDiv w:val="1"/>
      <w:marLeft w:val="0"/>
      <w:marRight w:val="0"/>
      <w:marTop w:val="0"/>
      <w:marBottom w:val="0"/>
      <w:divBdr>
        <w:top w:val="none" w:sz="0" w:space="0" w:color="auto"/>
        <w:left w:val="none" w:sz="0" w:space="0" w:color="auto"/>
        <w:bottom w:val="none" w:sz="0" w:space="0" w:color="auto"/>
        <w:right w:val="none" w:sz="0" w:space="0" w:color="auto"/>
      </w:divBdr>
      <w:divsChild>
        <w:div w:id="1206331576">
          <w:marLeft w:val="0"/>
          <w:marRight w:val="0"/>
          <w:marTop w:val="0"/>
          <w:marBottom w:val="0"/>
          <w:divBdr>
            <w:top w:val="none" w:sz="0" w:space="0" w:color="auto"/>
            <w:left w:val="none" w:sz="0" w:space="0" w:color="auto"/>
            <w:bottom w:val="none" w:sz="0" w:space="0" w:color="auto"/>
            <w:right w:val="none" w:sz="0" w:space="0" w:color="auto"/>
          </w:divBdr>
          <w:divsChild>
            <w:div w:id="1312632944">
              <w:marLeft w:val="0"/>
              <w:marRight w:val="0"/>
              <w:marTop w:val="0"/>
              <w:marBottom w:val="0"/>
              <w:divBdr>
                <w:top w:val="none" w:sz="0" w:space="0" w:color="auto"/>
                <w:left w:val="none" w:sz="0" w:space="0" w:color="auto"/>
                <w:bottom w:val="none" w:sz="0" w:space="0" w:color="auto"/>
                <w:right w:val="none" w:sz="0" w:space="0" w:color="auto"/>
              </w:divBdr>
              <w:divsChild>
                <w:div w:id="498035905">
                  <w:marLeft w:val="0"/>
                  <w:marRight w:val="0"/>
                  <w:marTop w:val="0"/>
                  <w:marBottom w:val="0"/>
                  <w:divBdr>
                    <w:top w:val="none" w:sz="0" w:space="0" w:color="auto"/>
                    <w:left w:val="none" w:sz="0" w:space="0" w:color="auto"/>
                    <w:bottom w:val="none" w:sz="0" w:space="0" w:color="auto"/>
                    <w:right w:val="none" w:sz="0" w:space="0" w:color="auto"/>
                  </w:divBdr>
                  <w:divsChild>
                    <w:div w:id="1134828517">
                      <w:marLeft w:val="0"/>
                      <w:marRight w:val="0"/>
                      <w:marTop w:val="0"/>
                      <w:marBottom w:val="0"/>
                      <w:divBdr>
                        <w:top w:val="none" w:sz="0" w:space="0" w:color="auto"/>
                        <w:left w:val="none" w:sz="0" w:space="0" w:color="auto"/>
                        <w:bottom w:val="none" w:sz="0" w:space="0" w:color="auto"/>
                        <w:right w:val="none" w:sz="0" w:space="0" w:color="auto"/>
                      </w:divBdr>
                      <w:divsChild>
                        <w:div w:id="2135437747">
                          <w:marLeft w:val="0"/>
                          <w:marRight w:val="0"/>
                          <w:marTop w:val="0"/>
                          <w:marBottom w:val="0"/>
                          <w:divBdr>
                            <w:top w:val="none" w:sz="0" w:space="0" w:color="auto"/>
                            <w:left w:val="none" w:sz="0" w:space="0" w:color="auto"/>
                            <w:bottom w:val="none" w:sz="0" w:space="0" w:color="auto"/>
                            <w:right w:val="none" w:sz="0" w:space="0" w:color="auto"/>
                          </w:divBdr>
                          <w:divsChild>
                            <w:div w:id="2108036094">
                              <w:marLeft w:val="0"/>
                              <w:marRight w:val="0"/>
                              <w:marTop w:val="0"/>
                              <w:marBottom w:val="150"/>
                              <w:divBdr>
                                <w:top w:val="none" w:sz="0" w:space="0" w:color="auto"/>
                                <w:left w:val="none" w:sz="0" w:space="0" w:color="auto"/>
                                <w:bottom w:val="none" w:sz="0" w:space="0" w:color="auto"/>
                                <w:right w:val="none" w:sz="0" w:space="0" w:color="auto"/>
                              </w:divBdr>
                              <w:divsChild>
                                <w:div w:id="1343629511">
                                  <w:marLeft w:val="0"/>
                                  <w:marRight w:val="180"/>
                                  <w:marTop w:val="0"/>
                                  <w:marBottom w:val="0"/>
                                  <w:divBdr>
                                    <w:top w:val="none" w:sz="0" w:space="0" w:color="auto"/>
                                    <w:left w:val="none" w:sz="0" w:space="0" w:color="auto"/>
                                    <w:bottom w:val="none" w:sz="0" w:space="0" w:color="auto"/>
                                    <w:right w:val="none" w:sz="0" w:space="0" w:color="auto"/>
                                  </w:divBdr>
                                  <w:divsChild>
                                    <w:div w:id="1841582344">
                                      <w:marLeft w:val="0"/>
                                      <w:marRight w:val="0"/>
                                      <w:marTop w:val="0"/>
                                      <w:marBottom w:val="0"/>
                                      <w:divBdr>
                                        <w:top w:val="none" w:sz="0" w:space="0" w:color="auto"/>
                                        <w:left w:val="none" w:sz="0" w:space="0" w:color="auto"/>
                                        <w:bottom w:val="none" w:sz="0" w:space="0" w:color="auto"/>
                                        <w:right w:val="none" w:sz="0" w:space="0" w:color="auto"/>
                                      </w:divBdr>
                                      <w:divsChild>
                                        <w:div w:id="1411269519">
                                          <w:marLeft w:val="0"/>
                                          <w:marRight w:val="0"/>
                                          <w:marTop w:val="0"/>
                                          <w:marBottom w:val="0"/>
                                          <w:divBdr>
                                            <w:top w:val="none" w:sz="0" w:space="0" w:color="auto"/>
                                            <w:left w:val="none" w:sz="0" w:space="0" w:color="auto"/>
                                            <w:bottom w:val="none" w:sz="0" w:space="0" w:color="auto"/>
                                            <w:right w:val="none" w:sz="0" w:space="0" w:color="auto"/>
                                          </w:divBdr>
                                          <w:divsChild>
                                            <w:div w:id="1085417407">
                                              <w:marLeft w:val="0"/>
                                              <w:marRight w:val="0"/>
                                              <w:marTop w:val="0"/>
                                              <w:marBottom w:val="0"/>
                                              <w:divBdr>
                                                <w:top w:val="none" w:sz="0" w:space="0" w:color="auto"/>
                                                <w:left w:val="none" w:sz="0" w:space="0" w:color="auto"/>
                                                <w:bottom w:val="none" w:sz="0" w:space="0" w:color="auto"/>
                                                <w:right w:val="none" w:sz="0" w:space="0" w:color="auto"/>
                                              </w:divBdr>
                                              <w:divsChild>
                                                <w:div w:id="2434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2251330">
      <w:bodyDiv w:val="1"/>
      <w:marLeft w:val="0"/>
      <w:marRight w:val="0"/>
      <w:marTop w:val="0"/>
      <w:marBottom w:val="0"/>
      <w:divBdr>
        <w:top w:val="none" w:sz="0" w:space="0" w:color="auto"/>
        <w:left w:val="none" w:sz="0" w:space="0" w:color="auto"/>
        <w:bottom w:val="none" w:sz="0" w:space="0" w:color="auto"/>
        <w:right w:val="none" w:sz="0" w:space="0" w:color="auto"/>
      </w:divBdr>
    </w:div>
    <w:div w:id="648900432">
      <w:bodyDiv w:val="1"/>
      <w:marLeft w:val="0"/>
      <w:marRight w:val="0"/>
      <w:marTop w:val="0"/>
      <w:marBottom w:val="0"/>
      <w:divBdr>
        <w:top w:val="none" w:sz="0" w:space="0" w:color="auto"/>
        <w:left w:val="none" w:sz="0" w:space="0" w:color="auto"/>
        <w:bottom w:val="none" w:sz="0" w:space="0" w:color="auto"/>
        <w:right w:val="none" w:sz="0" w:space="0" w:color="auto"/>
      </w:divBdr>
    </w:div>
    <w:div w:id="731083235">
      <w:bodyDiv w:val="1"/>
      <w:marLeft w:val="0"/>
      <w:marRight w:val="0"/>
      <w:marTop w:val="0"/>
      <w:marBottom w:val="0"/>
      <w:divBdr>
        <w:top w:val="none" w:sz="0" w:space="0" w:color="auto"/>
        <w:left w:val="none" w:sz="0" w:space="0" w:color="auto"/>
        <w:bottom w:val="none" w:sz="0" w:space="0" w:color="auto"/>
        <w:right w:val="none" w:sz="0" w:space="0" w:color="auto"/>
      </w:divBdr>
    </w:div>
    <w:div w:id="832993232">
      <w:bodyDiv w:val="1"/>
      <w:marLeft w:val="0"/>
      <w:marRight w:val="0"/>
      <w:marTop w:val="0"/>
      <w:marBottom w:val="0"/>
      <w:divBdr>
        <w:top w:val="none" w:sz="0" w:space="0" w:color="auto"/>
        <w:left w:val="none" w:sz="0" w:space="0" w:color="auto"/>
        <w:bottom w:val="none" w:sz="0" w:space="0" w:color="auto"/>
        <w:right w:val="none" w:sz="0" w:space="0" w:color="auto"/>
      </w:divBdr>
    </w:div>
    <w:div w:id="1254784678">
      <w:bodyDiv w:val="1"/>
      <w:marLeft w:val="0"/>
      <w:marRight w:val="0"/>
      <w:marTop w:val="0"/>
      <w:marBottom w:val="0"/>
      <w:divBdr>
        <w:top w:val="none" w:sz="0" w:space="0" w:color="auto"/>
        <w:left w:val="none" w:sz="0" w:space="0" w:color="auto"/>
        <w:bottom w:val="none" w:sz="0" w:space="0" w:color="auto"/>
        <w:right w:val="none" w:sz="0" w:space="0" w:color="auto"/>
      </w:divBdr>
    </w:div>
    <w:div w:id="1335449594">
      <w:bodyDiv w:val="1"/>
      <w:marLeft w:val="0"/>
      <w:marRight w:val="0"/>
      <w:marTop w:val="0"/>
      <w:marBottom w:val="0"/>
      <w:divBdr>
        <w:top w:val="none" w:sz="0" w:space="0" w:color="auto"/>
        <w:left w:val="none" w:sz="0" w:space="0" w:color="auto"/>
        <w:bottom w:val="none" w:sz="0" w:space="0" w:color="auto"/>
        <w:right w:val="none" w:sz="0" w:space="0" w:color="auto"/>
      </w:divBdr>
    </w:div>
    <w:div w:id="1392269723">
      <w:bodyDiv w:val="1"/>
      <w:marLeft w:val="0"/>
      <w:marRight w:val="0"/>
      <w:marTop w:val="0"/>
      <w:marBottom w:val="0"/>
      <w:divBdr>
        <w:top w:val="none" w:sz="0" w:space="0" w:color="auto"/>
        <w:left w:val="none" w:sz="0" w:space="0" w:color="auto"/>
        <w:bottom w:val="none" w:sz="0" w:space="0" w:color="auto"/>
        <w:right w:val="none" w:sz="0" w:space="0" w:color="auto"/>
      </w:divBdr>
    </w:div>
    <w:div w:id="1439761125">
      <w:bodyDiv w:val="1"/>
      <w:marLeft w:val="0"/>
      <w:marRight w:val="0"/>
      <w:marTop w:val="0"/>
      <w:marBottom w:val="0"/>
      <w:divBdr>
        <w:top w:val="none" w:sz="0" w:space="0" w:color="auto"/>
        <w:left w:val="none" w:sz="0" w:space="0" w:color="auto"/>
        <w:bottom w:val="none" w:sz="0" w:space="0" w:color="auto"/>
        <w:right w:val="none" w:sz="0" w:space="0" w:color="auto"/>
      </w:divBdr>
    </w:div>
    <w:div w:id="1601991224">
      <w:bodyDiv w:val="1"/>
      <w:marLeft w:val="0"/>
      <w:marRight w:val="0"/>
      <w:marTop w:val="0"/>
      <w:marBottom w:val="0"/>
      <w:divBdr>
        <w:top w:val="none" w:sz="0" w:space="0" w:color="auto"/>
        <w:left w:val="none" w:sz="0" w:space="0" w:color="auto"/>
        <w:bottom w:val="none" w:sz="0" w:space="0" w:color="auto"/>
        <w:right w:val="none" w:sz="0" w:space="0" w:color="auto"/>
      </w:divBdr>
    </w:div>
    <w:div w:id="1629241511">
      <w:bodyDiv w:val="1"/>
      <w:marLeft w:val="0"/>
      <w:marRight w:val="0"/>
      <w:marTop w:val="0"/>
      <w:marBottom w:val="0"/>
      <w:divBdr>
        <w:top w:val="none" w:sz="0" w:space="0" w:color="auto"/>
        <w:left w:val="none" w:sz="0" w:space="0" w:color="auto"/>
        <w:bottom w:val="none" w:sz="0" w:space="0" w:color="auto"/>
        <w:right w:val="none" w:sz="0" w:space="0" w:color="auto"/>
      </w:divBdr>
    </w:div>
    <w:div w:id="1683048490">
      <w:bodyDiv w:val="1"/>
      <w:marLeft w:val="0"/>
      <w:marRight w:val="0"/>
      <w:marTop w:val="0"/>
      <w:marBottom w:val="0"/>
      <w:divBdr>
        <w:top w:val="none" w:sz="0" w:space="0" w:color="auto"/>
        <w:left w:val="none" w:sz="0" w:space="0" w:color="auto"/>
        <w:bottom w:val="none" w:sz="0" w:space="0" w:color="auto"/>
        <w:right w:val="none" w:sz="0" w:space="0" w:color="auto"/>
      </w:divBdr>
    </w:div>
    <w:div w:id="1745646671">
      <w:bodyDiv w:val="1"/>
      <w:marLeft w:val="0"/>
      <w:marRight w:val="0"/>
      <w:marTop w:val="0"/>
      <w:marBottom w:val="0"/>
      <w:divBdr>
        <w:top w:val="none" w:sz="0" w:space="0" w:color="auto"/>
        <w:left w:val="none" w:sz="0" w:space="0" w:color="auto"/>
        <w:bottom w:val="none" w:sz="0" w:space="0" w:color="auto"/>
        <w:right w:val="none" w:sz="0" w:space="0" w:color="auto"/>
      </w:divBdr>
    </w:div>
    <w:div w:id="1762138112">
      <w:bodyDiv w:val="1"/>
      <w:marLeft w:val="0"/>
      <w:marRight w:val="0"/>
      <w:marTop w:val="0"/>
      <w:marBottom w:val="0"/>
      <w:divBdr>
        <w:top w:val="none" w:sz="0" w:space="0" w:color="auto"/>
        <w:left w:val="none" w:sz="0" w:space="0" w:color="auto"/>
        <w:bottom w:val="none" w:sz="0" w:space="0" w:color="auto"/>
        <w:right w:val="none" w:sz="0" w:space="0" w:color="auto"/>
      </w:divBdr>
    </w:div>
    <w:div w:id="1777024085">
      <w:bodyDiv w:val="1"/>
      <w:marLeft w:val="0"/>
      <w:marRight w:val="0"/>
      <w:marTop w:val="0"/>
      <w:marBottom w:val="0"/>
      <w:divBdr>
        <w:top w:val="none" w:sz="0" w:space="0" w:color="auto"/>
        <w:left w:val="none" w:sz="0" w:space="0" w:color="auto"/>
        <w:bottom w:val="none" w:sz="0" w:space="0" w:color="auto"/>
        <w:right w:val="none" w:sz="0" w:space="0" w:color="auto"/>
      </w:divBdr>
    </w:div>
    <w:div w:id="1839615901">
      <w:bodyDiv w:val="1"/>
      <w:marLeft w:val="0"/>
      <w:marRight w:val="0"/>
      <w:marTop w:val="0"/>
      <w:marBottom w:val="0"/>
      <w:divBdr>
        <w:top w:val="none" w:sz="0" w:space="0" w:color="auto"/>
        <w:left w:val="none" w:sz="0" w:space="0" w:color="auto"/>
        <w:bottom w:val="none" w:sz="0" w:space="0" w:color="auto"/>
        <w:right w:val="none" w:sz="0" w:space="0" w:color="auto"/>
      </w:divBdr>
    </w:div>
    <w:div w:id="1841041677">
      <w:bodyDiv w:val="1"/>
      <w:marLeft w:val="0"/>
      <w:marRight w:val="0"/>
      <w:marTop w:val="0"/>
      <w:marBottom w:val="0"/>
      <w:divBdr>
        <w:top w:val="none" w:sz="0" w:space="0" w:color="auto"/>
        <w:left w:val="none" w:sz="0" w:space="0" w:color="auto"/>
        <w:bottom w:val="none" w:sz="0" w:space="0" w:color="auto"/>
        <w:right w:val="none" w:sz="0" w:space="0" w:color="auto"/>
      </w:divBdr>
    </w:div>
    <w:div w:id="1949313733">
      <w:bodyDiv w:val="1"/>
      <w:marLeft w:val="0"/>
      <w:marRight w:val="0"/>
      <w:marTop w:val="0"/>
      <w:marBottom w:val="0"/>
      <w:divBdr>
        <w:top w:val="none" w:sz="0" w:space="0" w:color="auto"/>
        <w:left w:val="none" w:sz="0" w:space="0" w:color="auto"/>
        <w:bottom w:val="none" w:sz="0" w:space="0" w:color="auto"/>
        <w:right w:val="none" w:sz="0" w:space="0" w:color="auto"/>
      </w:divBdr>
    </w:div>
    <w:div w:id="2041397622">
      <w:bodyDiv w:val="1"/>
      <w:marLeft w:val="0"/>
      <w:marRight w:val="0"/>
      <w:marTop w:val="0"/>
      <w:marBottom w:val="0"/>
      <w:divBdr>
        <w:top w:val="none" w:sz="0" w:space="0" w:color="auto"/>
        <w:left w:val="none" w:sz="0" w:space="0" w:color="auto"/>
        <w:bottom w:val="none" w:sz="0" w:space="0" w:color="auto"/>
        <w:right w:val="none" w:sz="0" w:space="0" w:color="auto"/>
      </w:divBdr>
    </w:div>
    <w:div w:id="2081370198">
      <w:bodyDiv w:val="1"/>
      <w:marLeft w:val="0"/>
      <w:marRight w:val="0"/>
      <w:marTop w:val="0"/>
      <w:marBottom w:val="0"/>
      <w:divBdr>
        <w:top w:val="none" w:sz="0" w:space="0" w:color="auto"/>
        <w:left w:val="none" w:sz="0" w:space="0" w:color="auto"/>
        <w:bottom w:val="none" w:sz="0" w:space="0" w:color="auto"/>
        <w:right w:val="none" w:sz="0" w:space="0" w:color="auto"/>
      </w:divBdr>
    </w:div>
    <w:div w:id="2137941186">
      <w:bodyDiv w:val="1"/>
      <w:marLeft w:val="0"/>
      <w:marRight w:val="0"/>
      <w:marTop w:val="0"/>
      <w:marBottom w:val="0"/>
      <w:divBdr>
        <w:top w:val="none" w:sz="0" w:space="0" w:color="auto"/>
        <w:left w:val="none" w:sz="0" w:space="0" w:color="auto"/>
        <w:bottom w:val="none" w:sz="0" w:space="0" w:color="auto"/>
        <w:right w:val="none" w:sz="0" w:space="0" w:color="auto"/>
      </w:divBdr>
      <w:divsChild>
        <w:div w:id="1816607858">
          <w:marLeft w:val="0"/>
          <w:marRight w:val="0"/>
          <w:marTop w:val="0"/>
          <w:marBottom w:val="0"/>
          <w:divBdr>
            <w:top w:val="none" w:sz="0" w:space="0" w:color="auto"/>
            <w:left w:val="none" w:sz="0" w:space="0" w:color="auto"/>
            <w:bottom w:val="none" w:sz="0" w:space="0" w:color="auto"/>
            <w:right w:val="none" w:sz="0" w:space="0" w:color="auto"/>
          </w:divBdr>
          <w:divsChild>
            <w:div w:id="533612201">
              <w:marLeft w:val="0"/>
              <w:marRight w:val="0"/>
              <w:marTop w:val="0"/>
              <w:marBottom w:val="0"/>
              <w:divBdr>
                <w:top w:val="none" w:sz="0" w:space="0" w:color="auto"/>
                <w:left w:val="none" w:sz="0" w:space="0" w:color="auto"/>
                <w:bottom w:val="none" w:sz="0" w:space="0" w:color="auto"/>
                <w:right w:val="none" w:sz="0" w:space="0" w:color="auto"/>
              </w:divBdr>
              <w:divsChild>
                <w:div w:id="1512181008">
                  <w:marLeft w:val="0"/>
                  <w:marRight w:val="0"/>
                  <w:marTop w:val="0"/>
                  <w:marBottom w:val="0"/>
                  <w:divBdr>
                    <w:top w:val="none" w:sz="0" w:space="0" w:color="auto"/>
                    <w:left w:val="none" w:sz="0" w:space="0" w:color="auto"/>
                    <w:bottom w:val="none" w:sz="0" w:space="0" w:color="auto"/>
                    <w:right w:val="none" w:sz="0" w:space="0" w:color="auto"/>
                  </w:divBdr>
                  <w:divsChild>
                    <w:div w:id="1682050421">
                      <w:marLeft w:val="0"/>
                      <w:marRight w:val="0"/>
                      <w:marTop w:val="0"/>
                      <w:marBottom w:val="0"/>
                      <w:divBdr>
                        <w:top w:val="none" w:sz="0" w:space="0" w:color="auto"/>
                        <w:left w:val="none" w:sz="0" w:space="0" w:color="auto"/>
                        <w:bottom w:val="none" w:sz="0" w:space="0" w:color="auto"/>
                        <w:right w:val="none" w:sz="0" w:space="0" w:color="auto"/>
                      </w:divBdr>
                      <w:divsChild>
                        <w:div w:id="1526749773">
                          <w:marLeft w:val="0"/>
                          <w:marRight w:val="0"/>
                          <w:marTop w:val="0"/>
                          <w:marBottom w:val="0"/>
                          <w:divBdr>
                            <w:top w:val="none" w:sz="0" w:space="0" w:color="auto"/>
                            <w:left w:val="none" w:sz="0" w:space="0" w:color="auto"/>
                            <w:bottom w:val="none" w:sz="0" w:space="0" w:color="auto"/>
                            <w:right w:val="none" w:sz="0" w:space="0" w:color="auto"/>
                          </w:divBdr>
                          <w:divsChild>
                            <w:div w:id="834806969">
                              <w:marLeft w:val="0"/>
                              <w:marRight w:val="0"/>
                              <w:marTop w:val="0"/>
                              <w:marBottom w:val="0"/>
                              <w:divBdr>
                                <w:top w:val="none" w:sz="0" w:space="0" w:color="auto"/>
                                <w:left w:val="none" w:sz="0" w:space="0" w:color="auto"/>
                                <w:bottom w:val="none" w:sz="0" w:space="0" w:color="auto"/>
                                <w:right w:val="none" w:sz="0" w:space="0" w:color="auto"/>
                              </w:divBdr>
                              <w:divsChild>
                                <w:div w:id="144132226">
                                  <w:marLeft w:val="0"/>
                                  <w:marRight w:val="0"/>
                                  <w:marTop w:val="0"/>
                                  <w:marBottom w:val="0"/>
                                  <w:divBdr>
                                    <w:top w:val="none" w:sz="0" w:space="0" w:color="auto"/>
                                    <w:left w:val="none" w:sz="0" w:space="0" w:color="auto"/>
                                    <w:bottom w:val="none" w:sz="0" w:space="0" w:color="auto"/>
                                    <w:right w:val="none" w:sz="0" w:space="0" w:color="auto"/>
                                  </w:divBdr>
                                  <w:divsChild>
                                    <w:div w:id="114255195">
                                      <w:marLeft w:val="0"/>
                                      <w:marRight w:val="0"/>
                                      <w:marTop w:val="0"/>
                                      <w:marBottom w:val="0"/>
                                      <w:divBdr>
                                        <w:top w:val="none" w:sz="0" w:space="0" w:color="auto"/>
                                        <w:left w:val="none" w:sz="0" w:space="0" w:color="auto"/>
                                        <w:bottom w:val="none" w:sz="0" w:space="0" w:color="auto"/>
                                        <w:right w:val="none" w:sz="0" w:space="0" w:color="auto"/>
                                      </w:divBdr>
                                      <w:divsChild>
                                        <w:div w:id="370500432">
                                          <w:marLeft w:val="0"/>
                                          <w:marRight w:val="0"/>
                                          <w:marTop w:val="0"/>
                                          <w:marBottom w:val="0"/>
                                          <w:divBdr>
                                            <w:top w:val="none" w:sz="0" w:space="0" w:color="auto"/>
                                            <w:left w:val="none" w:sz="0" w:space="0" w:color="auto"/>
                                            <w:bottom w:val="none" w:sz="0" w:space="0" w:color="auto"/>
                                            <w:right w:val="none" w:sz="0" w:space="0" w:color="auto"/>
                                          </w:divBdr>
                                          <w:divsChild>
                                            <w:div w:id="1180697707">
                                              <w:marLeft w:val="0"/>
                                              <w:marRight w:val="0"/>
                                              <w:marTop w:val="0"/>
                                              <w:marBottom w:val="0"/>
                                              <w:divBdr>
                                                <w:top w:val="none" w:sz="0" w:space="0" w:color="auto"/>
                                                <w:left w:val="none" w:sz="0" w:space="0" w:color="auto"/>
                                                <w:bottom w:val="none" w:sz="0" w:space="0" w:color="auto"/>
                                                <w:right w:val="none" w:sz="0" w:space="0" w:color="auto"/>
                                              </w:divBdr>
                                              <w:divsChild>
                                                <w:div w:id="772088549">
                                                  <w:marLeft w:val="0"/>
                                                  <w:marRight w:val="0"/>
                                                  <w:marTop w:val="0"/>
                                                  <w:marBottom w:val="0"/>
                                                  <w:divBdr>
                                                    <w:top w:val="none" w:sz="0" w:space="0" w:color="auto"/>
                                                    <w:left w:val="none" w:sz="0" w:space="0" w:color="auto"/>
                                                    <w:bottom w:val="none" w:sz="0" w:space="0" w:color="auto"/>
                                                    <w:right w:val="none" w:sz="0" w:space="0" w:color="auto"/>
                                                  </w:divBdr>
                                                  <w:divsChild>
                                                    <w:div w:id="311328071">
                                                      <w:marLeft w:val="0"/>
                                                      <w:marRight w:val="0"/>
                                                      <w:marTop w:val="0"/>
                                                      <w:marBottom w:val="0"/>
                                                      <w:divBdr>
                                                        <w:top w:val="none" w:sz="0" w:space="0" w:color="auto"/>
                                                        <w:left w:val="none" w:sz="0" w:space="0" w:color="auto"/>
                                                        <w:bottom w:val="none" w:sz="0" w:space="0" w:color="auto"/>
                                                        <w:right w:val="none" w:sz="0" w:space="0" w:color="auto"/>
                                                      </w:divBdr>
                                                      <w:divsChild>
                                                        <w:div w:id="1865749576">
                                                          <w:marLeft w:val="0"/>
                                                          <w:marRight w:val="0"/>
                                                          <w:marTop w:val="0"/>
                                                          <w:marBottom w:val="0"/>
                                                          <w:divBdr>
                                                            <w:top w:val="none" w:sz="0" w:space="0" w:color="auto"/>
                                                            <w:left w:val="none" w:sz="0" w:space="0" w:color="auto"/>
                                                            <w:bottom w:val="none" w:sz="0" w:space="0" w:color="auto"/>
                                                            <w:right w:val="none" w:sz="0" w:space="0" w:color="auto"/>
                                                          </w:divBdr>
                                                          <w:divsChild>
                                                            <w:div w:id="102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r@afmps.be" TargetMode="External"/><Relationship Id="rId18" Type="http://schemas.openxmlformats.org/officeDocument/2006/relationships/hyperlink" Target="http://www.ema.europa.e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otifieruneffetindesirable.be"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guichet.public.lu/fr/entreprises/sectoriel/sante/medecins/notification-effets-indesirables-medicament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harmacovigilance@ms.etat.l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pv@chru-nancy.f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EBBBB0C013E14BB291F9F065A70FFA" ma:contentTypeVersion="2" ma:contentTypeDescription="Create a new document." ma:contentTypeScope="" ma:versionID="84e9388031eebf1a90747861e18732e2">
  <xsd:schema xmlns:xsd="http://www.w3.org/2001/XMLSchema" xmlns:xs="http://www.w3.org/2001/XMLSchema" xmlns:p="http://schemas.microsoft.com/office/2006/metadata/properties" xmlns:ns2="ac68bd19-d16d-44b2-bb83-d9d3f0ed0d56" targetNamespace="http://schemas.microsoft.com/office/2006/metadata/properties" ma:root="true" ma:fieldsID="7c5768233d61b6c9a861be3d8c582cde" ns2:_="">
    <xsd:import namespace="ac68bd19-d16d-44b2-bb83-d9d3f0ed0d5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8bd19-d16d-44b2-bb83-d9d3f0ed0d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CB350ABD-D5BC-4939-86B4-ADD6FA591ECE}">
  <ds:schemaRefs>
    <ds:schemaRef ds:uri="http://schemas.microsoft.com/sharepoint/v3/contenttype/forms"/>
  </ds:schemaRefs>
</ds:datastoreItem>
</file>

<file path=customXml/itemProps2.xml><?xml version="1.0" encoding="utf-8"?>
<ds:datastoreItem xmlns:ds="http://schemas.openxmlformats.org/officeDocument/2006/customXml" ds:itemID="{046BB57E-35A1-4F76-9D1A-8ACC9819E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8bd19-d16d-44b2-bb83-d9d3f0ed0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B247B9-01EA-40D3-A184-5DD80FBBB19C}">
  <ds:schemaRefs>
    <ds:schemaRef ds:uri="http://schemas.openxmlformats.org/officeDocument/2006/bibliography"/>
  </ds:schemaRefs>
</ds:datastoreItem>
</file>

<file path=customXml/itemProps4.xml><?xml version="1.0" encoding="utf-8"?>
<ds:datastoreItem xmlns:ds="http://schemas.openxmlformats.org/officeDocument/2006/customXml" ds:itemID="{898F0EA4-DD7B-42F7-8297-6C977C8B328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8064</Words>
  <Characters>47915</Characters>
  <Application>Microsoft Office Word</Application>
  <DocSecurity>0</DocSecurity>
  <Lines>399</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Fotivda, INN-tivozanib</vt:lpstr>
      <vt:lpstr>Fotiva-4131 - D180 LoI - PI comments</vt:lpstr>
    </vt:vector>
  </TitlesOfParts>
  <Manager/>
  <Company/>
  <LinksUpToDate>false</LinksUpToDate>
  <CharactersWithSpaces>55868</CharactersWithSpaces>
  <SharedDoc>false</SharedDoc>
  <HyperlinkBase/>
  <HLinks>
    <vt:vector size="24" baseType="variant">
      <vt:variant>
        <vt:i4>1245197</vt:i4>
      </vt:variant>
      <vt:variant>
        <vt:i4>12</vt:i4>
      </vt:variant>
      <vt:variant>
        <vt:i4>0</vt:i4>
      </vt:variant>
      <vt:variant>
        <vt:i4>5</vt:i4>
      </vt:variant>
      <vt:variant>
        <vt:lpwstr>http://www.ema.europa.eu/</vt:lpwstr>
      </vt:variant>
      <vt:variant>
        <vt:lpwstr/>
      </vt:variant>
      <vt:variant>
        <vt:i4>2359399</vt:i4>
      </vt:variant>
      <vt:variant>
        <vt:i4>9</vt:i4>
      </vt:variant>
      <vt:variant>
        <vt:i4>0</vt:i4>
      </vt:variant>
      <vt:variant>
        <vt:i4>5</vt:i4>
      </vt:variant>
      <vt:variant>
        <vt:lpwstr>http://www.ema.europa.eu/docs/en_GB/document_library/Template_or_form/2013/03/WC500139752.doc</vt:lpwstr>
      </vt:variant>
      <vt:variant>
        <vt:lpwstr/>
      </vt:variant>
      <vt:variant>
        <vt:i4>1245197</vt:i4>
      </vt:variant>
      <vt:variant>
        <vt:i4>6</vt:i4>
      </vt:variant>
      <vt:variant>
        <vt:i4>0</vt:i4>
      </vt:variant>
      <vt:variant>
        <vt:i4>5</vt:i4>
      </vt:variant>
      <vt:variant>
        <vt:lpwstr>http://www.ema.europa.eu/</vt:lpwstr>
      </vt:variant>
      <vt:variant>
        <vt:lpwstr/>
      </vt: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Fotivda, INN-tivozanib</dc:title>
  <dc:subject>EPAR</dc:subject>
  <dc:creator>CHMP</dc:creator>
  <cp:keywords>Fotivda, INN-tivozanib</cp:keywords>
  <dc:description/>
  <cp:lastModifiedBy>Tanya King</cp:lastModifiedBy>
  <cp:revision>6</cp:revision>
  <cp:lastPrinted>2016-11-16T09:12:00Z</cp:lastPrinted>
  <dcterms:created xsi:type="dcterms:W3CDTF">2022-02-24T09:21:00Z</dcterms:created>
  <dcterms:modified xsi:type="dcterms:W3CDTF">2022-02-28T17:23:00Z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General-EMA/423415/2010</vt:lpwstr>
  </property>
  <property fmtid="{D5CDD505-2E9C-101B-9397-08002B2CF9AE}" pid="6" name="DM_Title">
    <vt:lpwstr/>
  </property>
  <property fmtid="{D5CDD505-2E9C-101B-9397-08002B2CF9AE}" pid="7" name="DM_Language">
    <vt:lpwstr/>
  </property>
  <property fmtid="{D5CDD505-2E9C-101B-9397-08002B2CF9AE}" pid="8" name="DM_Owner">
    <vt:lpwstr>Espinasse Claire</vt:lpwstr>
  </property>
  <property fmtid="{D5CDD505-2E9C-101B-9397-08002B2CF9AE}" pid="9" name="DM_emea_cc">
    <vt:lpwstr/>
  </property>
  <property fmtid="{D5CDD505-2E9C-101B-9397-08002B2CF9AE}" pid="10" name="DM_emea_message_subject">
    <vt:lpwstr/>
  </property>
  <property fmtid="{D5CDD505-2E9C-101B-9397-08002B2CF9AE}" pid="11" name="DM_emea_doc_number">
    <vt:lpwstr>423415</vt:lpwstr>
  </property>
  <property fmtid="{D5CDD505-2E9C-101B-9397-08002B2CF9AE}" pid="12" name="DM_emea_received_date">
    <vt:lpwstr>nulldate</vt:lpwstr>
  </property>
  <property fmtid="{D5CDD505-2E9C-101B-9397-08002B2CF9AE}" pid="13" name="DM_emea_resp_body">
    <vt:lpwstr/>
  </property>
  <property fmtid="{D5CDD505-2E9C-101B-9397-08002B2CF9AE}" pid="14" name="DM_emea_revision_label">
    <vt:lpwstr/>
  </property>
  <property fmtid="{D5CDD505-2E9C-101B-9397-08002B2CF9AE}" pid="15" name="DM_emea_to">
    <vt:lpwstr/>
  </property>
  <property fmtid="{D5CDD505-2E9C-101B-9397-08002B2CF9AE}" pid="16" name="DM_emea_bcc">
    <vt:lpwstr/>
  </property>
  <property fmtid="{D5CDD505-2E9C-101B-9397-08002B2CF9AE}" pid="17" name="DM_emea_doc_category">
    <vt:lpwstr>General</vt:lpwstr>
  </property>
  <property fmtid="{D5CDD505-2E9C-101B-9397-08002B2CF9AE}" pid="18" name="DM_emea_from">
    <vt:lpwstr/>
  </property>
  <property fmtid="{D5CDD505-2E9C-101B-9397-08002B2CF9AE}" pid="19" name="DM_emea_internal_label">
    <vt:lpwstr>EMA</vt:lpwstr>
  </property>
  <property fmtid="{D5CDD505-2E9C-101B-9397-08002B2CF9AE}" pid="20" name="DM_emea_legal_date">
    <vt:lpwstr>nulldate</vt:lpwstr>
  </property>
  <property fmtid="{D5CDD505-2E9C-101B-9397-08002B2CF9AE}" pid="21" name="DM_emea_year">
    <vt:lpwstr>2010</vt:lpwstr>
  </property>
  <property fmtid="{D5CDD505-2E9C-101B-9397-08002B2CF9AE}" pid="22" name="DM_emea_sent_date">
    <vt:lpwstr>nulldate</vt:lpwstr>
  </property>
  <property fmtid="{D5CDD505-2E9C-101B-9397-08002B2CF9AE}" pid="23" name="DM_emea_doc_lang">
    <vt:lpwstr/>
  </property>
  <property fmtid="{D5CDD505-2E9C-101B-9397-08002B2CF9AE}" pid="24" name="DM_emea_meeting_status">
    <vt:lpwstr/>
  </property>
  <property fmtid="{D5CDD505-2E9C-101B-9397-08002B2CF9AE}" pid="25" name="DM_emea_meeting_action">
    <vt:lpwstr/>
  </property>
  <property fmtid="{D5CDD505-2E9C-101B-9397-08002B2CF9AE}" pid="26" name="DM_emea_meeting_hyperlink">
    <vt:lpwstr/>
  </property>
  <property fmtid="{D5CDD505-2E9C-101B-9397-08002B2CF9AE}" pid="27" name="DM_emea_meeting_title">
    <vt:lpwstr/>
  </property>
  <property fmtid="{D5CDD505-2E9C-101B-9397-08002B2CF9AE}" pid="28" name="DM_emea_meeting_ref">
    <vt:lpwstr/>
  </property>
  <property fmtid="{D5CDD505-2E9C-101B-9397-08002B2CF9AE}" pid="29" name="DM_emea_meeting_flags">
    <vt:lpwstr/>
  </property>
  <property fmtid="{D5CDD505-2E9C-101B-9397-08002B2CF9AE}" pid="30" name="display_urn:schemas-microsoft-com:office:office#SharedWithUsers">
    <vt:lpwstr>Emile Farhan;Jim Miller;Isaac Sparks;Michael Needle;Marian Ellwood</vt:lpwstr>
  </property>
  <property fmtid="{D5CDD505-2E9C-101B-9397-08002B2CF9AE}" pid="31" name="SharedWithUsers">
    <vt:lpwstr>125;#Emile Farhan;#24;#Jim Miller;#22;#Isaac Sparks;#123;#Michael Needle;#55;#Marian Ellwood</vt:lpwstr>
  </property>
  <property fmtid="{D5CDD505-2E9C-101B-9397-08002B2CF9AE}" pid="32" name="DM_Version">
    <vt:lpwstr>CURRENT,1.2</vt:lpwstr>
  </property>
  <property fmtid="{D5CDD505-2E9C-101B-9397-08002B2CF9AE}" pid="33" name="DM_Name">
    <vt:lpwstr>Fotiva-4131 - D180 LoI - PI comments</vt:lpwstr>
  </property>
  <property fmtid="{D5CDD505-2E9C-101B-9397-08002B2CF9AE}" pid="34" name="DM_Creation_Date">
    <vt:lpwstr>26/01/2017 16:25:37</vt:lpwstr>
  </property>
  <property fmtid="{D5CDD505-2E9C-101B-9397-08002B2CF9AE}" pid="35" name="DM_Modify_Date">
    <vt:lpwstr>26/01/2017 16:25:37</vt:lpwstr>
  </property>
  <property fmtid="{D5CDD505-2E9C-101B-9397-08002B2CF9AE}" pid="36" name="DM_Creator_Name">
    <vt:lpwstr>Irndorfer Hilke</vt:lpwstr>
  </property>
  <property fmtid="{D5CDD505-2E9C-101B-9397-08002B2CF9AE}" pid="37" name="DM_Modifier_Name">
    <vt:lpwstr>Irndorfer Hilke</vt:lpwstr>
  </property>
  <property fmtid="{D5CDD505-2E9C-101B-9397-08002B2CF9AE}" pid="38" name="DM_Type">
    <vt:lpwstr>emea_document</vt:lpwstr>
  </property>
  <property fmtid="{D5CDD505-2E9C-101B-9397-08002B2CF9AE}" pid="39" name="DM_DocRefId">
    <vt:lpwstr>EMA/CHMP/47402/2017</vt:lpwstr>
  </property>
  <property fmtid="{D5CDD505-2E9C-101B-9397-08002B2CF9AE}" pid="40" name="DM_Category">
    <vt:lpwstr>List of Questions</vt:lpwstr>
  </property>
  <property fmtid="{D5CDD505-2E9C-101B-9397-08002B2CF9AE}" pid="41" name="DM_Path">
    <vt:lpwstr>/01. Evaluation of Medicines/H-C/D-F/Fotivda 004131/03 Evaluation/Day 121- 210/CHMP &amp; PRAC Rapp Joint AR (11.01.17)</vt:lpwstr>
  </property>
  <property fmtid="{D5CDD505-2E9C-101B-9397-08002B2CF9AE}" pid="42" name="DM_emea_doc_ref_id">
    <vt:lpwstr>EMA/CHMP/47402/2017</vt:lpwstr>
  </property>
  <property fmtid="{D5CDD505-2E9C-101B-9397-08002B2CF9AE}" pid="43" name="DM_Modifer_Name">
    <vt:lpwstr>Irndorfer Hilke</vt:lpwstr>
  </property>
  <property fmtid="{D5CDD505-2E9C-101B-9397-08002B2CF9AE}" pid="44" name="DM_Modified_Date">
    <vt:lpwstr>26/01/2017 16:25:37</vt:lpwstr>
  </property>
</Properties>
</file>