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AspenCh12OnlineSupp2025</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II. Burden of Proof and the Exclusionary Rule</w:t>
      </w:r>
    </w:p>
    <w:p w:rsidR="00000000" w:rsidDel="00000000" w:rsidP="00000000" w:rsidRDefault="00000000" w:rsidRPr="00000000" w14:paraId="00000004">
      <w:pPr>
        <w:rPr/>
      </w:pPr>
      <w:r w:rsidDel="00000000" w:rsidR="00000000" w:rsidRPr="00000000">
        <w:rPr>
          <w:rtl w:val="0"/>
        </w:rPr>
        <w:t xml:space="preserve">Note 4 on page 631 and note 7 on page 638 refer to know your rights presentations for noncitizen audiences. One sample can be found here by the Massachusetts Immigrant and Refugee Advoacy Coalition: </w:t>
      </w:r>
      <w:hyperlink r:id="rId7">
        <w:r w:rsidDel="00000000" w:rsidR="00000000" w:rsidRPr="00000000">
          <w:rPr>
            <w:color w:val="1155cc"/>
            <w:u w:val="single"/>
            <w:rtl w:val="0"/>
          </w:rPr>
          <w:t xml:space="preserve">https://www.cambridgema.gov/-/media/Files/CIRC/knowyourrightsslides/englishkyrslides.pdf</w:t>
        </w:r>
      </w:hyperlink>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presentation refers to </w:t>
      </w:r>
    </w:p>
    <w:p w:rsidR="00000000" w:rsidDel="00000000" w:rsidP="00000000" w:rsidRDefault="00000000" w:rsidRPr="00000000" w14:paraId="00000006">
      <w:pPr>
        <w:rPr/>
      </w:pPr>
      <w:r w:rsidDel="00000000" w:rsidR="00000000" w:rsidRPr="00000000">
        <w:rPr>
          <w:rtl w:val="0"/>
        </w:rPr>
        <w:t xml:space="preserve">-the importance of Red Cards that individuals can show to ICE officers to assert the right to remain silent. </w:t>
      </w:r>
    </w:p>
    <w:p w:rsidR="00000000" w:rsidDel="00000000" w:rsidP="00000000" w:rsidRDefault="00000000" w:rsidRPr="00000000" w14:paraId="00000007">
      <w:pPr>
        <w:rPr/>
      </w:pPr>
      <w:r w:rsidDel="00000000" w:rsidR="00000000" w:rsidRPr="00000000">
        <w:rPr>
          <w:rtl w:val="0"/>
        </w:rPr>
        <w:t xml:space="preserve">-not opening the door if ICE comes to your home</w:t>
      </w:r>
    </w:p>
    <w:p w:rsidR="00000000" w:rsidDel="00000000" w:rsidP="00000000" w:rsidRDefault="00000000" w:rsidRPr="00000000" w14:paraId="00000008">
      <w:pPr>
        <w:rPr/>
      </w:pPr>
      <w:r w:rsidDel="00000000" w:rsidR="00000000" w:rsidRPr="00000000">
        <w:rPr>
          <w:rtl w:val="0"/>
        </w:rPr>
        <w:t xml:space="preserve">-ask to see a warrant signed by a judge</w:t>
      </w:r>
    </w:p>
    <w:p w:rsidR="00000000" w:rsidDel="00000000" w:rsidP="00000000" w:rsidRDefault="00000000" w:rsidRPr="00000000" w14:paraId="00000009">
      <w:pPr>
        <w:rPr/>
      </w:pPr>
      <w:r w:rsidDel="00000000" w:rsidR="00000000" w:rsidRPr="00000000">
        <w:rPr>
          <w:rtl w:val="0"/>
        </w:rPr>
        <w:t xml:space="preserve">-having a family preparedness plan just in case a family member is arrested and is separated from their family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What do you think of know your rights presentations?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tl w:val="0"/>
        </w:rPr>
        <w:t xml:space="preserve">On page 649 before part III on Immigration Judges’ Powers and Responsibilities, consider this </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unreported case of the Board of Immigration Appeals in light of the Supreme Court’s invitation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Lopez-Mendoza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to look for situations that may be “fundamentally unfair.”</w:t>
      </w:r>
    </w:p>
    <w:p w:rsidR="00000000" w:rsidDel="00000000" w:rsidP="00000000" w:rsidRDefault="00000000" w:rsidRPr="00000000" w14:paraId="0000000E">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In re Quevara-Mata</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A097 535291 (BIA June 14, 2011)</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approximately 5:00 a.m. on March 1, 2007, the respondents — while residing in a two-story house at 111 Sweezy Avenue in Riverhead, New York — heard a banging on the front door and the ringing of the doorbell. . . . The respondents heard the agents say “immigration” when they were ringing the doorbell and knocking on the front door. . . . Shortly after the front door was opened by a lady (who also rented a room on the first floor), the officials knocked on the respondents’ bedroom door, which was locked, and after receiving no answer, they pushed it “until the latch came out.” . . . Upon entering the respondents’ room, the officials — who did not present a search warrant but were armed and in uniform — ordered everyone to get on the ground, at which point they proceeded to handcuff and ask everyone for their “papers.” . .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When asked if he gave the agents his papers, the respondent testified that he did not but that the agents “looked for [the] ID in our pants pockets and then they took [it].” . . . The rider respondent, when inquired as to whether he answered the agents’ questions, testified that he “didn’t understand them very well, so [he] didn’t respond.” . . . The rider respondent explained that “since we weren’t wearing any clothes, they started to search” and discovered his “ID and the money that we had” within the clothes in his bedroom. . .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Both respondents testified that the agents stated that they were looking for someone named Tony and that this individual was found in the adjacent room after the agents used their pillows to push open the door leading to Tony’s bedroom. . . . Subsequently, the six individuals who were arrested were taken in a van to [the ICE office]. During their detention, the respondents were interrogated and fingerprinted and signed their names on documents they allegedly did not understand. The respondents also stated that they were never told that they did not have to answer the questions posed to them and were only informed that they could speak to a lawyer toward the end of the detention after they received “some papers.” . . . While they were asked questions in Spanish, the respondents said that they could not remember all of the questions posed to them or were too nervous to understand the agents’ line of questioning. . . . The respondent testified that he was not threatened during his interrogation but that he felt bad and began to cry whereas the rider respondent stated that he was sad and nervous and added that he felt hungry and desperate at this time. . . . Before releasing them, the DHS served each respondent with a Notice to Appear, charging them with being removable under section 212(a)(6)9A)(i) of the Immigration and Nationality Act. . . . The respondents were released at 5:00 p.m. and struggled to arrange transportation to go back to their home in Riverhead, Long Island. . .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guiding principle — particularly in cases, such as here, where neither party raises doubts about the veracity of the evidence obtained as a result of the seizure — is whether the consideration of the evidence transgresses Fifth Amendment notions of fundamental fairness. Specifically, as the Second Circuit has recognized, “exclusion of evidence is appropriate under the rule of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Lopez-Mendoza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if record evidence established either (a) that an egregious violation that was fundamentally unfair had occurred, or (b) that the violation — regardless of its egregiousness or unfairness — undermined the reliability of the evidence in dispute.”</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recognize that in removal hearings, which are civil proceedings, the respondent does not enjoy the same rights as the accused does in a criminal proceeding. . . . This, however, does not mean that aliens in removal proceedings do not enjoy any constitutional safeguards to be free from unreasonable searches and seizures, especially those that occur at their home.</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Immigration Judge held that the respondents met their burden of making a prima facie showing — which the DHS failed to rebut — that the ICE’s conduct was egregious. We agree with the Immigration Judge as we conclude — on the basis of the facts found by the Immigration Judge, which have not been shown to be clearly erroneous — that the agents’ forced intrusion into the respondents’ bedroom, as well as their manner of arresting, transporting, detaining, and interrogating the respondents, were sufficiently shown to be severe and egregious.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first note that because we are dealing with an early-morning entry and arrest that took place in a private residence, we must be aware of the unique and serious considerations present in such an analysis, even in the context of a civil removal proceeding, given that there is a greater expectation of privacy and a heightened interest in preventing unlawful arrests and searches in one’s home.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Further, agents did not present a warrant to enter the respondents’ home. While agents were apparently searching for an individual named Tony who also resided in the respondents’ residence, the DHS did not offer evidence of any warrant issued for this or any other person who was living at the respondents’ address. . . . Next, as noted by the Immigration Judge, the DHS has not affirmatively asserted that anyone gave consent to the agents to enter the respondents’ house and, even if such consent was given, it is undisputed that the respondents did not consent to any entry (much less a forcible entry) of their locked bedroom. . .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conclude that the Immigration Judge properly held that the respondents made a prima facie showing of egregiousness and that the DHS submitted inadequate evidence to justify the ICE officers’ conduct. We are particularly concerned with the actions of the agents — who were in uniform and armed — in breaking down the respondents’ door, seizing their identification cards without permission, and over the course of the next 12 hours, subjecting them to a custodial interrogation in the downtown office about their immigration status, nationality, and manner of entering the United States. . . . We further agree with the Immigration Judge that the intimidating nature and severity of the ICE’s conduct is disconcerting given the respondents’ statements that they did not have full understanding of their interrogation and felt constrained (i.e., they did not feel free to end the questioning and go home and were not returned their identity cards) throughout the day until 5:00 p.m.</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Also troubling is the DHS’s decision to not offer the testimony of the agents who arrested and detained the respondents during the hearing, as such information could have provided clarification regarding the issues of consent, probable cause, or reasonable suspicion. . . . As such, we conclude that the respondents made a prima facie showing that the circumstances surrounding the respondents’ arrest and detention were egregious, and that the DHS then failed to show that ICE agents had a lawful reason to search or arrest either respondent. . . . Therefore, as we find that the DHS did not sufficiently justify the manner in which it obtained evidence against the respondents, any statement or document taken from them during their arrest and detention was in violation of their Fourth Amendment rights and, accordingly, such information should be suppressed.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3.</w:t>
        <w:tab/>
        <w:t xml:space="preserve">Is this unreported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Quevara-Mata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suppression case limited to due process Fifth Amendment violations of fundamental fairness?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On page 667, consider this sample bond brief:</w:t>
      </w:r>
    </w:p>
    <w:p w:rsidR="00000000" w:rsidDel="00000000" w:rsidP="00000000" w:rsidRDefault="00000000" w:rsidRPr="00000000" w14:paraId="00000025">
      <w:pPr>
        <w:spacing w:after="240" w:before="240" w:lineRule="auto"/>
        <w:rPr/>
      </w:pPr>
      <w:r w:rsidDel="00000000" w:rsidR="00000000" w:rsidRPr="00000000">
        <w:rPr>
          <w:rtl w:val="0"/>
        </w:rPr>
        <w:t xml:space="preserve"> </w:t>
      </w:r>
    </w:p>
    <w:p w:rsidR="00000000" w:rsidDel="00000000" w:rsidP="00000000" w:rsidRDefault="00000000" w:rsidRPr="00000000" w14:paraId="00000026">
      <w:pPr>
        <w:spacing w:after="240" w:before="240" w:lineRule="auto"/>
        <w:rPr/>
      </w:pPr>
      <w:r w:rsidDel="00000000" w:rsidR="00000000" w:rsidRPr="00000000">
        <w:rPr/>
        <w:drawing>
          <wp:inline distB="114300" distT="114300" distL="114300" distR="114300">
            <wp:extent cx="4572000" cy="5778500"/>
            <wp:effectExtent b="0" l="0" r="0" t="0"/>
            <wp:docPr id="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4572000" cy="5778500"/>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spacing w:after="240" w:before="240" w:lineRule="auto"/>
        <w:rPr/>
      </w:pPr>
      <w:r w:rsidDel="00000000" w:rsidR="00000000" w:rsidRPr="00000000">
        <w:rPr>
          <w:rtl w:val="0"/>
        </w:rPr>
        <w:t xml:space="preserve">I. Introduction and Statement of Facts</w:t>
      </w:r>
    </w:p>
    <w:p w:rsidR="00000000" w:rsidDel="00000000" w:rsidP="00000000" w:rsidRDefault="00000000" w:rsidRPr="00000000" w14:paraId="00000028">
      <w:pPr>
        <w:spacing w:after="240" w:before="240" w:lineRule="auto"/>
        <w:rPr/>
      </w:pPr>
      <w:r w:rsidDel="00000000" w:rsidR="00000000" w:rsidRPr="00000000">
        <w:rPr>
          <w:rtl w:val="0"/>
        </w:rPr>
        <w:t xml:space="preserve">* is charged with being a native and citizen of Cameroon. He is a student who entered the United States legally on an F-1 student visa on *. He attended the University of the District of Colombia, and then transferred to De Anza College. He has been living in San Jose, California since 1992. His field of study is biology, and he plans to continue his studies and finish his degree at San Jose State University, in San Jose, California, in the Fall. Mr. * has close family in the United States. All of his siblings, his three sisters, live in this country. He is particularly close to his sister * and brother-in-law *, a United States citizen, of San Jose, California. Mr. *’s many friends and co-workers are very supportive of him. For the past two years he has been working as a salesman at * in San Jose, California. His supervisor, *, a United States citizen, states that he has been a “model employee for the nearly two years in which we have been associated. He is impeccably honest, always cheerful, caring and eager to please.” See Exhibit 2. He even finds it “incredible” that he should need to write a letter in support of such “a fine, law-abiding, young man as *.” Mr. *, he says, “is exactly the kind of person this country should actively seek out as a potential citizen.”</w:t>
      </w:r>
    </w:p>
    <w:p w:rsidR="00000000" w:rsidDel="00000000" w:rsidP="00000000" w:rsidRDefault="00000000" w:rsidRPr="00000000" w14:paraId="00000029">
      <w:pPr>
        <w:spacing w:after="240" w:before="240" w:lineRule="auto"/>
        <w:rPr/>
      </w:pPr>
      <w:r w:rsidDel="00000000" w:rsidR="00000000" w:rsidRPr="00000000">
        <w:rPr>
          <w:rtl w:val="0"/>
        </w:rPr>
        <w:t xml:space="preserve">*, friend of Mr. * and wife of *, concurs. “I have known * as a guest in our home, many times. * * is truly a kind, warm, compassionate, and intelligent person,” she states. See Exhibit 3. *, brother-in-law of Mr. *, and a United States citizen, agrees that Mr. *, who he has known for four years, “has a warm personality, and he is of good character and strong moral values. . . .* is a Christian and is well read in the Bible, and exercises his Christian values in all his dealings with friends and relatives. . . .* is a young man and if given the chance — he will make a great American.” Exhibit 4.</w:t>
      </w:r>
    </w:p>
    <w:p w:rsidR="00000000" w:rsidDel="00000000" w:rsidP="00000000" w:rsidRDefault="00000000" w:rsidRPr="00000000" w14:paraId="0000002A">
      <w:pPr>
        <w:spacing w:after="240" w:before="240" w:lineRule="auto"/>
        <w:rPr/>
      </w:pPr>
      <w:r w:rsidDel="00000000" w:rsidR="00000000" w:rsidRPr="00000000">
        <w:rPr>
          <w:rtl w:val="0"/>
        </w:rPr>
        <w:t xml:space="preserve">Mr. *’s warm and gentle personality is also reflected in the statements of his friends. *, a co-worker and friend, states that “he is an energetic, resourceful, intelligent and trusting young man.” Exhibit 6. *, a friend of Mr. * and his family who had known Mr. * for ten years, states that he “exhibits a good character” and had a “warm and cordial personality”. Exhibit 7. He is the “embodiment of an exceptional upbringing,” who “has extended his family values to friends at school and associates at work.”</w:t>
      </w:r>
    </w:p>
    <w:p w:rsidR="00000000" w:rsidDel="00000000" w:rsidP="00000000" w:rsidRDefault="00000000" w:rsidRPr="00000000" w14:paraId="0000002B">
      <w:pPr>
        <w:spacing w:after="240" w:before="240" w:lineRule="auto"/>
        <w:rPr/>
      </w:pPr>
      <w:r w:rsidDel="00000000" w:rsidR="00000000" w:rsidRPr="00000000">
        <w:rPr>
          <w:rtl w:val="0"/>
        </w:rPr>
        <w:t xml:space="preserve">Mr. * has no history of violence, drug-related activities or serious criminal activity. His single conviction for forging a driver’s license resulted from his application for a second driver’s license using his middle name instead of his first name. He did this naively, solely because he was unable at the time to pay some traffic tickets, and did not know what action to take. He now has recognized his mistake, and the judge in his case determined that he did not merit any jail time, but instead worked out the terms of his probation so that he will not miss school or work. As well, after two years, the judge told him he could reduce the conviction to a misdemeanor. * has confirmed that Mr. * is not of a criminal mind, but rather his “primary flaw is procrastination tempered with a child like innocence.” See Exhibit 2. * emphasizes Mr. *’s youth also, and notes that he “is learning and in need of direction. I sincerely believe God has gotten his attention.” Exhibit 6.</w:t>
      </w:r>
    </w:p>
    <w:p w:rsidR="00000000" w:rsidDel="00000000" w:rsidP="00000000" w:rsidRDefault="00000000" w:rsidRPr="00000000" w14:paraId="0000002C">
      <w:pPr>
        <w:spacing w:after="240" w:before="240" w:lineRule="auto"/>
        <w:rPr/>
      </w:pPr>
      <w:r w:rsidDel="00000000" w:rsidR="00000000" w:rsidRPr="00000000">
        <w:rPr>
          <w:rtl w:val="0"/>
        </w:rPr>
        <w:t xml:space="preserve">Mr. * is currently on probation for his single conviction. Despite his attempts and intention to comply with the terms of his probation, he has not received crucial information that he has needed to do this. As part of the terms of his probation, he is to report on a weekly basis to spend Tuesday evening through Thursday morning in custody. He was to begin this program in January, but because he had not been informed of the pre-booking requirement, when he presented himself on the first day the prison officials would not accept him. After contacting both his attorney and his probation officer, he was told that the judge would set a new date for him to begin the program. Although this mistake is rather common, it was apparently recorded as a violation of his probation, despite the fact that Mr. * fully intended and attempted to comply with all of the terms of his probation.</w:t>
      </w:r>
    </w:p>
    <w:p w:rsidR="00000000" w:rsidDel="00000000" w:rsidP="00000000" w:rsidRDefault="00000000" w:rsidRPr="00000000" w14:paraId="0000002D">
      <w:pPr>
        <w:spacing w:after="240" w:before="240" w:lineRule="auto"/>
        <w:rPr/>
      </w:pPr>
      <w:r w:rsidDel="00000000" w:rsidR="00000000" w:rsidRPr="00000000">
        <w:rPr>
          <w:rtl w:val="0"/>
        </w:rPr>
        <w:t xml:space="preserve">Mr. * continued to report to his probation officer on a regular basis, as required. His probation officer indicated that he would receive instructions in the mail, apparently meaning he would receive notice of the next court date. He never received such notice, causing him to miss the March 20, 1997 court date that had been set, and thus causing a warrant to be issued for his arrest. Mr. * would not have purposefully missed the court date, and would have appeared had he been aware of it. His criminal defense attorney is currently trying to have the court date reset so that Mr. * can complete the requirements of his probation.</w:t>
      </w:r>
    </w:p>
    <w:p w:rsidR="00000000" w:rsidDel="00000000" w:rsidP="00000000" w:rsidRDefault="00000000" w:rsidRPr="00000000" w14:paraId="0000002E">
      <w:pPr>
        <w:spacing w:after="240" w:before="240" w:lineRule="auto"/>
        <w:rPr/>
      </w:pPr>
      <w:r w:rsidDel="00000000" w:rsidR="00000000" w:rsidRPr="00000000">
        <w:rPr>
          <w:rtl w:val="0"/>
        </w:rPr>
        <w:t xml:space="preserve">He has been in INS custody since April 22, 1997. He will be applying for asylum as relief from removal, due to the political situation in his home country of *. His bond is currently set at $50,000. Although he family and friends are extremely anxious to have him released, they are not able to afford to pay that bond at this time. For the reasons explained below, we respectfully request that the bond be lowered to $5,000.</w:t>
      </w:r>
    </w:p>
    <w:p w:rsidR="00000000" w:rsidDel="00000000" w:rsidP="00000000" w:rsidRDefault="00000000" w:rsidRPr="00000000" w14:paraId="0000002F">
      <w:pPr>
        <w:spacing w:after="240" w:before="240" w:lineRule="auto"/>
        <w:rPr/>
      </w:pPr>
      <w:r w:rsidDel="00000000" w:rsidR="00000000" w:rsidRPr="00000000">
        <w:rPr>
          <w:rtl w:val="0"/>
        </w:rPr>
        <w:t xml:space="preserve">II. Respondent is Eligible for Release Under Reasonable Bond</w:t>
      </w:r>
    </w:p>
    <w:p w:rsidR="00000000" w:rsidDel="00000000" w:rsidP="00000000" w:rsidRDefault="00000000" w:rsidRPr="00000000" w14:paraId="00000030">
      <w:pPr>
        <w:spacing w:after="240" w:before="240" w:lineRule="auto"/>
        <w:rPr/>
      </w:pPr>
      <w:r w:rsidDel="00000000" w:rsidR="00000000" w:rsidRPr="00000000">
        <w:rPr>
          <w:rtl w:val="0"/>
        </w:rPr>
        <w:t xml:space="preserve">A. Respondent is Eligible for Release Under INA §236</w:t>
      </w:r>
    </w:p>
    <w:p w:rsidR="00000000" w:rsidDel="00000000" w:rsidP="00000000" w:rsidRDefault="00000000" w:rsidRPr="00000000" w14:paraId="00000031">
      <w:pPr>
        <w:spacing w:after="240" w:before="240" w:lineRule="auto"/>
        <w:rPr/>
      </w:pPr>
      <w:r w:rsidDel="00000000" w:rsidR="00000000" w:rsidRPr="00000000">
        <w:rPr>
          <w:rtl w:val="0"/>
        </w:rPr>
        <w:t xml:space="preserve">. . .</w:t>
      </w:r>
    </w:p>
    <w:p w:rsidR="00000000" w:rsidDel="00000000" w:rsidP="00000000" w:rsidRDefault="00000000" w:rsidRPr="00000000" w14:paraId="00000032">
      <w:pPr>
        <w:spacing w:after="240" w:before="240" w:lineRule="auto"/>
        <w:rPr/>
      </w:pPr>
      <w:r w:rsidDel="00000000" w:rsidR="00000000" w:rsidRPr="00000000">
        <w:rPr>
          <w:rtl w:val="0"/>
        </w:rPr>
        <w:t xml:space="preserve">Thus, respondent does not fall into any of the categories requiring mandatory detention, and thus is eligible for release under INA §236(a). A decision regarding the amount of bond to be imposed should be based on an objective evaluation of the factors presented. Among the relevant factors are: length of residence in the community, employment history, family ties in the United States, record of nonappearances in court proceedings, manner of entry, eligibility for relief from deportation, and limited financial resources. Matter of Patel, 15 I &amp; N Dec. 666 (BIA 1976), Matter of Spiliopoulos, 16 I &amp; N Dec. 561 (BIA 1978); Matter of Leon-Perez, 15 I &amp; N Dec. 239 (BIA 1975). In Matter of Andrade, 19 I &amp; N Dec. 488, 490 (BIA 1987), the Board asserted that: “A respondent’s character is one of the factors we consider in determining the necessity for or the amount of bond.”</w:t>
      </w:r>
    </w:p>
    <w:p w:rsidR="00000000" w:rsidDel="00000000" w:rsidP="00000000" w:rsidRDefault="00000000" w:rsidRPr="00000000" w14:paraId="00000033">
      <w:pPr>
        <w:spacing w:after="240" w:before="240" w:lineRule="auto"/>
        <w:rPr/>
      </w:pPr>
      <w:r w:rsidDel="00000000" w:rsidR="00000000" w:rsidRPr="00000000">
        <w:rPr>
          <w:rtl w:val="0"/>
        </w:rPr>
        <w:t xml:space="preserve">As with all discretionary forms of relief, positive and negative equities must be weighed and balanced. Even if the court were to give some weight to the contention that a respondent is a bail risk, the court must weigh this finding against respondent’s significant countervailing positive equities. The individual bears the burden of demonstrating that he is not a danger to the community and that he is likely to appear at any scheduled hearing.</w:t>
      </w:r>
    </w:p>
    <w:p w:rsidR="00000000" w:rsidDel="00000000" w:rsidP="00000000" w:rsidRDefault="00000000" w:rsidRPr="00000000" w14:paraId="00000034">
      <w:pPr>
        <w:spacing w:after="240" w:before="240" w:lineRule="auto"/>
        <w:rPr/>
      </w:pPr>
      <w:r w:rsidDel="00000000" w:rsidR="00000000" w:rsidRPr="00000000">
        <w:rPr>
          <w:rtl w:val="0"/>
        </w:rPr>
        <w:t xml:space="preserve">In Matter of San Martin, 15 I&amp;N Dec. 167 (BIA 1974), the Board permitted respondent’s release on $15,000 bail despite several adverse factors including: a record of nonappearance in court proceedings; prior flight; the existence of a criminal record of conviction for possession of cocaine; a history of immigration law violations; an unlawful entry; and the absence of any close family ties.</w:t>
      </w:r>
    </w:p>
    <w:p w:rsidR="00000000" w:rsidDel="00000000" w:rsidP="00000000" w:rsidRDefault="00000000" w:rsidRPr="00000000" w14:paraId="00000035">
      <w:pPr>
        <w:spacing w:after="240" w:before="240" w:lineRule="auto"/>
        <w:rPr/>
      </w:pPr>
      <w:r w:rsidDel="00000000" w:rsidR="00000000" w:rsidRPr="00000000">
        <w:rPr>
          <w:rtl w:val="0"/>
        </w:rPr>
        <w:t xml:space="preserve">In the instant case, respondent provides evidence well in excess of his burden under the factors enumerated above, as described below.</w:t>
      </w:r>
    </w:p>
    <w:p w:rsidR="00000000" w:rsidDel="00000000" w:rsidP="00000000" w:rsidRDefault="00000000" w:rsidRPr="00000000" w14:paraId="00000036">
      <w:pPr>
        <w:spacing w:after="240" w:before="240" w:lineRule="auto"/>
        <w:rPr/>
      </w:pPr>
      <w:r w:rsidDel="00000000" w:rsidR="00000000" w:rsidRPr="00000000">
        <w:rPr>
          <w:rtl w:val="0"/>
        </w:rPr>
        <w:t xml:space="preserve">B. . . .</w:t>
      </w:r>
    </w:p>
    <w:p w:rsidR="00000000" w:rsidDel="00000000" w:rsidP="00000000" w:rsidRDefault="00000000" w:rsidRPr="00000000" w14:paraId="00000037">
      <w:pPr>
        <w:spacing w:after="240" w:before="240" w:lineRule="auto"/>
        <w:rPr/>
      </w:pPr>
      <w:r w:rsidDel="00000000" w:rsidR="00000000" w:rsidRPr="00000000">
        <w:rPr>
          <w:rtl w:val="0"/>
        </w:rPr>
        <w:t xml:space="preserve">III. The Evidence Now Presented to this Court Indicates that Respondent is Neither a Danger to the Community Nor at Risk of Flight, and thus that the Immigration Judge Should Set a Reasonable Bond</w:t>
      </w:r>
    </w:p>
    <w:p w:rsidR="00000000" w:rsidDel="00000000" w:rsidP="00000000" w:rsidRDefault="00000000" w:rsidRPr="00000000" w14:paraId="00000038">
      <w:pPr>
        <w:spacing w:after="240" w:before="240" w:lineRule="auto"/>
        <w:rPr/>
      </w:pPr>
      <w:r w:rsidDel="00000000" w:rsidR="00000000" w:rsidRPr="00000000">
        <w:rPr>
          <w:rtl w:val="0"/>
        </w:rPr>
        <w:t xml:space="preserve">A. Respondent is Not a Danger to the Community</w:t>
      </w:r>
    </w:p>
    <w:p w:rsidR="00000000" w:rsidDel="00000000" w:rsidP="00000000" w:rsidRDefault="00000000" w:rsidRPr="00000000" w14:paraId="00000039">
      <w:pPr>
        <w:spacing w:after="240" w:before="240" w:lineRule="auto"/>
        <w:rPr/>
      </w:pPr>
      <w:r w:rsidDel="00000000" w:rsidR="00000000" w:rsidRPr="00000000">
        <w:rPr>
          <w:rtl w:val="0"/>
        </w:rPr>
        <w:t xml:space="preserve">In the instant case, respondent provides evidence well in excess of his burden under the factors enumerated above.</w:t>
      </w:r>
    </w:p>
    <w:p w:rsidR="00000000" w:rsidDel="00000000" w:rsidP="00000000" w:rsidRDefault="00000000" w:rsidRPr="00000000" w14:paraId="0000003A">
      <w:pPr>
        <w:spacing w:after="240" w:before="240" w:lineRule="auto"/>
        <w:rPr/>
      </w:pPr>
      <w:r w:rsidDel="00000000" w:rsidR="00000000" w:rsidRPr="00000000">
        <w:rPr>
          <w:rtl w:val="0"/>
        </w:rPr>
        <w:t xml:space="preserve">Respondent’s family and friends are eagerly awaiting his return to their lives in San Jose, California. Respondent has never been a dangerous or violent person. All of his friends and family speak of his warm nature and his good character.</w:t>
      </w:r>
    </w:p>
    <w:p w:rsidR="00000000" w:rsidDel="00000000" w:rsidP="00000000" w:rsidRDefault="00000000" w:rsidRPr="00000000" w14:paraId="0000003B">
      <w:pPr>
        <w:spacing w:after="240" w:before="240" w:lineRule="auto"/>
        <w:rPr/>
      </w:pPr>
      <w:r w:rsidDel="00000000" w:rsidR="00000000" w:rsidRPr="00000000">
        <w:rPr>
          <w:rtl w:val="0"/>
        </w:rPr>
        <w:t xml:space="preserve">Respondent has a good job as a salesperson at *. He will return to that job, and then would like to finish his undergraduate degree at San Jose State University in the Fall. His supervisor, *, states that he is a “model employee,” who is “impeccably honest, always cheerful, caring and eager to please.” Exhibit 2. Mr. *’s friend * also notes that he “is truly a kind, warm, compassionate, and intelligent person.” Exhibit 3. *, brother-in-law of Mr. *, and a United States citizen, agrees that Mr. *, who he has known for four years, “has a warm personality, and he is of good character and strong moral values. . . .* is a Christian and is well read in the Bible, and exercises his Christian values in all his dealings with friends and relatives. . . .* is a young man and if given the chance — he will make a great American.” Exhibit 4.</w:t>
      </w:r>
    </w:p>
    <w:p w:rsidR="00000000" w:rsidDel="00000000" w:rsidP="00000000" w:rsidRDefault="00000000" w:rsidRPr="00000000" w14:paraId="0000003C">
      <w:pPr>
        <w:spacing w:after="240" w:before="240" w:lineRule="auto"/>
        <w:rPr/>
      </w:pPr>
      <w:r w:rsidDel="00000000" w:rsidR="00000000" w:rsidRPr="00000000">
        <w:rPr>
          <w:rtl w:val="0"/>
        </w:rPr>
        <w:t xml:space="preserve">All of his friends also agree that Mr. * is not a threat or danger to anyone. *, a co-worker and friend, states that “he is an energetic, resourceful, intelligent and trusting young man.” Exhibit 6. *, a friend of Mr. * and his family who had known Mr. * for ten years, states that he “exhibits a good character” and had a “warm and cordial personality”. Exhibit 7. He is the “embodiment of an exceptional upbringing,” who “has extended his family values to friends at school and associates at work.”</w:t>
      </w:r>
    </w:p>
    <w:p w:rsidR="00000000" w:rsidDel="00000000" w:rsidP="00000000" w:rsidRDefault="00000000" w:rsidRPr="00000000" w14:paraId="0000003D">
      <w:pPr>
        <w:spacing w:after="240" w:before="240" w:lineRule="auto"/>
        <w:rPr/>
      </w:pPr>
      <w:r w:rsidDel="00000000" w:rsidR="00000000" w:rsidRPr="00000000">
        <w:rPr>
          <w:rtl w:val="0"/>
        </w:rPr>
        <w:t xml:space="preserve">The fact of respondent’s single conviction also does not indicate a dangerous or threatening person. His single conviction for forging a driver’s license resulted from his application for a second driver’s license using his middle name. He did this naively, solely because he was unable at the time to pay some traffic tickets, and did not know what action to take. Exhibit 1. At no time did his actions constitute a danger to anyone. He now has recognized his mistake, and the judge in his case determined that he did not merit any jail time, but instead gave him probation, and allowed him to serve his 90 day sentence by spending time in custody only from Tuesday night to Thursday morning each week for 30 weeks. The judge did this so that Mr. * would not have to miss school or work. As well, after two years, the judge told him he could reduce the conviction to a misdemeanor. These facts demonstrate that Mr. * is not a violent person, or an individual who would cause harm to anyone. He has no other convictions, and has never had any dealings with drugs, firearms or violence.</w:t>
      </w:r>
    </w:p>
    <w:p w:rsidR="00000000" w:rsidDel="00000000" w:rsidP="00000000" w:rsidRDefault="00000000" w:rsidRPr="00000000" w14:paraId="0000003E">
      <w:pPr>
        <w:spacing w:after="240" w:before="240" w:lineRule="auto"/>
        <w:rPr/>
      </w:pPr>
      <w:r w:rsidDel="00000000" w:rsidR="00000000" w:rsidRPr="00000000">
        <w:rPr>
          <w:rtl w:val="0"/>
        </w:rPr>
        <w:t xml:space="preserve">Respondent would thus not be a danger to anyone in his community if he is released from custody. He has learned from the mistake that led to his single non-violence-related conviction. He looks forward to returning to a stable life with his family and friends, job and then school.</w:t>
      </w:r>
    </w:p>
    <w:p w:rsidR="00000000" w:rsidDel="00000000" w:rsidP="00000000" w:rsidRDefault="00000000" w:rsidRPr="00000000" w14:paraId="0000003F">
      <w:pPr>
        <w:spacing w:after="240" w:before="240" w:lineRule="auto"/>
        <w:rPr/>
      </w:pPr>
      <w:r w:rsidDel="00000000" w:rsidR="00000000" w:rsidRPr="00000000">
        <w:rPr>
          <w:rtl w:val="0"/>
        </w:rPr>
        <w:t xml:space="preserve">B. Respondent Would Appear for Any Scheduled Proceedings</w:t>
      </w:r>
    </w:p>
    <w:p w:rsidR="00000000" w:rsidDel="00000000" w:rsidP="00000000" w:rsidRDefault="00000000" w:rsidRPr="00000000" w14:paraId="00000040">
      <w:pPr>
        <w:spacing w:after="240" w:before="240" w:lineRule="auto"/>
        <w:rPr/>
      </w:pPr>
      <w:r w:rsidDel="00000000" w:rsidR="00000000" w:rsidRPr="00000000">
        <w:rPr>
          <w:rtl w:val="0"/>
        </w:rPr>
        <w:t xml:space="preserve">Respondent would not be a flight risk if he is released on bond. He would like more than anything to return to his family and friends in San Jose, California. He has had a good job there, which he would like to return to, and he also plans to continue his studies at San Jose State University to complete his undergraduate degree.</w:t>
      </w:r>
    </w:p>
    <w:p w:rsidR="00000000" w:rsidDel="00000000" w:rsidP="00000000" w:rsidRDefault="00000000" w:rsidRPr="00000000" w14:paraId="00000041">
      <w:pPr>
        <w:spacing w:after="240" w:before="240" w:lineRule="auto"/>
        <w:rPr/>
      </w:pPr>
      <w:r w:rsidDel="00000000" w:rsidR="00000000" w:rsidRPr="00000000">
        <w:rPr>
          <w:rtl w:val="0"/>
        </w:rPr>
        <w:t xml:space="preserve">Moreover, Mr. * is still on probation from his single conviction. He has been in regular contact with his probation officer, as required by the conditions of his probation. He has appeared for every court date for which he received notice. As well, he has attempted to comply with the terms of his probation, but crucial information regarding this has not been given to Mr. *, thereby causing a violation to occur. The violation was caused by no fault of Mr. *. The terms of the probation require him to spend time in custody each week from Tuesday night to Thursday morning. Mr. * intended and has attempted to comply with this requirement. He reported to the place on the time and date instructed, only to be told that because he had not been pre-booked, he could not start completing his sentence. Mr. * had not been previously informed of the need to pre-book, and he called his lawyer and probation officer right away after being informed that he could not start complying with the requirements of his probation. His criminal defence attorney informed him that another date would be set by the judge. Despite the fact that this mistake is a common one which is usually not considered a violation of probation, it appears to have been recorded as a probation violation in this case.</w:t>
      </w:r>
    </w:p>
    <w:p w:rsidR="00000000" w:rsidDel="00000000" w:rsidP="00000000" w:rsidRDefault="00000000" w:rsidRPr="00000000" w14:paraId="00000042">
      <w:pPr>
        <w:spacing w:after="240" w:before="240" w:lineRule="auto"/>
        <w:rPr/>
      </w:pPr>
      <w:r w:rsidDel="00000000" w:rsidR="00000000" w:rsidRPr="00000000">
        <w:rPr>
          <w:rtl w:val="0"/>
        </w:rPr>
        <w:t xml:space="preserve">At no time did Mr. * intend to violate his probation or even knowingly do so. He plans to complete this requirement of his sentence as soon as he is informed of a new date for him to report to custody. Mr. * must also report to his probation officer on a regular basis, which he has been doing as well.</w:t>
      </w:r>
    </w:p>
    <w:p w:rsidR="00000000" w:rsidDel="00000000" w:rsidP="00000000" w:rsidRDefault="00000000" w:rsidRPr="00000000" w14:paraId="00000043">
      <w:pPr>
        <w:spacing w:after="240" w:before="240" w:lineRule="auto"/>
        <w:rPr/>
      </w:pPr>
      <w:r w:rsidDel="00000000" w:rsidR="00000000" w:rsidRPr="00000000">
        <w:rPr>
          <w:rtl w:val="0"/>
        </w:rPr>
        <w:t xml:space="preserve">Mr. * would never fail to appear at a court hearing of which he was given notice. He has always appeared at the court hearings in Superior Court of Santa Clara County of which he was given notice. Mr. * was expecting to receive notice of the court date at which the judge would set a new date for Mr. * to satisfy the custody conditions of his probation. He never received notice of that date, although undersigned counsel has now learned that a court date of * was set for Mr. *. He never received any notice or information of this date, in writing or otherwise, and hence because he did not know of it, he did not appear in court on that date. A warrant for his arrest was issued as a result of this. Mr. * is prepared to appear for any court date of which he is given notice, as he always has done before. Mr. * is thus not a flight risk and not someone who would knowingly or willfully fail to appear at a court hearing.</w:t>
      </w:r>
    </w:p>
    <w:p w:rsidR="00000000" w:rsidDel="00000000" w:rsidP="00000000" w:rsidRDefault="00000000" w:rsidRPr="00000000" w14:paraId="00000044">
      <w:pPr>
        <w:spacing w:after="240" w:before="240" w:lineRule="auto"/>
        <w:rPr/>
      </w:pPr>
      <w:r w:rsidDel="00000000" w:rsidR="00000000" w:rsidRPr="00000000">
        <w:rPr>
          <w:rtl w:val="0"/>
        </w:rPr>
        <w:t xml:space="preserve">Mr. * will be submitting an application for asylum, based on his fear of returning to his home country of * because of the political situation there, the fact that his father is from a minority group, and based on his family’s involvement in politics. Thus, relief from removal is available to him, and he thus would have no reason not to appear at his future immigration hearings.</w:t>
      </w:r>
    </w:p>
    <w:p w:rsidR="00000000" w:rsidDel="00000000" w:rsidP="00000000" w:rsidRDefault="00000000" w:rsidRPr="00000000" w14:paraId="00000045">
      <w:pPr>
        <w:spacing w:after="240" w:before="240" w:lineRule="auto"/>
        <w:rPr/>
      </w:pPr>
      <w:r w:rsidDel="00000000" w:rsidR="00000000" w:rsidRPr="00000000">
        <w:rPr>
          <w:rtl w:val="0"/>
        </w:rPr>
        <w:t xml:space="preserve">Respondent thus has every reason to remain in San Jose, California and to appear at any future court hearings. Moreover, his life is with his family, friends, job and school in San Jose, California, and he has nothing to go to anywhere else.</w:t>
      </w:r>
    </w:p>
    <w:p w:rsidR="00000000" w:rsidDel="00000000" w:rsidP="00000000" w:rsidRDefault="00000000" w:rsidRPr="00000000" w14:paraId="00000046">
      <w:pPr>
        <w:spacing w:after="240" w:before="240" w:lineRule="auto"/>
        <w:rPr/>
      </w:pPr>
      <w:r w:rsidDel="00000000" w:rsidR="00000000" w:rsidRPr="00000000">
        <w:rPr>
          <w:rtl w:val="0"/>
        </w:rPr>
        <w:t xml:space="preserve">VI. Conclusion</w:t>
      </w:r>
    </w:p>
    <w:p w:rsidR="00000000" w:rsidDel="00000000" w:rsidP="00000000" w:rsidRDefault="00000000" w:rsidRPr="00000000" w14:paraId="00000047">
      <w:pPr>
        <w:spacing w:after="240" w:before="240" w:lineRule="auto"/>
        <w:rPr/>
      </w:pPr>
      <w:r w:rsidDel="00000000" w:rsidR="00000000" w:rsidRPr="00000000">
        <w:rPr>
          <w:rtl w:val="0"/>
        </w:rPr>
        <w:t xml:space="preserve">For all of the above reasons, this Court should grant respondent’s request that the bond be lowered to a reasonable amount. Respondent is not a danger to the community, and is not a flight risk. He family and friends are eager to have him released from custody, but are unable to afford the $50,000 bond currently set, and thus this Court should order respondent’s release from custody under a reasonable bond of $5,000.</w:t>
      </w:r>
    </w:p>
    <w:p w:rsidR="00000000" w:rsidDel="00000000" w:rsidP="00000000" w:rsidRDefault="00000000" w:rsidRPr="00000000" w14:paraId="00000048">
      <w:pPr>
        <w:spacing w:after="240" w:before="240" w:lineRule="auto"/>
        <w:rPr/>
      </w:pPr>
      <w:r w:rsidDel="00000000" w:rsidR="00000000" w:rsidRPr="00000000">
        <w:rPr>
          <w:rtl w:val="0"/>
        </w:rPr>
        <w:t xml:space="preserve"> </w:t>
      </w:r>
    </w:p>
    <w:p w:rsidR="00000000" w:rsidDel="00000000" w:rsidP="00000000" w:rsidRDefault="00000000" w:rsidRPr="00000000" w14:paraId="00000049">
      <w:pPr>
        <w:rPr/>
      </w:pPr>
      <w:r w:rsidDel="00000000" w:rsidR="00000000" w:rsidRPr="00000000">
        <w:rPr/>
        <w:drawing>
          <wp:inline distB="114300" distT="114300" distL="114300" distR="114300">
            <wp:extent cx="4279900" cy="1028700"/>
            <wp:effectExtent b="0" l="0" r="0" t="0"/>
            <wp:docPr id="2"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4279900" cy="10287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Palatino">
    <w:altName w:val="Book Antiqua"/>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1E0688"/>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1E0688"/>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1E0688"/>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1E0688"/>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1E0688"/>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1E0688"/>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1E0688"/>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1E0688"/>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1E0688"/>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1E0688"/>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1E0688"/>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1E0688"/>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1E0688"/>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1E0688"/>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1E0688"/>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1E0688"/>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1E0688"/>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1E0688"/>
    <w:rPr>
      <w:rFonts w:cstheme="majorBidi" w:eastAsiaTheme="majorEastAsia"/>
      <w:color w:val="272727" w:themeColor="text1" w:themeTint="0000D8"/>
    </w:rPr>
  </w:style>
  <w:style w:type="paragraph" w:styleId="Title">
    <w:name w:val="Title"/>
    <w:basedOn w:val="Normal"/>
    <w:next w:val="Normal"/>
    <w:link w:val="TitleChar"/>
    <w:uiPriority w:val="10"/>
    <w:qFormat w:val="1"/>
    <w:rsid w:val="001E0688"/>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1E0688"/>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1E0688"/>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1E0688"/>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1E0688"/>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1E0688"/>
    <w:rPr>
      <w:i w:val="1"/>
      <w:iCs w:val="1"/>
      <w:color w:val="404040" w:themeColor="text1" w:themeTint="0000BF"/>
    </w:rPr>
  </w:style>
  <w:style w:type="paragraph" w:styleId="ListParagraph">
    <w:name w:val="List Paragraph"/>
    <w:basedOn w:val="Normal"/>
    <w:uiPriority w:val="34"/>
    <w:qFormat w:val="1"/>
    <w:rsid w:val="001E0688"/>
    <w:pPr>
      <w:ind w:left="720"/>
      <w:contextualSpacing w:val="1"/>
    </w:pPr>
  </w:style>
  <w:style w:type="character" w:styleId="IntenseEmphasis">
    <w:name w:val="Intense Emphasis"/>
    <w:basedOn w:val="DefaultParagraphFont"/>
    <w:uiPriority w:val="21"/>
    <w:qFormat w:val="1"/>
    <w:rsid w:val="001E0688"/>
    <w:rPr>
      <w:i w:val="1"/>
      <w:iCs w:val="1"/>
      <w:color w:val="0f4761" w:themeColor="accent1" w:themeShade="0000BF"/>
    </w:rPr>
  </w:style>
  <w:style w:type="paragraph" w:styleId="IntenseQuote">
    <w:name w:val="Intense Quote"/>
    <w:basedOn w:val="Normal"/>
    <w:next w:val="Normal"/>
    <w:link w:val="IntenseQuoteChar"/>
    <w:uiPriority w:val="30"/>
    <w:qFormat w:val="1"/>
    <w:rsid w:val="001E068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1E0688"/>
    <w:rPr>
      <w:i w:val="1"/>
      <w:iCs w:val="1"/>
      <w:color w:val="0f4761" w:themeColor="accent1" w:themeShade="0000BF"/>
    </w:rPr>
  </w:style>
  <w:style w:type="character" w:styleId="IntenseReference">
    <w:name w:val="Intense Reference"/>
    <w:basedOn w:val="DefaultParagraphFont"/>
    <w:uiPriority w:val="32"/>
    <w:qFormat w:val="1"/>
    <w:rsid w:val="001E0688"/>
    <w:rPr>
      <w:b w:val="1"/>
      <w:bCs w:val="1"/>
      <w:smallCaps w:val="1"/>
      <w:color w:val="0f4761" w:themeColor="accent1" w:themeShade="0000BF"/>
      <w:spacing w:val="5"/>
    </w:rPr>
  </w:style>
  <w:style w:type="paragraph" w:styleId="CASEH2" w:customStyle="1">
    <w:name w:val="CASE_H2"/>
    <w:basedOn w:val="Normal"/>
    <w:uiPriority w:val="99"/>
    <w:rsid w:val="001E0688"/>
    <w:pPr>
      <w:widowControl w:val="0"/>
      <w:tabs>
        <w:tab w:val="left" w:pos="300"/>
      </w:tabs>
      <w:suppressAutoHyphens w:val="1"/>
      <w:autoSpaceDE w:val="0"/>
      <w:autoSpaceDN w:val="0"/>
      <w:adjustRightInd w:val="0"/>
      <w:spacing w:after="180" w:line="220" w:lineRule="atLeast"/>
      <w:jc w:val="center"/>
      <w:textAlignment w:val="center"/>
    </w:pPr>
    <w:rPr>
      <w:rFonts w:ascii="MyriadPro-Regular" w:cs="MyriadPro-Regular" w:hAnsi="MyriadPro-Regular" w:eastAsiaTheme="minorEastAsia"/>
      <w:color w:val="a73439"/>
      <w:kern w:val="0"/>
      <w:sz w:val="19"/>
      <w:szCs w:val="19"/>
      <w:lang w:eastAsia="en-IN"/>
    </w:rPr>
  </w:style>
  <w:style w:type="paragraph" w:styleId="CASETXNI" w:customStyle="1">
    <w:name w:val="CASE_TXNI"/>
    <w:basedOn w:val="Normal"/>
    <w:uiPriority w:val="99"/>
    <w:rsid w:val="001E0688"/>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CASETXT" w:customStyle="1">
    <w:name w:val="CASE_TXT"/>
    <w:basedOn w:val="Normal"/>
    <w:uiPriority w:val="99"/>
    <w:rsid w:val="001E0688"/>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NEPQNL1mid" w:customStyle="1">
    <w:name w:val="NEPQ_NL1_mid"/>
    <w:basedOn w:val="Normal"/>
    <w:uiPriority w:val="99"/>
    <w:rsid w:val="001E0688"/>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H1recto" w:customStyle="1">
    <w:name w:val="CASE_H1_recto"/>
    <w:basedOn w:val="Normal"/>
    <w:uiPriority w:val="99"/>
    <w:rsid w:val="001E0688"/>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character" w:styleId="x" w:customStyle="1">
    <w:name w:val="x"/>
    <w:uiPriority w:val="99"/>
    <w:rsid w:val="001E0688"/>
    <w:rPr>
      <w:color w:val="000000"/>
      <w:w w:val="100"/>
    </w:rPr>
  </w:style>
  <w:style w:type="character" w:styleId="ITALIC" w:customStyle="1">
    <w:name w:val="ITALIC"/>
    <w:uiPriority w:val="99"/>
    <w:rsid w:val="001E0688"/>
    <w:rPr>
      <w:i w:val="1"/>
      <w:color w:val="000000"/>
      <w:w w:val="100"/>
      <w:lang w:eastAsia="x-none" w:val="en-US"/>
    </w:rPr>
  </w:style>
  <w:style w:type="character" w:styleId="NEPQNL11" w:customStyle="1">
    <w:name w:val="NEPQ_NL11"/>
    <w:uiPriority w:val="99"/>
    <w:rsid w:val="001E0688"/>
    <w:rPr>
      <w:rFonts w:ascii="PalatinoLTStd-Roman" w:hAnsi="PalatinoLTStd-Roman"/>
      <w:color w:val="000000"/>
      <w:w w:val="100"/>
      <w:lang w:eastAsia="x-none" w:val="en-US"/>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fontTable" Target="fontTable.xml"/><Relationship Id="rId7" Type="http://schemas.openxmlformats.org/officeDocument/2006/relationships/hyperlink" Target="https://www.cambridgema.gov/-/media/Files/CIRC/knowyourrightsslides/englishkyrslides.pdf" TargetMode="Externa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kS9HHjLy0OUggFXE15c+GOe+Gw==">CgMxLjA4AHIhMUkwQ0h3ZXhneTZzazdPSTB0Wl8xYWFXLXF5T3ViSkgx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6FAE18D1336714AB9B410BDAC6FD748" ma:contentTypeVersion="12" ma:contentTypeDescription="Create a new document." ma:contentTypeScope="" ma:versionID="c83b5dfa15f4599c18a1a65fce38cb9b">
  <xsd:schema xmlns:xsd="http://www.w3.org/2001/XMLSchema" xmlns:xs="http://www.w3.org/2001/XMLSchema" xmlns:p="http://schemas.microsoft.com/office/2006/metadata/properties" xmlns:ns2="5041eee3-99e3-4b4c-bd80-eccf1ef4b2d3" xmlns:ns3="681b8b6f-1b57-476a-8dd6-80d1d09c59e1" targetNamespace="http://schemas.microsoft.com/office/2006/metadata/properties" ma:root="true" ma:fieldsID="fe9756aa161f4e54be82007aa4ed6a8f" ns2:_="" ns3:_="">
    <xsd:import namespace="5041eee3-99e3-4b4c-bd80-eccf1ef4b2d3"/>
    <xsd:import namespace="681b8b6f-1b57-476a-8dd6-80d1d09c59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eee3-99e3-4b4c-bd80-eccf1ef4b2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0db18-5969-473e-a474-9ff3e4bd949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b8b6f-1b57-476a-8dd6-80d1d09c59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7748d5-3982-4bcf-9b58-1b02aee89c46}" ma:internalName="TaxCatchAll" ma:showField="CatchAllData" ma:web="681b8b6f-1b57-476a-8dd6-80d1d09c5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41eee3-99e3-4b4c-bd80-eccf1ef4b2d3">
      <Terms xmlns="http://schemas.microsoft.com/office/infopath/2007/PartnerControls"/>
    </lcf76f155ced4ddcb4097134ff3c332f>
    <TaxCatchAll xmlns="681b8b6f-1b57-476a-8dd6-80d1d09c59e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0B8E03E-7055-4640-A141-12603A744BDD}"/>
</file>

<file path=customXML/itemProps3.xml><?xml version="1.0" encoding="utf-8"?>
<ds:datastoreItem xmlns:ds="http://schemas.openxmlformats.org/officeDocument/2006/customXml" ds:itemID="{83A15765-2A17-4973-A071-CBC001CFC593}"/>
</file>

<file path=customXML/itemProps4.xml><?xml version="1.0" encoding="utf-8"?>
<ds:datastoreItem xmlns:ds="http://schemas.openxmlformats.org/officeDocument/2006/customXml" ds:itemID="{8CCAB1EF-8311-49D1-AB5C-AD6FB5CE107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Billie SFO</dc:creator>
  <dcterms:created xsi:type="dcterms:W3CDTF">2025-05-29T04:52:00Z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0x010100D6FAE18D1336714AB9B410BDAC6FD748</vt:lpwstr>
  </property>
</Properties>
</file>