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AspenCh3Supp2025</w:t>
      </w:r>
    </w:p>
    <w:p w:rsidR="00000000" w:rsidDel="00000000" w:rsidP="00000000" w:rsidRDefault="00000000" w:rsidRPr="00000000" w14:paraId="00000002">
      <w:pPr>
        <w:rPr/>
      </w:pPr>
      <w:r w:rsidDel="00000000" w:rsidR="00000000" w:rsidRPr="00000000">
        <w:rPr>
          <w:rtl w:val="0"/>
        </w:rPr>
        <w:t xml:space="preserve">On page 122 of the text before the notes, add:</w:t>
      </w:r>
    </w:p>
    <w:p w:rsidR="00000000" w:rsidDel="00000000" w:rsidP="00000000" w:rsidRDefault="00000000" w:rsidRPr="00000000" w14:paraId="00000003">
      <w:pPr>
        <w:rPr/>
      </w:pPr>
      <w:r w:rsidDel="00000000" w:rsidR="00000000" w:rsidRPr="00000000">
        <w:rPr>
          <w:rtl w:val="0"/>
        </w:rPr>
        <w:t xml:space="preserve">Continued Excerpt from Deporting our Souls: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DHS placed INS functions into two divisions: U.S. Citizenship and Immigration Services (USCIS), which handles immigrant visa petitions, naturalization, and asylum and refugee applications, and the Under Secretary for Border and Transportation Security, which includes the Bureau of Customs and Border Protection along with Immigration and Customs Enforcement units, for enforcement matters.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Before and after the creation of DHS, and presumably using preexisting authority and new-found power under the PATRIOT Act, the administration implemented, in the name of national security, a number of policies and actions aimed at noncitizens.</w:t>
      </w:r>
    </w:p>
    <w:p w:rsidR="00000000" w:rsidDel="00000000" w:rsidP="00000000" w:rsidRDefault="00000000" w:rsidRPr="00000000" w14:paraId="000000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Amending its own regulations on September 17, 2001, INS is authorized to detain any alien for forty-eight hours without charge, with the possibility of extending the detention for an additional “reasonable period of time” in the event of an “emergency or other extraordinary circumstance.”</w:t>
      </w:r>
    </w:p>
    <w:p w:rsidR="00000000" w:rsidDel="00000000" w:rsidP="00000000" w:rsidRDefault="00000000" w:rsidRPr="00000000" w14:paraId="000000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September 21, 2001, the chief immigration judge orders new procedures requiring all immigration judges to hold “secure” hearings separately from all other cases, to close the hearings to the public, and to avoid discussing the case or disclosing any information about the case to anyone outside the immigration court.</w:t>
      </w:r>
    </w:p>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October 31, 2001, Attorney General John Ashcroft asks the secretary of state to designate forty-six new groups as terrorist organizations pursuant to the PATRIOT Act.</w:t>
      </w:r>
    </w:p>
    <w:p w:rsidR="00000000" w:rsidDel="00000000" w:rsidP="00000000" w:rsidRDefault="00000000" w:rsidRPr="00000000" w14:paraId="0000000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November 9, 2001, Attorney General Ashcroft calls for the “voluntary” interviews of up to 5,000 aliens from countries suspected of harboring relatively large numbers of terrorists; interviewees may be jailed without bond if the attorney general finds they are violating immigration laws.</w:t>
      </w:r>
    </w:p>
    <w:p w:rsidR="00000000" w:rsidDel="00000000" w:rsidP="00000000" w:rsidRDefault="00000000" w:rsidRPr="00000000" w14:paraId="0000000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November 9, 2001, the State Department slows the process for granting visas for men, ages sixteen to forty-five, from certain Arab and Muslim countries by about twenty days.</w:t>
      </w:r>
    </w:p>
    <w:p w:rsidR="00000000" w:rsidDel="00000000" w:rsidP="00000000" w:rsidRDefault="00000000" w:rsidRPr="00000000" w14:paraId="0000000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November 13, 2001, President Bush issues an executive order authorizing the creation of military tribunals to try noncitizens on charges of terrorism.</w:t>
      </w:r>
    </w:p>
    <w:p w:rsidR="00000000" w:rsidDel="00000000" w:rsidP="00000000" w:rsidRDefault="00000000" w:rsidRPr="00000000" w14:paraId="0000000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December 4, 2001, U.S. Senator Russ Feingold holds hearings on the status of detainees. Attorney General Ashcroft suggests that those who question his policies are “aiding and abetting terrorism.”</w:t>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December 6, 2001, INS Commissioner James Ziglar announces that the INS will send the names of more than 300,000 aliens who remain in the United States, despite prior deportation or removal orders, to the FBI for inclusion in the National Crime Information Center database. This becomes known as the Alien Absconder Initiative.</w:t>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January 8, 2002, the Department of Justice adds to the FBI’s National Crime Information Center database the names of about 6,000 men from countries believed to be harboring al-Qaeda members who have ignored deportation or removal orders.</w:t>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January 25, 2002, the deputy attorney general issues instructions for the Alien Absconder Initiative to locate 314,000 people who have a final deportation order, but who have failed to surrender for removal. The deputy attorney general designates several thousand men from “countries in which there has been al-Qaeda terrorist presence or activity” as “priority absconders” and enters them into the National Crime Information Center database.</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March 19, 2002, the Department of Justice announces interviews with 3,000 more Arabs and Muslims present in the United States as visitors or students.</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June 2002, the INS proposes broadening special registration requirements for nonimmigrants from certain designated countries.</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July 15, 2002, the Department of Justice announces a surveillance pilot program whereby U.S. citizens, including truckers, bus drivers, and others, can act as informants to report “suspicious activity.” The program is to be called Operation TIPS (Terrorism Information and Prevention System).</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July 24, 2002, the Department of Justice authorizes any state or local law enforcement officer — with the consent of those who cover the jurisdiction where the law enforcement officer is serving — to perform certain functions of INS officers during the period of a declared “mass influx of aliens.”</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August 21, 2002, the INS deports approximately 100 Pakistanis arrested on immigration violations.</w:t>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September 16, 2002, Attorney General Ashcroft orders the INS to launch a “prompt review” of political asylum cases to identify any immigrants who have admitted to accusations of terrorist activity or being members of any terrorist organizations.</w:t>
      </w:r>
    </w:p>
    <w:p w:rsidR="00000000" w:rsidDel="00000000" w:rsidP="00000000" w:rsidRDefault="00000000" w:rsidRPr="00000000" w14:paraId="0000001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November 6, 2002, INS expands the special registration or National Security Entry-Exit Registration System (NSEERS) by requiring certain male nationals and citizens of Iran, Iraq, Libya, Sudan, and Syria admitted to the United States prior to September 10, 2002, to register with INS. Failure to report to an INS office for fingerprinting, a photo, and an interview will result in deportation. On December 16, 2002, nonimmigrant males sixteen years or older from Saudi Arabia and Pakistan are added to this list. On January 16, 2003, five more countries — Bangladesh, Egypt, Indonesia, Jordan, and Kuwait — are added to the list of twenty whose male citizens must register with INS.</w:t>
      </w:r>
    </w:p>
    <w:p w:rsidR="00000000" w:rsidDel="00000000" w:rsidP="00000000" w:rsidRDefault="00000000" w:rsidRPr="00000000" w14:paraId="0000001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November 18, 2002, the Foreign Intelligence Surveillance Act (FISA) Court of Review rules that the USA PATRIOT Act gives the Department of Justice broad authority to conduct wiretaps and other surveillance on terrorism suspects in the United States.</w:t>
      </w:r>
    </w:p>
    <w:p w:rsidR="00000000" w:rsidDel="00000000" w:rsidP="00000000" w:rsidRDefault="00000000" w:rsidRPr="00000000" w14:paraId="0000001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March 17, 2003, the Bush administration launches Operation Liberty Shield to “increase security and readiness in the United States.” As part of this effort, DHS implements a temporary policy of detaining asylum seekers from three countries where al-Qaeda is known to have operated.</w:t>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March 20, 2003, the attorney general reveals that since December 18, 2002, FBI agents and U.S. marshals have detained foreign nationals for alleged immigration violations in cases where there is not enough evidence to hold them on criminal charges.</w:t>
      </w:r>
    </w:p>
    <w:p w:rsidR="00000000" w:rsidDel="00000000" w:rsidP="00000000" w:rsidRDefault="00000000" w:rsidRPr="00000000" w14:paraId="0000001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late 2005, President Bush confirms that the United States has engaged in secret wiretapping of telephone calls of U.S. citizens with others from abroad without going to the FISA court for authorization.</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As though the PATRIOT Act did not provide enough authority to target certain noncitizens, Congress used the backdrop of 9/11 to enact even more enforcement-related immigration laws in early 2005. In 2002, Congress created the National Commission on Terrorist Attacks Upon the United States (the 9/11 Commission) charged with investigating the circumstances surrounding the 9/11 terrorist attacks and recommending responses. Its final report and recommendations were released in July 2004, and in response, Congress drafted legislation to implement the recommendations. During debates on the legislation, several members of Congress, most notably Representative James Sensenbrenner (R-Wisconsin), the Chair of the House Judiciary Committee, argued for the inclusion of a number of contentious immigration measures. These measures went beyond the Commission’s specific recommendations, nearly preventing the 9/11 Commission legislation’s passage. The immigration-related proposals would expand the government’s authority to arrest, detain, and deport immigrants; restrict judicial review and oversight; and reduce the number of documents immigrants may use to establish their identity. Sensenbrenner also wanted to include a provision barring states from issuing driver’s licenses to undocumented aliens. But commission members and 9/11 victims’ relatives spoke out against these provisions, arguing that the debate was delaying legislation and would not make any significant contribution to public safety and security. Congress removed Sensenbrenner’s proposal and the other anti-immigrant measures from the final version of the commission’s legislation, and the Intelligence Reform and Terrorism Prevention Act of 2004 was enacted.</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However, in early 2005 Representative Sensenbrenner quickly reintroduced the controversial provisions (dubbed the REAL ID Act) that had been removed as a separate bill, and on February 10, the House of Representatives passed Sensenbrenner’s full package. One month later, the same legislation was attached to a huge emergency appropriations bill — a must-sign piece of legislation — to fund U.S. military efforts in Iraq and Afghanistan. The House passed this massive funding bill without any public debate or hearings. When the appropriations issue shifted to the Senate, the bill passed by that body did not include the REAL ID Act. But when the legislation went to the House-Senate conference committee to resolve differences in the two bills, House supporters pushed strongly for the Sensenbrenner provisions to be included. During debates legislators removed a few of the unsavory provisions, including one that would have rewarded private bounty hunters for enforcing immigration laws. But the basic REAL ID Act provisions remained, and the Act was part of the package signed into law.</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REAL ID Act will affect all Americans and has essentially provided the basis for making driver’s licenses de facto national identity cards. Sensenbrenner’s initial stated purpose of simply denying driver’s licenses to undocumented aliens became buried in the onerous provisions required of all states. By 2008, states must issue driver’s licenses that include a “common machine-readable technology” in order for the license to be accepted for federal purposes, such as boarding airplanes, entering federal courthouses, or using the services of private entities such as banks. To get a new approved license, people will have to produce several types of documentation. Those records must prove their name, date of birth, Social Security number, principal residence, and that they are lawfully in the United States. Although states will be responsible for verifying these documents, states receive no funding under the law. The IDs must include the information that appears on state-issued driver’s licenses and non-driver ID cards — name, sex, addresses, and driver’s license or other ID number and a photo. The act requires photos to be digital so authorities can include them in the multi-state database. But the IDs must also include additional features that driver’s licenses and non-driver ID cards do not incorporate. For instance, the ID must include features designed to thwart counterfeiting and identity theft. Once REAL ID is in effect, all fifty states’ DMVs will share information in a common database and may also verify information given to them against various federal databases.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“machine-readable technology” requirement and perhaps DHS add-ons raise serious risk that the REAL ID Act will cause privacy violations. A radio frequency identification (RFID) tag may be placed in our licenses. (Other alternatives include a magnetic strip or enhanced bar code.) In the past, the DHS has indicated a preference for the RFID chips. These tags emit radio frequency signals that would allow the government to track our movement. Private businesses may be able to use remote scanners to read RFID tags as well, adding to the digital dossiers they already compile on consumers. The act requires no safeguards against such intrusions.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At the end of the notes on page 122 of the text, read this piece:</w:t>
      </w:r>
    </w:p>
    <w:p w:rsidR="00000000" w:rsidDel="00000000" w:rsidP="00000000" w:rsidRDefault="00000000" w:rsidRPr="00000000" w14:paraId="00000023">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Jennifer M. Chacón, Unsecured Borders: Immigration Restrictions, Crime Control and National Security</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39 Conn. L. Rev. 1827 (2007)</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One notable feature of the recent immigration debate is the degree to which the rhetoric of security has served as the touchstone of calls for immigration reform. The Immigration and Nationality Act (INA) defines “national security” as the “national defense, foreign relations, or economic interests of the United States.” As this definition suggests, the term “national security” is broad, encompassing protection from threats to vital national interests as well as economic and political interests. The definition is not so broad that it sweeps in all elements of personal and national security. Yet, in the immigration discourse, overly broad concepts of security dominate discussion. In immigration discussions, the concept of security has become tremendously flexible.</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At times, the term signifies traditional national security issues, including antiterrorism efforts. Immigration enforcement at the various points of entry and the surveillance of non-citizens in the interior are presented as a means to defend the nation’s security. . .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At other times, however, the language of national security has been invoked in discussions concerning more general immigration control and crime control measures, particularly those measures aimed at immigrants who have committed crimes. The borders between crime control, immigration control and national security measures have never been secure, but these borders have become much more permeable in the period following the terrorist attacks of September 11, 2001. Indeed, in the area of immigration law more than any other, these boundaries are melting away at a startling pace. While the U.S. government and populace are eager to police the borders of the United States, they are less interested in mapping out exactly where the border ends. The consequence is a general failure to acknowledge the distinct, and sometimes competing, goals of immigration policy, crime control initiatives and national security measures. Policy makers and pundits increasingly portray “border security initiatives” — characterized by border militarization, increasingly expansive grounds for deportation and relaxed procedural standards for immigration investigation — as effective means to secure ill-defined national security goals. Irregular migration, crime committed by non-citizens (or those perceived as non-citizens) and terrorist threats are all subsumed under the broad rubric of national security threats. The expanded and accelerated removal of non-citizens is presented, incorrectly, as an answer to all of these problems, even while core security initiatives languish.</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One such crisis moment undoubtedly began on September 11, 2001, when hijackers took control of four large passenger jets and used them as weapons to destroy the two towers of the World Trade Center in New York and to damage the Pentagon in Washington, D.C. Since the attacks of September 11th, the language of security has once again come to dominate discussions of immigration policy. There is no doubt that the attacks of September 11th exposed vulnerabilities in U.S. intelligence, but the immigration debate soon took center stage. As in the past, the rhetoric of national security in these immigration discussions conceals complex assumptions about immigration, race, assimilability, and criminality. In contemporary discussions of policies aimed at removing “undesirable” non-citizens, distinctions between undocumented migrants, “criminal aliens,” and individuals who pose threats to national security are often blurred. Although the three groups may have discrete areas of overlap, for the most part they are separate populations. Policies that seek to control one group will not necessarily ensure the control of another. This raises the question of how we have reached the point where it is acceptable to conflate these three categories and to develop policy responses that are premised upon that conflation. In the remainder of this Part, I try to answer that question. First, I explain how the migrant — particularly the irregular migrant — and the criminal have become conflated in national discourse and policy. Second, I explain how the criminalized migrant has been reframed as a national security threat.</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B. The Alien as National Security Threat</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Like the conflation of migrant status and criminality, the linkages between immigration status and national security threats have deep historical roots that have been reinforced through law. In wartime and other times of national security crises, whether real or perceived, the nation’s leaders have used the rhetoric of security to justify heightened immigration restrictions. During times of peace, however, those favoring immigration restrictions have tended to focus on economic or cultural concerns. September 11, 2001, signaled the beginning of a new era of crisis in the United States, and once again, national security became the touchstone of immigration reform rhetoric.</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groundwork for the post-September 11th rhetorical shift was laid in the 1990s. In 1994, President William Jefferson Clinton made comments epitomizing the deliberate lack of precision that has come to characterize immigration “security” issues. He explained that the militarization of the southern border was an effort to stop the “terrorization” of American citizens by foreigners stating, “[t]he simple fact is that we must not and we will not surrender our borders to those who wish to exploit our history of compassion and justice. We cannot. . .allow our people to be endangered by those who would enter our country to terrorize Americans. . . .” President Clinton’s remarks prefigured two trends that have taken firm hold in the period following September 11, 2001. First, his comments equate border control with the anti-crime agenda, thus implicitly relying upon the link between migrant status and criminality. This tendency was already a distinct feature of the American political and legislative landscape by the mid-1990s, and has only gathered strength over the past decade. Second, his comments depict migrant criminality as a “terrorist threat.” In so doing, he demonstrated political prescience; statements like these have become the norm in the contemporary immigration debate. Such statements were less common, however, in the mid-1990s. This is evident in the debates surrounding the enactment of AEDPA and IIRIRA, two bills that significantly altered the legal terrain of immigration law.</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AEDPA was passed on April 24, 1996 in response to a terrorist act: the Oklahoma City bombings. That act was, ironically, carried out entirely by citizens. Some of the legislation had been intended as a response to the 1992 World Trade Center bombings, but it was the horror of the Oklahoma City bombings that spurred the bill to passage. Consequently, the focus of the legislation was upon curbing future threats of terrorism. The legislation contained prohibitions on international terrorist fundraising, special removal procedures for “terrorist aliens,” and modifications to federal criminal law and procedure to facilitate the penalization of predatory acts of terrorism. AEDPA also contained provisions abrogating federal habeas corpus review. While this measure had an impact on citizens, it disproportionately impacted non-citizens in removal proceedings because they lack procedural protections comparable to those in criminal proceedings. In discussing the AEDPA legislation, enacted in April of 1996, lawmakers in Congress invoked the “terrorist threats” posed by non-citizens as a justification for the special removal provisions and expanded definitions of “terrorist aliens” contained in the legislation. Speedier deportations thus figured as an anti-terrorism initiative.</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spite of the focus on terrorism, more general notions of the criminality of migrants did infect the AEDPA discussions. Abrogated removal procedures would apply not just to “terrorist aliens” but to “criminal aliens” more generally. Members of Congress used crime and terrorism interchangeably in explaining the need for the expedite removal provisions. Nevertheless, what is surprising is the degree to which broader immigration issues were not subsumed in the security legislation, but instead were debated and implemented under the rubric of separate legislation, primarily IIRIRA.</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Given the fact that national security was the central concern of AEDPA, it is also striking that “order security” was not a part of that conversation. In fact, border militarization provisions were not a part of AEDPA at all. Instead, they were included as part of IIRIRA, legislation passed six months later, aimed primarily at redressing the perceived economic impact of migrants. Furthermore, in the IIRIRA debates, members of Congress uniformly referred to these measures as “border control” rather than “border security” measures.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Similarly, aside from the “terrorist alien” provisions of AEDPA, the provisions expanding the categories of removable aliens were contained in the IIRIRA legislation, not in AEDPA. So while AEDPA focused on antiterrorism, IIRIRA and the welfare reform legislation passed in 1996 contained most of the immigration reform provisions focused upon general migration and crime issues. IIRIRA expanded the “aggravated felony” definition to cover a number of low-level crimes, increased penalties for a broad array of immigration-related offenses, increased the bars to reentry, mandated detention for certain non-citizens in removal proceedings, and imposed restrictions on benefits available to non-citizens. In short, general crime control and border control issues were sometimes interwoven with national security concerns in the AEDPA discussions, but were more generally subsumed by immigration policy debates that operated in a separate sphere from security discussions.</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Since September 11, 2001, the bulk of the immigration debate has centered itself around the term “national security.” The term is deployed in a nebulous manner that blurs the boundary between freedom from crime-or personal security-and national security. As a consequence, the removals of non-citizens on the grounds of criminal violations can be, and frequently are, depicted as national security policy. With regard to border enforcement efforts, the phrase “border security” has become a ubiquitous descriptive term for immigration reform in 2006. This is evidenced by the one piece of immigration legislation that Congress managed to pass in 2006: the Secure Fence Act. In the 1996 debates, the notion of “border control” is not linked to discussions of national security, but of crime and immigration control. Retrospective descriptions of IIRIRA refer to the bill as “border security” legislation, using the term that has been the hallmark of the current immigration debate. Such descriptions are anachronistic; IIRIRA was an immigration and crime control measure, not a “border security” measure as that term has come to be understood. But these retrospective characterizations highlight the degree to which the separation between migration, crime, and national security issues has completely broken down over the past few years.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facile leap from criminality to terrorism is not confined to the media — it permeates the halls of Congress. When the House of Representatives held a hearing on the Senate proposal on July 27, 2006, that hearing was entitled “Whether the Attempted Implementation of Reid-Kennedy Will Result in an Administrative and National Security Nightmare.” At those hearings, Representative Hostettler (R-IN) opposed the amnesty provisions of Senate Bill 2611 by noting that after the 1986 amnesty, 71,000 people with FBI rap sheets were naturalized and 10,800 of those individuals had prior felony arrests. Hostettler posited that because fraud is even more pervasive now and that the means to achieving it are much more sophisticated, then the amnesty process would be even more susceptible to letting terrorists legalize their status in the U.S. While Hostettler’s statement before the committee clearly made the leap from criminality to terrorism, that leap was highlighted even more pointedly in the testimony of Peter Gadiel. Gadiel testified in his capacity as a father of a victim of the September 11, 2001 terrorist attacks, not as an expert in immigration law and policy. His presence and testimony underscore the blurring of crime and national security issues. Gadiel posited at the hearing that the passage of the Senate bill would result in “Americans being murdered and subjected to other horrific crimes committed by the dangerous illegal aliens who would be permitted to legally remain in the United States. . . .” He also hypothesized that since a third of federal inmates are foreign born, U.S. citizens were already being victimized as a result of the last amnesty.</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September 12, 2006, in his opening statements for the House Republican Border Security Forum, Speaker of the House Dennis Hastert (R-IL) also played up the link between immigrants, crime and terrorism. Hastert said:</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need for [border security] reforms should be obvious only a day removed from the fifth anniversary of September 11th, 2001, when 19 terrorists exploited and at least six violated our immigration laws to murder 3000 of our citizens. The war on terror and the porous state of our borders demand concrete action on behalf of homeland and national security. But this isn’t just about grand schemes against us. Some of the illegals crossing our borders are gang members who cross to injure our citizens. This is a daily struggle in some towns.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Again, his words work merge concerns about general criminality and terrorism.</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V. Removal Policies Also Fail as Crime and Immigration Control</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Even if deportation is not a commonly used or effective mechanism for addressing genuine national security concerns such as terrorism, it is still worth asking whether it serves as a tool for promoting immigration control and crime control. After all, the government officials responsible for overseeing the rapidly increasing use of deportation have defined “national security” in such a way that it encompasses not just terrorist threats, but also street crime and simple immigration violations.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the past decade, the United States has experienced a massive expansion in the grounds for criminal deportability combined with increased enforcement of these deportation provisions through removal. The increase in the overall number of removals since September 11, 2001, has been almost entirely caused by the increase in the removal of non-citizens on grounds of immigration violations. Removals for failure to maintain status have grown slightly from 708 in 1996 to 1240 in 2003. Removals for being present without authorization have ballooned up from 23,522 in 1996 to 73,609 in 2003. Removals for other immigration violations have increased from 49 in 1996 to 1442 in 2003. And these numbers do not even take into account the hundreds of thousands of voluntary departures of individuals detained near the border or desperate to leave detention. On top of this, removal on criminal grounds has ballooned from 14,475 in 1991 to 42,510 in 2004.</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discussions pertaining to immigration policy, insufficient effort is made to distinguish between, on one hand, removals relating to national security, and on the other, immigration and crime control removals, let alone to disaggregating crime and immigration removals. Thus, the upsurge in the overall number of removals erroneously fills the void created by the almost complete absence of security-based removals. This, in turn, frames the accelerated removal policies as an enhancement in national security policy, even when they are not related to national security at all.</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blurring of the line between national security measures and crime and immigration control measures is so complete that the immigration enforcement bureaucracy no longer bothers to distinguish between them. ICE recently unveiled a comprehensive immigration enforcement strategy for the nation’s interior. ICE’s report on the program states that one goal is to “[t]arget and remove aliens that pose criminal/national security threats.”</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A. The Wave of Removals Does Not Improve Personal Security</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the period leading up to the 1996 legislation, most of the discussions of “security in the immigration context involved not national security, but the personal security of citizens in the form of freedom from crime. In the period since September 11, 2001, the rhetoric of national security has been deployed even when the substance of the discussion rotates around personal security concerns. It is therefore important to ask whether the massive increase in the removal of non-citizens serves legitimate criminal law enforcement goals, regardless of its efficacy (or lack thereof) as a national security strategy.</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Unfortunately, it seems unlikely that the present strategy of broadening the categories of “criminal aliens” and increasing law enforcement and immigration enforcement measures aimed at detaining and removing these “criminal aliens” has had much of an impact on crime. It is important to point out as an initial matter that no empirical studies have been done to substantiate the links between the increasing criminalization of immigration and decreasing crime. Interestingly, as deportation is on the rise, violent crime is increasing, not decreasing. The drive to expand the scope and enforcement of removal laws has been justified on the basis of many questionable assumptions. In this section, I challenge some of the assumptions regarding migrant criminality, question the overbreadth of removal provisions, and suggest that removal is not an effective means of achieving either deterrence or incapacitation in the crime control context.</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B. Questioning Removal as Immigration Strategy</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Perhaps the most ironic aspect of the massive surge in the removal of criminal aliens and the prosecution of immigration related crimes is that it does not seem to be a very successful strategy for deterring unauthorized migration. While advocates of the current efforts to ramp up removals on immigration and crime grounds have posited that such policies will deal with the problem of undocumented migration through attrition, the strategy does not appear to be working. A recently released study from the Pew Hispanic Foundation reveals that after the enactment of the tough 1996 laws and the wave of removals that followed, the number of immigrants coming into the United States actually soared, with the number of undocumented migrants growing faster than other segments of the immigrant population. Thus, even as the policy fails as a matter of national security and crime control, it does not seem to do much to increase immigration control either.</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variety of factors push migrants to leave behind the security they know in their homelands, risk death in dangerous border crossings and risk imprisonment and other penalties through working and living in the United States without proper documentation. Removal policy does not address those factors. Indeed, in some cases, it may aggravate them. Nor does removal policy do anything to target the primary pull factor that draws migrants to the United States: jobs. U.S. employers have been largely unaffected by the increasing criminal penalties for immigration violations because the law is seldom enforced against them.</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Perhaps over time, a sustained policy of removing non-citizens through workplace and neighborhood raids, or after convictions, will decrease the number of undocumented migrants. But the costs to civil rights will be high. The dollar cost will be tremendous. The historical failures of removal as a cure for irregular migration counsel a search for more effective and less costly solutions.</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C. The Retributive Agenda of Immigration Policy</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Retribution concerns itself with fitting the crime to the punishment. Removal policy, on its face, has no such concern. First, there is no effort to fit the punishment to the crime. Removal is used as a blanket policy that covers everyone from an individual who entered without inspection to a person who sells drugs to a person who plots terrorist acts against our cities. To a greater degree than criminal detention, removal may be more punitive in some cases than in others. Removal is less of a penalty for the person who entered the United States three weeks ago on a visitor’s visa and has a stable home and job awaiting him than it is for the person who entered the country forty years ago at age two, and who knows no other home, or for the person who will face discrimination, persecution or starvation in their home country. Because of changes in the immigration laws, such equities play no role in the determination of whether removal constitutes an appropriate “civil sanction” in the cases of individual non-citizens. Thus, the notion of proportionality, a classic retributive notion, is plainly absent.</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At base, however, U.S. removal policies are retributive in the more primitive sense of the word. The crime is not the underlying offense so much as it is the act of committing any transgression, whether great or small, while being present in the United States as a non-citizen. The hidden retributive agenda of immigration policy is rooted in mythologies of migrant criminality and fueled by fears of terrorism. In dispelling the underlying myths and misconceptions that drive the retributive agenda of removal, we can better assess the flaws of current policies.</w:t>
      </w:r>
    </w:p>
    <w:p w:rsidR="00000000" w:rsidDel="00000000" w:rsidP="00000000" w:rsidRDefault="00000000" w:rsidRPr="00000000" w14:paraId="0000004B">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At page 133 of the text, read the following before Part VI.</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Bill Ong Hing, The Failure of Prosecutorial Discretion and the </w:t>
        <w:br w:type="textWrapping"/>
        <w:t xml:space="preserve">Deportation of Oscar Martinez [Part 2]</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15 Scholar: St. Mary’s L. Rev. &amp; Soc. Just. 437 (2013)</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This Article is an account of my failed efforts to stop the forced deportation of [Oscar] Martinez from the United States and the lessons I learned from that experience. My representation of Mr. Martinez centered on navigating the administrative process of requesting prosecutorial discretion from Department of Homeland Security (DHS) officials. As a result of my experience with the process and what I have observed of others pursuing the same process, I have unearthed disquieting evidence of inconsistencies in the program and have concluded extensive changes to the process are necessary. Sympathetic applicants, like Mr. Martinez, highlight the challenges in exercising prosecutorial discretion during the deportation process and the need for cultural and procedural reform of immigration policies.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 begin this Article with an account of how I came to represent Oscar Martinez. . . . Next, I review the “Morton Memo,” from John Morton, the Director of the Department of Homeland Security’s Immigration and Customs Enforcement (ICE) unit, which establishes guidelines for exercising prosecutorial discretion. According to these guidelines, there is strong support for the argument that Mr. Martinez’s deportation should have been terminated. . .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Martinez was born in 1955 in a small town in the state of Guanajuato, Mexico. He grew up poor — often lacking food, clothing, and housing. He attended the local elementary school through the third grade — the highest level of education that the hometown elementary school offered. He then attended three more years of school in a town that was five kilometers away, walking two hours each way because the family could not afford to pay for the van ride. As the oldest child, he had to stop school and begin working by age eleven to help put food on the table.</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Martinez’s hometown — Valle de Santiago — only had about five hundred residents, and the only work available was in the agricultural fields. Some years later, his father decided to try his luck in Mexico City to earn more money. Mr. Martinez and two of his brothers, who also left school at an early age to help work, remained in Valle de Santiago to work in the fields. In 1975, the entire family moved to Mexico City to join their father, where Mr. Martinez found work in a stationery store making minimum wage — more than what he made in the fields.</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Shortly thereafter, Mr. Martinez met Laura Gomez and fell in love. After three years of dating, they decided to get married and form their own family. Even after marrying, Mr. Martinez still felt he had an obligation to help his parents and siblings with expenses, so he continued to share part of his salary with them. His dream was to build a house with his wife and raise children in an environment where they could obtain a good education — an environment very different from his own childhood. Unfortunately, the couple learned that Laura was unable to have children, but they continued to strive for their dream of earning enough money to build a home. However, good work became difficult to find even though expenses were climbing.</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Like so many others, Mr. Martinez looked to the United States to pursue his dream. In 1985, he entered with his father-in-law, looking for work in Oakland, California. He soon found work as a potato packer for a produce company earning only $ 120 per week. Six months later, he found a better job working the graveyard shift from 11 PM to 7 AM in the kitchen of a Holiday Inn (later purchased by Hilton Hotel). Mr. Martinez worked the graveyard shift for ten years. By working hard, Mr. Martinez was given the opportunity to work the day shift, and he maintained that shift until August 2007, when he was arrested by ICE. Although the pay was modest, the job provided medical benefits. In addition to working at the hotel, Mr. Martinez worked part time at a pizza parlor to supplement his income. In total, he averaged sixty-eight to seventy-two hours of work a week to provide for his family’s needs. When the Board of Immigration Appeals (BIA) ruled against him in 2010, Mr. Martinez had worked in the hotel kitchen for almost twenty-five years.</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After his first trip to the United States, Mr. Martinez returned to Mexico a couple of times. His last entry was in 1987 with his first wife Laura, and he resided in the United States continuously since then. In September 1993, they decided to buy a house in Oakland, with the idea that they would adopt a child in the future. Both continued working, but in 1994 Laura began getting sick. Her illness became so debilitating that after a while she had to stop working. Doctors discovered a problem that affected Laura’s lungs and heart, which caused her to suffer a great deal. Sadly, Laura died in January 1995.</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loss of Laura changed Mr. Martinez completely. He was alone in the United States. He did not want his parents or siblings to come to the United States because of the difficulties and dangers of crossing the border. This was a painful period for him, having lost his wife of seventeen years. Mr. Martinez took refuge in his work; he also played baseball to take his mind off the tragedy.</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After some time, his friends suggested that Mr. Martinez look for a new partner so he would not be alone. He was doubtful that he could find someone who would understand his situation and state of mind. However, a couple he knew told him about another friend whose spouse had also passed away. They told Mr. Martinez about Zoila, who was now alone with two young children and also needed companionship. Mr. Martinez was interested in meeting Zoila, especially because she had two children.</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Martinez and Zoila were introduced and they eventually married in March 1996. He treated Zoila’s two children Donaldo and Lorena like his own; they were quite young when he became their stepfather. They felt so fortunate to have been brought together when each was in such great pain and need. They truly felt that they were brought together through divine intervention. . .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Martinez and his second wife successfully integrated into the community and established roots. Mr. Martinez was a good neighbor, a good worker, and a regular churchgoer. He was the godfather to a disabled boy, and participated in church and community events. Reverend A.M., executive director of a local church organizing group, noted that Mr. Martinez and his family “participated in many community activities in our organization. . . . We are grateful for their leadership, responsibility, and commitment to the community.”</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Martinez’s commitment to the community extended beyond religious boundaries. Mr. L.A., a union representative, wrote that Mr. Martinez “has been an active Union member . . . for 22 years. He has always helped his co-workers with problems, attended Union meetings, and worked together with management to resolve any issues as they came up.” Mr. Martinez also was deeply involved in PTA meetings, school activities, and community athletic and cultural programs. Other parents in the community expressed, “Mr. [Martinez] is an active, honest, respectful, and quietly supportive member of our community soccer programs. He and his wife are truly role models for his children as well as their teammates.” Mr. Martinez’s service to the community through many outlets has made him a role model for other children and adults. For example, parents in the community have described Mr. Martinez as “a very responsible person, dedicated to the well being of his family, deeply involved in community and family activities, PTA meetings, school reunions[,] and church issues.” The PTA Council President expressed, “I feel strongly that Mr. [Martinez] is a stabilizing factor in our community. We need more men like him, who are loyal and loving to their families.” Another Berkeley parent noted,</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year after year, [Mr. Martinez] volunteered with me in events held for the local church and Berkeley Unified School District where our children attended. As part of his nature, [Mr. Martinez] goes out of his way to motivate our Latino population and even organizes cultural celebrations at our church and local senior centers.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III. The Morton Memo</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June 17, 2011, U.S. Immigration and Customs Enforcement (ICE) Director John Morton issued an important memorandum on the use of prosecutorial discretion in immigration matters. Prosecutorial discretion refers to the agency’s authority to not enforce immigration laws against certain individuals and groups. The memo calls on ICE attorneys and employees to refrain from pursuing noncitizens with close family, educational, military, or other ties in the United States and instead spend the agency’s limited resources on persons who pose a serious threat to public safety or national security. A closer look at the Morton Memo on prosecutorial discretion reveals that it reaffirms many of the principles and policies of previous guidance on this subject. The memo, however, takes a further step in articulating the expectations for and responsibilities of ICE personnel when exercising their discretion.</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memorandum issued on June 17, 2011 provides guidance to all ICE officials on the exercise of prosecutorial discretion. Specifically, the memo provides a non-exhaustive list of relevant factors that ICE officers should weigh in determining whether to exercise prosecutorial discretion. Several of these factors have a direct bearing on Mr. Martinez’s case, including:</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agency’s civil immigration enforcement priorities;</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person’s length of presence in the United States, with particular consideration given to presence while in lawful status;</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 .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person’s criminal history, including arrests, prior convictions, or outstanding arrest warrants;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person’s immigration history, including any prior removal, outstanding order of removal, prior denial of status, or evidence of fraud;</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whether the person poses a national security or public safety concern;</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person’s ties and contributions to the community, including family relationships;</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person’s ties to his home country and conditions in the country;</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 .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whether the person has a U.S. citizen or permanent resident spouse, child, or parent;</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 .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whether the person or the person’s spouse suffers from severe mental or physical illness[.]</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memo further points out:</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[ICE] has limited resources to remove those illegally in the United States. ICE must prioritize the use of its enforcement personnel, detention space, and removal assets to ensure that the aliens it removes represent, as much as reasonably possible, the agency’s enforcement priorities, namely the promotion of national security, border security, public safety, and the integrity of the immigration system.</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memo goes on to provide examples of those for whom prosecutorial discretion is not appropriate: gang members, serious felons, repeat offenders, and those who pose national security risks. Importantly, and most relevant to Mr. Martinez, the memo notes that prosecutorial discretion can be exercised at any stage of the enforcement proceedings, although exercising the discretion earlier is better to preserve government enforcement funds.</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Morton memo was greeted with fanfare. Some 400,000 pending deportation cases would be reviewed to cull out the low priority immigrants for cancellation of proceedings. . .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[Daughter] Lorena’s statement submitted in support of her father’s cancellation [of removal] application was written when she was a high school senior [Mr. Martinez’s cancellation application was granted by the immigration judge but summarily denied by the Board of Immigration Appeals after the government appealed]:</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I met my father when I was six years old [her natural father had died a few years earlier]. To be exact, I met him on Mother’s day in 1996. He took my family . . . out to dinner to celebrate this special day. I remember being really thrilled to go to a fancy restaurant and eat dinner like typical families do. My mother and my birth father came to America, “the land of opportunity,” to build a better life for their children. Unfortunately, my father died in a car crash in 1992 . . . when I was about [two] years old. My mother was left alone with my older brother and [me] to care for. In 1996, my mother married [Oscar Martinez] whom I not only consider to be my father, but also my hero. He provided my family with what we lacked; support and unconditional love from a father figure.</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ab/>
        <w:t xml:space="preserve">My father is a hard-working, law-abiding man, who worked in the same hotel for [twenty-two] years as a utility worker. Even when my father is sick or tired, he always goes to work. He wakes up extra early to make lunch for my brother and [me] whenever we have school. There has not been one day that my father has forgotten to make lunch for me or my brother. I love and look up to my father in many different ways. My father has taught me to be strong and to always pursue my dreams. He motivates me to keep going every day and constantly advises me to never give up even through the most difficult circumstances.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ab/>
        <w:t xml:space="preserve">My father is very respectful, kind, and funny. I have engaged his faith in God and have applied it in my life. I have utilized my father’s faith to keep me strong and positive throughout this issue. He is extremely passionate about his children and loves playing baseball and soccer with us. He is fully dedicated to my family and is always taking my younger brother and [me] to school, soccer practices, and church. Although he is quiet compared to my mother in [sic] the sidelines, his presence and support means the world to me. I find myself playing better when my father is watching my games because I want to show off my moves and prove to him that I am a good soccer player, like he is in baseball.</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ab/>
        <w:t xml:space="preserve">I have absorbed my father’s persistence and I have taken advantage of all of the opportunities that he never had. He never had a chance to attend school because he had to work from a very young age to support his family’s needs. I am proud to say that I will be the first in my family to attend college. I have applied to four UC’s (Cal, UCLA, UCSD, UCSB) and two private schools (USF and Bucknell). . . . Thanks to my father’s unconditional love and support I have made it this far and I have accomplished many goals in my life.</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ab/>
        <w:t xml:space="preserve">The day that my father was apprehended by Homeland Security, I cried and cried. It was the first day of my senior year and this was the very moment that my family dreaded for so long. Although my family has gone through many obstacles, none of them have been as difficult as seeing my father in a San Francisco court cuffed and escorted by a Homeland Security officer. . .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ab/>
        <w:t xml:space="preserve">. . .I fear that I will come home one day and not see my father there. I am scared that I won’t get the chance to hold my father and tell him how much I love him when I graduate from high school. My father is seen as a criminal for coming into this country but in my eyes, he truly is a hero and a survivor. . . . I beg you Judge Geisse, with all of my heart, to give my father permission to stay in this country legally.</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[After I prepared a hundred-page-plus request for deferred action on behalf of Mr. Martinez based on the Morton Memo, the ICE Field Office Director] made his decision and faxed me this letter: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Dear Mr. Hing:</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Reference is made to your request for Deferred Action filed on behalf of your client, [Oscar Martinez].</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As you are undoubtedly aware, deferred action status is an action of administrative choice, and in no way can it be construed as giving an alien unlawfully in the United States an entitlement to such relief. The deferred action program has always been, and continues to be, an internal procedure of the Agency, which, the Field Office Director can initiate as soon as he perceives an alien’s expulsion would be inappropriate. After a careful review of your client’s case, I decline to grant such action.</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Sincerely,</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Timothy S. Aitken</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With several days remaining before Mr. Martinez had to leave, I renewed my attempts to get DHS officials in Washington, D.C. to intervene. I also attempted to convince Leslie Ungerman, the ICE Chief Counsel, to support a motion to reopen the removal proceedings; if proceedings were reopened, she could take over jurisdiction of the case and terminate proceedings under the Morton Memo. She declined. Martha Flores of Senator Feinstein’s office reported that, to her surprise, she could not get the DHS congressional liaison office to intervene. Yet, from the DHS in Washington, D.C., Paul Gleason informed me that I should contact Mr. Aitken again. The implication was that someone from the ICE Ombudsman’s office in D.C. had contacted Mr. Aitken and asked him to reconsider his decision.</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When I finally reached Mr. Aitken by phone, I asked if he would reconsider his decision, especially given the favorable tone of the Morton Memo for cases involving individuals like Mr. Martinez. Unfortunately, Mr. Aitken was intransigent:</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I’ve always exercised discretion. The June 17 and August 18 memos and announcements from D.C. didn’t say anything new that I have not already been doing; they didn’t change anything; they didn’t change my marching orders; 25 years residence doesn’t mean anything; Martinez just happened to be under the radar. The public expects us to enforce immigration laws. No one has told me the Martinez case is a low priority case; resources have always been expended on these kinds of cases. I also won’t consider an extension of time for him to attend [Lorena]’s graduation. If I did that, then what about the next kid?</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the months that followed the Morton Memo and White House announcements of prosecutorial discretion on low priority cases, the practical reality of the implementation of the Morton Memo began to surface. When I spoke with my contacts in Washington, D.C., about Mr. Martinez’s case, the message I received was that his really was a low priority case that should be covered by the memo. But it turns out that while his request was being rejected, other low priority cases were being denied as well.</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available data reveals relatively few immigrants facing deportation have had their cases closed. On May 29, 2012, ICE officials announced they had considered 232,181 cases of immigrants not currently held in detention. Authorities identified 20,608 possible cases for administrative closure (less than 10 percent), though about 12,000 of them have been held up awaiting criminal background checks. Since closure itself does not give immigrants an avenue toward legal status, about half of those offered closure have rejected it, preferring to have their cases continue in immigration court perhaps to apply for cancellation of removal or asylum. Authorities have also reviewed the cases of 56,180 immigrants currently held in detention. They have offered administrative closure to only about forty of those detainees.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May 2012 update on its review of pending removal cases was DHS’s third report on the process. Each time, the percentage of cases found eligible for administrative closure in the prosecutorial discretion review fell. In a March 5, 2012, report, 8 percent were eligible for closure, 6.2 percent of cases reviewed between March 5 and April 16 were eligible for closure, and just 6 percent of those reviewed from April 16 to May 29 were eligible. In all, about 7 percent were found eligible for administrative closure — a rate that was disappointing to immigrant advocates. The New York Immigration Coalition conducted its own analysis of case data and found that by January 2013 a dismal 2.7 percent of cases nationwide were granted relief.</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a membership survey by the American Immigration Lawyers Association (AILA), those denied prosecutorial discretion included: a longtime resident with no criminal history, no prior removals, with U.S. citizen relatives (Detroit); a longtime resident with no criminal history, no fraud, with strong community ties, U.S. citizen relatives, including a spouse with a severe illness (San Francisco); and an elderly person who suffers with health problems, with no criminal history, no prior removals, with U.S. citizen relatives (New York). On the other hand, those granted prosecutorial discretion included: a longtime resident with no criminal history, strong community ties, U.S. citizen relatives, and few ties to the home country (New York); a person present in the United States since childhood with no criminal history, and U.S. citizen relatives (Detroit); and a person present since childhood with no criminal history, no prior removals, a U.S. high school graduate, with few ties to the home country (Seattle). The lack of consistency across the country in the application of prosecutorial discretion is apparent from a close look at results of this survey.</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Field Office Director Aitken’s my-marching-orders-haven’t-changed response to me was certainly disappointing. However, the AILA survey of attorneys in other parts of the country yielded similar disturbing reports. In the Arlington, Virginia, and Washington, D.C., area ICE officers stated that the June 17th memos “don’t mean anything. If we can arrest you, we will arrest you.” In Atlanta, Georgia, ICE attorneys and officers stated that “they did not intend to comply with the June 17[th] memos absent specific rules to do so.” In Boston, Massachusetts, two of the Congressional offices reportedly confirmed that “ICE is very reluctant to implement the memos and that their offices have been flooded with [prosecutorial discretion] requests.” The offices further asserted that “[a] stay of removal was granted only after congressional intervention at the [ICE Headquarters] level.” In Dallas, Texas, an ICE attorney recounted that the ICE Office of Chief Counsel had expressed that they were presently exercising prosecutorial discretion and thus did not have to make any changes to their protocol.</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Detroit, Michigan, ICE refused prosecutorial discretion requests even in “very meritorious cases,” and one attorney was informed, among other rationale[s], that prosecutorial discretion was not forthcoming because “resources have already been expended in litigating the case. . . .” This reason may have been in the back of Mr. Aitken’s mind when he denied Mr. Martinez’s request. In Los Angeles, one attorney claimed that less discretion was being exercised after the June 17th memo. In Orlando, Florida, an attorney declared that ICE was “not heeding the memo and does not consider it binding.” Finally, another attorney in Miami, Florida communicated that ICE Enforcement and Removal Operations has described their status as “business as usual.”</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Clearly, part of the problem with the lack of consistency in the implementation of the Morton Memo has been resistance from ICE employees and the ICE union. In January 2012, the New York Times reported:</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While virtually all of the agency’s lawyers and supervisors have received training, the union representing about 7,000 field agents is refusing to let its members attend the sessions. . . .The union president, Chris Crane, says the strategy is preventing agents from enforcing the law. In October, he told Congress the policy was too confusing for agents to understand and would lead to “victimization and death,” for reasons that were unclear.</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 Crane has taken his grievances to the hard-right media, complaining to Fox News and Lou Dobbs that his bosses are endangering lives and abdicating their law-enforcement duties.</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few days after the Morton Memo was issued, the ICE union issued its own press release in which Crane warned:</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Any American concerned about immigration needs to brace themselves for what’s coming. . . . The desires of foreign nationals illegally in the United States were the framework from which these policies were developed. . . . The result is a means for every person here illegally to avoid arrest or detention; as officers we will never know who we can or cannot arrest.</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Administrative Discretion “Standards”</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decision to enforce Mr. Martinez’s departure was frustrating for his family and for me. The impression I received from my contacts and officials from DHS in Washington, D.C., was that Mr. Martinez fell within the prosecutorial discretion guidelines of the Morton Memo; in other words, he was worthy of having his removal halted. Yet, Mr. Aitken, the local ICE field office director, felt otherwise. The Morton Memo represented no new orders, as far as he was concerned. And he had the final say as the local decision maker. Could the outcome have been different if Mr. Martinez resided in a different district and his case placed in the hands of different officials? Apparently yes, according to the data collected in the AILA survey. That is a primary basis for the frustration with the decision in Mr. Martinez’s case. That outcome seems an unavoidable manifestation of the difficulties with administrative discretion as exercised in this setting.</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government — including the Department of Homeland Security — “cannot operate without agencies that exercise discretionary power.” The President, as the head of the Executive Branch, oversees hundreds of federal agencies and tens of thousands of agency employees. He certainly cannot make the decision on every individual case that comes before an agency that involves a discretionary decision. The President’s discretionary enforcement power, for example, must be delegated to bureaucratic chiefs, supervisors, and employees, including investigators, enforcement officers, and administrative law judges. Thus, in his own hands, the President may not have personally decided to force Mr. Martinez to depart. However, his administrative discretion was delegated in a manner that eventually ended up in the hands of Mr. Aitken. In turn, Mr. Aitken presumably considered all the relevant factors and exercised his discretion unfavorably toward Mr. Martinez.</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guidance provided in the Morton Memo is in essence, a framework for policy implementation — namely, enforcement policies that focus on serious criminals and clearing the immigration court docket. While discretion in policy implementation can include everything from the basic “execution of the law” to “street-level encounters involving law enforcement,” the Morton Memo falls more in the categories of “discretionary power to do nothing at all,” e.g., deciding not to prosecute, and the decision on how to spend limited financial resources because DHS simply does not have the personnel, time, and funds to deport every deportable immigrant.</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significant problem with administrative discretion is that “it may be used poorly.” For example, some administrators may “shirk” their responsibility and be “inappropriately risk-averse.” Their values may be “different from the population at large and have a different worldview and/or understanding of reality.” In the context of the Morton Memo, that could mean that some administrators may be afraid of going too far in granting prosecutorial discretion, or they may not understand the pain that will likely be suffered by forced family separation. On the other hand, administrators may believe that policies by higher-level bureaucrats are a poor use of administrative discretion. Local officials may feel that “decision makers in an agency’s headquarters may be out of touch with conditions in the field.” Again, in the context of the Morton Memo, we see this manifested by the resistance of the ICE union to the implementation of the Morton Memo.</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evaluating the terse tone of Mr. Aitken’s decision, he clearly epitomizes the problem with too much unreviewable administrative discretion. However, the study of administrative law and operations suggests that “even the most junior inspector or investigator must have some latitude to exercise discretion in choosing among alternative means of responding to the widely varying circumstances she encounters in the day-to-day performance of her responsibilities.” Yes, unlimited administrative discretion gives rise to potential for abuse, but a successful challenge to such a decision requires a showing of “impermissible motives” or “political or personal favoritism.”</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Thus, while the Morton Memo does create an administrative rule endorsing the exercise of prosecutorial discretion, the local field office director is not obliged to cease deportation in any particular low priority case. Memoranda can be used to create rules that are binding on agency employees and that affect members of the public. The power of federal agencies to make rules via memoranda is granted generally in an exemption to the Administrative Procedures Act: “General statements of policy, or rules of agency organization, procedure, or practice” are exempt from notice and comment requirements that govern most other agency rulemaking. The Morton Memo is authoritative as long as it does not contradict the Immigration and Nationality Act. However, the memo specifies that ICE employees may exercise prosecutorial discretion, thereby rendering the guidelines loose and not guaranteeing that any particular ICE employee will choose to exercise discretion in a given case. Courts are very deferential to federal agencies regarding the freedom to exercise or decline to exercise prosecutorial discretion.</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the deportation context, efforts to challenge the discretionary refusal to terminate proceedings on behalf of specific aliens generally requires a showing of “selective prosecution in violation of equal protection or due process, such as improper reliance on political considerations, on racial, religious, or nationality discriminations, [or] on arbitrary or unconstitutional criteria. . . .” For example,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Nicholas v. Immigration and Naturalization Service</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Ninth Circuit declined to intervene, emphasizing the “great burden” of showing that refusal to terminate “so departs from an established pattern of treatment of others similarly situated without reason, as to be arbitrary and capricious, and an abuse of discretion.” Nicholas was a longtime lawful resident of the United States with a U.S. citizen wife and two U.S. citizen children. However, he was convicted of possession of a controlled substance.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Loera v. Nutis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district court noted that “deferred action is a matter of administrative discretion. . .the decision of the INS district director, however harsh, was not made arbitrarily or capriciously.” Loera had resided in the United States for over twenty years. The INS District Director denied Loera’s application for deferred action mostly based upon Loera’s admitted problem with alcohol. In contrast,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Fuentes v. Immigration and Naturalization Services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Ninth Circuit did remand to the INS for consideration of placing the case in deferred action status, in light of the fact that deportation proceeding resulted from the employer’s reporting to INS undocumented alien employees who were lawfully challenging unfair labor practices.</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Assuming that some administrators in Washington, D.C. would have decided to grant prosecutorial discretion in cases such as Mr. Martinez’s, could anything be done? The final part of the Morton Memo made clear that there was no right to prosecutorial discretion being conveyed in the document:</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As there is no right to the favorable exercise of discretion by the agency, nothing in this memorandum should be construed to prohibit the apprehension, detention, or removal of any alien unlawfully in the United States or to limit the legal authority of ICE or any of its personnel to enforce federal immigration law. Similarly, this memorandum, which may be modified, superseded, or rescinded at any time without notice, is not intended to, does not, and may not be relied upon to create any right or benefit, substantive or procedural, enforceable at law by any party in any administrative, civil, or criminal matter.</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Also, no right of administrative appeal was provided for in the memo, so that reversals of lower level decisions by headquarters as a means of providing guidance was not available. As noted, going to court on an abuse of discretion claim by unsuccessful applicants is likely to be unsuccessful.</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Change in ICE Culture</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inconsistencies in the application of prosecutorial discretion and resistance to the application expressed by ICE union officials suggest that changes need to be implemented in order to attain more consistent results and to reflect the general outcome contemplated by ICE Director Morton.</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[G]iven the intransigence of Aitken and Crane, we definitely face a cultural difference in enforcement philosophies between them and the DHS command. In those circumstances, even conventional law enforcement agencies understand that a foundation of changing culture entails “changing shared understandings and value throughout the organization.” This is upheld beyond any legal obligations that may be mandated by law in abusive settings, but also by the code of ethics that applies to law enforcement officers to “never act officiously or permit personal feelings, prejudices. . .animosities or friendships to influence decisions.”</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Thus, some of the recommendations, related to changing culture in law enforcement agencies where illegal or unethical behavior is targeted, resonate with the hopes of changing the culture related to ICE prosecutorial discretion. For example:</w:t>
      </w:r>
    </w:p>
    <w:p w:rsidR="00000000" w:rsidDel="00000000" w:rsidP="00000000" w:rsidRDefault="00000000" w:rsidRPr="00000000" w14:paraId="000000A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hiring decisions, conduct in-depth background investigations of aspiring officers, and hire those who have a balanced background and view of life. Compassion and patience are important qualities to seek in addition to integrity, reliability, and confidence.</w:t>
      </w:r>
    </w:p>
    <w:p w:rsidR="00000000" w:rsidDel="00000000" w:rsidP="00000000" w:rsidRDefault="00000000" w:rsidRPr="00000000" w14:paraId="000000A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fact that conventional law enforcement officials recognize compassion as an important quality is, of course, relevant to ICE prosecutorial discretion implementation. Although the Morton Memo may be couched in terms of establishing priorities to help clear the backlogs in the immigration courts and to focus on aliens who have committed serious criminal offenses or who pose a danger to national security, the corollary point is that there is an element of compassion in designating others as low priority.</w:t>
      </w:r>
    </w:p>
    <w:p w:rsidR="00000000" w:rsidDel="00000000" w:rsidP="00000000" w:rsidRDefault="00000000" w:rsidRPr="00000000" w14:paraId="000000A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Demanding consistent and fair accountability. In exercising his discretion, ICE Field Office Director Aitken did not appear to be accountable to anyone. If he was, the process was not transparent.</w:t>
      </w:r>
    </w:p>
    <w:p w:rsidR="00000000" w:rsidDel="00000000" w:rsidP="00000000" w:rsidRDefault="00000000" w:rsidRPr="00000000" w14:paraId="000000A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ICE agents need positive leadership and positive role models. While some current ICE employees may believe that Director Morton is a positive role model, the ICE union gave Director Morton a vote of no confidence, a point which union President Crane went out of his way to point out in front of the Judiciary Subcommittee on Immigration and Policy Enforcement. In order to be a better leader and improve the culture of the agency, Morton needs to be cognizant of the need to reach out, explain himself and his philosophy clearly, and follow through with ICE officials in the field while getting others in the chain of command to do the same as well.</w:t>
      </w:r>
    </w:p>
    <w:p w:rsidR="00000000" w:rsidDel="00000000" w:rsidP="00000000" w:rsidRDefault="00000000" w:rsidRPr="00000000" w14:paraId="000000A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By hiring more women in the field, ICE can combat the “machismo” value system. Research shows that female police officers are as effective in dangerous situations as men; however, women are less authoritarian, less aggressive, and have better communication skills.</w:t>
      </w:r>
    </w:p>
    <w:p w:rsidR="00000000" w:rsidDel="00000000" w:rsidP="00000000" w:rsidRDefault="00000000" w:rsidRPr="00000000" w14:paraId="000000A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Adding more women would be a big step in chipping away at the hyper-masculine value system at ICE.</w:t>
      </w:r>
    </w:p>
    <w:p w:rsidR="00000000" w:rsidDel="00000000" w:rsidP="00000000" w:rsidRDefault="00000000" w:rsidRPr="00000000" w14:paraId="000000A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Officers should be evaluated, promoted, and rewarded for their community activities and nuanced understanding of enforcement priorities and goals, not only for their arrests and deportations. Maintaining a force of well-rounded officers will improve the overall culture of the agency and community at large.</w:t>
      </w:r>
    </w:p>
    <w:p w:rsidR="00000000" w:rsidDel="00000000" w:rsidP="00000000" w:rsidRDefault="00000000" w:rsidRPr="00000000" w14:paraId="000000A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Supervisors and officers should receive training on the purpose and goals of enforcement priorities and immigrant communities on a regular basis. By receiving additional training, the agency can be more consistent in applying the standards set forth by DHS.</w:t>
      </w:r>
    </w:p>
    <w:p w:rsidR="00000000" w:rsidDel="00000000" w:rsidP="00000000" w:rsidRDefault="00000000" w:rsidRPr="00000000" w14:paraId="000000A9">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Would the suggestions at the end of this article reduce inconsistencies in discretionary decisions?</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What other suggestions would you make to reduce inconsistencies? Would a right to an administrative appeal help?</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Memorandum for All ICE Employees, from Tae D. Johnson, ICE Acting Director, Interim Guidance: Civil Immigration Enforcement and Removal Priorities</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(Feb. 18, 2021)</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Purpose</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 As you will read below, the revisions include, but are not limited to: (1) authorization to apprehend presumed priority noncitizens in at-large enforcement actions without advance approval; (2) the inclusion of current qualifying members of criminal gangs and transnational criminal organizations as presumed enforcement priorities; (3) authorization to apprehend without prior approval other presumed priority noncitizens who are encountered during enforcement operations; (4) how to evaluate whether a noncitizen who is not a presumed priority nevertheless poses a public safety threat and should be apprehended; (5) the further delegation of approval authority; and (6) the importance of providing advance notice of at-large enforcement actions to state and local law enforcement. . .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Background</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 Like other national security and public safety agencies, ICE operates in an environment of limited resources. Due to these limited resources, ICE has always prioritized, and necessarily must prioritize, certain enforcement and removal actions over others.</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addition to resource constraints, several other factors render ICE’s mission particularly complex. These factors include ongoing litigation in various fora; the health and safety of the ICE workforce and those in its custody, particularly during the current COVID-19 pandemic; the responsibility to ensure that eligible noncitizens are able to pursue relief from removal under the immigration laws; and the requirements of, and, relationships with, sovereign nations, whose laws and expectations can place additional constraints on ICE’s ability to execute final orders of removal.</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Accordingly, in executing its critical national security, border security, and public safety mission, the Department must exercise its well-established prosecutorial discretion and prioritize its limited resources to most effectively achieve that mission.</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Civil Immigration Enforcement and Removal Priorities</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 The civil immigration enforcement and removal decisions include, but are not limited to, the following:</w:t>
      </w:r>
    </w:p>
    <w:p w:rsidR="00000000" w:rsidDel="00000000" w:rsidP="00000000" w:rsidRDefault="00000000" w:rsidRPr="00000000" w14:paraId="000000B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Deciding whether to issue a detainer, or whether to assume custody of a noncitizen subject to a previously issued detainer;</w:t>
      </w:r>
    </w:p>
    <w:p w:rsidR="00000000" w:rsidDel="00000000" w:rsidP="00000000" w:rsidRDefault="00000000" w:rsidRPr="00000000" w14:paraId="000000B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Deciding whether to issue, reissue, serve, file, or cancel a Notice to Appear;</w:t>
      </w:r>
    </w:p>
    <w:p w:rsidR="00000000" w:rsidDel="00000000" w:rsidP="00000000" w:rsidRDefault="00000000" w:rsidRPr="00000000" w14:paraId="000000B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Deciding whether to focus resources only on administrative violations or conduct;</w:t>
      </w:r>
    </w:p>
    <w:p w:rsidR="00000000" w:rsidDel="00000000" w:rsidP="00000000" w:rsidRDefault="00000000" w:rsidRPr="00000000" w14:paraId="000000B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Deciding whether to stop, question, or arrest a noncitizen for an administrative violation of the civil immigration laws;</w:t>
      </w:r>
    </w:p>
    <w:p w:rsidR="00000000" w:rsidDel="00000000" w:rsidP="00000000" w:rsidRDefault="00000000" w:rsidRPr="00000000" w14:paraId="000000B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Deciding whether to detain or release from custody subject to conditions;</w:t>
      </w:r>
    </w:p>
    <w:p w:rsidR="00000000" w:rsidDel="00000000" w:rsidP="00000000" w:rsidRDefault="00000000" w:rsidRPr="00000000" w14:paraId="000000B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Deciding whether to grant deferred action or parole; and</w:t>
      </w:r>
    </w:p>
    <w:p w:rsidR="00000000" w:rsidDel="00000000" w:rsidP="00000000" w:rsidRDefault="00000000" w:rsidRPr="00000000" w14:paraId="000000B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78.00000000000006" w:lineRule="auto"/>
        <w:ind w:left="1020" w:right="0" w:hanging="36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Deciding when and under what circumstances to execute final orders of removal.</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 As a preliminary matter, it is vitally important to note that the interim priorities do not require or prohibit the arrest, detention, or removal of any noncitizen. Rather, officers and agents are expected to exercise their discretion thoughtfully, consistent with ICE’s important national security, border security, and public safety mission. Enforcement and removal actions that meet the criteria described below are presumed to be a justified allocation of ICE’s limited resources. Actions not reflected in the criteria described below may also be justified, but they are subject to advance review as outlined further below.</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determining whether to pursue an action that falls outside the criteria described below, all relevant facts and circumstances regarding the noncitizen should be considered. For instance, officers and agents should consider: whether there are criminal convictions; the seriousness and recency of such convictions, and the sentences imposed; the law enforcement resources that have been spent; whether a threat can be addressed through other means, such as through recourse to criminal law enforcement authorities at the federal, state, or local level, or to public health and other civil authorities at the state or local level; and, other relevant factors (including, for example, the mitigating factors identified [below]).</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Criteria Defining Cases That Are Presumed to be Priorities</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1"/>
          <w:szCs w:val="21"/>
          <w:u w:val="none"/>
          <w:shd w:fill="auto" w:val="clear"/>
          <w:vertAlign w:val="baseline"/>
          <w:rtl w:val="0"/>
        </w:rPr>
        <w:t xml:space="preserve">Priority Category 1: National Security. 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noncitizen is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presumed</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to be a national security enforcement and removal priority if:</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12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he or she has engaged in or is suspected of engaging in terrorism or terrorism-related activities;</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he or she has engaged in or is suspected of engaging in espionage or espionage-related activities; or</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12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3.</w:t>
        <w:tab/>
        <w:t xml:space="preserve">his or her apprehension, arrest, or custody is otherwise necessary to protect the national security of the United States.</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evaluating whether a noncitizen’s “apprehension, arrest, or custody is otherwise necessary to protect” national security, officers and agents should determine whether a noncitizen poses a threat to United States sovereignty, territorial integrity, national interests, or institutions. General criminal activity does not amount to a national security threat (as distinguished from a public safety threat) and is discussed below.</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1"/>
          <w:szCs w:val="21"/>
          <w:u w:val="none"/>
          <w:shd w:fill="auto" w:val="clear"/>
          <w:vertAlign w:val="baseline"/>
          <w:rtl w:val="0"/>
        </w:rPr>
        <w:t xml:space="preserve">Priority Category 2: Border Security. 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noncitizen is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presumed</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to be a border security enforcement and removal priority if:</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12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he or she was apprehended at the border or a port of entry while attempting to unlawfully enter the United States on or after November 1, 2020 [although CFI mandates still apply]; or</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12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he or she was not physically present in the United States before November 1, 2020.</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 be clear, the border security priority includes any noncitizen who unlawfully entered the United States on or after November I, 2020.</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1"/>
          <w:szCs w:val="21"/>
          <w:u w:val="none"/>
          <w:shd w:fill="auto" w:val="clear"/>
          <w:vertAlign w:val="baseline"/>
          <w:rtl w:val="0"/>
        </w:rPr>
        <w:t xml:space="preserve">Priority Category 3: Public Safety. 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noncitizen is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presumed</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to be a public safety enforcement and removal priority if he or she poses a threat to public safety and:</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12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he or she has been convicted of an aggravated felony as defined in section 101(a)(43) of the INA, or</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12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he or she has been convicted of an offense for which an element was active participation in a criminal street gang, as defined in 18 U.S.C. §521(a), or is not younger than 16 years of age and intentionally participated in an organized criminal gang or transnational criminal organization to further the illegal activity of the gang or transnational criminal organization.</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evaluating whether a noncitizen currently “pose[s] a threat to public safety,” officers and agents are to consider the extensiveness, seriousness, and recency of the criminal activity. Officers and agents are to also consider mitigating factors, including, but not limited to, personal and family circumstances, health and medical factors, ties to the community, evidence of rehabilitation, and whether the individual has potential immigration relief available. .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Particular attention is to be exercised in cases involving noncitizens who are elderly or are known to be suffering from serious physical or mental illness. Similarly, particular attention is to be exercised with respect to noncitizens who have pending petitions for review on direct appeal from an order of removal; have filed only one motion to reopen removal proceedings, and such a motion either remains pending or is on direct appeal via a petition for review; or have pending applications for immigration relief and are prima facie eligible for such relief. In such cases, execution of removal orders should have a compelling reason and are to have approval from the FOD [Field Office Director].</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civil enforcement or removal action that does not meet the above criteria for presumed priority cases will require preapproval as described below.</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Enforcement and Removal Actions: Approval, Coordination, and Data Collection</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 ensure compliance with this guidance and consistency across geographic areas of responsibility, and to facilitate a dialogue between headquarters and field leadership about the effectiveness of the interim guidance, ICE will require that field offices collect data on the nature and type of enforcement and removal actions they perform. In addition, ICE will require field offices to coordinate their operations and obtain preapproval for enforcement and removal actions that do not meet the above criteria for presumed priority cases. The data and coordination will inform the development of the Secretary’s new enforcement guidance.</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No Preapproval Required for Presumed Priority Cases</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Officers and agents need not obtain preapproval for enforcement or removal actions that meet the above criteria for presumed priority cases, beyond what existing policy requires and what a supervisor instructs.</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Preapproval for Other Priority Cases</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Any civil immigration enforcement or removal actions that do not meet the above criteria for presumed priority cases will require preapproval from the FOD or SAC [Special Agent in Charge]. In deciding to undertake an enforcement action or removal, the agent or officer must consider, in consultation with his or her leadership, the nature and recency of the noncitizen’s convictions, the type and length of sentences imposed, whether the enforcement action is otherwise an appropriate use of ICE’s limited resources, and other relevant factors. In requesting this preapproval, the officer or agent must raise a written justification through the chain of command, explaining why the action otherwise constitutes a justified allocation of limited resources, and identify the date, time, and location the enforcement action or removal is expected to take place.</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approval to carry out an enforcement action against a particular noncitizen will not authorize enforcement actions against other noncitizens encountered during an operation if those noncitizens fall outside the presumption criteria identified above. An approval to take an enforcement action against any other noncitizen encountered who is not a presumed priority must be separately secured as described above.</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some cases, exigent circumstances and the demands of public safety will make it impracticable to obtain preapproval for an at-large enforcement action. While it is impossible to preconceive all such circumstances, they generally will be limited to situations where a noncitizen poses an imminent threat to life or an imminent substantial threat to property. If preapproval is impracticable, an officer or agent should conduct the enforcement action and then request approval as described above within 24 hours following the action.</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As always, it is important that ICE endeavor to remove noncitizens with final removal orders who have remained in post-order detention for more than 90 days. ICE will continue to review such noncitizens’ cases on a regular basis, consistent with existing law and policy. ICE will endeavor to remove such noncitizens consistent with legal requirements and national, border security, and public safety priorities.</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Periodically, ICE receives requests to exercise some form of individualized discretion in the interests of law and justice. ICE will create and maintain a system by which personnel can evaluate these individualized requests. .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Weekly Reporting of All Enforcement and Removal Actions</w:t>
      </w:r>
    </w:p>
    <w:p w:rsidR="00000000" w:rsidDel="00000000" w:rsidP="00000000" w:rsidRDefault="00000000" w:rsidRPr="00000000" w14:paraId="000000DC">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Director will review all enforcement actions to ensure compliance with this guidance and consistency across geographic areas of responsibility and to facilitate a dialogue between headquarters and field leadership about the effectiveness of the interim priorities. . . .</w:t>
      </w:r>
    </w:p>
    <w:p w:rsidR="00000000" w:rsidDel="00000000" w:rsidP="00000000" w:rsidRDefault="00000000" w:rsidRPr="00000000" w14:paraId="000000DD">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Although the Obama administration took specific executive action protecting DREAMers and issued guidance establishing broader prosecutorial discretion there was initial resistance by President Obama. He expressed some concern over his authority to do so a year before he announced the DACA program for DREAMers, denying that he could “just suspend deportations [of DREAMers] through executive order.”</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0"/>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Even after the implementation of DACA, the President came under fierce criticism from immigrants and their allies for record-breaking deportations. Congressman Luis Gutierrez and the University of Arizona estimated that as many as 90,000 to 100,000 undocumented parents were separated from their U.S.-citizen children each year.</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1"/>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Immigrant rights advocates argued that the Obama administration was only “paying lip service to a different strategy” and that the detention policies of criminal and noncriminal immigrants under the Bush and Obama administrations were essentially the same.</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2"/>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With no realistic hope for comprehensive immigration legislation, critics of the continuing deportations demanded that the President act administratively to defer the deportation of anyone who would have been granted protection under the Senate bill that had been passed in 2013.</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3"/>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In one well-publicized exchange, DACA recipient Ju Hong interrupted the President’s speech, exclaiming: “[O]ur families are separated. . . . Mr. President, please use your executive order to halt deportations for all 11.5 [million] undocumented immigrants in this country right now.”</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4"/>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President responded: “[I]f in fact I could solve all these problems without passing laws in Congress, then I would do so. But we’re also a nation of laws. That’s part of our tradition. And so, the easy way out is to try to yell and pretend like I can do something by violating our laws.”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5"/>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In spite of the President’s remarks suggesting that he could not act administratively — just as he had previously denied that he could act specifically on protecting DREAMers, on November 20, 2014, the President took executive action to block the deportation of 4 to 5 million more undocumented immigrants, primarily the parents of U.S.-citizen children or lawful permanent resident children.</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6"/>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program was known as Deferred Action for Parents of Americans and Lawful Permanent Residents (DAPA). This was another bold action by the President of unprecedented scope — even broader than the action on behalf of DREAMers.</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Led by the state of Texas, 26 states filed a lawsuit challenging President Obama’s executive action, challenging his authority and arguing that the costs of supporting undocumented immigrants would cause them irreparable harm. The President’s actions were enjoined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Texas, et al. v. United States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809 F.3d 134 (5th Cir. 2015). On June 23, 2016, an equally divided four-to-four Supreme Court could not reach a decision, so the Fifth Circuit injunction stood, pending a trial on the merits at the trial court. However, on June 15, 2017, DHS Secretary Kelly rescinded DAPA in consultation with the White House.</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3.</w:t>
        <w:tab/>
        <w:t xml:space="preserve">In late 2020, the state of Texas brought an action challenging DACA before the same federal judge who struck down DAPA. If DACA is struck down, the Biden administration and Congress will be under greater pressure to pass the DREAM Act.</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4.</w:t>
        <w:tab/>
        <w:t xml:space="preserve">Under the Tae Johnson memo, would Oscar Martinez be granted prosecutorial discretion?</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rFonts w:ascii="Arial" w:cs="Arial" w:eastAsia="Arial" w:hAnsi="Arial"/>
          <w:color w:val="4a5568"/>
          <w:sz w:val="27"/>
          <w:szCs w:val="27"/>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On September 30, 2021, DHS Secretary Alejandro Mayorkas issued new Guidelines for Enforcement. The memorandum outlined three mandatory priority categories for enforcement actions. The first, National Security, targets individuals engaged in or suspected of terrorism, espionage, or related activities, or anyone who presents a danger to the nation’s security. The second category is Public Safety, focusing on noncitizens who pose a current threat, typically due to serious criminal conduct. This requires an individualized assessment, moving away from a categorical approach where specific convictions automatically triggered enforcement. The third priority is Border Security, which includes individuals apprehended attempting to unlawfully enter the United States after November 1, 2020, or those who were not continuously present in the country before that date. The state of Texas and Louisiana filed a lawsuit in the Southern District of Texas claiming that the Mayorkas Memo was contrary to law, arbitrary and capricious under the Administrative Procedure Act, and procedurally irregular. But  the Supreme Court held in an 8-1 decision that states do not have the authority to challenge the executive branch’s authority to establish enforcement priorities. The Court ruled that courts do not have the authority to order law enforcement to carry out arrests and deportation. United States v Texas, 599 U.S. 670 (2023).</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Palatino">
    <w:altName w:val="Book Antiqua"/>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Glenn Kessler,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Obama’s Royal Flip-Flop on Using Executive Action on Illegal Immigration</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Wash. Post (Nov. 18, 2014), at http://www.washingtonpost.com/blogs/fact-checker/wp/2014/11/18/obamas-flip-flop-on-using-executive-action-on-illegal-immigration/.</w:t>
      </w:r>
    </w:p>
  </w:footnote>
  <w:footnote w:id="1">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Victor Medina,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Aggressive Deportation Tactics Continue to Separate American Families</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Examiner.com (June 3, 2013), at http://www.examiner.com/article/aggressive-deportation-tactics-continue-to-separate-american-families; see also AJ Vicens,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The Obama Administration’s 2 Million Deportations, Explained</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Mother Jones (Apr. 4, 2014), at http://www.motherjones.com/politics/2014/04/obama-administration-record-deportations.</w:t>
      </w:r>
    </w:p>
  </w:footnote>
  <w:footnote w:id="2">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Alfonso Chardy,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Noncriminal, Undocumented Immigrants Aren’t Being Left Alone, Activists Complain</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Miami Herald (June 21, 2010), at http://articles.sun-sentinel.com/2010-06-21/news/fl-detained-immigrants-enforcement-20100621_1_criminal-deportations-immigrants-in-south-florida-homeland-security.</w:t>
      </w:r>
    </w:p>
  </w:footnote>
  <w:footnote w:id="3">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See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Plea to End Deportations Heard Nationwide as Activist Interrupts Obama Speech on Immigration</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Democracy Now! (Nov. 27, 2013), at http://www.democracynow.org/2013/11/27/my_family_has_ been_separated_for (including a transcript of the speech).</w:t>
      </w:r>
    </w:p>
  </w:footnote>
  <w:footnote w:id="4">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Id.</w:t>
      </w:r>
      <w:r w:rsidDel="00000000" w:rsidR="00000000" w:rsidRPr="00000000">
        <w:rPr>
          <w:rtl w:val="0"/>
        </w:rPr>
      </w:r>
    </w:p>
  </w:footnote>
  <w:footnote w:id="5">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Id.</w:t>
      </w:r>
      <w:r w:rsidDel="00000000" w:rsidR="00000000" w:rsidRPr="00000000">
        <w:rPr>
          <w:rtl w:val="0"/>
        </w:rPr>
      </w:r>
    </w:p>
  </w:footnote>
  <w:footnote w:id="6">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Elise Foley,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Obama Moves to Protect Millions from Deportation</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Huffington Post (Nov. 20, 2014), at http://www.huffingtonpost.com/2014/11/20/obama-immigration-plan_n_6178774.html.</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20" w:hanging="360"/>
      </w:pPr>
      <w:rPr>
        <w:rFonts w:ascii="Noto Sans Symbols" w:cs="Noto Sans Symbols" w:eastAsia="Noto Sans Symbols" w:hAnsi="Noto Sans Symbols"/>
      </w:rPr>
    </w:lvl>
    <w:lvl w:ilvl="1">
      <w:start w:val="1"/>
      <w:numFmt w:val="bullet"/>
      <w:lvlText w:val="o"/>
      <w:lvlJc w:val="left"/>
      <w:pPr>
        <w:ind w:left="1740" w:hanging="360"/>
      </w:pPr>
      <w:rPr>
        <w:rFonts w:ascii="Courier New" w:cs="Courier New" w:eastAsia="Courier New" w:hAnsi="Courier New"/>
      </w:rPr>
    </w:lvl>
    <w:lvl w:ilvl="2">
      <w:start w:val="1"/>
      <w:numFmt w:val="bullet"/>
      <w:lvlText w:val="▪"/>
      <w:lvlJc w:val="left"/>
      <w:pPr>
        <w:ind w:left="2460" w:hanging="360"/>
      </w:pPr>
      <w:rPr>
        <w:rFonts w:ascii="Noto Sans Symbols" w:cs="Noto Sans Symbols" w:eastAsia="Noto Sans Symbols" w:hAnsi="Noto Sans Symbols"/>
      </w:rPr>
    </w:lvl>
    <w:lvl w:ilvl="3">
      <w:start w:val="1"/>
      <w:numFmt w:val="bullet"/>
      <w:lvlText w:val="●"/>
      <w:lvlJc w:val="left"/>
      <w:pPr>
        <w:ind w:left="3180" w:hanging="360"/>
      </w:pPr>
      <w:rPr>
        <w:rFonts w:ascii="Noto Sans Symbols" w:cs="Noto Sans Symbols" w:eastAsia="Noto Sans Symbols" w:hAnsi="Noto Sans Symbols"/>
      </w:rPr>
    </w:lvl>
    <w:lvl w:ilvl="4">
      <w:start w:val="1"/>
      <w:numFmt w:val="bullet"/>
      <w:lvlText w:val="o"/>
      <w:lvlJc w:val="left"/>
      <w:pPr>
        <w:ind w:left="3900" w:hanging="360"/>
      </w:pPr>
      <w:rPr>
        <w:rFonts w:ascii="Courier New" w:cs="Courier New" w:eastAsia="Courier New" w:hAnsi="Courier New"/>
      </w:rPr>
    </w:lvl>
    <w:lvl w:ilvl="5">
      <w:start w:val="1"/>
      <w:numFmt w:val="bullet"/>
      <w:lvlText w:val="▪"/>
      <w:lvlJc w:val="left"/>
      <w:pPr>
        <w:ind w:left="4620" w:hanging="360"/>
      </w:pPr>
      <w:rPr>
        <w:rFonts w:ascii="Noto Sans Symbols" w:cs="Noto Sans Symbols" w:eastAsia="Noto Sans Symbols" w:hAnsi="Noto Sans Symbols"/>
      </w:rPr>
    </w:lvl>
    <w:lvl w:ilvl="6">
      <w:start w:val="1"/>
      <w:numFmt w:val="bullet"/>
      <w:lvlText w:val="●"/>
      <w:lvlJc w:val="left"/>
      <w:pPr>
        <w:ind w:left="5340" w:hanging="360"/>
      </w:pPr>
      <w:rPr>
        <w:rFonts w:ascii="Noto Sans Symbols" w:cs="Noto Sans Symbols" w:eastAsia="Noto Sans Symbols" w:hAnsi="Noto Sans Symbols"/>
      </w:rPr>
    </w:lvl>
    <w:lvl w:ilvl="7">
      <w:start w:val="1"/>
      <w:numFmt w:val="bullet"/>
      <w:lvlText w:val="o"/>
      <w:lvlJc w:val="left"/>
      <w:pPr>
        <w:ind w:left="6060" w:hanging="360"/>
      </w:pPr>
      <w:rPr>
        <w:rFonts w:ascii="Courier New" w:cs="Courier New" w:eastAsia="Courier New" w:hAnsi="Courier New"/>
      </w:rPr>
    </w:lvl>
    <w:lvl w:ilvl="8">
      <w:start w:val="1"/>
      <w:numFmt w:val="bullet"/>
      <w:lvlText w:val="▪"/>
      <w:lvlJc w:val="left"/>
      <w:pPr>
        <w:ind w:left="6780" w:hanging="360"/>
      </w:pPr>
      <w:rPr>
        <w:rFonts w:ascii="Noto Sans Symbols" w:cs="Noto Sans Symbols" w:eastAsia="Noto Sans Symbols" w:hAnsi="Noto Sans Symbols"/>
      </w:rPr>
    </w:lvl>
  </w:abstractNum>
  <w:abstractNum w:abstractNumId="2">
    <w:lvl w:ilvl="0">
      <w:start w:val="1"/>
      <w:numFmt w:val="bullet"/>
      <w:lvlText w:val="●"/>
      <w:lvlJc w:val="left"/>
      <w:pPr>
        <w:ind w:left="1020" w:hanging="360"/>
      </w:pPr>
      <w:rPr>
        <w:rFonts w:ascii="Noto Sans Symbols" w:cs="Noto Sans Symbols" w:eastAsia="Noto Sans Symbols" w:hAnsi="Noto Sans Symbols"/>
      </w:rPr>
    </w:lvl>
    <w:lvl w:ilvl="1">
      <w:start w:val="1"/>
      <w:numFmt w:val="bullet"/>
      <w:lvlText w:val="o"/>
      <w:lvlJc w:val="left"/>
      <w:pPr>
        <w:ind w:left="1740" w:hanging="360"/>
      </w:pPr>
      <w:rPr>
        <w:rFonts w:ascii="Courier New" w:cs="Courier New" w:eastAsia="Courier New" w:hAnsi="Courier New"/>
      </w:rPr>
    </w:lvl>
    <w:lvl w:ilvl="2">
      <w:start w:val="1"/>
      <w:numFmt w:val="bullet"/>
      <w:lvlText w:val="▪"/>
      <w:lvlJc w:val="left"/>
      <w:pPr>
        <w:ind w:left="2460" w:hanging="360"/>
      </w:pPr>
      <w:rPr>
        <w:rFonts w:ascii="Noto Sans Symbols" w:cs="Noto Sans Symbols" w:eastAsia="Noto Sans Symbols" w:hAnsi="Noto Sans Symbols"/>
      </w:rPr>
    </w:lvl>
    <w:lvl w:ilvl="3">
      <w:start w:val="1"/>
      <w:numFmt w:val="bullet"/>
      <w:lvlText w:val="●"/>
      <w:lvlJc w:val="left"/>
      <w:pPr>
        <w:ind w:left="3180" w:hanging="360"/>
      </w:pPr>
      <w:rPr>
        <w:rFonts w:ascii="Noto Sans Symbols" w:cs="Noto Sans Symbols" w:eastAsia="Noto Sans Symbols" w:hAnsi="Noto Sans Symbols"/>
      </w:rPr>
    </w:lvl>
    <w:lvl w:ilvl="4">
      <w:start w:val="1"/>
      <w:numFmt w:val="bullet"/>
      <w:lvlText w:val="o"/>
      <w:lvlJc w:val="left"/>
      <w:pPr>
        <w:ind w:left="3900" w:hanging="360"/>
      </w:pPr>
      <w:rPr>
        <w:rFonts w:ascii="Courier New" w:cs="Courier New" w:eastAsia="Courier New" w:hAnsi="Courier New"/>
      </w:rPr>
    </w:lvl>
    <w:lvl w:ilvl="5">
      <w:start w:val="1"/>
      <w:numFmt w:val="bullet"/>
      <w:lvlText w:val="▪"/>
      <w:lvlJc w:val="left"/>
      <w:pPr>
        <w:ind w:left="4620" w:hanging="360"/>
      </w:pPr>
      <w:rPr>
        <w:rFonts w:ascii="Noto Sans Symbols" w:cs="Noto Sans Symbols" w:eastAsia="Noto Sans Symbols" w:hAnsi="Noto Sans Symbols"/>
      </w:rPr>
    </w:lvl>
    <w:lvl w:ilvl="6">
      <w:start w:val="1"/>
      <w:numFmt w:val="bullet"/>
      <w:lvlText w:val="●"/>
      <w:lvlJc w:val="left"/>
      <w:pPr>
        <w:ind w:left="5340" w:hanging="360"/>
      </w:pPr>
      <w:rPr>
        <w:rFonts w:ascii="Noto Sans Symbols" w:cs="Noto Sans Symbols" w:eastAsia="Noto Sans Symbols" w:hAnsi="Noto Sans Symbols"/>
      </w:rPr>
    </w:lvl>
    <w:lvl w:ilvl="7">
      <w:start w:val="1"/>
      <w:numFmt w:val="bullet"/>
      <w:lvlText w:val="o"/>
      <w:lvlJc w:val="left"/>
      <w:pPr>
        <w:ind w:left="6060" w:hanging="360"/>
      </w:pPr>
      <w:rPr>
        <w:rFonts w:ascii="Courier New" w:cs="Courier New" w:eastAsia="Courier New" w:hAnsi="Courier New"/>
      </w:rPr>
    </w:lvl>
    <w:lvl w:ilvl="8">
      <w:start w:val="1"/>
      <w:numFmt w:val="bullet"/>
      <w:lvlText w:val="▪"/>
      <w:lvlJc w:val="left"/>
      <w:pPr>
        <w:ind w:left="6780" w:hanging="360"/>
      </w:pPr>
      <w:rPr>
        <w:rFonts w:ascii="Noto Sans Symbols" w:cs="Noto Sans Symbols" w:eastAsia="Noto Sans Symbols" w:hAnsi="Noto Sans Symbols"/>
      </w:rPr>
    </w:lvl>
  </w:abstractNum>
  <w:abstractNum w:abstractNumId="3">
    <w:lvl w:ilvl="0">
      <w:start w:val="1"/>
      <w:numFmt w:val="bullet"/>
      <w:lvlText w:val="●"/>
      <w:lvlJc w:val="left"/>
      <w:pPr>
        <w:ind w:left="1020" w:hanging="360"/>
      </w:pPr>
      <w:rPr>
        <w:rFonts w:ascii="Noto Sans Symbols" w:cs="Noto Sans Symbols" w:eastAsia="Noto Sans Symbols" w:hAnsi="Noto Sans Symbols"/>
      </w:rPr>
    </w:lvl>
    <w:lvl w:ilvl="1">
      <w:start w:val="1"/>
      <w:numFmt w:val="bullet"/>
      <w:lvlText w:val="o"/>
      <w:lvlJc w:val="left"/>
      <w:pPr>
        <w:ind w:left="1740" w:hanging="360"/>
      </w:pPr>
      <w:rPr>
        <w:rFonts w:ascii="Courier New" w:cs="Courier New" w:eastAsia="Courier New" w:hAnsi="Courier New"/>
      </w:rPr>
    </w:lvl>
    <w:lvl w:ilvl="2">
      <w:start w:val="1"/>
      <w:numFmt w:val="bullet"/>
      <w:lvlText w:val="▪"/>
      <w:lvlJc w:val="left"/>
      <w:pPr>
        <w:ind w:left="2460" w:hanging="360"/>
      </w:pPr>
      <w:rPr>
        <w:rFonts w:ascii="Noto Sans Symbols" w:cs="Noto Sans Symbols" w:eastAsia="Noto Sans Symbols" w:hAnsi="Noto Sans Symbols"/>
      </w:rPr>
    </w:lvl>
    <w:lvl w:ilvl="3">
      <w:start w:val="1"/>
      <w:numFmt w:val="bullet"/>
      <w:lvlText w:val="●"/>
      <w:lvlJc w:val="left"/>
      <w:pPr>
        <w:ind w:left="3180" w:hanging="360"/>
      </w:pPr>
      <w:rPr>
        <w:rFonts w:ascii="Noto Sans Symbols" w:cs="Noto Sans Symbols" w:eastAsia="Noto Sans Symbols" w:hAnsi="Noto Sans Symbols"/>
      </w:rPr>
    </w:lvl>
    <w:lvl w:ilvl="4">
      <w:start w:val="1"/>
      <w:numFmt w:val="bullet"/>
      <w:lvlText w:val="o"/>
      <w:lvlJc w:val="left"/>
      <w:pPr>
        <w:ind w:left="3900" w:hanging="360"/>
      </w:pPr>
      <w:rPr>
        <w:rFonts w:ascii="Courier New" w:cs="Courier New" w:eastAsia="Courier New" w:hAnsi="Courier New"/>
      </w:rPr>
    </w:lvl>
    <w:lvl w:ilvl="5">
      <w:start w:val="1"/>
      <w:numFmt w:val="bullet"/>
      <w:lvlText w:val="▪"/>
      <w:lvlJc w:val="left"/>
      <w:pPr>
        <w:ind w:left="4620" w:hanging="360"/>
      </w:pPr>
      <w:rPr>
        <w:rFonts w:ascii="Noto Sans Symbols" w:cs="Noto Sans Symbols" w:eastAsia="Noto Sans Symbols" w:hAnsi="Noto Sans Symbols"/>
      </w:rPr>
    </w:lvl>
    <w:lvl w:ilvl="6">
      <w:start w:val="1"/>
      <w:numFmt w:val="bullet"/>
      <w:lvlText w:val="●"/>
      <w:lvlJc w:val="left"/>
      <w:pPr>
        <w:ind w:left="5340" w:hanging="360"/>
      </w:pPr>
      <w:rPr>
        <w:rFonts w:ascii="Noto Sans Symbols" w:cs="Noto Sans Symbols" w:eastAsia="Noto Sans Symbols" w:hAnsi="Noto Sans Symbols"/>
      </w:rPr>
    </w:lvl>
    <w:lvl w:ilvl="7">
      <w:start w:val="1"/>
      <w:numFmt w:val="bullet"/>
      <w:lvlText w:val="o"/>
      <w:lvlJc w:val="left"/>
      <w:pPr>
        <w:ind w:left="6060" w:hanging="360"/>
      </w:pPr>
      <w:rPr>
        <w:rFonts w:ascii="Courier New" w:cs="Courier New" w:eastAsia="Courier New" w:hAnsi="Courier New"/>
      </w:rPr>
    </w:lvl>
    <w:lvl w:ilvl="8">
      <w:start w:val="1"/>
      <w:numFmt w:val="bullet"/>
      <w:lvlText w:val="▪"/>
      <w:lvlJc w:val="left"/>
      <w:pPr>
        <w:ind w:left="67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B05D3D"/>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B05D3D"/>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B05D3D"/>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B05D3D"/>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B05D3D"/>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B05D3D"/>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B05D3D"/>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B05D3D"/>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B05D3D"/>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B05D3D"/>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B05D3D"/>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B05D3D"/>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B05D3D"/>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B05D3D"/>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B05D3D"/>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B05D3D"/>
    <w:rPr>
      <w:i w:val="1"/>
      <w:iCs w:val="1"/>
      <w:color w:val="404040" w:themeColor="text1" w:themeTint="0000BF"/>
    </w:rPr>
  </w:style>
  <w:style w:type="paragraph" w:styleId="ListParagraph">
    <w:name w:val="List Paragraph"/>
    <w:basedOn w:val="Normal"/>
    <w:uiPriority w:val="34"/>
    <w:qFormat w:val="1"/>
    <w:rsid w:val="00B05D3D"/>
    <w:pPr>
      <w:ind w:left="720"/>
      <w:contextualSpacing w:val="1"/>
    </w:pPr>
  </w:style>
  <w:style w:type="character" w:styleId="IntenseEmphasis">
    <w:name w:val="Intense Emphasis"/>
    <w:basedOn w:val="DefaultParagraphFont"/>
    <w:uiPriority w:val="21"/>
    <w:qFormat w:val="1"/>
    <w:rsid w:val="00B05D3D"/>
    <w:rPr>
      <w:i w:val="1"/>
      <w:iCs w:val="1"/>
      <w:color w:val="0f4761" w:themeColor="accent1" w:themeShade="0000BF"/>
    </w:rPr>
  </w:style>
  <w:style w:type="paragraph" w:styleId="IntenseQuote">
    <w:name w:val="Intense Quote"/>
    <w:basedOn w:val="Normal"/>
    <w:next w:val="Normal"/>
    <w:link w:val="IntenseQuoteChar"/>
    <w:uiPriority w:val="30"/>
    <w:qFormat w:val="1"/>
    <w:rsid w:val="00B05D3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B05D3D"/>
    <w:rPr>
      <w:i w:val="1"/>
      <w:iCs w:val="1"/>
      <w:color w:val="0f4761" w:themeColor="accent1" w:themeShade="0000BF"/>
    </w:rPr>
  </w:style>
  <w:style w:type="character" w:styleId="IntenseReference">
    <w:name w:val="Intense Reference"/>
    <w:basedOn w:val="DefaultParagraphFont"/>
    <w:uiPriority w:val="32"/>
    <w:qFormat w:val="1"/>
    <w:rsid w:val="00B05D3D"/>
    <w:rPr>
      <w:b w:val="1"/>
      <w:bCs w:val="1"/>
      <w:smallCaps w:val="1"/>
      <w:color w:val="0f4761" w:themeColor="accent1" w:themeShade="0000BF"/>
      <w:spacing w:val="5"/>
    </w:rPr>
  </w:style>
  <w:style w:type="paragraph" w:styleId="BL1first" w:customStyle="1">
    <w:name w:val="BL1_first"/>
    <w:basedOn w:val="Normal"/>
    <w:uiPriority w:val="99"/>
    <w:rsid w:val="00B05D3D"/>
    <w:pPr>
      <w:widowControl w:val="0"/>
      <w:suppressAutoHyphens w:val="1"/>
      <w:autoSpaceDE w:val="0"/>
      <w:autoSpaceDN w:val="0"/>
      <w:adjustRightInd w:val="0"/>
      <w:spacing w:after="0" w:before="120" w:line="260" w:lineRule="atLeast"/>
      <w:ind w:left="540" w:hanging="240"/>
      <w:jc w:val="both"/>
      <w:textAlignment w:val="center"/>
    </w:pPr>
    <w:rPr>
      <w:rFonts w:ascii="PalatinoLTStd-Roman" w:cs="PalatinoLTStd-Roman" w:hAnsi="PalatinoLTStd-Roman" w:eastAsiaTheme="minorEastAsia"/>
      <w:color w:val="000000"/>
      <w:kern w:val="0"/>
      <w:sz w:val="21"/>
      <w:szCs w:val="21"/>
      <w:lang w:eastAsia="en-IN"/>
    </w:rPr>
  </w:style>
  <w:style w:type="paragraph" w:styleId="BL1mid" w:customStyle="1">
    <w:name w:val="BL1_mid"/>
    <w:basedOn w:val="Normal"/>
    <w:uiPriority w:val="99"/>
    <w:rsid w:val="00B05D3D"/>
    <w:pPr>
      <w:widowControl w:val="0"/>
      <w:suppressAutoHyphens w:val="1"/>
      <w:autoSpaceDE w:val="0"/>
      <w:autoSpaceDN w:val="0"/>
      <w:adjustRightInd w:val="0"/>
      <w:spacing w:after="0" w:line="260" w:lineRule="atLeast"/>
      <w:ind w:left="540" w:hanging="240"/>
      <w:jc w:val="both"/>
      <w:textAlignment w:val="center"/>
    </w:pPr>
    <w:rPr>
      <w:rFonts w:ascii="PalatinoLTStd-Roman" w:cs="PalatinoLTStd-Roman" w:hAnsi="PalatinoLTStd-Roman" w:eastAsiaTheme="minorEastAsia"/>
      <w:color w:val="000000"/>
      <w:kern w:val="0"/>
      <w:sz w:val="21"/>
      <w:szCs w:val="21"/>
      <w:lang w:eastAsia="en-IN"/>
    </w:rPr>
  </w:style>
  <w:style w:type="paragraph" w:styleId="BL1last" w:customStyle="1">
    <w:name w:val="BL1_last"/>
    <w:basedOn w:val="Normal"/>
    <w:uiPriority w:val="99"/>
    <w:rsid w:val="00B05D3D"/>
    <w:pPr>
      <w:widowControl w:val="0"/>
      <w:suppressAutoHyphens w:val="1"/>
      <w:autoSpaceDE w:val="0"/>
      <w:autoSpaceDN w:val="0"/>
      <w:adjustRightInd w:val="0"/>
      <w:spacing w:after="120" w:line="260" w:lineRule="atLeast"/>
      <w:ind w:left="540" w:hanging="240"/>
      <w:jc w:val="both"/>
      <w:textAlignment w:val="center"/>
    </w:pPr>
    <w:rPr>
      <w:rFonts w:ascii="PalatinoLTStd-Roman" w:cs="PalatinoLTStd-Roman" w:hAnsi="PalatinoLTStd-Roman" w:eastAsiaTheme="minorEastAsia"/>
      <w:color w:val="000000"/>
      <w:kern w:val="0"/>
      <w:sz w:val="21"/>
      <w:szCs w:val="21"/>
      <w:lang w:eastAsia="en-IN"/>
    </w:rPr>
  </w:style>
  <w:style w:type="paragraph" w:styleId="CASETXT" w:customStyle="1">
    <w:name w:val="CASE_TXT"/>
    <w:basedOn w:val="Normal"/>
    <w:uiPriority w:val="99"/>
    <w:rsid w:val="00B05D3D"/>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character" w:styleId="x" w:customStyle="1">
    <w:name w:val="x"/>
    <w:uiPriority w:val="99"/>
    <w:rsid w:val="00B05D3D"/>
    <w:rPr>
      <w:color w:val="000000"/>
      <w:w w:val="100"/>
    </w:rPr>
  </w:style>
  <w:style w:type="paragraph" w:styleId="CASEH2" w:customStyle="1">
    <w:name w:val="CASE_H2"/>
    <w:basedOn w:val="Normal"/>
    <w:uiPriority w:val="99"/>
    <w:rsid w:val="00B05D3D"/>
    <w:pPr>
      <w:widowControl w:val="0"/>
      <w:tabs>
        <w:tab w:val="left" w:pos="300"/>
      </w:tabs>
      <w:suppressAutoHyphens w:val="1"/>
      <w:autoSpaceDE w:val="0"/>
      <w:autoSpaceDN w:val="0"/>
      <w:adjustRightInd w:val="0"/>
      <w:spacing w:after="180" w:line="220" w:lineRule="atLeast"/>
      <w:jc w:val="center"/>
      <w:textAlignment w:val="center"/>
    </w:pPr>
    <w:rPr>
      <w:rFonts w:ascii="MyriadPro-Regular" w:cs="MyriadPro-Regular" w:hAnsi="MyriadPro-Regular" w:eastAsiaTheme="minorEastAsia"/>
      <w:color w:val="a73439"/>
      <w:kern w:val="0"/>
      <w:sz w:val="19"/>
      <w:szCs w:val="19"/>
      <w:lang w:eastAsia="en-IN"/>
    </w:rPr>
  </w:style>
  <w:style w:type="paragraph" w:styleId="CASETXNI" w:customStyle="1">
    <w:name w:val="CASE_TXNI"/>
    <w:basedOn w:val="Normal"/>
    <w:uiPriority w:val="99"/>
    <w:rsid w:val="00B05D3D"/>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CASEH4" w:customStyle="1">
    <w:name w:val="CASE_H4"/>
    <w:basedOn w:val="Normal"/>
    <w:uiPriority w:val="99"/>
    <w:rsid w:val="00B05D3D"/>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Bold" w:cs="PalatinoLTStd-Bold" w:hAnsi="PalatinoLTStd-Bold" w:eastAsiaTheme="minorEastAsia"/>
      <w:b w:val="1"/>
      <w:bCs w:val="1"/>
      <w:color w:val="000000"/>
      <w:kern w:val="0"/>
      <w:sz w:val="22"/>
      <w:szCs w:val="22"/>
      <w:lang w:eastAsia="en-IN"/>
    </w:rPr>
  </w:style>
  <w:style w:type="paragraph" w:styleId="EXT" w:customStyle="1">
    <w:name w:val="EXT"/>
    <w:basedOn w:val="Normal"/>
    <w:uiPriority w:val="99"/>
    <w:rsid w:val="00B05D3D"/>
    <w:pPr>
      <w:widowControl w:val="0"/>
      <w:tabs>
        <w:tab w:val="left" w:pos="600"/>
      </w:tabs>
      <w:suppressAutoHyphens w:val="1"/>
      <w:autoSpaceDE w:val="0"/>
      <w:autoSpaceDN w:val="0"/>
      <w:adjustRightInd w:val="0"/>
      <w:spacing w:after="120" w:before="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CASEH5" w:customStyle="1">
    <w:name w:val="CASE_H5"/>
    <w:basedOn w:val="Normal"/>
    <w:uiPriority w:val="99"/>
    <w:rsid w:val="00B05D3D"/>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Medium" w:cs="PalatinoLTStd-Medium" w:hAnsi="PalatinoLTStd-Medium" w:eastAsiaTheme="minorEastAsia"/>
      <w:color w:val="000000"/>
      <w:kern w:val="0"/>
      <w:sz w:val="22"/>
      <w:szCs w:val="22"/>
      <w:lang w:eastAsia="en-IN"/>
    </w:rPr>
  </w:style>
  <w:style w:type="paragraph" w:styleId="CASEH1verso" w:customStyle="1">
    <w:name w:val="CASE_H1_verso"/>
    <w:basedOn w:val="Normal"/>
    <w:uiPriority w:val="99"/>
    <w:rsid w:val="00B05D3D"/>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CASETXNIrulerecto" w:customStyle="1">
    <w:name w:val="CASE_TXNI_rule_recto"/>
    <w:basedOn w:val="Normal"/>
    <w:uiPriority w:val="99"/>
    <w:rsid w:val="00B05D3D"/>
    <w:pPr>
      <w:widowControl w:val="0"/>
      <w:pBdr>
        <w:bottom w:color="auto" w:space="0" w:sz="8" w:val="single"/>
      </w:pBdr>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character" w:styleId="ITALIC" w:customStyle="1">
    <w:name w:val="ITALIC"/>
    <w:uiPriority w:val="99"/>
    <w:rsid w:val="00B05D3D"/>
    <w:rPr>
      <w:i w:val="1"/>
      <w:color w:val="000000"/>
      <w:w w:val="100"/>
      <w:lang w:eastAsia="x-none" w:val="en-US"/>
    </w:rPr>
  </w:style>
  <w:style w:type="character" w:styleId="CASEH51" w:customStyle="1">
    <w:name w:val="CASE_H51"/>
    <w:uiPriority w:val="99"/>
    <w:rsid w:val="00B05D3D"/>
    <w:rPr>
      <w:rFonts w:ascii="PalatinoLTStd-Medium" w:hAnsi="PalatinoLTStd-Medium"/>
      <w:color w:val="000000"/>
      <w:w w:val="100"/>
      <w:lang w:eastAsia="x-none" w:val="en-US"/>
    </w:rPr>
  </w:style>
  <w:style w:type="character" w:styleId="CASEH41" w:customStyle="1">
    <w:name w:val="CASE_H41"/>
    <w:uiPriority w:val="99"/>
    <w:rsid w:val="00B05D3D"/>
    <w:rPr>
      <w:rFonts w:ascii="PalatinoLTStd-Bold" w:hAnsi="PalatinoLTStd-Bold"/>
      <w:b w:val="1"/>
      <w:color w:val="000000"/>
      <w:w w:val="100"/>
      <w:lang w:eastAsia="x-none" w:val="en-US"/>
    </w:rPr>
  </w:style>
  <w:style w:type="paragraph" w:styleId="CASEH1recto" w:customStyle="1">
    <w:name w:val="CASE_H1_recto"/>
    <w:basedOn w:val="Normal"/>
    <w:uiPriority w:val="99"/>
    <w:rsid w:val="003212E9"/>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NEPQH1" w:customStyle="1">
    <w:name w:val="NEPQ_H1"/>
    <w:basedOn w:val="Normal"/>
    <w:uiPriority w:val="99"/>
    <w:rsid w:val="003212E9"/>
    <w:pPr>
      <w:keepNext w:val="1"/>
      <w:keepLines w:val="1"/>
      <w:widowControl w:val="0"/>
      <w:tabs>
        <w:tab w:val="left" w:pos="300"/>
      </w:tabs>
      <w:suppressAutoHyphens w:val="1"/>
      <w:autoSpaceDE w:val="0"/>
      <w:autoSpaceDN w:val="0"/>
      <w:adjustRightInd w:val="0"/>
      <w:spacing w:after="120" w:before="480" w:line="260" w:lineRule="atLeast"/>
      <w:jc w:val="center"/>
      <w:textAlignment w:val="center"/>
    </w:pPr>
    <w:rPr>
      <w:rFonts w:ascii="PalatinoLTStd-Bold" w:cs="PalatinoLTStd-Bold" w:hAnsi="PalatinoLTStd-Bold" w:eastAsiaTheme="minorEastAsia"/>
      <w:b w:val="1"/>
      <w:bCs w:val="1"/>
      <w:caps w:val="1"/>
      <w:color w:val="a73439"/>
      <w:kern w:val="0"/>
      <w:lang w:eastAsia="en-IN"/>
    </w:rPr>
  </w:style>
  <w:style w:type="paragraph" w:styleId="EXTmid" w:customStyle="1">
    <w:name w:val="EXT_mid"/>
    <w:basedOn w:val="Normal"/>
    <w:uiPriority w:val="99"/>
    <w:rsid w:val="003212E9"/>
    <w:pPr>
      <w:widowControl w:val="0"/>
      <w:tabs>
        <w:tab w:val="left" w:pos="600"/>
      </w:tabs>
      <w:suppressAutoHyphens w:val="1"/>
      <w:autoSpaceDE w:val="0"/>
      <w:autoSpaceDN w:val="0"/>
      <w:adjustRightInd w:val="0"/>
      <w:spacing w:after="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EXTlast" w:customStyle="1">
    <w:name w:val="EXT_last"/>
    <w:basedOn w:val="Normal"/>
    <w:uiPriority w:val="99"/>
    <w:rsid w:val="003212E9"/>
    <w:pPr>
      <w:widowControl w:val="0"/>
      <w:tabs>
        <w:tab w:val="left" w:pos="600"/>
      </w:tabs>
      <w:suppressAutoHyphens w:val="1"/>
      <w:autoSpaceDE w:val="0"/>
      <w:autoSpaceDN w:val="0"/>
      <w:adjustRightInd w:val="0"/>
      <w:spacing w:after="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NEPQNL1mid" w:customStyle="1">
    <w:name w:val="NEPQ_NL1_mid"/>
    <w:basedOn w:val="Normal"/>
    <w:uiPriority w:val="99"/>
    <w:rsid w:val="003212E9"/>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character" w:styleId="NEPQNL11" w:customStyle="1">
    <w:name w:val="NEPQ_NL11"/>
    <w:uiPriority w:val="99"/>
    <w:rsid w:val="003212E9"/>
    <w:rPr>
      <w:rFonts w:ascii="PalatinoLTStd-Roman" w:hAnsi="PalatinoLTStd-Roman"/>
      <w:color w:val="000000"/>
      <w:w w:val="100"/>
      <w:lang w:eastAsia="x-none" w:val="en-US"/>
    </w:rPr>
  </w:style>
  <w:style w:type="paragraph" w:styleId="NL1first" w:customStyle="1">
    <w:name w:val="NL1_first"/>
    <w:basedOn w:val="Normal"/>
    <w:uiPriority w:val="99"/>
    <w:rsid w:val="00A15E50"/>
    <w:pPr>
      <w:widowControl w:val="0"/>
      <w:tabs>
        <w:tab w:val="right" w:pos="480"/>
      </w:tabs>
      <w:suppressAutoHyphens w:val="1"/>
      <w:autoSpaceDE w:val="0"/>
      <w:autoSpaceDN w:val="0"/>
      <w:adjustRightInd w:val="0"/>
      <w:spacing w:after="0" w:before="12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NL1mid" w:customStyle="1">
    <w:name w:val="NL1_mid"/>
    <w:basedOn w:val="Normal"/>
    <w:uiPriority w:val="99"/>
    <w:rsid w:val="00A15E50"/>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NL1last" w:customStyle="1">
    <w:name w:val="NL1_last"/>
    <w:basedOn w:val="Normal"/>
    <w:uiPriority w:val="99"/>
    <w:rsid w:val="00A15E50"/>
    <w:pPr>
      <w:widowControl w:val="0"/>
      <w:tabs>
        <w:tab w:val="right" w:pos="480"/>
      </w:tabs>
      <w:suppressAutoHyphens w:val="1"/>
      <w:autoSpaceDE w:val="0"/>
      <w:autoSpaceDN w:val="0"/>
      <w:adjustRightInd w:val="0"/>
      <w:spacing w:after="12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character" w:styleId="BOLD" w:customStyle="1">
    <w:name w:val="BOLD"/>
    <w:uiPriority w:val="99"/>
    <w:rsid w:val="00A15E50"/>
    <w:rPr>
      <w:rFonts w:ascii="PalatinoLTStd-Bold" w:hAnsi="PalatinoLTStd-Bold"/>
      <w:b w:val="1"/>
      <w:color w:val="000000"/>
      <w:w w:val="100"/>
      <w:lang w:eastAsia="x-none" w:val="en-US"/>
    </w:rPr>
  </w:style>
  <w:style w:type="character" w:styleId="NL1" w:customStyle="1">
    <w:name w:val="NL1"/>
    <w:uiPriority w:val="99"/>
    <w:rsid w:val="00A15E50"/>
    <w:rPr>
      <w:rFonts w:ascii="PalatinoLTStd-Roman" w:hAnsi="PalatinoLTStd-Roman"/>
      <w:color w:val="000000"/>
      <w:w w:val="100"/>
      <w:lang w:eastAsia="x-none" w:val="en-US"/>
    </w:rPr>
  </w:style>
  <w:style w:type="paragraph" w:styleId="FootnoteText">
    <w:name w:val="footnote text"/>
    <w:basedOn w:val="Normal"/>
    <w:link w:val="FootnoteTextChar"/>
    <w:uiPriority w:val="99"/>
    <w:semiHidden w:val="1"/>
    <w:unhideWhenUsed w:val="1"/>
    <w:rsid w:val="0027579F"/>
    <w:pPr>
      <w:spacing w:line="259" w:lineRule="auto"/>
    </w:pPr>
    <w:rPr>
      <w:rFonts w:cs="Times New Roman" w:eastAsiaTheme="minorEastAsia"/>
      <w:kern w:val="0"/>
      <w:sz w:val="20"/>
      <w:szCs w:val="20"/>
      <w:lang w:eastAsia="en-IN" w:val="en-IN"/>
    </w:rPr>
  </w:style>
  <w:style w:type="character" w:styleId="FootnoteTextChar" w:customStyle="1">
    <w:name w:val="Footnote Text Char"/>
    <w:basedOn w:val="DefaultParagraphFont"/>
    <w:link w:val="FootnoteText"/>
    <w:uiPriority w:val="99"/>
    <w:semiHidden w:val="1"/>
    <w:rsid w:val="0027579F"/>
    <w:rPr>
      <w:rFonts w:cs="Times New Roman" w:eastAsiaTheme="minorEastAsia"/>
      <w:kern w:val="0"/>
      <w:sz w:val="20"/>
      <w:szCs w:val="20"/>
      <w:lang w:eastAsia="en-IN" w:val="en-IN"/>
    </w:rPr>
  </w:style>
  <w:style w:type="character" w:styleId="FootnoteReference">
    <w:name w:val="footnote reference"/>
    <w:basedOn w:val="DefaultParagraphFont"/>
    <w:uiPriority w:val="99"/>
    <w:semiHidden w:val="1"/>
    <w:unhideWhenUsed w:val="1"/>
    <w:rsid w:val="0027579F"/>
    <w:rPr>
      <w:rFonts w:cs="Times New Roman"/>
      <w:vertAlign w:val="superscript"/>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customXml" Target="../customXML/item4.xml"/><Relationship Id="rId4" Type="http://schemas.openxmlformats.org/officeDocument/2006/relationships/footnotes" Target="footnotes.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ZaE8rOkIlVlFWaeWwZNQRJba6A==">CgMxLjA4AHIhMXdfUVpFVk03eGlRSV8zZG53Y0p2MEg1bzJDN2hlTTlz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6FAE18D1336714AB9B410BDAC6FD748" ma:contentTypeVersion="12" ma:contentTypeDescription="Create a new document." ma:contentTypeScope="" ma:versionID="c83b5dfa15f4599c18a1a65fce38cb9b">
  <xsd:schema xmlns:xsd="http://www.w3.org/2001/XMLSchema" xmlns:xs="http://www.w3.org/2001/XMLSchema" xmlns:p="http://schemas.microsoft.com/office/2006/metadata/properties" xmlns:ns2="5041eee3-99e3-4b4c-bd80-eccf1ef4b2d3" xmlns:ns3="681b8b6f-1b57-476a-8dd6-80d1d09c59e1" targetNamespace="http://schemas.microsoft.com/office/2006/metadata/properties" ma:root="true" ma:fieldsID="fe9756aa161f4e54be82007aa4ed6a8f" ns2:_="" ns3:_="">
    <xsd:import namespace="5041eee3-99e3-4b4c-bd80-eccf1ef4b2d3"/>
    <xsd:import namespace="681b8b6f-1b57-476a-8dd6-80d1d09c59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1eee3-99e3-4b4c-bd80-eccf1ef4b2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0db18-5969-473e-a474-9ff3e4bd949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1b8b6f-1b57-476a-8dd6-80d1d09c59e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7748d5-3982-4bcf-9b58-1b02aee89c46}" ma:internalName="TaxCatchAll" ma:showField="CatchAllData" ma:web="681b8b6f-1b57-476a-8dd6-80d1d09c59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41eee3-99e3-4b4c-bd80-eccf1ef4b2d3">
      <Terms xmlns="http://schemas.microsoft.com/office/infopath/2007/PartnerControls"/>
    </lcf76f155ced4ddcb4097134ff3c332f>
    <TaxCatchAll xmlns="681b8b6f-1b57-476a-8dd6-80d1d09c59e1"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2012390-9CE5-47D0-8A8F-DA87911650C0}"/>
</file>

<file path=customXML/itemProps3.xml><?xml version="1.0" encoding="utf-8"?>
<ds:datastoreItem xmlns:ds="http://schemas.openxmlformats.org/officeDocument/2006/customXml" ds:itemID="{3861440D-F0AC-45C8-8E19-B235749419D5}"/>
</file>

<file path=customXML/itemProps4.xml><?xml version="1.0" encoding="utf-8"?>
<ds:datastoreItem xmlns:ds="http://schemas.openxmlformats.org/officeDocument/2006/customXml" ds:itemID="{FB9ABF51-A297-445F-A0BA-4405BC3281B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Billie SFO</dc:creator>
  <dcterms:created xsi:type="dcterms:W3CDTF">2025-07-16T22:48:00Z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0x010100D6FAE18D1336714AB9B410BDAC6FD748</vt:lpwstr>
  </property>
</Properties>
</file>