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AspenCh9Supp2025</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On age 433, at the end of note 4, add this discussion:</w:t>
      </w:r>
    </w:p>
    <w:p w:rsidR="00000000" w:rsidDel="00000000" w:rsidP="00000000" w:rsidRDefault="00000000" w:rsidRPr="00000000" w14:paraId="00000004">
      <w:pPr>
        <w:rPr>
          <w:rFonts w:ascii="Open Sans" w:cs="Open Sans" w:eastAsia="Open Sans" w:hAnsi="Open Sans"/>
          <w:color w:val="111111"/>
          <w:sz w:val="27"/>
          <w:szCs w:val="27"/>
        </w:rPr>
      </w:pPr>
      <w:r w:rsidDel="00000000" w:rsidR="00000000" w:rsidRPr="00000000">
        <w:rPr>
          <w:rtl w:val="0"/>
        </w:rPr>
        <w:t xml:space="preserve">In November 2025, the Supreme Court heard oral argument in the case, </w:t>
      </w:r>
      <w:r w:rsidDel="00000000" w:rsidR="00000000" w:rsidRPr="00000000">
        <w:rPr>
          <w:rFonts w:ascii="Georgia" w:cs="Georgia" w:eastAsia="Georgia" w:hAnsi="Georgia"/>
          <w:i w:val="1"/>
          <w:iCs w:val="1"/>
          <w:sz w:val="28"/>
          <w:szCs w:val="28"/>
          <w:rtl w:val="0"/>
        </w:rPr>
        <w:t xml:space="preserve">Menocal v. the GEO Group,</w:t>
      </w:r>
      <w:r w:rsidDel="00000000" w:rsidR="00000000" w:rsidRPr="00000000">
        <w:rPr>
          <w:rFonts w:ascii="Georgia" w:cs="Georgia" w:eastAsia="Georgia" w:hAnsi="Georgia"/>
          <w:sz w:val="28"/>
          <w:szCs w:val="28"/>
          <w:rtl w:val="0"/>
        </w:rPr>
        <w:t xml:space="preserve"> which involves the issue of whether private prison companies like GEO Group enjoy immunity from certain claims under federal prison contracts. In that case, ICE detainees argued that the </w:t>
      </w:r>
      <w:r w:rsidDel="00000000" w:rsidR="00000000" w:rsidRPr="00000000">
        <w:rPr>
          <w:rFonts w:ascii="Open Sans" w:cs="Open Sans" w:eastAsia="Open Sans" w:hAnsi="Open Sans"/>
          <w:color w:val="111111"/>
          <w:sz w:val="27"/>
          <w:szCs w:val="27"/>
          <w:rtl w:val="0"/>
        </w:rPr>
        <w:t xml:space="preserve"> Trafficking Victims Protection Act of 2000 makes it unlawful to knowingly coerce labor out of another person through serious harm or threats of serious harm. Requiring detainees to clean not just their personal space, but the common areas of the detention center under threat of solitary confinement, allegedly ran afoul of that prohibition.</w:t>
      </w:r>
    </w:p>
    <w:p w:rsidR="00000000" w:rsidDel="00000000" w:rsidP="00000000" w:rsidRDefault="00000000" w:rsidRPr="00000000" w14:paraId="00000005">
      <w:pPr>
        <w:shd w:fill="ffffff" w:val="clear"/>
        <w:spacing w:after="280" w:before="280" w:lineRule="auto"/>
        <w:rPr>
          <w:rFonts w:ascii="Open Sans" w:cs="Open Sans" w:eastAsia="Open Sans" w:hAnsi="Open Sans"/>
          <w:color w:val="111111"/>
          <w:sz w:val="27"/>
          <w:szCs w:val="27"/>
        </w:rPr>
      </w:pPr>
      <w:r w:rsidDel="00000000" w:rsidR="00000000" w:rsidRPr="00000000">
        <w:rPr>
          <w:rFonts w:ascii="Open Sans" w:cs="Open Sans" w:eastAsia="Open Sans" w:hAnsi="Open Sans"/>
          <w:color w:val="111111"/>
          <w:sz w:val="27"/>
          <w:szCs w:val="27"/>
          <w:rtl w:val="0"/>
        </w:rPr>
        <w:t xml:space="preserve">Second, GEO Group’s $1-per-day compensation for inmates in a voluntary work program allegedly amounted to unjust enrichment under Colorado law (where the plaintiff detainees were being held), with GEO Group unfairly receiving a benefit at the detainees’ expense without properly compensating them.</w:t>
      </w:r>
    </w:p>
    <w:p w:rsidR="00000000" w:rsidDel="00000000" w:rsidP="00000000" w:rsidRDefault="00000000" w:rsidRPr="00000000" w14:paraId="00000006">
      <w:pPr>
        <w:shd w:fill="ffffff" w:val="clear"/>
        <w:spacing w:after="280" w:before="280" w:lineRule="auto"/>
        <w:rPr>
          <w:rFonts w:ascii="Open Sans" w:cs="Open Sans" w:eastAsia="Open Sans" w:hAnsi="Open Sans"/>
          <w:color w:val="111111"/>
          <w:sz w:val="27"/>
          <w:szCs w:val="27"/>
        </w:rPr>
      </w:pPr>
      <w:r w:rsidDel="00000000" w:rsidR="00000000" w:rsidRPr="00000000">
        <w:rPr>
          <w:rFonts w:ascii="Open Sans" w:cs="Open Sans" w:eastAsia="Open Sans" w:hAnsi="Open Sans"/>
          <w:color w:val="111111"/>
          <w:sz w:val="27"/>
          <w:szCs w:val="27"/>
          <w:highlight w:val="white"/>
          <w:rtl w:val="0"/>
        </w:rPr>
        <w:t xml:space="preserve">GEO Group argues it is entitled to “</w:t>
      </w:r>
      <w:hyperlink r:id="rId8">
        <w:r w:rsidDel="00000000" w:rsidR="00000000" w:rsidRPr="00000000">
          <w:rPr>
            <w:rFonts w:ascii="Open Sans" w:cs="Open Sans" w:eastAsia="Open Sans" w:hAnsi="Open Sans"/>
            <w:color w:val="336699"/>
            <w:sz w:val="27"/>
            <w:szCs w:val="27"/>
            <w:highlight w:val="white"/>
            <w:u w:val="single"/>
            <w:rtl w:val="0"/>
          </w:rPr>
          <w:t xml:space="preserve">derivative sovereign immunity</w:t>
        </w:r>
      </w:hyperlink>
      <w:r w:rsidDel="00000000" w:rsidR="00000000" w:rsidRPr="00000000">
        <w:rPr>
          <w:rFonts w:ascii="Open Sans" w:cs="Open Sans" w:eastAsia="Open Sans" w:hAnsi="Open Sans"/>
          <w:color w:val="111111"/>
          <w:sz w:val="27"/>
          <w:szCs w:val="27"/>
          <w:highlight w:val="white"/>
          <w:rtl w:val="0"/>
        </w:rPr>
        <w:t xml:space="preserve">,” meaning the government’s general immunity from being sued extends to its contractors. A decision in the case is expected in June 2026.</w:t>
      </w:r>
      <w:r w:rsidDel="00000000" w:rsidR="00000000" w:rsidRPr="00000000">
        <w:rPr>
          <w:rtl w:val="0"/>
        </w:rPr>
      </w:r>
    </w:p>
    <w:p w:rsidR="00000000" w:rsidDel="00000000" w:rsidP="00000000" w:rsidRDefault="00000000" w:rsidRPr="00000000" w14:paraId="00000007">
      <w:pPr>
        <w:rPr>
          <w:rFonts w:ascii="Georgia" w:cs="Georgia" w:eastAsia="Georgia" w:hAnsi="Georgia"/>
          <w:sz w:val="28"/>
          <w:szCs w:val="28"/>
        </w:rPr>
      </w:pPr>
      <w:r w:rsidDel="00000000" w:rsidR="00000000" w:rsidRPr="00000000">
        <w:rPr>
          <w:rtl w:val="0"/>
        </w:rPr>
      </w:r>
    </w:p>
    <w:p w:rsidR="00000000" w:rsidDel="00000000" w:rsidP="00000000" w:rsidRDefault="00000000" w:rsidRPr="00000000" w14:paraId="00000008">
      <w:pPr>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On page 458, prior to the section on Detention Since 9/11, read the following:</w:t>
      </w:r>
      <w:r w:rsidDel="00000000" w:rsidR="00000000" w:rsidRPr="00000000">
        <w:rPr>
          <w:rtl w:val="0"/>
        </w:rPr>
      </w:r>
    </w:p>
    <w:p w:rsidR="00000000" w:rsidDel="00000000" w:rsidP="00000000" w:rsidRDefault="00000000" w:rsidRPr="00000000" w14:paraId="00000009">
      <w:pPr>
        <w:keepNext w:val="1"/>
        <w:keepLines w:val="1"/>
        <w:pageBreakBefore w:val="0"/>
        <w:widowControl w:val="0"/>
        <w:pBdr>
          <w:top w:space="0" w:sz="0" w:val="nil"/>
          <w:left w:space="0" w:sz="0" w:val="nil"/>
          <w:bottom w:color="000000" w:space="0" w:sz="8" w:val="single"/>
          <w:right w:space="0" w:sz="0" w:val="nil"/>
          <w:between w:space="0" w:sz="0" w:val="nil"/>
        </w:pBdr>
        <w:shd w:fill="auto" w:val="clear"/>
        <w:spacing w:after="240" w:before="420" w:line="278.00000000000006" w:lineRule="auto"/>
        <w:ind w:left="360" w:right="0" w:hanging="360"/>
        <w:jc w:val="left"/>
        <w:rPr>
          <w:rFonts w:ascii="Palatino" w:cs="Palatino" w:eastAsia="Palatino" w:hAnsi="Palatino"/>
          <w:b w:val="0"/>
          <w:bCs w:val="0"/>
          <w:i w:val="0"/>
          <w:iCs w:val="0"/>
          <w:smallCaps w:val="1"/>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0"/>
          <w:iCs w:val="0"/>
          <w:smallCaps w:val="1"/>
          <w:strike w:val="0"/>
          <w:color w:val="000000"/>
          <w:sz w:val="25"/>
          <w:szCs w:val="25"/>
          <w:u w:val="none"/>
          <w:shd w:fill="auto" w:val="clear"/>
          <w:vertAlign w:val="baseline"/>
          <w:rtl w:val="0"/>
        </w:rPr>
        <w:t xml:space="preserve">Background on Immigration Detention in the United States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Given the authority to detain noncitizens who are subject to deportation, the executive branch has engaged in a long history of immigration detention. Here are excerpts of two accounts of that history by the Detention Watch Network and Amnesty International.</w:t>
      </w:r>
    </w:p>
    <w:p w:rsidR="00000000" w:rsidDel="00000000" w:rsidP="00000000" w:rsidRDefault="00000000" w:rsidRPr="00000000" w14:paraId="0000000B">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Detention Watch Network, The History of Immigration Detention in the U.S.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(2016), https://www.detentionwatchnetwork.org/issues/detention-101</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A Rapidly-Expanding Detention System</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detention of immigrants pending the resolution of their legal status and potential deportation was not always the norm. Immigrants were not detained at all until the 1890s when the United States opened its first federal immigration detention center in Ellis Island, New York. A shift in immigration policy occurred in 1952 when Congress passed the Immigration and Nationality Act (INA), which eliminated detention except in cases in which an individual was a flight risk or posed a serious risk to society. Ellis Island subsequently closed.</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1980s saw the beginnings of a shift in detention policy, largely influenced by Cuban, Haitian, and Central American refugees. In the 1990s the United States made a monumental shift in immigration policy, using detention as a primary means of enforcement, regardless of whether the individual was a flight risk or serious risk to society. In 1996, the United States enacted legislation that dramatically expanded the use of detention. The Antiterrorism and Effective Death Penalty Act (AEDPA) and the Illegal Immigrant Reform and Immigrant Responsibility Act (IIRIRA) expanded mandatory detention without bond to large categories of non-citizens.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drastic expansion of mandatory detention combined with skyrocketing detention budget appropriations to the Department of Homeland Security and changes in DHS policies and priorities favoring detention. As a result, the number of individuals detained has grown dramatically since the 1990s. In 2001, the U.S. detained approximately 95,000 individuals. By 2007, the number of individuals detained annually in the U.S. had grown to over 300,000. The average daily population of detained immigrants has grown from approximately 5,000 in 1994, to 19,000 in 2001, and to 32,000 by the end of 2008. In 2004, Congress authorized the creation of 40,000 new detention beds by 2010, which will bring detention capacity close to 62,000. ICE’s stated goal is to deport all removable aliens by 2012.</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1996 laws also established a new procedure called Expedited Removal that allows immigration inspectors to summarily remove immigrants arriving without proper documentation. This is done without a hearing, and detention is mandated for the time it takes to remove that person from the United States. Asylum seekers and people claiming to have status in the United States are held without bond until they have established a “credible fear” of return to their country or until their status is determined. Originally, Expedited Removal was required only at the border, but was expanded in 2004 to include all undocumented immigrants apprehended within 14 days of entry and 100 miles of the border in some Border Patrol sectors. It was expanded again in 2006 to include all areas within 100 miles of U.S. borders, including coastal areas. [President Trump expanded expedited removal in 2017 to anyone apprehended within two years of entry in any part of the United States. — </w:t>
      </w:r>
      <w:r w:rsidDel="00000000" w:rsidR="00000000" w:rsidRPr="00000000">
        <w:rPr>
          <w:rFonts w:ascii="Palatino" w:cs="Palatino" w:eastAsia="Palatino" w:hAnsi="Palatino"/>
          <w:b w:val="0"/>
          <w:bCs w:val="0"/>
          <w:i w:val="0"/>
          <w:iCs w:val="0"/>
          <w:smallCaps w:val="1"/>
          <w:strike w:val="0"/>
          <w:color w:val="000000"/>
          <w:sz w:val="21"/>
          <w:szCs w:val="21"/>
          <w:u w:val="none"/>
          <w:shd w:fill="auto" w:val="clear"/>
          <w:vertAlign w:val="baseline"/>
          <w:rtl w:val="0"/>
        </w:rPr>
        <w:t xml:space="preserve">Eds.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Why does the U.S. continue to rely on a system of detention?</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Today’s detention system originated in the United States’ response to mass migrations, particularly that of Cubans, Haitians, and politically displaced Central Americans, in the early 1980s.</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U.S. government maintains that detention is the only way to ensure that immigrants appear for their immigration court proceedings. The government considers immigrants to be a “flight risk,” and labels others a “danger” to their communities if they have a previous criminal record, without any individualized assessment.</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Detention is used to deter immigrants from coming to the United States, even though many studies point to economics as more of a determining factor than enforcement levels.</w:t>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U.S. policymakers see detention and deportation as a politically salient “quick fix” to broken immigration policies and to the complex issues of global and regional poverty and instability. Instead of recognizing and addressing larger economic and political structures that cause people to immigrate, politicians focus on interior and border enforcement as a way to repel people from migrating.</w:t>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detention and deportation of immigrants is a multi-billion dollar industry. Many private prison corporations and state and county governments profit from detention. By contracting out detention bed space, the government maintains it is able to save money. However, the regular reports of poor detention conditions and other abuses indicate that facility operators may be cutting financial corners at the expense of immigrants’ well-being.</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the U.S. government suspended the widespread use of immigration detention between the 1950s and 1980s, the country has a long history of immigration restriction which spans the detention and exile of Native Americans since colonial times to detentions at Ellis and Angel Islands in New York and California in the early 20th Century.</w:t>
      </w:r>
    </w:p>
    <w:p w:rsidR="00000000" w:rsidDel="00000000" w:rsidP="00000000" w:rsidRDefault="00000000" w:rsidRPr="00000000" w14:paraId="0000001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detention system is virtually invisible. Many detention centers have few markings and are in remote and isolated locations. As a result, the public is generally unaware of the high numbers of immigrants that are detained across the nation and in their local communities.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detention system is vast, ever-changing, and shrouded in secrecy. ICE frequently refuses to share information or allow visits to facilities, resulting in the public having little knowledge of harsh conditions and rights abuses within the system while U.S. immigration agencies remain unaccountable.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Because immigration detainees are subjected to the criminalization process through the act of detention and many are impoverished persons of color, detainees do not receive much sympathy from the public or attract much attention from the mainstream media.</w:t>
      </w:r>
    </w:p>
    <w:p w:rsidR="00000000" w:rsidDel="00000000" w:rsidP="00000000" w:rsidRDefault="00000000" w:rsidRPr="00000000" w14:paraId="0000001F">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Amnesty International, Jailed Without Justice: Immigration Detention in the USA</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(Mar. 25, 2009)</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Executive Summary</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“Whether I’m documented or not, I’m a human being. I used to think birds in a cage were so pretty but no one should be deprived of freedom — no one should be caged.”</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 with former immigration detainee (identity withheld), June 2008</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just over a decade, immigration detention has tripled. In 1996, immigration authorities had a daily detention capacity of less than 10,000. Today more than 30,000 immigrants are detained each day, and this number is likely to increase even further. They include asylum seekers, torture survivors, victims of human trafficking, longtime lawful permanent residents, and the parents of US citizen children. The US detains children, asylum seekers, survivors of torture and human trafficking, lawful permanent residents and the parents of U.S. citizen children.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ICE reported an average detention stay of 37 days in 2007, immigrants and asylum seekers may be detained for months or even years as they go through deportation procedures that will determine whether or not they are eligible to remain in the United States. According to a 2003 study, individuals who were eventually granted asylum spent an average of 10 months in detention with the longest reported period being 3.5 years. Amnesty International has documented several cases in this report, in which individuals have been detained for four years. Individuals who have been ordered deported may languish in detention indefinitely if their home country is unwilling to accept their return or does not have diplomatic relations with the United States.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order to meet the rising demand for space to house immigration detainees, US immigration authorities contract with approximately 350 state and county criminal jails across the country. Approximately 67 per cent of immigration detainees are held in these facilities, while the remaining individuals are held in facilities operated by immigration authorities and private contractors.</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Amnesty International found that the detention of immigrants and asylum seekers puts considerable pressure on individuals to abandon potentially valid claims to remain in the United States.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1. Review of Detention and Options for Release</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Everyone has the right to liberty and security of person. No one shall be subjected to arbitrary arrest or detention.</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Article 9 of the United Nations International Covenant on Civil and Political Rights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 important safeguard against arbitrary detention is the ability of an individual to challenge his or her detention before an independent judicial body. The U.S. criminal justice system provides individuals detained and charged with criminal offenses with the opportunity to challenge their detention before a court. However, access to judicial review is not currently provided on to all individuals detained on the basis of civil immigration violations. Factors such as where an individual was apprehended, and whether an individual has been convicted of certain crimes may determine what kind of review, if any, takes place. Where reviews do take place, alternatives to detention, including an affordable bond, are frequently not utilized.</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1.1 Individuals apprehended at the border</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 26-year-old Chinese woman cried as she told AI researchers that she fled persecution after she and her mother were beaten in their home for handing out religious fliers. She arrived in the United States in January 2008 seeking asylum and was detained at the airport before being moved to a county jail. No one explained to her why she was being detained. An ICE Field Office Director decided that she should remain in detention unless a bond of $50,000 was paid. Neither her uncle in the United States nor her family in China had sufficient funds to meet the required amount. Her attorney told Amnesty International that the immigration judge indicated that he did not have the authority to release her from detention or change the amount of the bond set. Family members in the United States were finally able to raise the money needed to secure her release in December 2008, after she had spent nearly an entire year in detention.</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interviews with a detained asylum seeker and her attorney (identities withheld), June 2008.</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 immigration officer (ICE Field Office Director) decides whether someone is released from detention and the conditions of such release, such as the amount of bond to be posted or reporting requirements. These individuals are not entitled to a review of their detention by an immigration judge. The discretionary nature of the parole decision making process means that an individual’s chances of release may depend entirely on where he or she is detained. Rates of release of individuals seeking asylum range from 4 per cent in Newark, New Jersey to 98 per cent in Harlingen, Texas. The parole process concentrates extraordinary power in the hands of individual ICE officers and lacks effective oversight and review, in contravention of international human rights standards.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1.2 Individuals apprehended inside the United States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Mr. A fled to the USA from India in 1999 after being severely tortured and jailed multiple times due to his political activities. In 2006, he was arrested and detained by ICE and required to pay a $15,000 bond. His wife contracted with a bail bondsman to pay the bond and Mr. A applied for asylum. Over two years he appeared regularly for all immigration court hearings, but at the end of a hearing in which he had testified for hours about the torture he suffered in India, he was again arrested and detained by ICE. At a bond hearing before an immigration judge he was ordered released upon payment of an $80,000 bond. Mr. A’s family and friends pooled their resources, using credit cards and their homes as collateral in order to secure his release. Mr. A was eventually granted asylum protection.</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 with a former immigration detainee (identity withheld), June 2008.</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 ICE Field Office Director makes the initial decision regarding whether someone remains in detention or is released. Individuals may ask for a review by an immigration judge, however, some may not realize that it’s possible to make such a request. Where reviews do take place, reports indicate that immigration judges are increasingly not releasing people on bond or are setting the bond too high. The minimum bond that may be set is $1500, but the average immigration bond is $5,941. In New York, the average is $9,831, and in at least eight other jurisdictions the average is over $6,000. There is also wide regional variation among immigration courts in the use of release of individuals without monetary bond, and even confusion about whether courts have jurisdiction to utilize this option. Immigration courts in Houston, Texas released 462 people without monetary bond in 2006, whereas immigration courts in New York City and Las Vegas released no one on this basis. A total of 2,442 people were released on their own recognizance in 2006.</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1.3 Mandatory Detention</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B, a 57-year-old lawful permanent resident of the United States for more than forty years with US citizen children and grandchildren, spent four years in mandatory detention while fighting deportation. In August 2003, he pled guilty to two misdemeanors and received probation. As part of his probation, he was required to check in with a probation officer, and he did so regularly. Before Thanksgiving in 2003 his probation officer asked him to come in and when he did so, ICE officers arrested Mr. B based on the misdemeanor convictions and sought to deport him, claiming that his convictions constituted aggravated felonies under immigration law. “I was in complete shock and kept asking my probation officer why I was being taken away. I had never heard of ICE.” Mr. B told Amnesty International. His wife returned home from work that day to a voicemail that said she should pick her husband’s car up. She told Amnesty International “My husband didn’t call me for two or three days. I didn’t know what was happening. No one would tell me.” Although an immigration judge ruled that his convictions were not aggravated felonies, he remained in detention while his case went through several government appeals. In November 2007, the federal court of appeals found that Mr. B was not an aggravated felon and ordered his immediate release. Although he was no longer subject to deportation, ICE refused to release Mr. B unless he paid bond. Mr. B told Amnesty International “My tears came down my eyes because I learned that I would not be released unless I paid $10,000. I didn’t know why.” Mr. B’s wife raised this money from family and friends; after his release, however, ICE did not return the bond money for over five months. When Mr. B finally received it, his family had to use the money to pay bills. He is still trying to pay back his friends and family, and his daughter has moved back into the home to help him and his wife financially</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 with Mr. B and his wife (identities withheld), January 2009</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37-year-old lawful permanent resident, who had lived in the United States for 18 years, was deported to Haiti for two convictions for possession of stolen bus pass transfers. The immigration court found that these convictions constituted two crimes of moral turpitude, a decision that led to his deportation.</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Lawful permanent residents can be placed in “mandatory detention” with no right to a bond hearing before an immigration judge or judicial body. It is believed that thousands of individuals are subject to mandatory detention every year. The categories of crimes that trigger mandatory detention include minor, non-violent crimes (such as receiving stolen property) committed years ago, and are broad and difficult to define. U.S. citizens and long-time permanent residents have been incorrectly subject to mandatory detention, and have spent months or years behind bars before being able to prove they are not deportable. According to AIUSA’s research, at least 117 people have been held in mandatory detention for crimes that were ultimately determined not to be deportable offenses. In 2007 alone, legal service providers identified 322 individuals in detention with potential claims for U.S. citizenship. The U.S. mandatory detention system amounts to arbitrary detention and violates international law, which requires that detention be justified in each individual case and be subject to judicial review.</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W., a U.S. citizen, was placed in immigration detention in Florence, Arizona. According to the Florence Immigrant and Refugee Rights Project, he was born in Minnesota and had never left the United States in his life. Because he was detained, he did not have access to his birth certificate, and was working in the prison kitchen for a dollar a day to earn the thirty dollars it would cost to order a copy of his birth certificate. Mr. W. was finally released after being detained for over a month.</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2. Alternatives to Detention</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“Can you please bring my dad home?”</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David, aged 7, in a letter to immigration court, after not having seen his lawful permanent resident father for over four years.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Alternatives to detention such as reporting requirements or an affordable bond should always be explicitly considered before resorting to detention. Alternatives to detention programs have been shown to be effective and significantly less expensive than holding people in immigration detention in the United States. While the average cost of detaining an immigrant is $95 per person/per day, a study of supervised release conducted by the Vera Institute in New York yielded a 91 per cent appearance rate at an estimated cost of just $12 per person per day. Despite the effectiveness of these alternatives to detention programs in ensuring compliance with immigration procedures, the use of immigration detention continues to rise at the expense of the United States’ human rights obligations.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Authorities should always use the least restrictive means necessary as alternatives to detention.</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Amnesty International is concerned however that the placing of electronic tagging devices on immigrants who are not considered security threats or flight risks constitute a disproportionate infringement upon their right to privacy and dignity.</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2"/>
          <w:szCs w:val="22"/>
          <w:u w:val="none"/>
          <w:shd w:fill="auto" w:val="clear"/>
          <w:vertAlign w:val="baseline"/>
          <w:rtl w:val="0"/>
        </w:rPr>
        <w:t xml:space="preserve">3.</w:t>
      </w: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 Access to Assistance and Support: Safeguards Relating to Detention</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 can’t go back . . . there are people there trying to kill me. I wrote so many letters to lawyers asking them to help me.”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 with an unrepresented immigration detainee (identity withheld), June 2008.</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Under U.S. law, individuals in deportation proceedings may secure counsel, but at no expense to the government. Consequently, the vast majority of people — 84 percent — in immigration detention do not have a lawyer, and instead represent themselves. Representation by legal counsel can have a significant impact on the outcome of an individual’s case. One study found that individuals are five times more likely to be granted asylum if they are represented.</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Immigration detainees in the U.S. face considerable barriers in communicating with anyone outside the facility and in accessing assistance, such as “know your rights” presentations, adequate access to law libraries and legal materials, immigration specific detainee handbooks, adequate access to telephones, translation and interpretation services. Many are frequently transferred between facilities, which undermines their ability to access to legal counsel and relatives.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2"/>
          <w:szCs w:val="22"/>
          <w:u w:val="none"/>
          <w:shd w:fill="auto" w:val="clear"/>
          <w:vertAlign w:val="baseline"/>
          <w:rtl w:val="0"/>
        </w:rPr>
        <w:t xml:space="preserve">4.</w:t>
      </w: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 Conditions of Detention</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L.N. is 27 years old and was born in Afghanistan. He was 7 years old when he and his family came to the United States as refugees. He was placed in deportation proceedings and held in mandatory detention because of a drug conviction in 2007. He began urinating blood not long after, and was experiencing constant fatigue, pain and discomfort. He had to wait a month and a half before he was first seen by a doctor. After nine months, he had yet to receive any diagnosis or treatment. He has filed four grievances about his lack of medical treatment and told Amnesty International that he is so frustrated and afraid that he is considering giving up his claim of citizenship and going back to Afghanistan in order to obtain medical care. He told Amnesty International that he was particularly concerned about his wife and daughter, who will suffer because he “made a mistake.” “There’s no life for my wife and daughter in Afghanistan.”</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Amnesty International interview with immigration detainee (identity withheld), June 2008.</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International standards require that administrative detention should not be punitive in nature. However, Amnesty International’s findings indicate that conditions of detention in many facilities do not meet either international human rights standards or ICE guidelines. Immigration detainees are often detained in jail facilities with barbed wire and cells, alongside those serving time for criminal convictions. They are not able to wear their own clothes but instead wear prison uniforms.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Immigrants are unnecessarily exposed to inappropriate and excessive restraints including handcuffs, belly chains, and leg restraints. Amnesty International received reports that some individuals have been subjected to physical and/or verbal abuse while held in immigration detention, in violation of international standards. Individuals in detention also have inadequate access to exercise and find it very difficult to get timely — and at times any — treatment for their medical needs. 74 people have died while in immigration detention over the past five years.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September 2008, ICE announced the publication of 41 new performance-based detention standards to be implemented over 18 months. These will take full effect in all facilities housing ICE detainees by January 2010. These standards, if effectively implemented, will improve conditions for immigration detainees. However, Amnesty International is concerned that they are not legally enforceable and do not provide adequate sanctions for violations.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Key Recommendations: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U.S.A. must immediately act to address the pervasive violations of immigrants’ human rights.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The U.S. Congress should pass legislation creating a presumption against the detention of immigrants and asylum seekers and ensuring that it be used as a measure of last resort;</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The U.S. government should ensure that alternative non-custodial measures, such as reporting requirements or an affordable bond, are always explicitly considered before resorting to detention. Reporting requirements should not be unduly onerous, invasive or difficult to comply with, especially for families with children and those of limited financial means. Conditions of release should be subject to judicial review.</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The U.S. Congress should pass legislation to ensure that all immigrants and asylum seekers have access to individualized hearings on the lawfulness, necessity, and appropriateness of detention.</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The U.S. government should ensure the adoption of enforceable human rights detention standards in all detention facilities that house immigration detainees, either through legislation or through the adoption of enforceable policies and procedures by the Department of Homeland Security. There should be effective independent oversight to ensure compliance with detention standards and accountability for any violations.</w:t>
      </w:r>
    </w:p>
    <w:p w:rsidR="00000000" w:rsidDel="00000000" w:rsidP="00000000" w:rsidRDefault="00000000" w:rsidRPr="00000000" w14:paraId="00000051">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The history outlined in the Detention Watch Network fails to refer to Angel Island in the middle of San Francisco Bay. From 1910 to 1940, 1 million individuals were processed through an immigration detention station set up on the island. This included over 341,000 aliens and returning residents, and 209,000 U.S. citizens arriving in the United States. Many Chinese were detained for months or years, only to be turned back because of the Chinese Exclusion Act.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 generally</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Erika Lee and Judy Yung,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Angel Island: Immigrant Gateway to America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(2010).</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What were the historical purposes of immigration detention?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The contrast in treatment between Haitians and Cubans seeking entry around the same time is illuminating.</w:t>
      </w:r>
    </w:p>
    <w:p w:rsidR="00000000" w:rsidDel="00000000" w:rsidP="00000000" w:rsidRDefault="00000000" w:rsidRPr="00000000" w14:paraId="00000057">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Ruth Ellen Wasem, U.S. Immigration Policy on Haitian Migrants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Congressional Research Service, Domestic Social Policy Division (Jan. 21, 2005), http://fpc.state.gov/documents/organization/47153.pdf</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 estimated 25,000 Haitians were among the mass migration of over 150,000 asylum seekers who arrived in South Florida in 1980 during the Mariel boatlift. The U.S. Coast Guard, as described below, has been interdicting vessels carrying Haitians since 1981, a policy resulting from the Mariel Boatlift.</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Post-Mariel Policy. The Carter Administration labeled Haitians as well as Cubans who had come to the United States during the 1980 Mariel Boatlift as “Cuban-Haitian Entrants” and used the discretionary authority of the Attorney General to admit them. It appeared that the vast majority of Haitians who arrived in South Florida did not qualify for asylum according to the newly-enacted individualized definition of persecution in §207-§208 of the Immigration and Nationality Act (INA, as amended by the Refugee Act of 1980). Subsequently, an adjustment of status provision was included in the Immigration Reform and Control Act (IRCA) of 1986 that enabled Cuban-Haitian Entrants to become legal permanent residents (LPRs).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Interdiction Agreement. In 1981, the Reagan Administration reacted to the mass migration of asylum seekers who arrived in boats from Haiti by establishing a program to interdict (i.e., stop and search certain vessels suspected of transporting undocumented Haitians). This agreement, made with then-dictator Jean-Claude Duvalier, authorized the U.S. Coast Guard to board and inspect private Haitian vessels on the high seas and to interrogate the passengers. At that time, the United States generally viewed Haitian boat people as economic migrants deserting one of the poorest countries in the world.</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Under the original agreement, an INS interviewer and Coast Guard official, working together, would check the immigration status of the passengers and return those passengers deemed to be undocumented Haitians. An alien in question must have volunteered information to the Coast Guard or INS interviewer that she or he would be persecuted if returned to Haiti in order for the interdicted Haitian to be considered for asylum. Ultimately, INS would determine the immigration status of the alien in question. From 1981 through 1990, 22,940 Haitians were interdicted at sea. Of this number, INS considered 11 Haitians qualified to apply for asylum in the United States.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Crisis After the Coup. The 1991 military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coup d’etat</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deposing Haiti’s first democratically elected President, Jean Bertrand Aristide, however, challenged the assumption that all Haitian boat people were economic migrants. The State Department reportedly hesitated on whether the Haitians should be forced to return given the strong condemnation of the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coup</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by the United States and the Organization of American States. By November 11, 1991, approximately 450 Haitians were being held on Coast Guard cutters while the administration of then-President George H. W. Bush considered the options. The former Bush Administration lobbied for a regional solution to the outflow of Haitian boat people, and the United Nations High Commissioner for Refugees (UNHCR) arranged for several countries in the region — Belize, Honduras, Trinidad and Tobago, and Venezuela — to temporarily provide a safe haven for Haitians interdicted by the Coast Guard. Some of the other countries in the region were each willing to provide safe haven for only several hundred Haitians. Meanwhile, the Coast Guard cutters were becoming severely overcrowded, and on November 18, 1991, the United States forcibly returned 538 Haitians to Haiti.</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Safe Haven and Refugee Processing. The repatriation policy continued for two years, until then-President Bill Clinton announced that interdicted Haitians would be taken to a location in the region where they would be processed as potential refugees. The refugee processing policy lasted only a few weeks — June 15 to July 5, 1994. Much like the former Bush Administration, the Clinton Administration cited the exodus of Haitian boat people as a reason for suspending refugee processing. Instead, the new policy became one of regional “safe havens” where interdicted Haitians who expressed a fear of persecution could stay, but they would not be allowed to come to the United States. In 1993, in-country refugee processing was further expanded to Les Cayes and Cape Haiten.</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Mandatory Detention of Aliens in Expedited Removal. Since enactment of the Illegal Immigration Reform and Immigrant Responsibility Act (IIRIRA) of 1996 (P.L. 104-208), aliens arriving in the United States without proper immigration documents are immediately placed in expedited removal. If an alien expresses a fear of being forced to return home, the immigration inspector refers the alien to a asylum officer who determines whether the person has a “credible fear.” IIRIRA requires that those aliens must be kept in detention while their “credible fear” cases are pending. As a result, those Haitians who do make it to U.S. shores and do express a fear of repatriation are placed in detention. After the credible fear determination, the case is referred to an Executive Office for Immigration Review (EOIR) immigration judge for an asylum and removal hearing, (during which time there is no statutory requirement that aliens be detained). EOIR granted asylum to 477 Haitians in FY2002 and to 369 in FY2001.</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National Security Risk. On November 13, 2002, the INS published a notice clarifying that certain aliens arriving by sea who are not admitted or paroled are to be placed in expedited removal proceedings and detained (subject to humanitarian parole). This notice concluded that illegal mass migration by sea threatened national security because it diverts the Coast Guard and other resources from their homeland security duties. The Attorney General expanded on this rationale in his April 17, 2003, ruling that instructs EOIR immigration judges to consider “national security interests implicated by the encouragement of further unlawful mass migrations . . .” in making bond determinations regarding release from detention of unauthorized migrants who arrive in “the United States by sea seeking to evade inspection.” The case involved a Haitian who had come ashore in Biscayne Bay, Florida, on October 29, 2002, and had been released on bond by an immigration judge. EOIR’s Board of Immigration Appeals (BIA) had upheld his release, but the Attorney General vacated the BIA decision.</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Parole from Detention. DOJ acknowledges that it instructed field operations “to adjust parole criteria with respect to all inadmissible Haitians arriving in South Florida after December 3, 2001, and that none of them should be paroled without the approval of INS headquarters.” The [Bush] Administration maintains that paroling Haitians (as is typically done for aliens who meet the credible fear threshold) may encourage other Haitians to embark on the “risky sea travel” and “potentially trigger a mass asylum from Haiti to the United States.” The Administration further argues that all migrants who arrive by sea pose a risk to national security and warns that terrorists may pose as Haitian asylum seekers.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Contrast with Cubans. U.S. immigration policy toward migrants from Cuba and Haiti are often discussed in tandem because there are several key points of comparison. Both nations have a history of repressive governments with documented human rights violations. Both countries have a history of sending asylum seekers to the United States by boats. Finally, although U.S. immigration law is generally applied neutrally without regard to country of origin, there are special laws and agreements pertaining to both Cubans and Haitians (as discussed above). Despite these points of similarity, the treatment of Cubans fleeing to the United States differs from that of Haitians. Cuban migrants receive more generous treatment under U.S. law than Haitians or foreign nationals from any other country. This policy is embodied in the Cuban Adjustment Act (CAA) of 1966 (P.L. 89-73), as amended, which provides that certain Cubans who have been physically present in the United States for at least one year may adjust to permanent residence status at the discretion of the Attorney General. As a consequence of special migration agreements with Cuba, a “wet foot/dry foot” practice toward Cuban migrants has evolved. Put simply, Cubans who do not reach the shore (i.e., dry land), are interdicted and returned to Cuba unless they cite fears of persecution. Those Cubans who successfully reach the shore are inspected for entry by DHS and generally permitted to stay and adjust under CAA the following year.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66">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As his time in office was coming to a close, President Obama ended the 22-year-old “wet foot, dry foot” policy that allowed most Cuban migrants who reached U.S. soil to stay and become legal permanent residents after one year. The move came as the United States was normalizing relations with its one-time foe. The “wet foot, dry foot” policy was initiated by President Clinton in 1995. In exchange for the new policy, Cuba agreed to start accepting Cubans who were issued a deportation order in the United States, something the communist nation had refused to do for decades.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Palatino">
    <w:altName w:val="Book Antiqua"/>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5"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See also Kevin R. Johnson,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Comparative Racialization: Culture and National Origin in the Latina/o Communities</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78 Denv. U.L. Rev. 633 (2001).</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abstractNum w:abstractNumId="2">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abstractNum w:abstractNumId="3">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5A7E74"/>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A7E74"/>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A7E74"/>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A7E74"/>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A7E74"/>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A7E74"/>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A7E74"/>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A7E74"/>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A7E74"/>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A7E74"/>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A7E74"/>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A7E74"/>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A7E74"/>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A7E74"/>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A7E74"/>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5A7E74"/>
    <w:rPr>
      <w:i w:val="1"/>
      <w:iCs w:val="1"/>
      <w:color w:val="404040" w:themeColor="text1" w:themeTint="0000BF"/>
    </w:rPr>
  </w:style>
  <w:style w:type="paragraph" w:styleId="ListParagraph">
    <w:name w:val="List Paragraph"/>
    <w:basedOn w:val="Normal"/>
    <w:uiPriority w:val="34"/>
    <w:qFormat w:val="1"/>
    <w:rsid w:val="005A7E74"/>
    <w:pPr>
      <w:ind w:left="720"/>
      <w:contextualSpacing w:val="1"/>
    </w:pPr>
  </w:style>
  <w:style w:type="character" w:styleId="IntenseEmphasis">
    <w:name w:val="Intense Emphasis"/>
    <w:basedOn w:val="DefaultParagraphFont"/>
    <w:uiPriority w:val="21"/>
    <w:qFormat w:val="1"/>
    <w:rsid w:val="005A7E74"/>
    <w:rPr>
      <w:i w:val="1"/>
      <w:iCs w:val="1"/>
      <w:color w:val="0f4761" w:themeColor="accent1" w:themeShade="0000BF"/>
    </w:rPr>
  </w:style>
  <w:style w:type="paragraph" w:styleId="IntenseQuote">
    <w:name w:val="Intense Quote"/>
    <w:basedOn w:val="Normal"/>
    <w:next w:val="Normal"/>
    <w:link w:val="IntenseQuoteChar"/>
    <w:uiPriority w:val="30"/>
    <w:qFormat w:val="1"/>
    <w:rsid w:val="005A7E74"/>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A7E74"/>
    <w:rPr>
      <w:i w:val="1"/>
      <w:iCs w:val="1"/>
      <w:color w:val="0f4761" w:themeColor="accent1" w:themeShade="0000BF"/>
    </w:rPr>
  </w:style>
  <w:style w:type="character" w:styleId="IntenseReference">
    <w:name w:val="Intense Reference"/>
    <w:basedOn w:val="DefaultParagraphFont"/>
    <w:uiPriority w:val="32"/>
    <w:qFormat w:val="1"/>
    <w:rsid w:val="005A7E74"/>
    <w:rPr>
      <w:b w:val="1"/>
      <w:bCs w:val="1"/>
      <w:smallCaps w:val="1"/>
      <w:color w:val="0f4761" w:themeColor="accent1" w:themeShade="0000BF"/>
      <w:spacing w:val="5"/>
    </w:rPr>
  </w:style>
  <w:style w:type="paragraph" w:styleId="H1" w:customStyle="1">
    <w:name w:val="H1"/>
    <w:basedOn w:val="Normal"/>
    <w:uiPriority w:val="99"/>
    <w:rsid w:val="005A7E74"/>
    <w:pPr>
      <w:keepNext w:val="1"/>
      <w:keepLines w:val="1"/>
      <w:widowControl w:val="0"/>
      <w:pBdr>
        <w:bottom w:color="auto" w:space="0" w:sz="8" w:val="single"/>
      </w:pBdr>
      <w:suppressAutoHyphens w:val="1"/>
      <w:autoSpaceDE w:val="0"/>
      <w:autoSpaceDN w:val="0"/>
      <w:adjustRightInd w:val="0"/>
      <w:spacing w:after="240" w:before="420" w:line="280" w:lineRule="atLeast"/>
      <w:ind w:left="360" w:hanging="360"/>
      <w:textAlignment w:val="center"/>
    </w:pPr>
    <w:rPr>
      <w:rFonts w:ascii="PalatinoLTStd-Medium" w:cs="PalatinoLTStd-Medium" w:hAnsi="PalatinoLTStd-Medium" w:eastAsiaTheme="minorEastAsia"/>
      <w:caps w:val="1"/>
      <w:color w:val="a73439"/>
      <w:kern w:val="0"/>
      <w:sz w:val="25"/>
      <w:szCs w:val="25"/>
      <w:lang w:eastAsia="en-IN"/>
    </w:rPr>
  </w:style>
  <w:style w:type="paragraph" w:styleId="TXNI" w:customStyle="1">
    <w:name w:val="TXNI"/>
    <w:basedOn w:val="Normal"/>
    <w:uiPriority w:val="99"/>
    <w:rsid w:val="005A7E74"/>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TXT" w:customStyle="1">
    <w:name w:val="TXT"/>
    <w:basedOn w:val="Normal"/>
    <w:uiPriority w:val="99"/>
    <w:rsid w:val="005A7E74"/>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1" w:customStyle="1">
    <w:name w:val="CASE_H1"/>
    <w:basedOn w:val="Normal"/>
    <w:uiPriority w:val="99"/>
    <w:rsid w:val="005A7E74"/>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H2" w:customStyle="1">
    <w:name w:val="CASE_H2"/>
    <w:basedOn w:val="Normal"/>
    <w:uiPriority w:val="99"/>
    <w:rsid w:val="005A7E74"/>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TXNI" w:customStyle="1">
    <w:name w:val="CASE_TXNI"/>
    <w:basedOn w:val="Normal"/>
    <w:uiPriority w:val="99"/>
    <w:rsid w:val="005A7E74"/>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T" w:customStyle="1">
    <w:name w:val="CASE_TXT"/>
    <w:basedOn w:val="Normal"/>
    <w:uiPriority w:val="99"/>
    <w:rsid w:val="005A7E74"/>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NEPQH1" w:customStyle="1">
    <w:name w:val="NEPQ_H1"/>
    <w:basedOn w:val="Normal"/>
    <w:uiPriority w:val="99"/>
    <w:rsid w:val="005A7E74"/>
    <w:pPr>
      <w:keepNext w:val="1"/>
      <w:keepLines w:val="1"/>
      <w:widowControl w:val="0"/>
      <w:tabs>
        <w:tab w:val="left" w:pos="300"/>
      </w:tabs>
      <w:suppressAutoHyphens w:val="1"/>
      <w:autoSpaceDE w:val="0"/>
      <w:autoSpaceDN w:val="0"/>
      <w:adjustRightInd w:val="0"/>
      <w:spacing w:after="120" w:before="480" w:line="260" w:lineRule="atLeast"/>
      <w:jc w:val="center"/>
      <w:textAlignment w:val="center"/>
    </w:pPr>
    <w:rPr>
      <w:rFonts w:ascii="PalatinoLTStd-Bold" w:cs="PalatinoLTStd-Bold" w:hAnsi="PalatinoLTStd-Bold" w:eastAsiaTheme="minorEastAsia"/>
      <w:b w:val="1"/>
      <w:bCs w:val="1"/>
      <w:caps w:val="1"/>
      <w:color w:val="a73439"/>
      <w:kern w:val="0"/>
      <w:lang w:eastAsia="en-IN"/>
    </w:rPr>
  </w:style>
  <w:style w:type="paragraph" w:styleId="NEPQNL1mid" w:customStyle="1">
    <w:name w:val="NEPQ_NL1_mid"/>
    <w:basedOn w:val="Normal"/>
    <w:uiPriority w:val="99"/>
    <w:rsid w:val="005A7E74"/>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4" w:customStyle="1">
    <w:name w:val="CASE_H4"/>
    <w:basedOn w:val="Normal"/>
    <w:uiPriority w:val="99"/>
    <w:rsid w:val="005A7E74"/>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Bold" w:cs="PalatinoLTStd-Bold" w:hAnsi="PalatinoLTStd-Bold" w:eastAsiaTheme="minorEastAsia"/>
      <w:b w:val="1"/>
      <w:bCs w:val="1"/>
      <w:color w:val="000000"/>
      <w:kern w:val="0"/>
      <w:sz w:val="22"/>
      <w:szCs w:val="22"/>
      <w:lang w:eastAsia="en-IN"/>
    </w:rPr>
  </w:style>
  <w:style w:type="paragraph" w:styleId="CASEH5" w:customStyle="1">
    <w:name w:val="CASE_H5"/>
    <w:basedOn w:val="Normal"/>
    <w:uiPriority w:val="99"/>
    <w:rsid w:val="005A7E74"/>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Medium" w:cs="PalatinoLTStd-Medium" w:hAnsi="PalatinoLTStd-Medium" w:eastAsiaTheme="minorEastAsia"/>
      <w:color w:val="000000"/>
      <w:kern w:val="0"/>
      <w:sz w:val="22"/>
      <w:szCs w:val="22"/>
      <w:lang w:eastAsia="en-IN"/>
    </w:rPr>
  </w:style>
  <w:style w:type="paragraph" w:styleId="CASEH6" w:customStyle="1">
    <w:name w:val="CASE_H6"/>
    <w:basedOn w:val="Normal"/>
    <w:uiPriority w:val="99"/>
    <w:rsid w:val="005A7E74"/>
    <w:pPr>
      <w:widowControl w:val="0"/>
      <w:tabs>
        <w:tab w:val="left" w:pos="300"/>
      </w:tabs>
      <w:suppressAutoHyphens w:val="1"/>
      <w:autoSpaceDE w:val="0"/>
      <w:autoSpaceDN w:val="0"/>
      <w:adjustRightInd w:val="0"/>
      <w:spacing w:after="60" w:before="120" w:line="260" w:lineRule="atLeast"/>
      <w:jc w:val="both"/>
      <w:textAlignment w:val="center"/>
    </w:pPr>
    <w:rPr>
      <w:rFonts w:ascii="PalatinoLTStd-BoldItalic" w:cs="PalatinoLTStd-BoldItalic" w:hAnsi="PalatinoLTStd-BoldItalic" w:eastAsiaTheme="minorEastAsia"/>
      <w:b w:val="1"/>
      <w:bCs w:val="1"/>
      <w:i w:val="1"/>
      <w:iCs w:val="1"/>
      <w:color w:val="000000"/>
      <w:kern w:val="0"/>
      <w:sz w:val="21"/>
      <w:szCs w:val="21"/>
      <w:lang w:eastAsia="en-IN"/>
    </w:rPr>
  </w:style>
  <w:style w:type="paragraph" w:styleId="CASEH1recto" w:customStyle="1">
    <w:name w:val="CASE_H1_recto"/>
    <w:basedOn w:val="Normal"/>
    <w:uiPriority w:val="99"/>
    <w:rsid w:val="005A7E74"/>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BL1first" w:customStyle="1">
    <w:name w:val="CASE_BL1_first"/>
    <w:basedOn w:val="Normal"/>
    <w:uiPriority w:val="99"/>
    <w:rsid w:val="005A7E74"/>
    <w:pPr>
      <w:widowControl w:val="0"/>
      <w:suppressAutoHyphens w:val="1"/>
      <w:autoSpaceDE w:val="0"/>
      <w:autoSpaceDN w:val="0"/>
      <w:adjustRightInd w:val="0"/>
      <w:spacing w:after="0" w:before="12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CASEBL1mid" w:customStyle="1">
    <w:name w:val="CASE_BL1_mid"/>
    <w:basedOn w:val="Normal"/>
    <w:uiPriority w:val="99"/>
    <w:rsid w:val="005A7E74"/>
    <w:pPr>
      <w:widowControl w:val="0"/>
      <w:suppressAutoHyphens w:val="1"/>
      <w:autoSpaceDE w:val="0"/>
      <w:autoSpaceDN w:val="0"/>
      <w:adjustRightInd w:val="0"/>
      <w:spacing w:after="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CASEBL1" w:customStyle="1">
    <w:name w:val="CASE_BL1"/>
    <w:basedOn w:val="Normal"/>
    <w:uiPriority w:val="99"/>
    <w:rsid w:val="005A7E74"/>
    <w:pPr>
      <w:widowControl w:val="0"/>
      <w:suppressAutoHyphens w:val="1"/>
      <w:autoSpaceDE w:val="0"/>
      <w:autoSpaceDN w:val="0"/>
      <w:adjustRightInd w:val="0"/>
      <w:spacing w:after="120" w:before="12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NL1first" w:customStyle="1">
    <w:name w:val="NL1_first"/>
    <w:basedOn w:val="Normal"/>
    <w:uiPriority w:val="99"/>
    <w:rsid w:val="005A7E74"/>
    <w:pPr>
      <w:widowControl w:val="0"/>
      <w:tabs>
        <w:tab w:val="right" w:pos="480"/>
      </w:tabs>
      <w:suppressAutoHyphens w:val="1"/>
      <w:autoSpaceDE w:val="0"/>
      <w:autoSpaceDN w:val="0"/>
      <w:adjustRightInd w:val="0"/>
      <w:spacing w:after="0" w:before="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L1mid" w:customStyle="1">
    <w:name w:val="NL1_mid"/>
    <w:basedOn w:val="Normal"/>
    <w:uiPriority w:val="99"/>
    <w:rsid w:val="005A7E74"/>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x" w:customStyle="1">
    <w:name w:val="x"/>
    <w:uiPriority w:val="99"/>
    <w:rsid w:val="005A7E74"/>
    <w:rPr>
      <w:color w:val="000000"/>
      <w:w w:val="100"/>
    </w:rPr>
  </w:style>
  <w:style w:type="character" w:styleId="H11" w:customStyle="1">
    <w:name w:val="H11"/>
    <w:uiPriority w:val="99"/>
    <w:rsid w:val="005A7E74"/>
    <w:rPr>
      <w:rFonts w:ascii="PalatinoLTStd-Medium" w:hAnsi="PalatinoLTStd-Medium"/>
      <w:color w:val="a73439"/>
      <w:w w:val="100"/>
      <w:lang w:eastAsia="x-none" w:val="en-US"/>
    </w:rPr>
  </w:style>
  <w:style w:type="character" w:styleId="SC" w:customStyle="1">
    <w:name w:val="SC"/>
    <w:uiPriority w:val="99"/>
    <w:rsid w:val="005A7E74"/>
    <w:rPr>
      <w:smallCaps w:val="1"/>
      <w:color w:val="000000"/>
      <w:w w:val="100"/>
      <w:lang w:eastAsia="x-none" w:val="en-US"/>
    </w:rPr>
  </w:style>
  <w:style w:type="character" w:styleId="ITALIC" w:customStyle="1">
    <w:name w:val="ITALIC"/>
    <w:uiPriority w:val="99"/>
    <w:rsid w:val="005A7E74"/>
    <w:rPr>
      <w:i w:val="1"/>
      <w:color w:val="000000"/>
      <w:w w:val="100"/>
      <w:lang w:eastAsia="x-none" w:val="en-US"/>
    </w:rPr>
  </w:style>
  <w:style w:type="character" w:styleId="NEPQNL11" w:customStyle="1">
    <w:name w:val="NEPQ_NL11"/>
    <w:uiPriority w:val="99"/>
    <w:rsid w:val="005A7E74"/>
    <w:rPr>
      <w:rFonts w:ascii="PalatinoLTStd-Roman" w:hAnsi="PalatinoLTStd-Roman"/>
      <w:color w:val="000000"/>
      <w:w w:val="100"/>
      <w:lang w:eastAsia="x-none" w:val="en-US"/>
    </w:rPr>
  </w:style>
  <w:style w:type="character" w:styleId="CASEH51" w:customStyle="1">
    <w:name w:val="CASE_H51"/>
    <w:uiPriority w:val="99"/>
    <w:rsid w:val="005A7E74"/>
    <w:rPr>
      <w:rFonts w:ascii="PalatinoLTStd-Medium" w:hAnsi="PalatinoLTStd-Medium"/>
      <w:color w:val="000000"/>
      <w:w w:val="100"/>
      <w:lang w:eastAsia="x-none" w:val="en-US"/>
    </w:rPr>
  </w:style>
  <w:style w:type="character" w:styleId="CASEH61" w:customStyle="1">
    <w:name w:val="CASE_H61"/>
    <w:uiPriority w:val="99"/>
    <w:rsid w:val="005A7E74"/>
    <w:rPr>
      <w:rFonts w:ascii="PalatinoLTStd-BoldItalic" w:hAnsi="PalatinoLTStd-BoldItalic"/>
      <w:b w:val="1"/>
      <w:i w:val="1"/>
      <w:color w:val="000000"/>
      <w:w w:val="100"/>
      <w:lang w:eastAsia="x-none" w:val="en-US"/>
    </w:rPr>
  </w:style>
  <w:style w:type="character" w:styleId="NL1" w:customStyle="1">
    <w:name w:val="NL1"/>
    <w:uiPriority w:val="99"/>
    <w:rsid w:val="005A7E74"/>
    <w:rPr>
      <w:rFonts w:ascii="PalatinoLTStd-Roman" w:hAnsi="PalatinoLTStd-Roman"/>
      <w:color w:val="000000"/>
      <w:w w:val="100"/>
      <w:lang w:eastAsia="x-none" w:val="en-US"/>
    </w:rPr>
  </w:style>
  <w:style w:type="paragraph" w:styleId="NEPQNL1" w:customStyle="1">
    <w:name w:val="NEPQ_NL1"/>
    <w:basedOn w:val="Normal"/>
    <w:uiPriority w:val="99"/>
    <w:rsid w:val="00C37D47"/>
    <w:pPr>
      <w:widowControl w:val="0"/>
      <w:tabs>
        <w:tab w:val="right" w:pos="480"/>
      </w:tabs>
      <w:suppressAutoHyphens w:val="1"/>
      <w:autoSpaceDE w:val="0"/>
      <w:autoSpaceDN w:val="0"/>
      <w:adjustRightInd w:val="0"/>
      <w:spacing w:after="120" w:before="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EPQNL1paramid" w:customStyle="1">
    <w:name w:val="NEPQ_NL1_para_mid"/>
    <w:basedOn w:val="Normal"/>
    <w:uiPriority w:val="99"/>
    <w:rsid w:val="00C37D47"/>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FootnoteText">
    <w:name w:val="footnote text"/>
    <w:basedOn w:val="Normal"/>
    <w:link w:val="FootnoteTextChar"/>
    <w:autoRedefine w:val="1"/>
    <w:uiPriority w:val="99"/>
    <w:semiHidden w:val="1"/>
    <w:unhideWhenUsed w:val="1"/>
    <w:rsid w:val="00C37D47"/>
    <w:pPr>
      <w:spacing w:after="15" w:line="259" w:lineRule="auto"/>
    </w:pPr>
    <w:rPr>
      <w:rFonts w:cs="Times New Roman" w:eastAsiaTheme="minorEastAsia"/>
      <w:kern w:val="0"/>
      <w:sz w:val="20"/>
      <w:szCs w:val="20"/>
      <w:lang w:eastAsia="en-IN" w:val="en-IN"/>
    </w:rPr>
  </w:style>
  <w:style w:type="character" w:styleId="FootnoteTextChar" w:customStyle="1">
    <w:name w:val="Footnote Text Char"/>
    <w:basedOn w:val="DefaultParagraphFont"/>
    <w:link w:val="FootnoteText"/>
    <w:uiPriority w:val="99"/>
    <w:semiHidden w:val="1"/>
    <w:rsid w:val="00C37D47"/>
    <w:rPr>
      <w:rFonts w:cs="Times New Roman" w:eastAsiaTheme="minorEastAsia"/>
      <w:kern w:val="0"/>
      <w:sz w:val="20"/>
      <w:szCs w:val="20"/>
      <w:lang w:eastAsia="en-IN" w:val="en-IN"/>
    </w:rPr>
  </w:style>
  <w:style w:type="character" w:styleId="FootnoteReference">
    <w:name w:val="footnote reference"/>
    <w:basedOn w:val="DefaultParagraphFont"/>
    <w:uiPriority w:val="99"/>
    <w:semiHidden w:val="1"/>
    <w:unhideWhenUsed w:val="1"/>
    <w:rsid w:val="00C37D47"/>
    <w:rPr>
      <w:rFonts w:cs="Times New Roman"/>
      <w:vertAlign w:val="superscript"/>
    </w:rPr>
  </w:style>
  <w:style w:type="paragraph" w:styleId="EXT" w:customStyle="1">
    <w:name w:val="EXT"/>
    <w:basedOn w:val="Normal"/>
    <w:uiPriority w:val="99"/>
    <w:rsid w:val="00117517"/>
    <w:pPr>
      <w:widowControl w:val="0"/>
      <w:tabs>
        <w:tab w:val="left" w:pos="600"/>
      </w:tabs>
      <w:suppressAutoHyphens w:val="1"/>
      <w:autoSpaceDE w:val="0"/>
      <w:autoSpaceDN w:val="0"/>
      <w:adjustRightInd w:val="0"/>
      <w:spacing w:after="12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EXTmid" w:customStyle="1">
    <w:name w:val="EXT_mid"/>
    <w:basedOn w:val="Normal"/>
    <w:uiPriority w:val="99"/>
    <w:rsid w:val="00117517"/>
    <w:pPr>
      <w:widowControl w:val="0"/>
      <w:tabs>
        <w:tab w:val="left" w:pos="600"/>
      </w:tabs>
      <w:suppressAutoHyphens w:val="1"/>
      <w:autoSpaceDE w:val="0"/>
      <w:autoSpaceDN w:val="0"/>
      <w:adjustRightInd w:val="0"/>
      <w:spacing w:after="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EXTlast" w:customStyle="1">
    <w:name w:val="EXT_last"/>
    <w:basedOn w:val="Normal"/>
    <w:uiPriority w:val="99"/>
    <w:rsid w:val="00117517"/>
    <w:pPr>
      <w:widowControl w:val="0"/>
      <w:tabs>
        <w:tab w:val="left" w:pos="600"/>
      </w:tabs>
      <w:suppressAutoHyphens w:val="1"/>
      <w:autoSpaceDE w:val="0"/>
      <w:autoSpaceDN w:val="0"/>
      <w:adjustRightInd w:val="0"/>
      <w:spacing w:after="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EXTfirst" w:customStyle="1">
    <w:name w:val="EXT_first"/>
    <w:basedOn w:val="Normal"/>
    <w:uiPriority w:val="99"/>
    <w:rsid w:val="00117517"/>
    <w:pPr>
      <w:widowControl w:val="0"/>
      <w:tabs>
        <w:tab w:val="left" w:pos="600"/>
      </w:tabs>
      <w:suppressAutoHyphens w:val="1"/>
      <w:autoSpaceDE w:val="0"/>
      <w:autoSpaceDN w:val="0"/>
      <w:adjustRightInd w:val="0"/>
      <w:spacing w:after="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character" w:styleId="SUP" w:customStyle="1">
    <w:name w:val="SUP"/>
    <w:uiPriority w:val="99"/>
    <w:rsid w:val="00117517"/>
    <w:rPr>
      <w:color w:val="000000"/>
      <w:w w:val="100"/>
      <w:vertAlign w:val="superscript"/>
      <w:lang w:eastAsia="x-none" w:val="en-US"/>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hyperlink" Target="https://www.weitzmorgan.com/post/sovereign-and-derivative-immunity-in-government-contracts" TargetMode="Externa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4.xml"/><Relationship Id="rId5" Type="http://schemas.openxmlformats.org/officeDocument/2006/relationships/numbering" Target="numbering.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qpUs+dPXV4fK6Ec3PEuiil7aHQ==">CgMxLjA4AHIhMVVHcjQ2bTRaejNNY3NTT05pbkEzOVFZdDJJX1R3QXNi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2BFE61B-30BA-43A5-A196-9C445DEC44BF}"/>
</file>

<file path=customXML/itemProps3.xml><?xml version="1.0" encoding="utf-8"?>
<ds:datastoreItem xmlns:ds="http://schemas.openxmlformats.org/officeDocument/2006/customXml" ds:itemID="{4D829EB9-F25F-41CE-AC46-8A4A688FAB18}"/>
</file>

<file path=customXML/itemProps4.xml><?xml version="1.0" encoding="utf-8"?>
<ds:datastoreItem xmlns:ds="http://schemas.openxmlformats.org/officeDocument/2006/customXml" ds:itemID="{B4BF4CE2-11D8-44EE-AA1D-77DE8FE46C8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2025-07-15T17:58:00Z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