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19171" w14:textId="260AE341" w:rsidR="00992F80" w:rsidRPr="00A20398" w:rsidRDefault="00AD32CA" w:rsidP="00251642">
      <w:pPr>
        <w:jc w:val="center"/>
        <w:rPr>
          <w:rFonts w:ascii="Brush Script MT" w:eastAsia="Brush Script MT" w:hAnsi="Brush Script MT" w:cs="Brush Script MT"/>
          <w:b/>
          <w:sz w:val="44"/>
          <w:szCs w:val="44"/>
        </w:rPr>
      </w:pPr>
      <w:r>
        <w:rPr>
          <w:rFonts w:ascii="Brush Script MT" w:eastAsia="Brush Script MT" w:hAnsi="Brush Script MT" w:cs="Brush Script MT"/>
          <w:b/>
          <w:sz w:val="44"/>
          <w:szCs w:val="44"/>
        </w:rPr>
        <w:t>Magna Distributors, Inc.</w:t>
      </w:r>
    </w:p>
    <w:p w14:paraId="4DB58A58" w14:textId="1CFED58B" w:rsidR="00992F80" w:rsidRPr="00A20398" w:rsidRDefault="00AD32CA" w:rsidP="00251642">
      <w:pPr>
        <w:jc w:val="center"/>
        <w:rPr>
          <w:rFonts w:ascii="Brush Script MT" w:eastAsia="Brush Script MT" w:hAnsi="Brush Script MT" w:cs="Brush Script MT"/>
          <w:b/>
          <w:sz w:val="32"/>
          <w:szCs w:val="32"/>
        </w:rPr>
      </w:pPr>
      <w:r>
        <w:rPr>
          <w:rFonts w:ascii="Brush Script MT" w:eastAsia="Brush Script MT" w:hAnsi="Brush Script MT" w:cs="Brush Script MT"/>
          <w:b/>
          <w:sz w:val="32"/>
          <w:szCs w:val="32"/>
        </w:rPr>
        <w:t>4589 Commerce Boulevard</w:t>
      </w:r>
    </w:p>
    <w:p w14:paraId="48893A32" w14:textId="2347DC21" w:rsidR="00992F80" w:rsidRPr="00A20398" w:rsidRDefault="00AD32CA" w:rsidP="00251642">
      <w:pPr>
        <w:jc w:val="center"/>
        <w:rPr>
          <w:rFonts w:ascii="Brush Script MT" w:eastAsia="Brush Script MT" w:hAnsi="Brush Script MT" w:cs="Brush Script MT"/>
          <w:b/>
          <w:sz w:val="32"/>
          <w:szCs w:val="32"/>
        </w:rPr>
      </w:pPr>
      <w:r>
        <w:rPr>
          <w:rFonts w:ascii="Brush Script MT" w:eastAsia="Brush Script MT" w:hAnsi="Brush Script MT" w:cs="Brush Script MT"/>
          <w:b/>
          <w:sz w:val="32"/>
          <w:szCs w:val="32"/>
        </w:rPr>
        <w:t>Seattle</w:t>
      </w:r>
      <w:r w:rsidR="00D60582" w:rsidRPr="00A20398">
        <w:rPr>
          <w:rFonts w:ascii="Brush Script MT" w:eastAsia="Brush Script MT" w:hAnsi="Brush Script MT" w:cs="Brush Script MT"/>
          <w:b/>
          <w:sz w:val="32"/>
          <w:szCs w:val="32"/>
        </w:rPr>
        <w:t xml:space="preserve">, Washington </w:t>
      </w:r>
      <w:r>
        <w:rPr>
          <w:rFonts w:ascii="Brush Script MT" w:eastAsia="Brush Script MT" w:hAnsi="Brush Script MT" w:cs="Brush Script MT"/>
          <w:b/>
          <w:sz w:val="32"/>
          <w:szCs w:val="32"/>
        </w:rPr>
        <w:t>98101</w:t>
      </w:r>
    </w:p>
    <w:p w14:paraId="538A5D0A" w14:textId="77777777" w:rsidR="00992F80" w:rsidRDefault="00992F80" w:rsidP="006C77C9">
      <w:pPr>
        <w:spacing w:line="276" w:lineRule="auto"/>
        <w:rPr>
          <w:rFonts w:ascii="Bookman Old Style" w:hAnsi="Bookman Old Style"/>
          <w:b/>
        </w:rPr>
      </w:pPr>
    </w:p>
    <w:p w14:paraId="7E203068" w14:textId="77777777" w:rsidR="00CF40A7" w:rsidRDefault="00992F80" w:rsidP="006C77C9">
      <w:pPr>
        <w:spacing w:line="276" w:lineRule="auto"/>
        <w:rPr>
          <w:rFonts w:ascii="Bookman Old Style" w:hAnsi="Bookman Old Style"/>
        </w:rPr>
      </w:pPr>
      <w:r>
        <w:rPr>
          <w:rFonts w:ascii="Bookman Old Style" w:hAnsi="Bookman Old Style"/>
        </w:rPr>
        <w:t>TO:</w:t>
      </w:r>
      <w:r>
        <w:rPr>
          <w:rFonts w:ascii="Bookman Old Style" w:hAnsi="Bookman Old Style"/>
        </w:rPr>
        <w:tab/>
      </w:r>
      <w:r>
        <w:rPr>
          <w:rFonts w:ascii="Bookman Old Style" w:hAnsi="Bookman Old Style"/>
        </w:rPr>
        <w:tab/>
      </w:r>
      <w:r w:rsidR="004540E8">
        <w:rPr>
          <w:rFonts w:ascii="Bookman Old Style" w:hAnsi="Bookman Old Style"/>
        </w:rPr>
        <w:t>Associate</w:t>
      </w:r>
      <w:r w:rsidR="002E49D9">
        <w:rPr>
          <w:rFonts w:ascii="Bookman Old Style" w:hAnsi="Bookman Old Style"/>
        </w:rPr>
        <w:t xml:space="preserve"> Legal Counsel</w:t>
      </w:r>
    </w:p>
    <w:p w14:paraId="33EDF593" w14:textId="15D92D4E" w:rsidR="00CF40A7" w:rsidRDefault="008C3117" w:rsidP="006C77C9">
      <w:pPr>
        <w:spacing w:line="276" w:lineRule="auto"/>
        <w:rPr>
          <w:rFonts w:ascii="Bookman Old Style" w:hAnsi="Bookman Old Style"/>
        </w:rPr>
      </w:pPr>
      <w:r>
        <w:rPr>
          <w:rFonts w:ascii="Bookman Old Style" w:hAnsi="Bookman Old Style"/>
        </w:rPr>
        <w:t>FROM:</w:t>
      </w:r>
      <w:r>
        <w:rPr>
          <w:rFonts w:ascii="Bookman Old Style" w:hAnsi="Bookman Old Style"/>
        </w:rPr>
        <w:tab/>
      </w:r>
      <w:r w:rsidR="00AD32CA">
        <w:rPr>
          <w:rFonts w:ascii="Bookman Old Style" w:hAnsi="Bookman Old Style"/>
        </w:rPr>
        <w:t>Melani Robinson, President</w:t>
      </w:r>
    </w:p>
    <w:p w14:paraId="4AF2E28A" w14:textId="5F397AEA" w:rsidR="00CF40A7" w:rsidRDefault="00992F80" w:rsidP="006C77C9">
      <w:pPr>
        <w:spacing w:line="276" w:lineRule="auto"/>
        <w:rPr>
          <w:rFonts w:ascii="Bookman Old Style" w:hAnsi="Bookman Old Style"/>
        </w:rPr>
      </w:pPr>
      <w:r>
        <w:rPr>
          <w:rFonts w:ascii="Bookman Old Style" w:hAnsi="Bookman Old Style"/>
        </w:rPr>
        <w:t>RE:</w:t>
      </w:r>
      <w:r>
        <w:rPr>
          <w:rFonts w:ascii="Bookman Old Style" w:hAnsi="Bookman Old Style"/>
        </w:rPr>
        <w:tab/>
      </w:r>
      <w:r>
        <w:rPr>
          <w:rFonts w:ascii="Bookman Old Style" w:hAnsi="Bookman Old Style"/>
        </w:rPr>
        <w:tab/>
      </w:r>
      <w:r w:rsidR="00D60582">
        <w:rPr>
          <w:rFonts w:ascii="Bookman Old Style" w:hAnsi="Bookman Old Style"/>
        </w:rPr>
        <w:t xml:space="preserve">Distribution Agreement with </w:t>
      </w:r>
      <w:r w:rsidR="00AD32CA">
        <w:rPr>
          <w:rFonts w:ascii="Bookman Old Style" w:hAnsi="Bookman Old Style"/>
        </w:rPr>
        <w:t>SWW, LLC</w:t>
      </w:r>
    </w:p>
    <w:p w14:paraId="62E9B5AD" w14:textId="77777777" w:rsidR="00992F80" w:rsidRDefault="00992F80" w:rsidP="006C77C9">
      <w:pPr>
        <w:spacing w:line="276" w:lineRule="auto"/>
        <w:rPr>
          <w:rFonts w:ascii="Bookman Old Style" w:hAnsi="Bookman Old Style"/>
        </w:rPr>
      </w:pPr>
      <w:r>
        <w:rPr>
          <w:rFonts w:ascii="Bookman Old Style" w:hAnsi="Bookman Old Style"/>
        </w:rPr>
        <w:t xml:space="preserve">  </w:t>
      </w:r>
    </w:p>
    <w:p w14:paraId="3AEB9D1E" w14:textId="22804A75" w:rsidR="009B688E" w:rsidRPr="009B688E" w:rsidRDefault="009B688E" w:rsidP="006C77C9">
      <w:pPr>
        <w:spacing w:line="276" w:lineRule="auto"/>
        <w:rPr>
          <w:rFonts w:ascii="Bookman Old Style" w:hAnsi="Bookman Old Style"/>
          <w:color w:val="FF0000"/>
        </w:rPr>
      </w:pPr>
      <w:r>
        <w:rPr>
          <w:rFonts w:ascii="Bookman Old Style" w:hAnsi="Bookman Old Style"/>
        </w:rPr>
        <w:t xml:space="preserve">I have been meeting with </w:t>
      </w:r>
      <w:r w:rsidR="000D748A">
        <w:rPr>
          <w:rFonts w:ascii="Bookman Old Style" w:hAnsi="Bookman Old Style"/>
        </w:rPr>
        <w:t>the attorney for</w:t>
      </w:r>
      <w:r>
        <w:rPr>
          <w:rFonts w:ascii="Bookman Old Style" w:hAnsi="Bookman Old Style"/>
        </w:rPr>
        <w:t xml:space="preserve"> </w:t>
      </w:r>
      <w:r w:rsidR="00AD32CA">
        <w:rPr>
          <w:rFonts w:ascii="Bookman Old Style" w:hAnsi="Bookman Old Style"/>
        </w:rPr>
        <w:t xml:space="preserve">SWW, LLC, a Washington limited liability company, </w:t>
      </w:r>
      <w:r w:rsidR="000D748A">
        <w:rPr>
          <w:rFonts w:ascii="Bookman Old Style" w:hAnsi="Bookman Old Style"/>
        </w:rPr>
        <w:t xml:space="preserve">about giving </w:t>
      </w:r>
      <w:r w:rsidR="00D60582">
        <w:rPr>
          <w:rFonts w:ascii="Bookman Old Style" w:hAnsi="Bookman Old Style"/>
        </w:rPr>
        <w:t>Magna the exclusive right to distribute, market, and sell SWW’s signature wines</w:t>
      </w:r>
      <w:r>
        <w:rPr>
          <w:rFonts w:ascii="Bookman Old Style" w:hAnsi="Bookman Old Style"/>
        </w:rPr>
        <w:t xml:space="preserve">. We haven’t finished negotiating the deal yet and probably won’t be able to do so for another 60 days. </w:t>
      </w:r>
      <w:r w:rsidR="000D748A">
        <w:rPr>
          <w:rFonts w:ascii="Bookman Old Style" w:hAnsi="Bookman Old Style"/>
        </w:rPr>
        <w:t xml:space="preserve">We understand that word of our negotiations has leaked to our main competitor, </w:t>
      </w:r>
      <w:r w:rsidR="00A20398">
        <w:rPr>
          <w:rFonts w:ascii="Bookman Old Style" w:hAnsi="Bookman Old Style"/>
        </w:rPr>
        <w:t>Sola Distributors</w:t>
      </w:r>
      <w:r w:rsidR="000D748A">
        <w:rPr>
          <w:rFonts w:ascii="Bookman Old Style" w:hAnsi="Bookman Old Style"/>
        </w:rPr>
        <w:t xml:space="preserve">. </w:t>
      </w:r>
      <w:r w:rsidR="00A20398">
        <w:rPr>
          <w:rFonts w:ascii="Bookman Old Style" w:hAnsi="Bookman Old Style"/>
        </w:rPr>
        <w:t>Sola</w:t>
      </w:r>
      <w:r w:rsidR="000D748A">
        <w:rPr>
          <w:rFonts w:ascii="Bookman Old Style" w:hAnsi="Bookman Old Style"/>
        </w:rPr>
        <w:t xml:space="preserve"> wants to maintain its edge in the </w:t>
      </w:r>
      <w:r w:rsidR="00AD32CA">
        <w:rPr>
          <w:rFonts w:ascii="Bookman Old Style" w:hAnsi="Bookman Old Style"/>
        </w:rPr>
        <w:t>wine distribution market</w:t>
      </w:r>
      <w:r w:rsidR="000D748A">
        <w:rPr>
          <w:rFonts w:ascii="Bookman Old Style" w:hAnsi="Bookman Old Style"/>
        </w:rPr>
        <w:t xml:space="preserve"> and will do almost anything to get </w:t>
      </w:r>
      <w:r w:rsidR="00AD32CA">
        <w:rPr>
          <w:rFonts w:ascii="Bookman Old Style" w:hAnsi="Bookman Old Style"/>
        </w:rPr>
        <w:t>SWW’s business</w:t>
      </w:r>
      <w:r w:rsidR="000D748A">
        <w:rPr>
          <w:rFonts w:ascii="Bookman Old Style" w:hAnsi="Bookman Old Style"/>
        </w:rPr>
        <w:t xml:space="preserve">. Fortunately, </w:t>
      </w:r>
      <w:r w:rsidR="00AD32CA">
        <w:rPr>
          <w:rFonts w:ascii="Bookman Old Style" w:hAnsi="Bookman Old Style"/>
        </w:rPr>
        <w:t>Lucas Sweetwater and I</w:t>
      </w:r>
      <w:r w:rsidR="000D748A">
        <w:rPr>
          <w:rFonts w:ascii="Bookman Old Style" w:hAnsi="Bookman Old Style"/>
        </w:rPr>
        <w:t xml:space="preserve"> go back a </w:t>
      </w:r>
      <w:r w:rsidR="00D60582">
        <w:rPr>
          <w:rFonts w:ascii="Bookman Old Style" w:hAnsi="Bookman Old Style"/>
        </w:rPr>
        <w:t>little way</w:t>
      </w:r>
      <w:r w:rsidR="000D748A">
        <w:rPr>
          <w:rFonts w:ascii="Bookman Old Style" w:hAnsi="Bookman Old Style"/>
        </w:rPr>
        <w:t>, so we might be okay, at least for a little while.</w:t>
      </w:r>
      <w:r>
        <w:rPr>
          <w:rFonts w:ascii="Bookman Old Style" w:hAnsi="Bookman Old Style"/>
        </w:rPr>
        <w:t xml:space="preserve"> </w:t>
      </w:r>
      <w:r w:rsidR="000D748A">
        <w:rPr>
          <w:rFonts w:ascii="Bookman Old Style" w:hAnsi="Bookman Old Style"/>
        </w:rPr>
        <w:t>Even so, we want</w:t>
      </w:r>
      <w:r>
        <w:rPr>
          <w:rFonts w:ascii="Bookman Old Style" w:hAnsi="Bookman Old Style"/>
        </w:rPr>
        <w:t xml:space="preserve"> assu</w:t>
      </w:r>
      <w:r w:rsidR="005733DA">
        <w:rPr>
          <w:rFonts w:ascii="Bookman Old Style" w:hAnsi="Bookman Old Style"/>
        </w:rPr>
        <w:t>rances that during negotiations</w:t>
      </w:r>
      <w:r>
        <w:rPr>
          <w:rFonts w:ascii="Bookman Old Style" w:hAnsi="Bookman Old Style"/>
        </w:rPr>
        <w:t xml:space="preserve"> </w:t>
      </w:r>
      <w:r w:rsidR="00AD32CA">
        <w:rPr>
          <w:rFonts w:ascii="Bookman Old Style" w:hAnsi="Bookman Old Style"/>
        </w:rPr>
        <w:t>SWW</w:t>
      </w:r>
      <w:r>
        <w:rPr>
          <w:rFonts w:ascii="Bookman Old Style" w:hAnsi="Bookman Old Style"/>
        </w:rPr>
        <w:t xml:space="preserve"> won’t be using our discussions with </w:t>
      </w:r>
      <w:r w:rsidR="00AD32CA">
        <w:rPr>
          <w:rFonts w:ascii="Bookman Old Style" w:hAnsi="Bookman Old Style"/>
        </w:rPr>
        <w:t>them</w:t>
      </w:r>
      <w:r>
        <w:rPr>
          <w:rFonts w:ascii="Bookman Old Style" w:hAnsi="Bookman Old Style"/>
        </w:rPr>
        <w:t xml:space="preserve"> as a starting point for negotiations with </w:t>
      </w:r>
      <w:r w:rsidR="00A20398">
        <w:rPr>
          <w:rFonts w:ascii="Bookman Old Style" w:hAnsi="Bookman Old Style"/>
        </w:rPr>
        <w:t>Sola</w:t>
      </w:r>
      <w:r>
        <w:rPr>
          <w:rFonts w:ascii="Bookman Old Style" w:hAnsi="Bookman Old Style"/>
        </w:rPr>
        <w:t xml:space="preserve"> or another competitor.  </w:t>
      </w:r>
      <w:r w:rsidR="000D748A">
        <w:rPr>
          <w:rFonts w:ascii="Bookman Old Style" w:hAnsi="Bookman Old Style"/>
        </w:rPr>
        <w:t>We’ve asked for</w:t>
      </w:r>
      <w:r>
        <w:rPr>
          <w:rFonts w:ascii="Bookman Old Style" w:hAnsi="Bookman Old Style"/>
        </w:rPr>
        <w:t xml:space="preserve"> a letter of intent, and </w:t>
      </w:r>
      <w:r w:rsidR="00AD32CA">
        <w:rPr>
          <w:rFonts w:ascii="Bookman Old Style" w:hAnsi="Bookman Old Style"/>
        </w:rPr>
        <w:t>SWW</w:t>
      </w:r>
      <w:r>
        <w:rPr>
          <w:rFonts w:ascii="Bookman Old Style" w:hAnsi="Bookman Old Style"/>
        </w:rPr>
        <w:t xml:space="preserve"> is </w:t>
      </w:r>
      <w:r w:rsidR="00E74E99">
        <w:rPr>
          <w:rFonts w:ascii="Bookman Old Style" w:hAnsi="Bookman Old Style"/>
        </w:rPr>
        <w:t xml:space="preserve">agreeable to </w:t>
      </w:r>
      <w:r w:rsidR="000D748A">
        <w:rPr>
          <w:rFonts w:ascii="Bookman Old Style" w:hAnsi="Bookman Old Style"/>
        </w:rPr>
        <w:t>sign</w:t>
      </w:r>
      <w:r w:rsidR="00E74E99">
        <w:rPr>
          <w:rFonts w:ascii="Bookman Old Style" w:hAnsi="Bookman Old Style"/>
        </w:rPr>
        <w:t>ing</w:t>
      </w:r>
      <w:r>
        <w:rPr>
          <w:rFonts w:ascii="Bookman Old Style" w:hAnsi="Bookman Old Style"/>
        </w:rPr>
        <w:t xml:space="preserve"> one.  We want to be careful, though, that this letter doesn’t bind us beyond the negotiations. I want you to draft the letter of intent and have it on my desk by Tuesday, May 27, 20</w:t>
      </w:r>
      <w:r w:rsidR="00AD32CA">
        <w:rPr>
          <w:rFonts w:ascii="Bookman Old Style" w:hAnsi="Bookman Old Style"/>
        </w:rPr>
        <w:t>XX</w:t>
      </w:r>
      <w:r>
        <w:rPr>
          <w:rFonts w:ascii="Bookman Old Style" w:hAnsi="Bookman Old Style"/>
        </w:rPr>
        <w:t>.</w:t>
      </w:r>
    </w:p>
    <w:p w14:paraId="7BF7579E" w14:textId="77777777" w:rsidR="00CF40A7" w:rsidRDefault="00CF40A7" w:rsidP="006C77C9">
      <w:pPr>
        <w:spacing w:line="276" w:lineRule="auto"/>
        <w:rPr>
          <w:rFonts w:ascii="Bookman Old Style" w:hAnsi="Bookman Old Style"/>
        </w:rPr>
      </w:pPr>
    </w:p>
    <w:p w14:paraId="5AE952CA" w14:textId="74ACF41C" w:rsidR="001C79EC" w:rsidRPr="006C77C9" w:rsidRDefault="00D31AB3" w:rsidP="006C77C9">
      <w:pPr>
        <w:spacing w:line="276" w:lineRule="auto"/>
        <w:rPr>
          <w:rFonts w:ascii="Bookman Old Style" w:hAnsi="Bookman Old Style"/>
        </w:rPr>
      </w:pPr>
      <w:r>
        <w:rPr>
          <w:rFonts w:ascii="Bookman Old Style" w:hAnsi="Bookman Old Style"/>
        </w:rPr>
        <w:t xml:space="preserve">The following is </w:t>
      </w:r>
      <w:r w:rsidR="00FF74C0">
        <w:rPr>
          <w:rFonts w:ascii="Bookman Old Style" w:hAnsi="Bookman Old Style"/>
        </w:rPr>
        <w:t xml:space="preserve">list of </w:t>
      </w:r>
      <w:r>
        <w:rPr>
          <w:rFonts w:ascii="Bookman Old Style" w:hAnsi="Bookman Old Style"/>
        </w:rPr>
        <w:t xml:space="preserve">the information and the agreed terms so far.  </w:t>
      </w:r>
      <w:r>
        <w:rPr>
          <w:rFonts w:ascii="Bookman Old Style" w:hAnsi="Bookman Old Style" w:cs="Courier New"/>
        </w:rPr>
        <w:t>Ensure that you draft the</w:t>
      </w:r>
      <w:r w:rsidRPr="00B12375">
        <w:rPr>
          <w:rFonts w:ascii="Bookman Old Style" w:hAnsi="Bookman Old Style" w:cs="Courier New"/>
        </w:rPr>
        <w:t xml:space="preserve"> provisions so that they accurately and concisely state the </w:t>
      </w:r>
      <w:r>
        <w:rPr>
          <w:rFonts w:ascii="Bookman Old Style" w:hAnsi="Bookman Old Style" w:cs="Courier New"/>
        </w:rPr>
        <w:t>agreed</w:t>
      </w:r>
      <w:r w:rsidRPr="00B12375">
        <w:rPr>
          <w:rFonts w:ascii="Bookman Old Style" w:hAnsi="Bookman Old Style" w:cs="Courier New"/>
        </w:rPr>
        <w:t xml:space="preserve"> terms. Consider </w:t>
      </w:r>
      <w:r>
        <w:rPr>
          <w:rFonts w:ascii="Bookman Old Style" w:hAnsi="Bookman Old Style" w:cs="Courier New"/>
        </w:rPr>
        <w:t>providing definitions for some terms</w:t>
      </w:r>
      <w:r w:rsidRPr="00B12375">
        <w:rPr>
          <w:rFonts w:ascii="Bookman Old Style" w:hAnsi="Bookman Old Style" w:cs="Courier New"/>
        </w:rPr>
        <w:t>.</w:t>
      </w:r>
      <w:r w:rsidRPr="00B12375">
        <w:rPr>
          <w:rFonts w:ascii="Bookman Old Style" w:hAnsi="Bookman Old Style"/>
        </w:rPr>
        <w:t xml:space="preserve"> </w:t>
      </w:r>
      <w:r w:rsidR="005733DA">
        <w:rPr>
          <w:rFonts w:ascii="Bookman Old Style" w:hAnsi="Bookman Old Style"/>
        </w:rPr>
        <w:t xml:space="preserve"> </w:t>
      </w:r>
      <w:r w:rsidR="005733DA" w:rsidRPr="006C77C9">
        <w:rPr>
          <w:rFonts w:ascii="Bookman Old Style" w:hAnsi="Bookman Old Style"/>
          <w:u w:val="single"/>
        </w:rPr>
        <w:t>I have attached an old form for a letter of intent</w:t>
      </w:r>
      <w:r w:rsidR="005733DA" w:rsidRPr="006C77C9">
        <w:rPr>
          <w:rFonts w:ascii="Bookman Old Style" w:hAnsi="Bookman Old Style"/>
        </w:rPr>
        <w:t>.</w:t>
      </w:r>
      <w:r w:rsidR="006C77C9" w:rsidRPr="006C77C9">
        <w:rPr>
          <w:rStyle w:val="FootnoteReference"/>
          <w:rFonts w:ascii="Bookman Old Style" w:hAnsi="Bookman Old Style"/>
        </w:rPr>
        <w:footnoteReference w:id="1"/>
      </w:r>
      <w:r w:rsidR="005733DA">
        <w:rPr>
          <w:rFonts w:ascii="Bookman Old Style" w:hAnsi="Bookman Old Style"/>
        </w:rPr>
        <w:t xml:space="preserve">  It’s </w:t>
      </w:r>
      <w:r w:rsidR="003A7691">
        <w:rPr>
          <w:rFonts w:ascii="Bookman Old Style" w:hAnsi="Bookman Old Style"/>
        </w:rPr>
        <w:t>not a great</w:t>
      </w:r>
      <w:r w:rsidR="005733DA">
        <w:rPr>
          <w:rFonts w:ascii="Bookman Old Style" w:hAnsi="Bookman Old Style"/>
        </w:rPr>
        <w:t xml:space="preserve"> example</w:t>
      </w:r>
      <w:r w:rsidR="003A7691">
        <w:rPr>
          <w:rFonts w:ascii="Bookman Old Style" w:hAnsi="Bookman Old Style"/>
        </w:rPr>
        <w:t xml:space="preserve"> as it is </w:t>
      </w:r>
      <w:r w:rsidR="005733DA">
        <w:rPr>
          <w:rFonts w:ascii="Bookman Old Style" w:hAnsi="Bookman Old Style"/>
        </w:rPr>
        <w:t xml:space="preserve">filled with legalese and confusing word choices, but it will give you a general idea about </w:t>
      </w:r>
      <w:r w:rsidR="003A7691">
        <w:rPr>
          <w:rFonts w:ascii="Bookman Old Style" w:hAnsi="Bookman Old Style"/>
        </w:rPr>
        <w:t xml:space="preserve">what you might want to include in </w:t>
      </w:r>
      <w:r w:rsidR="005733DA">
        <w:rPr>
          <w:rFonts w:ascii="Bookman Old Style" w:hAnsi="Bookman Old Style"/>
        </w:rPr>
        <w:t>a letter of intent.</w:t>
      </w:r>
      <w:r w:rsidR="001C79EC">
        <w:rPr>
          <w:rFonts w:ascii="Bookman Old Style" w:hAnsi="Bookman Old Style"/>
        </w:rPr>
        <w:t xml:space="preserve"> </w:t>
      </w:r>
      <w:r w:rsidR="006C77C9">
        <w:rPr>
          <w:rFonts w:ascii="Bookman Old Style" w:hAnsi="Bookman Old Style"/>
        </w:rPr>
        <w:t>You will need to add some provisions that protect Magna (and</w:t>
      </w:r>
      <w:r w:rsidR="003A7691">
        <w:rPr>
          <w:rFonts w:ascii="Bookman Old Style" w:hAnsi="Bookman Old Style"/>
        </w:rPr>
        <w:t>, in fairness,</w:t>
      </w:r>
      <w:r w:rsidR="006C77C9">
        <w:rPr>
          <w:rFonts w:ascii="Bookman Old Style" w:hAnsi="Bookman Old Style"/>
        </w:rPr>
        <w:t xml:space="preserve"> SWW) during the negotiation process. </w:t>
      </w:r>
      <w:r w:rsidR="00FA2EE1">
        <w:rPr>
          <w:rFonts w:ascii="Bookman Old Style" w:hAnsi="Bookman Old Style"/>
        </w:rPr>
        <w:t xml:space="preserve">Hopefully, </w:t>
      </w:r>
      <w:r w:rsidR="00AD32CA">
        <w:rPr>
          <w:rFonts w:ascii="Bookman Old Style" w:hAnsi="Bookman Old Style"/>
        </w:rPr>
        <w:t>SWW</w:t>
      </w:r>
      <w:r w:rsidR="00FA2EE1">
        <w:rPr>
          <w:rFonts w:ascii="Bookman Old Style" w:hAnsi="Bookman Old Style"/>
        </w:rPr>
        <w:t>—and his attorney—will be agreeable to these provisions.</w:t>
      </w:r>
    </w:p>
    <w:p w14:paraId="4419FC1B" w14:textId="77777777" w:rsidR="00D31AB3" w:rsidRPr="006C77C9" w:rsidRDefault="00D31AB3" w:rsidP="00D31AB3">
      <w:pPr>
        <w:rPr>
          <w:rFonts w:ascii="Bookman Old Style" w:hAnsi="Bookman Old Style"/>
        </w:rPr>
      </w:pPr>
      <w:r w:rsidRPr="006C77C9">
        <w:rPr>
          <w:rFonts w:ascii="Bookman Old Style" w:hAnsi="Bookman Old Style"/>
        </w:rPr>
        <w:t xml:space="preserve">    </w:t>
      </w:r>
    </w:p>
    <w:p w14:paraId="1B32FC14" w14:textId="314BDB10" w:rsidR="001C79EC" w:rsidRPr="006C77C9" w:rsidRDefault="00D31AB3" w:rsidP="006C77C9">
      <w:pPr>
        <w:spacing w:line="276" w:lineRule="auto"/>
        <w:ind w:left="1440" w:right="720" w:hanging="720"/>
        <w:rPr>
          <w:rFonts w:ascii="Bookman Old Style" w:hAnsi="Bookman Old Style"/>
        </w:rPr>
      </w:pPr>
      <w:r w:rsidRPr="006C77C9">
        <w:rPr>
          <w:rFonts w:ascii="Bookman Old Style" w:hAnsi="Bookman Old Style"/>
        </w:rPr>
        <w:lastRenderedPageBreak/>
        <w:t>1.</w:t>
      </w:r>
      <w:r w:rsidRPr="006C77C9">
        <w:rPr>
          <w:rFonts w:ascii="Bookman Old Style" w:hAnsi="Bookman Old Style"/>
        </w:rPr>
        <w:tab/>
      </w:r>
      <w:r w:rsidR="00AD32CA" w:rsidRPr="006C77C9">
        <w:rPr>
          <w:rFonts w:ascii="Bookman Old Style" w:hAnsi="Bookman Old Style"/>
        </w:rPr>
        <w:t>Magna Distribution, Inc.’s principal office is located at 4589 Commerce Boulevard, Seattle, Washington 98101.  The President of Magna is Melani Robinson, who will sign the agreement on behalf of the company</w:t>
      </w:r>
      <w:r w:rsidR="00AD32CA" w:rsidRPr="006C77C9">
        <w:rPr>
          <w:rFonts w:ascii="Bookman Old Style" w:hAnsi="Bookman Old Style"/>
        </w:rPr>
        <w:t>.</w:t>
      </w:r>
    </w:p>
    <w:p w14:paraId="493CDCE6" w14:textId="77777777" w:rsidR="00AD32CA" w:rsidRPr="006C77C9" w:rsidRDefault="00AD32CA" w:rsidP="006C77C9">
      <w:pPr>
        <w:spacing w:line="276" w:lineRule="auto"/>
        <w:ind w:left="2160" w:right="720" w:hanging="720"/>
        <w:rPr>
          <w:rFonts w:ascii="Bookman Old Style" w:hAnsi="Bookman Old Style"/>
        </w:rPr>
      </w:pPr>
    </w:p>
    <w:p w14:paraId="51B36B56" w14:textId="7B50D34E" w:rsidR="00AD32CA" w:rsidRPr="006C77C9" w:rsidRDefault="00D31AB3" w:rsidP="006C77C9">
      <w:pPr>
        <w:spacing w:line="276" w:lineRule="auto"/>
        <w:ind w:left="1440" w:right="720" w:hanging="720"/>
        <w:rPr>
          <w:rFonts w:ascii="Bookman Old Style" w:hAnsi="Bookman Old Style"/>
        </w:rPr>
      </w:pPr>
      <w:r w:rsidRPr="006C77C9">
        <w:rPr>
          <w:rFonts w:ascii="Bookman Old Style" w:hAnsi="Bookman Old Style"/>
        </w:rPr>
        <w:t>2.</w:t>
      </w:r>
      <w:r w:rsidRPr="006C77C9">
        <w:rPr>
          <w:rFonts w:ascii="Bookman Old Style" w:hAnsi="Bookman Old Style"/>
        </w:rPr>
        <w:tab/>
      </w:r>
      <w:r w:rsidR="00AD32CA" w:rsidRPr="006C77C9">
        <w:rPr>
          <w:rFonts w:ascii="Bookman Old Style" w:hAnsi="Bookman Old Style"/>
        </w:rPr>
        <w:t>SWW LLC’s principal office is 45083 North Sunset Road, Benton City, Washington 99320. Lucas Sweetwater will sign the agreement as Managing Member of the LLC.</w:t>
      </w:r>
    </w:p>
    <w:p w14:paraId="1EE345BD" w14:textId="6B2990EA" w:rsidR="00D31AB3" w:rsidRPr="006C77C9" w:rsidRDefault="00D31AB3" w:rsidP="006C77C9">
      <w:pPr>
        <w:spacing w:line="276" w:lineRule="auto"/>
        <w:ind w:right="720"/>
        <w:rPr>
          <w:rFonts w:ascii="Bookman Old Style" w:hAnsi="Bookman Old Style"/>
        </w:rPr>
      </w:pPr>
    </w:p>
    <w:p w14:paraId="1661BE54" w14:textId="7A1EBCF5" w:rsidR="00D31AB3" w:rsidRPr="006C77C9" w:rsidRDefault="00D31AB3" w:rsidP="006C77C9">
      <w:pPr>
        <w:spacing w:line="276" w:lineRule="auto"/>
        <w:ind w:left="1440" w:right="720" w:hanging="720"/>
        <w:rPr>
          <w:rFonts w:ascii="Bookman Old Style" w:hAnsi="Bookman Old Style"/>
        </w:rPr>
      </w:pPr>
      <w:r w:rsidRPr="006C77C9">
        <w:rPr>
          <w:rFonts w:ascii="Bookman Old Style" w:hAnsi="Bookman Old Style"/>
        </w:rPr>
        <w:t xml:space="preserve">3.  </w:t>
      </w:r>
      <w:r w:rsidR="00AD32CA" w:rsidRPr="006C77C9">
        <w:rPr>
          <w:rFonts w:ascii="Bookman Old Style" w:hAnsi="Bookman Old Style"/>
        </w:rPr>
        <w:tab/>
      </w:r>
      <w:r w:rsidR="00AD32CA" w:rsidRPr="006C77C9">
        <w:rPr>
          <w:rFonts w:ascii="Bookman Old Style" w:hAnsi="Bookman Old Style" w:cs="Arial"/>
          <w:bCs/>
        </w:rPr>
        <w:t xml:space="preserve">SWW owns a winery where it grows and ferments grapes. At the winery, it has a tasting room and sells its wine products. It operates under the assumed business name of </w:t>
      </w:r>
      <w:proofErr w:type="spellStart"/>
      <w:r w:rsidR="00AD32CA" w:rsidRPr="006C77C9">
        <w:rPr>
          <w:rFonts w:ascii="Bookman Old Style" w:hAnsi="Bookman Old Style" w:cs="Arial"/>
          <w:bCs/>
        </w:rPr>
        <w:t>Windwalker</w:t>
      </w:r>
      <w:proofErr w:type="spellEnd"/>
      <w:r w:rsidR="00AD32CA" w:rsidRPr="006C77C9">
        <w:rPr>
          <w:rFonts w:ascii="Bookman Old Style" w:hAnsi="Bookman Old Style" w:cs="Arial"/>
          <w:bCs/>
        </w:rPr>
        <w:t xml:space="preserve"> Vineyard and Winery. Its signature wines are sold under the labels </w:t>
      </w:r>
      <w:proofErr w:type="spellStart"/>
      <w:r w:rsidR="00AD32CA" w:rsidRPr="006C77C9">
        <w:rPr>
          <w:rFonts w:ascii="Bookman Old Style" w:hAnsi="Bookman Old Style" w:cs="Arial"/>
          <w:bCs/>
        </w:rPr>
        <w:t>Windwalker</w:t>
      </w:r>
      <w:proofErr w:type="spellEnd"/>
      <w:r w:rsidR="00AD32CA" w:rsidRPr="006C77C9">
        <w:rPr>
          <w:rFonts w:ascii="Bookman Old Style" w:hAnsi="Bookman Old Style" w:cs="Arial"/>
          <w:bCs/>
        </w:rPr>
        <w:t xml:space="preserve"> Merlot, </w:t>
      </w:r>
      <w:proofErr w:type="spellStart"/>
      <w:r w:rsidR="00AD32CA" w:rsidRPr="006C77C9">
        <w:rPr>
          <w:rFonts w:ascii="Bookman Old Style" w:hAnsi="Bookman Old Style" w:cs="Arial"/>
          <w:bCs/>
        </w:rPr>
        <w:t>Windwalker</w:t>
      </w:r>
      <w:proofErr w:type="spellEnd"/>
      <w:r w:rsidR="00AD32CA" w:rsidRPr="006C77C9">
        <w:rPr>
          <w:rFonts w:ascii="Bookman Old Style" w:hAnsi="Bookman Old Style" w:cs="Arial"/>
          <w:bCs/>
        </w:rPr>
        <w:t xml:space="preserve"> Malbec and </w:t>
      </w:r>
      <w:proofErr w:type="spellStart"/>
      <w:r w:rsidR="00AD32CA" w:rsidRPr="006C77C9">
        <w:rPr>
          <w:rFonts w:ascii="Bookman Old Style" w:hAnsi="Bookman Old Style" w:cs="Arial"/>
          <w:bCs/>
        </w:rPr>
        <w:t>Windwalker</w:t>
      </w:r>
      <w:proofErr w:type="spellEnd"/>
      <w:r w:rsidR="00AD32CA" w:rsidRPr="006C77C9">
        <w:rPr>
          <w:rFonts w:ascii="Bookman Old Style" w:hAnsi="Bookman Old Style" w:cs="Arial"/>
          <w:bCs/>
        </w:rPr>
        <w:t xml:space="preserve"> Cabernet Sauvignon. It’s these signature wines that SWW is interested in having Magna distribute on its behalf</w:t>
      </w:r>
    </w:p>
    <w:p w14:paraId="7F8176D9" w14:textId="77777777" w:rsidR="00AD32CA" w:rsidRPr="006C77C9" w:rsidRDefault="00D31AB3" w:rsidP="00D31AB3">
      <w:pPr>
        <w:ind w:left="720" w:right="720"/>
        <w:rPr>
          <w:rFonts w:ascii="Bookman Old Style" w:hAnsi="Bookman Old Style"/>
        </w:rPr>
      </w:pPr>
      <w:r w:rsidRPr="006C77C9">
        <w:rPr>
          <w:rFonts w:ascii="Bookman Old Style" w:hAnsi="Bookman Old Style"/>
        </w:rPr>
        <w:tab/>
      </w:r>
    </w:p>
    <w:p w14:paraId="2DBF9F28" w14:textId="77777777" w:rsidR="00AD32CA" w:rsidRPr="006C77C9" w:rsidRDefault="00D31AB3" w:rsidP="00AD32CA">
      <w:pPr>
        <w:spacing w:line="276" w:lineRule="auto"/>
        <w:ind w:left="1440" w:hanging="720"/>
        <w:rPr>
          <w:rFonts w:ascii="Bookman Old Style" w:hAnsi="Bookman Old Style" w:cs="Arial"/>
          <w:bCs/>
        </w:rPr>
      </w:pPr>
      <w:r w:rsidRPr="006C77C9">
        <w:rPr>
          <w:rFonts w:ascii="Bookman Old Style" w:hAnsi="Bookman Old Style"/>
        </w:rPr>
        <w:t>4.</w:t>
      </w:r>
      <w:r w:rsidRPr="006C77C9">
        <w:rPr>
          <w:rFonts w:ascii="Bookman Old Style" w:hAnsi="Bookman Old Style"/>
        </w:rPr>
        <w:tab/>
      </w:r>
      <w:r w:rsidR="00AD32CA" w:rsidRPr="006C77C9">
        <w:rPr>
          <w:rFonts w:ascii="Bookman Old Style" w:hAnsi="Bookman Old Style" w:cs="Arial"/>
          <w:bCs/>
        </w:rPr>
        <w:t>Magna markets, sells, and distributes various domestic wines and beers throughout the United States.</w:t>
      </w:r>
    </w:p>
    <w:p w14:paraId="3308ABC4" w14:textId="77777777" w:rsidR="00D31AB3" w:rsidRPr="006C77C9" w:rsidRDefault="00D31AB3" w:rsidP="006C77C9">
      <w:pPr>
        <w:ind w:right="720"/>
        <w:rPr>
          <w:rFonts w:ascii="Bookman Old Style" w:hAnsi="Bookman Old Style"/>
        </w:rPr>
      </w:pPr>
    </w:p>
    <w:p w14:paraId="6EB23F8A" w14:textId="07F17831" w:rsidR="00D31AB3" w:rsidRPr="006C77C9" w:rsidRDefault="00D31AB3" w:rsidP="006C77C9">
      <w:pPr>
        <w:spacing w:line="276" w:lineRule="auto"/>
        <w:ind w:left="1440" w:hanging="720"/>
        <w:rPr>
          <w:rFonts w:ascii="Bookman Old Style" w:hAnsi="Bookman Old Style"/>
        </w:rPr>
      </w:pPr>
      <w:r w:rsidRPr="006C77C9">
        <w:rPr>
          <w:rFonts w:ascii="Bookman Old Style" w:hAnsi="Bookman Old Style"/>
        </w:rPr>
        <w:t>5.</w:t>
      </w:r>
      <w:r w:rsidRPr="006C77C9">
        <w:rPr>
          <w:rFonts w:ascii="Bookman Old Style" w:hAnsi="Bookman Old Style"/>
        </w:rPr>
        <w:tab/>
      </w:r>
      <w:r w:rsidR="006C77C9" w:rsidRPr="006C77C9">
        <w:rPr>
          <w:rFonts w:ascii="Bookman Old Style" w:hAnsi="Bookman Old Style" w:cs="Arial"/>
          <w:bCs/>
        </w:rPr>
        <w:t xml:space="preserve">The initial term of the contract will be for two years.  The parties have </w:t>
      </w:r>
      <w:r w:rsidR="006C77C9" w:rsidRPr="006C77C9">
        <w:rPr>
          <w:rFonts w:ascii="Bookman Old Style" w:hAnsi="Bookman Old Style"/>
        </w:rPr>
        <w:t>agreed to an extension of the contract for additional two years, provided both parties agree in writing at least sixty days before the initial term expires.</w:t>
      </w:r>
    </w:p>
    <w:p w14:paraId="75C6A932" w14:textId="77777777" w:rsidR="006C77C9" w:rsidRPr="006C77C9" w:rsidRDefault="006C77C9" w:rsidP="006C77C9">
      <w:pPr>
        <w:spacing w:line="276" w:lineRule="auto"/>
        <w:ind w:left="1440" w:hanging="720"/>
        <w:rPr>
          <w:rFonts w:ascii="Bookman Old Style" w:hAnsi="Bookman Old Style"/>
        </w:rPr>
      </w:pPr>
    </w:p>
    <w:p w14:paraId="318F953F" w14:textId="0E07235A" w:rsidR="006C77C9" w:rsidRPr="006C77C9" w:rsidRDefault="006C77C9" w:rsidP="006C77C9">
      <w:pPr>
        <w:spacing w:line="276" w:lineRule="auto"/>
        <w:ind w:left="1440" w:hanging="720"/>
        <w:rPr>
          <w:rFonts w:ascii="Bookman Old Style" w:hAnsi="Bookman Old Style" w:cs="Arial"/>
          <w:bCs/>
        </w:rPr>
      </w:pPr>
      <w:r w:rsidRPr="006C77C9">
        <w:rPr>
          <w:rFonts w:ascii="Bookman Old Style" w:hAnsi="Bookman Old Style"/>
        </w:rPr>
        <w:t>6.</w:t>
      </w:r>
      <w:r w:rsidRPr="006C77C9">
        <w:rPr>
          <w:rFonts w:ascii="Bookman Old Style" w:hAnsi="Bookman Old Style"/>
        </w:rPr>
        <w:tab/>
      </w:r>
      <w:r w:rsidRPr="006C77C9">
        <w:rPr>
          <w:rFonts w:ascii="Bookman Old Style" w:hAnsi="Bookman Old Style" w:cs="Arial"/>
          <w:bCs/>
        </w:rPr>
        <w:t xml:space="preserve">SWW </w:t>
      </w:r>
      <w:r w:rsidRPr="006C77C9">
        <w:rPr>
          <w:rFonts w:ascii="Bookman Old Style" w:hAnsi="Bookman Old Style" w:cs="Arial"/>
          <w:bCs/>
        </w:rPr>
        <w:t>will</w:t>
      </w:r>
      <w:r w:rsidRPr="006C77C9">
        <w:rPr>
          <w:rFonts w:ascii="Bookman Old Style" w:hAnsi="Bookman Old Style" w:cs="Arial"/>
          <w:bCs/>
        </w:rPr>
        <w:t xml:space="preserve"> grant Magna the exclusive right to distribute, market, and sell the signature wines that it produces. Thus, it </w:t>
      </w:r>
      <w:r w:rsidRPr="006C77C9">
        <w:rPr>
          <w:rFonts w:ascii="Bookman Old Style" w:hAnsi="Bookman Old Style" w:cs="Arial"/>
          <w:bCs/>
        </w:rPr>
        <w:t>will not</w:t>
      </w:r>
      <w:r w:rsidRPr="006C77C9">
        <w:rPr>
          <w:rFonts w:ascii="Bookman Old Style" w:hAnsi="Bookman Old Style" w:cs="Arial"/>
          <w:bCs/>
        </w:rPr>
        <w:t xml:space="preserve"> license or grant a right or interest in distributing the wines to anyone else. Nevertheless, SWW will be allowed the right to market, sell, and distribute the wines to its winery customers.</w:t>
      </w:r>
    </w:p>
    <w:p w14:paraId="473C79F5" w14:textId="77777777" w:rsidR="00BA7F91" w:rsidRPr="006C77C9" w:rsidRDefault="00BA7F91" w:rsidP="00D31AB3">
      <w:pPr>
        <w:ind w:left="720" w:right="720"/>
        <w:rPr>
          <w:rFonts w:ascii="Bookman Old Style" w:hAnsi="Bookman Old Style"/>
        </w:rPr>
      </w:pPr>
    </w:p>
    <w:p w14:paraId="761F8A56" w14:textId="1DC70FA4" w:rsidR="00D31AB3" w:rsidRPr="006C77C9" w:rsidRDefault="006C77C9" w:rsidP="006C77C9">
      <w:pPr>
        <w:spacing w:line="276" w:lineRule="auto"/>
        <w:ind w:left="1440" w:right="720" w:hanging="720"/>
        <w:rPr>
          <w:rFonts w:ascii="Bookman Old Style" w:hAnsi="Bookman Old Style" w:cs="Arial"/>
          <w:bCs/>
        </w:rPr>
      </w:pPr>
      <w:r w:rsidRPr="006C77C9">
        <w:rPr>
          <w:rFonts w:ascii="Bookman Old Style" w:hAnsi="Bookman Old Style"/>
        </w:rPr>
        <w:t>7</w:t>
      </w:r>
      <w:r w:rsidR="00D31AB3" w:rsidRPr="006C77C9">
        <w:rPr>
          <w:rFonts w:ascii="Bookman Old Style" w:hAnsi="Bookman Old Style"/>
        </w:rPr>
        <w:t>.</w:t>
      </w:r>
      <w:r w:rsidR="00D31AB3" w:rsidRPr="006C77C9">
        <w:rPr>
          <w:rFonts w:ascii="Bookman Old Style" w:hAnsi="Bookman Old Style"/>
        </w:rPr>
        <w:tab/>
      </w:r>
      <w:r w:rsidRPr="006C77C9">
        <w:rPr>
          <w:rFonts w:ascii="Bookman Old Style" w:hAnsi="Bookman Old Style" w:cs="Arial"/>
          <w:bCs/>
        </w:rPr>
        <w:t xml:space="preserve">Magna is only permitted to sell the products in United States. At this time, SWW does not market its wines outside of the United States, but it may consider distributing elsewhere </w:t>
      </w:r>
      <w:proofErr w:type="gramStart"/>
      <w:r w:rsidRPr="006C77C9">
        <w:rPr>
          <w:rFonts w:ascii="Bookman Old Style" w:hAnsi="Bookman Old Style" w:cs="Arial"/>
          <w:bCs/>
        </w:rPr>
        <w:t>in the near future</w:t>
      </w:r>
      <w:proofErr w:type="gramEnd"/>
      <w:r w:rsidRPr="006C77C9">
        <w:rPr>
          <w:rFonts w:ascii="Bookman Old Style" w:hAnsi="Bookman Old Style" w:cs="Arial"/>
          <w:bCs/>
        </w:rPr>
        <w:t>.</w:t>
      </w:r>
    </w:p>
    <w:p w14:paraId="0978B1A4" w14:textId="77777777" w:rsidR="006C77C9" w:rsidRPr="006C77C9" w:rsidRDefault="006C77C9" w:rsidP="006C77C9">
      <w:pPr>
        <w:ind w:left="1440" w:right="720" w:hanging="720"/>
        <w:rPr>
          <w:rFonts w:ascii="Bookman Old Style" w:hAnsi="Bookman Old Style" w:cs="Arial"/>
          <w:bCs/>
        </w:rPr>
      </w:pPr>
    </w:p>
    <w:p w14:paraId="05F7DEA9" w14:textId="77777777" w:rsidR="006C77C9" w:rsidRPr="006C77C9" w:rsidRDefault="006C77C9" w:rsidP="006C77C9">
      <w:pPr>
        <w:widowControl w:val="0"/>
        <w:tabs>
          <w:tab w:val="left" w:pos="720"/>
        </w:tabs>
        <w:autoSpaceDE w:val="0"/>
        <w:autoSpaceDN w:val="0"/>
        <w:adjustRightInd w:val="0"/>
        <w:spacing w:line="276" w:lineRule="auto"/>
        <w:ind w:left="1440" w:hanging="720"/>
        <w:rPr>
          <w:rFonts w:ascii="Bookman Old Style" w:hAnsi="Bookman Old Style" w:cs="Century Schoolbook"/>
        </w:rPr>
      </w:pPr>
      <w:r w:rsidRPr="006C77C9">
        <w:rPr>
          <w:rFonts w:ascii="Bookman Old Style" w:hAnsi="Bookman Old Style" w:cs="Arial"/>
          <w:bCs/>
        </w:rPr>
        <w:lastRenderedPageBreak/>
        <w:t>8.</w:t>
      </w:r>
      <w:r w:rsidRPr="006C77C9">
        <w:rPr>
          <w:rFonts w:ascii="Bookman Old Style" w:hAnsi="Bookman Old Style" w:cs="Arial"/>
          <w:bCs/>
        </w:rPr>
        <w:tab/>
      </w:r>
      <w:r w:rsidRPr="006C77C9">
        <w:rPr>
          <w:rFonts w:ascii="Bookman Old Style" w:hAnsi="Bookman Old Style" w:cs="Century Schoolbook"/>
        </w:rPr>
        <w:t>The parties will be agreeing on an annual basis (or more frequently if necessary) regarding SWW’s prices to Magna and prices at which the Magna shall charge to its retailers. The prices for each of the wines for the first six months of the initial term of the contract are to be stated on a price list to be attached to the contract. The price for each of the wines to Magna is to be based on delivery to Magna’s warehouse in Seattle Washington. If the parties fail to agree on the prices to Magna or the prices to retailers before 30 days after the parties begin negotiating on the prices, the disputed price will increase as follows: an amount equal to the Consumer Price Index-All US over a period of months equal to the number of months since the last price increase for the dispute price. Wine product increases: The parties will negotiate this, too, no later than 60 days prior to the effective date for the increase. Distributor is permitted to order a month’s supply of wines at the current price before any increase occurs.</w:t>
      </w:r>
    </w:p>
    <w:p w14:paraId="51870CE2" w14:textId="0E83346A" w:rsidR="00D31AB3" w:rsidRPr="006C77C9" w:rsidRDefault="00D31AB3" w:rsidP="00D31AB3">
      <w:pPr>
        <w:ind w:left="720" w:right="720"/>
        <w:rPr>
          <w:rFonts w:ascii="Bookman Old Style" w:hAnsi="Bookman Old Style"/>
        </w:rPr>
      </w:pPr>
    </w:p>
    <w:p w14:paraId="17851BB7" w14:textId="77777777" w:rsidR="00D77347" w:rsidRPr="006C77C9" w:rsidRDefault="00D77347" w:rsidP="00D31AB3">
      <w:pPr>
        <w:rPr>
          <w:rFonts w:ascii="Bookman Old Style" w:hAnsi="Bookman Old Style"/>
        </w:rPr>
      </w:pPr>
    </w:p>
    <w:sectPr w:rsidR="00D77347" w:rsidRPr="006C77C9">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4A891" w14:textId="77777777" w:rsidR="00E118B0" w:rsidRDefault="00E118B0">
      <w:r>
        <w:separator/>
      </w:r>
    </w:p>
  </w:endnote>
  <w:endnote w:type="continuationSeparator" w:id="0">
    <w:p w14:paraId="0A97BA98" w14:textId="77777777" w:rsidR="00E118B0" w:rsidRDefault="00E11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86"/>
    <w:family w:val="script"/>
    <w:pitch w:val="variable"/>
    <w:sig w:usb0="00000001" w:usb1="080E0000" w:usb2="00000010" w:usb3="00000000" w:csb0="0025003B"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DF58C" w14:textId="77777777" w:rsidR="00FA2EE1" w:rsidRDefault="00FA2EE1" w:rsidP="00643F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D1D58C" w14:textId="77777777" w:rsidR="00FA2EE1" w:rsidRDefault="00FA2E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AA9A2" w14:textId="77777777" w:rsidR="00FA2EE1" w:rsidRDefault="00FA2EE1" w:rsidP="00643F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A7F91">
      <w:rPr>
        <w:rStyle w:val="PageNumber"/>
        <w:noProof/>
      </w:rPr>
      <w:t>2</w:t>
    </w:r>
    <w:r>
      <w:rPr>
        <w:rStyle w:val="PageNumber"/>
      </w:rPr>
      <w:fldChar w:fldCharType="end"/>
    </w:r>
  </w:p>
  <w:p w14:paraId="3F2A9FB1" w14:textId="77777777" w:rsidR="00FA2EE1" w:rsidRPr="008E097B" w:rsidRDefault="00FA2EE1" w:rsidP="008E097B">
    <w:pPr>
      <w:pStyle w:val="Footer"/>
      <w:rPr>
        <w:sz w:val="18"/>
        <w:szCs w:val="18"/>
      </w:rPr>
    </w:pPr>
  </w:p>
  <w:p w14:paraId="613D1C18" w14:textId="77777777" w:rsidR="00FA2EE1" w:rsidRPr="008E097B" w:rsidRDefault="00FA2EE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F20E0" w14:textId="77777777" w:rsidR="00E118B0" w:rsidRDefault="00E118B0">
      <w:r>
        <w:separator/>
      </w:r>
    </w:p>
  </w:footnote>
  <w:footnote w:type="continuationSeparator" w:id="0">
    <w:p w14:paraId="7352FAEF" w14:textId="77777777" w:rsidR="00E118B0" w:rsidRDefault="00E118B0">
      <w:r>
        <w:continuationSeparator/>
      </w:r>
    </w:p>
  </w:footnote>
  <w:footnote w:id="1">
    <w:p w14:paraId="4A21F5D0" w14:textId="608F1613" w:rsidR="006C77C9" w:rsidRDefault="006C77C9">
      <w:pPr>
        <w:pStyle w:val="FootnoteText"/>
      </w:pPr>
      <w:r>
        <w:rPr>
          <w:rStyle w:val="FootnoteReference"/>
        </w:rPr>
        <w:footnoteRef/>
      </w:r>
      <w:r>
        <w:t xml:space="preserve"> INSTRUCTOR’S NOTE: Attach a form of a</w:t>
      </w:r>
      <w:r w:rsidR="003A7691">
        <w:t xml:space="preserve">n LOI </w:t>
      </w:r>
      <w:r>
        <w:t xml:space="preserve">that contains some standard provisions that should be included to protect the parties during the continuing negotiation process. </w:t>
      </w:r>
      <w:r w:rsidR="003A7691">
        <w:t>Also, instruct students to use the checklists in Chapter 15 to give them additional ideas of what should be included in the LOI.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894F6" w14:textId="77777777" w:rsidR="00FA2EE1" w:rsidRDefault="00FA2EE1" w:rsidP="009833FB">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F80"/>
    <w:rsid w:val="000050D1"/>
    <w:rsid w:val="00050C65"/>
    <w:rsid w:val="000540F2"/>
    <w:rsid w:val="00055C05"/>
    <w:rsid w:val="000D03D9"/>
    <w:rsid w:val="000D748A"/>
    <w:rsid w:val="000E051E"/>
    <w:rsid w:val="000F65A0"/>
    <w:rsid w:val="00104992"/>
    <w:rsid w:val="0011391A"/>
    <w:rsid w:val="00117A62"/>
    <w:rsid w:val="00121BB2"/>
    <w:rsid w:val="001335CA"/>
    <w:rsid w:val="001336F7"/>
    <w:rsid w:val="00146302"/>
    <w:rsid w:val="00161E8E"/>
    <w:rsid w:val="0016377C"/>
    <w:rsid w:val="001B28ED"/>
    <w:rsid w:val="001C03D9"/>
    <w:rsid w:val="001C79EC"/>
    <w:rsid w:val="001E0FD2"/>
    <w:rsid w:val="002105E9"/>
    <w:rsid w:val="00251642"/>
    <w:rsid w:val="00256DD5"/>
    <w:rsid w:val="00267206"/>
    <w:rsid w:val="002728AD"/>
    <w:rsid w:val="00274917"/>
    <w:rsid w:val="0027531A"/>
    <w:rsid w:val="002C37E6"/>
    <w:rsid w:val="002C5653"/>
    <w:rsid w:val="002D303B"/>
    <w:rsid w:val="002D7F34"/>
    <w:rsid w:val="002E49D9"/>
    <w:rsid w:val="003050D5"/>
    <w:rsid w:val="003062BD"/>
    <w:rsid w:val="00332728"/>
    <w:rsid w:val="0033342A"/>
    <w:rsid w:val="003402B1"/>
    <w:rsid w:val="00384E34"/>
    <w:rsid w:val="00396CCC"/>
    <w:rsid w:val="003A7691"/>
    <w:rsid w:val="003D362B"/>
    <w:rsid w:val="003D63CB"/>
    <w:rsid w:val="003F45AE"/>
    <w:rsid w:val="00404D74"/>
    <w:rsid w:val="00410ADD"/>
    <w:rsid w:val="00412CAE"/>
    <w:rsid w:val="004470E6"/>
    <w:rsid w:val="004540E8"/>
    <w:rsid w:val="0046705C"/>
    <w:rsid w:val="004716DF"/>
    <w:rsid w:val="004C49D4"/>
    <w:rsid w:val="004D26CD"/>
    <w:rsid w:val="004D4689"/>
    <w:rsid w:val="004E60EF"/>
    <w:rsid w:val="0053283B"/>
    <w:rsid w:val="00540BDA"/>
    <w:rsid w:val="00553859"/>
    <w:rsid w:val="005655ED"/>
    <w:rsid w:val="005725A7"/>
    <w:rsid w:val="005733DA"/>
    <w:rsid w:val="00573999"/>
    <w:rsid w:val="005836ED"/>
    <w:rsid w:val="005837C8"/>
    <w:rsid w:val="00592954"/>
    <w:rsid w:val="005B74DE"/>
    <w:rsid w:val="005D2C4F"/>
    <w:rsid w:val="005D6811"/>
    <w:rsid w:val="006319A4"/>
    <w:rsid w:val="006329FC"/>
    <w:rsid w:val="00643F41"/>
    <w:rsid w:val="00647D88"/>
    <w:rsid w:val="00660E4C"/>
    <w:rsid w:val="00663DC6"/>
    <w:rsid w:val="00673EF2"/>
    <w:rsid w:val="00696D39"/>
    <w:rsid w:val="006B739A"/>
    <w:rsid w:val="006C77C9"/>
    <w:rsid w:val="006D16DD"/>
    <w:rsid w:val="006E4AD8"/>
    <w:rsid w:val="00743F13"/>
    <w:rsid w:val="00791239"/>
    <w:rsid w:val="007C534F"/>
    <w:rsid w:val="007D62B9"/>
    <w:rsid w:val="007D71B4"/>
    <w:rsid w:val="0080777E"/>
    <w:rsid w:val="0082284E"/>
    <w:rsid w:val="0085584A"/>
    <w:rsid w:val="008666B0"/>
    <w:rsid w:val="00866B77"/>
    <w:rsid w:val="00875066"/>
    <w:rsid w:val="00885AD8"/>
    <w:rsid w:val="008A491A"/>
    <w:rsid w:val="008B5DAA"/>
    <w:rsid w:val="008B68DC"/>
    <w:rsid w:val="008C3117"/>
    <w:rsid w:val="008E097B"/>
    <w:rsid w:val="008E160F"/>
    <w:rsid w:val="008F5863"/>
    <w:rsid w:val="00914156"/>
    <w:rsid w:val="009207A8"/>
    <w:rsid w:val="00933E8C"/>
    <w:rsid w:val="009458AB"/>
    <w:rsid w:val="0094653A"/>
    <w:rsid w:val="0096168E"/>
    <w:rsid w:val="009644AD"/>
    <w:rsid w:val="009713AA"/>
    <w:rsid w:val="009754F9"/>
    <w:rsid w:val="009833FB"/>
    <w:rsid w:val="00983778"/>
    <w:rsid w:val="00992F80"/>
    <w:rsid w:val="009A4672"/>
    <w:rsid w:val="009B688E"/>
    <w:rsid w:val="009C6D20"/>
    <w:rsid w:val="009E38CA"/>
    <w:rsid w:val="00A20398"/>
    <w:rsid w:val="00A2619C"/>
    <w:rsid w:val="00A3156E"/>
    <w:rsid w:val="00A446F9"/>
    <w:rsid w:val="00A53453"/>
    <w:rsid w:val="00A53B0B"/>
    <w:rsid w:val="00A546FC"/>
    <w:rsid w:val="00A61F76"/>
    <w:rsid w:val="00A6580D"/>
    <w:rsid w:val="00A80DCD"/>
    <w:rsid w:val="00A80DD8"/>
    <w:rsid w:val="00A81AF5"/>
    <w:rsid w:val="00A87138"/>
    <w:rsid w:val="00AA07DE"/>
    <w:rsid w:val="00AA3358"/>
    <w:rsid w:val="00AA583E"/>
    <w:rsid w:val="00AA6D11"/>
    <w:rsid w:val="00AC5C87"/>
    <w:rsid w:val="00AC7F08"/>
    <w:rsid w:val="00AD19BB"/>
    <w:rsid w:val="00AD32CA"/>
    <w:rsid w:val="00AF31DE"/>
    <w:rsid w:val="00AF65AE"/>
    <w:rsid w:val="00B026A0"/>
    <w:rsid w:val="00B12375"/>
    <w:rsid w:val="00B21D03"/>
    <w:rsid w:val="00B27149"/>
    <w:rsid w:val="00B365AF"/>
    <w:rsid w:val="00B519D9"/>
    <w:rsid w:val="00B84ECC"/>
    <w:rsid w:val="00B95E1B"/>
    <w:rsid w:val="00BA7F91"/>
    <w:rsid w:val="00BB785E"/>
    <w:rsid w:val="00BB7C02"/>
    <w:rsid w:val="00BD49D8"/>
    <w:rsid w:val="00BD74D9"/>
    <w:rsid w:val="00BE6B5F"/>
    <w:rsid w:val="00BF3DE9"/>
    <w:rsid w:val="00C02D37"/>
    <w:rsid w:val="00C11067"/>
    <w:rsid w:val="00C16DF1"/>
    <w:rsid w:val="00C2550D"/>
    <w:rsid w:val="00C30C06"/>
    <w:rsid w:val="00C64D38"/>
    <w:rsid w:val="00CA5549"/>
    <w:rsid w:val="00CA5B63"/>
    <w:rsid w:val="00CD13BD"/>
    <w:rsid w:val="00CE38AD"/>
    <w:rsid w:val="00CE7A4D"/>
    <w:rsid w:val="00CF40A7"/>
    <w:rsid w:val="00D01544"/>
    <w:rsid w:val="00D271A8"/>
    <w:rsid w:val="00D31AB3"/>
    <w:rsid w:val="00D31EC2"/>
    <w:rsid w:val="00D52D00"/>
    <w:rsid w:val="00D60582"/>
    <w:rsid w:val="00D649AC"/>
    <w:rsid w:val="00D75568"/>
    <w:rsid w:val="00D77347"/>
    <w:rsid w:val="00D84D9F"/>
    <w:rsid w:val="00DB6D8B"/>
    <w:rsid w:val="00DD0FC9"/>
    <w:rsid w:val="00DD4D5D"/>
    <w:rsid w:val="00DF6A37"/>
    <w:rsid w:val="00E118B0"/>
    <w:rsid w:val="00E63D80"/>
    <w:rsid w:val="00E74E99"/>
    <w:rsid w:val="00E8479B"/>
    <w:rsid w:val="00E87E55"/>
    <w:rsid w:val="00E939B9"/>
    <w:rsid w:val="00EB42A3"/>
    <w:rsid w:val="00EB4549"/>
    <w:rsid w:val="00ED36D7"/>
    <w:rsid w:val="00EE0380"/>
    <w:rsid w:val="00EE63F2"/>
    <w:rsid w:val="00F00DB9"/>
    <w:rsid w:val="00F2700A"/>
    <w:rsid w:val="00F433FE"/>
    <w:rsid w:val="00F54661"/>
    <w:rsid w:val="00F715B6"/>
    <w:rsid w:val="00F75DCC"/>
    <w:rsid w:val="00F94D6A"/>
    <w:rsid w:val="00F9799D"/>
    <w:rsid w:val="00FA2EE1"/>
    <w:rsid w:val="00FA69DC"/>
    <w:rsid w:val="00FC4E96"/>
    <w:rsid w:val="00FE0862"/>
    <w:rsid w:val="00FE7DB3"/>
    <w:rsid w:val="00FF513E"/>
    <w:rsid w:val="00FF7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3D271DF"/>
  <w15:chartTrackingRefBased/>
  <w15:docId w15:val="{81B7A4F1-8CDB-FF46-90AB-849FD327F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2F80"/>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9C6D20"/>
    <w:pPr>
      <w:tabs>
        <w:tab w:val="center" w:pos="4320"/>
        <w:tab w:val="right" w:pos="8640"/>
      </w:tabs>
    </w:pPr>
  </w:style>
  <w:style w:type="character" w:styleId="PageNumber">
    <w:name w:val="page number"/>
    <w:basedOn w:val="DefaultParagraphFont"/>
    <w:rsid w:val="009C6D20"/>
  </w:style>
  <w:style w:type="paragraph" w:styleId="Header">
    <w:name w:val="header"/>
    <w:basedOn w:val="Normal"/>
    <w:rsid w:val="003D362B"/>
    <w:pPr>
      <w:tabs>
        <w:tab w:val="center" w:pos="4320"/>
        <w:tab w:val="right" w:pos="8640"/>
      </w:tabs>
    </w:pPr>
  </w:style>
  <w:style w:type="paragraph" w:styleId="FootnoteText">
    <w:name w:val="footnote text"/>
    <w:basedOn w:val="Normal"/>
    <w:semiHidden/>
    <w:rsid w:val="003D362B"/>
    <w:rPr>
      <w:sz w:val="20"/>
      <w:szCs w:val="20"/>
    </w:rPr>
  </w:style>
  <w:style w:type="character" w:styleId="FootnoteReference">
    <w:name w:val="footnote reference"/>
    <w:semiHidden/>
    <w:rsid w:val="003D362B"/>
    <w:rPr>
      <w:vertAlign w:val="superscript"/>
    </w:rPr>
  </w:style>
  <w:style w:type="character" w:styleId="CommentReference">
    <w:name w:val="annotation reference"/>
    <w:semiHidden/>
    <w:rsid w:val="00C30C06"/>
    <w:rPr>
      <w:sz w:val="16"/>
      <w:szCs w:val="16"/>
    </w:rPr>
  </w:style>
  <w:style w:type="paragraph" w:styleId="CommentText">
    <w:name w:val="annotation text"/>
    <w:basedOn w:val="Normal"/>
    <w:semiHidden/>
    <w:rsid w:val="00C30C06"/>
    <w:rPr>
      <w:sz w:val="20"/>
      <w:szCs w:val="20"/>
    </w:rPr>
  </w:style>
  <w:style w:type="paragraph" w:styleId="CommentSubject">
    <w:name w:val="annotation subject"/>
    <w:basedOn w:val="CommentText"/>
    <w:next w:val="CommentText"/>
    <w:semiHidden/>
    <w:rsid w:val="00C30C06"/>
    <w:rPr>
      <w:b/>
      <w:bCs/>
    </w:rPr>
  </w:style>
  <w:style w:type="paragraph" w:styleId="BalloonText">
    <w:name w:val="Balloon Text"/>
    <w:basedOn w:val="Normal"/>
    <w:semiHidden/>
    <w:rsid w:val="00C30C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5586E5EEF20D42A7692BD83515D4CB" ma:contentTypeVersion="15" ma:contentTypeDescription="Create a new document." ma:contentTypeScope="" ma:versionID="81ff94400e1f4a76c423bfc70bb2ee31">
  <xsd:schema xmlns:xsd="http://www.w3.org/2001/XMLSchema" xmlns:xs="http://www.w3.org/2001/XMLSchema" xmlns:p="http://schemas.microsoft.com/office/2006/metadata/properties" xmlns:ns1="http://schemas.microsoft.com/sharepoint/v3" xmlns:ns2="904d8a41-b64f-4ad1-889a-592e3687126c" xmlns:ns3="64ce79fb-6fbb-41f8-a774-817df4d95e22" targetNamespace="http://schemas.microsoft.com/office/2006/metadata/properties" ma:root="true" ma:fieldsID="949a4257f955d9a604707effe08cfa27" ns1:_="" ns2:_="" ns3:_="">
    <xsd:import namespace="http://schemas.microsoft.com/sharepoint/v3"/>
    <xsd:import namespace="904d8a41-b64f-4ad1-889a-592e3687126c"/>
    <xsd:import namespace="64ce79fb-6fbb-41f8-a774-817df4d95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d8a41-b64f-4ad1-889a-592e36871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d6db93-c2d0-4b50-b15e-15d2e2b3170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ce79fb-6fbb-41f8-a774-817df4d95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580008-e961-4897-b335-8b029cc25e28}" ma:internalName="TaxCatchAll" ma:showField="CatchAllData" ma:web="64ce79fb-6fbb-41f8-a774-817df4d95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04d8a41-b64f-4ad1-889a-592e3687126c">
      <Terms xmlns="http://schemas.microsoft.com/office/infopath/2007/PartnerControls"/>
    </lcf76f155ced4ddcb4097134ff3c332f>
    <TaxCatchAll xmlns="64ce79fb-6fbb-41f8-a774-817df4d95e22"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E82687E-1911-314C-8DCD-D60F6CFB90D4}">
  <ds:schemaRefs>
    <ds:schemaRef ds:uri="http://schemas.openxmlformats.org/officeDocument/2006/bibliography"/>
  </ds:schemaRefs>
</ds:datastoreItem>
</file>

<file path=customXml/itemProps2.xml><?xml version="1.0" encoding="utf-8"?>
<ds:datastoreItem xmlns:ds="http://schemas.openxmlformats.org/officeDocument/2006/customXml" ds:itemID="{C99D3B6A-33E6-4B75-AE53-4F30D08E9049}"/>
</file>

<file path=customXml/itemProps3.xml><?xml version="1.0" encoding="utf-8"?>
<ds:datastoreItem xmlns:ds="http://schemas.openxmlformats.org/officeDocument/2006/customXml" ds:itemID="{9DCFB373-F955-4EEC-9699-DF7A36D2701A}"/>
</file>

<file path=customXml/itemProps4.xml><?xml version="1.0" encoding="utf-8"?>
<ds:datastoreItem xmlns:ds="http://schemas.openxmlformats.org/officeDocument/2006/customXml" ds:itemID="{14CFD8FF-62B4-409E-BF85-009C296DCC1B}"/>
</file>

<file path=docProps/app.xml><?xml version="1.0" encoding="utf-8"?>
<Properties xmlns="http://schemas.openxmlformats.org/officeDocument/2006/extended-properties" xmlns:vt="http://schemas.openxmlformats.org/officeDocument/2006/docPropsVTypes">
  <Template>Normal.dotm</Template>
  <TotalTime>1</TotalTime>
  <Pages>3</Pages>
  <Words>678</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Play Sports, Inc</vt:lpstr>
    </vt:vector>
  </TitlesOfParts>
  <Company>Indiana University</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Play Sports, Inc</dc:title>
  <dc:subject/>
  <dc:creator>Cynthia Matson Adams</dc:creator>
  <cp:keywords/>
  <dc:description/>
  <cp:lastModifiedBy>Adams, Cynthia Matson</cp:lastModifiedBy>
  <cp:revision>2</cp:revision>
  <cp:lastPrinted>2008-05-20T16:05:00Z</cp:lastPrinted>
  <dcterms:created xsi:type="dcterms:W3CDTF">2025-05-06T16:03:00Z</dcterms:created>
  <dcterms:modified xsi:type="dcterms:W3CDTF">2025-05-06T16:03:00Z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0x010100E35586E5EEF20D42A7692BD83515D4CB</vt:lpwstr>
  </property>
</Properties>
</file>